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pPr>
    </w:p>
    <w:p>
      <w:pPr>
        <w:spacing w:line="300" w:lineRule="auto"/>
      </w:pPr>
    </w:p>
    <w:p>
      <w:pPr>
        <w:spacing w:line="300" w:lineRule="auto"/>
      </w:pPr>
    </w:p>
    <w:p>
      <w:pPr>
        <w:bidi w:val="0"/>
        <w:jc w:val="center"/>
        <w:rPr>
          <w:rFonts w:hint="eastAsia" w:ascii="微软雅黑" w:hAnsi="微软雅黑" w:eastAsia="微软雅黑" w:cs="微软雅黑"/>
          <w:sz w:val="84"/>
          <w:szCs w:val="84"/>
        </w:rPr>
      </w:pPr>
      <w:r>
        <w:rPr>
          <w:rFonts w:hint="eastAsia" w:ascii="微软雅黑" w:hAnsi="微软雅黑" w:eastAsia="微软雅黑" w:cs="微软雅黑"/>
          <w:sz w:val="84"/>
          <w:szCs w:val="84"/>
        </w:rPr>
        <w:t>浙江移动</w:t>
      </w:r>
    </w:p>
    <w:p>
      <w:pPr>
        <w:bidi w:val="0"/>
        <w:jc w:val="center"/>
        <w:rPr>
          <w:rFonts w:hint="eastAsia" w:ascii="微软雅黑" w:hAnsi="微软雅黑" w:eastAsia="微软雅黑" w:cs="微软雅黑"/>
          <w:sz w:val="84"/>
          <w:szCs w:val="84"/>
          <w:lang w:val="en-US" w:eastAsia="zh-CN"/>
        </w:rPr>
      </w:pPr>
      <w:r>
        <w:rPr>
          <w:rFonts w:hint="eastAsia" w:ascii="微软雅黑" w:hAnsi="微软雅黑" w:eastAsia="微软雅黑" w:cs="微软雅黑"/>
          <w:sz w:val="84"/>
          <w:szCs w:val="84"/>
          <w:lang w:val="en-US" w:eastAsia="zh-CN"/>
        </w:rPr>
        <w:t>CMIOT开卡电子受理</w:t>
      </w:r>
    </w:p>
    <w:p>
      <w:pPr>
        <w:bidi w:val="0"/>
        <w:jc w:val="center"/>
        <w:rPr>
          <w:rFonts w:hint="default" w:ascii="微软雅黑" w:hAnsi="微软雅黑" w:eastAsia="微软雅黑" w:cs="微软雅黑"/>
          <w:sz w:val="44"/>
          <w:szCs w:val="44"/>
          <w:lang w:val="en-US" w:eastAsia="zh-CN"/>
        </w:rPr>
      </w:pPr>
      <w:r>
        <w:rPr>
          <w:rFonts w:hint="eastAsia" w:ascii="微软雅黑" w:hAnsi="微软雅黑" w:eastAsia="微软雅黑" w:cs="微软雅黑"/>
          <w:sz w:val="44"/>
          <w:szCs w:val="44"/>
          <w:lang w:val="en-US" w:eastAsia="zh-CN"/>
        </w:rPr>
        <w:t>（即CMIOT预受理）</w:t>
      </w:r>
    </w:p>
    <w:p>
      <w:pPr>
        <w:bidi w:val="0"/>
        <w:jc w:val="center"/>
        <w:rPr>
          <w:rFonts w:hint="eastAsia" w:ascii="微软雅黑" w:hAnsi="微软雅黑" w:eastAsia="微软雅黑" w:cs="微软雅黑"/>
          <w:sz w:val="84"/>
          <w:szCs w:val="84"/>
        </w:rPr>
      </w:pPr>
      <w:r>
        <w:rPr>
          <w:rFonts w:hint="eastAsia" w:ascii="微软雅黑" w:hAnsi="微软雅黑" w:eastAsia="微软雅黑" w:cs="微软雅黑"/>
          <w:sz w:val="84"/>
          <w:szCs w:val="84"/>
        </w:rPr>
        <w:t>操作手册</w:t>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ind w:firstLine="2125" w:firstLineChars="882"/>
        <w:jc w:val="left"/>
        <w:rPr>
          <w:rFonts w:hint="eastAsia" w:ascii="宋体" w:hAnsi="宋体"/>
          <w:b/>
          <w:sz w:val="24"/>
          <w:szCs w:val="24"/>
        </w:rPr>
      </w:pPr>
      <w:r>
        <w:rPr>
          <w:rFonts w:hint="eastAsia" w:ascii="宋体" w:hAnsi="宋体"/>
          <w:b/>
          <w:sz w:val="24"/>
          <w:szCs w:val="24"/>
        </w:rPr>
        <w:t>文档编号：浙江移动BOSS-YDSWZJ-001</w:t>
      </w:r>
    </w:p>
    <w:p>
      <w:pPr>
        <w:spacing w:line="300" w:lineRule="auto"/>
        <w:ind w:firstLine="2125" w:firstLineChars="882"/>
        <w:jc w:val="left"/>
        <w:rPr>
          <w:rFonts w:hint="default" w:ascii="宋体" w:hAnsi="宋体" w:eastAsia="宋体"/>
          <w:b/>
          <w:sz w:val="24"/>
          <w:szCs w:val="24"/>
          <w:lang w:val="en-US" w:eastAsia="zh-CN"/>
        </w:rPr>
      </w:pPr>
      <w:r>
        <w:rPr>
          <w:rFonts w:hint="eastAsia" w:ascii="宋体" w:hAnsi="宋体"/>
          <w:b/>
          <w:sz w:val="24"/>
          <w:szCs w:val="24"/>
        </w:rPr>
        <w:t>创建日期：20</w:t>
      </w:r>
      <w:r>
        <w:rPr>
          <w:rFonts w:hint="eastAsia" w:ascii="宋体" w:hAnsi="宋体"/>
          <w:b/>
          <w:sz w:val="24"/>
          <w:szCs w:val="24"/>
          <w:lang w:val="en-US" w:eastAsia="zh-CN"/>
        </w:rPr>
        <w:t>23</w:t>
      </w:r>
      <w:r>
        <w:rPr>
          <w:rFonts w:hint="eastAsia" w:ascii="宋体" w:hAnsi="宋体"/>
          <w:b/>
          <w:sz w:val="24"/>
          <w:szCs w:val="24"/>
        </w:rPr>
        <w:t>-</w:t>
      </w:r>
      <w:r>
        <w:rPr>
          <w:rFonts w:hint="eastAsia" w:ascii="宋体" w:hAnsi="宋体"/>
          <w:b/>
          <w:sz w:val="24"/>
          <w:szCs w:val="24"/>
          <w:lang w:val="en-US" w:eastAsia="zh-CN"/>
        </w:rPr>
        <w:t>7</w:t>
      </w:r>
    </w:p>
    <w:p>
      <w:pPr>
        <w:spacing w:line="300" w:lineRule="auto"/>
        <w:ind w:firstLine="2125" w:firstLineChars="882"/>
        <w:jc w:val="left"/>
        <w:rPr>
          <w:rFonts w:hint="default" w:ascii="宋体" w:hAnsi="宋体" w:eastAsia="宋体"/>
          <w:b/>
          <w:sz w:val="24"/>
          <w:szCs w:val="24"/>
          <w:lang w:val="en-US" w:eastAsia="zh-CN"/>
        </w:rPr>
      </w:pPr>
      <w:r>
        <w:rPr>
          <w:rFonts w:hint="eastAsia" w:ascii="宋体" w:hAnsi="宋体"/>
          <w:b/>
          <w:sz w:val="24"/>
          <w:szCs w:val="24"/>
        </w:rPr>
        <w:t>最后修改日期：202</w:t>
      </w:r>
      <w:r>
        <w:rPr>
          <w:rFonts w:hint="eastAsia" w:ascii="宋体" w:hAnsi="宋体"/>
          <w:b/>
          <w:sz w:val="24"/>
          <w:szCs w:val="24"/>
          <w:lang w:val="en-US" w:eastAsia="zh-CN"/>
        </w:rPr>
        <w:t>3</w:t>
      </w:r>
      <w:r>
        <w:rPr>
          <w:rFonts w:hint="eastAsia" w:ascii="宋体" w:hAnsi="宋体"/>
          <w:b/>
          <w:sz w:val="24"/>
          <w:szCs w:val="24"/>
        </w:rPr>
        <w:t>-</w:t>
      </w:r>
      <w:r>
        <w:rPr>
          <w:rFonts w:hint="eastAsia" w:ascii="宋体" w:hAnsi="宋体"/>
          <w:b/>
          <w:sz w:val="24"/>
          <w:szCs w:val="24"/>
          <w:lang w:val="en-US" w:eastAsia="zh-CN"/>
        </w:rPr>
        <w:t>11</w:t>
      </w:r>
    </w:p>
    <w:p>
      <w:pPr>
        <w:spacing w:line="300" w:lineRule="auto"/>
        <w:ind w:firstLine="2125" w:firstLineChars="882"/>
        <w:jc w:val="left"/>
        <w:rPr>
          <w:rFonts w:hint="default" w:ascii="宋体" w:hAnsi="宋体" w:eastAsia="宋体"/>
          <w:b/>
          <w:sz w:val="24"/>
          <w:szCs w:val="24"/>
          <w:lang w:val="en-US" w:eastAsia="zh-CN"/>
        </w:rPr>
      </w:pPr>
      <w:r>
        <w:rPr>
          <w:rFonts w:hint="eastAsia" w:ascii="宋体" w:hAnsi="宋体"/>
          <w:b/>
          <w:sz w:val="24"/>
          <w:szCs w:val="24"/>
        </w:rPr>
        <w:t>版 本 号：1.0</w:t>
      </w:r>
      <w:r>
        <w:rPr>
          <w:rFonts w:hint="eastAsia" w:ascii="宋体" w:hAnsi="宋体"/>
          <w:b/>
          <w:sz w:val="24"/>
          <w:szCs w:val="24"/>
          <w:lang w:val="en-US" w:eastAsia="zh-CN"/>
        </w:rPr>
        <w:t>.1</w:t>
      </w:r>
    </w:p>
    <w:p>
      <w:pPr>
        <w:spacing w:line="300" w:lineRule="auto"/>
        <w:ind w:firstLine="2125" w:firstLineChars="882"/>
        <w:jc w:val="left"/>
        <w:rPr>
          <w:rFonts w:ascii="宋体" w:hAnsi="宋体"/>
          <w:b/>
          <w:sz w:val="24"/>
          <w:szCs w:val="24"/>
        </w:rPr>
      </w:pPr>
    </w:p>
    <w:p>
      <w:pPr>
        <w:widowControl/>
        <w:spacing w:line="300" w:lineRule="auto"/>
        <w:jc w:val="left"/>
      </w:pPr>
      <w:bookmarkStart w:id="0" w:name="_Toc31824"/>
    </w:p>
    <w:tbl>
      <w:tblPr>
        <w:tblStyle w:val="24"/>
        <w:tblW w:w="8319" w:type="dxa"/>
        <w:tblInd w:w="153" w:type="dxa"/>
        <w:tblLayout w:type="fixed"/>
        <w:tblCellMar>
          <w:top w:w="0" w:type="dxa"/>
          <w:left w:w="108" w:type="dxa"/>
          <w:bottom w:w="0" w:type="dxa"/>
          <w:right w:w="108" w:type="dxa"/>
        </w:tblCellMar>
      </w:tblPr>
      <w:tblGrid>
        <w:gridCol w:w="1260"/>
        <w:gridCol w:w="1620"/>
        <w:gridCol w:w="1453"/>
        <w:gridCol w:w="1035"/>
        <w:gridCol w:w="2951"/>
      </w:tblGrid>
      <w:tr>
        <w:tblPrEx>
          <w:tblCellMar>
            <w:top w:w="0" w:type="dxa"/>
            <w:left w:w="108" w:type="dxa"/>
            <w:bottom w:w="0" w:type="dxa"/>
            <w:right w:w="108" w:type="dxa"/>
          </w:tblCellMar>
        </w:tblPrEx>
        <w:trPr>
          <w:cantSplit/>
        </w:trPr>
        <w:tc>
          <w:tcPr>
            <w:tcW w:w="8319" w:type="dxa"/>
            <w:gridSpan w:val="5"/>
            <w:tcBorders>
              <w:top w:val="double" w:color="auto" w:sz="12" w:space="0"/>
              <w:left w:val="double" w:color="auto" w:sz="12" w:space="0"/>
              <w:bottom w:val="single" w:color="auto" w:sz="6" w:space="0"/>
              <w:right w:val="double" w:color="auto" w:sz="12" w:space="0"/>
            </w:tcBorders>
            <w:shd w:val="pct10" w:color="auto" w:fill="auto"/>
          </w:tcPr>
          <w:p>
            <w:pPr>
              <w:rPr>
                <w:sz w:val="18"/>
                <w:szCs w:val="18"/>
              </w:rPr>
            </w:pPr>
            <w:r>
              <w:rPr>
                <w:rFonts w:hint="eastAsia" w:cs="宋体"/>
                <w:sz w:val="18"/>
                <w:szCs w:val="18"/>
              </w:rPr>
              <w:t>修订历史</w:t>
            </w:r>
            <w:r>
              <w:rPr>
                <w:rFonts w:cs="宋体"/>
                <w:sz w:val="18"/>
                <w:szCs w:val="18"/>
              </w:rPr>
              <w:t xml:space="preserve"> (REVISION HISTORY)</w:t>
            </w:r>
          </w:p>
        </w:tc>
      </w:tr>
      <w:tr>
        <w:tblPrEx>
          <w:tblCellMar>
            <w:top w:w="0" w:type="dxa"/>
            <w:left w:w="108" w:type="dxa"/>
            <w:bottom w:w="0" w:type="dxa"/>
            <w:right w:w="108" w:type="dxa"/>
          </w:tblCellMar>
        </w:tblPrEx>
        <w:trPr>
          <w:cantSplit/>
        </w:trPr>
        <w:tc>
          <w:tcPr>
            <w:tcW w:w="1260" w:type="dxa"/>
            <w:tcBorders>
              <w:top w:val="single" w:color="auto" w:sz="6" w:space="0"/>
              <w:left w:val="double" w:color="auto" w:sz="12" w:space="0"/>
              <w:right w:val="single" w:color="auto" w:sz="4" w:space="0"/>
            </w:tcBorders>
            <w:shd w:val="pct10" w:color="auto" w:fill="auto"/>
          </w:tcPr>
          <w:p>
            <w:pPr>
              <w:rPr>
                <w:sz w:val="18"/>
                <w:szCs w:val="18"/>
              </w:rPr>
            </w:pPr>
            <w:r>
              <w:rPr>
                <w:rFonts w:hint="eastAsia" w:cs="宋体"/>
                <w:sz w:val="18"/>
                <w:szCs w:val="18"/>
              </w:rPr>
              <w:t>版本号</w:t>
            </w:r>
          </w:p>
        </w:tc>
        <w:tc>
          <w:tcPr>
            <w:tcW w:w="1620" w:type="dxa"/>
            <w:tcBorders>
              <w:top w:val="single" w:color="auto" w:sz="6" w:space="0"/>
              <w:left w:val="nil"/>
              <w:right w:val="single" w:color="auto" w:sz="4" w:space="0"/>
            </w:tcBorders>
            <w:shd w:val="pct10" w:color="auto" w:fill="auto"/>
          </w:tcPr>
          <w:p>
            <w:pPr>
              <w:rPr>
                <w:sz w:val="18"/>
                <w:szCs w:val="18"/>
              </w:rPr>
            </w:pPr>
            <w:r>
              <w:rPr>
                <w:rFonts w:hint="eastAsia" w:cs="宋体"/>
                <w:sz w:val="18"/>
                <w:szCs w:val="18"/>
              </w:rPr>
              <w:t>日期</w:t>
            </w:r>
          </w:p>
        </w:tc>
        <w:tc>
          <w:tcPr>
            <w:tcW w:w="1453" w:type="dxa"/>
            <w:tcBorders>
              <w:top w:val="single" w:color="auto" w:sz="6" w:space="0"/>
              <w:left w:val="nil"/>
              <w:right w:val="single" w:color="auto" w:sz="4" w:space="0"/>
            </w:tcBorders>
            <w:shd w:val="pct10" w:color="auto" w:fill="auto"/>
          </w:tcPr>
          <w:p>
            <w:pPr>
              <w:rPr>
                <w:sz w:val="18"/>
                <w:szCs w:val="18"/>
              </w:rPr>
            </w:pPr>
            <w:r>
              <w:rPr>
                <w:rFonts w:hint="eastAsia" w:cs="宋体"/>
                <w:sz w:val="18"/>
                <w:szCs w:val="18"/>
              </w:rPr>
              <w:t>创建人</w:t>
            </w:r>
            <w:r>
              <w:rPr>
                <w:rFonts w:cs="宋体"/>
                <w:sz w:val="18"/>
                <w:szCs w:val="18"/>
              </w:rPr>
              <w:t>/</w:t>
            </w:r>
            <w:r>
              <w:rPr>
                <w:rFonts w:hint="eastAsia" w:cs="宋体"/>
                <w:sz w:val="18"/>
                <w:szCs w:val="18"/>
              </w:rPr>
              <w:t>修改人</w:t>
            </w:r>
          </w:p>
        </w:tc>
        <w:tc>
          <w:tcPr>
            <w:tcW w:w="1035" w:type="dxa"/>
            <w:tcBorders>
              <w:top w:val="single" w:color="auto" w:sz="6" w:space="0"/>
              <w:left w:val="nil"/>
              <w:right w:val="single" w:color="auto" w:sz="4" w:space="0"/>
            </w:tcBorders>
            <w:shd w:val="pct10" w:color="auto" w:fill="auto"/>
          </w:tcPr>
          <w:p>
            <w:pPr>
              <w:rPr>
                <w:sz w:val="18"/>
                <w:szCs w:val="18"/>
              </w:rPr>
            </w:pPr>
            <w:r>
              <w:rPr>
                <w:rFonts w:hint="eastAsia" w:cs="宋体"/>
                <w:sz w:val="18"/>
                <w:szCs w:val="18"/>
              </w:rPr>
              <w:t>审阅人</w:t>
            </w:r>
          </w:p>
        </w:tc>
        <w:tc>
          <w:tcPr>
            <w:tcW w:w="2951" w:type="dxa"/>
            <w:tcBorders>
              <w:top w:val="single" w:color="auto" w:sz="6" w:space="0"/>
              <w:left w:val="nil"/>
              <w:right w:val="double" w:color="auto" w:sz="12" w:space="0"/>
            </w:tcBorders>
            <w:shd w:val="pct10" w:color="auto" w:fill="auto"/>
          </w:tcPr>
          <w:p>
            <w:pPr>
              <w:rPr>
                <w:sz w:val="18"/>
                <w:szCs w:val="18"/>
              </w:rPr>
            </w:pPr>
            <w:r>
              <w:rPr>
                <w:rFonts w:hint="eastAsia" w:cs="宋体"/>
                <w:sz w:val="18"/>
                <w:szCs w:val="18"/>
              </w:rPr>
              <w:t>摘要</w:t>
            </w:r>
          </w:p>
        </w:tc>
      </w:tr>
      <w:tr>
        <w:tblPrEx>
          <w:tblCellMar>
            <w:top w:w="0" w:type="dxa"/>
            <w:left w:w="108" w:type="dxa"/>
            <w:bottom w:w="0" w:type="dxa"/>
            <w:right w:w="108" w:type="dxa"/>
          </w:tblCellMar>
        </w:tblPrEx>
        <w:trPr>
          <w:cantSplit/>
        </w:trPr>
        <w:tc>
          <w:tcPr>
            <w:tcW w:w="1260" w:type="dxa"/>
            <w:tcBorders>
              <w:top w:val="double" w:color="auto" w:sz="6" w:space="0"/>
              <w:left w:val="double" w:color="auto" w:sz="12" w:space="0"/>
              <w:bottom w:val="double" w:color="auto" w:sz="6" w:space="0"/>
              <w:right w:val="single" w:color="auto" w:sz="4" w:space="0"/>
            </w:tcBorders>
          </w:tcPr>
          <w:p>
            <w:r>
              <w:rPr>
                <w:rFonts w:hint="eastAsia"/>
              </w:rPr>
              <w:t>V1.0</w:t>
            </w:r>
          </w:p>
        </w:tc>
        <w:tc>
          <w:tcPr>
            <w:tcW w:w="1620" w:type="dxa"/>
            <w:tcBorders>
              <w:top w:val="double" w:color="auto" w:sz="6" w:space="0"/>
              <w:left w:val="nil"/>
              <w:bottom w:val="double" w:color="auto" w:sz="6" w:space="0"/>
              <w:right w:val="single" w:color="auto" w:sz="4" w:space="0"/>
            </w:tcBorders>
          </w:tcPr>
          <w:p>
            <w:pPr>
              <w:rPr>
                <w:rFonts w:hint="default" w:eastAsia="宋体"/>
                <w:lang w:val="en-US" w:eastAsia="zh-CN"/>
              </w:rPr>
            </w:pPr>
            <w:r>
              <w:rPr>
                <w:rFonts w:hint="eastAsia"/>
              </w:rPr>
              <w:t>20</w:t>
            </w:r>
            <w:r>
              <w:rPr>
                <w:rFonts w:hint="eastAsia"/>
                <w:lang w:val="en-US" w:eastAsia="zh-CN"/>
              </w:rPr>
              <w:t>23</w:t>
            </w:r>
            <w:r>
              <w:rPr>
                <w:rFonts w:hint="eastAsia"/>
              </w:rPr>
              <w:t>/</w:t>
            </w:r>
            <w:r>
              <w:rPr>
                <w:rFonts w:hint="eastAsia"/>
                <w:lang w:val="en-US" w:eastAsia="zh-CN"/>
              </w:rPr>
              <w:t>7</w:t>
            </w:r>
          </w:p>
        </w:tc>
        <w:tc>
          <w:tcPr>
            <w:tcW w:w="1453" w:type="dxa"/>
            <w:tcBorders>
              <w:top w:val="double" w:color="auto" w:sz="6" w:space="0"/>
              <w:left w:val="nil"/>
              <w:bottom w:val="double" w:color="auto" w:sz="6" w:space="0"/>
              <w:right w:val="single" w:color="auto" w:sz="4" w:space="0"/>
            </w:tcBorders>
          </w:tcPr>
          <w:p>
            <w:pPr>
              <w:rPr>
                <w:sz w:val="22"/>
              </w:rPr>
            </w:pPr>
            <w:r>
              <w:rPr>
                <w:rFonts w:hint="eastAsia"/>
                <w:sz w:val="22"/>
              </w:rPr>
              <w:t>陈钰</w:t>
            </w:r>
            <w:r>
              <w:rPr>
                <w:sz w:val="22"/>
              </w:rPr>
              <w:t>锋</w:t>
            </w:r>
          </w:p>
        </w:tc>
        <w:tc>
          <w:tcPr>
            <w:tcW w:w="1035" w:type="dxa"/>
            <w:tcBorders>
              <w:top w:val="double" w:color="auto" w:sz="6" w:space="0"/>
              <w:left w:val="nil"/>
              <w:bottom w:val="double" w:color="auto" w:sz="6" w:space="0"/>
              <w:right w:val="single" w:color="auto" w:sz="4" w:space="0"/>
            </w:tcBorders>
          </w:tcPr>
          <w:p>
            <w:pPr>
              <w:rPr>
                <w:rFonts w:hint="eastAsia" w:eastAsia="宋体"/>
                <w:lang w:val="en-US" w:eastAsia="zh-CN"/>
              </w:rPr>
            </w:pPr>
            <w:r>
              <w:rPr>
                <w:rFonts w:hint="eastAsia"/>
                <w:lang w:val="en-US" w:eastAsia="zh-CN"/>
              </w:rPr>
              <w:t>张亮</w:t>
            </w:r>
          </w:p>
        </w:tc>
        <w:tc>
          <w:tcPr>
            <w:tcW w:w="2951" w:type="dxa"/>
            <w:tcBorders>
              <w:top w:val="double" w:color="auto" w:sz="6" w:space="0"/>
              <w:left w:val="nil"/>
              <w:bottom w:val="double" w:color="auto" w:sz="6" w:space="0"/>
              <w:right w:val="double" w:color="auto" w:sz="12" w:space="0"/>
            </w:tcBorders>
          </w:tcPr>
          <w:p>
            <w:r>
              <w:rPr>
                <w:rFonts w:hint="eastAsia"/>
              </w:rPr>
              <w:t>新建文档</w:t>
            </w:r>
          </w:p>
        </w:tc>
      </w:tr>
      <w:tr>
        <w:tblPrEx>
          <w:tblCellMar>
            <w:top w:w="0" w:type="dxa"/>
            <w:left w:w="108" w:type="dxa"/>
            <w:bottom w:w="0" w:type="dxa"/>
            <w:right w:w="108" w:type="dxa"/>
          </w:tblCellMar>
        </w:tblPrEx>
        <w:trPr>
          <w:cantSplit/>
        </w:trPr>
        <w:tc>
          <w:tcPr>
            <w:tcW w:w="1260" w:type="dxa"/>
            <w:tcBorders>
              <w:top w:val="double" w:color="auto" w:sz="6" w:space="0"/>
              <w:left w:val="double" w:color="auto" w:sz="12" w:space="0"/>
              <w:bottom w:val="double" w:color="auto" w:sz="6" w:space="0"/>
              <w:right w:val="single" w:color="auto" w:sz="4" w:space="0"/>
            </w:tcBorders>
          </w:tcPr>
          <w:p>
            <w:pPr>
              <w:rPr>
                <w:rFonts w:hint="default" w:eastAsia="宋体"/>
                <w:lang w:val="en-US" w:eastAsia="zh-CN"/>
              </w:rPr>
            </w:pPr>
            <w:r>
              <w:rPr>
                <w:rFonts w:hint="eastAsia"/>
              </w:rPr>
              <w:t>V1.0</w:t>
            </w:r>
            <w:r>
              <w:rPr>
                <w:rFonts w:hint="eastAsia"/>
                <w:lang w:val="en-US" w:eastAsia="zh-CN"/>
              </w:rPr>
              <w:t>.1</w:t>
            </w:r>
          </w:p>
        </w:tc>
        <w:tc>
          <w:tcPr>
            <w:tcW w:w="1620" w:type="dxa"/>
            <w:tcBorders>
              <w:top w:val="double" w:color="auto" w:sz="6" w:space="0"/>
              <w:left w:val="nil"/>
              <w:bottom w:val="double" w:color="auto" w:sz="6" w:space="0"/>
              <w:right w:val="single" w:color="auto" w:sz="4" w:space="0"/>
            </w:tcBorders>
          </w:tcPr>
          <w:p>
            <w:pPr>
              <w:rPr>
                <w:rFonts w:hint="default"/>
                <w:lang w:val="en-US"/>
              </w:rPr>
            </w:pPr>
            <w:r>
              <w:rPr>
                <w:rFonts w:hint="eastAsia"/>
              </w:rPr>
              <w:t>20</w:t>
            </w:r>
            <w:r>
              <w:rPr>
                <w:rFonts w:hint="eastAsia"/>
                <w:lang w:val="en-US" w:eastAsia="zh-CN"/>
              </w:rPr>
              <w:t>23</w:t>
            </w:r>
            <w:r>
              <w:rPr>
                <w:rFonts w:hint="eastAsia"/>
              </w:rPr>
              <w:t>/</w:t>
            </w:r>
            <w:r>
              <w:rPr>
                <w:rFonts w:hint="eastAsia"/>
                <w:lang w:val="en-US" w:eastAsia="zh-CN"/>
              </w:rPr>
              <w:t>7/20</w:t>
            </w:r>
          </w:p>
        </w:tc>
        <w:tc>
          <w:tcPr>
            <w:tcW w:w="1453" w:type="dxa"/>
            <w:tcBorders>
              <w:top w:val="double" w:color="auto" w:sz="6" w:space="0"/>
              <w:left w:val="nil"/>
              <w:bottom w:val="double" w:color="auto" w:sz="6" w:space="0"/>
              <w:right w:val="single" w:color="auto" w:sz="4" w:space="0"/>
            </w:tcBorders>
          </w:tcPr>
          <w:p>
            <w:pPr>
              <w:rPr>
                <w:rFonts w:hint="eastAsia"/>
                <w:sz w:val="22"/>
              </w:rPr>
            </w:pPr>
          </w:p>
        </w:tc>
        <w:tc>
          <w:tcPr>
            <w:tcW w:w="1035" w:type="dxa"/>
            <w:tcBorders>
              <w:top w:val="double" w:color="auto" w:sz="6" w:space="0"/>
              <w:left w:val="nil"/>
              <w:bottom w:val="double" w:color="auto" w:sz="6" w:space="0"/>
              <w:right w:val="single" w:color="auto" w:sz="4" w:space="0"/>
            </w:tcBorders>
          </w:tcPr>
          <w:p>
            <w:pPr>
              <w:rPr>
                <w:rFonts w:hint="eastAsia"/>
                <w:lang w:val="en-US" w:eastAsia="zh-CN"/>
              </w:rPr>
            </w:pPr>
          </w:p>
        </w:tc>
        <w:tc>
          <w:tcPr>
            <w:tcW w:w="2951" w:type="dxa"/>
            <w:tcBorders>
              <w:top w:val="double" w:color="auto" w:sz="6" w:space="0"/>
              <w:left w:val="nil"/>
              <w:bottom w:val="double" w:color="auto" w:sz="6" w:space="0"/>
              <w:right w:val="double" w:color="auto" w:sz="12" w:space="0"/>
            </w:tcBorders>
          </w:tcPr>
          <w:p>
            <w:pPr>
              <w:rPr>
                <w:rFonts w:hint="default" w:eastAsia="宋体"/>
                <w:lang w:val="en-US" w:eastAsia="zh-CN"/>
              </w:rPr>
            </w:pPr>
            <w:r>
              <w:rPr>
                <w:rFonts w:hint="eastAsia"/>
                <w:lang w:val="en-US" w:eastAsia="zh-CN"/>
              </w:rPr>
              <w:t>补充营业员受理操作内容</w:t>
            </w:r>
          </w:p>
        </w:tc>
      </w:tr>
      <w:tr>
        <w:tblPrEx>
          <w:tblCellMar>
            <w:top w:w="0" w:type="dxa"/>
            <w:left w:w="108" w:type="dxa"/>
            <w:bottom w:w="0" w:type="dxa"/>
            <w:right w:w="108" w:type="dxa"/>
          </w:tblCellMar>
        </w:tblPrEx>
        <w:trPr>
          <w:cantSplit/>
        </w:trPr>
        <w:tc>
          <w:tcPr>
            <w:tcW w:w="1260" w:type="dxa"/>
            <w:tcBorders>
              <w:top w:val="double" w:color="auto" w:sz="6" w:space="0"/>
              <w:left w:val="double" w:color="auto" w:sz="12" w:space="0"/>
              <w:bottom w:val="double" w:color="auto" w:sz="6" w:space="0"/>
              <w:right w:val="single" w:color="auto" w:sz="4" w:space="0"/>
            </w:tcBorders>
          </w:tcPr>
          <w:p>
            <w:pPr>
              <w:rPr>
                <w:rFonts w:hint="default"/>
                <w:lang w:val="en-US"/>
              </w:rPr>
            </w:pPr>
            <w:r>
              <w:rPr>
                <w:rFonts w:hint="eastAsia"/>
              </w:rPr>
              <w:t>V1.0</w:t>
            </w:r>
            <w:r>
              <w:rPr>
                <w:rFonts w:hint="eastAsia"/>
                <w:lang w:val="en-US" w:eastAsia="zh-CN"/>
              </w:rPr>
              <w:t>.2</w:t>
            </w:r>
          </w:p>
        </w:tc>
        <w:tc>
          <w:tcPr>
            <w:tcW w:w="1620" w:type="dxa"/>
            <w:tcBorders>
              <w:top w:val="double" w:color="auto" w:sz="6" w:space="0"/>
              <w:left w:val="nil"/>
              <w:bottom w:val="double" w:color="auto" w:sz="6" w:space="0"/>
              <w:right w:val="single" w:color="auto" w:sz="4" w:space="0"/>
            </w:tcBorders>
          </w:tcPr>
          <w:p>
            <w:pPr>
              <w:rPr>
                <w:rFonts w:hint="default"/>
                <w:lang w:val="en-US"/>
              </w:rPr>
            </w:pPr>
            <w:r>
              <w:rPr>
                <w:rFonts w:hint="eastAsia"/>
              </w:rPr>
              <w:t>20</w:t>
            </w:r>
            <w:r>
              <w:rPr>
                <w:rFonts w:hint="eastAsia"/>
                <w:lang w:val="en-US" w:eastAsia="zh-CN"/>
              </w:rPr>
              <w:t>23</w:t>
            </w:r>
            <w:r>
              <w:rPr>
                <w:rFonts w:hint="eastAsia"/>
              </w:rPr>
              <w:t>/</w:t>
            </w:r>
            <w:r>
              <w:rPr>
                <w:rFonts w:hint="eastAsia"/>
                <w:lang w:val="en-US" w:eastAsia="zh-CN"/>
              </w:rPr>
              <w:t>11/9</w:t>
            </w:r>
          </w:p>
        </w:tc>
        <w:tc>
          <w:tcPr>
            <w:tcW w:w="1453" w:type="dxa"/>
            <w:tcBorders>
              <w:top w:val="double" w:color="auto" w:sz="6" w:space="0"/>
              <w:left w:val="nil"/>
              <w:bottom w:val="double" w:color="auto" w:sz="6" w:space="0"/>
              <w:right w:val="single" w:color="auto" w:sz="4" w:space="0"/>
            </w:tcBorders>
          </w:tcPr>
          <w:p>
            <w:pPr>
              <w:rPr>
                <w:rFonts w:hint="eastAsia"/>
                <w:sz w:val="22"/>
              </w:rPr>
            </w:pPr>
          </w:p>
        </w:tc>
        <w:tc>
          <w:tcPr>
            <w:tcW w:w="1035" w:type="dxa"/>
            <w:tcBorders>
              <w:top w:val="double" w:color="auto" w:sz="6" w:space="0"/>
              <w:left w:val="nil"/>
              <w:bottom w:val="double" w:color="auto" w:sz="6" w:space="0"/>
              <w:right w:val="single" w:color="auto" w:sz="4" w:space="0"/>
            </w:tcBorders>
          </w:tcPr>
          <w:p>
            <w:pPr>
              <w:rPr>
                <w:rFonts w:hint="eastAsia"/>
                <w:lang w:val="en-US" w:eastAsia="zh-CN"/>
              </w:rPr>
            </w:pPr>
          </w:p>
        </w:tc>
        <w:tc>
          <w:tcPr>
            <w:tcW w:w="2951" w:type="dxa"/>
            <w:tcBorders>
              <w:top w:val="double" w:color="auto" w:sz="6" w:space="0"/>
              <w:left w:val="nil"/>
              <w:bottom w:val="double" w:color="auto" w:sz="6" w:space="0"/>
              <w:right w:val="double" w:color="auto" w:sz="12" w:space="0"/>
            </w:tcBorders>
          </w:tcPr>
          <w:p>
            <w:pPr>
              <w:rPr>
                <w:rFonts w:hint="default"/>
                <w:lang w:val="en-US" w:eastAsia="zh-CN"/>
              </w:rPr>
            </w:pPr>
            <w:r>
              <w:rPr>
                <w:rFonts w:hint="eastAsia"/>
                <w:lang w:val="en-US" w:eastAsia="zh-CN"/>
              </w:rPr>
              <w:t>补充业务概述</w:t>
            </w:r>
          </w:p>
        </w:tc>
      </w:tr>
      <w:tr>
        <w:tblPrEx>
          <w:tblCellMar>
            <w:top w:w="0" w:type="dxa"/>
            <w:left w:w="108" w:type="dxa"/>
            <w:bottom w:w="0" w:type="dxa"/>
            <w:right w:w="108" w:type="dxa"/>
          </w:tblCellMar>
        </w:tblPrEx>
        <w:trPr>
          <w:cantSplit/>
        </w:trPr>
        <w:tc>
          <w:tcPr>
            <w:tcW w:w="1260" w:type="dxa"/>
            <w:tcBorders>
              <w:top w:val="double" w:color="auto" w:sz="6" w:space="0"/>
              <w:left w:val="double" w:color="auto" w:sz="12" w:space="0"/>
              <w:bottom w:val="double" w:color="auto" w:sz="6" w:space="0"/>
              <w:right w:val="single" w:color="auto" w:sz="4" w:space="0"/>
            </w:tcBorders>
          </w:tcPr>
          <w:p>
            <w:pPr>
              <w:rPr>
                <w:rFonts w:hint="eastAsia"/>
              </w:rPr>
            </w:pPr>
            <w:r>
              <w:rPr>
                <w:rFonts w:hint="eastAsia"/>
              </w:rPr>
              <w:t>V1.0</w:t>
            </w:r>
            <w:r>
              <w:rPr>
                <w:rFonts w:hint="eastAsia"/>
                <w:lang w:val="en-US" w:eastAsia="zh-CN"/>
              </w:rPr>
              <w:t>.2</w:t>
            </w:r>
          </w:p>
        </w:tc>
        <w:tc>
          <w:tcPr>
            <w:tcW w:w="1620" w:type="dxa"/>
            <w:tcBorders>
              <w:top w:val="double" w:color="auto" w:sz="6" w:space="0"/>
              <w:left w:val="nil"/>
              <w:bottom w:val="double" w:color="auto" w:sz="6" w:space="0"/>
              <w:right w:val="single" w:color="auto" w:sz="4" w:space="0"/>
            </w:tcBorders>
          </w:tcPr>
          <w:p>
            <w:pPr>
              <w:rPr>
                <w:rFonts w:hint="default"/>
                <w:lang w:val="en-US"/>
              </w:rPr>
            </w:pPr>
            <w:r>
              <w:rPr>
                <w:rFonts w:hint="eastAsia"/>
              </w:rPr>
              <w:t>20</w:t>
            </w:r>
            <w:r>
              <w:rPr>
                <w:rFonts w:hint="eastAsia"/>
                <w:lang w:val="en-US" w:eastAsia="zh-CN"/>
              </w:rPr>
              <w:t>23</w:t>
            </w:r>
            <w:r>
              <w:rPr>
                <w:rFonts w:hint="eastAsia"/>
              </w:rPr>
              <w:t>/</w:t>
            </w:r>
            <w:r>
              <w:rPr>
                <w:rFonts w:hint="eastAsia"/>
                <w:lang w:val="en-US" w:eastAsia="zh-CN"/>
              </w:rPr>
              <w:t>12/14</w:t>
            </w:r>
            <w:bookmarkStart w:id="4" w:name="_GoBack"/>
            <w:bookmarkEnd w:id="4"/>
          </w:p>
        </w:tc>
        <w:tc>
          <w:tcPr>
            <w:tcW w:w="1453" w:type="dxa"/>
            <w:tcBorders>
              <w:top w:val="double" w:color="auto" w:sz="6" w:space="0"/>
              <w:left w:val="nil"/>
              <w:bottom w:val="double" w:color="auto" w:sz="6" w:space="0"/>
              <w:right w:val="single" w:color="auto" w:sz="4" w:space="0"/>
            </w:tcBorders>
          </w:tcPr>
          <w:p>
            <w:pPr>
              <w:rPr>
                <w:rFonts w:hint="eastAsia"/>
                <w:sz w:val="22"/>
              </w:rPr>
            </w:pPr>
          </w:p>
        </w:tc>
        <w:tc>
          <w:tcPr>
            <w:tcW w:w="1035" w:type="dxa"/>
            <w:tcBorders>
              <w:top w:val="double" w:color="auto" w:sz="6" w:space="0"/>
              <w:left w:val="nil"/>
              <w:bottom w:val="double" w:color="auto" w:sz="6" w:space="0"/>
              <w:right w:val="single" w:color="auto" w:sz="4" w:space="0"/>
            </w:tcBorders>
          </w:tcPr>
          <w:p>
            <w:pPr>
              <w:rPr>
                <w:rFonts w:hint="eastAsia"/>
                <w:lang w:val="en-US" w:eastAsia="zh-CN"/>
              </w:rPr>
            </w:pPr>
          </w:p>
        </w:tc>
        <w:tc>
          <w:tcPr>
            <w:tcW w:w="2951" w:type="dxa"/>
            <w:tcBorders>
              <w:top w:val="double" w:color="auto" w:sz="6" w:space="0"/>
              <w:left w:val="nil"/>
              <w:bottom w:val="double" w:color="auto" w:sz="6" w:space="0"/>
              <w:right w:val="double" w:color="auto" w:sz="12" w:space="0"/>
            </w:tcBorders>
          </w:tcPr>
          <w:p>
            <w:pPr>
              <w:pStyle w:val="5"/>
              <w:bidi w:val="0"/>
              <w:rPr>
                <w:rFonts w:hint="default"/>
                <w:lang w:val="en-US" w:eastAsia="zh-CN"/>
              </w:rPr>
            </w:pPr>
            <w:r>
              <w:rPr>
                <w:rFonts w:hint="eastAsia" w:ascii="Calibri" w:hAnsi="Calibri" w:eastAsia="宋体" w:cs="Times New Roman"/>
                <w:b w:val="0"/>
                <w:bCs w:val="0"/>
                <w:kern w:val="2"/>
                <w:sz w:val="21"/>
                <w:szCs w:val="22"/>
                <w:lang w:val="en-US" w:eastAsia="zh-CN" w:bidi="ar-SA"/>
              </w:rPr>
              <w:t>章节“5.选择账户”有更新</w:t>
            </w:r>
          </w:p>
        </w:tc>
      </w:tr>
    </w:tbl>
    <w:p>
      <w:pPr>
        <w:widowControl/>
        <w:spacing w:line="300" w:lineRule="auto"/>
        <w:jc w:val="left"/>
      </w:pPr>
    </w:p>
    <w:p>
      <w:pPr>
        <w:widowControl/>
        <w:spacing w:line="300" w:lineRule="auto"/>
        <w:jc w:val="left"/>
      </w:pPr>
    </w:p>
    <w:bookmarkEnd w:id="0"/>
    <w:p>
      <w:pPr>
        <w:pStyle w:val="2"/>
        <w:jc w:val="center"/>
        <w:rPr>
          <w:sz w:val="36"/>
        </w:rPr>
      </w:pPr>
      <w:bookmarkStart w:id="1" w:name="_Toc521341272"/>
      <w:r>
        <w:rPr>
          <w:rFonts w:hint="eastAsia"/>
          <w:sz w:val="36"/>
          <w:lang w:val="en-US" w:eastAsia="zh-CN"/>
        </w:rPr>
        <w:t>CMIOT开卡电子受理</w:t>
      </w:r>
      <w:r>
        <w:rPr>
          <w:rFonts w:hint="eastAsia"/>
          <w:sz w:val="36"/>
        </w:rPr>
        <w:t>流程</w:t>
      </w:r>
      <w:bookmarkEnd w:id="1"/>
    </w:p>
    <w:p>
      <w:pPr>
        <w:pStyle w:val="3"/>
        <w:bidi w:val="0"/>
      </w:pPr>
      <w:bookmarkStart w:id="2" w:name="_Toc521341274"/>
      <w:r>
        <w:rPr>
          <w:rFonts w:hint="eastAsia"/>
        </w:rPr>
        <w:t>受理入口</w:t>
      </w:r>
      <w:bookmarkEnd w:id="2"/>
    </w:p>
    <w:p>
      <w:pPr>
        <w:spacing w:line="300" w:lineRule="auto"/>
        <w:ind w:firstLine="420" w:firstLineChars="200"/>
        <w:rPr>
          <w:rFonts w:hint="eastAsia"/>
          <w:szCs w:val="32"/>
          <w:lang w:val="en-US" w:eastAsia="zh-CN"/>
        </w:rPr>
      </w:pPr>
      <w:r>
        <w:rPr>
          <w:rFonts w:hint="eastAsia"/>
          <w:szCs w:val="32"/>
          <w:lang w:val="en-US" w:eastAsia="zh-CN"/>
        </w:rPr>
        <w:t>登录业务大厅系统http://hall.yw.zj.chinamobile.com/，选择菜单“业务开通”</w:t>
      </w:r>
    </w:p>
    <w:p>
      <w:pPr>
        <w:spacing w:line="300" w:lineRule="auto"/>
        <w:ind w:firstLine="420" w:firstLineChars="200"/>
        <w:rPr>
          <w:rFonts w:hint="default"/>
          <w:szCs w:val="32"/>
          <w:lang w:val="en-US" w:eastAsia="zh-CN"/>
        </w:rPr>
      </w:pPr>
      <w:r>
        <w:drawing>
          <wp:inline distT="0" distB="0" distL="114300" distR="114300">
            <wp:extent cx="5272405" cy="2954655"/>
            <wp:effectExtent l="0" t="0" r="444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2405" cy="2954655"/>
                    </a:xfrm>
                    <a:prstGeom prst="rect">
                      <a:avLst/>
                    </a:prstGeom>
                    <a:noFill/>
                    <a:ln>
                      <a:noFill/>
                    </a:ln>
                  </pic:spPr>
                </pic:pic>
              </a:graphicData>
            </a:graphic>
          </wp:inline>
        </w:drawing>
      </w:r>
    </w:p>
    <w:p>
      <w:pPr>
        <w:spacing w:line="300" w:lineRule="auto"/>
        <w:ind w:firstLine="420" w:firstLineChars="200"/>
        <w:rPr>
          <w:rFonts w:hint="default"/>
          <w:szCs w:val="32"/>
          <w:lang w:val="en-US" w:eastAsia="zh-CN"/>
        </w:rPr>
      </w:pPr>
      <w:r>
        <w:drawing>
          <wp:inline distT="0" distB="0" distL="114300" distR="114300">
            <wp:extent cx="5267960" cy="2392045"/>
            <wp:effectExtent l="0" t="0" r="8890" b="825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
                    <a:stretch>
                      <a:fillRect/>
                    </a:stretch>
                  </pic:blipFill>
                  <pic:spPr>
                    <a:xfrm>
                      <a:off x="0" y="0"/>
                      <a:ext cx="5267960" cy="2392045"/>
                    </a:xfrm>
                    <a:prstGeom prst="rect">
                      <a:avLst/>
                    </a:prstGeom>
                    <a:noFill/>
                    <a:ln>
                      <a:noFill/>
                    </a:ln>
                  </pic:spPr>
                </pic:pic>
              </a:graphicData>
            </a:graphic>
          </wp:inline>
        </w:drawing>
      </w:r>
    </w:p>
    <w:p>
      <w:pPr>
        <w:spacing w:line="300" w:lineRule="auto"/>
        <w:jc w:val="center"/>
        <w:rPr>
          <w:sz w:val="28"/>
          <w:szCs w:val="28"/>
        </w:rPr>
      </w:pPr>
    </w:p>
    <w:p>
      <w:pPr>
        <w:pStyle w:val="3"/>
        <w:bidi w:val="0"/>
        <w:rPr>
          <w:rFonts w:hint="eastAsia"/>
          <w:lang w:val="en-US" w:eastAsia="zh-CN"/>
        </w:rPr>
      </w:pPr>
      <w:r>
        <w:rPr>
          <w:rFonts w:hint="eastAsia"/>
          <w:lang w:val="en-US" w:eastAsia="zh-CN"/>
        </w:rPr>
        <w:t>业务概述</w:t>
      </w:r>
    </w:p>
    <w:p>
      <w:pPr>
        <w:rPr>
          <w:rFonts w:hint="eastAsia"/>
          <w:lang w:val="en-US" w:eastAsia="zh-CN"/>
        </w:rPr>
      </w:pPr>
      <w:r>
        <w:rPr>
          <w:rFonts w:hint="eastAsia"/>
          <w:lang w:val="en-US" w:eastAsia="zh-CN"/>
        </w:rPr>
        <w:t>本文档提供CMIOT开卡电子协议受理流程的操作手册</w:t>
      </w:r>
    </w:p>
    <w:p>
      <w:pPr>
        <w:rPr>
          <w:rFonts w:hint="eastAsia"/>
          <w:lang w:val="en-US" w:eastAsia="zh-CN"/>
        </w:rPr>
      </w:pPr>
    </w:p>
    <w:p>
      <w:pPr>
        <w:rPr>
          <w:rFonts w:hint="default"/>
          <w:b/>
          <w:bCs/>
          <w:color w:val="FF0000"/>
          <w:lang w:val="en-US" w:eastAsia="zh-CN"/>
        </w:rPr>
      </w:pPr>
      <w:r>
        <w:rPr>
          <w:rFonts w:hint="eastAsia"/>
          <w:b/>
          <w:bCs/>
          <w:color w:val="FF0000"/>
          <w:lang w:val="en-US" w:eastAsia="zh-CN"/>
        </w:rPr>
        <w:t>（一）开卡前准备工作</w:t>
      </w:r>
    </w:p>
    <w:p>
      <w:pPr>
        <w:rPr>
          <w:rFonts w:hint="eastAsia"/>
          <w:lang w:val="en-US" w:eastAsia="zh-CN"/>
        </w:rPr>
      </w:pPr>
      <w:r>
        <w:rPr>
          <w:rFonts w:hint="eastAsia"/>
          <w:lang w:val="en-US" w:eastAsia="zh-CN"/>
        </w:rPr>
        <w:t>客户经理在开卡提单前，可以完成如下操作：</w:t>
      </w:r>
    </w:p>
    <w:p>
      <w:pPr>
        <w:rPr>
          <w:rFonts w:hint="eastAsia"/>
          <w:lang w:val="en-US" w:eastAsia="zh-CN"/>
        </w:rPr>
      </w:pPr>
    </w:p>
    <w:p>
      <w:pPr>
        <w:numPr>
          <w:ilvl w:val="0"/>
          <w:numId w:val="1"/>
        </w:numPr>
        <w:rPr>
          <w:rFonts w:hint="eastAsia"/>
          <w:b/>
          <w:bCs/>
          <w:lang w:val="en-US" w:eastAsia="zh-CN"/>
        </w:rPr>
      </w:pPr>
      <w:r>
        <w:rPr>
          <w:rFonts w:hint="eastAsia"/>
          <w:b/>
          <w:bCs/>
          <w:lang w:val="en-US" w:eastAsia="zh-CN"/>
        </w:rPr>
        <w:t>入网</w:t>
      </w:r>
      <w:r>
        <w:rPr>
          <w:rFonts w:hint="default"/>
          <w:b/>
          <w:bCs/>
          <w:lang w:val="en-US" w:eastAsia="zh-CN"/>
        </w:rPr>
        <w:t>资质审核</w:t>
      </w:r>
      <w:r>
        <w:rPr>
          <w:rFonts w:hint="eastAsia"/>
          <w:b/>
          <w:bCs/>
          <w:lang w:val="en-US" w:eastAsia="zh-CN"/>
        </w:rPr>
        <w:t>（必做）</w:t>
      </w:r>
    </w:p>
    <w:p>
      <w:pPr>
        <w:numPr>
          <w:ilvl w:val="0"/>
          <w:numId w:val="0"/>
        </w:numPr>
        <w:rPr>
          <w:rFonts w:hint="eastAsia"/>
          <w:lang w:val="en-US" w:eastAsia="zh-CN"/>
        </w:rPr>
      </w:pPr>
      <w:r>
        <w:rPr>
          <w:rFonts w:hint="eastAsia"/>
          <w:lang w:val="en-US" w:eastAsia="zh-CN"/>
        </w:rPr>
        <w:t>为</w:t>
      </w:r>
      <w:r>
        <w:rPr>
          <w:rFonts w:hint="default"/>
          <w:lang w:val="en-US" w:eastAsia="zh-CN"/>
        </w:rPr>
        <w:t>办理物联网卡的集团客户完成入网资质审核</w:t>
      </w:r>
      <w:r>
        <w:rPr>
          <w:rFonts w:hint="eastAsia"/>
          <w:lang w:val="en-US" w:eastAsia="zh-CN"/>
        </w:rPr>
        <w:t>，</w:t>
      </w:r>
    </w:p>
    <w:p>
      <w:pPr>
        <w:numPr>
          <w:ilvl w:val="0"/>
          <w:numId w:val="2"/>
        </w:numPr>
        <w:rPr>
          <w:rFonts w:hint="eastAsia"/>
          <w:lang w:val="en-US" w:eastAsia="zh-CN"/>
        </w:rPr>
      </w:pPr>
      <w:r>
        <w:rPr>
          <w:rFonts w:hint="eastAsia"/>
          <w:lang w:val="en-US" w:eastAsia="zh-CN"/>
        </w:rPr>
        <w:t>如未办理过资质审核，可以通过网格通APP完成线上采集，操作入口：网格通APP，菜单：物联网入网资料管理；</w:t>
      </w:r>
    </w:p>
    <w:p>
      <w:pPr>
        <w:numPr>
          <w:ilvl w:val="0"/>
          <w:numId w:val="2"/>
        </w:numPr>
        <w:ind w:left="0" w:leftChars="0" w:firstLine="0" w:firstLineChars="0"/>
        <w:rPr>
          <w:rFonts w:hint="default"/>
          <w:lang w:val="en-US" w:eastAsia="zh-CN"/>
        </w:rPr>
      </w:pPr>
      <w:r>
        <w:rPr>
          <w:rFonts w:hint="eastAsia"/>
          <w:lang w:val="en-US" w:eastAsia="zh-CN"/>
        </w:rPr>
        <w:t>如前期已经做过资质审核，则开卡提单时可以直接使用；</w:t>
      </w:r>
    </w:p>
    <w:p>
      <w:pPr>
        <w:numPr>
          <w:ilvl w:val="0"/>
          <w:numId w:val="0"/>
        </w:numPr>
        <w:ind w:leftChars="0"/>
        <w:rPr>
          <w:rFonts w:hint="default"/>
          <w:lang w:val="en-US" w:eastAsia="zh-CN"/>
        </w:rPr>
      </w:pPr>
    </w:p>
    <w:p>
      <w:pPr>
        <w:numPr>
          <w:ilvl w:val="0"/>
          <w:numId w:val="1"/>
        </w:numPr>
        <w:rPr>
          <w:rFonts w:hint="eastAsia"/>
          <w:b/>
          <w:bCs/>
          <w:lang w:val="en-US" w:eastAsia="zh-CN"/>
        </w:rPr>
      </w:pPr>
      <w:r>
        <w:rPr>
          <w:rFonts w:hint="eastAsia"/>
          <w:b/>
          <w:bCs/>
          <w:lang w:val="en-US" w:eastAsia="zh-CN"/>
        </w:rPr>
        <w:t>集团建档（必做）</w:t>
      </w:r>
    </w:p>
    <w:p>
      <w:pPr>
        <w:numPr>
          <w:ilvl w:val="0"/>
          <w:numId w:val="0"/>
        </w:numPr>
        <w:rPr>
          <w:rFonts w:hint="default"/>
          <w:b/>
          <w:bCs/>
          <w:lang w:val="en-US" w:eastAsia="zh-CN"/>
        </w:rPr>
      </w:pPr>
    </w:p>
    <w:p>
      <w:pPr>
        <w:numPr>
          <w:ilvl w:val="0"/>
          <w:numId w:val="3"/>
        </w:numPr>
        <w:rPr>
          <w:rFonts w:hint="default"/>
          <w:b w:val="0"/>
          <w:bCs w:val="0"/>
          <w:lang w:val="en-US" w:eastAsia="zh-CN"/>
        </w:rPr>
      </w:pPr>
      <w:r>
        <w:rPr>
          <w:rFonts w:hint="eastAsia"/>
          <w:b w:val="0"/>
          <w:bCs w:val="0"/>
          <w:lang w:val="en-US" w:eastAsia="zh-CN"/>
        </w:rPr>
        <w:t>如存量客户、且已经完成CMIOT集团建档，则直接进入开卡环节。</w:t>
      </w:r>
    </w:p>
    <w:p>
      <w:pPr>
        <w:numPr>
          <w:ilvl w:val="0"/>
          <w:numId w:val="3"/>
        </w:numPr>
        <w:rPr>
          <w:rFonts w:hint="default"/>
          <w:b w:val="0"/>
          <w:bCs w:val="0"/>
          <w:lang w:val="en-US" w:eastAsia="zh-CN"/>
        </w:rPr>
      </w:pPr>
      <w:r>
        <w:rPr>
          <w:rFonts w:hint="eastAsia"/>
          <w:b w:val="0"/>
          <w:bCs w:val="0"/>
          <w:lang w:val="en-US" w:eastAsia="zh-CN"/>
        </w:rPr>
        <w:t>如存量客户、但尚未完成CMIOT集团建档，则可通过CMIOT系统前台菜单完成客户信息同步。</w:t>
      </w:r>
    </w:p>
    <w:p>
      <w:pPr>
        <w:numPr>
          <w:ilvl w:val="0"/>
          <w:numId w:val="3"/>
        </w:numPr>
        <w:rPr>
          <w:rFonts w:hint="default"/>
          <w:b w:val="0"/>
          <w:bCs w:val="0"/>
          <w:lang w:val="en-US" w:eastAsia="zh-CN"/>
        </w:rPr>
      </w:pPr>
      <w:r>
        <w:rPr>
          <w:rFonts w:hint="eastAsia"/>
          <w:b w:val="0"/>
          <w:bCs w:val="0"/>
          <w:lang w:val="en-US" w:eastAsia="zh-CN"/>
        </w:rPr>
        <w:t>如新客户、未完成CMIOT集团建档，则可以通过本省业务大厅系统完成CMIOT集团建档。</w:t>
      </w:r>
    </w:p>
    <w:p>
      <w:pPr>
        <w:numPr>
          <w:ilvl w:val="0"/>
          <w:numId w:val="0"/>
        </w:numPr>
        <w:rPr>
          <w:rFonts w:hint="default"/>
          <w:b/>
          <w:bCs/>
          <w:lang w:val="en-US" w:eastAsia="zh-CN"/>
        </w:rPr>
      </w:pPr>
    </w:p>
    <w:p>
      <w:pPr>
        <w:numPr>
          <w:ilvl w:val="0"/>
          <w:numId w:val="1"/>
        </w:numPr>
        <w:rPr>
          <w:rFonts w:hint="default"/>
          <w:b/>
          <w:bCs/>
          <w:lang w:val="en-US" w:eastAsia="zh-CN"/>
        </w:rPr>
      </w:pPr>
      <w:r>
        <w:rPr>
          <w:rFonts w:hint="eastAsia"/>
          <w:b/>
          <w:bCs/>
          <w:lang w:val="en-US" w:eastAsia="zh-CN"/>
        </w:rPr>
        <w:t>经办人/责任人实名认证（选做）</w:t>
      </w:r>
    </w:p>
    <w:p>
      <w:pPr>
        <w:numPr>
          <w:ilvl w:val="0"/>
          <w:numId w:val="0"/>
        </w:numPr>
        <w:rPr>
          <w:rFonts w:hint="eastAsia"/>
          <w:lang w:val="en-US" w:eastAsia="zh-CN"/>
        </w:rPr>
      </w:pPr>
      <w:r>
        <w:rPr>
          <w:rFonts w:hint="eastAsia"/>
          <w:lang w:val="en-US" w:eastAsia="zh-CN"/>
        </w:rPr>
        <w:t>实名认证有2种模式：</w:t>
      </w:r>
    </w:p>
    <w:p>
      <w:pPr>
        <w:numPr>
          <w:ilvl w:val="0"/>
          <w:numId w:val="0"/>
        </w:numPr>
        <w:rPr>
          <w:rFonts w:hint="eastAsia"/>
          <w:lang w:val="en-US" w:eastAsia="zh-CN"/>
        </w:rPr>
      </w:pPr>
      <w:r>
        <w:rPr>
          <w:rFonts w:hint="eastAsia"/>
          <w:lang w:val="en-US" w:eastAsia="zh-CN"/>
        </w:rPr>
        <w:t>1）客户经理在开卡提单前完成实名认证；</w:t>
      </w:r>
    </w:p>
    <w:p>
      <w:pPr>
        <w:numPr>
          <w:ilvl w:val="0"/>
          <w:numId w:val="0"/>
        </w:numPr>
        <w:rPr>
          <w:rFonts w:hint="default"/>
          <w:lang w:val="en-US" w:eastAsia="zh-CN"/>
        </w:rPr>
      </w:pPr>
      <w:r>
        <w:rPr>
          <w:rFonts w:hint="eastAsia"/>
          <w:lang w:val="en-US" w:eastAsia="zh-CN"/>
        </w:rPr>
        <w:t>2）客户经理开卡提单后，在营业员开卡环节完成实名认证</w:t>
      </w:r>
    </w:p>
    <w:p>
      <w:pPr>
        <w:numPr>
          <w:ilvl w:val="0"/>
          <w:numId w:val="0"/>
        </w:numPr>
        <w:rPr>
          <w:rFonts w:hint="default"/>
          <w:lang w:val="en-US" w:eastAsia="zh-CN"/>
        </w:rPr>
      </w:pPr>
    </w:p>
    <w:p>
      <w:pPr>
        <w:rPr>
          <w:rFonts w:hint="eastAsia"/>
          <w:lang w:val="en-US" w:eastAsia="zh-CN"/>
        </w:rPr>
      </w:pPr>
    </w:p>
    <w:p>
      <w:pPr>
        <w:rPr>
          <w:rFonts w:hint="default"/>
          <w:b/>
          <w:bCs/>
          <w:color w:val="FF0000"/>
          <w:lang w:val="en-US" w:eastAsia="zh-CN"/>
        </w:rPr>
      </w:pPr>
      <w:r>
        <w:rPr>
          <w:rFonts w:hint="eastAsia"/>
          <w:b/>
          <w:bCs/>
          <w:color w:val="FF0000"/>
          <w:lang w:val="en-US" w:eastAsia="zh-CN"/>
        </w:rPr>
        <w:t>（二）开卡工作</w:t>
      </w:r>
    </w:p>
    <w:p>
      <w:pPr>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开卡准备工作完成后，</w:t>
      </w:r>
      <w:r>
        <w:rPr>
          <w:rFonts w:hint="default"/>
          <w:lang w:val="en-US" w:eastAsia="zh-CN"/>
        </w:rPr>
        <w:t>，可以开始进行CMIOT开卡</w:t>
      </w:r>
      <w:r>
        <w:rPr>
          <w:rFonts w:hint="eastAsia"/>
          <w:lang w:val="en-US" w:eastAsia="zh-CN"/>
        </w:rPr>
        <w:t>电子受理（即CMIOT</w:t>
      </w:r>
      <w:r>
        <w:rPr>
          <w:rFonts w:hint="default"/>
          <w:lang w:val="en-US" w:eastAsia="zh-CN"/>
        </w:rPr>
        <w:t>预受理</w:t>
      </w:r>
      <w:r>
        <w:rPr>
          <w:rFonts w:hint="eastAsia"/>
          <w:lang w:val="en-US" w:eastAsia="zh-CN"/>
        </w:rPr>
        <w:t>）</w:t>
      </w:r>
      <w:r>
        <w:rPr>
          <w:rFonts w:hint="default"/>
          <w:lang w:val="en-US" w:eastAsia="zh-CN"/>
        </w:rPr>
        <w:t>。主要有以下</w:t>
      </w:r>
      <w:r>
        <w:rPr>
          <w:rFonts w:hint="eastAsia"/>
          <w:lang w:val="en-US" w:eastAsia="zh-CN"/>
        </w:rPr>
        <w:t>6</w:t>
      </w:r>
      <w:r>
        <w:rPr>
          <w:rFonts w:hint="default"/>
          <w:lang w:val="en-US" w:eastAsia="zh-CN"/>
        </w:rPr>
        <w:t>个流程环节：</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default"/>
          <w:b/>
          <w:bCs/>
          <w:lang w:val="en-US" w:eastAsia="zh-CN"/>
        </w:rPr>
        <w:t>1、</w:t>
      </w:r>
      <w:r>
        <w:rPr>
          <w:rFonts w:hint="eastAsia"/>
          <w:b/>
          <w:bCs/>
          <w:lang w:val="en-US" w:eastAsia="zh-CN"/>
        </w:rPr>
        <w:t>客户经理</w:t>
      </w:r>
      <w:r>
        <w:rPr>
          <w:rFonts w:hint="default"/>
          <w:b/>
          <w:bCs/>
          <w:lang w:val="en-US" w:eastAsia="zh-CN"/>
        </w:rPr>
        <w:t>提单：</w:t>
      </w:r>
    </w:p>
    <w:p>
      <w:pPr>
        <w:widowControl w:val="0"/>
        <w:numPr>
          <w:ilvl w:val="0"/>
          <w:numId w:val="0"/>
        </w:numPr>
        <w:jc w:val="both"/>
        <w:rPr>
          <w:rFonts w:hint="default"/>
          <w:lang w:val="en-US" w:eastAsia="zh-CN"/>
        </w:rPr>
      </w:pPr>
      <w:r>
        <w:rPr>
          <w:rFonts w:hint="default"/>
          <w:lang w:val="en-US" w:eastAsia="zh-CN"/>
        </w:rPr>
        <w:t>1）进入</w:t>
      </w:r>
      <w:r>
        <w:rPr>
          <w:rFonts w:hint="eastAsia"/>
          <w:lang w:val="en-US" w:eastAsia="zh-CN"/>
        </w:rPr>
        <w:t>业务开通</w:t>
      </w:r>
      <w:r>
        <w:rPr>
          <w:rFonts w:hint="default"/>
          <w:lang w:val="en-US" w:eastAsia="zh-CN"/>
        </w:rPr>
        <w:t>页面</w:t>
      </w:r>
      <w:r>
        <w:rPr>
          <w:rFonts w:hint="eastAsia"/>
          <w:i/>
          <w:iCs/>
          <w:lang w:val="en-US" w:eastAsia="zh-CN"/>
        </w:rPr>
        <w:t>（APP端页面名称是</w:t>
      </w:r>
      <w:r>
        <w:rPr>
          <w:rFonts w:hint="default"/>
          <w:i/>
          <w:iCs/>
          <w:lang w:val="en-US" w:eastAsia="zh-CN"/>
        </w:rPr>
        <w:t>产品新增</w:t>
      </w:r>
      <w:r>
        <w:rPr>
          <w:rFonts w:hint="eastAsia"/>
          <w:i/>
          <w:iCs/>
          <w:lang w:val="en-US" w:eastAsia="zh-CN"/>
        </w:rPr>
        <w:t>）</w:t>
      </w:r>
      <w:r>
        <w:rPr>
          <w:rFonts w:hint="default"/>
          <w:lang w:val="en-US" w:eastAsia="zh-CN"/>
        </w:rPr>
        <w:t>，选择CMIOT集团客户；</w:t>
      </w:r>
    </w:p>
    <w:p>
      <w:pPr>
        <w:widowControl w:val="0"/>
        <w:numPr>
          <w:ilvl w:val="0"/>
          <w:numId w:val="0"/>
        </w:numPr>
        <w:jc w:val="both"/>
        <w:rPr>
          <w:rFonts w:hint="default"/>
          <w:lang w:val="en-US" w:eastAsia="zh-CN"/>
        </w:rPr>
      </w:pPr>
      <w:r>
        <w:rPr>
          <w:rFonts w:hint="default"/>
          <w:lang w:val="en-US" w:eastAsia="zh-CN"/>
        </w:rPr>
        <w:t>2）选择CMIOT预受理套餐；</w:t>
      </w:r>
    </w:p>
    <w:p>
      <w:pPr>
        <w:widowControl w:val="0"/>
        <w:numPr>
          <w:ilvl w:val="0"/>
          <w:numId w:val="0"/>
        </w:numPr>
        <w:jc w:val="both"/>
        <w:rPr>
          <w:rFonts w:hint="default"/>
          <w:lang w:val="en-US" w:eastAsia="zh-CN"/>
        </w:rPr>
      </w:pPr>
      <w:r>
        <w:rPr>
          <w:rFonts w:hint="default"/>
          <w:lang w:val="en-US" w:eastAsia="zh-CN"/>
        </w:rPr>
        <w:t>3）填写商品及资费折扣信息；</w:t>
      </w:r>
    </w:p>
    <w:p>
      <w:pPr>
        <w:widowControl w:val="0"/>
        <w:numPr>
          <w:ilvl w:val="0"/>
          <w:numId w:val="0"/>
        </w:numPr>
        <w:jc w:val="both"/>
        <w:rPr>
          <w:rFonts w:hint="default"/>
          <w:lang w:val="en-US" w:eastAsia="zh-CN"/>
        </w:rPr>
      </w:pPr>
      <w:r>
        <w:rPr>
          <w:rFonts w:hint="default"/>
          <w:lang w:val="en-US" w:eastAsia="zh-CN"/>
        </w:rPr>
        <w:t>4）填写APN、安全管控要求等开卡信息；</w:t>
      </w:r>
    </w:p>
    <w:p>
      <w:pPr>
        <w:widowControl w:val="0"/>
        <w:numPr>
          <w:ilvl w:val="0"/>
          <w:numId w:val="0"/>
        </w:numPr>
        <w:jc w:val="both"/>
        <w:rPr>
          <w:rFonts w:hint="default"/>
          <w:lang w:val="en-US" w:eastAsia="zh-CN"/>
        </w:rPr>
      </w:pPr>
      <w:r>
        <w:rPr>
          <w:rFonts w:hint="default"/>
          <w:lang w:val="en-US" w:eastAsia="zh-CN"/>
        </w:rPr>
        <w:t>5）填写账户信息，以及经办人/责任人信息；</w:t>
      </w:r>
    </w:p>
    <w:p>
      <w:pPr>
        <w:widowControl w:val="0"/>
        <w:numPr>
          <w:ilvl w:val="0"/>
          <w:numId w:val="0"/>
        </w:numPr>
        <w:jc w:val="both"/>
        <w:rPr>
          <w:rFonts w:hint="default"/>
          <w:lang w:val="en-US" w:eastAsia="zh-CN"/>
        </w:rPr>
      </w:pPr>
      <w:r>
        <w:rPr>
          <w:rFonts w:hint="default"/>
          <w:lang w:val="en-US" w:eastAsia="zh-CN"/>
        </w:rPr>
        <w:t>6）检查入网资料附件是否上传成功，提交订单；（入网资料附件，在物联网入网资料管理页面录入后可自动带入）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default"/>
          <w:b/>
          <w:bCs/>
          <w:lang w:val="en-US" w:eastAsia="zh-CN"/>
        </w:rPr>
        <w:t>2、资费审批：</w:t>
      </w:r>
      <w:r>
        <w:rPr>
          <w:rFonts w:hint="eastAsia"/>
          <w:lang w:val="en-US" w:eastAsia="zh-CN"/>
        </w:rPr>
        <w:t>详见章节【三.资费审批】</w:t>
      </w:r>
    </w:p>
    <w:p>
      <w:pPr>
        <w:widowControl w:val="0"/>
        <w:numPr>
          <w:ilvl w:val="0"/>
          <w:numId w:val="0"/>
        </w:numPr>
        <w:jc w:val="both"/>
        <w:rPr>
          <w:rFonts w:hint="eastAsia"/>
          <w:lang w:val="en-US" w:eastAsia="zh-CN"/>
        </w:rPr>
      </w:pPr>
      <w:r>
        <w:rPr>
          <w:rFonts w:hint="eastAsia"/>
          <w:lang w:val="en-US" w:eastAsia="zh-CN"/>
        </w:rPr>
        <w:t>资费审批有3种类型：市公司管控资费、省公司管控资费、集团公司管控资费。</w:t>
      </w:r>
    </w:p>
    <w:p>
      <w:pPr>
        <w:widowControl w:val="0"/>
        <w:numPr>
          <w:ilvl w:val="0"/>
          <w:numId w:val="4"/>
        </w:numPr>
        <w:jc w:val="both"/>
        <w:rPr>
          <w:rFonts w:hint="default"/>
          <w:lang w:val="en-US" w:eastAsia="zh-CN"/>
        </w:rPr>
      </w:pPr>
      <w:r>
        <w:rPr>
          <w:rFonts w:hint="eastAsia"/>
          <w:b/>
          <w:bCs/>
          <w:lang w:val="en-US" w:eastAsia="zh-CN"/>
        </w:rPr>
        <w:t>市公司管控资费</w:t>
      </w:r>
      <w:r>
        <w:rPr>
          <w:rFonts w:hint="eastAsia"/>
          <w:lang w:val="en-US" w:eastAsia="zh-CN"/>
        </w:rPr>
        <w:t>：客户经理提单完成后，由CRM</w:t>
      </w:r>
      <w:r>
        <w:rPr>
          <w:rFonts w:hint="default"/>
          <w:lang w:val="en-US" w:eastAsia="zh-CN"/>
        </w:rPr>
        <w:t>系统</w:t>
      </w:r>
      <w:r>
        <w:rPr>
          <w:rFonts w:hint="eastAsia"/>
          <w:lang w:val="en-US" w:eastAsia="zh-CN"/>
        </w:rPr>
        <w:t>自动</w:t>
      </w:r>
      <w:r>
        <w:rPr>
          <w:rFonts w:hint="default"/>
          <w:lang w:val="en-US" w:eastAsia="zh-CN"/>
        </w:rPr>
        <w:t>触发OA资费审批单，通知</w:t>
      </w:r>
      <w:r>
        <w:rPr>
          <w:rFonts w:hint="eastAsia"/>
          <w:lang w:val="en-US" w:eastAsia="zh-CN"/>
        </w:rPr>
        <w:t>区县、市公司相关领导</w:t>
      </w:r>
      <w:r>
        <w:rPr>
          <w:rFonts w:hint="default"/>
          <w:lang w:val="en-US" w:eastAsia="zh-CN"/>
        </w:rPr>
        <w:t>进行分层分级审批；</w:t>
      </w:r>
    </w:p>
    <w:p>
      <w:pPr>
        <w:widowControl w:val="0"/>
        <w:numPr>
          <w:ilvl w:val="0"/>
          <w:numId w:val="4"/>
        </w:numPr>
        <w:jc w:val="both"/>
        <w:rPr>
          <w:rFonts w:hint="default"/>
          <w:b/>
          <w:bCs/>
          <w:lang w:val="en-US" w:eastAsia="zh-CN"/>
        </w:rPr>
      </w:pPr>
      <w:r>
        <w:rPr>
          <w:rFonts w:hint="eastAsia"/>
          <w:b/>
          <w:bCs/>
          <w:lang w:val="en-US" w:eastAsia="zh-CN"/>
        </w:rPr>
        <w:t>省公司管控资费：</w:t>
      </w:r>
      <w:r>
        <w:rPr>
          <w:rFonts w:hint="eastAsia"/>
          <w:b w:val="0"/>
          <w:bCs w:val="0"/>
          <w:lang w:val="en-US" w:eastAsia="zh-CN"/>
        </w:rPr>
        <w:t>需要提交OA营销案审批流程</w:t>
      </w:r>
      <w:r>
        <w:rPr>
          <w:rFonts w:hint="eastAsia"/>
          <w:b/>
          <w:bCs/>
          <w:lang w:val="en-US" w:eastAsia="zh-CN"/>
        </w:rPr>
        <w:t>；</w:t>
      </w:r>
    </w:p>
    <w:p>
      <w:pPr>
        <w:widowControl w:val="0"/>
        <w:numPr>
          <w:ilvl w:val="0"/>
          <w:numId w:val="4"/>
        </w:numPr>
        <w:jc w:val="both"/>
        <w:rPr>
          <w:rFonts w:hint="default"/>
          <w:b/>
          <w:bCs/>
          <w:lang w:val="en-US" w:eastAsia="zh-CN"/>
        </w:rPr>
      </w:pPr>
      <w:r>
        <w:rPr>
          <w:rFonts w:hint="eastAsia"/>
          <w:b/>
          <w:bCs/>
          <w:lang w:val="en-US" w:eastAsia="zh-CN"/>
        </w:rPr>
        <w:t>集团公司管控资费：</w:t>
      </w:r>
      <w:r>
        <w:rPr>
          <w:rFonts w:hint="eastAsia"/>
          <w:b w:val="0"/>
          <w:bCs w:val="0"/>
          <w:lang w:val="en-US" w:eastAsia="zh-CN"/>
        </w:rPr>
        <w:t>在市公司、省公司审批完成后，由CRM</w:t>
      </w:r>
      <w:r>
        <w:rPr>
          <w:rFonts w:hint="default"/>
          <w:b w:val="0"/>
          <w:bCs w:val="0"/>
          <w:lang w:val="en-US" w:eastAsia="zh-CN"/>
        </w:rPr>
        <w:t>系统</w:t>
      </w:r>
      <w:r>
        <w:rPr>
          <w:rFonts w:hint="eastAsia"/>
          <w:b w:val="0"/>
          <w:bCs w:val="0"/>
          <w:lang w:val="en-US" w:eastAsia="zh-CN"/>
        </w:rPr>
        <w:t>自动触发CMIOT项目管理流程，由CMIOT系统触发项目审批单，通知集团公司领导进行审批。</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lang w:val="en-US" w:eastAsia="zh-CN"/>
        </w:rPr>
        <w:t>3、电子协议下单：</w:t>
      </w:r>
      <w:r>
        <w:rPr>
          <w:rFonts w:hint="default"/>
          <w:lang w:val="en-US" w:eastAsia="zh-CN"/>
        </w:rPr>
        <w:t>资费审批通过后，可通过[我的待办]完成协议下单，下载并打印电子协议，加盖客户公章后上传；</w:t>
      </w:r>
    </w:p>
    <w:p>
      <w:pPr>
        <w:widowControl w:val="0"/>
        <w:numPr>
          <w:ilvl w:val="0"/>
          <w:numId w:val="0"/>
        </w:numPr>
        <w:jc w:val="both"/>
        <w:rPr>
          <w:rFonts w:hint="default"/>
          <w:lang w:val="en-US" w:eastAsia="zh-CN"/>
        </w:rPr>
      </w:pPr>
      <w:r>
        <w:rPr>
          <w:rFonts w:hint="default"/>
          <w:b/>
          <w:bCs/>
          <w:lang w:val="en-US" w:eastAsia="zh-CN"/>
        </w:rPr>
        <w:t>4、订单审核：</w:t>
      </w:r>
      <w:r>
        <w:rPr>
          <w:rFonts w:hint="default"/>
          <w:lang w:val="en-US" w:eastAsia="zh-CN"/>
        </w:rPr>
        <w:t>在协议下单完成后，由产品经理或政企订单员进行开卡信息及开卡资料审核，</w:t>
      </w:r>
    </w:p>
    <w:p>
      <w:pPr>
        <w:widowControl w:val="0"/>
        <w:numPr>
          <w:ilvl w:val="0"/>
          <w:numId w:val="0"/>
        </w:numPr>
        <w:jc w:val="both"/>
        <w:rPr>
          <w:rFonts w:hint="default"/>
          <w:lang w:val="en-US" w:eastAsia="zh-CN"/>
        </w:rPr>
      </w:pPr>
      <w:r>
        <w:rPr>
          <w:rFonts w:hint="default"/>
          <w:b/>
          <w:bCs/>
          <w:lang w:val="en-US" w:eastAsia="zh-CN"/>
        </w:rPr>
        <w:t>5、</w:t>
      </w:r>
      <w:r>
        <w:rPr>
          <w:rFonts w:hint="eastAsia"/>
          <w:b/>
          <w:bCs/>
          <w:lang w:val="en-US" w:eastAsia="zh-CN"/>
        </w:rPr>
        <w:t>施工（营业员</w:t>
      </w:r>
      <w:r>
        <w:rPr>
          <w:rFonts w:hint="default"/>
          <w:b/>
          <w:bCs/>
          <w:lang w:val="en-US" w:eastAsia="zh-CN"/>
        </w:rPr>
        <w:t>开卡</w:t>
      </w:r>
      <w:r>
        <w:rPr>
          <w:rFonts w:hint="eastAsia"/>
          <w:b/>
          <w:bCs/>
          <w:lang w:val="en-US" w:eastAsia="zh-CN"/>
        </w:rPr>
        <w:t>）</w:t>
      </w:r>
      <w:r>
        <w:rPr>
          <w:rFonts w:hint="default"/>
          <w:b/>
          <w:bCs/>
          <w:lang w:val="en-US" w:eastAsia="zh-CN"/>
        </w:rPr>
        <w:t>：</w:t>
      </w:r>
      <w:r>
        <w:rPr>
          <w:rFonts w:hint="default"/>
          <w:lang w:val="en-US" w:eastAsia="zh-CN"/>
        </w:rPr>
        <w:t>资料审核通过后，订单自动流转至营业员进行CMIOT开卡。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营业员登录省公司业务大厅菜单“业务大厅订单处理-政企业务订单”，处理客户经理提交的订单，点击跳转至CMIOT系统“省预受理订单管理”菜单进行开卡办理。</w:t>
      </w:r>
    </w:p>
    <w:p>
      <w:pPr>
        <w:widowControl w:val="0"/>
        <w:numPr>
          <w:ilvl w:val="0"/>
          <w:numId w:val="0"/>
        </w:numPr>
        <w:ind w:firstLine="420" w:firstLineChars="200"/>
        <w:jc w:val="both"/>
        <w:rPr>
          <w:rFonts w:hint="default"/>
          <w:lang w:val="en-US" w:eastAsia="zh-CN"/>
        </w:rPr>
      </w:pPr>
      <w:r>
        <w:rPr>
          <w:rFonts w:hint="eastAsia"/>
          <w:lang w:val="en-US" w:eastAsia="zh-CN"/>
        </w:rPr>
        <w:t>营业员开卡完成后，订单会自动进行报结，进入客户经理评价环节。</w:t>
      </w:r>
    </w:p>
    <w:p>
      <w:pPr>
        <w:numPr>
          <w:ilvl w:val="0"/>
          <w:numId w:val="0"/>
        </w:numPr>
        <w:rPr>
          <w:rFonts w:hint="default"/>
          <w:lang w:val="en-US" w:eastAsia="zh-CN"/>
        </w:rPr>
      </w:pPr>
    </w:p>
    <w:p>
      <w:pPr>
        <w:rPr>
          <w:rFonts w:hint="eastAsia"/>
          <w:i/>
          <w:iCs/>
          <w:color w:val="00B050"/>
          <w:lang w:val="en-US" w:eastAsia="zh-CN"/>
        </w:rPr>
      </w:pPr>
      <w:r>
        <w:rPr>
          <w:rFonts w:hint="eastAsia"/>
          <w:i/>
          <w:iCs/>
          <w:color w:val="00B050"/>
          <w:lang w:val="en-US" w:eastAsia="zh-CN"/>
        </w:rPr>
        <w:t>【注】开卡操作员必须有以下角色才有“预受理订单审核”权限。</w:t>
      </w:r>
    </w:p>
    <w:p>
      <w:pPr>
        <w:rPr>
          <w:rFonts w:hint="eastAsia"/>
          <w:i/>
          <w:iCs/>
          <w:color w:val="00B050"/>
          <w:lang w:val="en-US" w:eastAsia="zh-CN"/>
        </w:rPr>
      </w:pPr>
      <w:r>
        <w:rPr>
          <w:rFonts w:hint="eastAsia"/>
          <w:i/>
          <w:iCs/>
          <w:color w:val="00B050"/>
          <w:lang w:val="en-US" w:eastAsia="zh-CN"/>
        </w:rPr>
        <w:t>具备“预受理订单审核及处理”权限的角色：营业员（非充值）、营业员（充值类）、</w:t>
      </w:r>
      <w:r>
        <w:rPr>
          <w:rFonts w:hint="default"/>
          <w:i/>
          <w:iCs/>
          <w:color w:val="00B050"/>
          <w:lang w:val="en-US" w:eastAsia="zh-CN"/>
        </w:rPr>
        <w:t>网络接入模式变更</w:t>
      </w:r>
      <w:r>
        <w:rPr>
          <w:rFonts w:hint="eastAsia"/>
          <w:i/>
          <w:iCs/>
          <w:color w:val="00B050"/>
          <w:lang w:val="en-US" w:eastAsia="zh-CN"/>
        </w:rPr>
        <w:t>、客户经理（查询类）、客户经理（非充值类）、省预受理订单、运营维护角色。</w:t>
      </w:r>
    </w:p>
    <w:p>
      <w:pPr>
        <w:rPr>
          <w:rFonts w:hint="eastAsia"/>
          <w:i/>
          <w:iCs/>
          <w:color w:val="00B050"/>
          <w:lang w:val="en-US" w:eastAsia="zh-CN"/>
        </w:rPr>
      </w:pPr>
    </w:p>
    <w:p>
      <w:pPr>
        <w:numPr>
          <w:ilvl w:val="0"/>
          <w:numId w:val="5"/>
        </w:numPr>
        <w:rPr>
          <w:rFonts w:hint="eastAsia"/>
          <w:b/>
          <w:bCs/>
          <w:lang w:val="en-US" w:eastAsia="zh-CN"/>
        </w:rPr>
      </w:pPr>
      <w:r>
        <w:rPr>
          <w:rFonts w:hint="eastAsia"/>
          <w:b/>
          <w:bCs/>
          <w:lang w:val="en-US" w:eastAsia="zh-CN"/>
        </w:rPr>
        <w:t>客户经理评价</w:t>
      </w:r>
    </w:p>
    <w:p>
      <w:pPr>
        <w:numPr>
          <w:ilvl w:val="0"/>
          <w:numId w:val="0"/>
        </w:numPr>
        <w:rPr>
          <w:rFonts w:hint="default"/>
          <w:lang w:val="en-US" w:eastAsia="zh-CN"/>
        </w:rPr>
      </w:pPr>
      <w:r>
        <w:rPr>
          <w:rFonts w:hint="eastAsia"/>
          <w:lang w:val="en-US" w:eastAsia="zh-CN"/>
        </w:rPr>
        <w:t>营业员开卡完成后，客户经理进行工单评价。</w:t>
      </w:r>
    </w:p>
    <w:p>
      <w:pPr>
        <w:numPr>
          <w:ilvl w:val="0"/>
          <w:numId w:val="0"/>
        </w:numPr>
        <w:rPr>
          <w:rFonts w:hint="default"/>
          <w:lang w:val="en-US" w:eastAsia="zh-CN"/>
        </w:rPr>
      </w:pPr>
    </w:p>
    <w:p>
      <w:pPr>
        <w:pStyle w:val="3"/>
        <w:bidi w:val="0"/>
        <w:rPr>
          <w:rFonts w:hint="eastAsia" w:eastAsiaTheme="majorEastAsia"/>
          <w:lang w:val="en-US" w:eastAsia="zh-CN"/>
        </w:rPr>
      </w:pPr>
      <w:bookmarkStart w:id="3" w:name="_Toc521341275"/>
      <w:r>
        <w:rPr>
          <w:rFonts w:hint="eastAsia"/>
          <w:lang w:val="en-US" w:eastAsia="zh-CN"/>
        </w:rPr>
        <w:t>开卡</w:t>
      </w:r>
      <w:bookmarkEnd w:id="3"/>
      <w:r>
        <w:rPr>
          <w:rFonts w:hint="eastAsia"/>
          <w:lang w:val="en-US" w:eastAsia="zh-CN"/>
        </w:rPr>
        <w:t>操作</w:t>
      </w:r>
    </w:p>
    <w:p>
      <w:pPr>
        <w:pStyle w:val="4"/>
        <w:bidi w:val="0"/>
      </w:pPr>
      <w:r>
        <w:rPr>
          <w:rFonts w:hint="eastAsia"/>
        </w:rPr>
        <w:t>一.认证集团【客户经理】</w:t>
      </w:r>
    </w:p>
    <w:p>
      <w:pPr>
        <w:spacing w:line="300" w:lineRule="auto"/>
        <w:jc w:val="center"/>
        <w:rPr>
          <w:b/>
          <w:bCs/>
          <w:szCs w:val="32"/>
        </w:rPr>
      </w:pPr>
      <w:r>
        <w:drawing>
          <wp:inline distT="0" distB="0" distL="114300" distR="114300">
            <wp:extent cx="5266690" cy="2326005"/>
            <wp:effectExtent l="0" t="0" r="6350"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
                    <a:stretch>
                      <a:fillRect/>
                    </a:stretch>
                  </pic:blipFill>
                  <pic:spPr>
                    <a:xfrm>
                      <a:off x="0" y="0"/>
                      <a:ext cx="5266690" cy="2326005"/>
                    </a:xfrm>
                    <a:prstGeom prst="rect">
                      <a:avLst/>
                    </a:prstGeom>
                    <a:noFill/>
                    <a:ln>
                      <a:noFill/>
                    </a:ln>
                  </pic:spPr>
                </pic:pic>
              </a:graphicData>
            </a:graphic>
          </wp:inline>
        </w:drawing>
      </w:r>
    </w:p>
    <w:p>
      <w:pPr>
        <w:pStyle w:val="4"/>
        <w:bidi w:val="0"/>
      </w:pPr>
      <w:r>
        <w:rPr>
          <w:rFonts w:hint="eastAsia"/>
        </w:rPr>
        <w:t>二.协议信息录入【客户经理】</w:t>
      </w:r>
    </w:p>
    <w:p>
      <w:pPr>
        <w:rPr>
          <w:rFonts w:hint="eastAsia" w:eastAsia="宋体"/>
          <w:lang w:eastAsia="zh-CN"/>
        </w:rPr>
      </w:pPr>
      <w:r>
        <w:rPr>
          <w:rFonts w:hint="eastAsia"/>
        </w:rPr>
        <w:t>1.输入【业务开通】菜名名称，选择协议类型：标准协议</w:t>
      </w:r>
      <w:r>
        <w:rPr>
          <w:rFonts w:hint="eastAsia"/>
          <w:lang w:eastAsia="zh-CN"/>
        </w:rPr>
        <w:t>、</w:t>
      </w:r>
      <w:r>
        <w:rPr>
          <w:rFonts w:hint="eastAsia"/>
          <w:lang w:val="en-US" w:eastAsia="zh-CN"/>
        </w:rPr>
        <w:t>经办联系人、协议有效期（默认1年，可修改），</w:t>
      </w:r>
      <w:r>
        <w:rPr>
          <w:rFonts w:hint="eastAsia"/>
        </w:rPr>
        <w:t>点击【下一步】进行协议信息录入</w:t>
      </w:r>
    </w:p>
    <w:p>
      <w:pPr>
        <w:spacing w:line="300" w:lineRule="auto"/>
        <w:jc w:val="both"/>
      </w:pPr>
    </w:p>
    <w:p>
      <w:pPr>
        <w:spacing w:line="300" w:lineRule="auto"/>
        <w:jc w:val="both"/>
      </w:pPr>
      <w:r>
        <w:drawing>
          <wp:inline distT="0" distB="0" distL="114300" distR="114300">
            <wp:extent cx="5270500" cy="14808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0500" cy="1480820"/>
                    </a:xfrm>
                    <a:prstGeom prst="rect">
                      <a:avLst/>
                    </a:prstGeom>
                    <a:noFill/>
                    <a:ln>
                      <a:noFill/>
                    </a:ln>
                  </pic:spPr>
                </pic:pic>
              </a:graphicData>
            </a:graphic>
          </wp:inline>
        </w:drawing>
      </w:r>
    </w:p>
    <w:p>
      <w:pPr>
        <w:spacing w:line="300" w:lineRule="auto"/>
        <w:jc w:val="both"/>
        <w:rPr>
          <w:rFonts w:hint="default" w:eastAsia="宋体"/>
          <w:lang w:val="en-US" w:eastAsia="zh-CN"/>
        </w:rPr>
      </w:pPr>
      <w:r>
        <w:rPr>
          <w:rFonts w:hint="eastAsia"/>
          <w:lang w:val="en-US" w:eastAsia="zh-CN"/>
        </w:rPr>
        <w:t>2.点击“+”，输入“CMIOT”或“预受理”进行模糊搜索，选择CMIOT预受理套餐，点击确定</w:t>
      </w:r>
    </w:p>
    <w:p>
      <w:r>
        <w:drawing>
          <wp:inline distT="0" distB="0" distL="114300" distR="114300">
            <wp:extent cx="5262880" cy="1828800"/>
            <wp:effectExtent l="0" t="0" r="1016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
                    <a:stretch>
                      <a:fillRect/>
                    </a:stretch>
                  </pic:blipFill>
                  <pic:spPr>
                    <a:xfrm>
                      <a:off x="0" y="0"/>
                      <a:ext cx="5262880" cy="1828800"/>
                    </a:xfrm>
                    <a:prstGeom prst="rect">
                      <a:avLst/>
                    </a:prstGeom>
                    <a:noFill/>
                    <a:ln>
                      <a:noFill/>
                    </a:ln>
                  </pic:spPr>
                </pic:pic>
              </a:graphicData>
            </a:graphic>
          </wp:inline>
        </w:drawing>
      </w:r>
    </w:p>
    <w:p>
      <w:pPr>
        <w:rPr>
          <w:rFonts w:hint="default"/>
          <w:lang w:val="en-US" w:eastAsia="zh-CN"/>
        </w:rPr>
      </w:pPr>
      <w:r>
        <w:rPr>
          <w:rFonts w:hint="eastAsia"/>
          <w:lang w:val="en-US" w:eastAsia="zh-CN"/>
        </w:rPr>
        <w:t>3.展示页面如下</w:t>
      </w:r>
    </w:p>
    <w:p>
      <w:r>
        <w:drawing>
          <wp:inline distT="0" distB="0" distL="114300" distR="114300">
            <wp:extent cx="5260340" cy="2364105"/>
            <wp:effectExtent l="0" t="0" r="12700" b="1333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9"/>
                    <a:stretch>
                      <a:fillRect/>
                    </a:stretch>
                  </pic:blipFill>
                  <pic:spPr>
                    <a:xfrm>
                      <a:off x="0" y="0"/>
                      <a:ext cx="5260340" cy="236410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5"/>
        <w:numPr>
          <w:ilvl w:val="0"/>
          <w:numId w:val="6"/>
        </w:numPr>
        <w:bidi w:val="0"/>
        <w:rPr>
          <w:rFonts w:hint="eastAsia"/>
          <w:sz w:val="30"/>
          <w:szCs w:val="30"/>
          <w:lang w:val="en-US" w:eastAsia="zh-CN"/>
        </w:rPr>
      </w:pPr>
      <w:r>
        <w:rPr>
          <w:rFonts w:hint="eastAsia"/>
          <w:sz w:val="30"/>
          <w:szCs w:val="30"/>
          <w:lang w:val="en-US" w:eastAsia="zh-CN"/>
        </w:rPr>
        <w:t>上传经办人/责任人信息</w:t>
      </w:r>
    </w:p>
    <w:p>
      <w:pPr>
        <w:numPr>
          <w:ilvl w:val="0"/>
          <w:numId w:val="0"/>
        </w:numPr>
        <w:rPr>
          <w:rFonts w:hint="eastAsia"/>
          <w:lang w:val="en-US" w:eastAsia="zh-CN"/>
        </w:rPr>
      </w:pPr>
      <w:r>
        <w:rPr>
          <w:rFonts w:hint="eastAsia"/>
          <w:lang w:val="en-US" w:eastAsia="zh-CN"/>
        </w:rPr>
        <w:t xml:space="preserve"> 经办人/责任人的实名方式有2种：</w:t>
      </w:r>
    </w:p>
    <w:p>
      <w:pPr>
        <w:numPr>
          <w:ilvl w:val="0"/>
          <w:numId w:val="7"/>
        </w:numPr>
        <w:rPr>
          <w:rFonts w:hint="eastAsia"/>
          <w:lang w:val="en-US" w:eastAsia="zh-CN"/>
        </w:rPr>
      </w:pPr>
      <w:r>
        <w:rPr>
          <w:rFonts w:hint="eastAsia"/>
          <w:lang w:val="en-US" w:eastAsia="zh-CN"/>
        </w:rPr>
        <w:t>如客户经理提单前，已经通过网格通APP采集经办人/责任人实名信息</w:t>
      </w:r>
    </w:p>
    <w:p>
      <w:pPr>
        <w:numPr>
          <w:ilvl w:val="0"/>
          <w:numId w:val="0"/>
        </w:numPr>
        <w:rPr>
          <w:rFonts w:hint="default"/>
          <w:lang w:val="en-US" w:eastAsia="zh-CN"/>
        </w:rPr>
      </w:pPr>
      <w:r>
        <w:rPr>
          <w:rFonts w:hint="eastAsia"/>
          <w:lang w:val="en-US" w:eastAsia="zh-CN"/>
        </w:rPr>
        <w:t>如已经通过APP采集经办人/责任人实名信息，则开卡提单时，可以直接选经办人姓名、责任人姓名。</w:t>
      </w:r>
    </w:p>
    <w:p>
      <w:pPr>
        <w:numPr>
          <w:ilvl w:val="0"/>
          <w:numId w:val="0"/>
        </w:numPr>
        <w:rPr>
          <w:rFonts w:hint="eastAsia"/>
          <w:lang w:val="en-US" w:eastAsia="zh-CN"/>
        </w:rPr>
      </w:pPr>
    </w:p>
    <w:p>
      <w:pPr>
        <w:numPr>
          <w:ilvl w:val="0"/>
          <w:numId w:val="7"/>
        </w:numPr>
        <w:ind w:left="0" w:leftChars="0" w:firstLine="0" w:firstLineChars="0"/>
        <w:rPr>
          <w:rFonts w:hint="eastAsia"/>
          <w:lang w:val="en-US" w:eastAsia="zh-CN"/>
        </w:rPr>
      </w:pPr>
      <w:r>
        <w:rPr>
          <w:rFonts w:hint="eastAsia"/>
          <w:lang w:val="en-US" w:eastAsia="zh-CN"/>
        </w:rPr>
        <w:t>如客户经理提单前，未完成实名信息采集，则提单时需要填写填写客户信息（经办人/责任人），填写方式支持2种：OCR识别、手工录入</w:t>
      </w:r>
    </w:p>
    <w:p>
      <w:pPr>
        <w:numPr>
          <w:ilvl w:val="0"/>
          <w:numId w:val="0"/>
        </w:numPr>
        <w:ind w:leftChars="0"/>
        <w:rPr>
          <w:rFonts w:hint="eastAsia"/>
          <w:lang w:val="en-US" w:eastAsia="zh-CN"/>
        </w:rPr>
      </w:pPr>
    </w:p>
    <w:p>
      <w:pPr>
        <w:bidi w:val="0"/>
        <w:rPr>
          <w:rFonts w:hint="eastAsia"/>
          <w:lang w:val="en-US" w:eastAsia="zh-CN"/>
        </w:rPr>
      </w:pPr>
      <w:r>
        <w:rPr>
          <w:rFonts w:hint="eastAsia"/>
          <w:lang w:val="en-US" w:eastAsia="zh-CN"/>
        </w:rPr>
        <w:t>1）人员类型</w:t>
      </w:r>
    </w:p>
    <w:p>
      <w:pPr>
        <w:bidi w:val="0"/>
        <w:rPr>
          <w:rFonts w:hint="eastAsia"/>
          <w:lang w:val="en-US" w:eastAsia="zh-CN"/>
        </w:rPr>
      </w:pPr>
      <w:r>
        <w:rPr>
          <w:rFonts w:hint="eastAsia"/>
          <w:lang w:val="en-US" w:eastAsia="zh-CN"/>
        </w:rPr>
        <w:t>如经办人与责任人为同一个人，则人员类型选择“经办人及责任人”，</w:t>
      </w:r>
    </w:p>
    <w:p>
      <w:pPr>
        <w:rPr>
          <w:rFonts w:hint="eastAsia"/>
          <w:lang w:val="en-US" w:eastAsia="zh-CN"/>
        </w:rPr>
      </w:pPr>
      <w:r>
        <w:rPr>
          <w:rFonts w:hint="eastAsia"/>
          <w:lang w:val="en-US" w:eastAsia="zh-CN"/>
        </w:rPr>
        <w:t>如经办人与责任人不是同一个人，则人员类型选择“经办人责任人分开”，</w:t>
      </w:r>
    </w:p>
    <w:p>
      <w:pPr>
        <w:bidi w:val="0"/>
        <w:rPr>
          <w:rFonts w:hint="eastAsia"/>
          <w:lang w:val="en-US" w:eastAsia="zh-CN"/>
        </w:rPr>
      </w:pPr>
    </w:p>
    <w:p>
      <w:pPr>
        <w:numPr>
          <w:ilvl w:val="0"/>
          <w:numId w:val="8"/>
        </w:numPr>
        <w:bidi w:val="0"/>
        <w:rPr>
          <w:rFonts w:hint="eastAsia"/>
          <w:lang w:val="en-US" w:eastAsia="zh-CN"/>
        </w:rPr>
      </w:pPr>
      <w:r>
        <w:rPr>
          <w:rFonts w:hint="eastAsia"/>
          <w:lang w:val="en-US" w:eastAsia="zh-CN"/>
        </w:rPr>
        <w:t>上传证件：支持上传身份证进行OCR识别；识别成功后信息展示在页面上，手工输入联系人电话即可；</w:t>
      </w:r>
    </w:p>
    <w:p>
      <w:pPr>
        <w:numPr>
          <w:ilvl w:val="0"/>
          <w:numId w:val="8"/>
        </w:numPr>
        <w:bidi w:val="0"/>
        <w:rPr>
          <w:rFonts w:hint="default"/>
          <w:lang w:val="en-US" w:eastAsia="zh-CN"/>
        </w:rPr>
      </w:pPr>
      <w:r>
        <w:rPr>
          <w:rFonts w:hint="eastAsia"/>
          <w:lang w:val="en-US" w:eastAsia="zh-CN"/>
        </w:rPr>
        <w:t>手输证件：支持手工填写信息，如证件类型是其他证件，则只能手工输入。</w:t>
      </w:r>
    </w:p>
    <w:p>
      <w:pPr>
        <w:rPr>
          <w:rFonts w:hint="eastAsia"/>
          <w:lang w:val="en-US" w:eastAsia="zh-CN"/>
        </w:rPr>
      </w:pPr>
    </w:p>
    <w:p>
      <w:r>
        <w:drawing>
          <wp:inline distT="0" distB="0" distL="114300" distR="114300">
            <wp:extent cx="5268595" cy="1269365"/>
            <wp:effectExtent l="0" t="0" r="4445" b="1079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0"/>
                    <a:stretch>
                      <a:fillRect/>
                    </a:stretch>
                  </pic:blipFill>
                  <pic:spPr>
                    <a:xfrm>
                      <a:off x="0" y="0"/>
                      <a:ext cx="5268595" cy="126936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70500" cy="2749550"/>
            <wp:effectExtent l="0" t="0" r="6350" b="1270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1"/>
                    <a:stretch>
                      <a:fillRect/>
                    </a:stretch>
                  </pic:blipFill>
                  <pic:spPr>
                    <a:xfrm>
                      <a:off x="0" y="0"/>
                      <a:ext cx="5270500" cy="2749550"/>
                    </a:xfrm>
                    <a:prstGeom prst="rect">
                      <a:avLst/>
                    </a:prstGeom>
                    <a:noFill/>
                    <a:ln>
                      <a:noFill/>
                    </a:ln>
                  </pic:spPr>
                </pic:pic>
              </a:graphicData>
            </a:graphic>
          </wp:inline>
        </w:drawing>
      </w:r>
    </w:p>
    <w:p>
      <w:pPr>
        <w:rPr>
          <w:rFonts w:hint="eastAsia"/>
          <w:lang w:val="en-US" w:eastAsia="zh-CN"/>
        </w:rPr>
      </w:pPr>
      <w:r>
        <w:rPr>
          <w:rFonts w:hint="eastAsia"/>
          <w:lang w:val="en-US" w:eastAsia="zh-CN"/>
        </w:rPr>
        <w:t>4）是否实名登记使用人：默认否，可下拉选择是；</w:t>
      </w:r>
    </w:p>
    <w:p>
      <w:pPr>
        <w:rPr>
          <w:rFonts w:hint="default"/>
          <w:lang w:val="en-US" w:eastAsia="zh-CN"/>
        </w:rPr>
      </w:pPr>
      <w:r>
        <w:rPr>
          <w:rFonts w:hint="eastAsia"/>
          <w:lang w:val="en-US" w:eastAsia="zh-CN"/>
        </w:rPr>
        <w:t>5）使用人信息：选填</w:t>
      </w:r>
    </w:p>
    <w:p/>
    <w:p/>
    <w:p>
      <w:pPr>
        <w:pStyle w:val="5"/>
        <w:bidi w:val="0"/>
        <w:rPr>
          <w:rFonts w:hint="eastAsia"/>
          <w:lang w:val="en-US" w:eastAsia="zh-CN"/>
        </w:rPr>
      </w:pPr>
      <w:r>
        <w:rPr>
          <w:rFonts w:hint="eastAsia"/>
          <w:lang w:val="en-US" w:eastAsia="zh-CN"/>
        </w:rPr>
        <w:t>2.项目信息</w:t>
      </w:r>
    </w:p>
    <w:p>
      <w:pPr>
        <w:rPr>
          <w:rFonts w:hint="eastAsia"/>
          <w:lang w:val="en-US" w:eastAsia="zh-CN"/>
        </w:rPr>
      </w:pPr>
      <w:r>
        <w:rPr>
          <w:rFonts w:hint="eastAsia"/>
          <w:lang w:val="en-US" w:eastAsia="zh-CN"/>
        </w:rPr>
        <w:t>填写要求：有2种方式，选择已有项目、新建项目。</w:t>
      </w:r>
    </w:p>
    <w:p>
      <w:pPr>
        <w:rPr>
          <w:rFonts w:hint="eastAsia"/>
          <w:lang w:val="en-US" w:eastAsia="zh-CN"/>
        </w:rPr>
      </w:pPr>
      <w:r>
        <w:rPr>
          <w:rFonts w:hint="eastAsia"/>
          <w:lang w:val="en-US" w:eastAsia="zh-CN"/>
        </w:rPr>
        <w:t>1）选择已有项目：如前期已经在CMIOT系统创建过项目，则可以选择已有项目继续进行开卡申请；</w:t>
      </w:r>
    </w:p>
    <w:p>
      <w:pPr>
        <w:rPr>
          <w:rFonts w:hint="default"/>
          <w:lang w:val="en-US" w:eastAsia="zh-CN"/>
        </w:rPr>
      </w:pPr>
      <w:r>
        <w:rPr>
          <w:rFonts w:hint="eastAsia"/>
          <w:lang w:val="en-US" w:eastAsia="zh-CN"/>
        </w:rPr>
        <w:t>2）新建项目：也可以选择“新建项目”，新建项目需要走审批流程，详见【三.资费审批】章节</w:t>
      </w:r>
    </w:p>
    <w:p>
      <w:pPr>
        <w:pStyle w:val="6"/>
        <w:bidi w:val="0"/>
        <w:rPr>
          <w:rFonts w:hint="eastAsia"/>
          <w:lang w:val="en-US" w:eastAsia="zh-CN"/>
        </w:rPr>
      </w:pPr>
      <w:r>
        <w:rPr>
          <w:rFonts w:hint="eastAsia"/>
          <w:lang w:val="en-US" w:eastAsia="zh-CN"/>
        </w:rPr>
        <w:t>选择已有项目</w:t>
      </w:r>
    </w:p>
    <w:p>
      <w:pPr>
        <w:rPr>
          <w:rFonts w:hint="eastAsia"/>
          <w:lang w:val="en-US" w:eastAsia="zh-CN"/>
        </w:rPr>
      </w:pPr>
      <w:r>
        <w:rPr>
          <w:rFonts w:hint="eastAsia"/>
          <w:lang w:val="en-US" w:eastAsia="zh-CN"/>
        </w:rPr>
        <w:t>默认选择已有项目，查询时间为前3个月，可以手动调整日期进行查询，勾选一个已有项目后，可以点击下一步</w:t>
      </w:r>
    </w:p>
    <w:p>
      <w:pPr>
        <w:rPr>
          <w:rFonts w:hint="eastAsia"/>
          <w:lang w:val="en-US" w:eastAsia="zh-CN"/>
        </w:rPr>
      </w:pPr>
    </w:p>
    <w:p>
      <w:r>
        <w:drawing>
          <wp:inline distT="0" distB="0" distL="114300" distR="114300">
            <wp:extent cx="5273040" cy="2019935"/>
            <wp:effectExtent l="0" t="0" r="0" b="698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2"/>
                    <a:stretch>
                      <a:fillRect/>
                    </a:stretch>
                  </pic:blipFill>
                  <pic:spPr>
                    <a:xfrm>
                      <a:off x="0" y="0"/>
                      <a:ext cx="5273040" cy="201993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新建项目</w:t>
      </w:r>
    </w:p>
    <w:p>
      <w:pPr>
        <w:rPr>
          <w:rFonts w:hint="eastAsia"/>
          <w:lang w:val="en-US" w:eastAsia="zh-CN"/>
        </w:rPr>
      </w:pPr>
      <w:r>
        <w:drawing>
          <wp:inline distT="0" distB="0" distL="114300" distR="114300">
            <wp:extent cx="5273675" cy="1183005"/>
            <wp:effectExtent l="0" t="0" r="14605" b="571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3"/>
                    <a:stretch>
                      <a:fillRect/>
                    </a:stretch>
                  </pic:blipFill>
                  <pic:spPr>
                    <a:xfrm>
                      <a:off x="0" y="0"/>
                      <a:ext cx="5273675" cy="11830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项目名称：默认集团客户名称，可修改</w:t>
      </w:r>
    </w:p>
    <w:p>
      <w:p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项目签订日期：默认当天，可修改</w:t>
      </w:r>
    </w:p>
    <w:p>
      <w:pPr>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开卡允许最大数量：大于0的整数</w:t>
      </w:r>
    </w:p>
    <w:p>
      <w:pPr>
        <w:rPr>
          <w:rFonts w:hint="eastAsia"/>
          <w:lang w:val="en-US" w:eastAsia="zh-CN"/>
        </w:rPr>
      </w:pPr>
      <w:r>
        <w:rPr>
          <w:rFonts w:hint="eastAsia"/>
          <w:lang w:val="en-US" w:eastAsia="zh-CN"/>
        </w:rPr>
        <w:t>折扣到期是否提醒：默认不提醒，下拉选择提醒</w:t>
      </w:r>
    </w:p>
    <w:p>
      <w:pPr>
        <w:rPr>
          <w:rFonts w:hint="eastAsia"/>
          <w:lang w:val="en-US" w:eastAsia="zh-CN"/>
        </w:rPr>
      </w:pPr>
      <w:r>
        <w:rPr>
          <w:rFonts w:hint="eastAsia"/>
          <w:lang w:val="en-US" w:eastAsia="zh-CN"/>
        </w:rPr>
        <w:t>报备号：选填</w:t>
      </w:r>
    </w:p>
    <w:p>
      <w:pPr>
        <w:rPr>
          <w:rFonts w:hint="default"/>
          <w:lang w:val="en-US" w:eastAsia="zh-CN"/>
        </w:rPr>
      </w:pPr>
      <w:r>
        <w:rPr>
          <w:rFonts w:hint="eastAsia"/>
          <w:lang w:val="en-US" w:eastAsia="zh-CN"/>
        </w:rPr>
        <w:t>备注：选填</w:t>
      </w:r>
    </w:p>
    <w:p>
      <w:pPr>
        <w:pStyle w:val="5"/>
        <w:bidi w:val="0"/>
        <w:rPr>
          <w:rFonts w:hint="default"/>
          <w:lang w:val="en-US" w:eastAsia="zh-CN"/>
        </w:rPr>
      </w:pPr>
      <w:r>
        <w:rPr>
          <w:rFonts w:hint="eastAsia"/>
          <w:lang w:val="en-US" w:eastAsia="zh-CN"/>
        </w:rPr>
        <w:t>3.开卡信息填写</w:t>
      </w:r>
    </w:p>
    <w:p>
      <w:pPr>
        <w:pStyle w:val="6"/>
        <w:bidi w:val="0"/>
        <w:rPr>
          <w:rFonts w:hint="eastAsia"/>
          <w:lang w:val="en-US" w:eastAsia="zh-CN"/>
        </w:rPr>
      </w:pPr>
      <w:r>
        <w:rPr>
          <w:rFonts w:hint="eastAsia"/>
          <w:lang w:val="en-US" w:eastAsia="zh-CN"/>
        </w:rPr>
        <w:t>业务范围</w:t>
      </w:r>
    </w:p>
    <w:p>
      <w:pPr>
        <w:rPr>
          <w:rFonts w:hint="eastAsia"/>
          <w:lang w:val="en-US" w:eastAsia="zh-CN"/>
        </w:rPr>
      </w:pPr>
      <w:r>
        <w:rPr>
          <w:rFonts w:hint="eastAsia"/>
          <w:lang w:val="en-US" w:eastAsia="zh-CN"/>
        </w:rPr>
        <w:t>业务受理范围：默认开通，下拉选择变更、销户、其他</w:t>
      </w:r>
    </w:p>
    <w:p>
      <w:pPr>
        <w:rPr>
          <w:rFonts w:hint="eastAsia"/>
          <w:lang w:val="en-US" w:eastAsia="zh-CN"/>
        </w:rPr>
      </w:pPr>
      <w:r>
        <w:rPr>
          <w:rFonts w:hint="eastAsia"/>
          <w:lang w:val="en-US" w:eastAsia="zh-CN"/>
        </w:rPr>
        <w:t>业务受理范围备注：如果范围选择其他，则必填</w:t>
      </w:r>
    </w:p>
    <w:p>
      <w:pPr>
        <w:rPr>
          <w:rFonts w:hint="eastAsia"/>
          <w:lang w:val="en-US" w:eastAsia="zh-CN"/>
        </w:rPr>
      </w:pPr>
      <w:r>
        <w:rPr>
          <w:rFonts w:hint="eastAsia"/>
          <w:lang w:val="en-US" w:eastAsia="zh-CN"/>
        </w:rPr>
        <w:t>业务范围：默认全国，下拉选择浙江省内、其他</w:t>
      </w:r>
    </w:p>
    <w:p>
      <w:pPr>
        <w:rPr>
          <w:rFonts w:hint="default"/>
          <w:lang w:val="en-US" w:eastAsia="zh-CN"/>
        </w:rPr>
      </w:pPr>
      <w:r>
        <w:rPr>
          <w:rFonts w:hint="eastAsia"/>
          <w:lang w:val="en-US" w:eastAsia="zh-CN"/>
        </w:rPr>
        <w:t>业务范围备注：如果范围选择其他，则必填</w:t>
      </w:r>
    </w:p>
    <w:p>
      <w:r>
        <w:drawing>
          <wp:inline distT="0" distB="0" distL="114300" distR="114300">
            <wp:extent cx="5273675" cy="1070610"/>
            <wp:effectExtent l="0" t="0" r="14605" b="1143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4"/>
                    <a:stretch>
                      <a:fillRect/>
                    </a:stretch>
                  </pic:blipFill>
                  <pic:spPr>
                    <a:xfrm>
                      <a:off x="0" y="0"/>
                      <a:ext cx="5273675" cy="107061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签约场景：下拉选择，必选</w:t>
      </w:r>
    </w:p>
    <w:p>
      <w:pPr>
        <w:rPr>
          <w:rFonts w:hint="eastAsia"/>
          <w:lang w:val="en-US" w:eastAsia="zh-CN"/>
        </w:rPr>
      </w:pPr>
      <w:r>
        <w:rPr>
          <w:rFonts w:hint="eastAsia"/>
          <w:lang w:val="en-US" w:eastAsia="zh-CN"/>
        </w:rPr>
        <w:t>签约场景备注：场景选择其他时必填</w:t>
      </w:r>
    </w:p>
    <w:p>
      <w:pPr>
        <w:rPr>
          <w:rFonts w:hint="eastAsia"/>
          <w:lang w:val="en-US" w:eastAsia="zh-CN"/>
        </w:rPr>
      </w:pPr>
      <w:r>
        <w:rPr>
          <w:rFonts w:hint="eastAsia"/>
          <w:lang w:val="en-US" w:eastAsia="zh-CN"/>
        </w:rPr>
        <w:t>位置是否固定：根据签约场景联动变化，无需选择</w:t>
      </w:r>
    </w:p>
    <w:p>
      <w:pPr>
        <w:rPr>
          <w:rFonts w:hint="default"/>
          <w:lang w:val="en-US" w:eastAsia="zh-CN"/>
        </w:rPr>
      </w:pPr>
      <w:r>
        <w:rPr>
          <w:rFonts w:hint="eastAsia"/>
          <w:lang w:val="en-US" w:eastAsia="zh-CN"/>
        </w:rPr>
        <w:t>销售模式：默认纯卡，下拉选择卡+模组、卡+平台、卡+终端、其他</w:t>
      </w:r>
    </w:p>
    <w:p>
      <w:r>
        <w:drawing>
          <wp:inline distT="0" distB="0" distL="114300" distR="114300">
            <wp:extent cx="5269865" cy="692150"/>
            <wp:effectExtent l="0" t="0" r="3175" b="889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15"/>
                    <a:stretch>
                      <a:fillRect/>
                    </a:stretch>
                  </pic:blipFill>
                  <pic:spPr>
                    <a:xfrm>
                      <a:off x="0" y="0"/>
                      <a:ext cx="5269865" cy="69215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开卡信息</w:t>
      </w:r>
    </w:p>
    <w:p>
      <w:pPr>
        <w:rPr>
          <w:rFonts w:hint="eastAsia"/>
          <w:lang w:val="en-US" w:eastAsia="zh-CN"/>
        </w:rPr>
      </w:pPr>
      <w:r>
        <w:rPr>
          <w:rFonts w:hint="eastAsia"/>
          <w:lang w:val="en-US" w:eastAsia="zh-CN"/>
        </w:rPr>
        <w:t>开卡数量：大于0的数字，必填</w:t>
      </w:r>
    </w:p>
    <w:p>
      <w:pPr>
        <w:rPr>
          <w:rFonts w:hint="eastAsia"/>
          <w:lang w:val="en-US" w:eastAsia="zh-CN"/>
        </w:rPr>
      </w:pPr>
      <w:r>
        <w:rPr>
          <w:rFonts w:hint="eastAsia"/>
          <w:lang w:val="en-US" w:eastAsia="zh-CN"/>
        </w:rPr>
        <w:t>接入方式：默认13位物联卡，下拉选择11位物联卡、其他</w:t>
      </w:r>
    </w:p>
    <w:p>
      <w:pPr>
        <w:rPr>
          <w:rFonts w:hint="eastAsia"/>
          <w:lang w:val="en-US" w:eastAsia="zh-CN"/>
        </w:rPr>
      </w:pPr>
      <w:r>
        <w:rPr>
          <w:rFonts w:hint="eastAsia"/>
          <w:lang w:val="en-US" w:eastAsia="zh-CN"/>
        </w:rPr>
        <w:t>SIM卡形态：默认MP1，下拉选择MP2/MS0/MS1/sSIM/其他</w:t>
      </w:r>
    </w:p>
    <w:p>
      <w:pPr>
        <w:rPr>
          <w:rFonts w:hint="eastAsia"/>
          <w:lang w:val="en-US" w:eastAsia="zh-CN"/>
        </w:rPr>
      </w:pPr>
      <w:r>
        <w:rPr>
          <w:rFonts w:hint="eastAsia"/>
          <w:lang w:val="en-US" w:eastAsia="zh-CN"/>
        </w:rPr>
        <w:t>号码：填写具体的号码或者连续号段，另附清单并盖章</w:t>
      </w:r>
    </w:p>
    <w:p>
      <w:pPr>
        <w:rPr>
          <w:rFonts w:hint="default"/>
          <w:lang w:val="en-US" w:eastAsia="zh-CN"/>
        </w:rPr>
      </w:pPr>
      <w:r>
        <w:rPr>
          <w:rFonts w:hint="eastAsia"/>
          <w:lang w:val="en-US" w:eastAsia="zh-CN"/>
        </w:rPr>
        <w:t>SIM卡费用：填写数字，元/卡</w:t>
      </w:r>
    </w:p>
    <w:p>
      <w:pPr>
        <w:rPr>
          <w:rFonts w:hint="default"/>
          <w:lang w:val="en-US" w:eastAsia="zh-CN"/>
        </w:rPr>
      </w:pPr>
      <w:r>
        <w:drawing>
          <wp:inline distT="0" distB="0" distL="114300" distR="114300">
            <wp:extent cx="5269865" cy="807720"/>
            <wp:effectExtent l="0" t="0" r="3175"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16"/>
                    <a:stretch>
                      <a:fillRect/>
                    </a:stretch>
                  </pic:blipFill>
                  <pic:spPr>
                    <a:xfrm>
                      <a:off x="0" y="0"/>
                      <a:ext cx="5269865" cy="80772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通信功能</w:t>
      </w:r>
    </w:p>
    <w:p>
      <w:pPr>
        <w:rPr>
          <w:rFonts w:hint="eastAsia"/>
          <w:lang w:val="en-US" w:eastAsia="zh-CN"/>
        </w:rPr>
      </w:pPr>
      <w:r>
        <w:rPr>
          <w:rFonts w:hint="eastAsia"/>
          <w:lang w:val="en-US" w:eastAsia="zh-CN"/>
        </w:rPr>
        <w:t>基础通信功能：默认选择流量，可以增加勾选定向语音和短信</w:t>
      </w:r>
    </w:p>
    <w:p>
      <w:pPr>
        <w:rPr>
          <w:rFonts w:hint="default"/>
          <w:lang w:val="en-US" w:eastAsia="zh-CN"/>
        </w:rPr>
      </w:pPr>
      <w:r>
        <w:rPr>
          <w:rFonts w:hint="eastAsia"/>
          <w:lang w:val="en-US" w:eastAsia="zh-CN"/>
        </w:rPr>
        <w:t>APN专网：填写APN英文名，选填</w:t>
      </w:r>
    </w:p>
    <w:p>
      <w:pPr>
        <w:rPr>
          <w:rFonts w:hint="eastAsia"/>
          <w:lang w:val="en-US" w:eastAsia="zh-CN"/>
        </w:rPr>
      </w:pPr>
      <w:r>
        <w:rPr>
          <w:rFonts w:hint="eastAsia"/>
          <w:lang w:val="en-US" w:eastAsia="zh-CN"/>
        </w:rPr>
        <w:t>访问固定IP地址：选填</w:t>
      </w:r>
    </w:p>
    <w:p>
      <w:pPr>
        <w:rPr>
          <w:rFonts w:hint="eastAsia"/>
          <w:lang w:val="en-US" w:eastAsia="zh-CN"/>
        </w:rPr>
      </w:pPr>
      <w:r>
        <w:rPr>
          <w:rFonts w:hint="eastAsia"/>
          <w:lang w:val="en-US" w:eastAsia="zh-CN"/>
        </w:rPr>
        <w:t>定向语音白名单：勾选定向语音时放开</w:t>
      </w:r>
    </w:p>
    <w:p>
      <w:pPr>
        <w:rPr>
          <w:rFonts w:hint="default"/>
          <w:lang w:val="en-US" w:eastAsia="zh-CN"/>
        </w:rPr>
      </w:pPr>
      <w:r>
        <w:rPr>
          <w:rFonts w:hint="eastAsia"/>
          <w:lang w:val="en-US" w:eastAsia="zh-CN"/>
        </w:rPr>
        <w:t>短息端口接入号：勾选短信时放开</w:t>
      </w:r>
    </w:p>
    <w:p/>
    <w:p>
      <w:r>
        <w:drawing>
          <wp:inline distT="0" distB="0" distL="114300" distR="114300">
            <wp:extent cx="5273040" cy="982345"/>
            <wp:effectExtent l="0" t="0" r="0" b="8255"/>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7"/>
                    <a:stretch>
                      <a:fillRect/>
                    </a:stretch>
                  </pic:blipFill>
                  <pic:spPr>
                    <a:xfrm>
                      <a:off x="0" y="0"/>
                      <a:ext cx="5273040" cy="98234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安全管控功能</w:t>
      </w:r>
    </w:p>
    <w:p>
      <w:pPr>
        <w:rPr>
          <w:rFonts w:hint="eastAsia"/>
          <w:lang w:val="en-US" w:eastAsia="zh-CN"/>
        </w:rPr>
      </w:pPr>
      <w:r>
        <w:rPr>
          <w:rFonts w:hint="eastAsia"/>
          <w:lang w:val="en-US" w:eastAsia="zh-CN"/>
        </w:rPr>
        <w:t>是否开通机卡绑定：默认开通，下拉选择不开通</w:t>
      </w:r>
    </w:p>
    <w:p>
      <w:pPr>
        <w:rPr>
          <w:rFonts w:hint="eastAsia"/>
          <w:lang w:val="en-US" w:eastAsia="zh-CN"/>
        </w:rPr>
      </w:pPr>
      <w:r>
        <w:rPr>
          <w:rFonts w:hint="eastAsia"/>
          <w:lang w:val="en-US" w:eastAsia="zh-CN"/>
        </w:rPr>
        <w:t>是否设置100M限额管控：默认是，下拉选择否</w:t>
      </w:r>
    </w:p>
    <w:p>
      <w:pPr>
        <w:rPr>
          <w:rFonts w:hint="eastAsia"/>
          <w:lang w:val="en-US" w:eastAsia="zh-CN"/>
        </w:rPr>
      </w:pPr>
      <w:r>
        <w:rPr>
          <w:rFonts w:hint="eastAsia"/>
          <w:lang w:val="en-US" w:eastAsia="zh-CN"/>
        </w:rPr>
        <w:t>人联网黑名单限制：默认开通，下拉选择不开通</w:t>
      </w:r>
    </w:p>
    <w:p>
      <w:pPr>
        <w:rPr>
          <w:rFonts w:hint="eastAsia"/>
          <w:lang w:val="en-US" w:eastAsia="zh-CN"/>
        </w:rPr>
      </w:pPr>
      <w:r>
        <w:rPr>
          <w:rFonts w:hint="eastAsia"/>
          <w:lang w:val="en-US" w:eastAsia="zh-CN"/>
        </w:rPr>
        <w:t>是否个人实名：默认否，下拉选择是</w:t>
      </w:r>
    </w:p>
    <w:p>
      <w:pPr>
        <w:rPr>
          <w:rFonts w:hint="default"/>
          <w:lang w:val="en-US" w:eastAsia="zh-CN"/>
        </w:rPr>
      </w:pPr>
      <w:r>
        <w:rPr>
          <w:rFonts w:hint="eastAsia"/>
          <w:lang w:val="en-US" w:eastAsia="zh-CN"/>
        </w:rPr>
        <w:t>是否卡片限定：默认否，下拉选择是</w:t>
      </w:r>
    </w:p>
    <w:p>
      <w:r>
        <w:drawing>
          <wp:inline distT="0" distB="0" distL="114300" distR="114300">
            <wp:extent cx="5266690" cy="742950"/>
            <wp:effectExtent l="0" t="0" r="6350" b="381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18"/>
                    <a:stretch>
                      <a:fillRect/>
                    </a:stretch>
                  </pic:blipFill>
                  <pic:spPr>
                    <a:xfrm>
                      <a:off x="0" y="0"/>
                      <a:ext cx="5266690" cy="74295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时间约定</w:t>
      </w:r>
    </w:p>
    <w:p>
      <w:pPr>
        <w:rPr>
          <w:rFonts w:hint="eastAsia"/>
          <w:lang w:val="en-US" w:eastAsia="zh-CN"/>
        </w:rPr>
      </w:pPr>
      <w:r>
        <w:rPr>
          <w:rFonts w:hint="eastAsia"/>
          <w:lang w:val="en-US" w:eastAsia="zh-CN"/>
        </w:rPr>
        <w:t>最低再往时间：正整数，单位年</w:t>
      </w:r>
    </w:p>
    <w:p>
      <w:pPr>
        <w:rPr>
          <w:rFonts w:hint="eastAsia"/>
          <w:lang w:val="en-US" w:eastAsia="zh-CN"/>
        </w:rPr>
      </w:pPr>
      <w:r>
        <w:rPr>
          <w:rFonts w:hint="eastAsia"/>
          <w:lang w:val="en-US" w:eastAsia="zh-CN"/>
        </w:rPr>
        <w:t>测试期：正整数，单位月</w:t>
      </w:r>
    </w:p>
    <w:p>
      <w:pPr>
        <w:rPr>
          <w:rFonts w:hint="eastAsia"/>
          <w:lang w:val="en-US" w:eastAsia="zh-CN"/>
        </w:rPr>
      </w:pPr>
      <w:r>
        <w:rPr>
          <w:rFonts w:hint="eastAsia"/>
          <w:lang w:val="en-US" w:eastAsia="zh-CN"/>
        </w:rPr>
        <w:t>沉默期：正整数，单位月</w:t>
      </w:r>
    </w:p>
    <w:p>
      <w:pPr>
        <w:rPr>
          <w:rFonts w:hint="default"/>
          <w:lang w:val="en-US" w:eastAsia="zh-CN"/>
        </w:rPr>
      </w:pPr>
      <w:r>
        <w:rPr>
          <w:rFonts w:hint="eastAsia"/>
          <w:lang w:val="en-US" w:eastAsia="zh-CN"/>
        </w:rPr>
        <w:t>库存期：正整数，单位月</w:t>
      </w:r>
    </w:p>
    <w:p>
      <w:pPr>
        <w:rPr>
          <w:rFonts w:hint="eastAsia"/>
        </w:rPr>
      </w:pPr>
      <w:r>
        <w:drawing>
          <wp:inline distT="0" distB="0" distL="114300" distR="114300">
            <wp:extent cx="5271770" cy="812165"/>
            <wp:effectExtent l="0" t="0" r="1270" b="1079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19"/>
                    <a:stretch>
                      <a:fillRect/>
                    </a:stretch>
                  </pic:blipFill>
                  <pic:spPr>
                    <a:xfrm>
                      <a:off x="0" y="0"/>
                      <a:ext cx="5271770" cy="8121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其他约定</w:t>
      </w:r>
    </w:p>
    <w:p>
      <w:pPr>
        <w:rPr>
          <w:rFonts w:hint="default"/>
          <w:lang w:val="en-US" w:eastAsia="zh-CN"/>
        </w:rPr>
      </w:pPr>
      <w:r>
        <w:rPr>
          <w:rFonts w:hint="eastAsia"/>
          <w:lang w:val="en-US" w:eastAsia="zh-CN"/>
        </w:rPr>
        <w:t>折扣转让：选填</w:t>
      </w:r>
    </w:p>
    <w:p>
      <w:pPr>
        <w:rPr>
          <w:rFonts w:hint="eastAsia"/>
          <w:lang w:val="en-US" w:eastAsia="zh-CN"/>
        </w:rPr>
      </w:pPr>
      <w:r>
        <w:rPr>
          <w:rFonts w:hint="eastAsia"/>
          <w:lang w:val="en-US" w:eastAsia="zh-CN"/>
        </w:rPr>
        <w:t>保底费用：选填</w:t>
      </w:r>
    </w:p>
    <w:p>
      <w:pPr>
        <w:rPr>
          <w:rFonts w:hint="eastAsia"/>
          <w:lang w:val="en-US" w:eastAsia="zh-CN"/>
        </w:rPr>
      </w:pPr>
      <w:r>
        <w:rPr>
          <w:rFonts w:hint="eastAsia"/>
          <w:lang w:val="en-US" w:eastAsia="zh-CN"/>
        </w:rPr>
        <w:t>押金交纳：选填</w:t>
      </w:r>
    </w:p>
    <w:p>
      <w:pPr>
        <w:rPr>
          <w:rFonts w:hint="eastAsia"/>
          <w:lang w:val="en-US" w:eastAsia="zh-CN"/>
        </w:rPr>
      </w:pPr>
      <w:r>
        <w:rPr>
          <w:rFonts w:hint="eastAsia"/>
          <w:lang w:val="en-US" w:eastAsia="zh-CN"/>
        </w:rPr>
        <w:t>违约金：选填</w:t>
      </w:r>
    </w:p>
    <w:p>
      <w:pPr>
        <w:rPr>
          <w:rFonts w:hint="eastAsia"/>
          <w:lang w:val="en-US" w:eastAsia="zh-CN"/>
        </w:rPr>
      </w:pPr>
      <w:r>
        <w:rPr>
          <w:rFonts w:hint="eastAsia"/>
          <w:lang w:val="en-US" w:eastAsia="zh-CN"/>
        </w:rPr>
        <w:t>停机保号费：选填</w:t>
      </w:r>
    </w:p>
    <w:p>
      <w:pPr>
        <w:rPr>
          <w:rFonts w:hint="default"/>
          <w:lang w:val="en-US" w:eastAsia="zh-CN"/>
        </w:rPr>
      </w:pPr>
      <w:r>
        <w:rPr>
          <w:rFonts w:hint="eastAsia"/>
          <w:lang w:val="en-US" w:eastAsia="zh-CN"/>
        </w:rPr>
        <w:t>其他说明：选填</w:t>
      </w:r>
    </w:p>
    <w:p>
      <w:pPr>
        <w:rPr>
          <w:rFonts w:hint="eastAsia"/>
        </w:rPr>
      </w:pPr>
      <w:r>
        <w:drawing>
          <wp:inline distT="0" distB="0" distL="114300" distR="114300">
            <wp:extent cx="5269865" cy="807720"/>
            <wp:effectExtent l="0" t="0" r="3175"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20"/>
                    <a:stretch>
                      <a:fillRect/>
                    </a:stretch>
                  </pic:blipFill>
                  <pic:spPr>
                    <a:xfrm>
                      <a:off x="0" y="0"/>
                      <a:ext cx="5269865" cy="80772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pStyle w:val="6"/>
        <w:bidi w:val="0"/>
        <w:rPr>
          <w:rFonts w:hint="eastAsia"/>
          <w:lang w:val="en-US" w:eastAsia="zh-CN"/>
        </w:rPr>
      </w:pPr>
      <w:r>
        <w:rPr>
          <w:rFonts w:hint="eastAsia"/>
          <w:lang w:val="en-US" w:eastAsia="zh-CN"/>
        </w:rPr>
        <w:t>功能费选订</w:t>
      </w:r>
    </w:p>
    <w:p>
      <w:pPr>
        <w:rPr>
          <w:rFonts w:hint="default"/>
          <w:lang w:val="en-US" w:eastAsia="zh-CN"/>
        </w:rPr>
      </w:pPr>
      <w:r>
        <w:rPr>
          <w:rFonts w:hint="default"/>
          <w:lang w:val="en-US" w:eastAsia="zh-CN"/>
        </w:rPr>
        <w:t>流量池月功能费</w:t>
      </w:r>
      <w:r>
        <w:rPr>
          <w:rFonts w:hint="eastAsia"/>
          <w:lang w:val="en-US" w:eastAsia="zh-CN"/>
        </w:rPr>
        <w:t>：正整数，元/月/户</w:t>
      </w:r>
    </w:p>
    <w:p>
      <w:pPr>
        <w:rPr>
          <w:rFonts w:hint="eastAsia"/>
          <w:lang w:val="en-US" w:eastAsia="zh-CN"/>
        </w:rPr>
      </w:pPr>
      <w:r>
        <w:rPr>
          <w:rFonts w:hint="default"/>
          <w:lang w:val="en-US" w:eastAsia="zh-CN"/>
        </w:rPr>
        <w:t>流量共享月功能费</w:t>
      </w:r>
      <w:r>
        <w:rPr>
          <w:rFonts w:hint="eastAsia"/>
          <w:lang w:val="en-US" w:eastAsia="zh-CN"/>
        </w:rPr>
        <w:t>：正整数，元/月/户</w:t>
      </w:r>
    </w:p>
    <w:p>
      <w:pPr>
        <w:rPr>
          <w:rFonts w:hint="default"/>
          <w:lang w:val="en-US" w:eastAsia="zh-CN"/>
        </w:rPr>
      </w:pPr>
      <w:r>
        <w:rPr>
          <w:rFonts w:hint="default"/>
          <w:lang w:val="en-US" w:eastAsia="zh-CN"/>
        </w:rPr>
        <w:t>定向网址月功能费</w:t>
      </w:r>
      <w:r>
        <w:rPr>
          <w:rFonts w:hint="eastAsia"/>
          <w:lang w:val="en-US" w:eastAsia="zh-CN"/>
        </w:rPr>
        <w:t>：正整数，元/月/户</w:t>
      </w:r>
    </w:p>
    <w:p>
      <w:pPr>
        <w:rPr>
          <w:rFonts w:hint="default"/>
          <w:lang w:val="en-US" w:eastAsia="zh-CN"/>
        </w:rPr>
      </w:pPr>
      <w:r>
        <w:rPr>
          <w:rFonts w:hint="eastAsia"/>
          <w:lang w:val="en-US" w:eastAsia="zh-CN"/>
        </w:rPr>
        <w:t>其他：选填</w:t>
      </w:r>
    </w:p>
    <w:p>
      <w:r>
        <w:drawing>
          <wp:inline distT="0" distB="0" distL="114300" distR="114300">
            <wp:extent cx="5271770" cy="762000"/>
            <wp:effectExtent l="0" t="0" r="1270" b="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21"/>
                    <a:stretch>
                      <a:fillRect/>
                    </a:stretch>
                  </pic:blipFill>
                  <pic:spPr>
                    <a:xfrm>
                      <a:off x="0" y="0"/>
                      <a:ext cx="5271770" cy="76200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其他信息</w:t>
      </w:r>
    </w:p>
    <w:p>
      <w:pPr>
        <w:rPr>
          <w:rFonts w:hint="default"/>
          <w:lang w:val="en-US" w:eastAsia="zh-CN"/>
        </w:rPr>
      </w:pPr>
      <w:r>
        <w:rPr>
          <w:rFonts w:hint="default"/>
          <w:lang w:val="en-US" w:eastAsia="zh-CN"/>
        </w:rPr>
        <w:t>SIM卡初始状态</w:t>
      </w:r>
      <w:r>
        <w:rPr>
          <w:rFonts w:hint="eastAsia"/>
          <w:lang w:val="en-US" w:eastAsia="zh-CN"/>
        </w:rPr>
        <w:t>：默认待激活，下拉选择已激活、可测试、库存</w:t>
      </w:r>
    </w:p>
    <w:p>
      <w:pPr>
        <w:rPr>
          <w:rFonts w:hint="default"/>
          <w:lang w:val="en-US" w:eastAsia="zh-CN"/>
        </w:rPr>
      </w:pPr>
      <w:r>
        <w:rPr>
          <w:rFonts w:hint="default"/>
          <w:lang w:val="en-US" w:eastAsia="zh-CN"/>
        </w:rPr>
        <w:t>期满后下一个状态</w:t>
      </w:r>
      <w:r>
        <w:rPr>
          <w:rFonts w:hint="eastAsia"/>
          <w:lang w:val="en-US" w:eastAsia="zh-CN"/>
        </w:rPr>
        <w:t>：默认已激活，下拉选择待激活、其他</w:t>
      </w:r>
    </w:p>
    <w:p>
      <w:pPr>
        <w:rPr>
          <w:rFonts w:hint="default"/>
          <w:lang w:val="en-US" w:eastAsia="zh-CN"/>
        </w:rPr>
      </w:pPr>
      <w:r>
        <w:rPr>
          <w:rFonts w:hint="default"/>
          <w:lang w:val="en-US" w:eastAsia="zh-CN"/>
        </w:rPr>
        <w:t>待激活/库存时长</w:t>
      </w:r>
      <w:r>
        <w:rPr>
          <w:rFonts w:hint="eastAsia"/>
          <w:lang w:val="en-US" w:eastAsia="zh-CN"/>
        </w:rPr>
        <w:t>：正整数</w:t>
      </w:r>
    </w:p>
    <w:p>
      <w:pPr>
        <w:ind w:left="3150" w:hanging="3150" w:hangingChars="1500"/>
        <w:rPr>
          <w:rFonts w:hint="default"/>
          <w:lang w:val="en-US" w:eastAsia="zh-CN"/>
        </w:rPr>
      </w:pPr>
      <w:r>
        <w:rPr>
          <w:rFonts w:hint="default"/>
          <w:lang w:val="en-US" w:eastAsia="zh-CN"/>
        </w:rPr>
        <w:t>测试期免费资源用尽后是否关停</w:t>
      </w:r>
      <w:r>
        <w:rPr>
          <w:rFonts w:hint="eastAsia"/>
          <w:lang w:val="en-US" w:eastAsia="zh-CN"/>
        </w:rPr>
        <w:t>：默认关停，下拉选择不关停、测试期免费流量用尽后进入下一状态</w:t>
      </w:r>
    </w:p>
    <w:p>
      <w:pPr>
        <w:rPr>
          <w:rFonts w:hint="default"/>
          <w:lang w:val="en-US" w:eastAsia="zh-CN"/>
        </w:rPr>
      </w:pPr>
      <w:r>
        <w:rPr>
          <w:rFonts w:hint="default"/>
          <w:lang w:val="en-US" w:eastAsia="zh-CN"/>
        </w:rPr>
        <w:t>余量定向通知</w:t>
      </w:r>
      <w:r>
        <w:rPr>
          <w:rFonts w:hint="eastAsia"/>
          <w:lang w:val="en-US" w:eastAsia="zh-CN"/>
        </w:rPr>
        <w:t>：默认通知，下拉选择不通知</w:t>
      </w:r>
    </w:p>
    <w:p>
      <w:pPr>
        <w:rPr>
          <w:rFonts w:hint="default"/>
          <w:lang w:val="en-US" w:eastAsia="zh-CN"/>
        </w:rPr>
      </w:pPr>
      <w:r>
        <w:rPr>
          <w:rFonts w:hint="default"/>
          <w:lang w:val="en-US" w:eastAsia="zh-CN"/>
        </w:rPr>
        <w:t>余量通用通知</w:t>
      </w:r>
      <w:r>
        <w:rPr>
          <w:rFonts w:hint="eastAsia"/>
          <w:lang w:val="en-US" w:eastAsia="zh-CN"/>
        </w:rPr>
        <w:t>：默认通知，下拉选择不通知</w:t>
      </w:r>
    </w:p>
    <w:p>
      <w:pPr>
        <w:rPr>
          <w:rFonts w:hint="default"/>
          <w:lang w:val="en-US" w:eastAsia="zh-CN"/>
        </w:rPr>
      </w:pPr>
      <w:r>
        <w:rPr>
          <w:rFonts w:hint="default"/>
          <w:lang w:val="en-US" w:eastAsia="zh-CN"/>
        </w:rPr>
        <w:t>用户类别</w:t>
      </w:r>
      <w:r>
        <w:rPr>
          <w:rFonts w:hint="eastAsia"/>
          <w:lang w:val="en-US" w:eastAsia="zh-CN"/>
        </w:rPr>
        <w:t>：默认2G/3G/4GS/5GNSA用户，下拉选择4G/5GSA用户</w:t>
      </w:r>
    </w:p>
    <w:p>
      <w:pPr>
        <w:rPr>
          <w:rFonts w:hint="default"/>
          <w:lang w:val="en-US" w:eastAsia="zh-CN"/>
        </w:rPr>
      </w:pPr>
      <w:r>
        <w:rPr>
          <w:rFonts w:hint="default"/>
          <w:lang w:val="en-US" w:eastAsia="zh-CN"/>
        </w:rPr>
        <w:t>车企名称</w:t>
      </w:r>
      <w:r>
        <w:rPr>
          <w:rFonts w:hint="eastAsia"/>
          <w:lang w:val="en-US" w:eastAsia="zh-CN"/>
        </w:rPr>
        <w:t>：选填</w:t>
      </w:r>
    </w:p>
    <w:p>
      <w:pPr>
        <w:rPr>
          <w:rFonts w:hint="default"/>
          <w:lang w:val="en-US" w:eastAsia="zh-CN"/>
        </w:rPr>
      </w:pPr>
      <w:r>
        <w:rPr>
          <w:rFonts w:hint="default"/>
          <w:lang w:val="en-US" w:eastAsia="zh-CN"/>
        </w:rPr>
        <w:t>预受理单名称</w:t>
      </w:r>
      <w:r>
        <w:rPr>
          <w:rFonts w:hint="eastAsia"/>
          <w:lang w:val="en-US" w:eastAsia="zh-CN"/>
        </w:rPr>
        <w:t>：选填</w:t>
      </w:r>
    </w:p>
    <w:p>
      <w:pPr>
        <w:rPr>
          <w:rFonts w:hint="default"/>
          <w:lang w:val="en-US" w:eastAsia="zh-CN"/>
        </w:rPr>
      </w:pPr>
      <w:r>
        <w:rPr>
          <w:rFonts w:hint="default"/>
          <w:lang w:val="en-US" w:eastAsia="zh-CN"/>
        </w:rPr>
        <w:t>预受理描述</w:t>
      </w:r>
      <w:r>
        <w:rPr>
          <w:rFonts w:hint="eastAsia"/>
          <w:lang w:val="en-US" w:eastAsia="zh-CN"/>
        </w:rPr>
        <w:t>：选填</w:t>
      </w:r>
    </w:p>
    <w:p>
      <w:r>
        <w:drawing>
          <wp:inline distT="0" distB="0" distL="114300" distR="114300">
            <wp:extent cx="5268595" cy="1237615"/>
            <wp:effectExtent l="0" t="0" r="4445" b="12065"/>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22"/>
                    <a:stretch>
                      <a:fillRect/>
                    </a:stretch>
                  </pic:blipFill>
                  <pic:spPr>
                    <a:xfrm>
                      <a:off x="0" y="0"/>
                      <a:ext cx="5268595" cy="12376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4.订购增值商品、填折扣</w:t>
      </w:r>
    </w:p>
    <w:p>
      <w:pPr>
        <w:rPr>
          <w:rFonts w:hint="eastAsia"/>
          <w:lang w:val="en-US" w:eastAsia="zh-CN"/>
        </w:rPr>
      </w:pPr>
      <w:r>
        <w:rPr>
          <w:rFonts w:hint="eastAsia"/>
          <w:lang w:val="en-US" w:eastAsia="zh-CN"/>
        </w:rPr>
        <w:t>主商品：下拉选择，必选</w:t>
      </w:r>
    </w:p>
    <w:p>
      <w:pPr>
        <w:rPr>
          <w:rFonts w:hint="eastAsia"/>
          <w:lang w:val="en-US" w:eastAsia="zh-CN"/>
        </w:rPr>
      </w:pPr>
      <w:r>
        <w:rPr>
          <w:rFonts w:hint="eastAsia"/>
          <w:lang w:val="en-US" w:eastAsia="zh-CN"/>
        </w:rPr>
        <w:t>资费类型：下拉选择</w:t>
      </w:r>
    </w:p>
    <w:p>
      <w:pPr>
        <w:rPr>
          <w:rFonts w:hint="eastAsia"/>
          <w:color w:val="FF0000"/>
          <w:lang w:val="en-US" w:eastAsia="zh-CN"/>
        </w:rPr>
      </w:pPr>
      <w:r>
        <w:rPr>
          <w:rFonts w:hint="eastAsia"/>
          <w:color w:val="FF0000"/>
          <w:lang w:val="en-US" w:eastAsia="zh-CN"/>
        </w:rPr>
        <w:t>商品名称：支持模糊搜索</w:t>
      </w:r>
    </w:p>
    <w:p>
      <w:pPr>
        <w:rPr>
          <w:rFonts w:hint="eastAsia"/>
          <w:lang w:val="en-US" w:eastAsia="zh-CN"/>
        </w:rPr>
      </w:pPr>
      <w:r>
        <w:rPr>
          <w:rFonts w:hint="eastAsia"/>
          <w:lang w:val="en-US" w:eastAsia="zh-CN"/>
        </w:rPr>
        <w:t>商品列表：展示商品名称、商品资费、商品计费类型、商品包含时长、商品包含流量、包含短信条数、商品编码</w:t>
      </w:r>
    </w:p>
    <w:p>
      <w:pPr>
        <w:rPr>
          <w:rFonts w:hint="eastAsia"/>
          <w:lang w:val="en-US" w:eastAsia="zh-CN"/>
        </w:rPr>
      </w:pPr>
      <w:r>
        <w:rPr>
          <w:rFonts w:hint="eastAsia"/>
          <w:highlight w:val="yellow"/>
          <w:lang w:val="en-US" w:eastAsia="zh-CN"/>
        </w:rPr>
        <w:t>点击左侧加号进行商品选择，</w:t>
      </w:r>
      <w:r>
        <w:rPr>
          <w:rFonts w:hint="eastAsia"/>
          <w:lang w:val="en-US" w:eastAsia="zh-CN"/>
        </w:rPr>
        <w:t>选择好的商品会展示在下方的“已选增值商品信息栏”，</w:t>
      </w:r>
    </w:p>
    <w:p>
      <w:pPr>
        <w:rPr>
          <w:rFonts w:hint="default"/>
          <w:lang w:val="en-US" w:eastAsia="zh-CN"/>
        </w:rPr>
      </w:pPr>
      <w:r>
        <w:rPr>
          <w:rFonts w:hint="eastAsia"/>
          <w:lang w:val="en-US" w:eastAsia="zh-CN"/>
        </w:rPr>
        <w:t>填写套餐申请折扣率，或者套餐申请价格</w:t>
      </w:r>
    </w:p>
    <w:p>
      <w:pPr>
        <w:rPr>
          <w:rFonts w:hint="default"/>
          <w:highlight w:val="yellow"/>
          <w:lang w:val="en-US" w:eastAsia="zh-CN"/>
        </w:rPr>
      </w:pPr>
    </w:p>
    <w:p>
      <w:r>
        <w:drawing>
          <wp:inline distT="0" distB="0" distL="114300" distR="114300">
            <wp:extent cx="5268595" cy="2874010"/>
            <wp:effectExtent l="0" t="0" r="4445" b="635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pic:cNvPicPr>
                  </pic:nvPicPr>
                  <pic:blipFill>
                    <a:blip r:embed="rId23"/>
                    <a:stretch>
                      <a:fillRect/>
                    </a:stretch>
                  </pic:blipFill>
                  <pic:spPr>
                    <a:xfrm>
                      <a:off x="0" y="0"/>
                      <a:ext cx="5268595" cy="2874010"/>
                    </a:xfrm>
                    <a:prstGeom prst="rect">
                      <a:avLst/>
                    </a:prstGeom>
                    <a:noFill/>
                    <a:ln>
                      <a:noFill/>
                    </a:ln>
                  </pic:spPr>
                </pic:pic>
              </a:graphicData>
            </a:graphic>
          </wp:inline>
        </w:drawing>
      </w:r>
    </w:p>
    <w:p>
      <w:pPr>
        <w:rPr>
          <w:rFonts w:hint="default" w:eastAsia="宋体"/>
          <w:lang w:val="en-US" w:eastAsia="zh-CN"/>
        </w:rPr>
      </w:pPr>
      <w:r>
        <w:rPr>
          <w:rFonts w:hint="eastAsia"/>
          <w:lang w:eastAsia="zh-CN"/>
        </w:rPr>
        <w:t>【</w:t>
      </w:r>
      <w:r>
        <w:rPr>
          <w:rFonts w:hint="eastAsia"/>
          <w:lang w:val="en-US" w:eastAsia="zh-CN"/>
        </w:rPr>
        <w:t>备注】如已有项目，则项目中已经申请过的商品信息会自动展示在已选列表中，如本次开卡不需要订购该商品，则可以点击删除。</w:t>
      </w:r>
    </w:p>
    <w:p>
      <w:r>
        <w:drawing>
          <wp:inline distT="0" distB="0" distL="114300" distR="114300">
            <wp:extent cx="5269230" cy="1471295"/>
            <wp:effectExtent l="0" t="0" r="3810" b="6985"/>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pic:cNvPicPr>
                  </pic:nvPicPr>
                  <pic:blipFill>
                    <a:blip r:embed="rId24"/>
                    <a:stretch>
                      <a:fillRect/>
                    </a:stretch>
                  </pic:blipFill>
                  <pic:spPr>
                    <a:xfrm>
                      <a:off x="0" y="0"/>
                      <a:ext cx="5269230" cy="147129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向后拉可以看到集团折扣底线百分比、集团折扣底线价格、省公司折扣底线</w:t>
      </w:r>
    </w:p>
    <w:p>
      <w:r>
        <w:drawing>
          <wp:inline distT="0" distB="0" distL="114300" distR="114300">
            <wp:extent cx="5267960" cy="1417955"/>
            <wp:effectExtent l="0" t="0" r="5080" b="14605"/>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25"/>
                    <a:stretch>
                      <a:fillRect/>
                    </a:stretch>
                  </pic:blipFill>
                  <pic:spPr>
                    <a:xfrm>
                      <a:off x="0" y="0"/>
                      <a:ext cx="5267960" cy="1417955"/>
                    </a:xfrm>
                    <a:prstGeom prst="rect">
                      <a:avLst/>
                    </a:prstGeom>
                    <a:noFill/>
                    <a:ln>
                      <a:noFill/>
                    </a:ln>
                  </pic:spPr>
                </pic:pic>
              </a:graphicData>
            </a:graphic>
          </wp:inline>
        </w:drawing>
      </w:r>
    </w:p>
    <w:p>
      <w:pPr>
        <w:rPr>
          <w:rFonts w:hint="eastAsia"/>
          <w:highlight w:val="yellow"/>
          <w:lang w:val="en-US" w:eastAsia="zh-CN"/>
        </w:rPr>
      </w:pPr>
      <w:r>
        <w:rPr>
          <w:rFonts w:hint="eastAsia"/>
          <w:highlight w:val="yellow"/>
          <w:lang w:val="en-US" w:eastAsia="zh-CN"/>
        </w:rPr>
        <w:t>如果是按照价格打折，则可以双击修改套餐申请价格；</w:t>
      </w:r>
    </w:p>
    <w:p>
      <w:pPr>
        <w:rPr>
          <w:rFonts w:hint="default"/>
          <w:highlight w:val="yellow"/>
          <w:lang w:val="en-US" w:eastAsia="zh-CN"/>
        </w:rPr>
      </w:pPr>
      <w:r>
        <w:rPr>
          <w:rFonts w:hint="eastAsia"/>
          <w:highlight w:val="yellow"/>
          <w:lang w:val="en-US" w:eastAsia="zh-CN"/>
        </w:rPr>
        <w:t>如果是按照折扣率打折，则可以双击修改套餐申请折扣率；</w:t>
      </w:r>
    </w:p>
    <w:p>
      <w:pPr>
        <w:rPr>
          <w:rFonts w:hint="eastAsia"/>
          <w:highlight w:val="yellow"/>
          <w:lang w:val="en-US" w:eastAsia="zh-CN"/>
        </w:rPr>
      </w:pPr>
      <w:r>
        <w:rPr>
          <w:rFonts w:hint="eastAsia"/>
          <w:highlight w:val="yellow"/>
          <w:lang w:val="en-US" w:eastAsia="zh-CN"/>
        </w:rPr>
        <w:t>如果申请的价格或者折扣率低于省公司折扣底线且高于集团折扣底线，则会需要送市场经营审核；</w:t>
      </w:r>
    </w:p>
    <w:p>
      <w:pPr>
        <w:rPr>
          <w:rFonts w:hint="eastAsia"/>
          <w:highlight w:val="yellow"/>
          <w:lang w:val="en-US" w:eastAsia="zh-CN"/>
        </w:rPr>
      </w:pPr>
      <w:r>
        <w:rPr>
          <w:rFonts w:hint="eastAsia"/>
          <w:highlight w:val="yellow"/>
          <w:lang w:val="en-US" w:eastAsia="zh-CN"/>
        </w:rPr>
        <w:t>如果申请的价格或者折扣率低于省公司折扣底线且低于集团折扣底线，则会需要送市场经营审核和集团公司审核；</w:t>
      </w:r>
    </w:p>
    <w:p>
      <w:pPr>
        <w:pStyle w:val="5"/>
        <w:bidi w:val="0"/>
        <w:rPr>
          <w:rFonts w:hint="eastAsia"/>
          <w:lang w:val="en-US" w:eastAsia="zh-CN"/>
        </w:rPr>
      </w:pPr>
      <w:r>
        <w:rPr>
          <w:rFonts w:hint="eastAsia"/>
          <w:lang w:val="en-US" w:eastAsia="zh-CN"/>
        </w:rPr>
        <w:t>5.选择账户</w:t>
      </w:r>
    </w:p>
    <w:p>
      <w:pPr>
        <w:bidi w:val="0"/>
        <w:rPr>
          <w:rFonts w:hint="eastAsia"/>
          <w:lang w:val="en-US" w:eastAsia="zh-CN"/>
        </w:rPr>
      </w:pPr>
      <w:r>
        <w:rPr>
          <w:rFonts w:hint="eastAsia"/>
          <w:lang w:val="en-US" w:eastAsia="zh-CN"/>
        </w:rPr>
        <w:t>填写账户信息，是否新增账户：默认否，点击则为是</w:t>
      </w:r>
    </w:p>
    <w:p>
      <w:pPr>
        <w:numPr>
          <w:ilvl w:val="0"/>
          <w:numId w:val="9"/>
        </w:numPr>
        <w:rPr>
          <w:rFonts w:hint="eastAsia"/>
          <w:lang w:val="en-US" w:eastAsia="zh-CN"/>
        </w:rPr>
      </w:pPr>
      <w:r>
        <w:rPr>
          <w:rFonts w:hint="eastAsia"/>
          <w:lang w:val="en-US" w:eastAsia="zh-CN"/>
        </w:rPr>
        <w:t>如选择已有账户：在账户列表中，点击左侧小圆，选择一个已有账户；</w:t>
      </w:r>
    </w:p>
    <w:p>
      <w:pPr>
        <w:rPr>
          <w:rFonts w:hint="default"/>
          <w:lang w:val="en-US" w:eastAsia="zh-CN"/>
        </w:rPr>
      </w:pPr>
      <w:r>
        <w:rPr>
          <w:rFonts w:hint="eastAsia"/>
          <w:lang w:val="en-US" w:eastAsia="zh-CN"/>
        </w:rPr>
        <w:t>账户填写要求如下：</w:t>
      </w:r>
    </w:p>
    <w:p>
      <w:pPr>
        <w:numPr>
          <w:ilvl w:val="0"/>
          <w:numId w:val="0"/>
        </w:numPr>
        <w:ind w:leftChars="0"/>
        <w:rPr>
          <w:rFonts w:hint="default"/>
          <w:lang w:val="en-US" w:eastAsia="zh-CN"/>
        </w:rPr>
      </w:pPr>
      <w:r>
        <w:rPr>
          <w:rFonts w:hint="eastAsia"/>
          <w:lang w:val="en-US" w:eastAsia="zh-CN"/>
        </w:rPr>
        <w:t>1、如选择存量项目，则可以选择存量项目对应的存量账户ID（请务必与客户经理确认，账户ID是哪个）；也可以选择新增账户</w:t>
      </w:r>
    </w:p>
    <w:p>
      <w:pPr>
        <w:numPr>
          <w:ilvl w:val="0"/>
          <w:numId w:val="0"/>
        </w:numPr>
        <w:ind w:leftChars="0"/>
        <w:rPr>
          <w:rFonts w:hint="eastAsia"/>
          <w:lang w:val="en-US" w:eastAsia="zh-CN"/>
        </w:rPr>
      </w:pPr>
      <w:r>
        <w:rPr>
          <w:rFonts w:hint="eastAsia"/>
          <w:lang w:val="en-US" w:eastAsia="zh-CN"/>
        </w:rPr>
        <w:t>2、如选择新增项目，则必须选择新增账户</w:t>
      </w:r>
    </w:p>
    <w:p>
      <w:pPr>
        <w:numPr>
          <w:ilvl w:val="0"/>
          <w:numId w:val="0"/>
        </w:numPr>
        <w:rPr>
          <w:rFonts w:hint="default"/>
          <w:b/>
          <w:bCs/>
          <w:color w:val="FF0000"/>
          <w:lang w:val="en-US" w:eastAsia="zh-CN"/>
        </w:rPr>
      </w:pPr>
    </w:p>
    <w:p>
      <w:pPr>
        <w:numPr>
          <w:ilvl w:val="0"/>
          <w:numId w:val="0"/>
        </w:numPr>
        <w:rPr>
          <w:rFonts w:hint="eastAsia"/>
          <w:lang w:val="en-US" w:eastAsia="zh-CN"/>
        </w:rPr>
      </w:pPr>
      <w:r>
        <w:rPr>
          <w:rFonts w:hint="eastAsia"/>
          <w:lang w:val="en-US" w:eastAsia="zh-CN"/>
        </w:rPr>
        <w:t>2）如新增账户，则继续填写：</w:t>
      </w:r>
    </w:p>
    <w:p>
      <w:pPr>
        <w:numPr>
          <w:ilvl w:val="0"/>
          <w:numId w:val="10"/>
        </w:numPr>
        <w:ind w:left="420" w:leftChars="0" w:hanging="420" w:firstLineChars="0"/>
        <w:rPr>
          <w:rFonts w:hint="eastAsia"/>
          <w:lang w:val="en-US" w:eastAsia="zh-CN"/>
        </w:rPr>
      </w:pPr>
      <w:r>
        <w:rPr>
          <w:rFonts w:hint="eastAsia"/>
          <w:lang w:val="en-US" w:eastAsia="zh-CN"/>
        </w:rPr>
        <w:t>计费周期：默认选择按月，可选择按季、按年、其他</w:t>
      </w:r>
    </w:p>
    <w:p>
      <w:pPr>
        <w:numPr>
          <w:ilvl w:val="0"/>
          <w:numId w:val="10"/>
        </w:numPr>
        <w:ind w:left="420" w:leftChars="0" w:hanging="420" w:firstLineChars="0"/>
        <w:rPr>
          <w:rFonts w:hint="eastAsia"/>
          <w:lang w:val="en-US" w:eastAsia="zh-CN"/>
        </w:rPr>
      </w:pPr>
      <w:r>
        <w:rPr>
          <w:rFonts w:hint="eastAsia"/>
          <w:lang w:val="en-US" w:eastAsia="zh-CN"/>
        </w:rPr>
        <w:t>银行托收相关信息：银行行号、开户银行、开户名称、银行账号</w:t>
      </w:r>
    </w:p>
    <w:p>
      <w:pPr>
        <w:numPr>
          <w:ilvl w:val="0"/>
          <w:numId w:val="0"/>
        </w:numPr>
        <w:rPr>
          <w:rFonts w:hint="eastAsia"/>
          <w:strike/>
          <w:dstrike w:val="0"/>
          <w:sz w:val="21"/>
          <w:lang w:val="en-US" w:eastAsia="zh-CN"/>
        </w:rPr>
      </w:pPr>
      <w:r>
        <w:rPr>
          <w:rFonts w:hint="eastAsia"/>
          <w:strike/>
          <w:dstrike w:val="0"/>
          <w:sz w:val="21"/>
          <w:lang w:val="en-US" w:eastAsia="zh-CN"/>
        </w:rPr>
        <w:t xml:space="preserve">【说明】对于新增账户，客户经理只是填写申请，仍需要操作员在CMIOT系统完成新建账户操作。 </w:t>
      </w:r>
    </w:p>
    <w:p>
      <w:pPr>
        <w:numPr>
          <w:ilvl w:val="0"/>
          <w:numId w:val="0"/>
        </w:numPr>
        <w:rPr>
          <w:rFonts w:hint="default"/>
          <w:strike w:val="0"/>
          <w:dstrike w:val="0"/>
          <w:sz w:val="21"/>
          <w:lang w:val="en-US" w:eastAsia="zh-CN"/>
        </w:rPr>
      </w:pPr>
      <w:r>
        <w:rPr>
          <w:rFonts w:hint="eastAsia"/>
          <w:strike w:val="0"/>
          <w:dstrike w:val="0"/>
          <w:sz w:val="21"/>
          <w:lang w:val="en-US" w:eastAsia="zh-CN"/>
        </w:rPr>
        <w:t>【2023-12说明】新增账户后，由系统自动创建账户，不需要操作员再登录CMIOT系统进行手工创建。</w:t>
      </w:r>
    </w:p>
    <w:p>
      <w:pPr>
        <w:numPr>
          <w:ilvl w:val="0"/>
          <w:numId w:val="0"/>
        </w:numPr>
        <w:rPr>
          <w:rFonts w:hint="eastAsia"/>
          <w:lang w:val="en-US" w:eastAsia="zh-CN"/>
        </w:rPr>
      </w:pPr>
      <w:r>
        <w:drawing>
          <wp:inline distT="0" distB="0" distL="114300" distR="114300">
            <wp:extent cx="3804285" cy="2324100"/>
            <wp:effectExtent l="0" t="0" r="5715" b="7620"/>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26"/>
                    <a:stretch>
                      <a:fillRect/>
                    </a:stretch>
                  </pic:blipFill>
                  <pic:spPr>
                    <a:xfrm>
                      <a:off x="0" y="0"/>
                      <a:ext cx="3804285" cy="2324100"/>
                    </a:xfrm>
                    <a:prstGeom prst="rect">
                      <a:avLst/>
                    </a:prstGeom>
                    <a:noFill/>
                    <a:ln>
                      <a:noFill/>
                    </a:ln>
                  </pic:spPr>
                </pic:pic>
              </a:graphicData>
            </a:graphic>
          </wp:inline>
        </w:drawing>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6.上传附件</w:t>
      </w:r>
    </w:p>
    <w:p>
      <w:pPr>
        <w:rPr>
          <w:rFonts w:hint="default"/>
          <w:u w:val="single"/>
          <w:lang w:val="en-US" w:eastAsia="zh-CN"/>
        </w:rPr>
      </w:pPr>
      <w:r>
        <w:rPr>
          <w:rFonts w:hint="eastAsia"/>
          <w:lang w:val="en-US" w:eastAsia="zh-CN"/>
        </w:rPr>
        <w:t>分为：风险评估表、经办人身份证（正面）、其它、经办人身份证（反面）、号码清单、签约协议、单位有效证件、现场考察报告、现场考察资质确认单、经办人半身人像、经办人/责任人授权书、入网协议、责任人身份证（正面）、责任人身份证（反面），选传</w:t>
      </w:r>
      <w:r>
        <w:rPr>
          <w:rFonts w:hint="eastAsia"/>
          <w:u w:val="single"/>
          <w:lang w:val="en-US" w:eastAsia="zh-CN"/>
        </w:rPr>
        <w:t>【如果这里上传了，后续审核时会自动带过去，不必再上传一次】</w:t>
      </w:r>
    </w:p>
    <w:p>
      <w:r>
        <w:drawing>
          <wp:inline distT="0" distB="0" distL="114300" distR="114300">
            <wp:extent cx="5274310" cy="2255520"/>
            <wp:effectExtent l="0" t="0" r="13970" b="0"/>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27"/>
                    <a:stretch>
                      <a:fillRect/>
                    </a:stretch>
                  </pic:blipFill>
                  <pic:spPr>
                    <a:xfrm>
                      <a:off x="0" y="0"/>
                      <a:ext cx="5274310" cy="2255520"/>
                    </a:xfrm>
                    <a:prstGeom prst="rect">
                      <a:avLst/>
                    </a:prstGeom>
                    <a:noFill/>
                    <a:ln>
                      <a:noFill/>
                    </a:ln>
                  </pic:spPr>
                </pic:pic>
              </a:graphicData>
            </a:graphic>
          </wp:inline>
        </w:drawing>
      </w:r>
    </w:p>
    <w:p/>
    <w:p>
      <w:pPr>
        <w:pStyle w:val="5"/>
        <w:bidi w:val="0"/>
        <w:rPr>
          <w:rFonts w:hint="eastAsia"/>
          <w:lang w:val="en-US" w:eastAsia="zh-CN"/>
        </w:rPr>
      </w:pPr>
      <w:r>
        <w:rPr>
          <w:rFonts w:hint="eastAsia"/>
          <w:lang w:val="en-US" w:eastAsia="zh-CN"/>
        </w:rPr>
        <w:t>7.提单</w:t>
      </w:r>
    </w:p>
    <w:p>
      <w:pPr>
        <w:rPr>
          <w:rFonts w:hint="eastAsia"/>
          <w:lang w:val="en-US" w:eastAsia="zh-CN"/>
        </w:rPr>
      </w:pPr>
      <w:r>
        <w:rPr>
          <w:rFonts w:hint="eastAsia"/>
          <w:lang w:val="en-US" w:eastAsia="zh-CN"/>
        </w:rPr>
        <w:t>确定填写的信息内容，若有些信息未填，则不展示</w:t>
      </w:r>
    </w:p>
    <w:p>
      <w:pPr>
        <w:rPr>
          <w:rFonts w:hint="default"/>
          <w:lang w:val="en-US" w:eastAsia="zh-CN"/>
        </w:rPr>
      </w:pPr>
      <w:r>
        <w:rPr>
          <w:rFonts w:hint="eastAsia"/>
          <w:lang w:val="en-US" w:eastAsia="zh-CN"/>
        </w:rPr>
        <w:t>点击确定，申请单提交成功</w:t>
      </w:r>
    </w:p>
    <w:p>
      <w:r>
        <w:drawing>
          <wp:inline distT="0" distB="0" distL="114300" distR="114300">
            <wp:extent cx="4368165" cy="6293485"/>
            <wp:effectExtent l="0" t="0" r="5715" b="635"/>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28"/>
                    <a:stretch>
                      <a:fillRect/>
                    </a:stretch>
                  </pic:blipFill>
                  <pic:spPr>
                    <a:xfrm>
                      <a:off x="0" y="0"/>
                      <a:ext cx="4368165" cy="62934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点击提交，进入审核</w:t>
      </w:r>
    </w:p>
    <w:p>
      <w:pPr>
        <w:rPr>
          <w:rFonts w:hint="eastAsia"/>
        </w:rPr>
      </w:pPr>
      <w:r>
        <w:drawing>
          <wp:inline distT="0" distB="0" distL="114300" distR="114300">
            <wp:extent cx="5274310" cy="2154555"/>
            <wp:effectExtent l="0" t="0" r="13970" b="9525"/>
            <wp:docPr id="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
                    <pic:cNvPicPr>
                      <a:picLocks noChangeAspect="1"/>
                    </pic:cNvPicPr>
                  </pic:nvPicPr>
                  <pic:blipFill>
                    <a:blip r:embed="rId29"/>
                    <a:stretch>
                      <a:fillRect/>
                    </a:stretch>
                  </pic:blipFill>
                  <pic:spPr>
                    <a:xfrm>
                      <a:off x="0" y="0"/>
                      <a:ext cx="5274310" cy="2154555"/>
                    </a:xfrm>
                    <a:prstGeom prst="rect">
                      <a:avLst/>
                    </a:prstGeom>
                    <a:noFill/>
                    <a:ln>
                      <a:noFill/>
                    </a:ln>
                  </pic:spPr>
                </pic:pic>
              </a:graphicData>
            </a:graphic>
          </wp:inline>
        </w:drawing>
      </w:r>
    </w:p>
    <w:p>
      <w:r>
        <w:drawing>
          <wp:inline distT="0" distB="0" distL="114300" distR="114300">
            <wp:extent cx="5269865" cy="1758950"/>
            <wp:effectExtent l="0" t="0" r="3175" b="889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30"/>
                    <a:stretch>
                      <a:fillRect/>
                    </a:stretch>
                  </pic:blipFill>
                  <pic:spPr>
                    <a:xfrm>
                      <a:off x="0" y="0"/>
                      <a:ext cx="5269865" cy="1758950"/>
                    </a:xfrm>
                    <a:prstGeom prst="rect">
                      <a:avLst/>
                    </a:prstGeom>
                    <a:noFill/>
                    <a:ln>
                      <a:noFill/>
                    </a:ln>
                  </pic:spPr>
                </pic:pic>
              </a:graphicData>
            </a:graphic>
          </wp:inline>
        </w:drawing>
      </w:r>
    </w:p>
    <w:p/>
    <w:p>
      <w:pPr>
        <w:pStyle w:val="4"/>
        <w:bidi w:val="0"/>
      </w:pPr>
      <w:r>
        <w:rPr>
          <w:rFonts w:hint="eastAsia"/>
          <w:lang w:val="en-US" w:eastAsia="zh-CN"/>
        </w:rPr>
        <w:t>三</w:t>
      </w:r>
      <w:r>
        <w:rPr>
          <w:rFonts w:hint="eastAsia"/>
        </w:rPr>
        <w:t>.</w:t>
      </w:r>
      <w:r>
        <w:rPr>
          <w:rFonts w:hint="eastAsia"/>
          <w:lang w:val="en-US" w:eastAsia="zh-CN"/>
        </w:rPr>
        <w:t>资费审批</w:t>
      </w:r>
      <w:r>
        <w:rPr>
          <w:rFonts w:hint="eastAsia"/>
        </w:rPr>
        <w:t>【</w:t>
      </w:r>
      <w:r>
        <w:rPr>
          <w:rFonts w:hint="eastAsia"/>
          <w:lang w:val="en-US" w:eastAsia="zh-CN"/>
        </w:rPr>
        <w:t>业务管理员</w:t>
      </w:r>
      <w:r>
        <w:rPr>
          <w:rFonts w:hint="eastAsia"/>
        </w:rPr>
        <w:t>】</w:t>
      </w:r>
    </w:p>
    <w:p>
      <w:pPr>
        <w:numPr>
          <w:ilvl w:val="0"/>
          <w:numId w:val="11"/>
        </w:numPr>
        <w:spacing w:line="300" w:lineRule="auto"/>
        <w:ind w:left="420" w:leftChars="0" w:hanging="420" w:firstLineChars="0"/>
        <w:rPr>
          <w:rFonts w:hint="default"/>
          <w:lang w:val="en-US" w:eastAsia="zh-CN"/>
        </w:rPr>
      </w:pPr>
      <w:r>
        <w:rPr>
          <w:rFonts w:hint="eastAsia"/>
          <w:lang w:val="en-US" w:eastAsia="zh-CN"/>
        </w:rPr>
        <w:t>处理人：区县/地市物联网业务管理员</w:t>
      </w:r>
    </w:p>
    <w:p>
      <w:pPr>
        <w:numPr>
          <w:ilvl w:val="0"/>
          <w:numId w:val="11"/>
        </w:numPr>
        <w:spacing w:line="300" w:lineRule="auto"/>
        <w:ind w:left="420" w:leftChars="0" w:hanging="420" w:firstLineChars="0"/>
        <w:rPr>
          <w:rFonts w:hint="eastAsia"/>
          <w:lang w:eastAsia="zh-CN"/>
        </w:rPr>
      </w:pPr>
      <w:r>
        <w:rPr>
          <w:rFonts w:hint="eastAsia"/>
          <w:lang w:val="en-US" w:eastAsia="zh-CN"/>
        </w:rPr>
        <w:t>处理菜单：业务大厅菜单搜索“业务大厅订单处理”，选择政企业务订单</w:t>
      </w:r>
      <w:r>
        <w:rPr>
          <w:rFonts w:hint="eastAsia"/>
        </w:rPr>
        <w:t>，</w:t>
      </w:r>
      <w:r>
        <w:rPr>
          <w:rFonts w:hint="eastAsia"/>
          <w:lang w:val="en-US" w:eastAsia="zh-CN"/>
        </w:rPr>
        <w:t>可以看到需要处理</w:t>
      </w:r>
      <w:r>
        <w:rPr>
          <w:rFonts w:hint="eastAsia"/>
        </w:rPr>
        <w:t>的申请单，点【处理】按钮进入下单界面</w:t>
      </w:r>
      <w:r>
        <w:rPr>
          <w:rFonts w:hint="eastAsia"/>
          <w:lang w:eastAsia="zh-CN"/>
        </w:rPr>
        <w:t>。</w:t>
      </w:r>
    </w:p>
    <w:p>
      <w:pPr>
        <w:numPr>
          <w:ilvl w:val="0"/>
          <w:numId w:val="11"/>
        </w:numPr>
        <w:spacing w:line="300" w:lineRule="auto"/>
        <w:ind w:left="420" w:leftChars="0" w:hanging="420" w:firstLineChars="0"/>
        <w:rPr>
          <w:rFonts w:hint="default"/>
          <w:lang w:val="en-US" w:eastAsia="zh-CN"/>
        </w:rPr>
      </w:pPr>
      <w:r>
        <w:rPr>
          <w:rFonts w:hint="eastAsia"/>
          <w:lang w:val="en-US" w:eastAsia="zh-CN"/>
        </w:rPr>
        <w:t>处理内容：管理员完成工单审核、资费申请相关工作，审批通过后进入客户经理申请案下单环节。</w:t>
      </w:r>
    </w:p>
    <w:p>
      <w:pPr>
        <w:numPr>
          <w:ilvl w:val="0"/>
          <w:numId w:val="12"/>
        </w:numPr>
        <w:spacing w:line="300" w:lineRule="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新增项目，审批流程有如下6个环节，其中：①②必走，③如是省公司管控资费</w:t>
      </w:r>
      <w:r>
        <w:rPr>
          <w:rFonts w:hint="eastAsia" w:ascii="宋体" w:hAnsi="宋体" w:cs="宋体"/>
          <w:sz w:val="18"/>
          <w:szCs w:val="18"/>
          <w:lang w:val="en-US" w:eastAsia="zh-CN"/>
        </w:rPr>
        <w:t>（指流量池、流量共享、定向语音等）</w:t>
      </w:r>
      <w:r>
        <w:rPr>
          <w:rFonts w:hint="eastAsia" w:ascii="宋体" w:hAnsi="宋体" w:eastAsia="宋体" w:cs="宋体"/>
          <w:sz w:val="18"/>
          <w:szCs w:val="18"/>
          <w:lang w:val="en-US" w:eastAsia="zh-CN"/>
        </w:rPr>
        <w:t>及</w:t>
      </w:r>
      <w:r>
        <w:rPr>
          <w:rFonts w:hint="eastAsia" w:ascii="宋体" w:hAnsi="宋体" w:cs="宋体"/>
          <w:sz w:val="18"/>
          <w:szCs w:val="18"/>
          <w:lang w:val="en-US" w:eastAsia="zh-CN"/>
        </w:rPr>
        <w:t>管控</w:t>
      </w:r>
      <w:r>
        <w:rPr>
          <w:rFonts w:hint="eastAsia" w:ascii="宋体" w:hAnsi="宋体" w:eastAsia="宋体" w:cs="宋体"/>
          <w:sz w:val="18"/>
          <w:szCs w:val="18"/>
          <w:lang w:val="en-US" w:eastAsia="zh-CN"/>
        </w:rPr>
        <w:t>折扣，必走；④系统自动处理；⑤如是集团公司管控资费，必走。</w:t>
      </w:r>
    </w:p>
    <w:p>
      <w:pPr>
        <w:numPr>
          <w:ilvl w:val="0"/>
          <w:numId w:val="0"/>
        </w:numPr>
        <w:spacing w:line="300" w:lineRule="auto"/>
        <w:rPr>
          <w:rFonts w:hint="default" w:ascii="Calibri" w:hAnsi="Calibri" w:cs="Calibri"/>
          <w:sz w:val="15"/>
          <w:szCs w:val="15"/>
          <w:lang w:val="en-US" w:eastAsia="zh-CN"/>
        </w:rPr>
      </w:pPr>
      <w:r>
        <w:rPr>
          <w:rFonts w:hint="eastAsia"/>
          <w:lang w:val="en-US" w:eastAsia="zh-CN"/>
        </w:rPr>
        <w:t>具体如下：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default" w:ascii="Calibri" w:hAnsi="Calibri" w:cs="Calibri"/>
          <w:sz w:val="15"/>
          <w:szCs w:val="15"/>
          <w:lang w:val="en-US" w:eastAsia="zh-CN"/>
        </w:rPr>
        <w:t>①</w:t>
      </w:r>
      <w:r>
        <w:rPr>
          <w:rFonts w:hint="eastAsia"/>
          <w:lang w:val="en-US" w:eastAsia="zh-CN"/>
        </w:rPr>
        <w:t>管理员资费审核：</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审核通过后，系统发起审批流程；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default" w:ascii="Calibri" w:hAnsi="Calibri" w:cs="Calibri"/>
          <w:sz w:val="15"/>
          <w:szCs w:val="15"/>
          <w:lang w:val="en-US" w:eastAsia="zh-CN"/>
        </w:rPr>
        <w:t>②</w:t>
      </w:r>
      <w:r>
        <w:rPr>
          <w:rFonts w:hint="eastAsia"/>
          <w:lang w:val="en-US" w:eastAsia="zh-CN"/>
        </w:rPr>
        <w:t>地市领导审批：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（复用政企产品统一下单折扣审批流程），由领导在OA审批；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如区县客户经理提单，则需要4位领导审批：县公司产品经理、县公司政企部经理、市公司产品经理、市公司政企部分管经理；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如市本级客户经理提单，则需要2位领导审批：市公司产品经理、市公司政企部分管经理；</w:t>
      </w:r>
    </w:p>
    <w:p>
      <w:pPr>
        <w:numPr>
          <w:ilvl w:val="0"/>
          <w:numId w:val="0"/>
        </w:numPr>
        <w:spacing w:line="300" w:lineRule="auto"/>
        <w:rPr>
          <w:rFonts w:hint="eastAsia"/>
          <w:lang w:val="en-US" w:eastAsia="zh-CN"/>
        </w:rPr>
      </w:pPr>
      <w:r>
        <w:rPr>
          <w:rFonts w:hint="default" w:ascii="Calibri" w:hAnsi="Calibri" w:cs="Calibri"/>
          <w:sz w:val="15"/>
          <w:szCs w:val="15"/>
          <w:lang w:val="en-US" w:eastAsia="zh-CN"/>
        </w:rPr>
        <w:t>③</w:t>
      </w:r>
      <w:r>
        <w:rPr>
          <w:rFonts w:hint="eastAsia"/>
          <w:lang w:val="en-US" w:eastAsia="zh-CN"/>
        </w:rPr>
        <w:t>OA营销案待办：</w:t>
      </w:r>
    </w:p>
    <w:p>
      <w:pPr>
        <w:numPr>
          <w:ilvl w:val="0"/>
          <w:numId w:val="0"/>
        </w:numPr>
        <w:spacing w:line="300" w:lineRule="auto"/>
        <w:rPr>
          <w:rFonts w:hint="default"/>
          <w:lang w:val="en-US" w:eastAsia="zh-CN"/>
        </w:rPr>
      </w:pPr>
      <w:r>
        <w:rPr>
          <w:rFonts w:hint="eastAsia"/>
          <w:lang w:val="en-US" w:eastAsia="zh-CN"/>
        </w:rPr>
        <w:t>如是省公司管控资费（指流量池、流量共享、定向语音等）及管控折扣，则由业务管理员提交营销活动申请工单（OA入口），管理员填写营销活动审批结果信息；</w:t>
      </w:r>
    </w:p>
    <w:p>
      <w:pPr>
        <w:numPr>
          <w:ilvl w:val="0"/>
          <w:numId w:val="0"/>
        </w:numPr>
        <w:spacing w:line="300" w:lineRule="auto"/>
        <w:rPr>
          <w:rFonts w:hint="eastAsia"/>
          <w:lang w:val="en-US" w:eastAsia="zh-CN"/>
        </w:rPr>
      </w:pPr>
      <w:r>
        <w:rPr>
          <w:rFonts w:hint="default" w:ascii="Calibri" w:hAnsi="Calibri" w:cs="Calibri"/>
          <w:sz w:val="15"/>
          <w:szCs w:val="15"/>
          <w:lang w:val="en-US" w:eastAsia="zh-CN"/>
        </w:rPr>
        <w:t>④</w:t>
      </w:r>
      <w:r>
        <w:rPr>
          <w:rFonts w:hint="eastAsia"/>
          <w:lang w:val="en-US" w:eastAsia="zh-CN"/>
        </w:rPr>
        <w:t>CMIOT项目管理自动创建：</w:t>
      </w:r>
    </w:p>
    <w:p>
      <w:pPr>
        <w:numPr>
          <w:ilvl w:val="0"/>
          <w:numId w:val="0"/>
        </w:numPr>
        <w:spacing w:line="300" w:lineRule="auto"/>
        <w:rPr>
          <w:rFonts w:hint="eastAsia"/>
          <w:lang w:val="en-US" w:eastAsia="zh-CN"/>
        </w:rPr>
      </w:pPr>
      <w:r>
        <w:rPr>
          <w:rFonts w:hint="eastAsia"/>
          <w:lang w:val="en-US" w:eastAsia="zh-CN"/>
        </w:rPr>
        <w:t>系统自动创建，不需要地市管理员再到CMIOT系统手工创建项目</w:t>
      </w:r>
    </w:p>
    <w:p>
      <w:pPr>
        <w:numPr>
          <w:ilvl w:val="0"/>
          <w:numId w:val="0"/>
        </w:numPr>
        <w:spacing w:line="300" w:lineRule="auto"/>
        <w:rPr>
          <w:rFonts w:hint="eastAsia"/>
          <w:lang w:val="en-US" w:eastAsia="zh-CN"/>
        </w:rPr>
      </w:pPr>
      <w:r>
        <w:rPr>
          <w:rFonts w:hint="default" w:ascii="Calibri" w:hAnsi="Calibri" w:cs="Calibri"/>
          <w:sz w:val="15"/>
          <w:szCs w:val="15"/>
          <w:lang w:val="en-US" w:eastAsia="zh-CN"/>
        </w:rPr>
        <w:t xml:space="preserve">⑤ </w:t>
      </w:r>
      <w:r>
        <w:rPr>
          <w:rFonts w:hint="eastAsia"/>
          <w:lang w:val="en-US" w:eastAsia="zh-CN"/>
        </w:rPr>
        <w:t>CMIOT系统集团领导审批：</w:t>
      </w:r>
    </w:p>
    <w:p>
      <w:pPr>
        <w:numPr>
          <w:ilvl w:val="0"/>
          <w:numId w:val="0"/>
        </w:numPr>
        <w:spacing w:line="300" w:lineRule="auto"/>
        <w:rPr>
          <w:rFonts w:hint="eastAsia"/>
          <w:lang w:val="en-US" w:eastAsia="zh-CN"/>
        </w:rPr>
      </w:pPr>
      <w:r>
        <w:rPr>
          <w:rFonts w:hint="eastAsia"/>
          <w:lang w:val="en-US" w:eastAsia="zh-CN"/>
        </w:rPr>
        <w:t>系统自动发起集团领导审批流程。</w:t>
      </w:r>
    </w:p>
    <w:p>
      <w:pPr>
        <w:numPr>
          <w:ilvl w:val="0"/>
          <w:numId w:val="0"/>
        </w:numPr>
        <w:spacing w:line="300" w:lineRule="auto"/>
        <w:rPr>
          <w:rFonts w:hint="default" w:ascii="Calibri" w:hAnsi="Calibri" w:cs="Calibri"/>
          <w:sz w:val="15"/>
          <w:szCs w:val="15"/>
          <w:lang w:val="en-US" w:eastAsia="zh-CN"/>
        </w:rPr>
      </w:pPr>
      <w:r>
        <w:drawing>
          <wp:inline distT="0" distB="0" distL="114300" distR="114300">
            <wp:extent cx="5273040" cy="1292860"/>
            <wp:effectExtent l="0" t="0" r="3810" b="254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31"/>
                    <a:stretch>
                      <a:fillRect/>
                    </a:stretch>
                  </pic:blipFill>
                  <pic:spPr>
                    <a:xfrm>
                      <a:off x="0" y="0"/>
                      <a:ext cx="5273040" cy="12928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3.1 管理员资费审核</w:t>
      </w:r>
    </w:p>
    <w:p>
      <w:pPr>
        <w:spacing w:line="300" w:lineRule="auto"/>
        <w:rPr>
          <w:rFonts w:hint="eastAsia"/>
          <w:highlight w:val="none"/>
          <w:lang w:val="en-US" w:eastAsia="zh-CN"/>
        </w:rPr>
      </w:pPr>
      <w:r>
        <w:rPr>
          <w:rFonts w:hint="eastAsia"/>
          <w:highlight w:val="none"/>
          <w:lang w:val="en-US" w:eastAsia="zh-CN"/>
        </w:rPr>
        <w:t>业务管理员处理工单，选择市场经营系统审批人员，上传审批材料；</w:t>
      </w:r>
    </w:p>
    <w:p>
      <w:pPr>
        <w:spacing w:line="300" w:lineRule="auto"/>
        <w:rPr>
          <w:rFonts w:hint="eastAsia"/>
          <w:highlight w:val="none"/>
          <w:lang w:val="en-US" w:eastAsia="zh-CN"/>
        </w:rPr>
      </w:pPr>
      <w:r>
        <w:rPr>
          <w:rFonts w:hint="eastAsia"/>
          <w:highlight w:val="none"/>
          <w:lang w:val="en-US" w:eastAsia="zh-CN"/>
        </w:rPr>
        <w:t>【注1】审批领导，可按照地市需求进行个性化配置；</w:t>
      </w:r>
    </w:p>
    <w:p>
      <w:pPr>
        <w:spacing w:line="300" w:lineRule="auto"/>
        <w:rPr>
          <w:rFonts w:hint="default"/>
          <w:highlight w:val="none"/>
          <w:lang w:val="en-US" w:eastAsia="zh-CN"/>
        </w:rPr>
      </w:pPr>
      <w:r>
        <w:rPr>
          <w:rFonts w:hint="eastAsia"/>
          <w:highlight w:val="none"/>
          <w:lang w:val="en-US" w:eastAsia="zh-CN"/>
        </w:rPr>
        <w:t>【注2】审批材料：用于后续同步CMIOT系统创建CMIOT项目</w:t>
      </w:r>
    </w:p>
    <w:p>
      <w:pPr>
        <w:spacing w:line="300" w:lineRule="auto"/>
        <w:rPr>
          <w:rFonts w:hint="eastAsia"/>
          <w:highlight w:val="none"/>
          <w:lang w:val="en-US" w:eastAsia="zh-CN"/>
        </w:rPr>
      </w:pPr>
      <w:r>
        <w:drawing>
          <wp:inline distT="0" distB="0" distL="114300" distR="114300">
            <wp:extent cx="5272405" cy="2674620"/>
            <wp:effectExtent l="0" t="0" r="4445"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5272405" cy="2674620"/>
                    </a:xfrm>
                    <a:prstGeom prst="rect">
                      <a:avLst/>
                    </a:prstGeom>
                    <a:noFill/>
                    <a:ln>
                      <a:noFill/>
                    </a:ln>
                  </pic:spPr>
                </pic:pic>
              </a:graphicData>
            </a:graphic>
          </wp:inline>
        </w:drawing>
      </w:r>
    </w:p>
    <w:p>
      <w:pPr>
        <w:spacing w:line="300" w:lineRule="auto"/>
        <w:rPr>
          <w:rFonts w:hint="eastAsia"/>
          <w:highlight w:val="none"/>
          <w:lang w:val="en-US" w:eastAsia="zh-CN"/>
        </w:rPr>
      </w:pPr>
    </w:p>
    <w:p>
      <w:pPr>
        <w:spacing w:line="300" w:lineRule="auto"/>
        <w:rPr>
          <w:rFonts w:hint="default"/>
          <w:highlight w:val="none"/>
          <w:lang w:val="en-US" w:eastAsia="zh-CN"/>
        </w:rPr>
      </w:pPr>
      <w:r>
        <w:rPr>
          <w:rFonts w:hint="eastAsia"/>
          <w:highlight w:val="none"/>
          <w:lang w:val="en-US" w:eastAsia="zh-CN"/>
        </w:rPr>
        <w:t>如低于集团折扣，需送集团审批，处理页面如下：还需要选择集团审批人，填写总部审批文号，点击提交</w:t>
      </w:r>
    </w:p>
    <w:p>
      <w:pPr>
        <w:rPr>
          <w:rFonts w:hint="eastAsia" w:eastAsia="宋体"/>
          <w:lang w:eastAsia="zh-CN"/>
        </w:rPr>
      </w:pPr>
      <w:r>
        <w:rPr>
          <w:rFonts w:hint="eastAsia" w:eastAsia="宋体"/>
          <w:lang w:eastAsia="zh-CN"/>
        </w:rPr>
        <w:drawing>
          <wp:inline distT="0" distB="0" distL="114300" distR="114300">
            <wp:extent cx="4417695" cy="3732530"/>
            <wp:effectExtent l="0" t="0" r="1905" b="1270"/>
            <wp:docPr id="39" name="图片 39" descr="ceb983f7dde6c233ad73cc3ad52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eb983f7dde6c233ad73cc3ad529026"/>
                    <pic:cNvPicPr>
                      <a:picLocks noChangeAspect="1"/>
                    </pic:cNvPicPr>
                  </pic:nvPicPr>
                  <pic:blipFill>
                    <a:blip r:embed="rId33"/>
                    <a:stretch>
                      <a:fillRect/>
                    </a:stretch>
                  </pic:blipFill>
                  <pic:spPr>
                    <a:xfrm>
                      <a:off x="0" y="0"/>
                      <a:ext cx="4417695" cy="3732530"/>
                    </a:xfrm>
                    <a:prstGeom prst="rect">
                      <a:avLst/>
                    </a:prstGeom>
                  </pic:spPr>
                </pic:pic>
              </a:graphicData>
            </a:graphic>
          </wp:inline>
        </w:drawing>
      </w:r>
    </w:p>
    <w:p/>
    <w:p>
      <w:pPr>
        <w:rPr>
          <w:rFonts w:hint="eastAsia"/>
        </w:rPr>
      </w:pPr>
    </w:p>
    <w:p>
      <w:pPr>
        <w:pStyle w:val="5"/>
        <w:bidi w:val="0"/>
        <w:rPr>
          <w:rFonts w:hint="default"/>
          <w:lang w:val="en-US" w:eastAsia="zh-CN"/>
        </w:rPr>
      </w:pPr>
      <w:r>
        <w:rPr>
          <w:rFonts w:hint="eastAsia"/>
          <w:lang w:val="en-US" w:eastAsia="zh-CN"/>
        </w:rPr>
        <w:t>3.2 地市领导审批</w:t>
      </w:r>
    </w:p>
    <w:p>
      <w:pPr>
        <w:rPr>
          <w:rFonts w:hint="default"/>
          <w:lang w:val="en-US" w:eastAsia="zh-CN"/>
        </w:rPr>
      </w:pPr>
      <w:r>
        <w:rPr>
          <w:rFonts w:hint="eastAsia"/>
          <w:lang w:val="en-US" w:eastAsia="zh-CN"/>
        </w:rPr>
        <w:t>该流程复用政企产品统一下单折扣审批流程。</w:t>
      </w:r>
    </w:p>
    <w:p>
      <w:pPr>
        <w:rPr>
          <w:rFonts w:hint="default"/>
          <w:lang w:val="en-US" w:eastAsia="zh-CN"/>
        </w:rPr>
      </w:pPr>
      <w:r>
        <w:rPr>
          <w:rFonts w:hint="eastAsia"/>
          <w:lang w:val="en-US" w:eastAsia="zh-CN"/>
        </w:rPr>
        <w:t>审批入口：OA系统-政企产品统一下单审批菜单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审批人员：地市领导审批。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如区县客户经理提单，则需要4位领导审批：县公司产品经理、县公司政企部经理、市公司产品经理、市公司政企部分管经理；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如市本级客户经理提单，则需要2位领导审批：市公司产品经理、市公司政企部分管经理。</w:t>
      </w:r>
    </w:p>
    <w:p>
      <w:pPr>
        <w:rPr>
          <w:rFonts w:hint="default"/>
          <w:lang w:val="en-US" w:eastAsia="zh-CN"/>
        </w:rPr>
      </w:pPr>
    </w:p>
    <w:p>
      <w:pPr>
        <w:pStyle w:val="5"/>
        <w:bidi w:val="0"/>
        <w:rPr>
          <w:rFonts w:hint="default"/>
          <w:lang w:val="en-US" w:eastAsia="zh-CN"/>
        </w:rPr>
      </w:pPr>
      <w:r>
        <w:rPr>
          <w:rFonts w:hint="eastAsia"/>
          <w:lang w:val="en-US" w:eastAsia="zh-CN"/>
        </w:rPr>
        <w:t>3.3 OA营销案待办</w:t>
      </w:r>
    </w:p>
    <w:p>
      <w:pPr>
        <w:rPr>
          <w:rFonts w:hint="eastAsia" w:ascii="宋体" w:hAnsi="宋体" w:eastAsia="宋体" w:cs="宋体"/>
          <w:lang w:val="en-US" w:eastAsia="zh-CN"/>
        </w:rPr>
      </w:pPr>
      <w:r>
        <w:rPr>
          <w:rFonts w:hint="eastAsia" w:ascii="宋体" w:hAnsi="宋体" w:eastAsia="宋体" w:cs="宋体"/>
          <w:sz w:val="18"/>
          <w:szCs w:val="18"/>
          <w:lang w:val="en-US" w:eastAsia="zh-CN"/>
        </w:rPr>
        <w:t>如是省公司管控资费（指流量池、流量共享、定向语音等）及管控折扣，则业务流程会进入“OA营销案待办环节”，业务</w:t>
      </w:r>
      <w:r>
        <w:rPr>
          <w:rFonts w:hint="eastAsia" w:ascii="宋体" w:hAnsi="宋体" w:eastAsia="宋体" w:cs="宋体"/>
          <w:lang w:val="en-US" w:eastAsia="zh-CN"/>
        </w:rPr>
        <w:t>管理员需要提交营销活动申请工单（OA入口）；审批完成后，业务管理员填写营销活动审批结果信息。</w:t>
      </w:r>
    </w:p>
    <w:p>
      <w:pPr>
        <w:pStyle w:val="5"/>
        <w:bidi w:val="0"/>
        <w:rPr>
          <w:rFonts w:hint="eastAsia"/>
          <w:lang w:val="en-US" w:eastAsia="zh-CN"/>
        </w:rPr>
      </w:pPr>
      <w:r>
        <w:rPr>
          <w:rFonts w:hint="eastAsia"/>
          <w:lang w:val="en-US" w:eastAsia="zh-CN"/>
        </w:rPr>
        <w:t>3.4 CMIOT项目自动创建</w:t>
      </w:r>
    </w:p>
    <w:p>
      <w:pPr>
        <w:rPr>
          <w:rFonts w:hint="default"/>
          <w:lang w:val="en-US" w:eastAsia="zh-CN"/>
        </w:rPr>
      </w:pPr>
      <w:r>
        <w:rPr>
          <w:rFonts w:hint="eastAsia"/>
          <w:lang w:val="en-US" w:eastAsia="zh-CN"/>
        </w:rPr>
        <w:t>如资费折扣高于集团管控折扣，则系统自动创建CMIOT项目，不需要地市管理员再到CMIOT系统手工创建项目。</w:t>
      </w:r>
    </w:p>
    <w:p>
      <w:pPr>
        <w:rPr>
          <w:rFonts w:hint="default"/>
          <w:lang w:val="en-US" w:eastAsia="zh-CN"/>
        </w:rPr>
      </w:pPr>
      <w:r>
        <w:rPr>
          <w:rFonts w:hint="eastAsia"/>
          <w:lang w:val="en-US" w:eastAsia="zh-CN"/>
        </w:rPr>
        <w:t>如资费折扣低于集团管控折扣，则系统创建项目后，继续进入3.5CMIOT项目集团领导审批环节</w:t>
      </w:r>
    </w:p>
    <w:p>
      <w:pPr>
        <w:pStyle w:val="5"/>
        <w:bidi w:val="0"/>
        <w:rPr>
          <w:rFonts w:hint="default"/>
          <w:lang w:val="en-US" w:eastAsia="zh-CN"/>
        </w:rPr>
      </w:pPr>
      <w:r>
        <w:rPr>
          <w:rFonts w:hint="eastAsia"/>
          <w:lang w:val="en-US" w:eastAsia="zh-CN"/>
        </w:rPr>
        <w:t>3.5 CMIOT项目集团审批</w:t>
      </w:r>
    </w:p>
    <w:p>
      <w:pPr>
        <w:rPr>
          <w:rFonts w:hint="default"/>
          <w:lang w:val="en-US" w:eastAsia="zh-CN"/>
        </w:rPr>
      </w:pPr>
      <w:r>
        <w:rPr>
          <w:rFonts w:hint="eastAsia"/>
          <w:lang w:val="en-US" w:eastAsia="zh-CN"/>
        </w:rPr>
        <w:t>如资费折扣低于集团管控折扣，则由集团公司领导在CMIOT系统中进行资费审批。</w:t>
      </w:r>
    </w:p>
    <w:p>
      <w:pPr>
        <w:rPr>
          <w:rFonts w:hint="eastAsia"/>
          <w:lang w:val="en-US" w:eastAsia="zh-CN"/>
        </w:rPr>
      </w:pPr>
    </w:p>
    <w:p>
      <w:pPr>
        <w:rPr>
          <w:rFonts w:hint="default" w:eastAsia="宋体"/>
          <w:lang w:val="en-US" w:eastAsia="zh-CN"/>
        </w:rPr>
      </w:pPr>
      <w:r>
        <w:rPr>
          <w:rFonts w:hint="eastAsia"/>
          <w:lang w:val="en-US" w:eastAsia="zh-CN"/>
        </w:rPr>
        <w:t>审批流程结束后，业务流程进入申请单下单环节。</w:t>
      </w:r>
    </w:p>
    <w:p>
      <w:pPr>
        <w:pStyle w:val="4"/>
        <w:bidi w:val="0"/>
      </w:pPr>
      <w:r>
        <w:rPr>
          <w:rFonts w:hint="eastAsia"/>
          <w:lang w:val="en-US" w:eastAsia="zh-CN"/>
        </w:rPr>
        <w:t>四</w:t>
      </w:r>
      <w:r>
        <w:rPr>
          <w:rFonts w:hint="eastAsia"/>
        </w:rPr>
        <w:t>.申请单下单【客户经理】</w:t>
      </w:r>
    </w:p>
    <w:p>
      <w:pPr>
        <w:spacing w:line="300" w:lineRule="auto"/>
      </w:pPr>
      <w:r>
        <w:rPr>
          <w:rFonts w:hint="eastAsia"/>
          <w:b/>
          <w:bCs/>
          <w:sz w:val="24"/>
          <w:szCs w:val="24"/>
        </w:rPr>
        <w:t>单子送审批时，处于审批中，客户经理可在</w:t>
      </w:r>
      <w:r>
        <w:rPr>
          <w:rFonts w:hint="eastAsia"/>
          <w:b/>
          <w:bCs/>
          <w:color w:val="0000FF"/>
          <w:sz w:val="24"/>
          <w:szCs w:val="24"/>
        </w:rPr>
        <w:t>流转中</w:t>
      </w:r>
      <w:r>
        <w:rPr>
          <w:rFonts w:hint="eastAsia"/>
          <w:b/>
          <w:bCs/>
          <w:sz w:val="24"/>
          <w:szCs w:val="24"/>
        </w:rPr>
        <w:t>查看此单（但不可以处理此单），等审批通过了，客户经理可在</w:t>
      </w:r>
      <w:r>
        <w:rPr>
          <w:rFonts w:hint="eastAsia"/>
          <w:b/>
          <w:bCs/>
          <w:color w:val="0000FF"/>
          <w:sz w:val="24"/>
          <w:szCs w:val="24"/>
        </w:rPr>
        <w:t>待办</w:t>
      </w:r>
      <w:r>
        <w:rPr>
          <w:rFonts w:hint="eastAsia"/>
          <w:b/>
          <w:bCs/>
          <w:sz w:val="24"/>
          <w:szCs w:val="24"/>
        </w:rPr>
        <w:t>查看此单并可点击【处理】按钮进入下单界面）</w:t>
      </w:r>
    </w:p>
    <w:p>
      <w:pPr>
        <w:spacing w:line="300" w:lineRule="auto"/>
      </w:pPr>
      <w:r>
        <w:rPr>
          <w:rFonts w:hint="eastAsia"/>
          <w:lang w:val="en-US" w:eastAsia="zh-CN"/>
        </w:rPr>
        <w:t>业务大厅菜单搜索“业务大厅订单处理”，选择政企业务订单</w:t>
      </w:r>
      <w:r>
        <w:rPr>
          <w:rFonts w:hint="eastAsia"/>
        </w:rPr>
        <w:t>，找到对应的申请单，点【处理】按钮进入下单界面</w:t>
      </w:r>
    </w:p>
    <w:p>
      <w:pPr>
        <w:spacing w:line="300" w:lineRule="auto"/>
      </w:pPr>
      <w:r>
        <w:drawing>
          <wp:inline distT="0" distB="0" distL="114300" distR="114300">
            <wp:extent cx="5271770" cy="1619885"/>
            <wp:effectExtent l="0" t="0" r="12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1770" cy="1619885"/>
                    </a:xfrm>
                    <a:prstGeom prst="rect">
                      <a:avLst/>
                    </a:prstGeom>
                    <a:noFill/>
                    <a:ln>
                      <a:noFill/>
                    </a:ln>
                  </pic:spPr>
                </pic:pic>
              </a:graphicData>
            </a:graphic>
          </wp:inline>
        </w:drawing>
      </w:r>
    </w:p>
    <w:p>
      <w:pPr>
        <w:spacing w:line="300" w:lineRule="auto"/>
      </w:pPr>
      <w:r>
        <w:drawing>
          <wp:inline distT="0" distB="0" distL="114300" distR="114300">
            <wp:extent cx="5266055" cy="6032500"/>
            <wp:effectExtent l="0" t="0" r="6985"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5"/>
                    <a:stretch>
                      <a:fillRect/>
                    </a:stretch>
                  </pic:blipFill>
                  <pic:spPr>
                    <a:xfrm>
                      <a:off x="0" y="0"/>
                      <a:ext cx="5266055" cy="60325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4.1 生成电子协议</w:t>
      </w:r>
    </w:p>
    <w:p>
      <w:pPr>
        <w:widowControl/>
        <w:numPr>
          <w:ilvl w:val="0"/>
          <w:numId w:val="0"/>
        </w:numPr>
        <w:jc w:val="left"/>
        <w:rPr>
          <w:rFonts w:hint="eastAsia"/>
        </w:rPr>
      </w:pPr>
      <w:r>
        <w:rPr>
          <w:rFonts w:hint="eastAsia"/>
        </w:rPr>
        <w:t>点击【协议生成】，生成协议</w:t>
      </w:r>
    </w:p>
    <w:p>
      <w:pPr>
        <w:bidi w:val="0"/>
        <w:rPr>
          <w:rFonts w:hint="eastAsia"/>
        </w:rPr>
      </w:pPr>
      <w:r>
        <w:drawing>
          <wp:inline distT="0" distB="0" distL="114300" distR="114300">
            <wp:extent cx="5270500" cy="8352790"/>
            <wp:effectExtent l="0" t="0" r="2540"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6"/>
                    <a:stretch>
                      <a:fillRect/>
                    </a:stretch>
                  </pic:blipFill>
                  <pic:spPr>
                    <a:xfrm>
                      <a:off x="0" y="0"/>
                      <a:ext cx="5270500" cy="83527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4.2 上传业务资料附件（带*号的为必传资料）</w:t>
      </w:r>
    </w:p>
    <w:p>
      <w:pPr>
        <w:pStyle w:val="5"/>
        <w:bidi w:val="0"/>
        <w:rPr>
          <w:rFonts w:hint="eastAsia"/>
        </w:rPr>
      </w:pPr>
      <w:r>
        <w:drawing>
          <wp:inline distT="0" distB="0" distL="114300" distR="114300">
            <wp:extent cx="5267960" cy="3175000"/>
            <wp:effectExtent l="0" t="0" r="5080" b="1016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7"/>
                    <a:stretch>
                      <a:fillRect/>
                    </a:stretch>
                  </pic:blipFill>
                  <pic:spPr>
                    <a:xfrm>
                      <a:off x="0" y="0"/>
                      <a:ext cx="5267960" cy="3175000"/>
                    </a:xfrm>
                    <a:prstGeom prst="rect">
                      <a:avLst/>
                    </a:prstGeom>
                    <a:noFill/>
                    <a:ln>
                      <a:noFill/>
                    </a:ln>
                  </pic:spPr>
                </pic:pic>
              </a:graphicData>
            </a:graphic>
          </wp:inline>
        </w:drawing>
      </w:r>
      <w:r>
        <w:rPr>
          <w:rFonts w:hint="eastAsia"/>
        </w:rPr>
        <w:t>4</w:t>
      </w:r>
      <w:r>
        <w:rPr>
          <w:rFonts w:hint="eastAsia"/>
          <w:lang w:val="en-US" w:eastAsia="zh-CN"/>
        </w:rPr>
        <w:t>.3</w:t>
      </w:r>
      <w:r>
        <w:rPr>
          <w:rFonts w:hint="eastAsia"/>
        </w:rPr>
        <w:t>确认信息无误后，点击【确认下单】按钮</w:t>
      </w:r>
    </w:p>
    <w:p>
      <w:pPr>
        <w:bidi w:val="0"/>
      </w:pPr>
      <w:r>
        <w:drawing>
          <wp:inline distT="0" distB="0" distL="114300" distR="114300">
            <wp:extent cx="4343400" cy="54864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8"/>
                    <a:stretch>
                      <a:fillRect/>
                    </a:stretch>
                  </pic:blipFill>
                  <pic:spPr>
                    <a:xfrm>
                      <a:off x="0" y="0"/>
                      <a:ext cx="4343400" cy="548640"/>
                    </a:xfrm>
                    <a:prstGeom prst="rect">
                      <a:avLst/>
                    </a:prstGeom>
                    <a:noFill/>
                    <a:ln>
                      <a:noFill/>
                    </a:ln>
                  </pic:spPr>
                </pic:pic>
              </a:graphicData>
            </a:graphic>
          </wp:inline>
        </w:drawing>
      </w:r>
    </w:p>
    <w:p>
      <w:pPr>
        <w:pStyle w:val="4"/>
        <w:bidi w:val="0"/>
        <w:rPr>
          <w:b/>
          <w:bCs/>
          <w:sz w:val="24"/>
          <w:szCs w:val="24"/>
        </w:rPr>
      </w:pPr>
      <w:r>
        <w:rPr>
          <w:rFonts w:hint="eastAsia"/>
          <w:b/>
          <w:bCs/>
          <w:sz w:val="24"/>
          <w:szCs w:val="24"/>
          <w:lang w:val="en-US" w:eastAsia="zh-CN"/>
        </w:rPr>
        <w:t>五</w:t>
      </w:r>
      <w:r>
        <w:rPr>
          <w:rFonts w:hint="eastAsia"/>
          <w:b/>
          <w:bCs/>
          <w:sz w:val="24"/>
          <w:szCs w:val="24"/>
        </w:rPr>
        <w:t>.业务审核【</w:t>
      </w:r>
      <w:r>
        <w:rPr>
          <w:rFonts w:hint="eastAsia"/>
          <w:b/>
          <w:bCs/>
          <w:sz w:val="24"/>
          <w:szCs w:val="24"/>
          <w:lang w:val="en-US" w:eastAsia="zh-CN"/>
        </w:rPr>
        <w:t>业务管理员</w:t>
      </w:r>
      <w:r>
        <w:rPr>
          <w:rFonts w:hint="eastAsia"/>
          <w:b/>
          <w:bCs/>
          <w:sz w:val="24"/>
          <w:szCs w:val="24"/>
        </w:rPr>
        <w:t>】</w:t>
      </w:r>
      <w:r>
        <w:rPr>
          <w:rFonts w:hint="eastAsia" w:asciiTheme="majorEastAsia" w:hAnsiTheme="majorEastAsia" w:eastAsiaTheme="majorEastAsia" w:cstheme="majorEastAsia"/>
          <w:b/>
          <w:bCs/>
          <w:sz w:val="28"/>
          <w:szCs w:val="28"/>
        </w:rPr>
        <w:t xml:space="preserve">  </w:t>
      </w:r>
    </w:p>
    <w:p>
      <w:pPr>
        <w:spacing w:line="300" w:lineRule="auto"/>
      </w:pPr>
      <w:r>
        <w:rPr>
          <w:rFonts w:hint="eastAsia"/>
        </w:rPr>
        <w:t>点击【处理】按钮，进入审核页面</w:t>
      </w:r>
    </w:p>
    <w:p>
      <w:pPr>
        <w:spacing w:line="300" w:lineRule="auto"/>
      </w:pPr>
      <w:r>
        <w:drawing>
          <wp:inline distT="0" distB="0" distL="114300" distR="114300">
            <wp:extent cx="5267960" cy="1722120"/>
            <wp:effectExtent l="0" t="0" r="508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9"/>
                    <a:stretch>
                      <a:fillRect/>
                    </a:stretch>
                  </pic:blipFill>
                  <pic:spPr>
                    <a:xfrm>
                      <a:off x="0" y="0"/>
                      <a:ext cx="5267960" cy="1722120"/>
                    </a:xfrm>
                    <a:prstGeom prst="rect">
                      <a:avLst/>
                    </a:prstGeom>
                    <a:noFill/>
                    <a:ln>
                      <a:noFill/>
                    </a:ln>
                  </pic:spPr>
                </pic:pic>
              </a:graphicData>
            </a:graphic>
          </wp:inline>
        </w:drawing>
      </w:r>
    </w:p>
    <w:p>
      <w:pPr>
        <w:spacing w:line="300" w:lineRule="auto"/>
      </w:pPr>
      <w:r>
        <w:drawing>
          <wp:inline distT="0" distB="0" distL="114300" distR="114300">
            <wp:extent cx="5269230" cy="3102610"/>
            <wp:effectExtent l="0" t="0" r="3810"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40"/>
                    <a:stretch>
                      <a:fillRect/>
                    </a:stretch>
                  </pic:blipFill>
                  <pic:spPr>
                    <a:xfrm>
                      <a:off x="0" y="0"/>
                      <a:ext cx="5269230" cy="3102610"/>
                    </a:xfrm>
                    <a:prstGeom prst="rect">
                      <a:avLst/>
                    </a:prstGeom>
                    <a:noFill/>
                    <a:ln>
                      <a:noFill/>
                    </a:ln>
                  </pic:spPr>
                </pic:pic>
              </a:graphicData>
            </a:graphic>
          </wp:inline>
        </w:drawing>
      </w:r>
    </w:p>
    <w:p>
      <w:pPr>
        <w:spacing w:line="300" w:lineRule="auto"/>
      </w:pPr>
      <w:r>
        <w:rPr>
          <w:rFonts w:hint="eastAsia"/>
        </w:rPr>
        <w:t>双击业务信息，进行信息审核、补录</w:t>
      </w:r>
    </w:p>
    <w:p>
      <w:pPr>
        <w:spacing w:line="300" w:lineRule="auto"/>
      </w:pPr>
      <w:r>
        <w:drawing>
          <wp:inline distT="0" distB="0" distL="114300" distR="114300">
            <wp:extent cx="5264785" cy="781685"/>
            <wp:effectExtent l="0" t="0" r="8255" b="1079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41"/>
                    <a:stretch>
                      <a:fillRect/>
                    </a:stretch>
                  </pic:blipFill>
                  <pic:spPr>
                    <a:xfrm>
                      <a:off x="0" y="0"/>
                      <a:ext cx="5264785" cy="781685"/>
                    </a:xfrm>
                    <a:prstGeom prst="rect">
                      <a:avLst/>
                    </a:prstGeom>
                    <a:noFill/>
                    <a:ln>
                      <a:noFill/>
                    </a:ln>
                  </pic:spPr>
                </pic:pic>
              </a:graphicData>
            </a:graphic>
          </wp:inline>
        </w:drawing>
      </w:r>
    </w:p>
    <w:p>
      <w:pPr>
        <w:spacing w:line="300" w:lineRule="auto"/>
      </w:pPr>
      <w:r>
        <w:rPr>
          <w:rFonts w:hint="eastAsia"/>
        </w:rPr>
        <w:t>信息审核、补录完后</w:t>
      </w:r>
      <w:r>
        <w:t>，</w:t>
      </w:r>
      <w:r>
        <w:rPr>
          <w:rFonts w:hint="eastAsia"/>
        </w:rPr>
        <w:t>点击【确认】按钮</w:t>
      </w:r>
    </w:p>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1539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1539875"/>
                    </a:xfrm>
                    <a:prstGeom prst="rect">
                      <a:avLst/>
                    </a:prstGeom>
                    <a:noFill/>
                    <a:ln>
                      <a:noFill/>
                    </a:ln>
                  </pic:spPr>
                </pic:pic>
              </a:graphicData>
            </a:graphic>
          </wp:inline>
        </w:drawing>
      </w:r>
    </w:p>
    <w:p>
      <w:pPr>
        <w:bidi w:val="0"/>
      </w:pPr>
      <w:r>
        <w:rPr>
          <w:rFonts w:hint="eastAsia"/>
        </w:rPr>
        <w:t>3.对协议进行审核</w:t>
      </w:r>
    </w:p>
    <w:p>
      <w:pPr>
        <w:spacing w:line="300" w:lineRule="auto"/>
      </w:pPr>
      <w:r>
        <w:drawing>
          <wp:inline distT="0" distB="0" distL="114300" distR="114300">
            <wp:extent cx="4846320" cy="965200"/>
            <wp:effectExtent l="0" t="0" r="11430" b="635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3"/>
                    <a:stretch>
                      <a:fillRect/>
                    </a:stretch>
                  </pic:blipFill>
                  <pic:spPr>
                    <a:xfrm>
                      <a:off x="0" y="0"/>
                      <a:ext cx="4846320" cy="965200"/>
                    </a:xfrm>
                    <a:prstGeom prst="rect">
                      <a:avLst/>
                    </a:prstGeom>
                    <a:noFill/>
                    <a:ln w="9525">
                      <a:noFill/>
                    </a:ln>
                  </pic:spPr>
                </pic:pic>
              </a:graphicData>
            </a:graphic>
          </wp:inline>
        </w:drawing>
      </w:r>
    </w:p>
    <w:p>
      <w:pPr>
        <w:numPr>
          <w:ilvl w:val="0"/>
          <w:numId w:val="13"/>
        </w:numPr>
        <w:bidi w:val="0"/>
        <w:rPr>
          <w:rFonts w:hint="eastAsia"/>
        </w:rPr>
      </w:pPr>
      <w:r>
        <w:rPr>
          <w:rFonts w:hint="eastAsia"/>
        </w:rPr>
        <w:t>对资料附件进行审核</w:t>
      </w:r>
      <w:r>
        <w:rPr>
          <w:rFonts w:hint="eastAsia"/>
          <w:lang w:val="en-US" w:eastAsia="zh-CN"/>
        </w:rPr>
        <w:t>,</w:t>
      </w:r>
    </w:p>
    <w:p>
      <w:pPr>
        <w:numPr>
          <w:ilvl w:val="0"/>
          <w:numId w:val="0"/>
        </w:numPr>
        <w:spacing w:line="300" w:lineRule="auto"/>
        <w:ind w:leftChars="0"/>
        <w:rPr>
          <w:rFonts w:hint="default" w:eastAsia="宋体"/>
          <w:lang w:val="en-US" w:eastAsia="zh-CN"/>
        </w:rPr>
      </w:pPr>
      <w:r>
        <w:rPr>
          <w:rFonts w:hint="eastAsia"/>
          <w:lang w:val="en-US" w:eastAsia="zh-CN"/>
        </w:rPr>
        <w:t>需要对每个附件进行审核，审核无误，则点击【全选通过】。</w:t>
      </w:r>
    </w:p>
    <w:p>
      <w:pPr>
        <w:spacing w:line="300" w:lineRule="auto"/>
      </w:pPr>
      <w:r>
        <w:drawing>
          <wp:inline distT="0" distB="0" distL="114300" distR="114300">
            <wp:extent cx="5269230" cy="2893695"/>
            <wp:effectExtent l="0" t="0" r="762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4"/>
                    <a:stretch>
                      <a:fillRect/>
                    </a:stretch>
                  </pic:blipFill>
                  <pic:spPr>
                    <a:xfrm>
                      <a:off x="0" y="0"/>
                      <a:ext cx="5269230" cy="289369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【注】后续页面上会展示具体的审核点。</w:t>
      </w:r>
    </w:p>
    <w:p>
      <w:pPr>
        <w:spacing w:line="300" w:lineRule="auto"/>
        <w:rPr>
          <w:rFonts w:hint="default"/>
          <w:lang w:val="en-US" w:eastAsia="zh-CN"/>
        </w:rPr>
      </w:pPr>
    </w:p>
    <w:p>
      <w:pPr>
        <w:bidi w:val="0"/>
      </w:pPr>
      <w:r>
        <w:rPr>
          <w:rFonts w:hint="eastAsia"/>
        </w:rPr>
        <w:t>5.以上信息审核完后，点击【协议下单】</w:t>
      </w:r>
    </w:p>
    <w:p>
      <w:pPr>
        <w:spacing w:line="300" w:lineRule="auto"/>
      </w:pPr>
      <w:r>
        <w:rPr>
          <w:rFonts w:hint="eastAsia"/>
        </w:rPr>
        <w:drawing>
          <wp:inline distT="0" distB="0" distL="114300" distR="114300">
            <wp:extent cx="4284980" cy="751205"/>
            <wp:effectExtent l="0" t="0" r="1270" b="1079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5"/>
                    <a:stretch>
                      <a:fillRect/>
                    </a:stretch>
                  </pic:blipFill>
                  <pic:spPr>
                    <a:xfrm>
                      <a:off x="0" y="0"/>
                      <a:ext cx="4284980" cy="751205"/>
                    </a:xfrm>
                    <a:prstGeom prst="rect">
                      <a:avLst/>
                    </a:prstGeom>
                    <a:noFill/>
                    <a:ln w="9525">
                      <a:noFill/>
                    </a:ln>
                  </pic:spPr>
                </pic:pic>
              </a:graphicData>
            </a:graphic>
          </wp:inline>
        </w:drawing>
      </w:r>
    </w:p>
    <w:p>
      <w:pPr>
        <w:pStyle w:val="4"/>
        <w:numPr>
          <w:ilvl w:val="0"/>
          <w:numId w:val="14"/>
        </w:numPr>
        <w:bidi w:val="0"/>
        <w:rPr>
          <w:rFonts w:hint="eastAsia"/>
          <w:lang w:val="en-US" w:eastAsia="zh-CN"/>
        </w:rPr>
      </w:pPr>
      <w:r>
        <w:rPr>
          <w:rFonts w:hint="eastAsia"/>
        </w:rPr>
        <w:t>施工</w:t>
      </w:r>
      <w:r>
        <w:rPr>
          <w:rFonts w:hint="eastAsia"/>
          <w:lang w:eastAsia="zh-CN"/>
        </w:rPr>
        <w:t>【</w:t>
      </w:r>
      <w:r>
        <w:rPr>
          <w:rFonts w:hint="eastAsia"/>
          <w:lang w:val="en-US" w:eastAsia="zh-CN"/>
        </w:rPr>
        <w:t>营业员】</w:t>
      </w:r>
    </w:p>
    <w:p>
      <w:pPr>
        <w:numPr>
          <w:ilvl w:val="0"/>
          <w:numId w:val="0"/>
        </w:numPr>
        <w:ind w:firstLine="420" w:firstLineChars="200"/>
        <w:rPr>
          <w:rFonts w:hint="eastAsia"/>
          <w:lang w:val="en-US" w:eastAsia="zh-CN"/>
        </w:rPr>
      </w:pPr>
      <w:r>
        <w:rPr>
          <w:rFonts w:hint="eastAsia"/>
          <w:lang w:val="en-US" w:eastAsia="zh-CN"/>
        </w:rPr>
        <w:t>营业员登录省公司业务大厅，进入菜单“业务大厅订单处理”，选择“政企业务订单”，找到客户经理提交的工单。</w:t>
      </w:r>
    </w:p>
    <w:p>
      <w:pPr>
        <w:numPr>
          <w:ilvl w:val="0"/>
          <w:numId w:val="0"/>
        </w:numPr>
        <w:rPr>
          <w:rFonts w:hint="default"/>
          <w:lang w:val="en-US" w:eastAsia="zh-CN"/>
        </w:rPr>
      </w:pPr>
    </w:p>
    <w:p>
      <w:pPr>
        <w:spacing w:line="300" w:lineRule="auto"/>
        <w:rPr>
          <w:rFonts w:hint="default"/>
          <w:lang w:val="en-US" w:eastAsia="zh-CN"/>
        </w:rPr>
      </w:pPr>
      <w:r>
        <w:rPr>
          <w:rFonts w:hint="eastAsia"/>
        </w:rPr>
        <w:t>1.</w:t>
      </w:r>
      <w:r>
        <w:rPr>
          <w:rFonts w:hint="eastAsia"/>
          <w:lang w:val="en-US" w:eastAsia="zh-CN"/>
        </w:rPr>
        <w:t>等待预受理同步</w:t>
      </w:r>
      <w:r>
        <w:rPr>
          <w:rFonts w:hint="eastAsia"/>
          <w:lang w:eastAsia="zh-CN"/>
        </w:rPr>
        <w:t>，</w:t>
      </w:r>
      <w:r>
        <w:rPr>
          <w:rFonts w:hint="eastAsia"/>
          <w:lang w:val="en-US" w:eastAsia="zh-CN"/>
        </w:rPr>
        <w:t>如果选了新增项目，则会先同步项目，再进行预受理同步，送CMIOT成功后，订单提示预受理同步成功，可以点击跳转到CMIOT处理进行开卡操作.</w:t>
      </w:r>
    </w:p>
    <w:p>
      <w:pPr>
        <w:spacing w:line="300" w:lineRule="auto"/>
      </w:pPr>
      <w:r>
        <w:drawing>
          <wp:inline distT="0" distB="0" distL="114300" distR="114300">
            <wp:extent cx="5264785" cy="1717675"/>
            <wp:effectExtent l="0" t="0" r="8255" b="44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6"/>
                    <a:stretch>
                      <a:fillRect/>
                    </a:stretch>
                  </pic:blipFill>
                  <pic:spPr>
                    <a:xfrm>
                      <a:off x="0" y="0"/>
                      <a:ext cx="5264785" cy="1717675"/>
                    </a:xfrm>
                    <a:prstGeom prst="rect">
                      <a:avLst/>
                    </a:prstGeom>
                    <a:noFill/>
                    <a:ln>
                      <a:noFill/>
                    </a:ln>
                  </pic:spPr>
                </pic:pic>
              </a:graphicData>
            </a:graphic>
          </wp:inline>
        </w:drawing>
      </w:r>
    </w:p>
    <w:p>
      <w:pPr>
        <w:spacing w:line="300" w:lineRule="auto"/>
      </w:pPr>
    </w:p>
    <w:p>
      <w:pPr>
        <w:pStyle w:val="5"/>
        <w:bidi w:val="0"/>
        <w:rPr>
          <w:rFonts w:hint="eastAsia"/>
          <w:lang w:val="en-US" w:eastAsia="zh-CN"/>
        </w:rPr>
      </w:pPr>
      <w:r>
        <w:rPr>
          <w:rFonts w:hint="eastAsia"/>
          <w:lang w:val="en-US" w:eastAsia="zh-CN"/>
        </w:rPr>
        <w:t>CMIOT系统正式开卡操作</w:t>
      </w:r>
    </w:p>
    <w:p>
      <w:pPr>
        <w:bidi w:val="0"/>
        <w:rPr>
          <w:rFonts w:hint="eastAsia"/>
          <w:lang w:val="en-US" w:eastAsia="zh-CN"/>
        </w:rPr>
      </w:pPr>
      <w:r>
        <w:rPr>
          <w:rFonts w:hint="eastAsia"/>
          <w:lang w:val="en-US" w:eastAsia="zh-CN"/>
        </w:rPr>
        <w:t>点击【跳转到CMIOT处理】按钮，系统自动登录CMIOT系统；</w:t>
      </w:r>
    </w:p>
    <w:p>
      <w:pPr>
        <w:rPr>
          <w:rFonts w:hint="eastAsia"/>
          <w:lang w:val="en-US" w:eastAsia="zh-CN"/>
        </w:rPr>
      </w:pPr>
      <w:r>
        <w:rPr>
          <w:rFonts w:hint="eastAsia"/>
          <w:lang w:val="en-US" w:eastAsia="zh-CN"/>
        </w:rPr>
        <w:t>在CMIOT系统找到菜单：省预受理订单管理，进行预受理订单审核。</w:t>
      </w:r>
    </w:p>
    <w:p>
      <w:pPr>
        <w:rPr>
          <w:rFonts w:hint="eastAsia"/>
          <w:color w:val="FF0000"/>
          <w:lang w:val="en-US" w:eastAsia="zh-CN"/>
        </w:rPr>
      </w:pPr>
      <w:r>
        <w:rPr>
          <w:rFonts w:hint="eastAsia"/>
          <w:color w:val="FF0000"/>
          <w:lang w:val="en-US" w:eastAsia="zh-CN"/>
        </w:rPr>
        <w:t>【注】开卡操作员必须有以下角色才有“预受理订单审核”权限。</w:t>
      </w:r>
    </w:p>
    <w:p>
      <w:pPr>
        <w:rPr>
          <w:rFonts w:hint="default"/>
          <w:color w:val="FF0000"/>
          <w:lang w:val="en-US" w:eastAsia="zh-CN"/>
        </w:rPr>
      </w:pPr>
      <w:r>
        <w:rPr>
          <w:rFonts w:hint="eastAsia"/>
          <w:color w:val="FF0000"/>
          <w:lang w:val="en-US" w:eastAsia="zh-CN"/>
        </w:rPr>
        <w:t>具备“预受理订单审核及处理”权限的角色：营业员（非充值）、营业员（充值类）、</w:t>
      </w:r>
      <w:r>
        <w:rPr>
          <w:rFonts w:hint="default"/>
          <w:color w:val="FF0000"/>
          <w:lang w:val="en-US" w:eastAsia="zh-CN"/>
        </w:rPr>
        <w:t>网络接入模式变更</w:t>
      </w:r>
      <w:r>
        <w:rPr>
          <w:rFonts w:hint="eastAsia"/>
          <w:color w:val="FF0000"/>
          <w:lang w:val="en-US" w:eastAsia="zh-CN"/>
        </w:rPr>
        <w:t>、客户经理（查询类） 、客户经理（查询类） 、客户经理（非充值类） 、省预受理订单、运营维护角色。</w:t>
      </w:r>
    </w:p>
    <w:p>
      <w:pPr>
        <w:rPr>
          <w:rFonts w:hint="eastAsia"/>
          <w:lang w:val="en-US" w:eastAsia="zh-CN"/>
        </w:rPr>
      </w:pPr>
    </w:p>
    <w:p>
      <w:pPr>
        <w:rPr>
          <w:rFonts w:hint="default"/>
          <w:lang w:val="en-US" w:eastAsia="zh-CN"/>
        </w:rPr>
      </w:pPr>
      <w:r>
        <w:drawing>
          <wp:inline distT="0" distB="0" distL="114300" distR="114300">
            <wp:extent cx="5266690" cy="2825750"/>
            <wp:effectExtent l="0" t="0" r="1016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7"/>
                    <a:stretch>
                      <a:fillRect/>
                    </a:stretch>
                  </pic:blipFill>
                  <pic:spPr>
                    <a:xfrm>
                      <a:off x="0" y="0"/>
                      <a:ext cx="5266690" cy="282575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点击查询，可以查询到待审核的CMIOT预受理单</w:t>
      </w:r>
    </w:p>
    <w:p>
      <w:pPr>
        <w:rPr>
          <w:rFonts w:hint="default"/>
          <w:lang w:val="en-US" w:eastAsia="zh-CN"/>
        </w:rPr>
      </w:pPr>
      <w:r>
        <w:drawing>
          <wp:inline distT="0" distB="0" distL="114300" distR="114300">
            <wp:extent cx="5266690" cy="2825750"/>
            <wp:effectExtent l="0" t="0" r="1016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8"/>
                    <a:stretch>
                      <a:fillRect/>
                    </a:stretch>
                  </pic:blipFill>
                  <pic:spPr>
                    <a:xfrm>
                      <a:off x="0" y="0"/>
                      <a:ext cx="5266690" cy="282575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点击审核按钮，可以查到预受理单的基本信息</w:t>
      </w:r>
    </w:p>
    <w:p>
      <w:pPr>
        <w:bidi w:val="0"/>
        <w:rPr>
          <w:rFonts w:hint="default"/>
          <w:lang w:val="en-US" w:eastAsia="zh-CN"/>
        </w:rPr>
      </w:pPr>
      <w:r>
        <w:drawing>
          <wp:inline distT="0" distB="0" distL="114300" distR="114300">
            <wp:extent cx="5266690" cy="2828290"/>
            <wp:effectExtent l="0" t="0" r="1016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9"/>
                    <a:stretch>
                      <a:fillRect/>
                    </a:stretch>
                  </pic:blipFill>
                  <pic:spPr>
                    <a:xfrm>
                      <a:off x="0" y="0"/>
                      <a:ext cx="5266690" cy="2828290"/>
                    </a:xfrm>
                    <a:prstGeom prst="rect">
                      <a:avLst/>
                    </a:prstGeom>
                    <a:noFill/>
                    <a:ln>
                      <a:noFill/>
                    </a:ln>
                  </pic:spPr>
                </pic:pic>
              </a:graphicData>
            </a:graphic>
          </wp:inline>
        </w:drawing>
      </w:r>
      <w:r>
        <w:rPr>
          <w:rFonts w:hint="eastAsia"/>
          <w:lang w:val="en-US" w:eastAsia="zh-CN"/>
        </w:rPr>
        <w:t>输入通过，点击审批通过</w:t>
      </w:r>
    </w:p>
    <w:p>
      <w:pPr>
        <w:bidi w:val="0"/>
        <w:rPr>
          <w:rFonts w:hint="default"/>
          <w:lang w:val="en-US" w:eastAsia="zh-CN"/>
        </w:rPr>
      </w:pPr>
    </w:p>
    <w:p>
      <w:pPr>
        <w:spacing w:line="300" w:lineRule="auto"/>
        <w:rPr>
          <w:rFonts w:hint="default"/>
          <w:lang w:val="en-US" w:eastAsia="zh-CN"/>
        </w:rPr>
      </w:pPr>
      <w:r>
        <w:drawing>
          <wp:inline distT="0" distB="0" distL="114300" distR="114300">
            <wp:extent cx="5266690" cy="2820035"/>
            <wp:effectExtent l="0" t="0" r="10160" b="1841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50"/>
                    <a:stretch>
                      <a:fillRect/>
                    </a:stretch>
                  </pic:blipFill>
                  <pic:spPr>
                    <a:xfrm>
                      <a:off x="0" y="0"/>
                      <a:ext cx="5266690" cy="2820035"/>
                    </a:xfrm>
                    <a:prstGeom prst="rect">
                      <a:avLst/>
                    </a:prstGeom>
                    <a:noFill/>
                    <a:ln>
                      <a:noFill/>
                    </a:ln>
                  </pic:spPr>
                </pic:pic>
              </a:graphicData>
            </a:graphic>
          </wp:inline>
        </w:drawing>
      </w:r>
      <w:r>
        <w:rPr>
          <w:rFonts w:hint="eastAsia"/>
          <w:lang w:val="en-US" w:eastAsia="zh-CN"/>
        </w:rPr>
        <w:t>提示审批通过，是否进行预受理单正式受理</w:t>
      </w:r>
    </w:p>
    <w:p>
      <w:pPr>
        <w:spacing w:line="300" w:lineRule="auto"/>
        <w:rPr>
          <w:rFonts w:hint="default"/>
          <w:lang w:val="en-US" w:eastAsia="zh-CN"/>
        </w:rPr>
      </w:pPr>
    </w:p>
    <w:p>
      <w:pPr>
        <w:spacing w:line="300" w:lineRule="auto"/>
        <w:rPr>
          <w:rFonts w:hint="default"/>
          <w:lang w:val="en-US" w:eastAsia="zh-CN"/>
        </w:rPr>
      </w:pPr>
      <w:r>
        <w:drawing>
          <wp:inline distT="0" distB="0" distL="114300" distR="114300">
            <wp:extent cx="5266690" cy="2822575"/>
            <wp:effectExtent l="0" t="0" r="10160" b="1587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51"/>
                    <a:stretch>
                      <a:fillRect/>
                    </a:stretch>
                  </pic:blipFill>
                  <pic:spPr>
                    <a:xfrm>
                      <a:off x="0" y="0"/>
                      <a:ext cx="5266690" cy="2822575"/>
                    </a:xfrm>
                    <a:prstGeom prst="rect">
                      <a:avLst/>
                    </a:prstGeom>
                    <a:noFill/>
                    <a:ln>
                      <a:noFill/>
                    </a:ln>
                  </pic:spPr>
                </pic:pic>
              </a:graphicData>
            </a:graphic>
          </wp:inline>
        </w:drawing>
      </w:r>
      <w:r>
        <w:rPr>
          <w:rFonts w:hint="eastAsia"/>
          <w:lang w:val="en-US" w:eastAsia="zh-CN"/>
        </w:rPr>
        <w:t>跳转到批量开户页面</w:t>
      </w:r>
    </w:p>
    <w:p>
      <w:pPr>
        <w:spacing w:line="300" w:lineRule="auto"/>
        <w:rPr>
          <w:rFonts w:hint="default" w:eastAsiaTheme="minorEastAsia"/>
          <w:lang w:val="en-US" w:eastAsia="zh-CN"/>
        </w:rPr>
      </w:pPr>
      <w:r>
        <w:drawing>
          <wp:inline distT="0" distB="0" distL="114300" distR="114300">
            <wp:extent cx="5266690" cy="2814320"/>
            <wp:effectExtent l="0" t="0" r="1016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tretch>
                      <a:fillRect/>
                    </a:stretch>
                  </pic:blipFill>
                  <pic:spPr>
                    <a:xfrm>
                      <a:off x="0" y="0"/>
                      <a:ext cx="5266690" cy="2814320"/>
                    </a:xfrm>
                    <a:prstGeom prst="rect">
                      <a:avLst/>
                    </a:prstGeom>
                    <a:noFill/>
                    <a:ln>
                      <a:noFill/>
                    </a:ln>
                  </pic:spPr>
                </pic:pic>
              </a:graphicData>
            </a:graphic>
          </wp:inline>
        </w:drawing>
      </w:r>
      <w:r>
        <w:rPr>
          <w:rFonts w:hint="eastAsia"/>
          <w:lang w:val="en-US" w:eastAsia="zh-CN"/>
        </w:rPr>
        <w:t>进行批量开户，确认开卡信息，上传号码文件，进行经办人责任人认证，点击结算后进行开卡操作</w:t>
      </w:r>
    </w:p>
    <w:p>
      <w:pPr>
        <w:spacing w:line="300" w:lineRule="auto"/>
      </w:pPr>
      <w:r>
        <w:drawing>
          <wp:inline distT="0" distB="0" distL="114300" distR="114300">
            <wp:extent cx="5266690" cy="2820035"/>
            <wp:effectExtent l="0" t="0" r="10160" b="1841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53"/>
                    <a:stretch>
                      <a:fillRect/>
                    </a:stretch>
                  </pic:blipFill>
                  <pic:spPr>
                    <a:xfrm>
                      <a:off x="0" y="0"/>
                      <a:ext cx="5266690" cy="2820035"/>
                    </a:xfrm>
                    <a:prstGeom prst="rect">
                      <a:avLst/>
                    </a:prstGeom>
                    <a:noFill/>
                    <a:ln>
                      <a:noFill/>
                    </a:ln>
                  </pic:spPr>
                </pic:pic>
              </a:graphicData>
            </a:graphic>
          </wp:inline>
        </w:drawing>
      </w:r>
    </w:p>
    <w:p>
      <w:pPr>
        <w:spacing w:line="300" w:lineRule="auto"/>
        <w:rPr>
          <w:rFonts w:hint="default" w:eastAsia="宋体"/>
          <w:lang w:val="en-US" w:eastAsia="zh-CN"/>
        </w:rPr>
      </w:pPr>
      <w:r>
        <w:rPr>
          <w:rFonts w:hint="eastAsia"/>
          <w:lang w:val="en-US" w:eastAsia="zh-CN"/>
        </w:rPr>
        <w:t>实名认证处理，同现有的CMIOT开卡一致。</w:t>
      </w:r>
    </w:p>
    <w:p>
      <w:pPr>
        <w:spacing w:line="300" w:lineRule="auto"/>
        <w:rPr>
          <w:rFonts w:hint="eastAsia"/>
          <w:lang w:val="en-US" w:eastAsia="zh-CN"/>
        </w:rPr>
      </w:pPr>
    </w:p>
    <w:p>
      <w:pPr>
        <w:spacing w:line="300" w:lineRule="auto"/>
        <w:rPr>
          <w:rFonts w:hint="default" w:eastAsia="宋体"/>
          <w:lang w:val="en-US" w:eastAsia="zh-CN"/>
        </w:rPr>
      </w:pPr>
      <w:r>
        <w:rPr>
          <w:rFonts w:hint="eastAsia"/>
          <w:lang w:val="en-US" w:eastAsia="zh-CN"/>
        </w:rPr>
        <w:t>如果CMIOT系统开卡完成并反馈，可以在右侧点击查看开卡结果进行查看</w:t>
      </w:r>
    </w:p>
    <w:p>
      <w:pPr>
        <w:spacing w:line="300" w:lineRule="auto"/>
      </w:pPr>
      <w:r>
        <w:drawing>
          <wp:inline distT="0" distB="0" distL="114300" distR="114300">
            <wp:extent cx="5273040" cy="430530"/>
            <wp:effectExtent l="0" t="0" r="0" b="1143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54"/>
                    <a:stretch>
                      <a:fillRect/>
                    </a:stretch>
                  </pic:blipFill>
                  <pic:spPr>
                    <a:xfrm>
                      <a:off x="0" y="0"/>
                      <a:ext cx="5273040" cy="430530"/>
                    </a:xfrm>
                    <a:prstGeom prst="rect">
                      <a:avLst/>
                    </a:prstGeom>
                    <a:noFill/>
                    <a:ln>
                      <a:noFill/>
                    </a:ln>
                  </pic:spPr>
                </pic:pic>
              </a:graphicData>
            </a:graphic>
          </wp:inline>
        </w:drawing>
      </w:r>
    </w:p>
    <w:p>
      <w:pPr>
        <w:spacing w:line="300" w:lineRule="auto"/>
      </w:pPr>
      <w:r>
        <w:drawing>
          <wp:inline distT="0" distB="0" distL="114300" distR="114300">
            <wp:extent cx="5269865" cy="3530600"/>
            <wp:effectExtent l="0" t="0" r="3175" b="508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55"/>
                    <a:stretch>
                      <a:fillRect/>
                    </a:stretch>
                  </pic:blipFill>
                  <pic:spPr>
                    <a:xfrm>
                      <a:off x="0" y="0"/>
                      <a:ext cx="5269865" cy="3530600"/>
                    </a:xfrm>
                    <a:prstGeom prst="rect">
                      <a:avLst/>
                    </a:prstGeom>
                    <a:noFill/>
                    <a:ln>
                      <a:noFill/>
                    </a:ln>
                  </pic:spPr>
                </pic:pic>
              </a:graphicData>
            </a:graphic>
          </wp:inline>
        </w:drawing>
      </w:r>
    </w:p>
    <w:p>
      <w:pPr>
        <w:spacing w:line="300" w:lineRule="auto"/>
      </w:pPr>
    </w:p>
    <w:p>
      <w:pPr>
        <w:spacing w:line="300" w:lineRule="auto"/>
      </w:pPr>
    </w:p>
    <w:p>
      <w:pPr>
        <w:pStyle w:val="4"/>
        <w:numPr>
          <w:ilvl w:val="0"/>
          <w:numId w:val="0"/>
        </w:numPr>
        <w:bidi w:val="0"/>
        <w:rPr>
          <w:rFonts w:hint="eastAsia"/>
        </w:rPr>
      </w:pPr>
      <w:r>
        <w:rPr>
          <w:rFonts w:hint="eastAsia"/>
          <w:lang w:val="en-US" w:eastAsia="zh-CN"/>
        </w:rPr>
        <w:t>七</w:t>
      </w:r>
      <w:r>
        <w:rPr>
          <w:rFonts w:hint="eastAsia"/>
        </w:rPr>
        <w:t>.评价【客户经理】</w:t>
      </w:r>
    </w:p>
    <w:p>
      <w:pPr>
        <w:bidi w:val="0"/>
        <w:rPr>
          <w:rFonts w:hint="default"/>
          <w:lang w:val="en-US" w:eastAsia="zh-CN"/>
        </w:rPr>
      </w:pPr>
      <w:r>
        <w:rPr>
          <w:rFonts w:hint="eastAsia"/>
          <w:lang w:val="en-US" w:eastAsia="zh-CN"/>
        </w:rPr>
        <w:t>施工完成后可以点击处理进行结单</w:t>
      </w:r>
    </w:p>
    <w:p>
      <w:pPr>
        <w:bidi w:val="0"/>
      </w:pPr>
      <w:r>
        <w:drawing>
          <wp:inline distT="0" distB="0" distL="114300" distR="114300">
            <wp:extent cx="2004060" cy="548640"/>
            <wp:effectExtent l="0" t="0" r="762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56"/>
                    <a:stretch>
                      <a:fillRect/>
                    </a:stretch>
                  </pic:blipFill>
                  <pic:spPr>
                    <a:xfrm>
                      <a:off x="0" y="0"/>
                      <a:ext cx="2004060" cy="54864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结单完成后进入评价环节，选择星级，点击提交，协议单会进入到已完成</w:t>
      </w:r>
    </w:p>
    <w:p>
      <w:pPr>
        <w:spacing w:line="300" w:lineRule="auto"/>
      </w:pPr>
      <w:r>
        <w:drawing>
          <wp:inline distT="0" distB="0" distL="114300" distR="114300">
            <wp:extent cx="5262245" cy="3134360"/>
            <wp:effectExtent l="0" t="0" r="1460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7"/>
                    <a:stretch>
                      <a:fillRect/>
                    </a:stretch>
                  </pic:blipFill>
                  <pic:spPr>
                    <a:xfrm>
                      <a:off x="0" y="0"/>
                      <a:ext cx="5262245" cy="3134360"/>
                    </a:xfrm>
                    <a:prstGeom prst="rect">
                      <a:avLst/>
                    </a:prstGeom>
                    <a:noFill/>
                    <a:ln w="9525">
                      <a:noFill/>
                    </a:ln>
                  </pic:spPr>
                </pic:pic>
              </a:graphicData>
            </a:graphic>
          </wp:inline>
        </w:drawing>
      </w:r>
    </w:p>
    <w:p>
      <w:pPr>
        <w:spacing w:line="300" w:lineRule="auto"/>
      </w:pPr>
    </w:p>
    <w:p>
      <w:pPr>
        <w:spacing w:line="300" w:lineRule="auto"/>
      </w:pPr>
    </w:p>
    <w:p>
      <w:pPr>
        <w:spacing w:line="300" w:lineRule="auto"/>
      </w:pPr>
    </w:p>
    <w:p>
      <w:pPr>
        <w:spacing w:line="300" w:lineRule="auto"/>
      </w:pPr>
    </w:p>
    <w:p>
      <w:pPr>
        <w:spacing w:line="30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41B7"/>
    <w:multiLevelType w:val="singleLevel"/>
    <w:tmpl w:val="9C8A41B7"/>
    <w:lvl w:ilvl="0" w:tentative="0">
      <w:start w:val="1"/>
      <w:numFmt w:val="decimal"/>
      <w:suff w:val="nothing"/>
      <w:lvlText w:val="%1、"/>
      <w:lvlJc w:val="left"/>
    </w:lvl>
  </w:abstractNum>
  <w:abstractNum w:abstractNumId="1">
    <w:nsid w:val="A1C6C123"/>
    <w:multiLevelType w:val="singleLevel"/>
    <w:tmpl w:val="A1C6C123"/>
    <w:lvl w:ilvl="0" w:tentative="0">
      <w:start w:val="2"/>
      <w:numFmt w:val="decimal"/>
      <w:suff w:val="nothing"/>
      <w:lvlText w:val="%1）"/>
      <w:lvlJc w:val="left"/>
    </w:lvl>
  </w:abstractNum>
  <w:abstractNum w:abstractNumId="2">
    <w:nsid w:val="C3C655F3"/>
    <w:multiLevelType w:val="singleLevel"/>
    <w:tmpl w:val="C3C655F3"/>
    <w:lvl w:ilvl="0" w:tentative="0">
      <w:start w:val="1"/>
      <w:numFmt w:val="bullet"/>
      <w:lvlText w:val=""/>
      <w:lvlJc w:val="left"/>
      <w:pPr>
        <w:ind w:left="420" w:hanging="420"/>
      </w:pPr>
      <w:rPr>
        <w:rFonts w:hint="default" w:ascii="Wingdings" w:hAnsi="Wingdings"/>
      </w:rPr>
    </w:lvl>
  </w:abstractNum>
  <w:abstractNum w:abstractNumId="3">
    <w:nsid w:val="CFC21897"/>
    <w:multiLevelType w:val="singleLevel"/>
    <w:tmpl w:val="CFC21897"/>
    <w:lvl w:ilvl="0" w:tentative="0">
      <w:start w:val="6"/>
      <w:numFmt w:val="decimal"/>
      <w:suff w:val="nothing"/>
      <w:lvlText w:val="%1、"/>
      <w:lvlJc w:val="left"/>
    </w:lvl>
  </w:abstractNum>
  <w:abstractNum w:abstractNumId="4">
    <w:nsid w:val="F9837766"/>
    <w:multiLevelType w:val="singleLevel"/>
    <w:tmpl w:val="F9837766"/>
    <w:lvl w:ilvl="0" w:tentative="0">
      <w:start w:val="1"/>
      <w:numFmt w:val="decimal"/>
      <w:suff w:val="nothing"/>
      <w:lvlText w:val="%1）"/>
      <w:lvlJc w:val="left"/>
    </w:lvl>
  </w:abstractNum>
  <w:abstractNum w:abstractNumId="5">
    <w:nsid w:val="F9B2BBF8"/>
    <w:multiLevelType w:val="singleLevel"/>
    <w:tmpl w:val="F9B2BBF8"/>
    <w:lvl w:ilvl="0" w:tentative="0">
      <w:start w:val="1"/>
      <w:numFmt w:val="decimal"/>
      <w:suff w:val="nothing"/>
      <w:lvlText w:val="%1）"/>
      <w:lvlJc w:val="left"/>
    </w:lvl>
  </w:abstractNum>
  <w:abstractNum w:abstractNumId="6">
    <w:nsid w:val="FC9E46F6"/>
    <w:multiLevelType w:val="singleLevel"/>
    <w:tmpl w:val="FC9E46F6"/>
    <w:lvl w:ilvl="0" w:tentative="0">
      <w:start w:val="1"/>
      <w:numFmt w:val="decimal"/>
      <w:suff w:val="space"/>
      <w:lvlText w:val="%1)"/>
      <w:lvlJc w:val="left"/>
    </w:lvl>
  </w:abstractNum>
  <w:abstractNum w:abstractNumId="7">
    <w:nsid w:val="04693058"/>
    <w:multiLevelType w:val="singleLevel"/>
    <w:tmpl w:val="04693058"/>
    <w:lvl w:ilvl="0" w:tentative="0">
      <w:start w:val="6"/>
      <w:numFmt w:val="chineseCounting"/>
      <w:lvlText w:val="%1."/>
      <w:lvlJc w:val="left"/>
      <w:pPr>
        <w:tabs>
          <w:tab w:val="left" w:pos="312"/>
        </w:tabs>
      </w:pPr>
      <w:rPr>
        <w:rFonts w:hint="eastAsia"/>
      </w:rPr>
    </w:lvl>
  </w:abstractNum>
  <w:abstractNum w:abstractNumId="8">
    <w:nsid w:val="2998C200"/>
    <w:multiLevelType w:val="singleLevel"/>
    <w:tmpl w:val="2998C200"/>
    <w:lvl w:ilvl="0" w:tentative="0">
      <w:start w:val="1"/>
      <w:numFmt w:val="decimal"/>
      <w:lvlText w:val="%1."/>
      <w:lvlJc w:val="left"/>
      <w:pPr>
        <w:tabs>
          <w:tab w:val="left" w:pos="312"/>
        </w:tabs>
      </w:pPr>
    </w:lvl>
  </w:abstractNum>
  <w:abstractNum w:abstractNumId="9">
    <w:nsid w:val="3BA8B460"/>
    <w:multiLevelType w:val="singleLevel"/>
    <w:tmpl w:val="3BA8B460"/>
    <w:lvl w:ilvl="0" w:tentative="0">
      <w:start w:val="1"/>
      <w:numFmt w:val="bullet"/>
      <w:lvlText w:val=""/>
      <w:lvlJc w:val="left"/>
      <w:pPr>
        <w:ind w:left="420" w:hanging="420"/>
      </w:pPr>
      <w:rPr>
        <w:rFonts w:hint="default" w:ascii="Wingdings" w:hAnsi="Wingdings"/>
      </w:rPr>
    </w:lvl>
  </w:abstractNum>
  <w:abstractNum w:abstractNumId="10">
    <w:nsid w:val="51E1C6DB"/>
    <w:multiLevelType w:val="singleLevel"/>
    <w:tmpl w:val="51E1C6DB"/>
    <w:lvl w:ilvl="0" w:tentative="0">
      <w:start w:val="1"/>
      <w:numFmt w:val="chineseCounting"/>
      <w:suff w:val="nothing"/>
      <w:lvlText w:val="（%1）"/>
      <w:lvlJc w:val="left"/>
      <w:rPr>
        <w:rFonts w:hint="eastAsia"/>
      </w:rPr>
    </w:lvl>
  </w:abstractNum>
  <w:abstractNum w:abstractNumId="11">
    <w:nsid w:val="62EB14F5"/>
    <w:multiLevelType w:val="singleLevel"/>
    <w:tmpl w:val="62EB14F5"/>
    <w:lvl w:ilvl="0" w:tentative="0">
      <w:start w:val="2"/>
      <w:numFmt w:val="decimal"/>
      <w:lvlText w:val="%1."/>
      <w:lvlJc w:val="left"/>
      <w:pPr>
        <w:tabs>
          <w:tab w:val="left" w:pos="312"/>
        </w:tabs>
      </w:pPr>
    </w:lvl>
  </w:abstractNum>
  <w:abstractNum w:abstractNumId="12">
    <w:nsid w:val="6FB95207"/>
    <w:multiLevelType w:val="singleLevel"/>
    <w:tmpl w:val="6FB95207"/>
    <w:lvl w:ilvl="0" w:tentative="0">
      <w:start w:val="1"/>
      <w:numFmt w:val="decimal"/>
      <w:suff w:val="nothing"/>
      <w:lvlText w:val="%1）"/>
      <w:lvlJc w:val="left"/>
    </w:lvl>
  </w:abstractNum>
  <w:abstractNum w:abstractNumId="13">
    <w:nsid w:val="7EFA2D15"/>
    <w:multiLevelType w:val="singleLevel"/>
    <w:tmpl w:val="7EFA2D15"/>
    <w:lvl w:ilvl="0" w:tentative="0">
      <w:start w:val="1"/>
      <w:numFmt w:val="decimal"/>
      <w:suff w:val="nothing"/>
      <w:lvlText w:val="%1）"/>
      <w:lvlJc w:val="left"/>
    </w:lvl>
  </w:abstractNum>
  <w:num w:numId="1">
    <w:abstractNumId w:val="0"/>
  </w:num>
  <w:num w:numId="2">
    <w:abstractNumId w:val="6"/>
  </w:num>
  <w:num w:numId="3">
    <w:abstractNumId w:val="12"/>
  </w:num>
  <w:num w:numId="4">
    <w:abstractNumId w:val="13"/>
  </w:num>
  <w:num w:numId="5">
    <w:abstractNumId w:val="3"/>
  </w:num>
  <w:num w:numId="6">
    <w:abstractNumId w:val="8"/>
  </w:num>
  <w:num w:numId="7">
    <w:abstractNumId w:val="5"/>
  </w:num>
  <w:num w:numId="8">
    <w:abstractNumId w:val="1"/>
  </w:num>
  <w:num w:numId="9">
    <w:abstractNumId w:val="4"/>
  </w:num>
  <w:num w:numId="10">
    <w:abstractNumId w:val="9"/>
  </w:num>
  <w:num w:numId="11">
    <w:abstractNumId w:val="2"/>
  </w:num>
  <w:num w:numId="12">
    <w:abstractNumId w:val="10"/>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llMDFmODFlNmQwNzcwYTRmNjdkNTVlOGE5ZjVjZGEifQ=="/>
  </w:docVars>
  <w:rsids>
    <w:rsidRoot w:val="00942CBF"/>
    <w:rsid w:val="00000F10"/>
    <w:rsid w:val="00001B72"/>
    <w:rsid w:val="00001B8F"/>
    <w:rsid w:val="0000315A"/>
    <w:rsid w:val="00003E20"/>
    <w:rsid w:val="00004091"/>
    <w:rsid w:val="00004A6E"/>
    <w:rsid w:val="0000711E"/>
    <w:rsid w:val="00010433"/>
    <w:rsid w:val="00012FAF"/>
    <w:rsid w:val="0001340A"/>
    <w:rsid w:val="00013568"/>
    <w:rsid w:val="00013C29"/>
    <w:rsid w:val="00020118"/>
    <w:rsid w:val="00020770"/>
    <w:rsid w:val="000256F8"/>
    <w:rsid w:val="00027E35"/>
    <w:rsid w:val="00030B46"/>
    <w:rsid w:val="00033F4B"/>
    <w:rsid w:val="00035A96"/>
    <w:rsid w:val="000360D1"/>
    <w:rsid w:val="00036177"/>
    <w:rsid w:val="0004064E"/>
    <w:rsid w:val="000419BB"/>
    <w:rsid w:val="00042490"/>
    <w:rsid w:val="000437A2"/>
    <w:rsid w:val="00043EB5"/>
    <w:rsid w:val="000443B9"/>
    <w:rsid w:val="00045513"/>
    <w:rsid w:val="000470F9"/>
    <w:rsid w:val="00054EEA"/>
    <w:rsid w:val="000563B7"/>
    <w:rsid w:val="00056599"/>
    <w:rsid w:val="000611AD"/>
    <w:rsid w:val="00061907"/>
    <w:rsid w:val="00063E64"/>
    <w:rsid w:val="00070E24"/>
    <w:rsid w:val="00072FA8"/>
    <w:rsid w:val="00073313"/>
    <w:rsid w:val="00074226"/>
    <w:rsid w:val="00075769"/>
    <w:rsid w:val="0007728E"/>
    <w:rsid w:val="0008050C"/>
    <w:rsid w:val="00083AA1"/>
    <w:rsid w:val="00084824"/>
    <w:rsid w:val="00086B47"/>
    <w:rsid w:val="000878BF"/>
    <w:rsid w:val="000921EF"/>
    <w:rsid w:val="000925E9"/>
    <w:rsid w:val="00093335"/>
    <w:rsid w:val="00093C3C"/>
    <w:rsid w:val="00093F10"/>
    <w:rsid w:val="00096ED0"/>
    <w:rsid w:val="000A16D9"/>
    <w:rsid w:val="000A578F"/>
    <w:rsid w:val="000A6197"/>
    <w:rsid w:val="000A63F6"/>
    <w:rsid w:val="000A6764"/>
    <w:rsid w:val="000A7EB5"/>
    <w:rsid w:val="000B0D12"/>
    <w:rsid w:val="000B2361"/>
    <w:rsid w:val="000B2AA3"/>
    <w:rsid w:val="000C03AC"/>
    <w:rsid w:val="000C0895"/>
    <w:rsid w:val="000C1615"/>
    <w:rsid w:val="000C484D"/>
    <w:rsid w:val="000C677C"/>
    <w:rsid w:val="000D2AEF"/>
    <w:rsid w:val="000D2EE0"/>
    <w:rsid w:val="000D35E4"/>
    <w:rsid w:val="000D6931"/>
    <w:rsid w:val="000E122F"/>
    <w:rsid w:val="000E4E4F"/>
    <w:rsid w:val="000E531A"/>
    <w:rsid w:val="000E70B7"/>
    <w:rsid w:val="000E7BF2"/>
    <w:rsid w:val="000F0383"/>
    <w:rsid w:val="000F0ECF"/>
    <w:rsid w:val="001004ED"/>
    <w:rsid w:val="00100C88"/>
    <w:rsid w:val="0010193E"/>
    <w:rsid w:val="00103A1A"/>
    <w:rsid w:val="0010503B"/>
    <w:rsid w:val="001075F9"/>
    <w:rsid w:val="00107D93"/>
    <w:rsid w:val="0011243D"/>
    <w:rsid w:val="00115496"/>
    <w:rsid w:val="001154C7"/>
    <w:rsid w:val="00115B1E"/>
    <w:rsid w:val="001172E0"/>
    <w:rsid w:val="00120A03"/>
    <w:rsid w:val="0012173C"/>
    <w:rsid w:val="00122205"/>
    <w:rsid w:val="00122CFA"/>
    <w:rsid w:val="00126462"/>
    <w:rsid w:val="00127343"/>
    <w:rsid w:val="00130975"/>
    <w:rsid w:val="001315FE"/>
    <w:rsid w:val="001319E8"/>
    <w:rsid w:val="00133E68"/>
    <w:rsid w:val="00134EAA"/>
    <w:rsid w:val="0013562D"/>
    <w:rsid w:val="001379C5"/>
    <w:rsid w:val="00140FDC"/>
    <w:rsid w:val="00141AAF"/>
    <w:rsid w:val="00141D02"/>
    <w:rsid w:val="00144AE1"/>
    <w:rsid w:val="00147311"/>
    <w:rsid w:val="001477A6"/>
    <w:rsid w:val="00150137"/>
    <w:rsid w:val="001512DE"/>
    <w:rsid w:val="00155D06"/>
    <w:rsid w:val="00160C2E"/>
    <w:rsid w:val="00163975"/>
    <w:rsid w:val="00163D0D"/>
    <w:rsid w:val="0016434E"/>
    <w:rsid w:val="0016535C"/>
    <w:rsid w:val="0016698D"/>
    <w:rsid w:val="0016767A"/>
    <w:rsid w:val="00167C03"/>
    <w:rsid w:val="00172FDE"/>
    <w:rsid w:val="0017603E"/>
    <w:rsid w:val="001818DD"/>
    <w:rsid w:val="00183834"/>
    <w:rsid w:val="00184BFF"/>
    <w:rsid w:val="001868FB"/>
    <w:rsid w:val="0019108B"/>
    <w:rsid w:val="0019192A"/>
    <w:rsid w:val="001A1194"/>
    <w:rsid w:val="001A2248"/>
    <w:rsid w:val="001A224D"/>
    <w:rsid w:val="001A31D2"/>
    <w:rsid w:val="001A4DC3"/>
    <w:rsid w:val="001B1FB2"/>
    <w:rsid w:val="001B3519"/>
    <w:rsid w:val="001B465D"/>
    <w:rsid w:val="001B671A"/>
    <w:rsid w:val="001B6B81"/>
    <w:rsid w:val="001B7565"/>
    <w:rsid w:val="001B78A0"/>
    <w:rsid w:val="001C0CFA"/>
    <w:rsid w:val="001C5241"/>
    <w:rsid w:val="001D1C2B"/>
    <w:rsid w:val="001D1C36"/>
    <w:rsid w:val="001D41EE"/>
    <w:rsid w:val="001D4BED"/>
    <w:rsid w:val="001D517E"/>
    <w:rsid w:val="001D539A"/>
    <w:rsid w:val="001E0865"/>
    <w:rsid w:val="001E0B32"/>
    <w:rsid w:val="001E153D"/>
    <w:rsid w:val="001E301A"/>
    <w:rsid w:val="001F0041"/>
    <w:rsid w:val="001F138B"/>
    <w:rsid w:val="001F33FD"/>
    <w:rsid w:val="001F62FA"/>
    <w:rsid w:val="00201197"/>
    <w:rsid w:val="00201495"/>
    <w:rsid w:val="002027B4"/>
    <w:rsid w:val="00205841"/>
    <w:rsid w:val="00205B69"/>
    <w:rsid w:val="00210CD3"/>
    <w:rsid w:val="00211962"/>
    <w:rsid w:val="00212B18"/>
    <w:rsid w:val="00214E72"/>
    <w:rsid w:val="00222BD0"/>
    <w:rsid w:val="002239C7"/>
    <w:rsid w:val="002262DC"/>
    <w:rsid w:val="00235493"/>
    <w:rsid w:val="00250098"/>
    <w:rsid w:val="00250C03"/>
    <w:rsid w:val="002515E7"/>
    <w:rsid w:val="00252AE6"/>
    <w:rsid w:val="00255723"/>
    <w:rsid w:val="00255BEB"/>
    <w:rsid w:val="00256F6D"/>
    <w:rsid w:val="00257376"/>
    <w:rsid w:val="00260760"/>
    <w:rsid w:val="00260CC8"/>
    <w:rsid w:val="0026205C"/>
    <w:rsid w:val="00265E0B"/>
    <w:rsid w:val="00265EF4"/>
    <w:rsid w:val="00266255"/>
    <w:rsid w:val="00266E20"/>
    <w:rsid w:val="002673B8"/>
    <w:rsid w:val="00270B3B"/>
    <w:rsid w:val="00271525"/>
    <w:rsid w:val="00272892"/>
    <w:rsid w:val="0027324A"/>
    <w:rsid w:val="00273474"/>
    <w:rsid w:val="00275A8E"/>
    <w:rsid w:val="00275C85"/>
    <w:rsid w:val="00276D96"/>
    <w:rsid w:val="00283983"/>
    <w:rsid w:val="002843D3"/>
    <w:rsid w:val="00284AB7"/>
    <w:rsid w:val="00290211"/>
    <w:rsid w:val="00290215"/>
    <w:rsid w:val="00291711"/>
    <w:rsid w:val="002A198B"/>
    <w:rsid w:val="002A293C"/>
    <w:rsid w:val="002A2B17"/>
    <w:rsid w:val="002A3E2A"/>
    <w:rsid w:val="002A4E7E"/>
    <w:rsid w:val="002A5AAA"/>
    <w:rsid w:val="002A6F35"/>
    <w:rsid w:val="002B73F0"/>
    <w:rsid w:val="002B745C"/>
    <w:rsid w:val="002C1D5C"/>
    <w:rsid w:val="002C28A5"/>
    <w:rsid w:val="002C297D"/>
    <w:rsid w:val="002C51BB"/>
    <w:rsid w:val="002C5C51"/>
    <w:rsid w:val="002C7815"/>
    <w:rsid w:val="002D08F3"/>
    <w:rsid w:val="002D41FC"/>
    <w:rsid w:val="002D4A0F"/>
    <w:rsid w:val="002D643A"/>
    <w:rsid w:val="002D69D5"/>
    <w:rsid w:val="002E07D9"/>
    <w:rsid w:val="002E1590"/>
    <w:rsid w:val="002E42A1"/>
    <w:rsid w:val="002E580B"/>
    <w:rsid w:val="002F21C5"/>
    <w:rsid w:val="00301C03"/>
    <w:rsid w:val="00303222"/>
    <w:rsid w:val="00303283"/>
    <w:rsid w:val="00305379"/>
    <w:rsid w:val="0030553D"/>
    <w:rsid w:val="003068C9"/>
    <w:rsid w:val="0031069F"/>
    <w:rsid w:val="003115A5"/>
    <w:rsid w:val="003147DD"/>
    <w:rsid w:val="003211CA"/>
    <w:rsid w:val="00323783"/>
    <w:rsid w:val="003247DC"/>
    <w:rsid w:val="003269C7"/>
    <w:rsid w:val="00327CF7"/>
    <w:rsid w:val="003318DB"/>
    <w:rsid w:val="00331D31"/>
    <w:rsid w:val="0033274A"/>
    <w:rsid w:val="0033291D"/>
    <w:rsid w:val="003331C3"/>
    <w:rsid w:val="00334C6E"/>
    <w:rsid w:val="00334CC8"/>
    <w:rsid w:val="00335FD6"/>
    <w:rsid w:val="00340877"/>
    <w:rsid w:val="00340EED"/>
    <w:rsid w:val="00343B78"/>
    <w:rsid w:val="003446C2"/>
    <w:rsid w:val="00346882"/>
    <w:rsid w:val="00346D6C"/>
    <w:rsid w:val="003479B1"/>
    <w:rsid w:val="00350926"/>
    <w:rsid w:val="00357271"/>
    <w:rsid w:val="00362EFC"/>
    <w:rsid w:val="00363CFA"/>
    <w:rsid w:val="00363D2E"/>
    <w:rsid w:val="00363F1B"/>
    <w:rsid w:val="003649FA"/>
    <w:rsid w:val="00364BF1"/>
    <w:rsid w:val="00370E75"/>
    <w:rsid w:val="00371962"/>
    <w:rsid w:val="003733C0"/>
    <w:rsid w:val="0037351A"/>
    <w:rsid w:val="0037449A"/>
    <w:rsid w:val="00374E75"/>
    <w:rsid w:val="00376EA5"/>
    <w:rsid w:val="00376FBD"/>
    <w:rsid w:val="0038061B"/>
    <w:rsid w:val="003815F7"/>
    <w:rsid w:val="00384142"/>
    <w:rsid w:val="00385499"/>
    <w:rsid w:val="003862F9"/>
    <w:rsid w:val="003908CD"/>
    <w:rsid w:val="00395927"/>
    <w:rsid w:val="003A4276"/>
    <w:rsid w:val="003A57C0"/>
    <w:rsid w:val="003A6275"/>
    <w:rsid w:val="003A67D8"/>
    <w:rsid w:val="003B0E6E"/>
    <w:rsid w:val="003B414A"/>
    <w:rsid w:val="003B475A"/>
    <w:rsid w:val="003B57E4"/>
    <w:rsid w:val="003C0497"/>
    <w:rsid w:val="003C0AE5"/>
    <w:rsid w:val="003C1D60"/>
    <w:rsid w:val="003C29E4"/>
    <w:rsid w:val="003C30D1"/>
    <w:rsid w:val="003C3BD0"/>
    <w:rsid w:val="003C3FF1"/>
    <w:rsid w:val="003C6276"/>
    <w:rsid w:val="003C7B16"/>
    <w:rsid w:val="003D18CC"/>
    <w:rsid w:val="003D3526"/>
    <w:rsid w:val="003D439A"/>
    <w:rsid w:val="003D5A2B"/>
    <w:rsid w:val="003D71AC"/>
    <w:rsid w:val="003E14A1"/>
    <w:rsid w:val="003E1BAA"/>
    <w:rsid w:val="003E4810"/>
    <w:rsid w:val="003E4A1F"/>
    <w:rsid w:val="003E5018"/>
    <w:rsid w:val="003E7924"/>
    <w:rsid w:val="003F08B4"/>
    <w:rsid w:val="003F0E95"/>
    <w:rsid w:val="003F1226"/>
    <w:rsid w:val="003F1F1A"/>
    <w:rsid w:val="003F21E7"/>
    <w:rsid w:val="003F409D"/>
    <w:rsid w:val="003F4973"/>
    <w:rsid w:val="003F6997"/>
    <w:rsid w:val="003F74F8"/>
    <w:rsid w:val="0040040D"/>
    <w:rsid w:val="004071D7"/>
    <w:rsid w:val="0041062B"/>
    <w:rsid w:val="0041298E"/>
    <w:rsid w:val="00414025"/>
    <w:rsid w:val="00415846"/>
    <w:rsid w:val="00421A65"/>
    <w:rsid w:val="00421EF5"/>
    <w:rsid w:val="00427379"/>
    <w:rsid w:val="00431EF5"/>
    <w:rsid w:val="00432016"/>
    <w:rsid w:val="00432B1C"/>
    <w:rsid w:val="00436606"/>
    <w:rsid w:val="0043690E"/>
    <w:rsid w:val="00436FCD"/>
    <w:rsid w:val="00440542"/>
    <w:rsid w:val="00442775"/>
    <w:rsid w:val="00443EE5"/>
    <w:rsid w:val="00444B2F"/>
    <w:rsid w:val="0044693B"/>
    <w:rsid w:val="00450F41"/>
    <w:rsid w:val="00453085"/>
    <w:rsid w:val="004537DA"/>
    <w:rsid w:val="0045380A"/>
    <w:rsid w:val="0045442E"/>
    <w:rsid w:val="004549B0"/>
    <w:rsid w:val="004566B6"/>
    <w:rsid w:val="004577BB"/>
    <w:rsid w:val="00461498"/>
    <w:rsid w:val="00462663"/>
    <w:rsid w:val="00463240"/>
    <w:rsid w:val="004632B7"/>
    <w:rsid w:val="00471416"/>
    <w:rsid w:val="00476494"/>
    <w:rsid w:val="00477735"/>
    <w:rsid w:val="0048087E"/>
    <w:rsid w:val="00481107"/>
    <w:rsid w:val="00483272"/>
    <w:rsid w:val="004835FE"/>
    <w:rsid w:val="0048408E"/>
    <w:rsid w:val="00484106"/>
    <w:rsid w:val="0048680C"/>
    <w:rsid w:val="00486A39"/>
    <w:rsid w:val="0049023D"/>
    <w:rsid w:val="00490481"/>
    <w:rsid w:val="0049099C"/>
    <w:rsid w:val="00493113"/>
    <w:rsid w:val="004948A1"/>
    <w:rsid w:val="00495BE7"/>
    <w:rsid w:val="004B1A89"/>
    <w:rsid w:val="004B21E2"/>
    <w:rsid w:val="004B39B9"/>
    <w:rsid w:val="004B41C0"/>
    <w:rsid w:val="004B5F52"/>
    <w:rsid w:val="004C31BA"/>
    <w:rsid w:val="004C3CC4"/>
    <w:rsid w:val="004D2FDC"/>
    <w:rsid w:val="004D628A"/>
    <w:rsid w:val="004E0C4D"/>
    <w:rsid w:val="004F147A"/>
    <w:rsid w:val="004F1589"/>
    <w:rsid w:val="004F2BB7"/>
    <w:rsid w:val="004F2F26"/>
    <w:rsid w:val="004F524B"/>
    <w:rsid w:val="004F587B"/>
    <w:rsid w:val="00500DCB"/>
    <w:rsid w:val="00505C70"/>
    <w:rsid w:val="00506992"/>
    <w:rsid w:val="00506C02"/>
    <w:rsid w:val="00507B1B"/>
    <w:rsid w:val="005103B3"/>
    <w:rsid w:val="005109FB"/>
    <w:rsid w:val="0051580D"/>
    <w:rsid w:val="00517B4B"/>
    <w:rsid w:val="005207B6"/>
    <w:rsid w:val="00521E74"/>
    <w:rsid w:val="005222A0"/>
    <w:rsid w:val="00524316"/>
    <w:rsid w:val="00524822"/>
    <w:rsid w:val="00525362"/>
    <w:rsid w:val="005315F6"/>
    <w:rsid w:val="00537ECC"/>
    <w:rsid w:val="005448EC"/>
    <w:rsid w:val="00544F7F"/>
    <w:rsid w:val="005474EB"/>
    <w:rsid w:val="005477E0"/>
    <w:rsid w:val="005513A3"/>
    <w:rsid w:val="005517A0"/>
    <w:rsid w:val="00551816"/>
    <w:rsid w:val="00554242"/>
    <w:rsid w:val="00554AD3"/>
    <w:rsid w:val="005550D2"/>
    <w:rsid w:val="00555E3F"/>
    <w:rsid w:val="0056039B"/>
    <w:rsid w:val="0056470C"/>
    <w:rsid w:val="005664C8"/>
    <w:rsid w:val="00573A29"/>
    <w:rsid w:val="00573CAD"/>
    <w:rsid w:val="005740DB"/>
    <w:rsid w:val="00577A51"/>
    <w:rsid w:val="00583307"/>
    <w:rsid w:val="00585901"/>
    <w:rsid w:val="00586760"/>
    <w:rsid w:val="00586CEE"/>
    <w:rsid w:val="00586E5E"/>
    <w:rsid w:val="00587996"/>
    <w:rsid w:val="0059089C"/>
    <w:rsid w:val="0059273A"/>
    <w:rsid w:val="0059579D"/>
    <w:rsid w:val="00595C82"/>
    <w:rsid w:val="00596036"/>
    <w:rsid w:val="005A36A1"/>
    <w:rsid w:val="005A480C"/>
    <w:rsid w:val="005A53B1"/>
    <w:rsid w:val="005A560B"/>
    <w:rsid w:val="005A6099"/>
    <w:rsid w:val="005A6E70"/>
    <w:rsid w:val="005B08D9"/>
    <w:rsid w:val="005B16F0"/>
    <w:rsid w:val="005B4DEE"/>
    <w:rsid w:val="005B4E40"/>
    <w:rsid w:val="005B5C58"/>
    <w:rsid w:val="005C2CBC"/>
    <w:rsid w:val="005C4F28"/>
    <w:rsid w:val="005C520C"/>
    <w:rsid w:val="005C7593"/>
    <w:rsid w:val="005C784B"/>
    <w:rsid w:val="005D0DE8"/>
    <w:rsid w:val="005D2FDB"/>
    <w:rsid w:val="005D639A"/>
    <w:rsid w:val="005D7902"/>
    <w:rsid w:val="005E051C"/>
    <w:rsid w:val="005E3251"/>
    <w:rsid w:val="005E3CB5"/>
    <w:rsid w:val="005E6156"/>
    <w:rsid w:val="005F20B9"/>
    <w:rsid w:val="005F26DD"/>
    <w:rsid w:val="005F2E2C"/>
    <w:rsid w:val="005F345A"/>
    <w:rsid w:val="006020BD"/>
    <w:rsid w:val="00603321"/>
    <w:rsid w:val="00603553"/>
    <w:rsid w:val="006045BC"/>
    <w:rsid w:val="00605DD9"/>
    <w:rsid w:val="006129D7"/>
    <w:rsid w:val="00614281"/>
    <w:rsid w:val="006164EB"/>
    <w:rsid w:val="00617878"/>
    <w:rsid w:val="006257C0"/>
    <w:rsid w:val="00626A4A"/>
    <w:rsid w:val="006276ED"/>
    <w:rsid w:val="0063099C"/>
    <w:rsid w:val="00630F6B"/>
    <w:rsid w:val="00632B03"/>
    <w:rsid w:val="00635CD4"/>
    <w:rsid w:val="0064133C"/>
    <w:rsid w:val="00643B82"/>
    <w:rsid w:val="00644ADC"/>
    <w:rsid w:val="00646CED"/>
    <w:rsid w:val="00654626"/>
    <w:rsid w:val="00654D5F"/>
    <w:rsid w:val="00654FC4"/>
    <w:rsid w:val="00655665"/>
    <w:rsid w:val="006608CB"/>
    <w:rsid w:val="0066092E"/>
    <w:rsid w:val="0066311D"/>
    <w:rsid w:val="0066401F"/>
    <w:rsid w:val="0066698B"/>
    <w:rsid w:val="0066710F"/>
    <w:rsid w:val="006672C1"/>
    <w:rsid w:val="00670054"/>
    <w:rsid w:val="006705B2"/>
    <w:rsid w:val="00671214"/>
    <w:rsid w:val="0067139F"/>
    <w:rsid w:val="00673739"/>
    <w:rsid w:val="00673D85"/>
    <w:rsid w:val="00674341"/>
    <w:rsid w:val="006808CE"/>
    <w:rsid w:val="00680B65"/>
    <w:rsid w:val="0068327C"/>
    <w:rsid w:val="00686161"/>
    <w:rsid w:val="00686AA0"/>
    <w:rsid w:val="0069133F"/>
    <w:rsid w:val="006916DA"/>
    <w:rsid w:val="00696732"/>
    <w:rsid w:val="006A523A"/>
    <w:rsid w:val="006A5DC2"/>
    <w:rsid w:val="006A707C"/>
    <w:rsid w:val="006A70E1"/>
    <w:rsid w:val="006B03D7"/>
    <w:rsid w:val="006B1C8D"/>
    <w:rsid w:val="006B2AF7"/>
    <w:rsid w:val="006B35BD"/>
    <w:rsid w:val="006B3A51"/>
    <w:rsid w:val="006B4CAA"/>
    <w:rsid w:val="006B6807"/>
    <w:rsid w:val="006B72AF"/>
    <w:rsid w:val="006C5A79"/>
    <w:rsid w:val="006C744B"/>
    <w:rsid w:val="006C7C96"/>
    <w:rsid w:val="006D08C3"/>
    <w:rsid w:val="006D2E7C"/>
    <w:rsid w:val="006D345B"/>
    <w:rsid w:val="006D3CB1"/>
    <w:rsid w:val="006D3F64"/>
    <w:rsid w:val="006D504A"/>
    <w:rsid w:val="006D574C"/>
    <w:rsid w:val="006E48D3"/>
    <w:rsid w:val="006F3BDD"/>
    <w:rsid w:val="00700328"/>
    <w:rsid w:val="007006A4"/>
    <w:rsid w:val="00701602"/>
    <w:rsid w:val="00704660"/>
    <w:rsid w:val="00705B86"/>
    <w:rsid w:val="00710266"/>
    <w:rsid w:val="007117AE"/>
    <w:rsid w:val="00712A06"/>
    <w:rsid w:val="00713EAF"/>
    <w:rsid w:val="00715E94"/>
    <w:rsid w:val="007176C9"/>
    <w:rsid w:val="00720C16"/>
    <w:rsid w:val="0072441B"/>
    <w:rsid w:val="0072566C"/>
    <w:rsid w:val="00736840"/>
    <w:rsid w:val="00743007"/>
    <w:rsid w:val="0074395F"/>
    <w:rsid w:val="00745601"/>
    <w:rsid w:val="00745D28"/>
    <w:rsid w:val="00747903"/>
    <w:rsid w:val="00750FE9"/>
    <w:rsid w:val="007521A1"/>
    <w:rsid w:val="00752444"/>
    <w:rsid w:val="00754E0B"/>
    <w:rsid w:val="007558A8"/>
    <w:rsid w:val="00757F72"/>
    <w:rsid w:val="0076200F"/>
    <w:rsid w:val="00763249"/>
    <w:rsid w:val="00764254"/>
    <w:rsid w:val="007645AE"/>
    <w:rsid w:val="00765735"/>
    <w:rsid w:val="00765894"/>
    <w:rsid w:val="00774833"/>
    <w:rsid w:val="0077527F"/>
    <w:rsid w:val="00775999"/>
    <w:rsid w:val="00780E09"/>
    <w:rsid w:val="00781C0B"/>
    <w:rsid w:val="00782108"/>
    <w:rsid w:val="00782D5F"/>
    <w:rsid w:val="00790B9E"/>
    <w:rsid w:val="0079269C"/>
    <w:rsid w:val="0079297D"/>
    <w:rsid w:val="0079299D"/>
    <w:rsid w:val="00792BAE"/>
    <w:rsid w:val="00792C38"/>
    <w:rsid w:val="007A2864"/>
    <w:rsid w:val="007A2CE1"/>
    <w:rsid w:val="007A2D9F"/>
    <w:rsid w:val="007A66D4"/>
    <w:rsid w:val="007B05E5"/>
    <w:rsid w:val="007B3872"/>
    <w:rsid w:val="007B3B9E"/>
    <w:rsid w:val="007B3D83"/>
    <w:rsid w:val="007B6B31"/>
    <w:rsid w:val="007B7E9D"/>
    <w:rsid w:val="007C0223"/>
    <w:rsid w:val="007C18E0"/>
    <w:rsid w:val="007C1EE8"/>
    <w:rsid w:val="007C391B"/>
    <w:rsid w:val="007C4B33"/>
    <w:rsid w:val="007C4ED5"/>
    <w:rsid w:val="007C7CAB"/>
    <w:rsid w:val="007D0011"/>
    <w:rsid w:val="007D06DB"/>
    <w:rsid w:val="007D2DCF"/>
    <w:rsid w:val="007D3F90"/>
    <w:rsid w:val="007D66AA"/>
    <w:rsid w:val="007E1041"/>
    <w:rsid w:val="007E25F4"/>
    <w:rsid w:val="007E26D1"/>
    <w:rsid w:val="007E2A13"/>
    <w:rsid w:val="007E3152"/>
    <w:rsid w:val="007E450A"/>
    <w:rsid w:val="007E52F7"/>
    <w:rsid w:val="007E5756"/>
    <w:rsid w:val="007E7971"/>
    <w:rsid w:val="007F1423"/>
    <w:rsid w:val="007F2F0B"/>
    <w:rsid w:val="007F52AA"/>
    <w:rsid w:val="007F6813"/>
    <w:rsid w:val="007F6E08"/>
    <w:rsid w:val="00800095"/>
    <w:rsid w:val="00800641"/>
    <w:rsid w:val="00802C1C"/>
    <w:rsid w:val="0080695A"/>
    <w:rsid w:val="00806EE7"/>
    <w:rsid w:val="00810E51"/>
    <w:rsid w:val="00813F48"/>
    <w:rsid w:val="00815EF1"/>
    <w:rsid w:val="00817E16"/>
    <w:rsid w:val="00823E04"/>
    <w:rsid w:val="00825812"/>
    <w:rsid w:val="0082752E"/>
    <w:rsid w:val="00831B25"/>
    <w:rsid w:val="00835898"/>
    <w:rsid w:val="00841438"/>
    <w:rsid w:val="0084145F"/>
    <w:rsid w:val="00842BA3"/>
    <w:rsid w:val="00844578"/>
    <w:rsid w:val="00845423"/>
    <w:rsid w:val="008467ED"/>
    <w:rsid w:val="00847FD3"/>
    <w:rsid w:val="008503E6"/>
    <w:rsid w:val="00852423"/>
    <w:rsid w:val="00853F7E"/>
    <w:rsid w:val="0085437E"/>
    <w:rsid w:val="00860198"/>
    <w:rsid w:val="00865740"/>
    <w:rsid w:val="00871F46"/>
    <w:rsid w:val="00872C5D"/>
    <w:rsid w:val="00873488"/>
    <w:rsid w:val="00876402"/>
    <w:rsid w:val="00876ACD"/>
    <w:rsid w:val="00880B27"/>
    <w:rsid w:val="008813A0"/>
    <w:rsid w:val="00884E87"/>
    <w:rsid w:val="00885D75"/>
    <w:rsid w:val="00885E01"/>
    <w:rsid w:val="00886273"/>
    <w:rsid w:val="0089100E"/>
    <w:rsid w:val="008915A9"/>
    <w:rsid w:val="008923F0"/>
    <w:rsid w:val="00892421"/>
    <w:rsid w:val="00892624"/>
    <w:rsid w:val="0089349A"/>
    <w:rsid w:val="00895DDC"/>
    <w:rsid w:val="00896132"/>
    <w:rsid w:val="00897D3F"/>
    <w:rsid w:val="008A015F"/>
    <w:rsid w:val="008A1B22"/>
    <w:rsid w:val="008B394A"/>
    <w:rsid w:val="008B3ADB"/>
    <w:rsid w:val="008B3C96"/>
    <w:rsid w:val="008B4FB9"/>
    <w:rsid w:val="008B5A3F"/>
    <w:rsid w:val="008B698D"/>
    <w:rsid w:val="008C58A0"/>
    <w:rsid w:val="008C6A26"/>
    <w:rsid w:val="008C7D60"/>
    <w:rsid w:val="008D0054"/>
    <w:rsid w:val="008D00B7"/>
    <w:rsid w:val="008D1C83"/>
    <w:rsid w:val="008D258A"/>
    <w:rsid w:val="008D2B03"/>
    <w:rsid w:val="008D61E6"/>
    <w:rsid w:val="008E144F"/>
    <w:rsid w:val="008E3B5F"/>
    <w:rsid w:val="008E7342"/>
    <w:rsid w:val="008F12FF"/>
    <w:rsid w:val="008F1E96"/>
    <w:rsid w:val="008F24E0"/>
    <w:rsid w:val="008F31E2"/>
    <w:rsid w:val="008F4CF4"/>
    <w:rsid w:val="008F5470"/>
    <w:rsid w:val="008F7049"/>
    <w:rsid w:val="008F7101"/>
    <w:rsid w:val="008F7458"/>
    <w:rsid w:val="008F7AB2"/>
    <w:rsid w:val="00904557"/>
    <w:rsid w:val="00904ED7"/>
    <w:rsid w:val="009056DF"/>
    <w:rsid w:val="00920085"/>
    <w:rsid w:val="009200B2"/>
    <w:rsid w:val="00920CA4"/>
    <w:rsid w:val="00926042"/>
    <w:rsid w:val="00930F96"/>
    <w:rsid w:val="00931934"/>
    <w:rsid w:val="0093688A"/>
    <w:rsid w:val="00940F1D"/>
    <w:rsid w:val="00942CBF"/>
    <w:rsid w:val="009445AF"/>
    <w:rsid w:val="00944EF2"/>
    <w:rsid w:val="009471B8"/>
    <w:rsid w:val="00950906"/>
    <w:rsid w:val="00952EE4"/>
    <w:rsid w:val="00955095"/>
    <w:rsid w:val="0095743F"/>
    <w:rsid w:val="00961D83"/>
    <w:rsid w:val="00965539"/>
    <w:rsid w:val="009658EE"/>
    <w:rsid w:val="0096594B"/>
    <w:rsid w:val="00965FCB"/>
    <w:rsid w:val="00972985"/>
    <w:rsid w:val="00975CBB"/>
    <w:rsid w:val="00977F5C"/>
    <w:rsid w:val="009815FF"/>
    <w:rsid w:val="009843FB"/>
    <w:rsid w:val="00984791"/>
    <w:rsid w:val="00991AAE"/>
    <w:rsid w:val="0099493B"/>
    <w:rsid w:val="0099529A"/>
    <w:rsid w:val="00995A38"/>
    <w:rsid w:val="00995CDC"/>
    <w:rsid w:val="00997CC1"/>
    <w:rsid w:val="009A0F5A"/>
    <w:rsid w:val="009A6A91"/>
    <w:rsid w:val="009A75C0"/>
    <w:rsid w:val="009A765D"/>
    <w:rsid w:val="009A77EC"/>
    <w:rsid w:val="009B5005"/>
    <w:rsid w:val="009B63F2"/>
    <w:rsid w:val="009C0AC4"/>
    <w:rsid w:val="009C2324"/>
    <w:rsid w:val="009C2A02"/>
    <w:rsid w:val="009C31A7"/>
    <w:rsid w:val="009C4E7F"/>
    <w:rsid w:val="009C5C83"/>
    <w:rsid w:val="009D3ED7"/>
    <w:rsid w:val="009D4AD9"/>
    <w:rsid w:val="009D77D2"/>
    <w:rsid w:val="009E0038"/>
    <w:rsid w:val="009E1C7B"/>
    <w:rsid w:val="009E271E"/>
    <w:rsid w:val="009E309E"/>
    <w:rsid w:val="009E5D8F"/>
    <w:rsid w:val="009E6376"/>
    <w:rsid w:val="009E6B57"/>
    <w:rsid w:val="009F0EFB"/>
    <w:rsid w:val="009F18F5"/>
    <w:rsid w:val="009F2B8E"/>
    <w:rsid w:val="009F4C4C"/>
    <w:rsid w:val="009F6797"/>
    <w:rsid w:val="009F7502"/>
    <w:rsid w:val="00A007B4"/>
    <w:rsid w:val="00A00F34"/>
    <w:rsid w:val="00A020CA"/>
    <w:rsid w:val="00A023D4"/>
    <w:rsid w:val="00A043A2"/>
    <w:rsid w:val="00A10CF0"/>
    <w:rsid w:val="00A114E8"/>
    <w:rsid w:val="00A1610A"/>
    <w:rsid w:val="00A16160"/>
    <w:rsid w:val="00A23ACA"/>
    <w:rsid w:val="00A2404C"/>
    <w:rsid w:val="00A24E92"/>
    <w:rsid w:val="00A25622"/>
    <w:rsid w:val="00A25A52"/>
    <w:rsid w:val="00A264BF"/>
    <w:rsid w:val="00A2687F"/>
    <w:rsid w:val="00A2692D"/>
    <w:rsid w:val="00A26B79"/>
    <w:rsid w:val="00A27B0F"/>
    <w:rsid w:val="00A32871"/>
    <w:rsid w:val="00A41447"/>
    <w:rsid w:val="00A458D2"/>
    <w:rsid w:val="00A475F9"/>
    <w:rsid w:val="00A50741"/>
    <w:rsid w:val="00A518E0"/>
    <w:rsid w:val="00A52033"/>
    <w:rsid w:val="00A5363F"/>
    <w:rsid w:val="00A536FF"/>
    <w:rsid w:val="00A554D7"/>
    <w:rsid w:val="00A56259"/>
    <w:rsid w:val="00A60F71"/>
    <w:rsid w:val="00A62029"/>
    <w:rsid w:val="00A70BEE"/>
    <w:rsid w:val="00A7208C"/>
    <w:rsid w:val="00A75E55"/>
    <w:rsid w:val="00A77B1D"/>
    <w:rsid w:val="00A83161"/>
    <w:rsid w:val="00A83D99"/>
    <w:rsid w:val="00A8440D"/>
    <w:rsid w:val="00A84918"/>
    <w:rsid w:val="00A85177"/>
    <w:rsid w:val="00A868BC"/>
    <w:rsid w:val="00A86E4C"/>
    <w:rsid w:val="00A87FBF"/>
    <w:rsid w:val="00A9125A"/>
    <w:rsid w:val="00A93A05"/>
    <w:rsid w:val="00A940B3"/>
    <w:rsid w:val="00A95177"/>
    <w:rsid w:val="00A9798E"/>
    <w:rsid w:val="00A97B30"/>
    <w:rsid w:val="00AA3699"/>
    <w:rsid w:val="00AA444F"/>
    <w:rsid w:val="00AA49A1"/>
    <w:rsid w:val="00AA4ADA"/>
    <w:rsid w:val="00AA51C9"/>
    <w:rsid w:val="00AA5540"/>
    <w:rsid w:val="00AA6162"/>
    <w:rsid w:val="00AA6596"/>
    <w:rsid w:val="00AB1769"/>
    <w:rsid w:val="00AB1856"/>
    <w:rsid w:val="00AB2328"/>
    <w:rsid w:val="00AB74E0"/>
    <w:rsid w:val="00AC0B50"/>
    <w:rsid w:val="00AC1C50"/>
    <w:rsid w:val="00AC2D5A"/>
    <w:rsid w:val="00AC31F0"/>
    <w:rsid w:val="00AC53CD"/>
    <w:rsid w:val="00AD174D"/>
    <w:rsid w:val="00AD31BD"/>
    <w:rsid w:val="00AD4C78"/>
    <w:rsid w:val="00AD6BB3"/>
    <w:rsid w:val="00AE1949"/>
    <w:rsid w:val="00AE2BB0"/>
    <w:rsid w:val="00AE3351"/>
    <w:rsid w:val="00AE3619"/>
    <w:rsid w:val="00AE40AA"/>
    <w:rsid w:val="00AE4D13"/>
    <w:rsid w:val="00AE4ED1"/>
    <w:rsid w:val="00AE6041"/>
    <w:rsid w:val="00AE76AD"/>
    <w:rsid w:val="00AE78BF"/>
    <w:rsid w:val="00AF037F"/>
    <w:rsid w:val="00AF3617"/>
    <w:rsid w:val="00AF4AE8"/>
    <w:rsid w:val="00AF5941"/>
    <w:rsid w:val="00AF68AB"/>
    <w:rsid w:val="00B02C49"/>
    <w:rsid w:val="00B0535A"/>
    <w:rsid w:val="00B10FD3"/>
    <w:rsid w:val="00B10FF7"/>
    <w:rsid w:val="00B12DDA"/>
    <w:rsid w:val="00B12E96"/>
    <w:rsid w:val="00B154EC"/>
    <w:rsid w:val="00B20A39"/>
    <w:rsid w:val="00B22B47"/>
    <w:rsid w:val="00B23225"/>
    <w:rsid w:val="00B259FF"/>
    <w:rsid w:val="00B33CCB"/>
    <w:rsid w:val="00B3688B"/>
    <w:rsid w:val="00B36B80"/>
    <w:rsid w:val="00B36FA5"/>
    <w:rsid w:val="00B433A8"/>
    <w:rsid w:val="00B43CE3"/>
    <w:rsid w:val="00B4463F"/>
    <w:rsid w:val="00B46488"/>
    <w:rsid w:val="00B46DD3"/>
    <w:rsid w:val="00B50872"/>
    <w:rsid w:val="00B5164E"/>
    <w:rsid w:val="00B533F2"/>
    <w:rsid w:val="00B61AA7"/>
    <w:rsid w:val="00B72C49"/>
    <w:rsid w:val="00B757B4"/>
    <w:rsid w:val="00B80037"/>
    <w:rsid w:val="00B80992"/>
    <w:rsid w:val="00B828F6"/>
    <w:rsid w:val="00B83B98"/>
    <w:rsid w:val="00B84A72"/>
    <w:rsid w:val="00B85D78"/>
    <w:rsid w:val="00B86143"/>
    <w:rsid w:val="00B90EB8"/>
    <w:rsid w:val="00B91B34"/>
    <w:rsid w:val="00B91E50"/>
    <w:rsid w:val="00B9293B"/>
    <w:rsid w:val="00B96139"/>
    <w:rsid w:val="00B974DB"/>
    <w:rsid w:val="00BA2C5F"/>
    <w:rsid w:val="00BA316E"/>
    <w:rsid w:val="00BA4F29"/>
    <w:rsid w:val="00BA5480"/>
    <w:rsid w:val="00BA74EF"/>
    <w:rsid w:val="00BA797E"/>
    <w:rsid w:val="00BB187C"/>
    <w:rsid w:val="00BB1E4B"/>
    <w:rsid w:val="00BB3D52"/>
    <w:rsid w:val="00BB3F88"/>
    <w:rsid w:val="00BB3FEB"/>
    <w:rsid w:val="00BB6145"/>
    <w:rsid w:val="00BB754C"/>
    <w:rsid w:val="00BC03B5"/>
    <w:rsid w:val="00BC06D2"/>
    <w:rsid w:val="00BC0E9E"/>
    <w:rsid w:val="00BC34EF"/>
    <w:rsid w:val="00BC50AF"/>
    <w:rsid w:val="00BC56D8"/>
    <w:rsid w:val="00BC5AEF"/>
    <w:rsid w:val="00BD1E6E"/>
    <w:rsid w:val="00BD42E0"/>
    <w:rsid w:val="00BD5309"/>
    <w:rsid w:val="00BD6048"/>
    <w:rsid w:val="00BE0AD7"/>
    <w:rsid w:val="00BE0CAD"/>
    <w:rsid w:val="00BE134D"/>
    <w:rsid w:val="00BE22EE"/>
    <w:rsid w:val="00BE2B81"/>
    <w:rsid w:val="00BE46F3"/>
    <w:rsid w:val="00BF0E2C"/>
    <w:rsid w:val="00BF2E12"/>
    <w:rsid w:val="00BF4341"/>
    <w:rsid w:val="00BF6DFE"/>
    <w:rsid w:val="00C03183"/>
    <w:rsid w:val="00C04AFE"/>
    <w:rsid w:val="00C06B73"/>
    <w:rsid w:val="00C12B6D"/>
    <w:rsid w:val="00C1393B"/>
    <w:rsid w:val="00C14899"/>
    <w:rsid w:val="00C160B1"/>
    <w:rsid w:val="00C17379"/>
    <w:rsid w:val="00C17415"/>
    <w:rsid w:val="00C20BD7"/>
    <w:rsid w:val="00C2161D"/>
    <w:rsid w:val="00C21647"/>
    <w:rsid w:val="00C216FC"/>
    <w:rsid w:val="00C230D9"/>
    <w:rsid w:val="00C2487D"/>
    <w:rsid w:val="00C278B0"/>
    <w:rsid w:val="00C3038B"/>
    <w:rsid w:val="00C32072"/>
    <w:rsid w:val="00C33491"/>
    <w:rsid w:val="00C33ABF"/>
    <w:rsid w:val="00C34D14"/>
    <w:rsid w:val="00C40828"/>
    <w:rsid w:val="00C420B4"/>
    <w:rsid w:val="00C42945"/>
    <w:rsid w:val="00C44591"/>
    <w:rsid w:val="00C44E98"/>
    <w:rsid w:val="00C45BEA"/>
    <w:rsid w:val="00C468E0"/>
    <w:rsid w:val="00C544EE"/>
    <w:rsid w:val="00C57B32"/>
    <w:rsid w:val="00C57CB8"/>
    <w:rsid w:val="00C57F7C"/>
    <w:rsid w:val="00C61F4B"/>
    <w:rsid w:val="00C637C0"/>
    <w:rsid w:val="00C65E90"/>
    <w:rsid w:val="00C66809"/>
    <w:rsid w:val="00C6758E"/>
    <w:rsid w:val="00C7014A"/>
    <w:rsid w:val="00C701F3"/>
    <w:rsid w:val="00C722E8"/>
    <w:rsid w:val="00C76B58"/>
    <w:rsid w:val="00C81C6B"/>
    <w:rsid w:val="00C82101"/>
    <w:rsid w:val="00C82E84"/>
    <w:rsid w:val="00C84E77"/>
    <w:rsid w:val="00C92BBE"/>
    <w:rsid w:val="00C941F6"/>
    <w:rsid w:val="00C967AF"/>
    <w:rsid w:val="00CA0458"/>
    <w:rsid w:val="00CA1610"/>
    <w:rsid w:val="00CA5A2B"/>
    <w:rsid w:val="00CA63A3"/>
    <w:rsid w:val="00CA7B14"/>
    <w:rsid w:val="00CB09DA"/>
    <w:rsid w:val="00CB2A5E"/>
    <w:rsid w:val="00CB7107"/>
    <w:rsid w:val="00CB729C"/>
    <w:rsid w:val="00CB7BD1"/>
    <w:rsid w:val="00CC049A"/>
    <w:rsid w:val="00CC296E"/>
    <w:rsid w:val="00CC356E"/>
    <w:rsid w:val="00CC3FAE"/>
    <w:rsid w:val="00CC4629"/>
    <w:rsid w:val="00CC565C"/>
    <w:rsid w:val="00CD11EC"/>
    <w:rsid w:val="00CD3F6E"/>
    <w:rsid w:val="00CD741F"/>
    <w:rsid w:val="00CD794B"/>
    <w:rsid w:val="00CE01B0"/>
    <w:rsid w:val="00CE03B6"/>
    <w:rsid w:val="00CE2E3F"/>
    <w:rsid w:val="00CE2FC7"/>
    <w:rsid w:val="00CE344C"/>
    <w:rsid w:val="00CE5111"/>
    <w:rsid w:val="00CE5CFC"/>
    <w:rsid w:val="00CE6C6A"/>
    <w:rsid w:val="00CE7285"/>
    <w:rsid w:val="00CF0F1A"/>
    <w:rsid w:val="00CF1C0F"/>
    <w:rsid w:val="00CF384E"/>
    <w:rsid w:val="00CF7900"/>
    <w:rsid w:val="00D01B6D"/>
    <w:rsid w:val="00D03D20"/>
    <w:rsid w:val="00D067E5"/>
    <w:rsid w:val="00D07A90"/>
    <w:rsid w:val="00D108A7"/>
    <w:rsid w:val="00D121AB"/>
    <w:rsid w:val="00D126DB"/>
    <w:rsid w:val="00D13640"/>
    <w:rsid w:val="00D1386A"/>
    <w:rsid w:val="00D13AE5"/>
    <w:rsid w:val="00D157F0"/>
    <w:rsid w:val="00D15EE7"/>
    <w:rsid w:val="00D20260"/>
    <w:rsid w:val="00D206AC"/>
    <w:rsid w:val="00D2224E"/>
    <w:rsid w:val="00D2642B"/>
    <w:rsid w:val="00D27939"/>
    <w:rsid w:val="00D313A3"/>
    <w:rsid w:val="00D31E5E"/>
    <w:rsid w:val="00D32960"/>
    <w:rsid w:val="00D35F5A"/>
    <w:rsid w:val="00D369F3"/>
    <w:rsid w:val="00D3782E"/>
    <w:rsid w:val="00D41E71"/>
    <w:rsid w:val="00D42F5F"/>
    <w:rsid w:val="00D436A3"/>
    <w:rsid w:val="00D45449"/>
    <w:rsid w:val="00D47E6B"/>
    <w:rsid w:val="00D47F31"/>
    <w:rsid w:val="00D51B26"/>
    <w:rsid w:val="00D51B62"/>
    <w:rsid w:val="00D52069"/>
    <w:rsid w:val="00D600CC"/>
    <w:rsid w:val="00D629BE"/>
    <w:rsid w:val="00D63A54"/>
    <w:rsid w:val="00D65563"/>
    <w:rsid w:val="00D700F9"/>
    <w:rsid w:val="00D7097F"/>
    <w:rsid w:val="00D73590"/>
    <w:rsid w:val="00D73F81"/>
    <w:rsid w:val="00D763CE"/>
    <w:rsid w:val="00D76FF1"/>
    <w:rsid w:val="00D80BB6"/>
    <w:rsid w:val="00D8426F"/>
    <w:rsid w:val="00D902AD"/>
    <w:rsid w:val="00D92676"/>
    <w:rsid w:val="00D92D6B"/>
    <w:rsid w:val="00D976A4"/>
    <w:rsid w:val="00DA07CA"/>
    <w:rsid w:val="00DA2AE7"/>
    <w:rsid w:val="00DA5C09"/>
    <w:rsid w:val="00DA68C9"/>
    <w:rsid w:val="00DA7C71"/>
    <w:rsid w:val="00DB1A86"/>
    <w:rsid w:val="00DB44DB"/>
    <w:rsid w:val="00DB5803"/>
    <w:rsid w:val="00DB75F5"/>
    <w:rsid w:val="00DC17C5"/>
    <w:rsid w:val="00DC4C7F"/>
    <w:rsid w:val="00DC701E"/>
    <w:rsid w:val="00DD0DC9"/>
    <w:rsid w:val="00DD19E7"/>
    <w:rsid w:val="00DD2B55"/>
    <w:rsid w:val="00DD3052"/>
    <w:rsid w:val="00DD3399"/>
    <w:rsid w:val="00DD66A1"/>
    <w:rsid w:val="00DD7E80"/>
    <w:rsid w:val="00DE1A2E"/>
    <w:rsid w:val="00DE3FF7"/>
    <w:rsid w:val="00DE52E4"/>
    <w:rsid w:val="00DE7C14"/>
    <w:rsid w:val="00DF3C16"/>
    <w:rsid w:val="00DF3F7D"/>
    <w:rsid w:val="00DF57A4"/>
    <w:rsid w:val="00DF6CE5"/>
    <w:rsid w:val="00E04529"/>
    <w:rsid w:val="00E06209"/>
    <w:rsid w:val="00E069DB"/>
    <w:rsid w:val="00E06C87"/>
    <w:rsid w:val="00E06D4C"/>
    <w:rsid w:val="00E073E1"/>
    <w:rsid w:val="00E1008E"/>
    <w:rsid w:val="00E12457"/>
    <w:rsid w:val="00E20E9C"/>
    <w:rsid w:val="00E22839"/>
    <w:rsid w:val="00E25A99"/>
    <w:rsid w:val="00E2652A"/>
    <w:rsid w:val="00E26CEB"/>
    <w:rsid w:val="00E31964"/>
    <w:rsid w:val="00E32B76"/>
    <w:rsid w:val="00E36243"/>
    <w:rsid w:val="00E421F4"/>
    <w:rsid w:val="00E42B77"/>
    <w:rsid w:val="00E42E66"/>
    <w:rsid w:val="00E50C48"/>
    <w:rsid w:val="00E50EC6"/>
    <w:rsid w:val="00E5144D"/>
    <w:rsid w:val="00E514A3"/>
    <w:rsid w:val="00E51EED"/>
    <w:rsid w:val="00E52555"/>
    <w:rsid w:val="00E57445"/>
    <w:rsid w:val="00E6560E"/>
    <w:rsid w:val="00E6656F"/>
    <w:rsid w:val="00E724A3"/>
    <w:rsid w:val="00E7413A"/>
    <w:rsid w:val="00E77D53"/>
    <w:rsid w:val="00E8122B"/>
    <w:rsid w:val="00E83274"/>
    <w:rsid w:val="00E83D1D"/>
    <w:rsid w:val="00E84142"/>
    <w:rsid w:val="00E84C58"/>
    <w:rsid w:val="00E8666E"/>
    <w:rsid w:val="00E86CBE"/>
    <w:rsid w:val="00E91297"/>
    <w:rsid w:val="00E91459"/>
    <w:rsid w:val="00E91519"/>
    <w:rsid w:val="00E91BCB"/>
    <w:rsid w:val="00E91FF1"/>
    <w:rsid w:val="00E9508C"/>
    <w:rsid w:val="00E954BD"/>
    <w:rsid w:val="00E95AEA"/>
    <w:rsid w:val="00E963B5"/>
    <w:rsid w:val="00E9738C"/>
    <w:rsid w:val="00EA010A"/>
    <w:rsid w:val="00EA278B"/>
    <w:rsid w:val="00EA4E75"/>
    <w:rsid w:val="00EB06B7"/>
    <w:rsid w:val="00EB1175"/>
    <w:rsid w:val="00EB3E41"/>
    <w:rsid w:val="00EC30DD"/>
    <w:rsid w:val="00EC387B"/>
    <w:rsid w:val="00EC42A6"/>
    <w:rsid w:val="00EC4715"/>
    <w:rsid w:val="00ED2C9B"/>
    <w:rsid w:val="00ED32DE"/>
    <w:rsid w:val="00ED5BAA"/>
    <w:rsid w:val="00ED674B"/>
    <w:rsid w:val="00ED7A97"/>
    <w:rsid w:val="00ED7C70"/>
    <w:rsid w:val="00EE259E"/>
    <w:rsid w:val="00EE3FFD"/>
    <w:rsid w:val="00EE42C3"/>
    <w:rsid w:val="00EE44BF"/>
    <w:rsid w:val="00EF012E"/>
    <w:rsid w:val="00EF1662"/>
    <w:rsid w:val="00EF2D69"/>
    <w:rsid w:val="00EF325D"/>
    <w:rsid w:val="00EF44FE"/>
    <w:rsid w:val="00EF60BE"/>
    <w:rsid w:val="00EF7A49"/>
    <w:rsid w:val="00F00707"/>
    <w:rsid w:val="00F03A63"/>
    <w:rsid w:val="00F06D97"/>
    <w:rsid w:val="00F12739"/>
    <w:rsid w:val="00F13F1D"/>
    <w:rsid w:val="00F14B39"/>
    <w:rsid w:val="00F14E51"/>
    <w:rsid w:val="00F14F4D"/>
    <w:rsid w:val="00F1589F"/>
    <w:rsid w:val="00F16ED7"/>
    <w:rsid w:val="00F1728C"/>
    <w:rsid w:val="00F210C1"/>
    <w:rsid w:val="00F21D85"/>
    <w:rsid w:val="00F232B9"/>
    <w:rsid w:val="00F235E7"/>
    <w:rsid w:val="00F23B27"/>
    <w:rsid w:val="00F26D65"/>
    <w:rsid w:val="00F322C5"/>
    <w:rsid w:val="00F32976"/>
    <w:rsid w:val="00F32AC3"/>
    <w:rsid w:val="00F33362"/>
    <w:rsid w:val="00F34ABC"/>
    <w:rsid w:val="00F35D91"/>
    <w:rsid w:val="00F3631E"/>
    <w:rsid w:val="00F37E7F"/>
    <w:rsid w:val="00F417AA"/>
    <w:rsid w:val="00F5515E"/>
    <w:rsid w:val="00F6186F"/>
    <w:rsid w:val="00F61ECB"/>
    <w:rsid w:val="00F639ED"/>
    <w:rsid w:val="00F648B9"/>
    <w:rsid w:val="00F67650"/>
    <w:rsid w:val="00F7206E"/>
    <w:rsid w:val="00F72B65"/>
    <w:rsid w:val="00F72C17"/>
    <w:rsid w:val="00F752C0"/>
    <w:rsid w:val="00F77CDD"/>
    <w:rsid w:val="00F8150C"/>
    <w:rsid w:val="00F834B4"/>
    <w:rsid w:val="00F83DCC"/>
    <w:rsid w:val="00F84C43"/>
    <w:rsid w:val="00F84F35"/>
    <w:rsid w:val="00F85CCE"/>
    <w:rsid w:val="00F929D4"/>
    <w:rsid w:val="00F93AEA"/>
    <w:rsid w:val="00F95BB3"/>
    <w:rsid w:val="00F96A4C"/>
    <w:rsid w:val="00F97E67"/>
    <w:rsid w:val="00F97FF2"/>
    <w:rsid w:val="00FA4385"/>
    <w:rsid w:val="00FA5EE1"/>
    <w:rsid w:val="00FB0F39"/>
    <w:rsid w:val="00FB192C"/>
    <w:rsid w:val="00FB78EC"/>
    <w:rsid w:val="00FC32EF"/>
    <w:rsid w:val="00FC33F0"/>
    <w:rsid w:val="00FC373D"/>
    <w:rsid w:val="00FC3F80"/>
    <w:rsid w:val="00FD0C71"/>
    <w:rsid w:val="00FD7981"/>
    <w:rsid w:val="00FE1DED"/>
    <w:rsid w:val="00FE3224"/>
    <w:rsid w:val="00FE48A8"/>
    <w:rsid w:val="00FE5A37"/>
    <w:rsid w:val="00FE7190"/>
    <w:rsid w:val="00FE7C3A"/>
    <w:rsid w:val="00FE7EB3"/>
    <w:rsid w:val="00FF02CE"/>
    <w:rsid w:val="00FF2D26"/>
    <w:rsid w:val="00FF2EE9"/>
    <w:rsid w:val="00FF40FB"/>
    <w:rsid w:val="00FF5928"/>
    <w:rsid w:val="00FF5BFE"/>
    <w:rsid w:val="00FF6336"/>
    <w:rsid w:val="01A24415"/>
    <w:rsid w:val="024E3E72"/>
    <w:rsid w:val="034253FB"/>
    <w:rsid w:val="044D4322"/>
    <w:rsid w:val="048A4A00"/>
    <w:rsid w:val="04D51FA4"/>
    <w:rsid w:val="05111F81"/>
    <w:rsid w:val="05166F4B"/>
    <w:rsid w:val="05B2101A"/>
    <w:rsid w:val="06B123A7"/>
    <w:rsid w:val="06C65DE3"/>
    <w:rsid w:val="071A470B"/>
    <w:rsid w:val="07D124F0"/>
    <w:rsid w:val="084049A3"/>
    <w:rsid w:val="092E73B8"/>
    <w:rsid w:val="09783FAA"/>
    <w:rsid w:val="09865BA8"/>
    <w:rsid w:val="09A02BD8"/>
    <w:rsid w:val="09D70CE1"/>
    <w:rsid w:val="0A197174"/>
    <w:rsid w:val="0A4C0EFE"/>
    <w:rsid w:val="0B001878"/>
    <w:rsid w:val="0C45474C"/>
    <w:rsid w:val="0CEF2FF6"/>
    <w:rsid w:val="0D0F2262"/>
    <w:rsid w:val="0D837362"/>
    <w:rsid w:val="0D8A4A33"/>
    <w:rsid w:val="0DC85FA7"/>
    <w:rsid w:val="0E721661"/>
    <w:rsid w:val="0F1E52C9"/>
    <w:rsid w:val="0FF47F72"/>
    <w:rsid w:val="10E90E0C"/>
    <w:rsid w:val="114F095C"/>
    <w:rsid w:val="11503BC5"/>
    <w:rsid w:val="1159394E"/>
    <w:rsid w:val="11784907"/>
    <w:rsid w:val="120F6D68"/>
    <w:rsid w:val="139C6DD0"/>
    <w:rsid w:val="14C40CF6"/>
    <w:rsid w:val="153D6807"/>
    <w:rsid w:val="15922F43"/>
    <w:rsid w:val="1641539D"/>
    <w:rsid w:val="16461662"/>
    <w:rsid w:val="167349C4"/>
    <w:rsid w:val="16FF705D"/>
    <w:rsid w:val="172462A7"/>
    <w:rsid w:val="1724689C"/>
    <w:rsid w:val="174E3DD8"/>
    <w:rsid w:val="17621B09"/>
    <w:rsid w:val="17744F31"/>
    <w:rsid w:val="189412C4"/>
    <w:rsid w:val="193C348D"/>
    <w:rsid w:val="195737C5"/>
    <w:rsid w:val="19A613BA"/>
    <w:rsid w:val="19CD796A"/>
    <w:rsid w:val="1ADF0415"/>
    <w:rsid w:val="1BFB2DBE"/>
    <w:rsid w:val="1C531EB0"/>
    <w:rsid w:val="1C8F3D13"/>
    <w:rsid w:val="1D1D4400"/>
    <w:rsid w:val="1D9401EE"/>
    <w:rsid w:val="1DC034D7"/>
    <w:rsid w:val="1DEE41B3"/>
    <w:rsid w:val="1E106F9C"/>
    <w:rsid w:val="1E1359A2"/>
    <w:rsid w:val="1F3025A3"/>
    <w:rsid w:val="1F7657B2"/>
    <w:rsid w:val="1F890B18"/>
    <w:rsid w:val="2184391C"/>
    <w:rsid w:val="21A412B1"/>
    <w:rsid w:val="225475DC"/>
    <w:rsid w:val="22854FD7"/>
    <w:rsid w:val="23176045"/>
    <w:rsid w:val="231F74CE"/>
    <w:rsid w:val="23584FBD"/>
    <w:rsid w:val="23B968AE"/>
    <w:rsid w:val="24D14878"/>
    <w:rsid w:val="25074AD8"/>
    <w:rsid w:val="25A61FAB"/>
    <w:rsid w:val="274F59AB"/>
    <w:rsid w:val="2847047F"/>
    <w:rsid w:val="28A23C4C"/>
    <w:rsid w:val="294F31AD"/>
    <w:rsid w:val="2ACF44C8"/>
    <w:rsid w:val="2B464C05"/>
    <w:rsid w:val="2B815D58"/>
    <w:rsid w:val="2C2023CD"/>
    <w:rsid w:val="2CF940A0"/>
    <w:rsid w:val="2D3D7986"/>
    <w:rsid w:val="2D767F7C"/>
    <w:rsid w:val="2DA158FC"/>
    <w:rsid w:val="2DB6429C"/>
    <w:rsid w:val="2DD6768B"/>
    <w:rsid w:val="2DDE706D"/>
    <w:rsid w:val="2DE7442B"/>
    <w:rsid w:val="2EB11B92"/>
    <w:rsid w:val="2ECF6ECA"/>
    <w:rsid w:val="2F462F65"/>
    <w:rsid w:val="2FF71651"/>
    <w:rsid w:val="30A970C4"/>
    <w:rsid w:val="30AB3580"/>
    <w:rsid w:val="30DB67F6"/>
    <w:rsid w:val="31CE482F"/>
    <w:rsid w:val="32080D17"/>
    <w:rsid w:val="3274281B"/>
    <w:rsid w:val="33070EAD"/>
    <w:rsid w:val="338447D3"/>
    <w:rsid w:val="33C63DF5"/>
    <w:rsid w:val="347C06A2"/>
    <w:rsid w:val="35A8444E"/>
    <w:rsid w:val="35D75BB5"/>
    <w:rsid w:val="35EE6A0D"/>
    <w:rsid w:val="365C59B9"/>
    <w:rsid w:val="36C81EB2"/>
    <w:rsid w:val="373A16C1"/>
    <w:rsid w:val="37AC7EB8"/>
    <w:rsid w:val="37CD5273"/>
    <w:rsid w:val="37D11313"/>
    <w:rsid w:val="38734624"/>
    <w:rsid w:val="38D93372"/>
    <w:rsid w:val="399227BB"/>
    <w:rsid w:val="39CF7089"/>
    <w:rsid w:val="3ABB0648"/>
    <w:rsid w:val="3AC751F3"/>
    <w:rsid w:val="3AFD1857"/>
    <w:rsid w:val="3BDB0F7A"/>
    <w:rsid w:val="3C3A5B7F"/>
    <w:rsid w:val="3C4353DB"/>
    <w:rsid w:val="3C841906"/>
    <w:rsid w:val="3D24320C"/>
    <w:rsid w:val="3D533306"/>
    <w:rsid w:val="3DFA36A1"/>
    <w:rsid w:val="408F3AEE"/>
    <w:rsid w:val="41483247"/>
    <w:rsid w:val="42795413"/>
    <w:rsid w:val="427A3891"/>
    <w:rsid w:val="42D17C85"/>
    <w:rsid w:val="43861D95"/>
    <w:rsid w:val="439B6AF3"/>
    <w:rsid w:val="44055D67"/>
    <w:rsid w:val="44082311"/>
    <w:rsid w:val="44312473"/>
    <w:rsid w:val="45774671"/>
    <w:rsid w:val="464D0A07"/>
    <w:rsid w:val="47372768"/>
    <w:rsid w:val="475429A4"/>
    <w:rsid w:val="48202C43"/>
    <w:rsid w:val="48B15FB4"/>
    <w:rsid w:val="491E5BAC"/>
    <w:rsid w:val="49482B69"/>
    <w:rsid w:val="49C30E10"/>
    <w:rsid w:val="4A6D35BF"/>
    <w:rsid w:val="4AC64260"/>
    <w:rsid w:val="4AD138BA"/>
    <w:rsid w:val="4B020D65"/>
    <w:rsid w:val="4B980009"/>
    <w:rsid w:val="4CA31923"/>
    <w:rsid w:val="4D9A27F3"/>
    <w:rsid w:val="502A36F3"/>
    <w:rsid w:val="509C5950"/>
    <w:rsid w:val="50B54FF5"/>
    <w:rsid w:val="50E15C02"/>
    <w:rsid w:val="51411698"/>
    <w:rsid w:val="525F1AF7"/>
    <w:rsid w:val="52624820"/>
    <w:rsid w:val="527B017B"/>
    <w:rsid w:val="53984572"/>
    <w:rsid w:val="576B57A9"/>
    <w:rsid w:val="57B432D3"/>
    <w:rsid w:val="584440B1"/>
    <w:rsid w:val="59A77E34"/>
    <w:rsid w:val="59E178DC"/>
    <w:rsid w:val="5A62293F"/>
    <w:rsid w:val="5A622C10"/>
    <w:rsid w:val="5C2C4335"/>
    <w:rsid w:val="5C67343B"/>
    <w:rsid w:val="5C786239"/>
    <w:rsid w:val="5D3D1A3F"/>
    <w:rsid w:val="5E0779DB"/>
    <w:rsid w:val="5E435999"/>
    <w:rsid w:val="5E753D0D"/>
    <w:rsid w:val="5EB30C6C"/>
    <w:rsid w:val="5F282631"/>
    <w:rsid w:val="5F76393A"/>
    <w:rsid w:val="5F845286"/>
    <w:rsid w:val="5F9144FE"/>
    <w:rsid w:val="5FCA3AFF"/>
    <w:rsid w:val="5FE01941"/>
    <w:rsid w:val="605B36ED"/>
    <w:rsid w:val="60ED1A7E"/>
    <w:rsid w:val="61156A75"/>
    <w:rsid w:val="61DE2C95"/>
    <w:rsid w:val="61F5593C"/>
    <w:rsid w:val="621A4111"/>
    <w:rsid w:val="622947C9"/>
    <w:rsid w:val="627D4AAA"/>
    <w:rsid w:val="629D1197"/>
    <w:rsid w:val="6382618B"/>
    <w:rsid w:val="638E5A0F"/>
    <w:rsid w:val="63A9615F"/>
    <w:rsid w:val="63F52CC2"/>
    <w:rsid w:val="641455F6"/>
    <w:rsid w:val="654B58CB"/>
    <w:rsid w:val="66002C0B"/>
    <w:rsid w:val="66B36ED8"/>
    <w:rsid w:val="676E4CE9"/>
    <w:rsid w:val="67AF66E7"/>
    <w:rsid w:val="68D71D38"/>
    <w:rsid w:val="69333FA9"/>
    <w:rsid w:val="698B0B06"/>
    <w:rsid w:val="6A972CE6"/>
    <w:rsid w:val="6AD41A91"/>
    <w:rsid w:val="6B634517"/>
    <w:rsid w:val="6BC02362"/>
    <w:rsid w:val="6BE61F4F"/>
    <w:rsid w:val="6C1F227C"/>
    <w:rsid w:val="6C40101F"/>
    <w:rsid w:val="6CEE6B92"/>
    <w:rsid w:val="6D5635C9"/>
    <w:rsid w:val="6DB4449D"/>
    <w:rsid w:val="6DBB1EF8"/>
    <w:rsid w:val="6E190DA5"/>
    <w:rsid w:val="6E8D0B1C"/>
    <w:rsid w:val="6F59788D"/>
    <w:rsid w:val="6FF1391D"/>
    <w:rsid w:val="71C5328C"/>
    <w:rsid w:val="71C70C54"/>
    <w:rsid w:val="71FA60C8"/>
    <w:rsid w:val="726A3C17"/>
    <w:rsid w:val="728C3C5C"/>
    <w:rsid w:val="72907B17"/>
    <w:rsid w:val="73375E4E"/>
    <w:rsid w:val="73FC7EAF"/>
    <w:rsid w:val="74CB556A"/>
    <w:rsid w:val="76E96BCF"/>
    <w:rsid w:val="77572B56"/>
    <w:rsid w:val="780306EE"/>
    <w:rsid w:val="788274D1"/>
    <w:rsid w:val="7885062D"/>
    <w:rsid w:val="79175E65"/>
    <w:rsid w:val="79547A3F"/>
    <w:rsid w:val="797A260A"/>
    <w:rsid w:val="7A076C8A"/>
    <w:rsid w:val="7B0A6937"/>
    <w:rsid w:val="7B160BEB"/>
    <w:rsid w:val="7B184FCA"/>
    <w:rsid w:val="7CE8039A"/>
    <w:rsid w:val="7CFF7097"/>
    <w:rsid w:val="7E921AD9"/>
    <w:rsid w:val="7ED56E83"/>
    <w:rsid w:val="7EE122EC"/>
    <w:rsid w:val="7EE75D60"/>
    <w:rsid w:val="7FD83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qFormat="1" w:uiPriority="99" w:name="HTML Keyboard"/>
    <w:lsdException w:uiPriority="99" w:name="HTML Preformatted"/>
    <w:lsdException w:qFormat="1"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4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45"/>
    <w:unhideWhenUsed/>
    <w:qFormat/>
    <w:uiPriority w:val="9"/>
    <w:pPr>
      <w:keepNext/>
      <w:keepLines/>
      <w:spacing w:before="260" w:after="260" w:line="416" w:lineRule="auto"/>
      <w:outlineLvl w:val="2"/>
    </w:pPr>
    <w:rPr>
      <w:b/>
      <w:bCs/>
      <w:szCs w:val="32"/>
    </w:rPr>
  </w:style>
  <w:style w:type="paragraph" w:styleId="5">
    <w:name w:val="heading 4"/>
    <w:basedOn w:val="1"/>
    <w:next w:val="1"/>
    <w:link w:val="46"/>
    <w:unhideWhenUsed/>
    <w:qFormat/>
    <w:uiPriority w:val="9"/>
    <w:pPr>
      <w:keepNext/>
      <w:keepLines/>
      <w:spacing w:before="280" w:after="290" w:line="376" w:lineRule="auto"/>
      <w:outlineLvl w:val="3"/>
    </w:pPr>
    <w:rPr>
      <w:rFonts w:asciiTheme="majorHAnsi" w:hAnsiTheme="majorHAnsi" w:eastAsiaTheme="majorEastAsia" w:cstheme="majorBidi"/>
      <w:b/>
      <w:bCs/>
      <w:sz w:val="18"/>
      <w:szCs w:val="28"/>
    </w:rPr>
  </w:style>
  <w:style w:type="paragraph" w:styleId="6">
    <w:name w:val="heading 5"/>
    <w:basedOn w:val="1"/>
    <w:next w:val="1"/>
    <w:link w:val="47"/>
    <w:unhideWhenUsed/>
    <w:qFormat/>
    <w:uiPriority w:val="9"/>
    <w:pPr>
      <w:keepNext/>
      <w:keepLines/>
      <w:spacing w:before="280" w:after="290" w:line="376" w:lineRule="auto"/>
      <w:outlineLvl w:val="4"/>
    </w:pPr>
    <w:rPr>
      <w:b/>
      <w:bCs/>
      <w:sz w:val="18"/>
      <w:szCs w:val="28"/>
    </w:rPr>
  </w:style>
  <w:style w:type="paragraph" w:styleId="7">
    <w:name w:val="heading 6"/>
    <w:basedOn w:val="1"/>
    <w:next w:val="1"/>
    <w:link w:val="5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51"/>
    <w:unhideWhenUsed/>
    <w:qFormat/>
    <w:uiPriority w:val="9"/>
    <w:pPr>
      <w:keepNext/>
      <w:keepLines/>
      <w:spacing w:before="240" w:after="64" w:line="320" w:lineRule="auto"/>
      <w:outlineLvl w:val="6"/>
    </w:pPr>
    <w:rPr>
      <w:b/>
      <w:bCs/>
      <w:sz w:val="24"/>
      <w:szCs w:val="24"/>
    </w:rPr>
  </w:style>
  <w:style w:type="character" w:default="1" w:styleId="25">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unhideWhenUsed/>
    <w:qFormat/>
    <w:uiPriority w:val="39"/>
    <w:pPr>
      <w:ind w:left="2520" w:leftChars="1200"/>
    </w:pPr>
    <w:rPr>
      <w:rFonts w:asciiTheme="minorHAnsi" w:hAnsiTheme="minorHAnsi" w:eastAsiaTheme="minorEastAsia" w:cstheme="minorBidi"/>
    </w:rPr>
  </w:style>
  <w:style w:type="paragraph" w:styleId="10">
    <w:name w:val="Normal Indent"/>
    <w:basedOn w:val="1"/>
    <w:link w:val="48"/>
    <w:qFormat/>
    <w:uiPriority w:val="0"/>
    <w:pPr>
      <w:tabs>
        <w:tab w:val="left" w:pos="425"/>
        <w:tab w:val="left" w:pos="851"/>
      </w:tabs>
      <w:spacing w:line="300" w:lineRule="auto"/>
      <w:ind w:firstLine="425"/>
    </w:pPr>
    <w:rPr>
      <w:rFonts w:asciiTheme="minorHAnsi" w:hAnsiTheme="minorHAnsi" w:eastAsiaTheme="minorEastAsia" w:cstheme="minorBidi"/>
    </w:rPr>
  </w:style>
  <w:style w:type="paragraph" w:styleId="11">
    <w:name w:val="Document Map"/>
    <w:basedOn w:val="1"/>
    <w:link w:val="44"/>
    <w:unhideWhenUsed/>
    <w:qFormat/>
    <w:uiPriority w:val="99"/>
    <w:rPr>
      <w:rFonts w:ascii="宋体"/>
      <w:sz w:val="18"/>
      <w:szCs w:val="18"/>
    </w:rPr>
  </w:style>
  <w:style w:type="paragraph" w:styleId="12">
    <w:name w:val="toc 5"/>
    <w:basedOn w:val="1"/>
    <w:next w:val="1"/>
    <w:unhideWhenUsed/>
    <w:qFormat/>
    <w:uiPriority w:val="39"/>
    <w:pPr>
      <w:ind w:left="1680" w:leftChars="800"/>
    </w:pPr>
    <w:rPr>
      <w:rFonts w:asciiTheme="minorHAnsi" w:hAnsiTheme="minorHAnsi" w:eastAsiaTheme="minorEastAsia" w:cstheme="minorBidi"/>
    </w:rPr>
  </w:style>
  <w:style w:type="paragraph" w:styleId="13">
    <w:name w:val="toc 3"/>
    <w:basedOn w:val="1"/>
    <w:next w:val="1"/>
    <w:unhideWhenUsed/>
    <w:qFormat/>
    <w:uiPriority w:val="39"/>
    <w:pPr>
      <w:ind w:left="840" w:leftChars="400"/>
    </w:pPr>
  </w:style>
  <w:style w:type="paragraph" w:styleId="14">
    <w:name w:val="toc 8"/>
    <w:basedOn w:val="1"/>
    <w:next w:val="1"/>
    <w:unhideWhenUsed/>
    <w:qFormat/>
    <w:uiPriority w:val="39"/>
    <w:pPr>
      <w:ind w:left="2940" w:leftChars="1400"/>
    </w:pPr>
    <w:rPr>
      <w:rFonts w:asciiTheme="minorHAnsi" w:hAnsiTheme="minorHAnsi" w:eastAsiaTheme="minorEastAsia" w:cstheme="minorBidi"/>
    </w:rPr>
  </w:style>
  <w:style w:type="paragraph" w:styleId="15">
    <w:name w:val="Balloon Text"/>
    <w:basedOn w:val="1"/>
    <w:link w:val="40"/>
    <w:unhideWhenUsed/>
    <w:qFormat/>
    <w:uiPriority w:val="99"/>
    <w:rPr>
      <w:sz w:val="18"/>
      <w:szCs w:val="18"/>
    </w:rPr>
  </w:style>
  <w:style w:type="paragraph" w:styleId="16">
    <w:name w:val="footer"/>
    <w:basedOn w:val="1"/>
    <w:link w:val="38"/>
    <w:unhideWhenUsed/>
    <w:qFormat/>
    <w:uiPriority w:val="99"/>
    <w:pPr>
      <w:tabs>
        <w:tab w:val="center" w:pos="4153"/>
        <w:tab w:val="right" w:pos="8306"/>
      </w:tabs>
      <w:snapToGrid w:val="0"/>
      <w:jc w:val="left"/>
    </w:pPr>
    <w:rPr>
      <w:sz w:val="18"/>
      <w:szCs w:val="18"/>
    </w:rPr>
  </w:style>
  <w:style w:type="paragraph" w:styleId="17">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4"/>
    <w:basedOn w:val="1"/>
    <w:next w:val="1"/>
    <w:unhideWhenUsed/>
    <w:qFormat/>
    <w:uiPriority w:val="39"/>
    <w:pPr>
      <w:ind w:left="1260" w:leftChars="600"/>
    </w:pPr>
    <w:rPr>
      <w:rFonts w:asciiTheme="minorHAnsi" w:hAnsiTheme="minorHAnsi" w:eastAsiaTheme="minorEastAsia" w:cstheme="minorBidi"/>
    </w:rPr>
  </w:style>
  <w:style w:type="paragraph" w:styleId="20">
    <w:name w:val="toc 6"/>
    <w:basedOn w:val="1"/>
    <w:next w:val="1"/>
    <w:unhideWhenUsed/>
    <w:qFormat/>
    <w:uiPriority w:val="39"/>
    <w:pPr>
      <w:ind w:left="2100" w:leftChars="1000"/>
    </w:pPr>
    <w:rPr>
      <w:rFonts w:asciiTheme="minorHAnsi" w:hAnsiTheme="minorHAnsi" w:eastAsiaTheme="minorEastAsia" w:cstheme="minorBidi"/>
    </w:rPr>
  </w:style>
  <w:style w:type="paragraph" w:styleId="21">
    <w:name w:val="toc 2"/>
    <w:basedOn w:val="1"/>
    <w:next w:val="1"/>
    <w:unhideWhenUsed/>
    <w:qFormat/>
    <w:uiPriority w:val="39"/>
    <w:pPr>
      <w:ind w:left="420" w:leftChars="200"/>
    </w:pPr>
  </w:style>
  <w:style w:type="paragraph" w:styleId="22">
    <w:name w:val="toc 9"/>
    <w:basedOn w:val="1"/>
    <w:next w:val="1"/>
    <w:unhideWhenUsed/>
    <w:qFormat/>
    <w:uiPriority w:val="39"/>
    <w:pPr>
      <w:ind w:left="3360" w:leftChars="1600"/>
    </w:pPr>
    <w:rPr>
      <w:rFonts w:asciiTheme="minorHAnsi" w:hAnsiTheme="minorHAnsi" w:eastAsiaTheme="minorEastAsia" w:cstheme="minorBidi"/>
    </w:r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26">
    <w:name w:val="Strong"/>
    <w:basedOn w:val="25"/>
    <w:qFormat/>
    <w:uiPriority w:val="22"/>
    <w:rPr>
      <w:b/>
      <w:bCs/>
      <w:vanish/>
      <w:sz w:val="1"/>
      <w:szCs w:val="1"/>
      <w:bdr w:val="single" w:color="E9E9E9" w:sz="2" w:space="0"/>
      <w:shd w:val="clear" w:fill="F9F9F9"/>
    </w:rPr>
  </w:style>
  <w:style w:type="character" w:styleId="27">
    <w:name w:val="FollowedHyperlink"/>
    <w:qFormat/>
    <w:uiPriority w:val="99"/>
    <w:rPr>
      <w:color w:val="800080"/>
      <w:u w:val="single"/>
    </w:rPr>
  </w:style>
  <w:style w:type="character" w:styleId="28">
    <w:name w:val="Emphasis"/>
    <w:basedOn w:val="25"/>
    <w:qFormat/>
    <w:uiPriority w:val="20"/>
  </w:style>
  <w:style w:type="character" w:styleId="29">
    <w:name w:val="HTML Definition"/>
    <w:basedOn w:val="25"/>
    <w:semiHidden/>
    <w:unhideWhenUsed/>
    <w:qFormat/>
    <w:uiPriority w:val="99"/>
  </w:style>
  <w:style w:type="character" w:styleId="30">
    <w:name w:val="HTML Acronym"/>
    <w:basedOn w:val="25"/>
    <w:semiHidden/>
    <w:unhideWhenUsed/>
    <w:qFormat/>
    <w:uiPriority w:val="99"/>
  </w:style>
  <w:style w:type="character" w:styleId="31">
    <w:name w:val="HTML Variable"/>
    <w:basedOn w:val="25"/>
    <w:semiHidden/>
    <w:unhideWhenUsed/>
    <w:qFormat/>
    <w:uiPriority w:val="99"/>
  </w:style>
  <w:style w:type="character" w:styleId="32">
    <w:name w:val="Hyperlink"/>
    <w:basedOn w:val="25"/>
    <w:unhideWhenUsed/>
    <w:qFormat/>
    <w:uiPriority w:val="99"/>
    <w:rPr>
      <w:color w:val="0000FF" w:themeColor="hyperlink"/>
      <w:u w:val="single"/>
      <w14:textFill>
        <w14:solidFill>
          <w14:schemeClr w14:val="hlink"/>
        </w14:solidFill>
      </w14:textFill>
    </w:rPr>
  </w:style>
  <w:style w:type="character" w:styleId="33">
    <w:name w:val="HTML Code"/>
    <w:basedOn w:val="25"/>
    <w:semiHidden/>
    <w:unhideWhenUsed/>
    <w:qFormat/>
    <w:uiPriority w:val="99"/>
    <w:rPr>
      <w:rFonts w:hint="default" w:ascii="monospace" w:hAnsi="monospace" w:eastAsia="monospace" w:cs="monospace"/>
      <w:sz w:val="21"/>
      <w:szCs w:val="21"/>
    </w:rPr>
  </w:style>
  <w:style w:type="character" w:styleId="34">
    <w:name w:val="HTML Cite"/>
    <w:basedOn w:val="25"/>
    <w:semiHidden/>
    <w:unhideWhenUsed/>
    <w:qFormat/>
    <w:uiPriority w:val="99"/>
  </w:style>
  <w:style w:type="character" w:styleId="35">
    <w:name w:val="HTML Keyboard"/>
    <w:basedOn w:val="25"/>
    <w:semiHidden/>
    <w:unhideWhenUsed/>
    <w:qFormat/>
    <w:uiPriority w:val="99"/>
    <w:rPr>
      <w:rFonts w:ascii="monospace" w:hAnsi="monospace" w:eastAsia="monospace" w:cs="monospace"/>
      <w:sz w:val="21"/>
      <w:szCs w:val="21"/>
    </w:rPr>
  </w:style>
  <w:style w:type="character" w:styleId="36">
    <w:name w:val="HTML Sample"/>
    <w:basedOn w:val="25"/>
    <w:semiHidden/>
    <w:unhideWhenUsed/>
    <w:qFormat/>
    <w:uiPriority w:val="99"/>
    <w:rPr>
      <w:rFonts w:hint="default" w:ascii="monospace" w:hAnsi="monospace" w:eastAsia="monospace" w:cs="monospace"/>
      <w:sz w:val="21"/>
      <w:szCs w:val="21"/>
    </w:rPr>
  </w:style>
  <w:style w:type="character" w:customStyle="1" w:styleId="37">
    <w:name w:val="页眉 字符"/>
    <w:basedOn w:val="25"/>
    <w:link w:val="17"/>
    <w:semiHidden/>
    <w:qFormat/>
    <w:uiPriority w:val="99"/>
    <w:rPr>
      <w:sz w:val="18"/>
      <w:szCs w:val="18"/>
    </w:rPr>
  </w:style>
  <w:style w:type="character" w:customStyle="1" w:styleId="38">
    <w:name w:val="页脚 字符"/>
    <w:basedOn w:val="25"/>
    <w:link w:val="16"/>
    <w:semiHidden/>
    <w:qFormat/>
    <w:uiPriority w:val="99"/>
    <w:rPr>
      <w:sz w:val="18"/>
      <w:szCs w:val="18"/>
    </w:rPr>
  </w:style>
  <w:style w:type="paragraph" w:customStyle="1" w:styleId="39">
    <w:name w:val="列出段落1"/>
    <w:basedOn w:val="1"/>
    <w:link w:val="49"/>
    <w:qFormat/>
    <w:uiPriority w:val="34"/>
    <w:pPr>
      <w:ind w:firstLine="420" w:firstLineChars="200"/>
    </w:pPr>
    <w:rPr>
      <w:rFonts w:asciiTheme="minorHAnsi" w:hAnsiTheme="minorHAnsi" w:eastAsiaTheme="minorEastAsia" w:cstheme="minorBidi"/>
    </w:rPr>
  </w:style>
  <w:style w:type="character" w:customStyle="1" w:styleId="40">
    <w:name w:val="批注框文本 字符"/>
    <w:basedOn w:val="25"/>
    <w:link w:val="15"/>
    <w:semiHidden/>
    <w:qFormat/>
    <w:uiPriority w:val="99"/>
    <w:rPr>
      <w:rFonts w:ascii="Calibri" w:hAnsi="Calibri" w:eastAsia="宋体" w:cs="Times New Roman"/>
      <w:sz w:val="18"/>
      <w:szCs w:val="18"/>
    </w:rPr>
  </w:style>
  <w:style w:type="character" w:customStyle="1" w:styleId="41">
    <w:name w:val="标题 1 字符"/>
    <w:basedOn w:val="25"/>
    <w:link w:val="2"/>
    <w:qFormat/>
    <w:uiPriority w:val="9"/>
    <w:rPr>
      <w:rFonts w:ascii="Calibri" w:hAnsi="Calibri" w:eastAsia="宋体" w:cs="Times New Roman"/>
      <w:b/>
      <w:bCs/>
      <w:kern w:val="44"/>
      <w:sz w:val="44"/>
      <w:szCs w:val="44"/>
    </w:rPr>
  </w:style>
  <w:style w:type="character" w:customStyle="1" w:styleId="42">
    <w:name w:val="标题 2 字符"/>
    <w:basedOn w:val="25"/>
    <w:link w:val="3"/>
    <w:qFormat/>
    <w:uiPriority w:val="9"/>
    <w:rPr>
      <w:rFonts w:asciiTheme="majorHAnsi" w:hAnsiTheme="majorHAnsi" w:eastAsiaTheme="majorEastAsia" w:cstheme="majorBidi"/>
      <w:b/>
      <w:bCs/>
      <w:sz w:val="24"/>
      <w:szCs w:val="32"/>
    </w:rPr>
  </w:style>
  <w:style w:type="paragraph" w:customStyle="1" w:styleId="43">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4">
    <w:name w:val="文档结构图 字符"/>
    <w:basedOn w:val="25"/>
    <w:link w:val="11"/>
    <w:semiHidden/>
    <w:qFormat/>
    <w:uiPriority w:val="99"/>
    <w:rPr>
      <w:rFonts w:ascii="宋体" w:hAnsi="Calibri" w:eastAsia="宋体" w:cs="Times New Roman"/>
      <w:sz w:val="18"/>
      <w:szCs w:val="18"/>
    </w:rPr>
  </w:style>
  <w:style w:type="character" w:customStyle="1" w:styleId="45">
    <w:name w:val="标题 3 字符"/>
    <w:basedOn w:val="25"/>
    <w:link w:val="4"/>
    <w:qFormat/>
    <w:uiPriority w:val="9"/>
    <w:rPr>
      <w:rFonts w:ascii="Calibri" w:hAnsi="Calibri" w:eastAsia="宋体" w:cs="Times New Roman"/>
      <w:b/>
      <w:bCs/>
      <w:szCs w:val="32"/>
    </w:rPr>
  </w:style>
  <w:style w:type="character" w:customStyle="1" w:styleId="46">
    <w:name w:val="标题 4 字符"/>
    <w:basedOn w:val="25"/>
    <w:link w:val="5"/>
    <w:qFormat/>
    <w:uiPriority w:val="9"/>
    <w:rPr>
      <w:rFonts w:asciiTheme="majorHAnsi" w:hAnsiTheme="majorHAnsi" w:eastAsiaTheme="majorEastAsia" w:cstheme="majorBidi"/>
      <w:b/>
      <w:bCs/>
      <w:sz w:val="18"/>
      <w:szCs w:val="28"/>
    </w:rPr>
  </w:style>
  <w:style w:type="character" w:customStyle="1" w:styleId="47">
    <w:name w:val="标题 5 字符"/>
    <w:basedOn w:val="25"/>
    <w:link w:val="6"/>
    <w:qFormat/>
    <w:uiPriority w:val="9"/>
    <w:rPr>
      <w:rFonts w:ascii="Calibri" w:hAnsi="Calibri" w:eastAsia="宋体" w:cs="Times New Roman"/>
      <w:b/>
      <w:bCs/>
      <w:sz w:val="18"/>
      <w:szCs w:val="28"/>
    </w:rPr>
  </w:style>
  <w:style w:type="character" w:customStyle="1" w:styleId="48">
    <w:name w:val="正文缩进 字符"/>
    <w:link w:val="10"/>
    <w:qFormat/>
    <w:uiPriority w:val="0"/>
  </w:style>
  <w:style w:type="character" w:customStyle="1" w:styleId="49">
    <w:name w:val="列出段落 Char"/>
    <w:link w:val="39"/>
    <w:qFormat/>
    <w:uiPriority w:val="34"/>
  </w:style>
  <w:style w:type="character" w:customStyle="1" w:styleId="50">
    <w:name w:val="标题 6 字符"/>
    <w:basedOn w:val="25"/>
    <w:link w:val="7"/>
    <w:qFormat/>
    <w:uiPriority w:val="9"/>
    <w:rPr>
      <w:rFonts w:asciiTheme="majorHAnsi" w:hAnsiTheme="majorHAnsi" w:eastAsiaTheme="majorEastAsia" w:cstheme="majorBidi"/>
      <w:b/>
      <w:bCs/>
      <w:sz w:val="24"/>
      <w:szCs w:val="24"/>
    </w:rPr>
  </w:style>
  <w:style w:type="character" w:customStyle="1" w:styleId="51">
    <w:name w:val="标题 7 字符"/>
    <w:basedOn w:val="25"/>
    <w:link w:val="8"/>
    <w:qFormat/>
    <w:uiPriority w:val="9"/>
    <w:rPr>
      <w:rFonts w:ascii="Calibri" w:hAnsi="Calibri" w:eastAsia="宋体" w:cs="Times New Roman"/>
      <w:b/>
      <w:bCs/>
      <w:sz w:val="24"/>
      <w:szCs w:val="24"/>
    </w:rPr>
  </w:style>
  <w:style w:type="paragraph" w:styleId="52">
    <w:name w:val="List Paragraph"/>
    <w:basedOn w:val="1"/>
    <w:unhideWhenUsed/>
    <w:qFormat/>
    <w:uiPriority w:val="34"/>
    <w:pPr>
      <w:ind w:firstLine="420" w:firstLineChars="200"/>
    </w:pPr>
  </w:style>
  <w:style w:type="paragraph" w:customStyle="1" w:styleId="53">
    <w:name w:val="TOC 标题2"/>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54">
    <w:name w:val="layui-this4"/>
    <w:basedOn w:val="25"/>
    <w:qFormat/>
    <w:uiPriority w:val="0"/>
    <w:rPr>
      <w:shd w:val="clear" w:fill="FFFFFF"/>
    </w:rPr>
  </w:style>
  <w:style w:type="character" w:customStyle="1" w:styleId="55">
    <w:name w:val="layui-laypage-curr"/>
    <w:basedOn w:val="25"/>
    <w:qFormat/>
    <w:uiPriority w:val="0"/>
  </w:style>
  <w:style w:type="character" w:customStyle="1" w:styleId="56">
    <w:name w:val="match1"/>
    <w:basedOn w:val="25"/>
    <w:qFormat/>
    <w:uiPriority w:val="0"/>
    <w:rPr>
      <w:color w:val="FFBC08"/>
    </w:rPr>
  </w:style>
  <w:style w:type="character" w:customStyle="1" w:styleId="57">
    <w:name w:val="hover21"/>
    <w:basedOn w:val="25"/>
    <w:qFormat/>
    <w:uiPriority w:val="0"/>
    <w:rPr>
      <w:color w:val="329DD5"/>
    </w:rPr>
  </w:style>
  <w:style w:type="character" w:customStyle="1" w:styleId="58">
    <w:name w:val="hover22"/>
    <w:basedOn w:val="25"/>
    <w:qFormat/>
    <w:uiPriority w:val="0"/>
    <w:rPr>
      <w:shd w:val="clear" w:fill="E5E5E5"/>
    </w:rPr>
  </w:style>
  <w:style w:type="character" w:customStyle="1" w:styleId="59">
    <w:name w:val="hover23"/>
    <w:basedOn w:val="25"/>
    <w:qFormat/>
    <w:uiPriority w:val="0"/>
    <w:rPr>
      <w:color w:val="FFFFFF"/>
    </w:rPr>
  </w:style>
  <w:style w:type="character" w:customStyle="1" w:styleId="60">
    <w:name w:val="hover24"/>
    <w:basedOn w:val="25"/>
    <w:qFormat/>
    <w:uiPriority w:val="0"/>
    <w:rPr>
      <w:color w:val="329DD5"/>
    </w:rPr>
  </w:style>
  <w:style w:type="character" w:customStyle="1" w:styleId="61">
    <w:name w:val="after"/>
    <w:basedOn w:val="25"/>
    <w:qFormat/>
    <w:uiPriority w:val="0"/>
  </w:style>
  <w:style w:type="character" w:customStyle="1" w:styleId="62">
    <w:name w:val="first-child1"/>
    <w:basedOn w:val="25"/>
    <w:qFormat/>
    <w:uiPriority w:val="0"/>
  </w:style>
  <w:style w:type="character" w:customStyle="1" w:styleId="63">
    <w:name w:val="first-child2"/>
    <w:basedOn w:val="25"/>
    <w:qFormat/>
    <w:uiPriority w:val="0"/>
  </w:style>
  <w:style w:type="character" w:customStyle="1" w:styleId="64">
    <w:name w:val="layui-laydate-preview"/>
    <w:basedOn w:val="25"/>
    <w:qFormat/>
    <w:uiPriority w:val="0"/>
  </w:style>
  <w:style w:type="character" w:customStyle="1" w:styleId="65">
    <w:name w:val="last-child1"/>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6B597-0B78-4FBA-9A30-BDDEB062FCF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25</Pages>
  <Words>3544</Words>
  <Characters>3779</Characters>
  <Lines>22</Lines>
  <Paragraphs>6</Paragraphs>
  <TotalTime>0</TotalTime>
  <ScaleCrop>false</ScaleCrop>
  <LinksUpToDate>false</LinksUpToDate>
  <CharactersWithSpaces>3786</CharactersWithSpaces>
  <Application>WPS Office_11.8.2.12085_F1E327BC-269C-435d-A152-05C5408002CA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2017-10-20T07:51:00Z</dcterms:created>
  <dc:creator>USER</dc:creator>
  <cp:lastModifiedBy>Lenovo</cp:lastModifiedBy>
  <dcterms:modified xsi:type="dcterms:W3CDTF">2023-12-14T12:35:03Z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2052-11.8.2.12085</vt:lpwstr>
  </property>
  <property fmtid="{D5CDD505-2E9C-101B-9397-08002B2CF9AE}" pid="3" name="ICV">
    <vt:lpwstr>299C893BF9E64C9A99CDED0CBEA664A0_12</vt:lpwstr>
  </property>
</Properties>
</file>