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定向流量报备审批流程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spacing w:line="360" w:lineRule="auto"/>
        <w:outlineLvl w:val="0"/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32"/>
          <w:szCs w:val="32"/>
          <w:lang w:val="en-US" w:eastAsia="zh-CN"/>
        </w:rPr>
        <w:t>一、现状</w:t>
      </w:r>
    </w:p>
    <w:p>
      <w:pPr>
        <w:spacing w:line="360" w:lineRule="auto"/>
        <w:ind w:firstLine="640" w:firstLineChars="200"/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2020年8月，工信部发布1173号文，明确：</w:t>
      </w:r>
      <w:r>
        <w:rPr>
          <w:rFonts w:hint="eastAsia" w:ascii="Times New Roman" w:hAnsi="Times New Roman" w:eastAsia="仿宋" w:cs="Times New Roman"/>
          <w:b/>
          <w:bCs/>
          <w:sz w:val="32"/>
          <w:szCs w:val="32"/>
          <w:u w:val="single"/>
          <w:lang w:val="en-US" w:eastAsia="zh-CN"/>
        </w:rPr>
        <w:t>定向流量访问的IP和URL地址白名单数量合计不超过10个</w:t>
      </w: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。</w:t>
      </w:r>
    </w:p>
    <w:p>
      <w:pPr>
        <w:spacing w:line="360" w:lineRule="auto"/>
        <w:ind w:firstLine="640" w:firstLineChars="200"/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为支持业务发展，现网通过地址收敛方式满足客户实际需求；受部委监管限制，仅开放“单APN + PCC白名单”（不含分应用控制）模式。</w:t>
      </w:r>
    </w:p>
    <w:p>
      <w:pPr>
        <w:spacing w:line="360" w:lineRule="auto"/>
        <w:ind w:firstLine="640" w:firstLineChars="200"/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当前，28家省公司为855家客户申请PCC白名单2082条，开卡总量2394万，涉及车联网、智慧家居、公共服务、智慧工业、智慧物流等领域。</w:t>
      </w:r>
    </w:p>
    <w:p>
      <w:pPr>
        <w:spacing w:line="360" w:lineRule="auto"/>
        <w:ind w:firstLine="640" w:firstLineChars="200"/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具体情况：</w:t>
      </w:r>
    </w:p>
    <w:p>
      <w:pPr>
        <w:numPr>
          <w:ilvl w:val="-1"/>
          <w:numId w:val="0"/>
        </w:numPr>
        <w:spacing w:line="360" w:lineRule="auto"/>
        <w:ind w:firstLine="643" w:firstLineChars="200"/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  <w:t>1、</w:t>
      </w:r>
      <w:r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  <w:t>申请省份：</w:t>
      </w: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广东36.6%，江苏21.7%，湖南7.6%，安徽5.5%，河南4.0%，辽宁3.7%，河北3.6%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610735" cy="2271395"/>
            <wp:effectExtent l="0" t="0" r="0" b="0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numPr>
          <w:ilvl w:val="-1"/>
          <w:numId w:val="0"/>
        </w:numPr>
        <w:spacing w:line="360" w:lineRule="auto"/>
        <w:ind w:left="0" w:leftChars="0" w:firstLine="643" w:firstLineChars="200"/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  <w:t>2、</w:t>
      </w:r>
      <w:r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  <w:t>开卡场景：</w:t>
      </w: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车联网32.9%，公共服务37.3%，智慧工业10.0%，智慧家居4.9%</w:t>
      </w:r>
    </w:p>
    <w:p>
      <w:pPr>
        <w:numPr>
          <w:ilvl w:val="0"/>
          <w:numId w:val="0"/>
        </w:numPr>
        <w:spacing w:line="360" w:lineRule="auto"/>
        <w:ind w:leftChars="200"/>
        <w:jc w:val="center"/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472180" cy="2391410"/>
            <wp:effectExtent l="0" t="0" r="0" b="0"/>
            <wp:docPr id="3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numPr>
          <w:ilvl w:val="-1"/>
          <w:numId w:val="0"/>
        </w:numPr>
        <w:spacing w:line="360" w:lineRule="auto"/>
        <w:ind w:left="0" w:leftChars="0" w:firstLine="643" w:firstLineChars="200"/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  <w:t>3、</w:t>
      </w:r>
      <w:r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  <w:t>IP/URL数量：</w:t>
      </w: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50条以内56.0%，50-100条15.0%，100-200条19.9%，200条以上9.1%。</w:t>
      </w:r>
    </w:p>
    <w:p>
      <w:pPr>
        <w:spacing w:line="360" w:lineRule="auto"/>
        <w:ind w:firstLine="420" w:firstLineChars="200"/>
        <w:jc w:val="center"/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395980" cy="2284095"/>
            <wp:effectExtent l="0" t="0" r="0" b="0"/>
            <wp:docPr id="1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spacing w:line="360" w:lineRule="auto"/>
        <w:outlineLvl w:val="0"/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32"/>
          <w:szCs w:val="32"/>
          <w:lang w:val="en-US" w:eastAsia="zh-CN"/>
        </w:rPr>
        <w:t>二、新规</w:t>
      </w:r>
    </w:p>
    <w:p>
      <w:pPr>
        <w:spacing w:line="360" w:lineRule="auto"/>
        <w:ind w:firstLine="640" w:firstLineChars="200"/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2024年11月，工信部制定717号文，明确：</w:t>
      </w:r>
      <w:r>
        <w:rPr>
          <w:rFonts w:hint="eastAsia" w:ascii="Times New Roman" w:hAnsi="Times New Roman" w:eastAsia="仿宋" w:cs="Times New Roman"/>
          <w:sz w:val="32"/>
          <w:szCs w:val="32"/>
          <w:u w:val="single"/>
          <w:lang w:val="en-US" w:eastAsia="zh-CN"/>
        </w:rPr>
        <w:t>定向流量白名单（含域名、网址、IP地址）数量不超过10个。</w:t>
      </w:r>
      <w:r>
        <w:rPr>
          <w:rFonts w:hint="eastAsia" w:ascii="Times New Roman" w:hAnsi="Times New Roman" w:eastAsia="仿宋" w:cs="Times New Roman"/>
          <w:b/>
          <w:bCs/>
          <w:sz w:val="32"/>
          <w:szCs w:val="32"/>
          <w:u w:val="single"/>
          <w:lang w:val="en-US" w:eastAsia="zh-CN"/>
        </w:rPr>
        <w:t>对于定向流量白名单超过10个以上的，应由电信企业总部进行审批</w:t>
      </w: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。</w:t>
      </w:r>
    </w:p>
    <w:p>
      <w:pPr>
        <w:spacing w:line="360" w:lineRule="auto"/>
        <w:ind w:firstLine="640" w:firstLineChars="200"/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717号文即将实施，从国家政策层面为物联卡定向访问多地址的合理场景松绑限制，有利于业务发展。</w:t>
      </w:r>
    </w:p>
    <w:p>
      <w:pPr>
        <w:spacing w:line="360" w:lineRule="auto"/>
        <w:ind w:firstLine="643" w:firstLineChars="200"/>
        <w:rPr>
          <w:rFonts w:hint="default" w:ascii="Times New Roman" w:hAnsi="Times New Roman" w:eastAsia="仿宋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  <w:t>1、适用场景拓宽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133"/>
        <w:gridCol w:w="1673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33" w:type="dxa"/>
          </w:tcPr>
          <w:p>
            <w:pPr>
              <w:spacing w:line="360" w:lineRule="auto"/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7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1173号文</w:t>
            </w:r>
          </w:p>
        </w:tc>
        <w:tc>
          <w:tcPr>
            <w:tcW w:w="1716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717号文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33" w:type="dxa"/>
          </w:tcPr>
          <w:p>
            <w:pPr>
              <w:spacing w:line="360" w:lineRule="auto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场景1：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单APN+PCC白名单</w:t>
            </w:r>
          </w:p>
        </w:tc>
        <w:tc>
          <w:tcPr>
            <w:tcW w:w="1673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16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33" w:type="dxa"/>
          </w:tcPr>
          <w:p>
            <w:pPr>
              <w:spacing w:line="360" w:lineRule="auto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场景2：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单APN+PCC分应用控制</w:t>
            </w:r>
          </w:p>
        </w:tc>
        <w:tc>
          <w:tcPr>
            <w:tcW w:w="1673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716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33" w:type="dxa"/>
          </w:tcPr>
          <w:p>
            <w:pPr>
              <w:spacing w:line="360" w:lineRule="auto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场景3：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访问客户内网的专用APN</w:t>
            </w:r>
          </w:p>
        </w:tc>
        <w:tc>
          <w:tcPr>
            <w:tcW w:w="1673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716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33" w:type="dxa"/>
          </w:tcPr>
          <w:p>
            <w:pPr>
              <w:spacing w:line="360" w:lineRule="auto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场景4：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多APN</w:t>
            </w:r>
          </w:p>
        </w:tc>
        <w:tc>
          <w:tcPr>
            <w:tcW w:w="1673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716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</w:tbl>
    <w:p>
      <w:pPr>
        <w:spacing w:line="360" w:lineRule="auto"/>
        <w:ind w:firstLine="0" w:firstLineChars="0"/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</w:pPr>
    </w:p>
    <w:p>
      <w:pPr>
        <w:spacing w:line="360" w:lineRule="auto"/>
        <w:ind w:firstLine="0" w:firstLineChars="0"/>
        <w:rPr>
          <w:rFonts w:hint="default" w:ascii="Times New Roman" w:hAnsi="Times New Roman" w:eastAsia="仿宋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  <w:t xml:space="preserve">    2、适用规则明确</w:t>
      </w:r>
    </w:p>
    <w:p>
      <w:pPr>
        <w:spacing w:line="360" w:lineRule="auto"/>
        <w:ind w:firstLine="640" w:firstLineChars="200"/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（1）场景1/2/3：访问IP和URL数量合计超过10个时，经向总部报备审批后可开通；</w:t>
      </w:r>
    </w:p>
    <w:p>
      <w:pPr>
        <w:spacing w:line="360" w:lineRule="auto"/>
        <w:ind w:firstLine="640" w:firstLineChars="200"/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（2）场景4：单卡签约的所有APN、PCC白名单、</w:t>
      </w:r>
      <w:r>
        <w:rPr>
          <w:rFonts w:hint="eastAsia" w:ascii="Times New Roman" w:hAnsi="Times New Roman" w:eastAsia="仿宋" w:cs="Times New Roman"/>
          <w:b w:val="0"/>
          <w:bCs w:val="0"/>
          <w:sz w:val="32"/>
          <w:szCs w:val="32"/>
          <w:lang w:val="en-US" w:eastAsia="zh-CN"/>
        </w:rPr>
        <w:t>PCC分应用控制</w:t>
      </w: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访问的IP和URL数量总计超过10个，经向总部报备审批后可开通；报备时应将该卡签约的所有APN、PCC白名单、</w:t>
      </w:r>
      <w:r>
        <w:rPr>
          <w:rFonts w:hint="eastAsia" w:ascii="Times New Roman" w:hAnsi="Times New Roman" w:eastAsia="仿宋" w:cs="Times New Roman"/>
          <w:b w:val="0"/>
          <w:bCs w:val="0"/>
          <w:sz w:val="32"/>
          <w:szCs w:val="32"/>
          <w:lang w:val="en-US" w:eastAsia="zh-CN"/>
        </w:rPr>
        <w:t>PCC分应用控制</w:t>
      </w: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访问全部分别报备。</w:t>
      </w:r>
    </w:p>
    <w:p>
      <w:pPr>
        <w:spacing w:line="360" w:lineRule="auto"/>
        <w:ind w:firstLine="643" w:firstLineChars="200"/>
        <w:rPr>
          <w:rFonts w:hint="default" w:ascii="Times New Roman" w:hAnsi="Times New Roman" w:eastAsia="仿宋" w:cs="Times New Roman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color w:val="FF0000"/>
          <w:sz w:val="32"/>
          <w:szCs w:val="32"/>
          <w:lang w:val="en-US" w:eastAsia="zh-CN"/>
        </w:rPr>
        <w:t>举例说明如下：</w:t>
      </w:r>
    </w:p>
    <w:tbl>
      <w:tblPr>
        <w:tblStyle w:val="4"/>
        <w:tblW w:w="9934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88"/>
        <w:gridCol w:w="2250"/>
        <w:gridCol w:w="1721"/>
        <w:gridCol w:w="1810"/>
        <w:gridCol w:w="969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88" w:type="dxa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物联卡</w:t>
            </w:r>
          </w:p>
        </w:tc>
        <w:tc>
          <w:tcPr>
            <w:tcW w:w="2250" w:type="dxa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签约APN</w:t>
            </w:r>
          </w:p>
        </w:tc>
        <w:tc>
          <w:tcPr>
            <w:tcW w:w="1721" w:type="dxa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签约PCC</w:t>
            </w:r>
          </w:p>
        </w:tc>
        <w:tc>
          <w:tcPr>
            <w:tcW w:w="1810" w:type="dxa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IP/URL数量</w:t>
            </w:r>
          </w:p>
        </w:tc>
        <w:tc>
          <w:tcPr>
            <w:tcW w:w="969" w:type="dxa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总计</w:t>
            </w:r>
          </w:p>
        </w:tc>
        <w:tc>
          <w:tcPr>
            <w:tcW w:w="1696" w:type="dxa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是否需要报备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8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10648xxxxx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CMMTMaaaaa.yy</w:t>
            </w:r>
          </w:p>
        </w:tc>
        <w:tc>
          <w:tcPr>
            <w:tcW w:w="172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白名单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6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88" w:type="dxa"/>
            <w:vMerge w:val="continue"/>
            <w:tcBorders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CMMTMbbbbb.yy</w:t>
            </w:r>
          </w:p>
        </w:tc>
        <w:tc>
          <w:tcPr>
            <w:tcW w:w="172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分应用控制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969" w:type="dxa"/>
            <w:vMerge w:val="continue"/>
            <w:tcBorders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88" w:type="dxa"/>
            <w:vMerge w:val="continue"/>
            <w:tcBorders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CMIOTccccc.yy</w:t>
            </w:r>
          </w:p>
        </w:tc>
        <w:tc>
          <w:tcPr>
            <w:tcW w:w="172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81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969" w:type="dxa"/>
            <w:vMerge w:val="continue"/>
            <w:tcBorders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</w:tr>
    </w:tbl>
    <w:p>
      <w:pPr>
        <w:spacing w:line="360" w:lineRule="auto"/>
        <w:ind w:firstLine="0" w:firstLineChars="0"/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</w:pPr>
    </w:p>
    <w:tbl>
      <w:tblPr>
        <w:tblStyle w:val="4"/>
        <w:tblW w:w="9946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2250"/>
        <w:gridCol w:w="1709"/>
        <w:gridCol w:w="1821"/>
        <w:gridCol w:w="946"/>
        <w:gridCol w:w="1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物联卡</w:t>
            </w:r>
          </w:p>
        </w:tc>
        <w:tc>
          <w:tcPr>
            <w:tcW w:w="2250" w:type="dxa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签约APN</w:t>
            </w:r>
          </w:p>
        </w:tc>
        <w:tc>
          <w:tcPr>
            <w:tcW w:w="1709" w:type="dxa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签约PCC</w:t>
            </w:r>
          </w:p>
        </w:tc>
        <w:tc>
          <w:tcPr>
            <w:tcW w:w="1821" w:type="dxa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IP/URL数量</w:t>
            </w:r>
          </w:p>
        </w:tc>
        <w:tc>
          <w:tcPr>
            <w:tcW w:w="946" w:type="dxa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总计</w:t>
            </w:r>
          </w:p>
        </w:tc>
        <w:tc>
          <w:tcPr>
            <w:tcW w:w="1720" w:type="dxa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是否需要报备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10648xxxxx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CMMTMaaaaa.yy</w:t>
            </w:r>
          </w:p>
        </w:tc>
        <w:tc>
          <w:tcPr>
            <w:tcW w:w="17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白名单</w:t>
            </w:r>
          </w:p>
        </w:tc>
        <w:tc>
          <w:tcPr>
            <w:tcW w:w="182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946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2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CMMTMbbbbb.yy</w:t>
            </w:r>
          </w:p>
        </w:tc>
        <w:tc>
          <w:tcPr>
            <w:tcW w:w="17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分应用控制</w:t>
            </w:r>
          </w:p>
        </w:tc>
        <w:tc>
          <w:tcPr>
            <w:tcW w:w="182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94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CMIOTccccc.yy</w:t>
            </w:r>
          </w:p>
        </w:tc>
        <w:tc>
          <w:tcPr>
            <w:tcW w:w="170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—</w:t>
            </w:r>
          </w:p>
        </w:tc>
        <w:tc>
          <w:tcPr>
            <w:tcW w:w="182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spacing w:line="360" w:lineRule="auto"/>
        <w:ind w:firstLine="643" w:firstLineChars="200"/>
        <w:rPr>
          <w:rFonts w:hint="eastAsia" w:ascii="Times New Roman" w:hAnsi="Times New Roman" w:eastAsia="仿宋" w:cs="Times New Roman"/>
          <w:b/>
          <w:bCs/>
          <w:color w:val="FF0000"/>
          <w:sz w:val="32"/>
          <w:szCs w:val="32"/>
          <w:lang w:val="en-US" w:eastAsia="zh-CN"/>
        </w:rPr>
      </w:pPr>
    </w:p>
    <w:p>
      <w:pPr>
        <w:spacing w:line="360" w:lineRule="auto"/>
        <w:ind w:firstLine="643" w:firstLineChars="200"/>
        <w:rPr>
          <w:rFonts w:hint="eastAsia" w:ascii="Times New Roman" w:hAnsi="Times New Roman" w:eastAsia="仿宋" w:cs="Times New Roman"/>
          <w:b/>
          <w:bCs/>
          <w:color w:val="FF0000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eastAsia="仿宋" w:cs="Times New Roman"/>
          <w:b/>
          <w:bCs/>
          <w:color w:val="FF0000"/>
          <w:sz w:val="32"/>
          <w:szCs w:val="32"/>
          <w:lang w:val="en-US" w:eastAsia="zh-CN"/>
        </w:rPr>
        <w:t>717号文仍不支持以下极特殊场景突破</w:t>
      </w:r>
    </w:p>
    <w:p>
      <w:pPr>
        <w:numPr>
          <w:ilvl w:val="0"/>
          <w:numId w:val="1"/>
        </w:numPr>
        <w:spacing w:line="360" w:lineRule="auto"/>
        <w:ind w:firstLine="640" w:firstLineChars="200"/>
        <w:rPr>
          <w:rFonts w:hint="eastAsia" w:ascii="Times New Roman" w:hAnsi="Times New Roman" w:eastAsia="仿宋" w:cs="Times New Roman"/>
          <w:b w:val="0"/>
          <w:bCs w:val="0"/>
          <w:i w:val="0"/>
          <w:i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b w:val="0"/>
          <w:bCs w:val="0"/>
          <w:i w:val="0"/>
          <w:iCs w:val="0"/>
          <w:sz w:val="32"/>
          <w:szCs w:val="32"/>
          <w:lang w:val="en-US" w:eastAsia="zh-CN"/>
        </w:rPr>
        <w:t>物联网卡签约访问互联网的单APN，且不叠加任何PCC白名单或者分应用控制策略；</w:t>
      </w:r>
    </w:p>
    <w:p>
      <w:pPr>
        <w:numPr>
          <w:ilvl w:val="0"/>
          <w:numId w:val="1"/>
        </w:numPr>
        <w:spacing w:line="360" w:lineRule="auto"/>
        <w:ind w:firstLine="640" w:firstLineChars="200"/>
        <w:rPr>
          <w:rFonts w:hint="default" w:ascii="Times New Roman" w:hAnsi="Times New Roman" w:eastAsia="仿宋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b w:val="0"/>
          <w:bCs w:val="0"/>
          <w:i w:val="0"/>
          <w:iCs w:val="0"/>
          <w:sz w:val="32"/>
          <w:szCs w:val="32"/>
          <w:lang w:val="en-US" w:eastAsia="zh-CN"/>
        </w:rPr>
        <w:t>物联网卡签约多APN，有一个APN是访问互联网APN，且不叠加任何PCC白名单或者分应用控制策略。</w:t>
      </w:r>
    </w:p>
    <w:p>
      <w:pPr>
        <w:numPr>
          <w:ilvl w:val="-1"/>
          <w:numId w:val="0"/>
        </w:numPr>
        <w:tabs>
          <w:tab w:val="center" w:pos="4153"/>
        </w:tabs>
        <w:spacing w:line="360" w:lineRule="auto"/>
        <w:ind w:firstLine="0" w:firstLineChars="0"/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</w:pPr>
    </w:p>
    <w:p>
      <w:pPr>
        <w:numPr>
          <w:ilvl w:val="-1"/>
          <w:numId w:val="0"/>
        </w:numPr>
        <w:tabs>
          <w:tab w:val="center" w:pos="4153"/>
        </w:tabs>
        <w:spacing w:line="360" w:lineRule="auto"/>
        <w:ind w:firstLine="0" w:firstLineChars="0"/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  <w:t xml:space="preserve">    3、报备申请流程</w:t>
      </w:r>
    </w:p>
    <w:p>
      <w:pPr>
        <w:numPr>
          <w:ilvl w:val="-1"/>
          <w:numId w:val="0"/>
        </w:numPr>
        <w:tabs>
          <w:tab w:val="center" w:pos="4153"/>
        </w:tabs>
        <w:spacing w:line="360" w:lineRule="auto"/>
        <w:ind w:firstLine="640" w:firstLineChars="200"/>
        <w:rPr>
          <w:rFonts w:hint="default" w:ascii="Times New Roman" w:hAnsi="Times New Roman" w:eastAsia="仿宋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客户经理基于APN/PCC工单维度，通过集客大厅申请定向流量报备。</w:t>
      </w:r>
      <w:r>
        <w:rPr>
          <w:rFonts w:hint="eastAsia" w:ascii="Times New Roman" w:hAnsi="Times New Roman" w:eastAsia="仿宋" w:cs="Times New Roman"/>
          <w:b w:val="0"/>
          <w:bCs w:val="0"/>
          <w:sz w:val="32"/>
          <w:szCs w:val="32"/>
          <w:lang w:val="en-US" w:eastAsia="zh-CN"/>
        </w:rPr>
        <w:t>。</w:t>
      </w:r>
    </w:p>
    <w:p>
      <w:pPr>
        <w:numPr>
          <w:ilvl w:val="-1"/>
          <w:numId w:val="0"/>
        </w:numPr>
        <w:tabs>
          <w:tab w:val="center" w:pos="4153"/>
        </w:tabs>
        <w:spacing w:line="360" w:lineRule="auto"/>
        <w:ind w:firstLine="0" w:firstLineChars="0"/>
        <w:rPr>
          <w:rFonts w:hint="default" w:ascii="Times New Roman" w:hAnsi="Times New Roman" w:eastAsia="仿宋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 xml:space="preserve">    根据客户业务发展实际申请，需要修改IP和URL的，均需要再次报备。</w:t>
      </w:r>
    </w:p>
    <w:p>
      <w:pPr>
        <w:numPr>
          <w:ilvl w:val="0"/>
          <w:numId w:val="0"/>
        </w:numPr>
        <w:spacing w:line="360" w:lineRule="auto"/>
        <w:outlineLvl w:val="0"/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32"/>
          <w:szCs w:val="32"/>
          <w:lang w:val="en-US" w:eastAsia="zh-CN"/>
        </w:rPr>
        <w:t>三、研讨</w:t>
      </w:r>
    </w:p>
    <w:p>
      <w:pPr>
        <w:spacing w:line="360" w:lineRule="auto"/>
        <w:outlineLvl w:val="1"/>
        <w:rPr>
          <w:rFonts w:hint="default" w:ascii="Times New Roman" w:hAnsi="Times New Roman" w:eastAsia="仿宋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b/>
          <w:bCs/>
          <w:sz w:val="32"/>
          <w:szCs w:val="32"/>
          <w:lang w:val="en-US" w:eastAsia="zh-CN"/>
        </w:rPr>
        <w:t>、</w:t>
      </w:r>
      <w:r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  <w:t>客户开放范围:</w:t>
      </w:r>
    </w:p>
    <w:p>
      <w:pPr>
        <w:spacing w:line="360" w:lineRule="auto"/>
        <w:outlineLvl w:val="1"/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  <w:t>2、报备审批层级</w:t>
      </w:r>
    </w:p>
    <w:p>
      <w:pPr>
        <w:spacing w:line="360" w:lineRule="auto"/>
        <w:ind w:firstLine="643" w:firstLineChars="200"/>
        <w:outlineLvl w:val="1"/>
        <w:rPr>
          <w:rFonts w:hint="default" w:ascii="Times New Roman" w:hAnsi="Times New Roman" w:eastAsia="仿宋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  <w:t>建议根据IP和URL数量分层分级审批</w:t>
      </w:r>
    </w:p>
    <w:p>
      <w:pPr>
        <w:spacing w:line="360" w:lineRule="auto"/>
        <w:ind w:firstLine="640" w:firstLineChars="200"/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① 数量小于等于10直接申请</w:t>
      </w:r>
    </w:p>
    <w:p>
      <w:pPr>
        <w:spacing w:line="360" w:lineRule="auto"/>
        <w:ind w:firstLine="640" w:firstLineChars="200"/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② 数量大于10，小于等于50，地市政企部门决策</w:t>
      </w:r>
    </w:p>
    <w:p>
      <w:pPr>
        <w:spacing w:line="360" w:lineRule="auto"/>
        <w:ind w:firstLine="640" w:firstLineChars="200"/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③ 数量大于50，小于等于100，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地市分管领导决策</w:t>
      </w:r>
    </w:p>
    <w:p>
      <w:pPr>
        <w:spacing w:line="360" w:lineRule="auto"/>
        <w:ind w:firstLine="640" w:firstLineChars="200"/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 xml:space="preserve">④ 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100以上省政企部门决策</w:t>
      </w: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，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省政企部门决策</w:t>
      </w:r>
    </w:p>
    <w:p>
      <w:pPr>
        <w:spacing w:line="360" w:lineRule="auto"/>
        <w:ind w:firstLine="640" w:firstLineChars="200"/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⑤ 党政军原则上地市决策、突破200省公司决策</w:t>
      </w:r>
    </w:p>
    <w:p>
      <w:pPr>
        <w:spacing w:line="360" w:lineRule="auto"/>
        <w:outlineLvl w:val="1"/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b/>
          <w:bCs/>
          <w:sz w:val="32"/>
          <w:szCs w:val="32"/>
          <w:lang w:val="en-US" w:eastAsia="zh-CN"/>
        </w:rPr>
        <w:t>、</w:t>
      </w:r>
      <w:r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  <w:t>报备审批材料</w:t>
      </w:r>
    </w:p>
    <w:p>
      <w:pPr>
        <w:spacing w:line="360" w:lineRule="auto"/>
        <w:ind w:firstLine="643" w:firstLineChars="200"/>
        <w:outlineLvl w:val="1"/>
        <w:rPr>
          <w:rFonts w:hint="default" w:ascii="Times New Roman" w:hAnsi="Times New Roman" w:eastAsia="仿宋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  <w:t>建议：</w:t>
      </w:r>
    </w:p>
    <w:p>
      <w:pPr>
        <w:spacing w:line="360" w:lineRule="auto"/>
        <w:ind w:firstLine="640" w:firstLineChars="200"/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 xml:space="preserve">① 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提交申请函</w:t>
      </w: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（分层级），签字盖章还是OA?，授权。</w:t>
      </w:r>
    </w:p>
    <w:p>
      <w:pPr>
        <w:spacing w:line="360" w:lineRule="auto"/>
        <w:ind w:firstLine="640" w:firstLineChars="200"/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 xml:space="preserve">② 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客户承诺函</w:t>
      </w:r>
    </w:p>
    <w:p>
      <w:pPr>
        <w:spacing w:line="360" w:lineRule="auto"/>
        <w:ind w:firstLine="640" w:firstLineChars="200"/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 xml:space="preserve">③ 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IP清单和用途明细</w:t>
      </w:r>
    </w:p>
    <w:p>
      <w:pPr>
        <w:spacing w:line="360" w:lineRule="auto"/>
        <w:outlineLvl w:val="1"/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eastAsia="仿宋" w:cs="Times New Roman"/>
          <w:b/>
          <w:bCs/>
          <w:sz w:val="32"/>
          <w:szCs w:val="32"/>
          <w:lang w:val="en-US" w:eastAsia="zh-CN"/>
        </w:rPr>
        <w:t>、</w:t>
      </w:r>
      <w:r>
        <w:rPr>
          <w:rFonts w:hint="eastAsia" w:ascii="Times New Roman" w:hAnsi="Times New Roman" w:eastAsia="仿宋" w:cs="Times New Roman"/>
          <w:b/>
          <w:bCs/>
          <w:sz w:val="32"/>
          <w:szCs w:val="32"/>
          <w:lang w:val="en-US" w:eastAsia="zh-CN"/>
        </w:rPr>
        <w:t>修改流程，涉及明细新增或者修改</w:t>
      </w:r>
    </w:p>
    <w:p>
      <w:pPr>
        <w:spacing w:line="360" w:lineRule="auto"/>
        <w:ind w:firstLine="640" w:firstLineChars="200"/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① 是否需要再次决策，不跨区间无需决策？</w:t>
      </w:r>
    </w:p>
    <w:p>
      <w:pPr>
        <w:spacing w:line="360" w:lineRule="auto"/>
        <w:ind w:firstLine="64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② 新增的IP和URL明细用途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附件：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物联网策略优化申请函：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3"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2.物联卡风险责任承诺函：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Word.Document.12" ShapeID="_x0000_i1026" DrawAspect="Icon" ObjectID="_1468075726" r:id="rId9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A855F"/>
    <w:multiLevelType w:val="singleLevel"/>
    <w:tmpl w:val="A69A85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3B9315"/>
    <w:multiLevelType w:val="singleLevel"/>
    <w:tmpl w:val="E73B931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30EF1"/>
    <w:rsid w:val="01843ADB"/>
    <w:rsid w:val="096E2513"/>
    <w:rsid w:val="0A6845A4"/>
    <w:rsid w:val="0AFC38F3"/>
    <w:rsid w:val="0C9B6DB5"/>
    <w:rsid w:val="0D6B4D11"/>
    <w:rsid w:val="0EA30EF1"/>
    <w:rsid w:val="0ECB0157"/>
    <w:rsid w:val="13455906"/>
    <w:rsid w:val="26EF332A"/>
    <w:rsid w:val="27F3649E"/>
    <w:rsid w:val="2E6609A2"/>
    <w:rsid w:val="2E755506"/>
    <w:rsid w:val="33F57E43"/>
    <w:rsid w:val="376E6505"/>
    <w:rsid w:val="3A6B5A6D"/>
    <w:rsid w:val="3A9D5F23"/>
    <w:rsid w:val="3B7E029F"/>
    <w:rsid w:val="418B2E9A"/>
    <w:rsid w:val="4BC27684"/>
    <w:rsid w:val="50354424"/>
    <w:rsid w:val="506E658D"/>
    <w:rsid w:val="59584132"/>
    <w:rsid w:val="5AE25532"/>
    <w:rsid w:val="5D072E9A"/>
    <w:rsid w:val="5DD73254"/>
    <w:rsid w:val="60141CE8"/>
    <w:rsid w:val="61C61E93"/>
    <w:rsid w:val="634977B7"/>
    <w:rsid w:val="646F1658"/>
    <w:rsid w:val="69183D75"/>
    <w:rsid w:val="6AD172CA"/>
    <w:rsid w:val="6F15211F"/>
    <w:rsid w:val="71A75E8D"/>
    <w:rsid w:val="7967201E"/>
    <w:rsid w:val="7AFE4DA9"/>
    <w:rsid w:val="7D9C7D87"/>
    <w:rsid w:val="7DD9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solidFill>
                  <a:schemeClr val="bg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0.104646564849516"/>
                  <c:y val="0.054042037845928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10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广东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10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江苏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10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安徽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10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湖南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0.00522106264439323"/>
                  <c:y val="0.00562806182024159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10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河南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10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河北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10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辽宁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0.0564305130442362"/>
                  <c:y val="0.131895711162466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10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其他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广东</c:v>
                </c:pt>
                <c:pt idx="1">
                  <c:v>江苏</c:v>
                </c:pt>
                <c:pt idx="2">
                  <c:v>安徽</c:v>
                </c:pt>
                <c:pt idx="3">
                  <c:v>湖南</c:v>
                </c:pt>
                <c:pt idx="4">
                  <c:v>河南</c:v>
                </c:pt>
                <c:pt idx="5">
                  <c:v>河北</c:v>
                </c:pt>
                <c:pt idx="6">
                  <c:v>辽宁</c:v>
                </c:pt>
                <c:pt idx="7">
                  <c:v>其他</c:v>
                </c:pt>
              </c:strCache>
            </c:strRef>
          </c:cat>
          <c:val>
            <c:numRef>
              <c:f>Sheet1!$B$2:$B$9</c:f>
              <c:numCache>
                <c:formatCode>0.00%</c:formatCode>
                <c:ptCount val="8"/>
                <c:pt idx="0">
                  <c:v>0.366</c:v>
                </c:pt>
                <c:pt idx="1">
                  <c:v>0.217</c:v>
                </c:pt>
                <c:pt idx="2">
                  <c:v>0.055</c:v>
                </c:pt>
                <c:pt idx="3">
                  <c:v>0.076</c:v>
                </c:pt>
                <c:pt idx="4" c:formatCode="0%">
                  <c:v>0.04</c:v>
                </c:pt>
                <c:pt idx="5">
                  <c:v>0.036</c:v>
                </c:pt>
                <c:pt idx="6">
                  <c:v>0.037</c:v>
                </c:pt>
                <c:pt idx="7">
                  <c:v>0.173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 sz="1000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solidFill>
                  <a:schemeClr val="bg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0.134788349006838"/>
                  <c:y val="0.0697494135117039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sz="900"/>
                      <a:t>车联网</a:t>
                    </a:r>
                    <a:endParaRPr sz="900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674693963792437"/>
                  <c:y val="-0.25089388800889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sz="900"/>
                      <a:t>公共服务类</a:t>
                    </a:r>
                    <a:endParaRPr sz="900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sz="900"/>
                      <a:t>智慧工业</a:t>
                    </a:r>
                    <a:endParaRPr sz="900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sz="900"/>
                      <a:t>智慧家居</a:t>
                    </a:r>
                    <a:endParaRPr sz="900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sz="900"/>
                      <a:t>其他</a:t>
                    </a:r>
                    <a:endParaRPr sz="900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车联网</c:v>
                </c:pt>
                <c:pt idx="1">
                  <c:v>公共服务类</c:v>
                </c:pt>
                <c:pt idx="2">
                  <c:v>智慧工业</c:v>
                </c:pt>
                <c:pt idx="3">
                  <c:v>智慧家居</c:v>
                </c:pt>
                <c:pt idx="4">
                  <c:v>其他</c:v>
                </c:pt>
              </c:strCache>
            </c:strRef>
          </c:cat>
          <c:val>
            <c:numRef>
              <c:f>Sheet1!$B$2:$B$6</c:f>
              <c:numCache>
                <c:formatCode>0.00%</c:formatCode>
                <c:ptCount val="5"/>
                <c:pt idx="0">
                  <c:v>0.329</c:v>
                </c:pt>
                <c:pt idx="1">
                  <c:v>0.373</c:v>
                </c:pt>
                <c:pt idx="2" c:formatCode="0%">
                  <c:v>0.1</c:v>
                </c:pt>
                <c:pt idx="3">
                  <c:v>0.049</c:v>
                </c:pt>
                <c:pt idx="4">
                  <c:v>0.149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 sz="900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solidFill>
                  <a:schemeClr val="bg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0.174703774111824"/>
                  <c:y val="-0.0813174007664065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sz="900"/>
                      <a:t>50条以内（含）</a:t>
                    </a:r>
                    <a:endParaRPr sz="900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790716057699593"/>
                  <c:y val="-0.0982930854459444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sz="900"/>
                      <a:t>50-100（含）</a:t>
                    </a:r>
                    <a:endParaRPr sz="900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168481667959033"/>
                  <c:y val="0.0687562566596102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sz="900"/>
                      <a:t>100-200（含）</a:t>
                    </a:r>
                    <a:endParaRPr sz="900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300857202968107"/>
                  <c:y val="0.111856456763268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sz="900"/>
                      <a:t>200以上</a:t>
                    </a:r>
                    <a:endParaRPr sz="900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50条以内（含）</c:v>
                </c:pt>
                <c:pt idx="1">
                  <c:v>50-100（含）</c:v>
                </c:pt>
                <c:pt idx="2">
                  <c:v>100-200（含）</c:v>
                </c:pt>
                <c:pt idx="3">
                  <c:v>200以上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0.56</c:v>
                </c:pt>
                <c:pt idx="1">
                  <c:v>0.148</c:v>
                </c:pt>
                <c:pt idx="2" c:formatCode="0.00%">
                  <c:v>0.199</c:v>
                </c:pt>
                <c:pt idx="3" c:formatCode="0.00%">
                  <c:v>0.091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 sz="750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8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solidFill>
          <a:schemeClr val="bg1"/>
        </a:solidFill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08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solidFill>
          <a:schemeClr val="bg1"/>
        </a:solidFill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1008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solidFill>
          <a:schemeClr val="bg1"/>
        </a:solidFill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物联网公司</Company>
  <Pages>5</Pages>
  <Words>983</Words>
  <Characters>1041</Characters>
  <Lines>0</Lines>
  <Paragraphs>0</Paragraphs>
  <TotalTime>8</TotalTime>
  <ScaleCrop>false</ScaleCrop>
  <LinksUpToDate>false</LinksUpToDate>
  <CharactersWithSpaces>1042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2024-11-18T01:59:00Z</dcterms:created>
  <dc:creator>闲出屁国公主</dc:creator>
  <cp:lastModifiedBy>185.04</cp:lastModifiedBy>
  <dcterms:modified xsi:type="dcterms:W3CDTF">2024-12-25T11:47:39Z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84414B1984604036828F31405FB4EF61</vt:lpwstr>
  </property>
</Properties>
</file>