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通用大流量：高风险，不受管控。只能贴片卡，且使用人实名。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300M以上就算大流量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贴片卡</w:t>
      </w:r>
      <w:r>
        <w:rPr>
          <w:rFonts w:hint="eastAsia"/>
          <w:lang w:val="en-US" w:eastAsia="zh-CN"/>
        </w:rPr>
        <w:t>:焊在设备上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插拔卡：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营销案批复：卡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模组，流量共享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5G流量池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非外省都要叠加出省限制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标黄（市政设置、智能超标），只能附近50个基站使用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不要选无线上网！！！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不允许减免卡费（国网2.2，4.7套餐除外）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流量共享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流量池：用多少算多少，有1元/卡的服务费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NB包年的有时候需要找物联网公司取数到期时间，过期会自动停机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系统支撑：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CT项目折扣审批（使用场景），不能选搭载销售（通用大流量，目前只有5G快线），不能选无线上网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卡+模组：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卡+模组需要预付费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工业级卡：公交车（嘉善用的陶瓷卡），高温、低温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综合有卡开在嘉兴移动公司下，需要定期退费和滞纳金减免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工业级制卡需要提前吗？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量化薪酬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智电生态怎么看有的不是模组（钱少的）？为什么模组不给钱（统一给）？第一个丰景为什么有的不写在发展表里（有些太少了，可以忽略）？表里卡的钱在CT查吗（后续新开的时候）？nb包年（只能查）？为什么标红(未订购协议期)？集中管理的钱怎么算（需要除以税费1.06再/2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模组流量为什么分摊？（集团或公司要求）为什么年报产品结算费用是/2单卡协议期结算费用为什么有0.2（看资费表里结算费用）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164FC4"/>
    <w:rsid w:val="3FEF7745"/>
    <w:rsid w:val="4A1947CF"/>
    <w:rsid w:val="5AFF00F9"/>
    <w:rsid w:val="5B73E08A"/>
    <w:rsid w:val="7BFF3621"/>
    <w:rsid w:val="7EFDC4A8"/>
    <w:rsid w:val="7F7D608A"/>
    <w:rsid w:val="7FBFC851"/>
    <w:rsid w:val="9BED8E4C"/>
    <w:rsid w:val="B7BFE2AD"/>
    <w:rsid w:val="BDBCACE3"/>
    <w:rsid w:val="DFFFBF5A"/>
    <w:rsid w:val="FBF7AF8D"/>
    <w:rsid w:val="FFE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Office_11.8.2.12019_F1E327BC-269C-435d-A152-05C5408002CA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huawei</cp:lastModifiedBy>
  <dcterms:modified xsi:type="dcterms:W3CDTF">2025-09-05T15:53:55Z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85CF0BF26AA1872A0D57B668CE929809</vt:lpwstr>
  </property>
</Properties>
</file>