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 detection with YOLOv8</w:t>
      </w:r>
    </w:p>
    <w:p>
      <w:pPr>
        <w:pStyle w:val="Subtitle"/>
      </w:pPr>
      <w:r>
        <w:t>Milestone 2 group report using the final merged dataset</w:t>
      </w:r>
    </w:p>
    <w:p>
      <w:pPr/>
      <w:r>
        <w:t>We trained YOLOv8s to identify the final Object IDs and bounding-box locations in multi-object images. The dataset contains 10,000 synthetic composites from 6,933 unique annotated source photos and covers all 73 classes. The checkpoint selected on validation is epoch 50. On 1,000 test images, mAP50 is 98.65% and mAP50–95 is 94.26%. These scores measure performance on the synthetic dataset.</w:t>
      </w:r>
    </w:p>
    <w:p>
      <w:pPr>
        <w:pStyle w:val="Heading2"/>
      </w:pPr>
      <w:r>
        <w:t>Annotations and dataset generation</w:t>
      </w:r>
    </w:p>
    <w:p>
      <w:pPr/>
      <w:r>
        <w:t>All 7,343 photos have annotation records. Grounding DINO processed 7,315 unique photos, followed by assistant review on 151 contact sheets. The 28 duplicates inherit canonical annotations and are excluded before splitting. The positive pool contains 6,933 unique photos and 7,080 boxes. No independent human verification was performed.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160"/>
        <w:gridCol w:w="2592"/>
        <w:gridCol w:w="2304"/>
      </w:tblGrid>
      <w:tr>
        <w:trPr>
          <w:cantSplit/>
          <w:tblHeader/>
        </w:trPr>
        <w:tc>
          <w:tcPr>
            <w:tcW w:type="dxa" w:w="3168"/>
            <w:vAlign w:val="center"/>
            <w:shd w:fill="162F46"/>
            <w:tcMar>
              <w:top w:w="75" w:type="dxa"/>
              <w:bottom w:w="75" w:type="dxa"/>
              <w:left w:w="100" w:type="dxa"/>
              <w:right w:w="100" w:type="dxa"/>
            </w:tcMar>
          </w:tcPr>
          <w:p>
            <w:pPr>
              <w:spacing w:after="0" w:line="252" w:lineRule="auto"/>
            </w:pPr>
            <w:r>
              <w:rPr>
                <w:b/>
                <w:color w:val="FFFFFF"/>
                <w:sz w:val="19"/>
              </w:rPr>
              <w:t>Split</w:t>
            </w:r>
          </w:p>
        </w:tc>
        <w:tc>
          <w:tcPr>
            <w:tcW w:type="dxa" w:w="2160"/>
            <w:vAlign w:val="center"/>
            <w:shd w:fill="162F46"/>
            <w:tcMar>
              <w:top w:w="75" w:type="dxa"/>
              <w:bottom w:w="75" w:type="dxa"/>
              <w:left w:w="100" w:type="dxa"/>
              <w:right w:w="100" w:type="dxa"/>
            </w:tcMar>
          </w:tcPr>
          <w:p>
            <w:pPr>
              <w:spacing w:after="0" w:line="252" w:lineRule="auto"/>
              <w:jc w:val="center"/>
            </w:pPr>
            <w:r>
              <w:rPr>
                <w:b/>
                <w:color w:val="FFFFFF"/>
                <w:sz w:val="19"/>
              </w:rPr>
              <w:t>Composites</w:t>
            </w:r>
          </w:p>
        </w:tc>
        <w:tc>
          <w:tcPr>
            <w:tcW w:type="dxa" w:w="2592"/>
            <w:vAlign w:val="center"/>
            <w:shd w:fill="162F46"/>
            <w:tcMar>
              <w:top w:w="75" w:type="dxa"/>
              <w:bottom w:w="75" w:type="dxa"/>
              <w:left w:w="100" w:type="dxa"/>
              <w:right w:w="100" w:type="dxa"/>
            </w:tcMar>
          </w:tcPr>
          <w:p>
            <w:pPr>
              <w:spacing w:after="0" w:line="252" w:lineRule="auto"/>
              <w:jc w:val="center"/>
            </w:pPr>
            <w:r>
              <w:rPr>
                <w:b/>
                <w:color w:val="FFFFFF"/>
                <w:sz w:val="19"/>
              </w:rPr>
              <w:t>Target instances</w:t>
            </w:r>
          </w:p>
        </w:tc>
        <w:tc>
          <w:tcPr>
            <w:tcW w:type="dxa" w:w="2304"/>
            <w:vAlign w:val="center"/>
            <w:shd w:fill="162F46"/>
            <w:tcMar>
              <w:top w:w="75" w:type="dxa"/>
              <w:bottom w:w="75" w:type="dxa"/>
              <w:left w:w="100" w:type="dxa"/>
              <w:right w:w="100" w:type="dxa"/>
            </w:tcMar>
          </w:tcPr>
          <w:p>
            <w:pPr>
              <w:spacing w:after="0" w:line="252" w:lineRule="auto"/>
              <w:jc w:val="center"/>
            </w:pPr>
            <w:r>
              <w:rPr>
                <w:b/>
                <w:color w:val="FFFFFF"/>
                <w:sz w:val="19"/>
              </w:rPr>
              <w:t>Source photos</w:t>
            </w:r>
          </w:p>
        </w:tc>
      </w:tr>
      <w:tr>
        <w:trPr>
          <w:cantSplit/>
        </w:trPr>
        <w:tc>
          <w:tcPr>
            <w:tcW w:type="dxa" w:w="3168"/>
            <w:vAlign w:val="center"/>
            <w:shd w:fill="EFF4F7"/>
            <w:tcMar>
              <w:top w:w="75" w:type="dxa"/>
              <w:bottom w:w="75" w:type="dxa"/>
              <w:left w:w="100" w:type="dxa"/>
              <w:right w:w="100" w:type="dxa"/>
            </w:tcMar>
          </w:tcPr>
          <w:p>
            <w:pPr>
              <w:spacing w:after="0" w:line="252" w:lineRule="auto"/>
            </w:pPr>
            <w:r>
              <w:rPr>
                <w:b w:val="0"/>
                <w:color w:val="000000"/>
                <w:sz w:val="19"/>
              </w:rPr>
              <w:t>Train</w:t>
            </w:r>
          </w:p>
        </w:tc>
        <w:tc>
          <w:tcPr>
            <w:tcW w:type="dxa" w:w="2160"/>
            <w:vAlign w:val="center"/>
            <w:shd w:fill="EFF4F7"/>
            <w:tcMar>
              <w:top w:w="75" w:type="dxa"/>
              <w:bottom w:w="75" w:type="dxa"/>
              <w:left w:w="100" w:type="dxa"/>
              <w:right w:w="100" w:type="dxa"/>
            </w:tcMar>
          </w:tcPr>
          <w:p>
            <w:pPr>
              <w:spacing w:after="0" w:line="252" w:lineRule="auto"/>
              <w:jc w:val="center"/>
            </w:pPr>
            <w:r>
              <w:rPr>
                <w:b w:val="0"/>
                <w:color w:val="000000"/>
                <w:sz w:val="19"/>
              </w:rPr>
              <w:t>8,000</w:t>
            </w:r>
          </w:p>
        </w:tc>
        <w:tc>
          <w:tcPr>
            <w:tcW w:type="dxa" w:w="2592"/>
            <w:vAlign w:val="center"/>
            <w:shd w:fill="EFF4F7"/>
            <w:tcMar>
              <w:top w:w="75" w:type="dxa"/>
              <w:bottom w:w="75" w:type="dxa"/>
              <w:left w:w="100" w:type="dxa"/>
              <w:right w:w="100" w:type="dxa"/>
            </w:tcMar>
          </w:tcPr>
          <w:p>
            <w:pPr>
              <w:spacing w:after="0" w:line="252" w:lineRule="auto"/>
              <w:jc w:val="center"/>
            </w:pPr>
            <w:r>
              <w:rPr>
                <w:b w:val="0"/>
                <w:color w:val="000000"/>
                <w:sz w:val="19"/>
              </w:rPr>
              <w:t>24,606</w:t>
            </w:r>
          </w:p>
        </w:tc>
        <w:tc>
          <w:tcPr>
            <w:tcW w:type="dxa" w:w="2304"/>
            <w:vAlign w:val="center"/>
            <w:shd w:fill="EFF4F7"/>
            <w:tcMar>
              <w:top w:w="75" w:type="dxa"/>
              <w:bottom w:w="75" w:type="dxa"/>
              <w:left w:w="100" w:type="dxa"/>
              <w:right w:w="100" w:type="dxa"/>
            </w:tcMar>
          </w:tcPr>
          <w:p>
            <w:pPr>
              <w:spacing w:after="0" w:line="252" w:lineRule="auto"/>
              <w:jc w:val="center"/>
            </w:pPr>
            <w:r>
              <w:rPr>
                <w:b w:val="0"/>
                <w:color w:val="000000"/>
                <w:sz w:val="19"/>
              </w:rPr>
              <w:t>5,549</w:t>
            </w:r>
          </w:p>
        </w:tc>
      </w:tr>
      <w:tr>
        <w:trPr>
          <w:cantSplit/>
        </w:trPr>
        <w:tc>
          <w:tcPr>
            <w:tcW w:type="dxa" w:w="3168"/>
            <w:vAlign w:val="center"/>
            <w:shd w:fill="FFFFFF"/>
            <w:tcMar>
              <w:top w:w="75" w:type="dxa"/>
              <w:bottom w:w="75" w:type="dxa"/>
              <w:left w:w="100" w:type="dxa"/>
              <w:right w:w="100" w:type="dxa"/>
            </w:tcMar>
          </w:tcPr>
          <w:p>
            <w:pPr>
              <w:spacing w:after="0" w:line="252" w:lineRule="auto"/>
            </w:pPr>
            <w:r>
              <w:rPr>
                <w:b w:val="0"/>
                <w:color w:val="000000"/>
                <w:sz w:val="19"/>
              </w:rPr>
              <w:t>Val</w:t>
            </w:r>
          </w:p>
        </w:tc>
        <w:tc>
          <w:tcPr>
            <w:tcW w:type="dxa" w:w="2160"/>
            <w:vAlign w:val="center"/>
            <w:shd w:fill="FFFFFF"/>
            <w:tcMar>
              <w:top w:w="75" w:type="dxa"/>
              <w:bottom w:w="75" w:type="dxa"/>
              <w:left w:w="100" w:type="dxa"/>
              <w:right w:w="100" w:type="dxa"/>
            </w:tcMar>
          </w:tcPr>
          <w:p>
            <w:pPr>
              <w:spacing w:after="0" w:line="252" w:lineRule="auto"/>
              <w:jc w:val="center"/>
            </w:pPr>
            <w:r>
              <w:rPr>
                <w:b w:val="0"/>
                <w:color w:val="000000"/>
                <w:sz w:val="19"/>
              </w:rPr>
              <w:t>1,000</w:t>
            </w:r>
          </w:p>
        </w:tc>
        <w:tc>
          <w:tcPr>
            <w:tcW w:type="dxa" w:w="2592"/>
            <w:vAlign w:val="center"/>
            <w:shd w:fill="FFFFFF"/>
            <w:tcMar>
              <w:top w:w="75" w:type="dxa"/>
              <w:bottom w:w="75" w:type="dxa"/>
              <w:left w:w="100" w:type="dxa"/>
              <w:right w:w="100" w:type="dxa"/>
            </w:tcMar>
          </w:tcPr>
          <w:p>
            <w:pPr>
              <w:spacing w:after="0" w:line="252" w:lineRule="auto"/>
              <w:jc w:val="center"/>
            </w:pPr>
            <w:r>
              <w:rPr>
                <w:b w:val="0"/>
                <w:color w:val="000000"/>
                <w:sz w:val="19"/>
              </w:rPr>
              <w:t>3,093</w:t>
            </w:r>
          </w:p>
        </w:tc>
        <w:tc>
          <w:tcPr>
            <w:tcW w:type="dxa" w:w="2304"/>
            <w:vAlign w:val="center"/>
            <w:shd w:fill="FFFFFF"/>
            <w:tcMar>
              <w:top w:w="75" w:type="dxa"/>
              <w:bottom w:w="75" w:type="dxa"/>
              <w:left w:w="100" w:type="dxa"/>
              <w:right w:w="100" w:type="dxa"/>
            </w:tcMar>
          </w:tcPr>
          <w:p>
            <w:pPr>
              <w:spacing w:after="0" w:line="252" w:lineRule="auto"/>
              <w:jc w:val="center"/>
            </w:pPr>
            <w:r>
              <w:rPr>
                <w:b w:val="0"/>
                <w:color w:val="000000"/>
                <w:sz w:val="19"/>
              </w:rPr>
              <w:t>696</w:t>
            </w:r>
          </w:p>
        </w:tc>
      </w:tr>
      <w:tr>
        <w:trPr>
          <w:cantSplit/>
        </w:trPr>
        <w:tc>
          <w:tcPr>
            <w:tcW w:type="dxa" w:w="3168"/>
            <w:vAlign w:val="center"/>
            <w:shd w:fill="EFF4F7"/>
            <w:tcMar>
              <w:top w:w="75" w:type="dxa"/>
              <w:bottom w:w="75" w:type="dxa"/>
              <w:left w:w="100" w:type="dxa"/>
              <w:right w:w="100" w:type="dxa"/>
            </w:tcMar>
          </w:tcPr>
          <w:p>
            <w:pPr>
              <w:spacing w:after="0" w:line="252" w:lineRule="auto"/>
            </w:pPr>
            <w:r>
              <w:rPr>
                <w:b w:val="0"/>
                <w:color w:val="000000"/>
                <w:sz w:val="19"/>
              </w:rPr>
              <w:t>Test</w:t>
            </w:r>
          </w:p>
        </w:tc>
        <w:tc>
          <w:tcPr>
            <w:tcW w:type="dxa" w:w="2160"/>
            <w:vAlign w:val="center"/>
            <w:shd w:fill="EFF4F7"/>
            <w:tcMar>
              <w:top w:w="75" w:type="dxa"/>
              <w:bottom w:w="75" w:type="dxa"/>
              <w:left w:w="100" w:type="dxa"/>
              <w:right w:w="100" w:type="dxa"/>
            </w:tcMar>
          </w:tcPr>
          <w:p>
            <w:pPr>
              <w:spacing w:after="0" w:line="252" w:lineRule="auto"/>
              <w:jc w:val="center"/>
            </w:pPr>
            <w:r>
              <w:rPr>
                <w:b w:val="0"/>
                <w:color w:val="000000"/>
                <w:sz w:val="19"/>
              </w:rPr>
              <w:t>1,000</w:t>
            </w:r>
          </w:p>
        </w:tc>
        <w:tc>
          <w:tcPr>
            <w:tcW w:type="dxa" w:w="2592"/>
            <w:vAlign w:val="center"/>
            <w:shd w:fill="EFF4F7"/>
            <w:tcMar>
              <w:top w:w="75" w:type="dxa"/>
              <w:bottom w:w="75" w:type="dxa"/>
              <w:left w:w="100" w:type="dxa"/>
              <w:right w:w="100" w:type="dxa"/>
            </w:tcMar>
          </w:tcPr>
          <w:p>
            <w:pPr>
              <w:spacing w:after="0" w:line="252" w:lineRule="auto"/>
              <w:jc w:val="center"/>
            </w:pPr>
            <w:r>
              <w:rPr>
                <w:b w:val="0"/>
                <w:color w:val="000000"/>
                <w:sz w:val="19"/>
              </w:rPr>
              <w:t>3,049</w:t>
            </w:r>
          </w:p>
        </w:tc>
        <w:tc>
          <w:tcPr>
            <w:tcW w:type="dxa" w:w="2304"/>
            <w:vAlign w:val="center"/>
            <w:shd w:fill="EFF4F7"/>
            <w:tcMar>
              <w:top w:w="75" w:type="dxa"/>
              <w:bottom w:w="75" w:type="dxa"/>
              <w:left w:w="100" w:type="dxa"/>
              <w:right w:w="100" w:type="dxa"/>
            </w:tcMar>
          </w:tcPr>
          <w:p>
            <w:pPr>
              <w:spacing w:after="0" w:line="252" w:lineRule="auto"/>
              <w:jc w:val="center"/>
            </w:pPr>
            <w:r>
              <w:rPr>
                <w:b w:val="0"/>
                <w:color w:val="000000"/>
                <w:sz w:val="19"/>
              </w:rPr>
              <w:t>688</w:t>
            </w:r>
          </w:p>
        </w:tc>
      </w:tr>
    </w:tbl>
    <w:p>
      <w:pPr>
        <w:spacing w:after="0" w:before="0" w:line="80" w:lineRule="exact"/>
      </w:pPr>
      <w:r>
        <w:rPr>
          <w:sz w:val="8"/>
        </w:rPr>
      </w:r>
    </w:p>
    <w:p>
      <w:pPr/>
      <w:r>
        <w:t>Sources retain their exact-deduplicated Milestone 1 splits before synthesis. Composites use 80/10/10 and seed 42; every split covers 73 classes and every eligible source is used. Source paths, byte hashes and RGB-pixel hashes are disjoint between splits. Raw photos remain unchanged.</w:t>
      </w:r>
    </w:p>
    <w:p>
      <w:pPr/>
      <w:r>
        <w:t>We excluded 382 unique photos without identifiable folder targets and recorded reasons. Background names alone did not exclude photos. Valid JPEG formats and dimensions were retained. EXIF orientation and RGB conversion precede resizing. Empty labels refer only to the folder ID.</w:t>
      </w:r>
    </w:p>
    <w:p>
      <w:pPr/>
      <w:r>
        <w:t>Each 640 × 640 image combines 2–4 distinct classes, retaining repeated instances. Annotated crops include 5–15% context, are resized while preserving aspect ratio, then placed without overlap. Training crops receive brightness and contrast adjustments and horizontal flips. Recorded transforms update normalized YOLO coordinates.</w:t>
      </w:r>
    </w:p>
    <w:p>
      <w:pPr>
        <w:keepNext/>
        <w:spacing w:after="100"/>
        <w:jc w:val="center"/>
      </w:pPr>
      <w:r>
        <w:drawing>
          <wp:inline xmlns:a="http://schemas.openxmlformats.org/drawingml/2006/main" xmlns:pic="http://schemas.openxmlformats.org/drawingml/2006/picture">
            <wp:extent cx="5669280" cy="2967514"/>
            <wp:docPr id="1" name="Picture 1" descr="generation examples.png"/>
            <wp:cNvGraphicFramePr>
              <a:graphicFrameLocks noChangeAspect="1"/>
            </wp:cNvGraphicFramePr>
            <a:graphic>
              <a:graphicData uri="http://schemas.openxmlformats.org/drawingml/2006/picture">
                <pic:pic>
                  <pic:nvPicPr>
                    <pic:cNvPr id="0" name="generation_examples.png"/>
                    <pic:cNvPicPr/>
                  </pic:nvPicPr>
                  <pic:blipFill>
                    <a:blip r:embed="rId10"/>
                    <a:stretch>
                      <a:fillRect/>
                    </a:stretch>
                  </pic:blipFill>
                  <pic:spPr>
                    <a:xfrm>
                      <a:off x="0" y="0"/>
                      <a:ext cx="5669280" cy="2967514"/>
                    </a:xfrm>
                    <a:prstGeom prst="rect"/>
                  </pic:spPr>
                </pic:pic>
              </a:graphicData>
            </a:graphic>
          </wp:inline>
        </w:drawing>
      </w:r>
    </w:p>
    <w:p>
      <w:pPr>
        <w:pStyle w:val="Caption"/>
      </w:pPr>
      <w:r>
        <w:t>Two generated training composites. Red boxes are annotations, not model detections. Context inside each rectangular photo crop is retained.</w:t>
      </w:r>
    </w:p>
    <w:p>
      <w:pPr>
        <w:pStyle w:val="Heading1"/>
        <w:pageBreakBefore/>
      </w:pPr>
      <w:r>
        <w:t>Training and measured performance</w:t>
      </w:r>
    </w:p>
    <w:p>
      <w:pPr/>
      <w:r>
        <w:t>We fine-tuned COCO-pretrained YOLOv8s with Ultralytics 8.3.221 through Colab CLI on NVIDIA A100-SXM4-40GB. All 50 epochs completed in 34.1 minutes, including training-time validation. The detector scales RGB pixels to 0–1. Checkpoint selection uses validation mAP50–95; test results do not select the checkpoint. YOLOv8s provides a practical GPU training budget within the required model family.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shd w:fill="162F46"/>
            <w:tcMar>
              <w:top w:w="75" w:type="dxa"/>
              <w:bottom w:w="75" w:type="dxa"/>
              <w:left w:w="100" w:type="dxa"/>
              <w:right w:w="100" w:type="dxa"/>
            </w:tcMar>
          </w:tcPr>
          <w:p>
            <w:pPr>
              <w:spacing w:after="0" w:line="252" w:lineRule="auto"/>
            </w:pPr>
            <w:r>
              <w:rPr>
                <w:b/>
                <w:color w:val="FFFFFF"/>
                <w:sz w:val="19"/>
              </w:rPr>
              <w:t>Setting</w:t>
            </w:r>
          </w:p>
        </w:tc>
        <w:tc>
          <w:tcPr>
            <w:tcW w:type="dxa" w:w="8064"/>
            <w:vAlign w:val="center"/>
            <w:shd w:fill="162F46"/>
            <w:tcMar>
              <w:top w:w="75" w:type="dxa"/>
              <w:bottom w:w="75" w:type="dxa"/>
              <w:left w:w="100" w:type="dxa"/>
              <w:right w:w="100" w:type="dxa"/>
            </w:tcMar>
          </w:tcPr>
          <w:p>
            <w:pPr>
              <w:spacing w:after="0" w:line="252" w:lineRule="auto"/>
            </w:pPr>
            <w:r>
              <w:rPr>
                <w:b/>
                <w:color w:val="FFFFFF"/>
                <w:sz w:val="19"/>
              </w:rPr>
              <w:t>Protocol</w:t>
            </w:r>
          </w:p>
        </w:tc>
      </w:tr>
      <w:tr>
        <w:trPr>
          <w:cantSplit/>
        </w:trPr>
        <w:tc>
          <w:tcPr>
            <w:tcW w:type="dxa" w:w="2160"/>
            <w:vAlign w:val="center"/>
            <w:shd w:fill="EFF4F7"/>
            <w:tcMar>
              <w:top w:w="75" w:type="dxa"/>
              <w:bottom w:w="75" w:type="dxa"/>
              <w:left w:w="100" w:type="dxa"/>
              <w:right w:w="100" w:type="dxa"/>
            </w:tcMar>
          </w:tcPr>
          <w:p>
            <w:pPr>
              <w:spacing w:after="0" w:line="252" w:lineRule="auto"/>
            </w:pPr>
            <w:r>
              <w:rPr>
                <w:b w:val="0"/>
                <w:color w:val="000000"/>
                <w:sz w:val="19"/>
              </w:rPr>
              <w:t>Budget and input</w:t>
            </w:r>
          </w:p>
        </w:tc>
        <w:tc>
          <w:tcPr>
            <w:tcW w:type="dxa" w:w="8064"/>
            <w:vAlign w:val="center"/>
            <w:shd w:fill="EFF4F7"/>
            <w:tcMar>
              <w:top w:w="75" w:type="dxa"/>
              <w:bottom w:w="75" w:type="dxa"/>
              <w:left w:w="100" w:type="dxa"/>
              <w:right w:w="100" w:type="dxa"/>
            </w:tcMar>
          </w:tcPr>
          <w:p>
            <w:pPr>
              <w:spacing w:after="0" w:line="252" w:lineRule="auto"/>
            </w:pPr>
            <w:r>
              <w:rPr>
                <w:b w:val="0"/>
                <w:color w:val="000000"/>
                <w:sz w:val="19"/>
              </w:rPr>
              <w:t>50 epochs; 640 pixels; batch 32; seed 42; no early stopping</w:t>
            </w:r>
          </w:p>
        </w:tc>
      </w:tr>
      <w:tr>
        <w:trPr>
          <w:cantSplit/>
        </w:trPr>
        <w:tc>
          <w:tcPr>
            <w:tcW w:type="dxa" w:w="2160"/>
            <w:vAlign w:val="center"/>
            <w:shd w:fill="FFFFFF"/>
            <w:tcMar>
              <w:top w:w="75" w:type="dxa"/>
              <w:bottom w:w="75" w:type="dxa"/>
              <w:left w:w="100" w:type="dxa"/>
              <w:right w:w="100" w:type="dxa"/>
            </w:tcMar>
          </w:tcPr>
          <w:p>
            <w:pPr>
              <w:spacing w:after="0" w:line="252" w:lineRule="auto"/>
            </w:pPr>
            <w:r>
              <w:rPr>
                <w:b w:val="0"/>
                <w:color w:val="000000"/>
                <w:sz w:val="19"/>
              </w:rPr>
              <w:t>Optimization</w:t>
            </w:r>
          </w:p>
        </w:tc>
        <w:tc>
          <w:tcPr>
            <w:tcW w:type="dxa" w:w="8064"/>
            <w:vAlign w:val="center"/>
            <w:shd w:fill="FFFFFF"/>
            <w:tcMar>
              <w:top w:w="75" w:type="dxa"/>
              <w:bottom w:w="75" w:type="dxa"/>
              <w:left w:w="100" w:type="dxa"/>
              <w:right w:w="100" w:type="dxa"/>
            </w:tcMar>
          </w:tcPr>
          <w:p>
            <w:pPr>
              <w:spacing w:after="0" w:line="252" w:lineRule="auto"/>
            </w:pPr>
            <w:r>
              <w:rPr>
                <w:b w:val="0"/>
                <w:color w:val="000000"/>
                <w:sz w:val="19"/>
              </w:rPr>
              <w:t>AdamW; LR 0.001; cosine final factor 0.01; weight decay 0.0005; 3 warm-up epochs</w:t>
            </w:r>
          </w:p>
        </w:tc>
      </w:tr>
      <w:tr>
        <w:trPr>
          <w:cantSplit/>
        </w:trPr>
        <w:tc>
          <w:tcPr>
            <w:tcW w:type="dxa" w:w="2160"/>
            <w:vAlign w:val="center"/>
            <w:shd w:fill="EFF4F7"/>
            <w:tcMar>
              <w:top w:w="75" w:type="dxa"/>
              <w:bottom w:w="75" w:type="dxa"/>
              <w:left w:w="100" w:type="dxa"/>
              <w:right w:w="100" w:type="dxa"/>
            </w:tcMar>
          </w:tcPr>
          <w:p>
            <w:pPr>
              <w:spacing w:after="0" w:line="252" w:lineRule="auto"/>
            </w:pPr>
            <w:r>
              <w:rPr>
                <w:b w:val="0"/>
                <w:color w:val="000000"/>
                <w:sz w:val="19"/>
              </w:rPr>
              <w:t>Augmentation</w:t>
            </w:r>
          </w:p>
        </w:tc>
        <w:tc>
          <w:tcPr>
            <w:tcW w:type="dxa" w:w="8064"/>
            <w:vAlign w:val="center"/>
            <w:shd w:fill="EFF4F7"/>
            <w:tcMar>
              <w:top w:w="75" w:type="dxa"/>
              <w:bottom w:w="75" w:type="dxa"/>
              <w:left w:w="100" w:type="dxa"/>
              <w:right w:w="100" w:type="dxa"/>
            </w:tcMar>
          </w:tcPr>
          <w:p>
            <w:pPr>
              <w:spacing w:after="0" w:line="252" w:lineRule="auto"/>
            </w:pPr>
            <w:r>
              <w:rPr>
                <w:b w:val="0"/>
                <w:color w:val="000000"/>
                <w:sz w:val="19"/>
              </w:rPr>
              <w:t>Training-only mosaic; closed for final 10 epochs; rotation ±10°; translation 0.1; scale 0.3; mild HSV changes; horizontal flip 0.5</w:t>
            </w:r>
          </w:p>
        </w:tc>
      </w:tr>
      <w:tr>
        <w:trPr>
          <w:cantSplit/>
        </w:trPr>
        <w:tc>
          <w:tcPr>
            <w:tcW w:type="dxa" w:w="2160"/>
            <w:vAlign w:val="center"/>
            <w:shd w:fill="FFFFFF"/>
            <w:tcMar>
              <w:top w:w="75" w:type="dxa"/>
              <w:bottom w:w="75" w:type="dxa"/>
              <w:left w:w="100" w:type="dxa"/>
              <w:right w:w="100" w:type="dxa"/>
            </w:tcMar>
          </w:tcPr>
          <w:p>
            <w:pPr>
              <w:spacing w:after="0" w:line="252" w:lineRule="auto"/>
            </w:pPr>
            <w:r>
              <w:rPr>
                <w:b w:val="0"/>
                <w:color w:val="000000"/>
                <w:sz w:val="19"/>
              </w:rPr>
              <w:t>Evaluation</w:t>
            </w:r>
          </w:p>
        </w:tc>
        <w:tc>
          <w:tcPr>
            <w:tcW w:type="dxa" w:w="8064"/>
            <w:vAlign w:val="center"/>
            <w:shd w:fill="FFFFFF"/>
            <w:tcMar>
              <w:top w:w="75" w:type="dxa"/>
              <w:bottom w:w="75" w:type="dxa"/>
              <w:left w:w="100" w:type="dxa"/>
              <w:right w:w="100" w:type="dxa"/>
            </w:tcMar>
          </w:tcPr>
          <w:p>
            <w:pPr>
              <w:spacing w:after="0" w:line="252" w:lineRule="auto"/>
            </w:pPr>
            <w:r>
              <w:rPr>
                <w:b w:val="0"/>
                <w:color w:val="000000"/>
                <w:sz w:val="19"/>
              </w:rPr>
              <w:t>Fixed generated images; IoU thresholds 0.50–0.95 for AP; NMS IoU 0.7</w:t>
            </w:r>
          </w:p>
        </w:tc>
      </w:tr>
    </w:tbl>
    <w:p>
      <w:pPr>
        <w:spacing w:after="0" w:before="0" w:line="80" w:lineRule="exact"/>
      </w:pPr>
      <w:r>
        <w:rPr>
          <w:sz w:val="8"/>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016"/>
        <w:gridCol w:w="2016"/>
        <w:gridCol w:w="2016"/>
        <w:gridCol w:w="2016"/>
      </w:tblGrid>
      <w:tr>
        <w:trPr>
          <w:cantSplit/>
          <w:tblHeader/>
        </w:trPr>
        <w:tc>
          <w:tcPr>
            <w:tcW w:type="dxa" w:w="2160"/>
            <w:vAlign w:val="center"/>
            <w:shd w:fill="162F46"/>
            <w:tcMar>
              <w:top w:w="75" w:type="dxa"/>
              <w:bottom w:w="75" w:type="dxa"/>
              <w:left w:w="100" w:type="dxa"/>
              <w:right w:w="100" w:type="dxa"/>
            </w:tcMar>
          </w:tcPr>
          <w:p>
            <w:pPr>
              <w:spacing w:after="0" w:line="252" w:lineRule="auto"/>
            </w:pPr>
            <w:r>
              <w:rPr>
                <w:b/>
                <w:color w:val="FFFFFF"/>
                <w:sz w:val="19"/>
              </w:rPr>
              <w:t>Split</w:t>
            </w:r>
          </w:p>
        </w:tc>
        <w:tc>
          <w:tcPr>
            <w:tcW w:type="dxa" w:w="2016"/>
            <w:vAlign w:val="center"/>
            <w:shd w:fill="162F46"/>
            <w:tcMar>
              <w:top w:w="75" w:type="dxa"/>
              <w:bottom w:w="75" w:type="dxa"/>
              <w:left w:w="100" w:type="dxa"/>
              <w:right w:w="100" w:type="dxa"/>
            </w:tcMar>
          </w:tcPr>
          <w:p>
            <w:pPr>
              <w:spacing w:after="0" w:line="252" w:lineRule="auto"/>
              <w:jc w:val="center"/>
            </w:pPr>
            <w:r>
              <w:rPr>
                <w:b/>
                <w:color w:val="FFFFFF"/>
                <w:sz w:val="19"/>
              </w:rPr>
              <w:t>Precision</w:t>
            </w:r>
          </w:p>
        </w:tc>
        <w:tc>
          <w:tcPr>
            <w:tcW w:type="dxa" w:w="2016"/>
            <w:vAlign w:val="center"/>
            <w:shd w:fill="162F46"/>
            <w:tcMar>
              <w:top w:w="75" w:type="dxa"/>
              <w:bottom w:w="75" w:type="dxa"/>
              <w:left w:w="100" w:type="dxa"/>
              <w:right w:w="100" w:type="dxa"/>
            </w:tcMar>
          </w:tcPr>
          <w:p>
            <w:pPr>
              <w:spacing w:after="0" w:line="252" w:lineRule="auto"/>
              <w:jc w:val="center"/>
            </w:pPr>
            <w:r>
              <w:rPr>
                <w:b/>
                <w:color w:val="FFFFFF"/>
                <w:sz w:val="19"/>
              </w:rPr>
              <w:t>Recall</w:t>
            </w:r>
          </w:p>
        </w:tc>
        <w:tc>
          <w:tcPr>
            <w:tcW w:type="dxa" w:w="2016"/>
            <w:vAlign w:val="center"/>
            <w:shd w:fill="162F46"/>
            <w:tcMar>
              <w:top w:w="75" w:type="dxa"/>
              <w:bottom w:w="75" w:type="dxa"/>
              <w:left w:w="100" w:type="dxa"/>
              <w:right w:w="100" w:type="dxa"/>
            </w:tcMar>
          </w:tcPr>
          <w:p>
            <w:pPr>
              <w:spacing w:after="0" w:line="252" w:lineRule="auto"/>
              <w:jc w:val="center"/>
            </w:pPr>
            <w:r>
              <w:rPr>
                <w:b/>
                <w:color w:val="FFFFFF"/>
                <w:sz w:val="19"/>
              </w:rPr>
              <w:t>mAP50</w:t>
            </w:r>
          </w:p>
        </w:tc>
        <w:tc>
          <w:tcPr>
            <w:tcW w:type="dxa" w:w="2016"/>
            <w:vAlign w:val="center"/>
            <w:shd w:fill="162F46"/>
            <w:tcMar>
              <w:top w:w="75" w:type="dxa"/>
              <w:bottom w:w="75" w:type="dxa"/>
              <w:left w:w="100" w:type="dxa"/>
              <w:right w:w="100" w:type="dxa"/>
            </w:tcMar>
          </w:tcPr>
          <w:p>
            <w:pPr>
              <w:spacing w:after="0" w:line="252" w:lineRule="auto"/>
              <w:jc w:val="center"/>
            </w:pPr>
            <w:r>
              <w:rPr>
                <w:b/>
                <w:color w:val="FFFFFF"/>
                <w:sz w:val="19"/>
              </w:rPr>
              <w:t>mAP50–95</w:t>
            </w:r>
          </w:p>
        </w:tc>
      </w:tr>
      <w:tr>
        <w:trPr>
          <w:cantSplit/>
        </w:trPr>
        <w:tc>
          <w:tcPr>
            <w:tcW w:type="dxa" w:w="2160"/>
            <w:vAlign w:val="center"/>
            <w:shd w:fill="EFF4F7"/>
            <w:tcMar>
              <w:top w:w="75" w:type="dxa"/>
              <w:bottom w:w="75" w:type="dxa"/>
              <w:left w:w="100" w:type="dxa"/>
              <w:right w:w="100" w:type="dxa"/>
            </w:tcMar>
          </w:tcPr>
          <w:p>
            <w:pPr>
              <w:spacing w:after="0" w:line="252" w:lineRule="auto"/>
            </w:pPr>
            <w:r>
              <w:rPr>
                <w:b w:val="0"/>
                <w:color w:val="000000"/>
                <w:sz w:val="19"/>
              </w:rPr>
              <w:t>Val</w:t>
            </w:r>
          </w:p>
        </w:tc>
        <w:tc>
          <w:tcPr>
            <w:tcW w:type="dxa" w:w="2016"/>
            <w:vAlign w:val="center"/>
            <w:shd w:fill="EFF4F7"/>
            <w:tcMar>
              <w:top w:w="75" w:type="dxa"/>
              <w:bottom w:w="75" w:type="dxa"/>
              <w:left w:w="100" w:type="dxa"/>
              <w:right w:w="100" w:type="dxa"/>
            </w:tcMar>
          </w:tcPr>
          <w:p>
            <w:pPr>
              <w:spacing w:after="0" w:line="252" w:lineRule="auto"/>
              <w:jc w:val="center"/>
            </w:pPr>
            <w:r>
              <w:rPr>
                <w:b w:val="0"/>
                <w:color w:val="000000"/>
                <w:sz w:val="19"/>
              </w:rPr>
              <w:t>99.02%</w:t>
            </w:r>
          </w:p>
        </w:tc>
        <w:tc>
          <w:tcPr>
            <w:tcW w:type="dxa" w:w="2016"/>
            <w:vAlign w:val="center"/>
            <w:shd w:fill="EFF4F7"/>
            <w:tcMar>
              <w:top w:w="75" w:type="dxa"/>
              <w:bottom w:w="75" w:type="dxa"/>
              <w:left w:w="100" w:type="dxa"/>
              <w:right w:w="100" w:type="dxa"/>
            </w:tcMar>
          </w:tcPr>
          <w:p>
            <w:pPr>
              <w:spacing w:after="0" w:line="252" w:lineRule="auto"/>
              <w:jc w:val="center"/>
            </w:pPr>
            <w:r>
              <w:rPr>
                <w:b w:val="0"/>
                <w:color w:val="000000"/>
                <w:sz w:val="19"/>
              </w:rPr>
              <w:t>97.83%</w:t>
            </w:r>
          </w:p>
        </w:tc>
        <w:tc>
          <w:tcPr>
            <w:tcW w:type="dxa" w:w="2016"/>
            <w:vAlign w:val="center"/>
            <w:shd w:fill="EFF4F7"/>
            <w:tcMar>
              <w:top w:w="75" w:type="dxa"/>
              <w:bottom w:w="75" w:type="dxa"/>
              <w:left w:w="100" w:type="dxa"/>
              <w:right w:w="100" w:type="dxa"/>
            </w:tcMar>
          </w:tcPr>
          <w:p>
            <w:pPr>
              <w:spacing w:after="0" w:line="252" w:lineRule="auto"/>
              <w:jc w:val="center"/>
            </w:pPr>
            <w:r>
              <w:rPr>
                <w:b w:val="0"/>
                <w:color w:val="000000"/>
                <w:sz w:val="19"/>
              </w:rPr>
              <w:t>98.74%</w:t>
            </w:r>
          </w:p>
        </w:tc>
        <w:tc>
          <w:tcPr>
            <w:tcW w:type="dxa" w:w="2016"/>
            <w:vAlign w:val="center"/>
            <w:shd w:fill="EFF4F7"/>
            <w:tcMar>
              <w:top w:w="75" w:type="dxa"/>
              <w:bottom w:w="75" w:type="dxa"/>
              <w:left w:w="100" w:type="dxa"/>
              <w:right w:w="100" w:type="dxa"/>
            </w:tcMar>
          </w:tcPr>
          <w:p>
            <w:pPr>
              <w:spacing w:after="0" w:line="252" w:lineRule="auto"/>
              <w:jc w:val="center"/>
            </w:pPr>
            <w:r>
              <w:rPr>
                <w:b w:val="0"/>
                <w:color w:val="000000"/>
                <w:sz w:val="19"/>
              </w:rPr>
              <w:t>94.35%</w:t>
            </w:r>
          </w:p>
        </w:tc>
      </w:tr>
      <w:tr>
        <w:trPr>
          <w:cantSplit/>
        </w:trPr>
        <w:tc>
          <w:tcPr>
            <w:tcW w:type="dxa" w:w="2160"/>
            <w:vAlign w:val="center"/>
            <w:shd w:fill="FFFFFF"/>
            <w:tcMar>
              <w:top w:w="75" w:type="dxa"/>
              <w:bottom w:w="75" w:type="dxa"/>
              <w:left w:w="100" w:type="dxa"/>
              <w:right w:w="100" w:type="dxa"/>
            </w:tcMar>
          </w:tcPr>
          <w:p>
            <w:pPr>
              <w:spacing w:after="0" w:line="252" w:lineRule="auto"/>
            </w:pPr>
            <w:r>
              <w:rPr>
                <w:b w:val="0"/>
                <w:color w:val="000000"/>
                <w:sz w:val="19"/>
              </w:rPr>
              <w:t>Test</w:t>
            </w:r>
          </w:p>
        </w:tc>
        <w:tc>
          <w:tcPr>
            <w:tcW w:type="dxa" w:w="2016"/>
            <w:vAlign w:val="center"/>
            <w:shd w:fill="FFFFFF"/>
            <w:tcMar>
              <w:top w:w="75" w:type="dxa"/>
              <w:bottom w:w="75" w:type="dxa"/>
              <w:left w:w="100" w:type="dxa"/>
              <w:right w:w="100" w:type="dxa"/>
            </w:tcMar>
          </w:tcPr>
          <w:p>
            <w:pPr>
              <w:spacing w:after="0" w:line="252" w:lineRule="auto"/>
              <w:jc w:val="center"/>
            </w:pPr>
            <w:r>
              <w:rPr>
                <w:b w:val="0"/>
                <w:color w:val="000000"/>
                <w:sz w:val="19"/>
              </w:rPr>
              <w:t>98.66%</w:t>
            </w:r>
          </w:p>
        </w:tc>
        <w:tc>
          <w:tcPr>
            <w:tcW w:type="dxa" w:w="2016"/>
            <w:vAlign w:val="center"/>
            <w:shd w:fill="FFFFFF"/>
            <w:tcMar>
              <w:top w:w="75" w:type="dxa"/>
              <w:bottom w:w="75" w:type="dxa"/>
              <w:left w:w="100" w:type="dxa"/>
              <w:right w:w="100" w:type="dxa"/>
            </w:tcMar>
          </w:tcPr>
          <w:p>
            <w:pPr>
              <w:spacing w:after="0" w:line="252" w:lineRule="auto"/>
              <w:jc w:val="center"/>
            </w:pPr>
            <w:r>
              <w:rPr>
                <w:b w:val="0"/>
                <w:color w:val="000000"/>
                <w:sz w:val="19"/>
              </w:rPr>
              <w:t>97.47%</w:t>
            </w:r>
          </w:p>
        </w:tc>
        <w:tc>
          <w:tcPr>
            <w:tcW w:type="dxa" w:w="2016"/>
            <w:vAlign w:val="center"/>
            <w:shd w:fill="FFFFFF"/>
            <w:tcMar>
              <w:top w:w="75" w:type="dxa"/>
              <w:bottom w:w="75" w:type="dxa"/>
              <w:left w:w="100" w:type="dxa"/>
              <w:right w:w="100" w:type="dxa"/>
            </w:tcMar>
          </w:tcPr>
          <w:p>
            <w:pPr>
              <w:spacing w:after="0" w:line="252" w:lineRule="auto"/>
              <w:jc w:val="center"/>
            </w:pPr>
            <w:r>
              <w:rPr>
                <w:b w:val="0"/>
                <w:color w:val="000000"/>
                <w:sz w:val="19"/>
              </w:rPr>
              <w:t>98.65%</w:t>
            </w:r>
          </w:p>
        </w:tc>
        <w:tc>
          <w:tcPr>
            <w:tcW w:type="dxa" w:w="2016"/>
            <w:vAlign w:val="center"/>
            <w:shd w:fill="FFFFFF"/>
            <w:tcMar>
              <w:top w:w="75" w:type="dxa"/>
              <w:bottom w:w="75" w:type="dxa"/>
              <w:left w:w="100" w:type="dxa"/>
              <w:right w:w="100" w:type="dxa"/>
            </w:tcMar>
          </w:tcPr>
          <w:p>
            <w:pPr>
              <w:spacing w:after="0" w:line="252" w:lineRule="auto"/>
              <w:jc w:val="center"/>
            </w:pPr>
            <w:r>
              <w:rPr>
                <w:b w:val="0"/>
                <w:color w:val="000000"/>
                <w:sz w:val="19"/>
              </w:rPr>
              <w:t>94.26%</w:t>
            </w:r>
          </w:p>
        </w:tc>
      </w:tr>
    </w:tbl>
    <w:p>
      <w:pPr>
        <w:spacing w:after="0" w:before="0" w:line="80" w:lineRule="exact"/>
      </w:pPr>
      <w:r>
        <w:rPr>
          <w:sz w:val="8"/>
        </w:rPr>
      </w:r>
    </w:p>
    <w:p>
      <w:pPr>
        <w:pStyle w:val="Caption"/>
      </w:pPr>
      <w:r>
        <w:t>AP measures the precision–recall curve for each class. mAP50 requires matching boxes at IoU ≥ 0.50; mAP50–95 averages ten IoU thresholds and rewards tighter localization. Table precision/recall are library class means at the best mean-F1 point on each split’s curve. The fixed-threshold results below use only validation to choose confidence.</w:t>
      </w:r>
    </w:p>
    <w:p>
      <w:pPr>
        <w:keepNext w:val="0"/>
        <w:spacing w:after="100"/>
        <w:jc w:val="center"/>
      </w:pPr>
      <w:r>
        <w:drawing>
          <wp:inline xmlns:a="http://schemas.openxmlformats.org/drawingml/2006/main" xmlns:pic="http://schemas.openxmlformats.org/drawingml/2006/picture">
            <wp:extent cx="6217920" cy="3454400"/>
            <wp:docPr id="2" name="Picture 2" descr="learning curves.png"/>
            <wp:cNvGraphicFramePr>
              <a:graphicFrameLocks noChangeAspect="1"/>
            </wp:cNvGraphicFramePr>
            <a:graphic>
              <a:graphicData uri="http://schemas.openxmlformats.org/drawingml/2006/picture">
                <pic:pic>
                  <pic:nvPicPr>
                    <pic:cNvPr id="0" name="learning_curves.png"/>
                    <pic:cNvPicPr/>
                  </pic:nvPicPr>
                  <pic:blipFill>
                    <a:blip r:embed="rId11"/>
                    <a:stretch>
                      <a:fillRect/>
                    </a:stretch>
                  </pic:blipFill>
                  <pic:spPr>
                    <a:xfrm>
                      <a:off x="0" y="0"/>
                      <a:ext cx="6217920" cy="3454400"/>
                    </a:xfrm>
                    <a:prstGeom prst="rect"/>
                  </pic:spPr>
                </pic:pic>
              </a:graphicData>
            </a:graphic>
          </wp:inline>
        </w:drawing>
      </w:r>
    </w:p>
    <w:p>
      <w:pPr/>
      <w:r>
        <w:t>At a confidence threshold of 0.65, chosen only on validation micro-F1, the test set has 2,982 true positives, 37 false positives and 67 missed targets. Class-aware matching requires IoU ≥ 0.50. Micro precision is 98.77%, recall 97.80% and F1 0.9829. All annotated objects are correctly detected with no false positives in 929/1,000 images (92.90%).</w:t>
      </w:r>
    </w:p>
    <w:p>
      <w:pPr>
        <w:pStyle w:val="Heading1"/>
        <w:pageBreakBefore/>
      </w:pPr>
      <w:r>
        <w:t>Sample detection results</w:t>
      </w:r>
    </w:p>
    <w:p>
      <w:pPr>
        <w:pStyle w:val="Caption"/>
      </w:pPr>
      <w:r>
        <w:t>Four of six test paths sampled with seed 42 are shown in their original sample order. Paths were selected independently of predictions. Teal boxes and labels are model outputs at the fixed validation-selected confidence threshold. TP, FP and FN use the same class-aware IoU matching as the reported operating metrics.</w:t>
      </w:r>
    </w:p>
    <w:p>
      <w:pPr>
        <w:keepNext/>
        <w:spacing w:after="100"/>
        <w:jc w:val="center"/>
      </w:pPr>
      <w:r>
        <w:drawing>
          <wp:inline xmlns:a="http://schemas.openxmlformats.org/drawingml/2006/main" xmlns:pic="http://schemas.openxmlformats.org/drawingml/2006/picture">
            <wp:extent cx="6126480" cy="6652974"/>
            <wp:docPr id="3" name="Picture 3" descr="test examples.png"/>
            <wp:cNvGraphicFramePr>
              <a:graphicFrameLocks noChangeAspect="1"/>
            </wp:cNvGraphicFramePr>
            <a:graphic>
              <a:graphicData uri="http://schemas.openxmlformats.org/drawingml/2006/picture">
                <pic:pic>
                  <pic:nvPicPr>
                    <pic:cNvPr id="0" name="test_examples.png"/>
                    <pic:cNvPicPr/>
                  </pic:nvPicPr>
                  <pic:blipFill>
                    <a:blip r:embed="rId12"/>
                    <a:stretch>
                      <a:fillRect/>
                    </a:stretch>
                  </pic:blipFill>
                  <pic:spPr>
                    <a:xfrm>
                      <a:off x="0" y="0"/>
                      <a:ext cx="6126480" cy="6652974"/>
                    </a:xfrm>
                    <a:prstGeom prst="rect"/>
                  </pic:spPr>
                </pic:pic>
              </a:graphicData>
            </a:graphic>
          </wp:inline>
        </w:drawing>
      </w:r>
    </w:p>
    <w:p>
      <w:pPr>
        <w:pStyle w:val="Caption"/>
      </w:pPr>
      <w:r>
        <w:t>Labels show the final Object ID and model confidence. Box coordinates in the saved CSV/JSON refer to original-image pixels, with the origin at the upper-left. Every test image contributes to the aggregate metrics; this gallery is illustrative.</w:t>
      </w:r>
    </w:p>
    <w:p>
      <w:pPr>
        <w:pStyle w:val="Heading1"/>
        <w:pageBreakBefore/>
      </w:pPr>
      <w:r>
        <w:t>Error analysis and interpretation</w:t>
      </w:r>
    </w:p>
    <w:p>
      <w:pPr/>
      <w:r>
        <w:t>Validation mAP50–95 is 0.09 percentage points higher than test mAP50–95. Test composites use different source photos, so viewpoints, partial views and retained backgrounds can affect detection. The gap describes this run and does not identify a single cause.</w:t>
      </w:r>
    </w:p>
    <w:p>
      <w:pPr>
        <w:keepNext w:val="0"/>
        <w:spacing w:after="100"/>
        <w:jc w:val="center"/>
      </w:pPr>
      <w:r>
        <w:drawing>
          <wp:inline xmlns:a="http://schemas.openxmlformats.org/drawingml/2006/main" xmlns:pic="http://schemas.openxmlformats.org/drawingml/2006/picture">
            <wp:extent cx="6035040" cy="2866644"/>
            <wp:docPr id="4" name="Picture 4" descr="per class ap.png"/>
            <wp:cNvGraphicFramePr>
              <a:graphicFrameLocks noChangeAspect="1"/>
            </wp:cNvGraphicFramePr>
            <a:graphic>
              <a:graphicData uri="http://schemas.openxmlformats.org/drawingml/2006/picture">
                <pic:pic>
                  <pic:nvPicPr>
                    <pic:cNvPr id="0" name="per_class_ap.png"/>
                    <pic:cNvPicPr/>
                  </pic:nvPicPr>
                  <pic:blipFill>
                    <a:blip r:embed="rId13"/>
                    <a:stretch>
                      <a:fillRect/>
                    </a:stretch>
                  </pic:blipFill>
                  <pic:spPr>
                    <a:xfrm>
                      <a:off x="0" y="0"/>
                      <a:ext cx="6035040" cy="2866644"/>
                    </a:xfrm>
                    <a:prstGeom prst="rect"/>
                  </pic:spPr>
                </pic:pic>
              </a:graphicData>
            </a:graphic>
          </wp:inline>
        </w:drawing>
      </w:r>
    </w:p>
    <w:p>
      <w:pPr>
        <w:pStyle w:val="Caption"/>
      </w:pPr>
      <w:r>
        <w:t>Class scores use 8–10 distinct test source photos per class, repeatedly recomposed into images. Sources can share physical objects and backgrounds. The full 73-class result table is archived.</w:t>
      </w:r>
    </w:p>
    <w:p>
      <w:pPr>
        <w:pStyle w:val="Caption"/>
      </w:pPr>
      <w:r>
        <w:t>The case below was selected by most missed targets, then false positives and filename. Red boxes show ground truth; teal boxes show predictions. This example explains a failure and does not estimate its frequency.</w:t>
      </w:r>
    </w:p>
    <w:p>
      <w:pPr>
        <w:keepNext w:val="0"/>
        <w:spacing w:after="100"/>
        <w:jc w:val="center"/>
      </w:pPr>
      <w:r>
        <w:drawing>
          <wp:inline xmlns:a="http://schemas.openxmlformats.org/drawingml/2006/main" xmlns:pic="http://schemas.openxmlformats.org/drawingml/2006/picture">
            <wp:extent cx="6126480" cy="3326487"/>
            <wp:docPr id="5" name="Picture 5" descr="failure example one.png"/>
            <wp:cNvGraphicFramePr>
              <a:graphicFrameLocks noChangeAspect="1"/>
            </wp:cNvGraphicFramePr>
            <a:graphic>
              <a:graphicData uri="http://schemas.openxmlformats.org/drawingml/2006/picture">
                <pic:pic>
                  <pic:nvPicPr>
                    <pic:cNvPr id="0" name="failure_example_one.png"/>
                    <pic:cNvPicPr/>
                  </pic:nvPicPr>
                  <pic:blipFill>
                    <a:blip r:embed="rId14"/>
                    <a:stretch>
                      <a:fillRect/>
                    </a:stretch>
                  </pic:blipFill>
                  <pic:spPr>
                    <a:xfrm>
                      <a:off x="0" y="0"/>
                      <a:ext cx="6126480" cy="3326487"/>
                    </a:xfrm>
                    <a:prstGeom prst="rect"/>
                  </pic:spPr>
                </pic:pic>
              </a:graphicData>
            </a:graphic>
          </wp:inline>
        </w:drawing>
      </w:r>
    </w:p>
    <w:p>
      <w:pPr>
        <w:pStyle w:val="Caption"/>
      </w:pPr>
      <w:r>
        <w:t>test_00586.jpg has 0 correct detections, 1 false positives and 2 missed targets. A patch annotated OBJ014 is predicted as OBJ061. Small native targets can become blurred when enlarged; approximate annotations can also affect interpretation.</w:t>
      </w:r>
    </w:p>
    <w:p>
      <w:pPr>
        <w:pStyle w:val="Heading1"/>
        <w:pageBreakBefore/>
      </w:pPr>
      <w:r>
        <w:t>Comparison with the earlier experiment</w:t>
      </w:r>
    </w:p>
    <w:p>
      <w:pPr/>
      <w:r>
        <w:t>Both experiments fine-tuned COCO-pretrained YOLOv8s for 50 epochs with the same input size, optimizer settings and seed. The expanded experiment uses more source photographs and more optimizer steps per epoch. Its training and test distributions both changed, so this comparison describes the completed experiments without isolating the effect of more training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2736"/>
        <w:gridCol w:w="2736"/>
      </w:tblGrid>
      <w:tr>
        <w:trPr>
          <w:cantSplit/>
          <w:tblHeader/>
        </w:trPr>
        <w:tc>
          <w:tcPr>
            <w:tcW w:type="dxa" w:w="4752"/>
            <w:vAlign w:val="center"/>
            <w:shd w:fill="162F46"/>
            <w:tcMar>
              <w:top w:w="75" w:type="dxa"/>
              <w:bottom w:w="75" w:type="dxa"/>
              <w:left w:w="100" w:type="dxa"/>
              <w:right w:w="100" w:type="dxa"/>
            </w:tcMar>
          </w:tcPr>
          <w:p>
            <w:pPr>
              <w:spacing w:after="0" w:line="252" w:lineRule="auto"/>
            </w:pPr>
            <w:r>
              <w:rPr>
                <w:b/>
                <w:color w:val="FFFFFF"/>
                <w:sz w:val="19"/>
              </w:rPr>
              <w:t>Measure</w:t>
            </w:r>
          </w:p>
        </w:tc>
        <w:tc>
          <w:tcPr>
            <w:tcW w:type="dxa" w:w="2736"/>
            <w:vAlign w:val="center"/>
            <w:shd w:fill="162F46"/>
            <w:tcMar>
              <w:top w:w="75" w:type="dxa"/>
              <w:bottom w:w="75" w:type="dxa"/>
              <w:left w:w="100" w:type="dxa"/>
              <w:right w:w="100" w:type="dxa"/>
            </w:tcMar>
          </w:tcPr>
          <w:p>
            <w:pPr>
              <w:spacing w:after="0" w:line="252" w:lineRule="auto"/>
              <w:jc w:val="center"/>
            </w:pPr>
            <w:r>
              <w:rPr>
                <w:b/>
                <w:color w:val="FFFFFF"/>
                <w:sz w:val="19"/>
              </w:rPr>
              <w:t>Earlier subset</w:t>
            </w:r>
          </w:p>
        </w:tc>
        <w:tc>
          <w:tcPr>
            <w:tcW w:type="dxa" w:w="2736"/>
            <w:vAlign w:val="center"/>
            <w:shd w:fill="162F46"/>
            <w:tcMar>
              <w:top w:w="75" w:type="dxa"/>
              <w:bottom w:w="75" w:type="dxa"/>
              <w:left w:w="100" w:type="dxa"/>
              <w:right w:w="100" w:type="dxa"/>
            </w:tcMar>
          </w:tcPr>
          <w:p>
            <w:pPr>
              <w:spacing w:after="0" w:line="252" w:lineRule="auto"/>
              <w:jc w:val="center"/>
            </w:pPr>
            <w:r>
              <w:rPr>
                <w:b/>
                <w:color w:val="FFFFFF"/>
                <w:sz w:val="19"/>
              </w:rPr>
              <w:t>Expanded dataset</w:t>
            </w:r>
          </w:p>
        </w:tc>
      </w:tr>
      <w:tr>
        <w:trPr>
          <w:cantSplit/>
        </w:trPr>
        <w:tc>
          <w:tcPr>
            <w:tcW w:type="dxa" w:w="4752"/>
            <w:vAlign w:val="center"/>
            <w:shd w:fill="EFF4F7"/>
            <w:tcMar>
              <w:top w:w="75" w:type="dxa"/>
              <w:bottom w:w="75" w:type="dxa"/>
              <w:left w:w="100" w:type="dxa"/>
              <w:right w:w="100" w:type="dxa"/>
            </w:tcMar>
          </w:tcPr>
          <w:p>
            <w:pPr>
              <w:spacing w:after="0" w:line="252" w:lineRule="auto"/>
            </w:pPr>
            <w:r>
              <w:rPr>
                <w:b w:val="0"/>
                <w:color w:val="000000"/>
                <w:sz w:val="19"/>
              </w:rPr>
              <w:t>Unique source photos</w:t>
            </w:r>
          </w:p>
        </w:tc>
        <w:tc>
          <w:tcPr>
            <w:tcW w:type="dxa" w:w="2736"/>
            <w:vAlign w:val="center"/>
            <w:shd w:fill="EFF4F7"/>
            <w:tcMar>
              <w:top w:w="75" w:type="dxa"/>
              <w:bottom w:w="75" w:type="dxa"/>
              <w:left w:w="100" w:type="dxa"/>
              <w:right w:w="100" w:type="dxa"/>
            </w:tcMar>
          </w:tcPr>
          <w:p>
            <w:pPr>
              <w:spacing w:after="0" w:line="252" w:lineRule="auto"/>
              <w:jc w:val="center"/>
            </w:pPr>
            <w:r>
              <w:rPr>
                <w:b w:val="0"/>
                <w:color w:val="000000"/>
                <w:sz w:val="19"/>
              </w:rPr>
              <w:t>365</w:t>
            </w:r>
          </w:p>
        </w:tc>
        <w:tc>
          <w:tcPr>
            <w:tcW w:type="dxa" w:w="2736"/>
            <w:vAlign w:val="center"/>
            <w:shd w:fill="EFF4F7"/>
            <w:tcMar>
              <w:top w:w="75" w:type="dxa"/>
              <w:bottom w:w="75" w:type="dxa"/>
              <w:left w:w="100" w:type="dxa"/>
              <w:right w:w="100" w:type="dxa"/>
            </w:tcMar>
          </w:tcPr>
          <w:p>
            <w:pPr>
              <w:spacing w:after="0" w:line="252" w:lineRule="auto"/>
              <w:jc w:val="center"/>
            </w:pPr>
            <w:r>
              <w:rPr>
                <w:b w:val="0"/>
                <w:color w:val="000000"/>
                <w:sz w:val="19"/>
              </w:rPr>
              <w:t>6,933</w:t>
            </w:r>
          </w:p>
        </w:tc>
      </w:tr>
      <w:tr>
        <w:trPr>
          <w:cantSplit/>
        </w:trPr>
        <w:tc>
          <w:tcPr>
            <w:tcW w:type="dxa" w:w="4752"/>
            <w:vAlign w:val="center"/>
            <w:shd w:fill="FFFFFF"/>
            <w:tcMar>
              <w:top w:w="75" w:type="dxa"/>
              <w:bottom w:w="75" w:type="dxa"/>
              <w:left w:w="100" w:type="dxa"/>
              <w:right w:w="100" w:type="dxa"/>
            </w:tcMar>
          </w:tcPr>
          <w:p>
            <w:pPr>
              <w:spacing w:after="0" w:line="252" w:lineRule="auto"/>
            </w:pPr>
            <w:r>
              <w:rPr>
                <w:b w:val="0"/>
                <w:color w:val="000000"/>
                <w:sz w:val="19"/>
              </w:rPr>
              <w:t>Training composites</w:t>
            </w:r>
          </w:p>
        </w:tc>
        <w:tc>
          <w:tcPr>
            <w:tcW w:type="dxa" w:w="2736"/>
            <w:vAlign w:val="center"/>
            <w:shd w:fill="FFFFFF"/>
            <w:tcMar>
              <w:top w:w="75" w:type="dxa"/>
              <w:bottom w:w="75" w:type="dxa"/>
              <w:left w:w="100" w:type="dxa"/>
              <w:right w:w="100" w:type="dxa"/>
            </w:tcMar>
          </w:tcPr>
          <w:p>
            <w:pPr>
              <w:spacing w:after="0" w:line="252" w:lineRule="auto"/>
              <w:jc w:val="center"/>
            </w:pPr>
            <w:r>
              <w:rPr>
                <w:b w:val="0"/>
                <w:color w:val="000000"/>
                <w:sz w:val="19"/>
              </w:rPr>
              <w:t>1,168</w:t>
            </w:r>
          </w:p>
        </w:tc>
        <w:tc>
          <w:tcPr>
            <w:tcW w:type="dxa" w:w="2736"/>
            <w:vAlign w:val="center"/>
            <w:shd w:fill="FFFFFF"/>
            <w:tcMar>
              <w:top w:w="75" w:type="dxa"/>
              <w:bottom w:w="75" w:type="dxa"/>
              <w:left w:w="100" w:type="dxa"/>
              <w:right w:w="100" w:type="dxa"/>
            </w:tcMar>
          </w:tcPr>
          <w:p>
            <w:pPr>
              <w:spacing w:after="0" w:line="252" w:lineRule="auto"/>
              <w:jc w:val="center"/>
            </w:pPr>
            <w:r>
              <w:rPr>
                <w:b w:val="0"/>
                <w:color w:val="000000"/>
                <w:sz w:val="19"/>
              </w:rPr>
              <w:t>8,000</w:t>
            </w:r>
          </w:p>
        </w:tc>
      </w:tr>
      <w:tr>
        <w:trPr>
          <w:cantSplit/>
        </w:trPr>
        <w:tc>
          <w:tcPr>
            <w:tcW w:type="dxa" w:w="4752"/>
            <w:vAlign w:val="center"/>
            <w:shd w:fill="EFF4F7"/>
            <w:tcMar>
              <w:top w:w="75" w:type="dxa"/>
              <w:bottom w:w="75" w:type="dxa"/>
              <w:left w:w="100" w:type="dxa"/>
              <w:right w:w="100" w:type="dxa"/>
            </w:tcMar>
          </w:tcPr>
          <w:p>
            <w:pPr>
              <w:spacing w:after="0" w:line="252" w:lineRule="auto"/>
            </w:pPr>
            <w:r>
              <w:rPr>
                <w:b w:val="0"/>
                <w:color w:val="000000"/>
                <w:sz w:val="19"/>
              </w:rPr>
              <w:t>Test composites</w:t>
            </w:r>
          </w:p>
        </w:tc>
        <w:tc>
          <w:tcPr>
            <w:tcW w:type="dxa" w:w="2736"/>
            <w:vAlign w:val="center"/>
            <w:shd w:fill="EFF4F7"/>
            <w:tcMar>
              <w:top w:w="75" w:type="dxa"/>
              <w:bottom w:w="75" w:type="dxa"/>
              <w:left w:w="100" w:type="dxa"/>
              <w:right w:w="100" w:type="dxa"/>
            </w:tcMar>
          </w:tcPr>
          <w:p>
            <w:pPr>
              <w:spacing w:after="0" w:line="252" w:lineRule="auto"/>
              <w:jc w:val="center"/>
            </w:pPr>
            <w:r>
              <w:rPr>
                <w:b w:val="0"/>
                <w:color w:val="000000"/>
                <w:sz w:val="19"/>
              </w:rPr>
              <w:t>146</w:t>
            </w:r>
          </w:p>
        </w:tc>
        <w:tc>
          <w:tcPr>
            <w:tcW w:type="dxa" w:w="2736"/>
            <w:vAlign w:val="center"/>
            <w:shd w:fill="EFF4F7"/>
            <w:tcMar>
              <w:top w:w="75" w:type="dxa"/>
              <w:bottom w:w="75" w:type="dxa"/>
              <w:left w:w="100" w:type="dxa"/>
              <w:right w:w="100" w:type="dxa"/>
            </w:tcMar>
          </w:tcPr>
          <w:p>
            <w:pPr>
              <w:spacing w:after="0" w:line="252" w:lineRule="auto"/>
              <w:jc w:val="center"/>
            </w:pPr>
            <w:r>
              <w:rPr>
                <w:b w:val="0"/>
                <w:color w:val="000000"/>
                <w:sz w:val="19"/>
              </w:rPr>
              <w:t>1,000</w:t>
            </w:r>
          </w:p>
        </w:tc>
      </w:tr>
      <w:tr>
        <w:trPr>
          <w:cantSplit/>
        </w:trPr>
        <w:tc>
          <w:tcPr>
            <w:tcW w:type="dxa" w:w="4752"/>
            <w:vAlign w:val="center"/>
            <w:shd w:fill="FFFFFF"/>
            <w:tcMar>
              <w:top w:w="75" w:type="dxa"/>
              <w:bottom w:w="75" w:type="dxa"/>
              <w:left w:w="100" w:type="dxa"/>
              <w:right w:w="100" w:type="dxa"/>
            </w:tcMar>
          </w:tcPr>
          <w:p>
            <w:pPr>
              <w:spacing w:after="0" w:line="252" w:lineRule="auto"/>
            </w:pPr>
            <w:r>
              <w:rPr>
                <w:b w:val="0"/>
                <w:color w:val="000000"/>
                <w:sz w:val="19"/>
              </w:rPr>
              <w:t>Test mAP50</w:t>
            </w:r>
          </w:p>
        </w:tc>
        <w:tc>
          <w:tcPr>
            <w:tcW w:type="dxa" w:w="2736"/>
            <w:vAlign w:val="center"/>
            <w:shd w:fill="FFFFFF"/>
            <w:tcMar>
              <w:top w:w="75" w:type="dxa"/>
              <w:bottom w:w="75" w:type="dxa"/>
              <w:left w:w="100" w:type="dxa"/>
              <w:right w:w="100" w:type="dxa"/>
            </w:tcMar>
          </w:tcPr>
          <w:p>
            <w:pPr>
              <w:spacing w:after="0" w:line="252" w:lineRule="auto"/>
              <w:jc w:val="center"/>
            </w:pPr>
            <w:r>
              <w:rPr>
                <w:b w:val="0"/>
                <w:color w:val="000000"/>
                <w:sz w:val="19"/>
              </w:rPr>
              <w:t>71.31%</w:t>
            </w:r>
          </w:p>
        </w:tc>
        <w:tc>
          <w:tcPr>
            <w:tcW w:type="dxa" w:w="2736"/>
            <w:vAlign w:val="center"/>
            <w:shd w:fill="FFFFFF"/>
            <w:tcMar>
              <w:top w:w="75" w:type="dxa"/>
              <w:bottom w:w="75" w:type="dxa"/>
              <w:left w:w="100" w:type="dxa"/>
              <w:right w:w="100" w:type="dxa"/>
            </w:tcMar>
          </w:tcPr>
          <w:p>
            <w:pPr>
              <w:spacing w:after="0" w:line="252" w:lineRule="auto"/>
              <w:jc w:val="center"/>
            </w:pPr>
            <w:r>
              <w:rPr>
                <w:b w:val="0"/>
                <w:color w:val="000000"/>
                <w:sz w:val="19"/>
              </w:rPr>
              <w:t>98.65%</w:t>
            </w:r>
          </w:p>
        </w:tc>
      </w:tr>
      <w:tr>
        <w:trPr>
          <w:cantSplit/>
        </w:trPr>
        <w:tc>
          <w:tcPr>
            <w:tcW w:type="dxa" w:w="4752"/>
            <w:vAlign w:val="center"/>
            <w:shd w:fill="EFF4F7"/>
            <w:tcMar>
              <w:top w:w="75" w:type="dxa"/>
              <w:bottom w:w="75" w:type="dxa"/>
              <w:left w:w="100" w:type="dxa"/>
              <w:right w:w="100" w:type="dxa"/>
            </w:tcMar>
          </w:tcPr>
          <w:p>
            <w:pPr>
              <w:spacing w:after="0" w:line="252" w:lineRule="auto"/>
            </w:pPr>
            <w:r>
              <w:rPr>
                <w:b w:val="0"/>
                <w:color w:val="000000"/>
                <w:sz w:val="19"/>
              </w:rPr>
              <w:t>Test mAP50–95</w:t>
            </w:r>
          </w:p>
        </w:tc>
        <w:tc>
          <w:tcPr>
            <w:tcW w:type="dxa" w:w="2736"/>
            <w:vAlign w:val="center"/>
            <w:shd w:fill="EFF4F7"/>
            <w:tcMar>
              <w:top w:w="75" w:type="dxa"/>
              <w:bottom w:w="75" w:type="dxa"/>
              <w:left w:w="100" w:type="dxa"/>
              <w:right w:w="100" w:type="dxa"/>
            </w:tcMar>
          </w:tcPr>
          <w:p>
            <w:pPr>
              <w:spacing w:after="0" w:line="252" w:lineRule="auto"/>
              <w:jc w:val="center"/>
            </w:pPr>
            <w:r>
              <w:rPr>
                <w:b w:val="0"/>
                <w:color w:val="000000"/>
                <w:sz w:val="19"/>
              </w:rPr>
              <w:t>57.85%</w:t>
            </w:r>
          </w:p>
        </w:tc>
        <w:tc>
          <w:tcPr>
            <w:tcW w:type="dxa" w:w="2736"/>
            <w:vAlign w:val="center"/>
            <w:shd w:fill="EFF4F7"/>
            <w:tcMar>
              <w:top w:w="75" w:type="dxa"/>
              <w:bottom w:w="75" w:type="dxa"/>
              <w:left w:w="100" w:type="dxa"/>
              <w:right w:w="100" w:type="dxa"/>
            </w:tcMar>
          </w:tcPr>
          <w:p>
            <w:pPr>
              <w:spacing w:after="0" w:line="252" w:lineRule="auto"/>
              <w:jc w:val="center"/>
            </w:pPr>
            <w:r>
              <w:rPr>
                <w:b w:val="0"/>
                <w:color w:val="000000"/>
                <w:sz w:val="19"/>
              </w:rPr>
              <w:t>94.26%</w:t>
            </w:r>
          </w:p>
        </w:tc>
      </w:tr>
      <w:tr>
        <w:trPr>
          <w:cantSplit/>
        </w:trPr>
        <w:tc>
          <w:tcPr>
            <w:tcW w:type="dxa" w:w="4752"/>
            <w:vAlign w:val="center"/>
            <w:shd w:fill="FFFFFF"/>
            <w:tcMar>
              <w:top w:w="75" w:type="dxa"/>
              <w:bottom w:w="75" w:type="dxa"/>
              <w:left w:w="100" w:type="dxa"/>
              <w:right w:w="100" w:type="dxa"/>
            </w:tcMar>
          </w:tcPr>
          <w:p>
            <w:pPr>
              <w:spacing w:after="0" w:line="252" w:lineRule="auto"/>
            </w:pPr>
            <w:r>
              <w:rPr>
                <w:b w:val="0"/>
                <w:color w:val="000000"/>
                <w:sz w:val="19"/>
              </w:rPr>
              <w:t>Test micro F1</w:t>
            </w:r>
          </w:p>
        </w:tc>
        <w:tc>
          <w:tcPr>
            <w:tcW w:type="dxa" w:w="2736"/>
            <w:vAlign w:val="center"/>
            <w:shd w:fill="FFFFFF"/>
            <w:tcMar>
              <w:top w:w="75" w:type="dxa"/>
              <w:bottom w:w="75" w:type="dxa"/>
              <w:left w:w="100" w:type="dxa"/>
              <w:right w:w="100" w:type="dxa"/>
            </w:tcMar>
          </w:tcPr>
          <w:p>
            <w:pPr>
              <w:spacing w:after="0" w:line="252" w:lineRule="auto"/>
              <w:jc w:val="center"/>
            </w:pPr>
            <w:r>
              <w:rPr>
                <w:b w:val="0"/>
                <w:color w:val="000000"/>
                <w:sz w:val="19"/>
              </w:rPr>
              <w:t>0.6778</w:t>
            </w:r>
          </w:p>
        </w:tc>
        <w:tc>
          <w:tcPr>
            <w:tcW w:type="dxa" w:w="2736"/>
            <w:vAlign w:val="center"/>
            <w:shd w:fill="FFFFFF"/>
            <w:tcMar>
              <w:top w:w="75" w:type="dxa"/>
              <w:bottom w:w="75" w:type="dxa"/>
              <w:left w:w="100" w:type="dxa"/>
              <w:right w:w="100" w:type="dxa"/>
            </w:tcMar>
          </w:tcPr>
          <w:p>
            <w:pPr>
              <w:spacing w:after="0" w:line="252" w:lineRule="auto"/>
              <w:jc w:val="center"/>
            </w:pPr>
            <w:r>
              <w:rPr>
                <w:b w:val="0"/>
                <w:color w:val="000000"/>
                <w:sz w:val="19"/>
              </w:rPr>
              <w:t>0.9829</w:t>
            </w:r>
          </w:p>
        </w:tc>
      </w:tr>
      <w:tr>
        <w:trPr>
          <w:cantSplit/>
        </w:trPr>
        <w:tc>
          <w:tcPr>
            <w:tcW w:type="dxa" w:w="4752"/>
            <w:vAlign w:val="center"/>
            <w:shd w:fill="EFF4F7"/>
            <w:tcMar>
              <w:top w:w="75" w:type="dxa"/>
              <w:bottom w:w="75" w:type="dxa"/>
              <w:left w:w="100" w:type="dxa"/>
              <w:right w:w="100" w:type="dxa"/>
            </w:tcMar>
          </w:tcPr>
          <w:p>
            <w:pPr>
              <w:spacing w:after="0" w:line="252" w:lineRule="auto"/>
            </w:pPr>
            <w:r>
              <w:rPr>
                <w:b w:val="0"/>
                <w:color w:val="000000"/>
                <w:sz w:val="19"/>
              </w:rPr>
              <w:t>All objects correct</w:t>
            </w:r>
          </w:p>
        </w:tc>
        <w:tc>
          <w:tcPr>
            <w:tcW w:type="dxa" w:w="2736"/>
            <w:vAlign w:val="center"/>
            <w:shd w:fill="EFF4F7"/>
            <w:tcMar>
              <w:top w:w="75" w:type="dxa"/>
              <w:bottom w:w="75" w:type="dxa"/>
              <w:left w:w="100" w:type="dxa"/>
              <w:right w:w="100" w:type="dxa"/>
            </w:tcMar>
          </w:tcPr>
          <w:p>
            <w:pPr>
              <w:spacing w:after="0" w:line="252" w:lineRule="auto"/>
              <w:jc w:val="center"/>
            </w:pPr>
            <w:r>
              <w:rPr>
                <w:b w:val="0"/>
                <w:color w:val="000000"/>
                <w:sz w:val="19"/>
              </w:rPr>
              <w:t>21.23%</w:t>
            </w:r>
          </w:p>
        </w:tc>
        <w:tc>
          <w:tcPr>
            <w:tcW w:type="dxa" w:w="2736"/>
            <w:vAlign w:val="center"/>
            <w:shd w:fill="EFF4F7"/>
            <w:tcMar>
              <w:top w:w="75" w:type="dxa"/>
              <w:bottom w:w="75" w:type="dxa"/>
              <w:left w:w="100" w:type="dxa"/>
              <w:right w:w="100" w:type="dxa"/>
            </w:tcMar>
          </w:tcPr>
          <w:p>
            <w:pPr>
              <w:spacing w:after="0" w:line="252" w:lineRule="auto"/>
              <w:jc w:val="center"/>
            </w:pPr>
            <w:r>
              <w:rPr>
                <w:b w:val="0"/>
                <w:color w:val="000000"/>
                <w:sz w:val="19"/>
              </w:rPr>
              <w:t>92.90%</w:t>
            </w:r>
          </w:p>
        </w:tc>
      </w:tr>
    </w:tbl>
    <w:p>
      <w:pPr>
        <w:spacing w:after="0" w:before="0" w:line="80" w:lineRule="exact"/>
      </w:pPr>
      <w:r>
        <w:rPr>
          <w:sz w:val="8"/>
        </w:rPr>
      </w:r>
    </w:p>
    <w:p>
      <w:pPr/>
      <w:r>
        <w:t>Expanded-data test mAP50–95 is 36.41 percentage points higher than the earlier result. Each experiment chose its operating threshold on its own validation set. A controlled follow-up would evaluate both saved models on the same independently annotated real-scene test set.</w:t>
      </w:r>
    </w:p>
    <w:p>
      <w:pPr>
        <w:keepNext w:val="0"/>
        <w:spacing w:after="100"/>
        <w:jc w:val="center"/>
      </w:pPr>
      <w:r>
        <w:drawing>
          <wp:inline xmlns:a="http://schemas.openxmlformats.org/drawingml/2006/main" xmlns:pic="http://schemas.openxmlformats.org/drawingml/2006/picture">
            <wp:extent cx="6217920" cy="2926080"/>
            <wp:docPr id="6" name="Picture 6" descr="experiment comparison.png"/>
            <wp:cNvGraphicFramePr>
              <a:graphicFrameLocks noChangeAspect="1"/>
            </wp:cNvGraphicFramePr>
            <a:graphic>
              <a:graphicData uri="http://schemas.openxmlformats.org/drawingml/2006/picture">
                <pic:pic>
                  <pic:nvPicPr>
                    <pic:cNvPr id="0" name="experiment_comparison.png"/>
                    <pic:cNvPicPr/>
                  </pic:nvPicPr>
                  <pic:blipFill>
                    <a:blip r:embed="rId15"/>
                    <a:stretch>
                      <a:fillRect/>
                    </a:stretch>
                  </pic:blipFill>
                  <pic:spPr>
                    <a:xfrm>
                      <a:off x="0" y="0"/>
                      <a:ext cx="6217920" cy="2926080"/>
                    </a:xfrm>
                    <a:prstGeom prst="rect"/>
                  </pic:spPr>
                </pic:pic>
              </a:graphicData>
            </a:graphic>
          </wp:inline>
        </w:drawing>
      </w:r>
    </w:p>
    <w:p>
      <w:pPr>
        <w:pStyle w:val="Caption"/>
      </w:pPr>
      <w:r>
        <w:t>AP scores summarize precision–recall curves. Micro F1 and all-objects scores use each run’s validation-selected confidence threshold.</w:t>
      </w:r>
    </w:p>
    <w:p>
      <w:pPr>
        <w:pStyle w:val="Heading1"/>
        <w:pageBreakBefore/>
      </w:pPr>
      <w:r>
        <w:t>Final assessment and reproducibility</w:t>
      </w:r>
    </w:p>
    <w:p>
      <w:pPr/>
      <w:r>
        <w:t>The trained YOLOv8s model detects Object IDs and locations on the held-out synthetic composites, with test mAP50–95 94.26%. The strict all-objects image score is 92.90%. Some images still contain missed targets or false positives. We retain the validation-selected checkpoint and confidence threshold for inference.</w:t>
      </w:r>
    </w:p>
    <w:p>
      <w:pPr>
        <w:pStyle w:val="Heading2"/>
      </w:pPr>
      <w:r>
        <w:t>Example pixel locations</w:t>
      </w:r>
    </w:p>
    <w:p>
      <w:pPr>
        <w:pStyle w:val="Caption"/>
      </w:pPr>
      <w:r>
        <w:t>The following detections are from test_00654.jpg, the first independently sampled example. Each coordinate tuple is (x1, y1, x2, y2) in its 640 × 640 image.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744"/>
        <w:gridCol w:w="1440"/>
        <w:gridCol w:w="3384"/>
      </w:tblGrid>
      <w:tr>
        <w:trPr>
          <w:cantSplit/>
          <w:tblHeader/>
        </w:trPr>
        <w:tc>
          <w:tcPr>
            <w:tcW w:type="dxa" w:w="1656"/>
            <w:vAlign w:val="center"/>
            <w:shd w:fill="162F46"/>
            <w:tcMar>
              <w:top w:w="75" w:type="dxa"/>
              <w:bottom w:w="75" w:type="dxa"/>
              <w:left w:w="100" w:type="dxa"/>
              <w:right w:w="100" w:type="dxa"/>
            </w:tcMar>
          </w:tcPr>
          <w:p>
            <w:pPr>
              <w:spacing w:after="0" w:line="252" w:lineRule="auto"/>
            </w:pPr>
            <w:r>
              <w:rPr>
                <w:b/>
                <w:color w:val="FFFFFF"/>
                <w:sz w:val="19"/>
              </w:rPr>
              <w:t>Predicted ID</w:t>
            </w:r>
          </w:p>
        </w:tc>
        <w:tc>
          <w:tcPr>
            <w:tcW w:type="dxa" w:w="3744"/>
            <w:vAlign w:val="center"/>
            <w:shd w:fill="162F46"/>
            <w:tcMar>
              <w:top w:w="75" w:type="dxa"/>
              <w:bottom w:w="75" w:type="dxa"/>
              <w:left w:w="100" w:type="dxa"/>
              <w:right w:w="100" w:type="dxa"/>
            </w:tcMar>
          </w:tcPr>
          <w:p>
            <w:pPr>
              <w:spacing w:after="0" w:line="252" w:lineRule="auto"/>
              <w:jc w:val="center"/>
            </w:pPr>
            <w:r>
              <w:rPr>
                <w:b/>
                <w:color w:val="FFFFFF"/>
                <w:sz w:val="19"/>
              </w:rPr>
              <w:t>Official object name</w:t>
            </w:r>
          </w:p>
        </w:tc>
        <w:tc>
          <w:tcPr>
            <w:tcW w:type="dxa" w:w="1440"/>
            <w:vAlign w:val="center"/>
            <w:shd w:fill="162F46"/>
            <w:tcMar>
              <w:top w:w="75" w:type="dxa"/>
              <w:bottom w:w="75" w:type="dxa"/>
              <w:left w:w="100" w:type="dxa"/>
              <w:right w:w="100" w:type="dxa"/>
            </w:tcMar>
          </w:tcPr>
          <w:p>
            <w:pPr>
              <w:spacing w:after="0" w:line="252" w:lineRule="auto"/>
              <w:jc w:val="center"/>
            </w:pPr>
            <w:r>
              <w:rPr>
                <w:b/>
                <w:color w:val="FFFFFF"/>
                <w:sz w:val="19"/>
              </w:rPr>
              <w:t>Confidence</w:t>
            </w:r>
          </w:p>
        </w:tc>
        <w:tc>
          <w:tcPr>
            <w:tcW w:type="dxa" w:w="3384"/>
            <w:vAlign w:val="center"/>
            <w:shd w:fill="162F46"/>
            <w:tcMar>
              <w:top w:w="75" w:type="dxa"/>
              <w:bottom w:w="75" w:type="dxa"/>
              <w:left w:w="100" w:type="dxa"/>
              <w:right w:w="100" w:type="dxa"/>
            </w:tcMar>
          </w:tcPr>
          <w:p>
            <w:pPr>
              <w:spacing w:after="0" w:line="252" w:lineRule="auto"/>
              <w:jc w:val="center"/>
            </w:pPr>
            <w:r>
              <w:rPr>
                <w:b/>
                <w:color w:val="FFFFFF"/>
                <w:sz w:val="19"/>
              </w:rPr>
              <w:t>Box in pixels</w:t>
            </w:r>
          </w:p>
        </w:tc>
      </w:tr>
      <w:tr>
        <w:trPr>
          <w:cantSplit/>
        </w:trPr>
        <w:tc>
          <w:tcPr>
            <w:tcW w:type="dxa" w:w="1656"/>
            <w:vAlign w:val="center"/>
            <w:shd w:fill="EFF4F7"/>
            <w:tcMar>
              <w:top w:w="75" w:type="dxa"/>
              <w:bottom w:w="75" w:type="dxa"/>
              <w:left w:w="100" w:type="dxa"/>
              <w:right w:w="100" w:type="dxa"/>
            </w:tcMar>
          </w:tcPr>
          <w:p>
            <w:pPr>
              <w:spacing w:after="0" w:line="252" w:lineRule="auto"/>
            </w:pPr>
            <w:r>
              <w:rPr>
                <w:b w:val="0"/>
                <w:color w:val="000000"/>
                <w:sz w:val="19"/>
              </w:rPr>
              <w:t>OBJ037</w:t>
            </w:r>
          </w:p>
        </w:tc>
        <w:tc>
          <w:tcPr>
            <w:tcW w:type="dxa" w:w="3744"/>
            <w:vAlign w:val="center"/>
            <w:shd w:fill="EFF4F7"/>
            <w:tcMar>
              <w:top w:w="75" w:type="dxa"/>
              <w:bottom w:w="75" w:type="dxa"/>
              <w:left w:w="100" w:type="dxa"/>
              <w:right w:w="100" w:type="dxa"/>
            </w:tcMar>
          </w:tcPr>
          <w:p>
            <w:pPr>
              <w:spacing w:after="0" w:line="252" w:lineRule="auto"/>
              <w:jc w:val="center"/>
            </w:pPr>
            <w:r>
              <w:rPr>
                <w:b w:val="0"/>
                <w:color w:val="000000"/>
                <w:sz w:val="19"/>
              </w:rPr>
              <w:t>Candle</w:t>
            </w:r>
          </w:p>
        </w:tc>
        <w:tc>
          <w:tcPr>
            <w:tcW w:type="dxa" w:w="1440"/>
            <w:vAlign w:val="center"/>
            <w:shd w:fill="EFF4F7"/>
            <w:tcMar>
              <w:top w:w="75" w:type="dxa"/>
              <w:bottom w:w="75" w:type="dxa"/>
              <w:left w:w="100" w:type="dxa"/>
              <w:right w:w="100" w:type="dxa"/>
            </w:tcMar>
          </w:tcPr>
          <w:p>
            <w:pPr>
              <w:spacing w:after="0" w:line="252" w:lineRule="auto"/>
              <w:jc w:val="center"/>
            </w:pPr>
            <w:r>
              <w:rPr>
                <w:b w:val="0"/>
                <w:color w:val="000000"/>
                <w:sz w:val="19"/>
              </w:rPr>
              <w:t>0.97</w:t>
            </w:r>
          </w:p>
        </w:tc>
        <w:tc>
          <w:tcPr>
            <w:tcW w:type="dxa" w:w="3384"/>
            <w:vAlign w:val="center"/>
            <w:shd w:fill="EFF4F7"/>
            <w:tcMar>
              <w:top w:w="75" w:type="dxa"/>
              <w:bottom w:w="75" w:type="dxa"/>
              <w:left w:w="100" w:type="dxa"/>
              <w:right w:w="100" w:type="dxa"/>
            </w:tcMar>
          </w:tcPr>
          <w:p>
            <w:pPr>
              <w:spacing w:after="0" w:line="252" w:lineRule="auto"/>
              <w:jc w:val="center"/>
            </w:pPr>
            <w:r>
              <w:rPr>
                <w:b w:val="0"/>
                <w:color w:val="000000"/>
                <w:sz w:val="19"/>
              </w:rPr>
              <w:t>456, 448, 606, 610</w:t>
            </w:r>
          </w:p>
        </w:tc>
      </w:tr>
      <w:tr>
        <w:trPr>
          <w:cantSplit/>
        </w:trPr>
        <w:tc>
          <w:tcPr>
            <w:tcW w:type="dxa" w:w="1656"/>
            <w:vAlign w:val="center"/>
            <w:shd w:fill="FFFFFF"/>
            <w:tcMar>
              <w:top w:w="75" w:type="dxa"/>
              <w:bottom w:w="75" w:type="dxa"/>
              <w:left w:w="100" w:type="dxa"/>
              <w:right w:w="100" w:type="dxa"/>
            </w:tcMar>
          </w:tcPr>
          <w:p>
            <w:pPr>
              <w:spacing w:after="0" w:line="252" w:lineRule="auto"/>
            </w:pPr>
            <w:r>
              <w:rPr>
                <w:b w:val="0"/>
                <w:color w:val="000000"/>
                <w:sz w:val="19"/>
              </w:rPr>
              <w:t>OBJ016</w:t>
            </w:r>
          </w:p>
        </w:tc>
        <w:tc>
          <w:tcPr>
            <w:tcW w:type="dxa" w:w="3744"/>
            <w:vAlign w:val="center"/>
            <w:shd w:fill="FFFFFF"/>
            <w:tcMar>
              <w:top w:w="75" w:type="dxa"/>
              <w:bottom w:w="75" w:type="dxa"/>
              <w:left w:w="100" w:type="dxa"/>
              <w:right w:w="100" w:type="dxa"/>
            </w:tcMar>
          </w:tcPr>
          <w:p>
            <w:pPr>
              <w:spacing w:after="0" w:line="252" w:lineRule="auto"/>
              <w:jc w:val="center"/>
            </w:pPr>
            <w:r>
              <w:rPr>
                <w:b w:val="0"/>
                <w:color w:val="000000"/>
                <w:sz w:val="19"/>
              </w:rPr>
              <w:t>Sandisk Portable SSD</w:t>
            </w:r>
          </w:p>
        </w:tc>
        <w:tc>
          <w:tcPr>
            <w:tcW w:type="dxa" w:w="1440"/>
            <w:vAlign w:val="center"/>
            <w:shd w:fill="FFFFFF"/>
            <w:tcMar>
              <w:top w:w="75" w:type="dxa"/>
              <w:bottom w:w="75" w:type="dxa"/>
              <w:left w:w="100" w:type="dxa"/>
              <w:right w:w="100" w:type="dxa"/>
            </w:tcMar>
          </w:tcPr>
          <w:p>
            <w:pPr>
              <w:spacing w:after="0" w:line="252" w:lineRule="auto"/>
              <w:jc w:val="center"/>
            </w:pPr>
            <w:r>
              <w:rPr>
                <w:b w:val="0"/>
                <w:color w:val="000000"/>
                <w:sz w:val="19"/>
              </w:rPr>
              <w:t>0.95</w:t>
            </w:r>
          </w:p>
        </w:tc>
        <w:tc>
          <w:tcPr>
            <w:tcW w:type="dxa" w:w="3384"/>
            <w:vAlign w:val="center"/>
            <w:shd w:fill="FFFFFF"/>
            <w:tcMar>
              <w:top w:w="75" w:type="dxa"/>
              <w:bottom w:w="75" w:type="dxa"/>
              <w:left w:w="100" w:type="dxa"/>
              <w:right w:w="100" w:type="dxa"/>
            </w:tcMar>
          </w:tcPr>
          <w:p>
            <w:pPr>
              <w:spacing w:after="0" w:line="252" w:lineRule="auto"/>
              <w:jc w:val="center"/>
            </w:pPr>
            <w:r>
              <w:rPr>
                <w:b w:val="0"/>
                <w:color w:val="000000"/>
                <w:sz w:val="19"/>
              </w:rPr>
              <w:t>92, 56, 215, 227</w:t>
            </w:r>
          </w:p>
        </w:tc>
      </w:tr>
      <w:tr>
        <w:trPr>
          <w:cantSplit/>
        </w:trPr>
        <w:tc>
          <w:tcPr>
            <w:tcW w:type="dxa" w:w="1656"/>
            <w:vAlign w:val="center"/>
            <w:shd w:fill="EFF4F7"/>
            <w:tcMar>
              <w:top w:w="75" w:type="dxa"/>
              <w:bottom w:w="75" w:type="dxa"/>
              <w:left w:w="100" w:type="dxa"/>
              <w:right w:w="100" w:type="dxa"/>
            </w:tcMar>
          </w:tcPr>
          <w:p>
            <w:pPr>
              <w:spacing w:after="0" w:line="252" w:lineRule="auto"/>
            </w:pPr>
            <w:r>
              <w:rPr>
                <w:b w:val="0"/>
                <w:color w:val="000000"/>
                <w:sz w:val="19"/>
              </w:rPr>
              <w:t>OBJ006</w:t>
            </w:r>
          </w:p>
        </w:tc>
        <w:tc>
          <w:tcPr>
            <w:tcW w:type="dxa" w:w="3744"/>
            <w:vAlign w:val="center"/>
            <w:shd w:fill="EFF4F7"/>
            <w:tcMar>
              <w:top w:w="75" w:type="dxa"/>
              <w:bottom w:w="75" w:type="dxa"/>
              <w:left w:w="100" w:type="dxa"/>
              <w:right w:w="100" w:type="dxa"/>
            </w:tcMar>
          </w:tcPr>
          <w:p>
            <w:pPr>
              <w:spacing w:after="0" w:line="252" w:lineRule="auto"/>
              <w:jc w:val="center"/>
            </w:pPr>
            <w:r>
              <w:rPr>
                <w:b w:val="0"/>
                <w:color w:val="000000"/>
                <w:sz w:val="19"/>
              </w:rPr>
              <w:t>Capybara Toy</w:t>
            </w:r>
          </w:p>
        </w:tc>
        <w:tc>
          <w:tcPr>
            <w:tcW w:type="dxa" w:w="1440"/>
            <w:vAlign w:val="center"/>
            <w:shd w:fill="EFF4F7"/>
            <w:tcMar>
              <w:top w:w="75" w:type="dxa"/>
              <w:bottom w:w="75" w:type="dxa"/>
              <w:left w:w="100" w:type="dxa"/>
              <w:right w:w="100" w:type="dxa"/>
            </w:tcMar>
          </w:tcPr>
          <w:p>
            <w:pPr>
              <w:spacing w:after="0" w:line="252" w:lineRule="auto"/>
              <w:jc w:val="center"/>
            </w:pPr>
            <w:r>
              <w:rPr>
                <w:b w:val="0"/>
                <w:color w:val="000000"/>
                <w:sz w:val="19"/>
              </w:rPr>
              <w:t>0.94</w:t>
            </w:r>
          </w:p>
        </w:tc>
        <w:tc>
          <w:tcPr>
            <w:tcW w:type="dxa" w:w="3384"/>
            <w:vAlign w:val="center"/>
            <w:shd w:fill="EFF4F7"/>
            <w:tcMar>
              <w:top w:w="75" w:type="dxa"/>
              <w:bottom w:w="75" w:type="dxa"/>
              <w:left w:w="100" w:type="dxa"/>
              <w:right w:w="100" w:type="dxa"/>
            </w:tcMar>
          </w:tcPr>
          <w:p>
            <w:pPr>
              <w:spacing w:after="0" w:line="252" w:lineRule="auto"/>
              <w:jc w:val="center"/>
            </w:pPr>
            <w:r>
              <w:rPr>
                <w:b w:val="0"/>
                <w:color w:val="000000"/>
                <w:sz w:val="19"/>
              </w:rPr>
              <w:t>213, 327, 373, 449</w:t>
            </w:r>
          </w:p>
        </w:tc>
      </w:tr>
    </w:tbl>
    <w:p>
      <w:pPr>
        <w:spacing w:after="0" w:before="0" w:line="80" w:lineRule="exact"/>
      </w:pPr>
      <w:r>
        <w:rPr>
          <w:sz w:val="8"/>
        </w:rPr>
      </w:r>
    </w:p>
    <w:p>
      <w:pPr>
        <w:pStyle w:val="Caption"/>
      </w:pPr>
      <w:r>
        <w:t>Class-aware matching at IoU ≥ 0.50 gives 3 correct detections, 0 false positives and 0 missed targets in this example. Exact coordinates and IDs for every test image are saved in the detection CSV.</w:t>
      </w:r>
    </w:p>
    <w:p>
      <w:pPr>
        <w:pStyle w:val="Heading2"/>
      </w:pPr>
      <w:r>
        <w:t>Limits and next steps</w:t>
      </w:r>
    </w:p>
    <w:p>
      <w:pPr/>
      <w:r>
        <w:t>Repeated synthetic crops do not create independent photographs. Exact deduplication cannot establish independence between nearby captures or the same physical object. Crop boundaries, retained context, partial objects and approximate boxes can affect learning. Small native targets can become blurred when enlarged. Annotations cover the assigned folder target; incidental classes inside crops are not exhaustively labelled. Human review remains necessary to assess label quality.</w:t>
      </w:r>
    </w:p>
    <w:p>
      <w:pPr/>
      <w:r>
        <w:t>We have not evaluated independently photographed real multi-object scenes. The next experiment should add a separately annotated real-scene test set and realistic occlusion and backgrounds. Current scores should be interpreted as synthetic benchmark performance. Checkpoint selection compares epochs of this YOLOv8s run; it does not establish superiority over other YOLOv8 architectures.</w:t>
      </w:r>
    </w:p>
    <w:p>
      <w:pPr>
        <w:pStyle w:val="Heading2"/>
      </w:pPr>
      <w:r>
        <w:t>Code and experiment record</w:t>
      </w:r>
    </w:p>
    <w:p>
      <w:pPr/>
      <w:r>
        <w:t xml:space="preserve">GitHub repository: </w:t>
      </w:r>
      <w:hyperlink r:id="rId16">
        <w:r>
          <w:rPr>
            <w:color w:val="0563C1"/>
          </w:rPr>
          <w:t>https://github.com/zhuhongan/milestone2-object-detection</w:t>
        </w:r>
      </w:hyperlink>
    </w:p>
    <w:p>
      <w:pPr/>
      <w:r>
        <w:t>The private repository contains generation, validation, training, inference and reporting code, the final IDs, source annotations and this report. Generated images and weights remain outside Git. Training histories, package versions, checkpoint hashes, manifests and all test detections are archived. Pipeline tests passed, and all 10,000 generated image/label pairs passed validation. Colab artifacts were downloaded in checksum-verified parts and the GPU was released.</w:t>
      </w:r>
    </w:p>
    <w:p>
      <w:pPr>
        <w:pStyle w:val="Caption"/>
      </w:pPr>
      <w:r>
        <w:t>Inference: run predict.py with best.pt, your image and operating_threshold.json. Its annotated image and detections.json provide final IDs, official names, confidences and pixel locations.</w:t>
      </w:r>
    </w:p>
    <w:p>
      <w:pPr>
        <w:pStyle w:val="Heading2"/>
      </w:pPr>
      <w:r>
        <w:t>References</w:t>
      </w:r>
    </w:p>
    <w:p>
      <w:pPr>
        <w:pStyle w:val="Caption"/>
      </w:pPr>
      <w:hyperlink r:id="rId17">
        <w:r>
          <w:rPr>
            <w:color w:val="0563C1"/>
          </w:rPr>
          <w:t>Final merged dataset</w:t>
        </w:r>
      </w:hyperlink>
    </w:p>
    <w:p>
      <w:pPr>
        <w:pStyle w:val="Caption"/>
      </w:pPr>
      <w:hyperlink r:id="rId18">
        <w:r>
          <w:rPr>
            <w:color w:val="0563C1"/>
          </w:rPr>
          <w:t>Final Object ID sheet</w:t>
        </w:r>
      </w:hyperlink>
    </w:p>
    <w:p>
      <w:pPr>
        <w:pStyle w:val="Caption"/>
      </w:pPr>
      <w:hyperlink r:id="rId19">
        <w:r>
          <w:rPr>
            <w:color w:val="0563C1"/>
          </w:rPr>
          <w:t>Ultralytics YOLOv8 model documentation</w:t>
        </w:r>
      </w:hyperlink>
    </w:p>
    <w:p>
      <w:pPr>
        <w:pStyle w:val="Caption"/>
      </w:pPr>
      <w:hyperlink r:id="rId20">
        <w:r>
          <w:rPr>
            <w:color w:val="0563C1"/>
          </w:rPr>
          <w:t>Ultralytics YOLO detection dataset format</w:t>
        </w:r>
      </w:hyperlink>
    </w:p>
    <w:p>
      <w:pPr>
        <w:pStyle w:val="Caption"/>
      </w:pPr>
      <w:hyperlink r:id="rId21">
        <w:r>
          <w:rPr>
            <w:color w:val="0563C1"/>
          </w:rPr>
          <w:t>Grounding DINO annotation proposal model</w:t>
        </w:r>
      </w:hyperlink>
    </w:p>
    <w:sectPr w:rsidR="00FC693F" w:rsidRPr="0006063C" w:rsidSect="00034616">
      <w:footerReference w:type="default" r:id="rId9"/>
      <w:pgSz w:w="12240" w:h="15840"/>
      <w:pgMar w:top="720" w:right="864" w:bottom="720" w:left="864" w:header="720"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Milestone 2    YOLOv8s    Seed 42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line="259" w:lineRule="auto"/>
      <w:outlineLvl w:val="0"/>
    </w:pPr>
    <w:rPr>
      <w:rFonts w:asciiTheme="majorHAnsi" w:eastAsiaTheme="majorEastAsia" w:hAnsiTheme="majorHAnsi" w:cstheme="majorBidi" w:ascii="Arial" w:hAnsi="Arial"/>
      <w:b/>
      <w:bCs/>
      <w:i w:val="0"/>
      <w:color w:val="000000"/>
      <w:sz w:val="40"/>
      <w:szCs w:val="28"/>
    </w:rPr>
  </w:style>
  <w:style w:type="paragraph" w:styleId="Heading2">
    <w:name w:val="heading 2"/>
    <w:basedOn w:val="Normal"/>
    <w:next w:val="Normal"/>
    <w:link w:val="Heading2Char"/>
    <w:uiPriority w:val="9"/>
    <w:unhideWhenUsed/>
    <w:qFormat/>
    <w:rsid w:val="00FC693F"/>
    <w:pPr>
      <w:keepNext/>
      <w:keepLines/>
      <w:spacing w:before="140" w:after="140" w:line="259" w:lineRule="auto"/>
      <w:outlineLvl w:val="1"/>
    </w:pPr>
    <w:rPr>
      <w:rFonts w:asciiTheme="majorHAnsi" w:eastAsiaTheme="majorEastAsia" w:hAnsiTheme="majorHAnsi" w:cstheme="majorBidi" w:ascii="Arial" w:hAnsi="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4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github.com/zhuhongan/milestone2-object-detection" TargetMode="External"/><Relationship Id="rId17" Type="http://schemas.openxmlformats.org/officeDocument/2006/relationships/hyperlink" Target="https://drive.google.com/drive/folders/1GKLyP17tm5JC0XENv25GeoGgYynm97LS" TargetMode="External"/><Relationship Id="rId18" Type="http://schemas.openxmlformats.org/officeDocument/2006/relationships/hyperlink" Target="https://docs.google.com/spreadsheets/d/1OCBWlTK8JSzrgUxON3thJWAKRKU2Pi-V9Ssn2BbDxds/edit#gid=0" TargetMode="External"/><Relationship Id="rId19" Type="http://schemas.openxmlformats.org/officeDocument/2006/relationships/hyperlink" Target="https://docs.ultralytics.com/models/yolov8/" TargetMode="External"/><Relationship Id="rId20" Type="http://schemas.openxmlformats.org/officeDocument/2006/relationships/hyperlink" Target="https://docs.ultralytics.com/datasets/detect/" TargetMode="External"/><Relationship Id="rId21" Type="http://schemas.openxmlformats.org/officeDocument/2006/relationships/hyperlink" Target="https://github.com/IDEA-Research/GroundingD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2 Object Detection with YOLOv8</dc:title>
  <dc:subject/>
  <dc:creator>Project group</dc:creator>
  <cp:keywords/>
  <dc:description>generated by python-docx</dc:description>
  <cp:lastModifiedBy/>
  <cp:revision>1</cp:revision>
  <dcterms:created xsi:type="dcterms:W3CDTF">2026-10-09T18:51:10Z</dcterms:created>
  <dcterms:modified xsi:type="dcterms:W3CDTF">2026-10-09T18:51:10Z</dcterms:modified>
  <cp:category/>
</cp:coreProperties>
</file>