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DE9" w:rsidRDefault="008D5DE9" w:rsidP="008D5DE9">
      <w:pPr>
        <w:pStyle w:val="Heading1"/>
        <w:ind w:firstLineChars="200" w:firstLine="562"/>
        <w:jc w:val="left"/>
        <w:rPr>
          <w:rFonts w:ascii="STZhongsong" w:eastAsia="STZhongsong" w:hAnsi="STZhongsong"/>
          <w:b w:val="0"/>
          <w:sz w:val="28"/>
          <w:szCs w:val="28"/>
        </w:rPr>
      </w:pPr>
      <w:bookmarkStart w:id="0" w:name="_Toc218257899"/>
      <w:r>
        <w:rPr>
          <w:rFonts w:ascii="SimHei" w:eastAsia="SimHei" w:hAnsi="仿宋" w:hint="eastAsia"/>
          <w:sz w:val="28"/>
        </w:rPr>
        <w:t>附件1：</w:t>
      </w:r>
      <w:r>
        <w:rPr>
          <w:rFonts w:ascii="STZhongsong" w:eastAsia="STZhongsong" w:hAnsi="STZhongsong" w:hint="eastAsia"/>
          <w:b w:val="0"/>
          <w:sz w:val="28"/>
          <w:szCs w:val="28"/>
        </w:rPr>
        <w:t>项目需求说明书</w:t>
      </w:r>
    </w:p>
    <w:p w:rsidR="008D5DE9" w:rsidRPr="00A26CEF" w:rsidRDefault="008D5DE9" w:rsidP="008D5DE9">
      <w:pPr>
        <w:rPr>
          <w:rFonts w:hint="eastAsia"/>
          <w:b/>
          <w:kern w:val="44"/>
        </w:rPr>
      </w:pPr>
    </w:p>
    <w:bookmarkEnd w:id="0"/>
    <w:p w:rsidR="008D5DE9" w:rsidRDefault="008D5DE9" w:rsidP="008D5DE9">
      <w:pPr>
        <w:numPr>
          <w:ilvl w:val="0"/>
          <w:numId w:val="1"/>
        </w:numPr>
        <w:jc w:val="center"/>
        <w:rPr>
          <w:rFonts w:hint="eastAsia"/>
        </w:rPr>
      </w:pPr>
      <w:r>
        <w:rPr>
          <w:rFonts w:hint="eastAsia"/>
        </w:rPr>
        <w:t>历史资料（纸质扫描件、电子资料）入库，所有资料可实现根据关键词批量入库；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各矿种的产业政策、规范；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后续每年探矿权、采矿权的开工报告、年检资料等可导入软件系统；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矿权延续、变更等资料可导入软件系统；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矿山储量动态检测模块；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绿色矿山建设模块；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矿山地质环境远程监控、地质灾害远程监控模块；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各矿山的安全生产监控可纳入本软件系统；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部分功能模块需设置密码或权限才能访问的权限；</w:t>
      </w:r>
    </w:p>
    <w:p w:rsidR="008D5DE9" w:rsidRDefault="008D5DE9" w:rsidP="008D5DE9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软件可实现补充、增加功能（即升级）。</w:t>
      </w:r>
    </w:p>
    <w:p w:rsidR="008D5DE9" w:rsidRDefault="008D5DE9" w:rsidP="008D5DE9">
      <w:r>
        <w:rPr>
          <w:rFonts w:hint="eastAsia"/>
        </w:rPr>
        <w:t>11</w:t>
      </w:r>
      <w:r>
        <w:rPr>
          <w:rFonts w:hint="eastAsia"/>
        </w:rPr>
        <w:t>、软件知识产权需为“内蒙古地质矿产勘查院”，软件开发公司可以署名。</w:t>
      </w:r>
    </w:p>
    <w:p w:rsidR="008D5DE9" w:rsidRDefault="008D5DE9" w:rsidP="008D5DE9">
      <w:pPr>
        <w:pStyle w:val="Heading1"/>
        <w:ind w:firstLineChars="200" w:firstLine="640"/>
        <w:jc w:val="left"/>
        <w:rPr>
          <w:rFonts w:ascii="SimHei" w:eastAsia="SimHei" w:hAnsi="仿宋" w:hint="eastAsia"/>
          <w:sz w:val="28"/>
        </w:rPr>
      </w:pPr>
      <w:r>
        <w:br w:type="page"/>
      </w:r>
      <w:r>
        <w:rPr>
          <w:rFonts w:ascii="SimHei" w:eastAsia="SimHei" w:hAnsi="仿宋" w:hint="eastAsia"/>
          <w:sz w:val="28"/>
        </w:rPr>
        <w:lastRenderedPageBreak/>
        <w:t>附件2：项目进度表</w:t>
      </w:r>
    </w:p>
    <w:tbl>
      <w:tblPr>
        <w:tblW w:w="4968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1"/>
        <w:gridCol w:w="1187"/>
        <w:gridCol w:w="692"/>
        <w:gridCol w:w="5086"/>
        <w:gridCol w:w="447"/>
      </w:tblGrid>
      <w:tr w:rsidR="008D5DE9" w:rsidRPr="000721CA" w:rsidTr="008E11B2">
        <w:trPr>
          <w:trHeight w:val="325"/>
        </w:trPr>
        <w:tc>
          <w:tcPr>
            <w:tcW w:w="5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  <w:r w:rsidRPr="000721CA">
              <w:rPr>
                <w:rFonts w:ascii="等线" w:eastAsia="等线" w:hAnsi="等线" w:cs="SimSun" w:hint="eastAsia"/>
                <w:b/>
                <w:bCs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7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  <w:r w:rsidRPr="000721CA">
              <w:rPr>
                <w:rFonts w:ascii="等线" w:eastAsia="等线" w:hAnsi="等线" w:cs="SimSun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4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  <w:r w:rsidRPr="000721CA">
              <w:rPr>
                <w:rFonts w:ascii="等线" w:eastAsia="等线" w:hAnsi="等线" w:cs="SimSun" w:hint="eastAsia"/>
                <w:b/>
                <w:bCs/>
                <w:kern w:val="0"/>
                <w:sz w:val="24"/>
                <w:szCs w:val="24"/>
              </w:rPr>
              <w:t>功能</w:t>
            </w:r>
          </w:p>
        </w:tc>
        <w:tc>
          <w:tcPr>
            <w:tcW w:w="30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  <w:r w:rsidRPr="000721CA">
              <w:rPr>
                <w:rFonts w:ascii="等线" w:eastAsia="等线" w:hAnsi="等线" w:cs="SimSun" w:hint="eastAsia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等线" w:eastAsia="等线" w:hAnsi="等线" w:cs="SimSun" w:hint="eastAsia"/>
                <w:b/>
                <w:bCs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325"/>
        </w:trPr>
        <w:tc>
          <w:tcPr>
            <w:tcW w:w="5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0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等线" w:eastAsia="等线" w:hAnsi="等线" w:cs="SimSun"/>
                <w:b/>
                <w:bCs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用户管理平台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用户信息管理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建立用户数据库，基于用户唯一ID，维护用户属性，包括身份信息、有关联系信息。</w:t>
            </w:r>
          </w:p>
        </w:tc>
        <w:tc>
          <w:tcPr>
            <w:tcW w:w="27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tbRlV"/>
          </w:tcPr>
          <w:p w:rsidR="008D5DE9" w:rsidRPr="000721CA" w:rsidRDefault="008D5DE9" w:rsidP="008E11B2">
            <w:pPr>
              <w:widowControl/>
              <w:spacing w:line="320" w:lineRule="exact"/>
              <w:ind w:left="113" w:right="113"/>
              <w:jc w:val="center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项目</w:t>
            </w:r>
            <w:r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一</w:t>
            </w: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期（时长1个月）</w:t>
            </w: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用户角色，部门管理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用户角色定义，用户部门与组织架构定义。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权限管理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 xml:space="preserve">建立稳健、确切的系统内用户权限管理，为不同用户角色赋予与其职责权利相对应的权限，可以灵活配置用户角色权限。 </w:t>
            </w:r>
          </w:p>
        </w:tc>
        <w:tc>
          <w:tcPr>
            <w:tcW w:w="2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系统管理与运营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日志与运行数据管理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存储与分析系统运行中的用户、程序、数据库等各项日志，包括用户、每条数据的访问日志，确保数据操作有迹可循，保证数据安全。</w:t>
            </w:r>
          </w:p>
        </w:tc>
        <w:tc>
          <w:tcPr>
            <w:tcW w:w="27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tbRlV"/>
          </w:tcPr>
          <w:p w:rsidR="008D5DE9" w:rsidRPr="000721CA" w:rsidRDefault="008D5DE9" w:rsidP="008E11B2">
            <w:pPr>
              <w:widowControl/>
              <w:spacing w:line="320" w:lineRule="exact"/>
              <w:ind w:left="113" w:right="113"/>
              <w:jc w:val="center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项目二期（时长1个月）</w:t>
            </w: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菜单管理及定制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动态管理系统各项功能菜单，菜单项及页面操作按钮与权限挂钩，确保功能权限的灵活配置以及从操作层面保证数据访问安全。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资料管理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历史资料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（1）历史资料（纸质扫描件、电子资料）批量入库；（2）根据关键词查询历史资料；（3）历史资料手工添加，更改，删除。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政策规范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（1）政策规范批量入库；（2）根据关键词查询资料；（3）历史资料手工添加，更改，删除。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开工、年检资料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（1）开工、年检批量入库；（2）根据关键词查询资料；</w:t>
            </w: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br/>
              <w:t>（3）开工，年检资料手工添加，更改，删除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产权延续、变更资料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（1）产权延续、变更资料批量入库</w:t>
            </w: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br/>
              <w:t>（2）根据关键词查询资料</w:t>
            </w: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br/>
              <w:t>（3）产权延续，变更资料手工添加，更改，删除。</w:t>
            </w:r>
          </w:p>
        </w:tc>
        <w:tc>
          <w:tcPr>
            <w:tcW w:w="2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矿山存储动态监测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数据导入导出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（1）对接外部检测系统进行数据导入；（2）检测数据导出。</w:t>
            </w:r>
          </w:p>
        </w:tc>
        <w:tc>
          <w:tcPr>
            <w:tcW w:w="27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tbRlV"/>
          </w:tcPr>
          <w:p w:rsidR="008D5DE9" w:rsidRPr="000721CA" w:rsidRDefault="008D5DE9" w:rsidP="008E11B2">
            <w:pPr>
              <w:widowControl/>
              <w:spacing w:line="320" w:lineRule="exact"/>
              <w:ind w:left="113" w:right="113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项目三期（时长1个月）</w:t>
            </w: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数据分析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对导入数据进行简单分类、报表分析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lastRenderedPageBreak/>
              <w:t>绿色矿山建设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数据导入导出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（1）对接外部检测系统进行数据导入；（2）数据导出。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数据分析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对导入数据进行简单分类、报表分析</w:t>
            </w:r>
          </w:p>
        </w:tc>
        <w:tc>
          <w:tcPr>
            <w:tcW w:w="2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远程监控</w:t>
            </w: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地质环境远程监控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（1）对接外部监控设备，获取监控数据；（2）播放监控数据；（3）接受监控报警信息。</w:t>
            </w:r>
          </w:p>
        </w:tc>
        <w:tc>
          <w:tcPr>
            <w:tcW w:w="271" w:type="pct"/>
            <w:vMerge w:val="restart"/>
            <w:tcBorders>
              <w:top w:val="nil"/>
              <w:left w:val="nil"/>
              <w:right w:val="single" w:sz="4" w:space="0" w:color="auto"/>
            </w:tcBorders>
            <w:textDirection w:val="tbRlV"/>
          </w:tcPr>
          <w:p w:rsidR="008D5DE9" w:rsidRPr="000721CA" w:rsidRDefault="008D5DE9" w:rsidP="008E11B2">
            <w:pPr>
              <w:widowControl/>
              <w:spacing w:line="320" w:lineRule="exact"/>
              <w:ind w:left="113" w:right="113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项目四期（时长1个月）</w:t>
            </w: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地质灾害远程监控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（1）对接外部监控设备，获取监控数据；（2）播放监控数据；（3）接受监控报警信息。</w:t>
            </w:r>
          </w:p>
        </w:tc>
        <w:tc>
          <w:tcPr>
            <w:tcW w:w="271" w:type="pct"/>
            <w:vMerge/>
            <w:tcBorders>
              <w:left w:val="nil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  <w:tr w:rsidR="008D5DE9" w:rsidRPr="000721CA" w:rsidTr="008E11B2">
        <w:trPr>
          <w:trHeight w:val="20"/>
        </w:trPr>
        <w:tc>
          <w:tcPr>
            <w:tcW w:w="5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</w:p>
        </w:tc>
        <w:tc>
          <w:tcPr>
            <w:tcW w:w="7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center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各个矿山安全监控</w:t>
            </w:r>
          </w:p>
        </w:tc>
        <w:tc>
          <w:tcPr>
            <w:tcW w:w="30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/>
                <w:kern w:val="0"/>
                <w:sz w:val="24"/>
                <w:szCs w:val="24"/>
              </w:rPr>
            </w:pPr>
            <w:r w:rsidRPr="000721CA"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  <w:t>（1）对接外部监控设备，获取监控数据；（2）播放监控画面、视频；（3）接受监控报警信息。</w:t>
            </w:r>
          </w:p>
        </w:tc>
        <w:tc>
          <w:tcPr>
            <w:tcW w:w="27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D5DE9" w:rsidRPr="000721CA" w:rsidRDefault="008D5DE9" w:rsidP="008E11B2">
            <w:pPr>
              <w:widowControl/>
              <w:spacing w:line="320" w:lineRule="exact"/>
              <w:jc w:val="left"/>
              <w:rPr>
                <w:rFonts w:ascii="Microsoft YaHei" w:eastAsia="Microsoft YaHei" w:hAnsi="Microsoft YaHei" w:cs="SimSun" w:hint="eastAsia"/>
                <w:kern w:val="0"/>
                <w:sz w:val="24"/>
                <w:szCs w:val="24"/>
              </w:rPr>
            </w:pPr>
          </w:p>
        </w:tc>
      </w:tr>
    </w:tbl>
    <w:p w:rsidR="008D5DE9" w:rsidRPr="000721CA" w:rsidRDefault="008D5DE9" w:rsidP="008D5DE9">
      <w:pPr>
        <w:rPr>
          <w:rFonts w:hint="eastAsia"/>
          <w:sz w:val="24"/>
          <w:szCs w:val="24"/>
        </w:rPr>
      </w:pPr>
    </w:p>
    <w:p w:rsidR="00564FAF" w:rsidRDefault="00564FAF">
      <w:bookmarkStart w:id="1" w:name="_GoBack"/>
      <w:bookmarkEnd w:id="1"/>
    </w:p>
    <w:sectPr w:rsidR="00564FAF">
      <w:footerReference w:type="default" r:id="rId5"/>
      <w:footerReference w:type="first" r:id="rId6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STZhongsong">
    <w:altName w:val="Arial Unicode MS"/>
    <w:charset w:val="86"/>
    <w:family w:val="auto"/>
    <w:pitch w:val="default"/>
    <w:sig w:usb0="00000000" w:usb1="080F0000" w:usb2="00000000" w:usb3="00000000" w:csb0="0004009F" w:csb1="DFD7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D" w:rsidRDefault="008D5DE9">
    <w:pPr>
      <w:pStyle w:val="Footer"/>
      <w:jc w:val="center"/>
    </w:pP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3</w:t>
    </w:r>
    <w:r>
      <w:rPr>
        <w:kern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E3D" w:rsidRDefault="008D5DE9">
    <w:pPr>
      <w:pStyle w:val="Footer"/>
      <w:tabs>
        <w:tab w:val="left" w:pos="5197"/>
      </w:tabs>
      <w:jc w:val="center"/>
    </w:pP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noProof/>
        <w:kern w:val="0"/>
      </w:rPr>
      <w:t>1</w:t>
    </w:r>
    <w:r>
      <w:rPr>
        <w:kern w:val="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EBCD"/>
    <w:multiLevelType w:val="singleLevel"/>
    <w:tmpl w:val="1A1CEB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E9"/>
    <w:rsid w:val="00564FAF"/>
    <w:rsid w:val="008D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C4D8B-1138-4ED5-982A-DC5BA913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DE9"/>
    <w:pPr>
      <w:widowControl w:val="0"/>
      <w:snapToGrid w:val="0"/>
      <w:spacing w:after="0" w:line="240" w:lineRule="auto"/>
      <w:jc w:val="both"/>
    </w:pPr>
    <w:rPr>
      <w:rFonts w:ascii="Times New Roman" w:eastAsia="方正仿宋_GBK" w:hAnsi="Times New Roman" w:cs="Times New Roman"/>
      <w:kern w:val="2"/>
      <w:sz w:val="32"/>
      <w:szCs w:val="20"/>
    </w:rPr>
  </w:style>
  <w:style w:type="paragraph" w:styleId="Heading1">
    <w:name w:val="heading 1"/>
    <w:basedOn w:val="Normal"/>
    <w:next w:val="Normal"/>
    <w:link w:val="Heading1Char"/>
    <w:qFormat/>
    <w:rsid w:val="008D5DE9"/>
    <w:pPr>
      <w:keepNext/>
      <w:keepLines/>
      <w:adjustRightInd w:val="0"/>
      <w:outlineLvl w:val="0"/>
    </w:pPr>
    <w:rPr>
      <w:b/>
      <w:kern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DE9"/>
    <w:rPr>
      <w:rFonts w:ascii="Times New Roman" w:eastAsia="方正仿宋_GBK" w:hAnsi="Times New Roman" w:cs="Times New Roman"/>
      <w:b/>
      <w:kern w:val="44"/>
      <w:sz w:val="32"/>
      <w:szCs w:val="20"/>
    </w:rPr>
  </w:style>
  <w:style w:type="paragraph" w:styleId="Footer">
    <w:name w:val="footer"/>
    <w:basedOn w:val="Normal"/>
    <w:link w:val="FooterChar"/>
    <w:rsid w:val="008D5DE9"/>
    <w:pP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D5DE9"/>
    <w:rPr>
      <w:rFonts w:ascii="Times New Roman" w:eastAsia="方正仿宋_GBK" w:hAnsi="Times New Roman" w:cs="Times New Roman"/>
      <w:kern w:val="2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Lin</dc:creator>
  <cp:keywords/>
  <dc:description/>
  <cp:lastModifiedBy>Tao Lin</cp:lastModifiedBy>
  <cp:revision>1</cp:revision>
  <dcterms:created xsi:type="dcterms:W3CDTF">2019-09-09T01:58:00Z</dcterms:created>
  <dcterms:modified xsi:type="dcterms:W3CDTF">2019-09-09T02:00:00Z</dcterms:modified>
</cp:coreProperties>
</file>