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900" w:after="400" w:line="276" w:lineRule="auto"/>
        <w:jc w:val="center"/>
      </w:pPr>
      <w:r>
        <w:rPr>
          <w:rFonts w:ascii="Arial" w:hAnsi="Arial" w:eastAsia="Hiragino Sans GB"/>
          <w:b/>
          <w:color w:val="D39B2A"/>
          <w:sz w:val="20"/>
        </w:rPr>
        <w:t>《吃法》短视频推广策略简报</w:t>
      </w:r>
    </w:p>
    <w:p>
      <w:pPr>
        <w:keepNext w:val="0"/>
        <w:spacing w:before="0" w:after="200" w:line="276" w:lineRule="auto"/>
        <w:jc w:val="center"/>
      </w:pPr>
      <w:r>
        <w:rPr>
          <w:rFonts w:ascii="Arial" w:hAnsi="Arial" w:eastAsia="Hiragino Sans GB"/>
          <w:b/>
          <w:color w:val="1D2A3A"/>
          <w:sz w:val="56"/>
        </w:rPr>
        <w:t>目标读者与购买理由</w:t>
      </w:r>
    </w:p>
    <w:p>
      <w:pPr>
        <w:keepNext w:val="0"/>
        <w:spacing w:before="0" w:after="480" w:line="276" w:lineRule="auto"/>
        <w:jc w:val="center"/>
      </w:pPr>
      <w:r>
        <w:rPr>
          <w:rFonts w:ascii="Arial" w:hAnsi="Arial" w:eastAsia="Hiragino Sans GB"/>
          <w:b w:val="0"/>
          <w:color w:val="245E8A"/>
          <w:sz w:val="28"/>
        </w:rPr>
        <w:t>从“谁会买”到“为什么买”的内容定位与转化表达</w:t>
      </w:r>
    </w:p>
    <w:p>
      <w:pPr>
        <w:keepNext w:val="0"/>
        <w:spacing w:before="0" w:after="560" w:line="276" w:lineRule="auto"/>
        <w:jc w:val="center"/>
      </w:pPr>
      <w:r>
        <w:rPr>
          <w:rFonts w:ascii="Arial" w:hAnsi="Arial" w:eastAsia="Hiragino Sans GB"/>
          <w:b w:val="0"/>
          <w:color w:val="5F6B73"/>
          <w:sz w:val="20"/>
        </w:rPr>
        <w:t>依据《吃法》完整书稿及前期短视频推广讨论整理</w:t>
      </w:r>
    </w:p>
    <w:p>
      <w:pPr>
        <w:spacing w:before="160" w:after="200" w:line="288" w:lineRule="auto"/>
        <w:shd w:fill="F3F6F8"/>
        <w:ind w:left="180" w:right="180"/>
      </w:pPr>
      <w:r>
        <w:rPr>
          <w:rFonts w:ascii="Arial" w:hAnsi="Arial" w:eastAsia="Hiragino Sans GB"/>
          <w:b/>
          <w:color w:val="148A8A"/>
          <w:sz w:val="21"/>
        </w:rPr>
        <w:t xml:space="preserve">核心判断  </w:t>
      </w:r>
      <w:r>
        <w:rPr>
          <w:rFonts w:ascii="Arial" w:hAnsi="Arial" w:eastAsia="Hiragino Sans GB"/>
          <w:b/>
          <w:color w:val="1D2A3A"/>
          <w:sz w:val="21"/>
        </w:rPr>
        <w:t>《吃法》表面上讲“吃”，本质上讲的是食物产业、鲜饮技术、零售终端与未来商业机会。</w:t>
      </w:r>
    </w:p>
    <w:p>
      <w:pPr>
        <w:keepNext w:val="0"/>
        <w:spacing w:before="280" w:after="480" w:line="312" w:lineRule="auto"/>
        <w:jc w:val="center"/>
      </w:pPr>
      <w:r>
        <w:rPr>
          <w:rFonts w:ascii="Arial" w:hAnsi="Arial" w:eastAsia="Hiragino Sans GB"/>
          <w:b/>
          <w:color w:val="1D2A3A"/>
          <w:sz w:val="23"/>
        </w:rPr>
        <w:t>推广对象不宜只锁定泛健康人群。首要目标应是正在寻找行业答案、生意机会和经营方法的人。</w:t>
      </w:r>
    </w:p>
    <w:p>
      <w:pPr>
        <w:keepNext w:val="0"/>
        <w:spacing w:before="600" w:after="120" w:line="276" w:lineRule="auto"/>
        <w:jc w:val="center"/>
      </w:pPr>
      <w:r>
        <w:rPr>
          <w:rFonts w:ascii="Arial" w:hAnsi="Arial" w:eastAsia="Hiragino Sans GB"/>
          <w:b w:val="0"/>
          <w:color w:val="5F6B73"/>
          <w:sz w:val="19"/>
        </w:rPr>
        <w:t>王根祖 著｜推广内部资料｜2026年8月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Hiragino Sans GB"/>
          <w:b/>
          <w:color w:val="245E8A"/>
          <w:sz w:val="32"/>
        </w:rPr>
        <w:t>一、《吃法》最可能的读者是谁</w:t>
      </w:r>
    </w:p>
    <w:p>
      <w:pPr>
        <w:keepNext w:val="0"/>
        <w:spacing w:before="0" w:after="120" w:line="276" w:lineRule="auto"/>
      </w:pPr>
      <w:r>
        <w:rPr>
          <w:rFonts w:ascii="Arial" w:hAnsi="Arial" w:eastAsia="Hiragino Sans GB"/>
          <w:b w:val="0"/>
          <w:color w:val="1B1F23"/>
          <w:sz w:val="21"/>
        </w:rPr>
        <w:t>《吃法》的潜在读者可以分为五类。前四类人数未必最大，但购买动机更明确、商业价值更高；第五类适合承担播放量与传播量。</w:t>
      </w:r>
    </w:p>
    <w:p>
      <w:pPr>
        <w:pStyle w:val="Heading2"/>
        <w:keepNext/>
      </w:pPr>
      <w:r>
        <w:rPr>
          <w:rFonts w:ascii="Arial" w:hAnsi="Arial" w:eastAsia="Hiragino Sans GB"/>
          <w:b/>
          <w:color w:val="1D2A3A"/>
          <w:sz w:val="26"/>
        </w:rPr>
        <w:t>1. 食品、饮品和餐饮行业经营者</w:t>
      </w:r>
    </w:p>
    <w:p>
      <w:pPr>
        <w:spacing w:before="0" w:after="80" w:line="276" w:lineRule="auto"/>
      </w:pPr>
      <w:r>
        <w:rPr>
          <w:rFonts w:ascii="Arial" w:hAnsi="Arial" w:eastAsia="Hiragino Sans GB"/>
          <w:b/>
          <w:color w:val="148A8A"/>
          <w:sz w:val="21"/>
        </w:rPr>
        <w:t>人群属性：</w:t>
      </w:r>
      <w:r>
        <w:rPr>
          <w:rFonts w:ascii="Arial" w:hAnsi="Arial" w:eastAsia="Hiragino Sans GB"/>
          <w:b/>
          <w:color w:val="1D2A3A"/>
          <w:sz w:val="21"/>
        </w:rPr>
        <w:t>核心读者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 w:eastAsia="Hiragino Sans GB"/>
          <w:b w:val="0"/>
          <w:color w:val="1B1F23"/>
          <w:sz w:val="21"/>
        </w:rPr>
        <w:t>鲜榨果汁、奶茶、咖啡、酸奶、轻食及餐饮店经营者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 w:eastAsia="Hiragino Sans GB"/>
          <w:b w:val="0"/>
          <w:color w:val="1B1F23"/>
          <w:sz w:val="21"/>
        </w:rPr>
        <w:t>水果、生鲜、乳制品、冷冻水果及食品加工企业负责人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 w:eastAsia="Hiragino Sans GB"/>
          <w:b w:val="0"/>
          <w:color w:val="1B1F23"/>
          <w:sz w:val="21"/>
        </w:rPr>
        <w:t>食品饮料供应链、原料和渠道从业者</w:t>
      </w:r>
    </w:p>
    <w:p>
      <w:pPr>
        <w:spacing w:before="0" w:after="160" w:line="276" w:lineRule="auto"/>
      </w:pPr>
      <w:r>
        <w:rPr>
          <w:rFonts w:ascii="Arial" w:hAnsi="Arial" w:eastAsia="Hiragino Sans GB"/>
          <w:b/>
          <w:color w:val="D39B2A"/>
          <w:sz w:val="21"/>
        </w:rPr>
        <w:t>核心关注：</w:t>
      </w:r>
      <w:r>
        <w:rPr>
          <w:rFonts w:ascii="Arial" w:hAnsi="Arial" w:eastAsia="Hiragino Sans GB"/>
          <w:b w:val="0"/>
          <w:color w:val="1B1F23"/>
          <w:sz w:val="21"/>
        </w:rPr>
        <w:t>他们关心行业趋势、利润结构、人工与损耗、产品标准化，以及鲜饮行业下一步机会。</w:t>
      </w:r>
    </w:p>
    <w:p>
      <w:pPr>
        <w:pStyle w:val="Heading2"/>
        <w:keepNext/>
      </w:pPr>
      <w:r>
        <w:rPr>
          <w:rFonts w:ascii="Arial" w:hAnsi="Arial" w:eastAsia="Hiragino Sans GB"/>
          <w:b/>
          <w:color w:val="1D2A3A"/>
          <w:sz w:val="26"/>
        </w:rPr>
        <w:t>2. 便利店、新零售及商业渠道经营者</w:t>
      </w:r>
    </w:p>
    <w:p>
      <w:pPr>
        <w:spacing w:before="0" w:after="80" w:line="276" w:lineRule="auto"/>
      </w:pPr>
      <w:r>
        <w:rPr>
          <w:rFonts w:ascii="Arial" w:hAnsi="Arial" w:eastAsia="Hiragino Sans GB"/>
          <w:b/>
          <w:color w:val="148A8A"/>
          <w:sz w:val="21"/>
        </w:rPr>
        <w:t>人群属性：</w:t>
      </w:r>
      <w:r>
        <w:rPr>
          <w:rFonts w:ascii="Arial" w:hAnsi="Arial" w:eastAsia="Hiragino Sans GB"/>
          <w:b/>
          <w:color w:val="1D2A3A"/>
          <w:sz w:val="21"/>
        </w:rPr>
        <w:t>高价值读者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 w:eastAsia="Hiragino Sans GB"/>
          <w:b w:val="0"/>
          <w:color w:val="1B1F23"/>
          <w:sz w:val="21"/>
        </w:rPr>
        <w:t>便利店老板、区域加盟商、商超和社区店经营者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 w:eastAsia="Hiragino Sans GB"/>
          <w:b w:val="0"/>
          <w:color w:val="1B1F23"/>
          <w:sz w:val="21"/>
        </w:rPr>
        <w:t>加油站、校园、医院、健身房等渠道负责人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 w:eastAsia="Hiragino Sans GB"/>
          <w:b w:val="0"/>
          <w:color w:val="1B1F23"/>
          <w:sz w:val="21"/>
        </w:rPr>
        <w:t>无人零售、智能售卖设备及商业点位运营者</w:t>
      </w:r>
    </w:p>
    <w:p>
      <w:pPr>
        <w:spacing w:before="0" w:after="160" w:line="276" w:lineRule="auto"/>
      </w:pPr>
      <w:r>
        <w:rPr>
          <w:rFonts w:ascii="Arial" w:hAnsi="Arial" w:eastAsia="Hiragino Sans GB"/>
          <w:b/>
          <w:color w:val="D39B2A"/>
          <w:sz w:val="21"/>
        </w:rPr>
        <w:t>核心关注：</w:t>
      </w:r>
      <w:r>
        <w:rPr>
          <w:rFonts w:ascii="Arial" w:hAnsi="Arial" w:eastAsia="Hiragino Sans GB"/>
          <w:b w:val="0"/>
          <w:color w:val="1B1F23"/>
          <w:sz w:val="21"/>
        </w:rPr>
        <w:t>他们关心如何利用现有客流和有限面积增加收入，以及为什么“场景大于位置、触点大于门店”。</w:t>
      </w:r>
    </w:p>
    <w:p>
      <w:pPr>
        <w:pStyle w:val="Heading2"/>
        <w:keepNext/>
      </w:pPr>
      <w:r>
        <w:rPr>
          <w:rFonts w:ascii="Arial" w:hAnsi="Arial" w:eastAsia="Hiragino Sans GB"/>
          <w:b/>
          <w:color w:val="1D2A3A"/>
          <w:sz w:val="26"/>
        </w:rPr>
        <w:t>3. 创业者、代理商和寻找项目的人</w:t>
      </w:r>
    </w:p>
    <w:p>
      <w:pPr>
        <w:spacing w:before="0" w:after="80" w:line="276" w:lineRule="auto"/>
      </w:pPr>
      <w:r>
        <w:rPr>
          <w:rFonts w:ascii="Arial" w:hAnsi="Arial" w:eastAsia="Hiragino Sans GB"/>
          <w:b/>
          <w:color w:val="148A8A"/>
          <w:sz w:val="21"/>
        </w:rPr>
        <w:t>人群属性：</w:t>
      </w:r>
      <w:r>
        <w:rPr>
          <w:rFonts w:ascii="Arial" w:hAnsi="Arial" w:eastAsia="Hiragino Sans GB"/>
          <w:b/>
          <w:color w:val="1D2A3A"/>
          <w:sz w:val="21"/>
        </w:rPr>
        <w:t>最容易转化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 w:eastAsia="Hiragino Sans GB"/>
          <w:b w:val="0"/>
          <w:color w:val="1B1F23"/>
          <w:sz w:val="21"/>
        </w:rPr>
        <w:t>县区代理商、经销商和商用设备服务商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 w:eastAsia="Hiragino Sans GB"/>
          <w:b w:val="0"/>
          <w:color w:val="1B1F23"/>
          <w:sz w:val="21"/>
        </w:rPr>
        <w:t>寻找轻资产项目或第二增长曲线的经营者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 w:eastAsia="Hiragino Sans GB"/>
          <w:b w:val="0"/>
          <w:color w:val="1B1F23"/>
          <w:sz w:val="21"/>
        </w:rPr>
        <w:t>拥有本地渠道、客户资源或售后能力的人</w:t>
      </w:r>
    </w:p>
    <w:p>
      <w:pPr>
        <w:spacing w:before="0" w:after="160" w:line="276" w:lineRule="auto"/>
      </w:pPr>
      <w:r>
        <w:rPr>
          <w:rFonts w:ascii="Arial" w:hAnsi="Arial" w:eastAsia="Hiragino Sans GB"/>
          <w:b/>
          <w:color w:val="D39B2A"/>
          <w:sz w:val="21"/>
        </w:rPr>
        <w:t>核心关注：</w:t>
      </w:r>
      <w:r>
        <w:rPr>
          <w:rFonts w:ascii="Arial" w:hAnsi="Arial" w:eastAsia="Hiragino Sans GB"/>
          <w:b w:val="0"/>
          <w:color w:val="1B1F23"/>
          <w:sz w:val="21"/>
        </w:rPr>
        <w:t>他们关心项目是否可持续、是否依赖开店，以及如何从一次性销售转向装机量和耗材复购。</w:t>
      </w:r>
    </w:p>
    <w:p>
      <w:pPr>
        <w:pStyle w:val="Heading2"/>
        <w:keepNext/>
      </w:pPr>
      <w:r>
        <w:rPr>
          <w:rFonts w:ascii="Arial" w:hAnsi="Arial" w:eastAsia="Hiragino Sans GB"/>
          <w:b/>
          <w:color w:val="1D2A3A"/>
          <w:sz w:val="26"/>
        </w:rPr>
        <w:t>4. 海外华人与中国制造出海从业者</w:t>
      </w:r>
    </w:p>
    <w:p>
      <w:pPr>
        <w:spacing w:before="0" w:after="80" w:line="276" w:lineRule="auto"/>
      </w:pPr>
      <w:r>
        <w:rPr>
          <w:rFonts w:ascii="Arial" w:hAnsi="Arial" w:eastAsia="Hiragino Sans GB"/>
          <w:b/>
          <w:color w:val="148A8A"/>
          <w:sz w:val="21"/>
        </w:rPr>
        <w:t>人群属性：</w:t>
      </w:r>
      <w:r>
        <w:rPr>
          <w:rFonts w:ascii="Arial" w:hAnsi="Arial" w:eastAsia="Hiragino Sans GB"/>
          <w:b/>
          <w:color w:val="1D2A3A"/>
          <w:sz w:val="21"/>
        </w:rPr>
        <w:t>差异化读者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 w:eastAsia="Hiragino Sans GB"/>
          <w:b w:val="0"/>
          <w:color w:val="1B1F23"/>
          <w:sz w:val="21"/>
        </w:rPr>
        <w:t>海外华人创业者和当地经销商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 w:eastAsia="Hiragino Sans GB"/>
          <w:b w:val="0"/>
          <w:color w:val="1B1F23"/>
          <w:sz w:val="21"/>
        </w:rPr>
        <w:t>跨境贸易、海外渠道与品牌出海从业者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 w:eastAsia="Hiragino Sans GB"/>
          <w:b w:val="0"/>
          <w:color w:val="1B1F23"/>
          <w:sz w:val="21"/>
        </w:rPr>
        <w:t>能够连接中国供应链与海外市场的人</w:t>
      </w:r>
    </w:p>
    <w:p>
      <w:pPr>
        <w:spacing w:before="0" w:after="160" w:line="276" w:lineRule="auto"/>
      </w:pPr>
      <w:r>
        <w:rPr>
          <w:rFonts w:ascii="Arial" w:hAnsi="Arial" w:eastAsia="Hiragino Sans GB"/>
          <w:b/>
          <w:color w:val="D39B2A"/>
          <w:sz w:val="21"/>
        </w:rPr>
        <w:t>核心关注：</w:t>
      </w:r>
      <w:r>
        <w:rPr>
          <w:rFonts w:ascii="Arial" w:hAnsi="Arial" w:eastAsia="Hiragino Sans GB"/>
          <w:b w:val="0"/>
          <w:color w:val="1B1F23"/>
          <w:sz w:val="21"/>
        </w:rPr>
        <w:t>他们关心如何从“卖货出海”升级为输出设备、供应链、品牌和运营体系。</w:t>
      </w:r>
    </w:p>
    <w:p>
      <w:pPr>
        <w:pStyle w:val="Heading2"/>
        <w:keepNext/>
      </w:pPr>
      <w:r>
        <w:rPr>
          <w:rFonts w:ascii="Arial" w:hAnsi="Arial" w:eastAsia="Hiragino Sans GB"/>
          <w:b/>
          <w:color w:val="1D2A3A"/>
          <w:sz w:val="26"/>
        </w:rPr>
        <w:t>5. 关注饮食、食品安全与生活方式的人</w:t>
      </w:r>
    </w:p>
    <w:p>
      <w:pPr>
        <w:spacing w:before="0" w:after="80" w:line="276" w:lineRule="auto"/>
      </w:pPr>
      <w:r>
        <w:rPr>
          <w:rFonts w:ascii="Arial" w:hAnsi="Arial" w:eastAsia="Hiragino Sans GB"/>
          <w:b/>
          <w:color w:val="148A8A"/>
          <w:sz w:val="21"/>
        </w:rPr>
        <w:t>人群属性：</w:t>
      </w:r>
      <w:r>
        <w:rPr>
          <w:rFonts w:ascii="Arial" w:hAnsi="Arial" w:eastAsia="Hiragino Sans GB"/>
          <w:b/>
          <w:color w:val="1D2A3A"/>
          <w:sz w:val="21"/>
        </w:rPr>
        <w:t>流量读者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 w:eastAsia="Hiragino Sans GB"/>
          <w:b w:val="0"/>
          <w:color w:val="1B1F23"/>
          <w:sz w:val="21"/>
        </w:rPr>
        <w:t>关注早餐、外卖、营养与健康管理的城市人群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 w:eastAsia="Hiragino Sans GB"/>
          <w:b w:val="0"/>
          <w:color w:val="1B1F23"/>
          <w:sz w:val="21"/>
        </w:rPr>
        <w:t>宝妈、家庭食品采购者、健身和轻食人群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 w:eastAsia="Hiragino Sans GB"/>
          <w:b w:val="0"/>
          <w:color w:val="1B1F23"/>
          <w:sz w:val="21"/>
        </w:rPr>
        <w:t>喜欢食品工业、冷链技术和消费观察内容的人</w:t>
      </w:r>
    </w:p>
    <w:p>
      <w:pPr>
        <w:spacing w:before="0" w:after="160" w:line="276" w:lineRule="auto"/>
      </w:pPr>
      <w:r>
        <w:rPr>
          <w:rFonts w:ascii="Arial" w:hAnsi="Arial" w:eastAsia="Hiragino Sans GB"/>
          <w:b/>
          <w:color w:val="D39B2A"/>
          <w:sz w:val="21"/>
        </w:rPr>
        <w:t>核心关注：</w:t>
      </w:r>
      <w:r>
        <w:rPr>
          <w:rFonts w:ascii="Arial" w:hAnsi="Arial" w:eastAsia="Hiragino Sans GB"/>
          <w:b w:val="0"/>
          <w:color w:val="1B1F23"/>
          <w:sz w:val="21"/>
        </w:rPr>
        <w:t>他们关心食物从产地到餐桌经历了什么，以及现代生活为何让人“吃得很饱，却可能营养不足”。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Hiragino Sans GB"/>
          <w:b/>
          <w:color w:val="245E8A"/>
          <w:sz w:val="32"/>
        </w:rPr>
        <w:t>二、短视频获客优先级</w:t>
      </w:r>
    </w:p>
    <w:p>
      <w:pPr>
        <w:keepNext w:val="0"/>
        <w:spacing w:before="0" w:after="120" w:line="276" w:lineRule="auto"/>
      </w:pPr>
      <w:r>
        <w:rPr>
          <w:rFonts w:ascii="Arial" w:hAnsi="Arial" w:eastAsia="Hiragino Sans GB"/>
          <w:b w:val="0"/>
          <w:color w:val="1B1F23"/>
          <w:sz w:val="21"/>
        </w:rPr>
        <w:t>短视频推广应先触达购买动机明确的人，再用大众食品科普扩大流量。以下顺序兼顾传播效率与商业价值。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6"/>
        <w:gridCol w:w="2426"/>
        <w:gridCol w:w="2426"/>
        <w:gridCol w:w="2426"/>
      </w:tblGrid>
      <w:tr>
        <w:trPr>
          <w:tblHeader w:val="true"/>
        </w:trPr>
        <w:tc>
          <w:tcPr>
            <w:tcW w:type="dxa" w:w="1080"/>
            <w:shd w:fill="1D2A3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3960"/>
            <w:shd w:fill="1D2A3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9"/>
              </w:rPr>
              <w:t>目标人群</w:t>
            </w:r>
          </w:p>
        </w:tc>
        <w:tc>
          <w:tcPr>
            <w:tcW w:type="dxa" w:w="1728"/>
            <w:shd w:fill="1D2A3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9"/>
              </w:rPr>
              <w:t>传播价值</w:t>
            </w:r>
          </w:p>
        </w:tc>
        <w:tc>
          <w:tcPr>
            <w:tcW w:type="dxa" w:w="2088"/>
            <w:shd w:fill="1D2A3A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9"/>
              </w:rPr>
              <w:t>商业价值</w:t>
            </w:r>
          </w:p>
        </w:tc>
      </w:tr>
      <w:tr>
        <w:tc>
          <w:tcPr>
            <w:tcW w:type="dxa" w:w="10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1D2A3A"/>
                <w:sz w:val="19"/>
              </w:rPr>
              <w:t>第一</w:t>
            </w:r>
          </w:p>
        </w:tc>
        <w:tc>
          <w:tcPr>
            <w:tcW w:type="dxa" w:w="39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Hiragino Sans GB"/>
                <w:b w:val="0"/>
                <w:color w:val="1B1F23"/>
                <w:sz w:val="19"/>
              </w:rPr>
              <w:t>餐饮、鲜饮、食品行业经营者</w:t>
            </w:r>
          </w:p>
        </w:tc>
        <w:tc>
          <w:tcPr>
            <w:tcW w:type="dxa" w:w="172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 w:val="0"/>
                <w:color w:val="1B1F23"/>
                <w:sz w:val="19"/>
              </w:rPr>
              <w:t>高</w:t>
            </w:r>
          </w:p>
        </w:tc>
        <w:tc>
          <w:tcPr>
            <w:tcW w:type="dxa" w:w="208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 w:val="0"/>
                <w:color w:val="1B1F23"/>
                <w:sz w:val="19"/>
              </w:rPr>
              <w:t>很高</w:t>
            </w:r>
          </w:p>
        </w:tc>
      </w:tr>
      <w:tr>
        <w:tc>
          <w:tcPr>
            <w:tcW w:type="dxa" w:w="10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1D2A3A"/>
                <w:sz w:val="19"/>
              </w:rPr>
              <w:t>第二</w:t>
            </w:r>
          </w:p>
        </w:tc>
        <w:tc>
          <w:tcPr>
            <w:tcW w:type="dxa" w:w="39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rFonts w:ascii="Arial" w:hAnsi="Arial" w:eastAsia="Hiragino Sans GB"/>
                <w:b w:val="0"/>
                <w:color w:val="1B1F23"/>
                <w:sz w:val="19"/>
              </w:rPr>
              <w:t>便利店、新零售及渠道经营者</w:t>
            </w:r>
          </w:p>
        </w:tc>
        <w:tc>
          <w:tcPr>
            <w:tcW w:type="dxa" w:w="172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rFonts w:ascii="Arial" w:hAnsi="Arial" w:eastAsia="Hiragino Sans GB"/>
                <w:b w:val="0"/>
                <w:color w:val="1B1F23"/>
                <w:sz w:val="19"/>
              </w:rPr>
              <w:t>中高</w:t>
            </w:r>
          </w:p>
        </w:tc>
        <w:tc>
          <w:tcPr>
            <w:tcW w:type="dxa" w:w="208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rFonts w:ascii="Arial" w:hAnsi="Arial" w:eastAsia="Hiragino Sans GB"/>
                <w:b w:val="0"/>
                <w:color w:val="1B1F23"/>
                <w:sz w:val="19"/>
              </w:rPr>
              <w:t>很高</w:t>
            </w:r>
          </w:p>
        </w:tc>
      </w:tr>
      <w:tr>
        <w:tc>
          <w:tcPr>
            <w:tcW w:type="dxa" w:w="10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1D2A3A"/>
                <w:sz w:val="19"/>
              </w:rPr>
              <w:t>第三</w:t>
            </w:r>
          </w:p>
        </w:tc>
        <w:tc>
          <w:tcPr>
            <w:tcW w:type="dxa" w:w="39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Hiragino Sans GB"/>
                <w:b w:val="0"/>
                <w:color w:val="1B1F23"/>
                <w:sz w:val="19"/>
              </w:rPr>
              <w:t>创业者、代理商、项目寻找者</w:t>
            </w:r>
          </w:p>
        </w:tc>
        <w:tc>
          <w:tcPr>
            <w:tcW w:type="dxa" w:w="172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 w:val="0"/>
                <w:color w:val="1B1F23"/>
                <w:sz w:val="19"/>
              </w:rPr>
              <w:t>高</w:t>
            </w:r>
          </w:p>
        </w:tc>
        <w:tc>
          <w:tcPr>
            <w:tcW w:type="dxa" w:w="208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 w:val="0"/>
                <w:color w:val="1B1F23"/>
                <w:sz w:val="19"/>
              </w:rPr>
              <w:t>很高</w:t>
            </w:r>
          </w:p>
        </w:tc>
      </w:tr>
      <w:tr>
        <w:tc>
          <w:tcPr>
            <w:tcW w:type="dxa" w:w="10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1D2A3A"/>
                <w:sz w:val="19"/>
              </w:rPr>
              <w:t>第四</w:t>
            </w:r>
          </w:p>
        </w:tc>
        <w:tc>
          <w:tcPr>
            <w:tcW w:type="dxa" w:w="39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3F6F8"/>
          </w:tcPr>
          <w:p>
            <w:pPr>
              <w:jc w:val="left"/>
            </w:pPr>
            <w:r>
              <w:rPr>
                <w:rFonts w:ascii="Arial" w:hAnsi="Arial" w:eastAsia="Hiragino Sans GB"/>
                <w:b w:val="0"/>
                <w:color w:val="1B1F23"/>
                <w:sz w:val="19"/>
              </w:rPr>
              <w:t>海外华人及出海从业者</w:t>
            </w:r>
          </w:p>
        </w:tc>
        <w:tc>
          <w:tcPr>
            <w:tcW w:type="dxa" w:w="172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rFonts w:ascii="Arial" w:hAnsi="Arial" w:eastAsia="Hiragino Sans GB"/>
                <w:b w:val="0"/>
                <w:color w:val="1B1F23"/>
                <w:sz w:val="19"/>
              </w:rPr>
              <w:t>中</w:t>
            </w:r>
          </w:p>
        </w:tc>
        <w:tc>
          <w:tcPr>
            <w:tcW w:type="dxa" w:w="208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3F6F8"/>
          </w:tcPr>
          <w:p>
            <w:pPr>
              <w:jc w:val="center"/>
            </w:pPr>
            <w:r>
              <w:rPr>
                <w:rFonts w:ascii="Arial" w:hAnsi="Arial" w:eastAsia="Hiragino Sans GB"/>
                <w:b w:val="0"/>
                <w:color w:val="1B1F23"/>
                <w:sz w:val="19"/>
              </w:rPr>
              <w:t>很高</w:t>
            </w:r>
          </w:p>
        </w:tc>
      </w:tr>
      <w:tr>
        <w:tc>
          <w:tcPr>
            <w:tcW w:type="dxa" w:w="10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/>
                <w:color w:val="1D2A3A"/>
                <w:sz w:val="19"/>
              </w:rPr>
              <w:t>第五</w:t>
            </w:r>
          </w:p>
        </w:tc>
        <w:tc>
          <w:tcPr>
            <w:tcW w:type="dxa" w:w="39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Hiragino Sans GB"/>
                <w:b w:val="0"/>
                <w:color w:val="1B1F23"/>
                <w:sz w:val="19"/>
              </w:rPr>
              <w:t>健康饮食与食品科普人群</w:t>
            </w:r>
          </w:p>
        </w:tc>
        <w:tc>
          <w:tcPr>
            <w:tcW w:type="dxa" w:w="172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 w:val="0"/>
                <w:color w:val="1B1F23"/>
                <w:sz w:val="19"/>
              </w:rPr>
              <w:t>很高</w:t>
            </w:r>
          </w:p>
        </w:tc>
        <w:tc>
          <w:tcPr>
            <w:tcW w:type="dxa" w:w="208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Hiragino Sans GB"/>
                <w:b w:val="0"/>
                <w:color w:val="1B1F23"/>
                <w:sz w:val="19"/>
              </w:rPr>
              <w:t>中低</w:t>
            </w:r>
          </w:p>
        </w:tc>
      </w:tr>
    </w:tbl>
    <w:p>
      <w:pPr>
        <w:pStyle w:val="Heading2"/>
        <w:keepNext/>
      </w:pPr>
      <w:r>
        <w:rPr>
          <w:rFonts w:ascii="Arial" w:hAnsi="Arial" w:eastAsia="Hiragino Sans GB"/>
          <w:b/>
          <w:color w:val="1D2A3A"/>
          <w:sz w:val="26"/>
        </w:rPr>
        <w:t>推荐内容结构</w:t>
      </w:r>
    </w:p>
    <w:p>
      <w:pPr>
        <w:spacing w:before="160" w:after="200" w:line="288" w:lineRule="auto"/>
        <w:shd w:fill="F3F6F8"/>
        <w:ind w:left="180" w:right="180"/>
      </w:pPr>
      <w:r>
        <w:rPr>
          <w:rFonts w:ascii="Arial" w:hAnsi="Arial" w:eastAsia="Hiragino Sans GB"/>
          <w:b/>
          <w:color w:val="245E8A"/>
          <w:sz w:val="21"/>
        </w:rPr>
        <w:t xml:space="preserve">70%  </w:t>
      </w:r>
      <w:r>
        <w:rPr>
          <w:rFonts w:ascii="Arial" w:hAnsi="Arial" w:eastAsia="Hiragino Sans GB"/>
          <w:b/>
          <w:color w:val="1D2A3A"/>
          <w:sz w:val="21"/>
        </w:rPr>
        <w:t>行业趋势、经营痛点、商业模式与渠道机会。</w:t>
      </w:r>
    </w:p>
    <w:p>
      <w:pPr>
        <w:spacing w:before="160" w:after="200" w:line="288" w:lineRule="auto"/>
        <w:shd w:fill="F3F6F8"/>
        <w:ind w:left="180" w:right="180"/>
      </w:pPr>
      <w:r>
        <w:rPr>
          <w:rFonts w:ascii="Arial" w:hAnsi="Arial" w:eastAsia="Hiragino Sans GB"/>
          <w:b/>
          <w:color w:val="148A8A"/>
          <w:sz w:val="21"/>
        </w:rPr>
        <w:t xml:space="preserve">20%  </w:t>
      </w:r>
      <w:r>
        <w:rPr>
          <w:rFonts w:ascii="Arial" w:hAnsi="Arial" w:eastAsia="Hiragino Sans GB"/>
          <w:b/>
          <w:color w:val="1D2A3A"/>
          <w:sz w:val="21"/>
        </w:rPr>
        <w:t>饮食、食品供应链、冷链锁鲜与消费科普。</w:t>
      </w:r>
    </w:p>
    <w:p>
      <w:pPr>
        <w:spacing w:before="160" w:after="200" w:line="288" w:lineRule="auto"/>
        <w:shd w:fill="F3F6F8"/>
        <w:ind w:left="180" w:right="180"/>
      </w:pPr>
      <w:r>
        <w:rPr>
          <w:rFonts w:ascii="Arial" w:hAnsi="Arial" w:eastAsia="Hiragino Sans GB"/>
          <w:b/>
          <w:color w:val="D39B2A"/>
          <w:sz w:val="21"/>
        </w:rPr>
        <w:t xml:space="preserve">10%  </w:t>
      </w:r>
      <w:r>
        <w:rPr>
          <w:rFonts w:ascii="Arial" w:hAnsi="Arial" w:eastAsia="Hiragino Sans GB"/>
          <w:b/>
          <w:color w:val="1D2A3A"/>
          <w:sz w:val="21"/>
        </w:rPr>
        <w:t>作者28年创业经历、真实故事与价值观。</w:t>
      </w:r>
    </w:p>
    <w:p>
      <w:pPr>
        <w:pStyle w:val="Heading2"/>
        <w:keepNext/>
      </w:pPr>
      <w:r>
        <w:rPr>
          <w:rFonts w:ascii="Arial" w:hAnsi="Arial" w:eastAsia="Hiragino Sans GB"/>
          <w:b/>
          <w:color w:val="1D2A3A"/>
          <w:sz w:val="26"/>
        </w:rPr>
        <w:t>统一读者筛选句</w:t>
      </w:r>
    </w:p>
    <w:p>
      <w:pPr>
        <w:keepNext w:val="0"/>
        <w:spacing w:before="160" w:after="240" w:line="324" w:lineRule="auto"/>
        <w:jc w:val="center"/>
      </w:pPr>
      <w:r>
        <w:rPr>
          <w:rFonts w:ascii="Arial" w:hAnsi="Arial" w:eastAsia="Hiragino Sans GB"/>
          <w:b/>
          <w:color w:val="1D2A3A"/>
          <w:sz w:val="26"/>
        </w:rPr>
        <w:t>“如果你正在做食品、饮品、餐饮、零售，或者正在寻找下一个可以长期经营的项目，《吃法》就是写给你的。”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Hiragino Sans GB"/>
          <w:b/>
          <w:color w:val="245E8A"/>
          <w:sz w:val="32"/>
        </w:rPr>
        <w:t>三、读者为什么购买《吃法》</w:t>
      </w:r>
    </w:p>
    <w:p>
      <w:pPr>
        <w:keepNext w:val="0"/>
        <w:spacing w:before="0" w:after="120" w:line="276" w:lineRule="auto"/>
      </w:pPr>
      <w:r>
        <w:rPr>
          <w:rFonts w:ascii="Arial" w:hAnsi="Arial" w:eastAsia="Hiragino Sans GB"/>
          <w:b w:val="0"/>
          <w:color w:val="1B1F23"/>
          <w:sz w:val="21"/>
        </w:rPr>
        <w:t>读者购买《吃法》，不是为了学习几道菜，而是为了看懂“吃”背后的产业变化、商业机会和未来趋势。</w:t>
      </w:r>
    </w:p>
    <w:p>
      <w:pPr>
        <w:pStyle w:val="Heading2"/>
        <w:keepNext/>
      </w:pPr>
      <w:r>
        <w:rPr>
          <w:rFonts w:ascii="Arial" w:hAnsi="Arial" w:eastAsia="Hiragino Sans GB"/>
          <w:b/>
          <w:color w:val="1D2A3A"/>
          <w:sz w:val="26"/>
        </w:rPr>
        <w:t>1. 看懂食品与餐饮行业的未来</w:t>
      </w:r>
    </w:p>
    <w:p>
      <w:pPr>
        <w:keepNext w:val="0"/>
        <w:spacing w:before="0" w:after="60" w:line="276" w:lineRule="auto"/>
      </w:pPr>
      <w:r>
        <w:rPr>
          <w:rFonts w:ascii="Arial" w:hAnsi="Arial" w:eastAsia="Hiragino Sans GB"/>
          <w:b w:val="0"/>
          <w:color w:val="1B1F23"/>
          <w:sz w:val="21"/>
        </w:rPr>
        <w:t>从饮食文明、食品供应链、冷冻锁鲜、智能设备、新零售和人工智能等角度，理解食品产业正在发生的结构性变化。</w:t>
      </w:r>
    </w:p>
    <w:p>
      <w:pPr>
        <w:spacing w:before="0" w:after="160" w:line="276" w:lineRule="auto"/>
      </w:pPr>
      <w:r>
        <w:rPr>
          <w:rFonts w:ascii="Arial" w:hAnsi="Arial" w:eastAsia="Hiragino Sans GB"/>
          <w:b/>
          <w:color w:val="148A8A"/>
          <w:sz w:val="21"/>
        </w:rPr>
        <w:t>读者获得：</w:t>
      </w:r>
      <w:r>
        <w:rPr>
          <w:rFonts w:ascii="Arial" w:hAnsi="Arial" w:eastAsia="Hiragino Sans GB"/>
          <w:b/>
          <w:color w:val="1D2A3A"/>
          <w:sz w:val="21"/>
        </w:rPr>
        <w:t>读懂人类未来怎么吃，也就更容易看懂食品产业未来怎么变。</w:t>
      </w:r>
    </w:p>
    <w:p>
      <w:pPr>
        <w:pStyle w:val="Heading2"/>
        <w:keepNext/>
      </w:pPr>
      <w:r>
        <w:rPr>
          <w:rFonts w:ascii="Arial" w:hAnsi="Arial" w:eastAsia="Hiragino Sans GB"/>
          <w:b/>
          <w:color w:val="1D2A3A"/>
          <w:sz w:val="26"/>
        </w:rPr>
        <w:t>2. 寻找下一个商业机会</w:t>
      </w:r>
    </w:p>
    <w:p>
      <w:pPr>
        <w:keepNext w:val="0"/>
        <w:spacing w:before="0" w:after="60" w:line="276" w:lineRule="auto"/>
      </w:pPr>
      <w:r>
        <w:rPr>
          <w:rFonts w:ascii="Arial" w:hAnsi="Arial" w:eastAsia="Hiragino Sans GB"/>
          <w:b w:val="0"/>
          <w:color w:val="1B1F23"/>
          <w:sz w:val="21"/>
        </w:rPr>
        <w:t>认识“鲜饮＋智能终端＋供应链＋AI”的新商业模式，判断新的消费需求、终端机会和持续收入来源。</w:t>
      </w:r>
    </w:p>
    <w:p>
      <w:pPr>
        <w:spacing w:before="0" w:after="160" w:line="276" w:lineRule="auto"/>
      </w:pPr>
      <w:r>
        <w:rPr>
          <w:rFonts w:ascii="Arial" w:hAnsi="Arial" w:eastAsia="Hiragino Sans GB"/>
          <w:b/>
          <w:color w:val="148A8A"/>
          <w:sz w:val="21"/>
        </w:rPr>
        <w:t>读者获得：</w:t>
      </w:r>
      <w:r>
        <w:rPr>
          <w:rFonts w:ascii="Arial" w:hAnsi="Arial" w:eastAsia="Hiragino Sans GB"/>
          <w:b/>
          <w:color w:val="1D2A3A"/>
          <w:sz w:val="21"/>
        </w:rPr>
        <w:t>它不只呈现一个产品，更提供判断机会的方法。</w:t>
      </w:r>
    </w:p>
    <w:p>
      <w:pPr>
        <w:pStyle w:val="Heading2"/>
        <w:keepNext/>
      </w:pPr>
      <w:r>
        <w:rPr>
          <w:rFonts w:ascii="Arial" w:hAnsi="Arial" w:eastAsia="Hiragino Sans GB"/>
          <w:b/>
          <w:color w:val="1D2A3A"/>
          <w:sz w:val="26"/>
        </w:rPr>
        <w:t>3. 少走创业与经营弯路</w:t>
      </w:r>
    </w:p>
    <w:p>
      <w:pPr>
        <w:keepNext w:val="0"/>
        <w:spacing w:before="0" w:after="60" w:line="276" w:lineRule="auto"/>
      </w:pPr>
      <w:r>
        <w:rPr>
          <w:rFonts w:ascii="Arial" w:hAnsi="Arial" w:eastAsia="Hiragino Sans GB"/>
          <w:b w:val="0"/>
          <w:color w:val="1B1F23"/>
          <w:sz w:val="21"/>
        </w:rPr>
        <w:t>通过作者长期从事食品、设备、渠道和出海的实践，重新思考产品、场景、成本、渠道和商业闭环。</w:t>
      </w:r>
    </w:p>
    <w:p>
      <w:pPr>
        <w:spacing w:before="0" w:after="160" w:line="276" w:lineRule="auto"/>
      </w:pPr>
      <w:r>
        <w:rPr>
          <w:rFonts w:ascii="Arial" w:hAnsi="Arial" w:eastAsia="Hiragino Sans GB"/>
          <w:b/>
          <w:color w:val="148A8A"/>
          <w:sz w:val="21"/>
        </w:rPr>
        <w:t>读者获得：</w:t>
      </w:r>
      <w:r>
        <w:rPr>
          <w:rFonts w:ascii="Arial" w:hAnsi="Arial" w:eastAsia="Hiragino Sans GB"/>
          <w:b/>
          <w:color w:val="1D2A3A"/>
          <w:sz w:val="21"/>
        </w:rPr>
        <w:t>读者购买的是一位产业创业者多年踩坑后形成的方法论。</w:t>
      </w:r>
    </w:p>
    <w:p>
      <w:pPr>
        <w:pStyle w:val="Heading2"/>
        <w:keepNext/>
      </w:pPr>
      <w:r>
        <w:rPr>
          <w:rFonts w:ascii="Arial" w:hAnsi="Arial" w:eastAsia="Hiragino Sans GB"/>
          <w:b/>
          <w:color w:val="1D2A3A"/>
          <w:sz w:val="26"/>
        </w:rPr>
        <w:t>4. 看懂餐饮生意为什么越来越难做</w:t>
      </w:r>
    </w:p>
    <w:p>
      <w:pPr>
        <w:keepNext w:val="0"/>
        <w:spacing w:before="0" w:after="60" w:line="276" w:lineRule="auto"/>
      </w:pPr>
      <w:r>
        <w:rPr>
          <w:rFonts w:ascii="Arial" w:hAnsi="Arial" w:eastAsia="Hiragino Sans GB"/>
          <w:b w:val="0"/>
          <w:color w:val="1B1F23"/>
          <w:sz w:val="21"/>
        </w:rPr>
        <w:t>理解高房租、高人工、高损耗、难标准化和流量成本上升背后的结构性原因，以及供应链前置、设备微缩和终端网络化的应对方向。</w:t>
      </w:r>
    </w:p>
    <w:p>
      <w:pPr>
        <w:spacing w:before="0" w:after="160" w:line="276" w:lineRule="auto"/>
      </w:pPr>
      <w:r>
        <w:rPr>
          <w:rFonts w:ascii="Arial" w:hAnsi="Arial" w:eastAsia="Hiragino Sans GB"/>
          <w:b/>
          <w:color w:val="148A8A"/>
          <w:sz w:val="21"/>
        </w:rPr>
        <w:t>读者获得：</w:t>
      </w:r>
      <w:r>
        <w:rPr>
          <w:rFonts w:ascii="Arial" w:hAnsi="Arial" w:eastAsia="Hiragino Sans GB"/>
          <w:b/>
          <w:color w:val="1D2A3A"/>
          <w:sz w:val="21"/>
        </w:rPr>
        <w:t>不只是告诉你生意难做，更帮助你理解从哪里改变。</w:t>
      </w:r>
    </w:p>
    <w:p>
      <w:pPr>
        <w:pStyle w:val="Heading2"/>
        <w:keepNext/>
      </w:pPr>
      <w:r>
        <w:rPr>
          <w:rFonts w:ascii="Arial" w:hAnsi="Arial" w:eastAsia="Hiragino Sans GB"/>
          <w:b/>
          <w:color w:val="1D2A3A"/>
          <w:sz w:val="26"/>
        </w:rPr>
        <w:t>5. 理解“好产品”如何变成“好生意”</w:t>
      </w:r>
    </w:p>
    <w:p>
      <w:pPr>
        <w:keepNext w:val="0"/>
        <w:spacing w:before="0" w:after="60" w:line="276" w:lineRule="auto"/>
      </w:pPr>
      <w:r>
        <w:rPr>
          <w:rFonts w:ascii="Arial" w:hAnsi="Arial" w:eastAsia="Hiragino Sans GB"/>
          <w:b w:val="0"/>
          <w:color w:val="1B1F23"/>
          <w:sz w:val="21"/>
        </w:rPr>
        <w:t>回答产品放在哪里卖、消费者为什么顺手购买、门店为什么愿意引进、代理商为什么长期经营、总部怎样持续收入。</w:t>
      </w:r>
    </w:p>
    <w:p>
      <w:pPr>
        <w:spacing w:before="0" w:after="160" w:line="276" w:lineRule="auto"/>
      </w:pPr>
      <w:r>
        <w:rPr>
          <w:rFonts w:ascii="Arial" w:hAnsi="Arial" w:eastAsia="Hiragino Sans GB"/>
          <w:b/>
          <w:color w:val="148A8A"/>
          <w:sz w:val="21"/>
        </w:rPr>
        <w:t>读者获得：</w:t>
      </w:r>
      <w:r>
        <w:rPr>
          <w:rFonts w:ascii="Arial" w:hAnsi="Arial" w:eastAsia="Hiragino Sans GB"/>
          <w:b/>
          <w:color w:val="1D2A3A"/>
          <w:sz w:val="21"/>
        </w:rPr>
        <w:t>从产品思维走向商业模式思维。</w:t>
      </w:r>
    </w:p>
    <w:p>
      <w:pPr>
        <w:pStyle w:val="Heading2"/>
        <w:keepNext/>
      </w:pPr>
      <w:r>
        <w:rPr>
          <w:rFonts w:ascii="Arial" w:hAnsi="Arial" w:eastAsia="Hiragino Sans GB"/>
          <w:b/>
          <w:color w:val="1D2A3A"/>
          <w:sz w:val="26"/>
        </w:rPr>
        <w:t>6. 看懂便利店、新零售与智能终端</w:t>
      </w:r>
    </w:p>
    <w:p>
      <w:pPr>
        <w:keepNext w:val="0"/>
        <w:spacing w:before="0" w:after="60" w:line="276" w:lineRule="auto"/>
      </w:pPr>
      <w:r>
        <w:rPr>
          <w:rFonts w:ascii="Arial" w:hAnsi="Arial" w:eastAsia="Hiragino Sans GB"/>
          <w:b w:val="0"/>
          <w:color w:val="1B1F23"/>
          <w:sz w:val="21"/>
        </w:rPr>
        <w:t>理解消费者为什么不会为一杯果昔走很远，以及渠道触点、一平方米经营和智能设备的价值。</w:t>
      </w:r>
    </w:p>
    <w:p>
      <w:pPr>
        <w:spacing w:before="0" w:after="160" w:line="276" w:lineRule="auto"/>
      </w:pPr>
      <w:r>
        <w:rPr>
          <w:rFonts w:ascii="Arial" w:hAnsi="Arial" w:eastAsia="Hiragino Sans GB"/>
          <w:b/>
          <w:color w:val="148A8A"/>
          <w:sz w:val="21"/>
        </w:rPr>
        <w:t>读者获得：</w:t>
      </w:r>
      <w:r>
        <w:rPr>
          <w:rFonts w:ascii="Arial" w:hAnsi="Arial" w:eastAsia="Hiragino Sans GB"/>
          <w:b/>
          <w:color w:val="1D2A3A"/>
          <w:sz w:val="21"/>
        </w:rPr>
        <w:t>真正的机会，是让产品出现在消费者顺路经过的地方。</w:t>
      </w:r>
    </w:p>
    <w:p>
      <w:pPr>
        <w:pStyle w:val="Heading2"/>
        <w:keepNext/>
      </w:pPr>
      <w:r>
        <w:rPr>
          <w:rFonts w:ascii="Arial" w:hAnsi="Arial" w:eastAsia="Hiragino Sans GB"/>
          <w:b/>
          <w:color w:val="1D2A3A"/>
          <w:sz w:val="26"/>
        </w:rPr>
        <w:t>7. 重新认识每天吃进嘴里的食物</w:t>
      </w:r>
    </w:p>
    <w:p>
      <w:pPr>
        <w:keepNext w:val="0"/>
        <w:spacing w:before="0" w:after="60" w:line="276" w:lineRule="auto"/>
      </w:pPr>
      <w:r>
        <w:rPr>
          <w:rFonts w:ascii="Arial" w:hAnsi="Arial" w:eastAsia="Hiragino Sans GB"/>
          <w:b w:val="0"/>
          <w:color w:val="1B1F23"/>
          <w:sz w:val="21"/>
        </w:rPr>
        <w:t>了解食物从产地到餐桌的过程，以及运输、冷链、加工和城市生活对风味、营养与饮食结构的影响。</w:t>
      </w:r>
    </w:p>
    <w:p>
      <w:pPr>
        <w:spacing w:before="0" w:after="160" w:line="276" w:lineRule="auto"/>
      </w:pPr>
      <w:r>
        <w:rPr>
          <w:rFonts w:ascii="Arial" w:hAnsi="Arial" w:eastAsia="Hiragino Sans GB"/>
          <w:b/>
          <w:color w:val="148A8A"/>
          <w:sz w:val="21"/>
        </w:rPr>
        <w:t>读者获得：</w:t>
      </w:r>
      <w:r>
        <w:rPr>
          <w:rFonts w:ascii="Arial" w:hAnsi="Arial" w:eastAsia="Hiragino Sans GB"/>
          <w:b/>
          <w:color w:val="1D2A3A"/>
          <w:sz w:val="21"/>
        </w:rPr>
        <w:t>重新理解自己的胃，也重新理解盘子里的食物。</w:t>
      </w:r>
    </w:p>
    <w:p>
      <w:pPr>
        <w:pStyle w:val="Heading2"/>
        <w:keepNext/>
      </w:pPr>
      <w:r>
        <w:rPr>
          <w:rFonts w:ascii="Arial" w:hAnsi="Arial" w:eastAsia="Hiragino Sans GB"/>
          <w:b/>
          <w:color w:val="1D2A3A"/>
          <w:sz w:val="26"/>
        </w:rPr>
        <w:t>8. 看懂中国食品产业如何走向海外</w:t>
      </w:r>
    </w:p>
    <w:p>
      <w:pPr>
        <w:keepNext w:val="0"/>
        <w:spacing w:before="0" w:after="60" w:line="276" w:lineRule="auto"/>
      </w:pPr>
      <w:r>
        <w:rPr>
          <w:rFonts w:ascii="Arial" w:hAnsi="Arial" w:eastAsia="Hiragino Sans GB"/>
          <w:b w:val="0"/>
          <w:color w:val="1B1F23"/>
          <w:sz w:val="21"/>
        </w:rPr>
        <w:t>认识如何从向海外卖产品，升级为输出设备、供应链、品牌、服务和可运营的商业系统。</w:t>
      </w:r>
    </w:p>
    <w:p>
      <w:pPr>
        <w:spacing w:before="0" w:after="160" w:line="276" w:lineRule="auto"/>
      </w:pPr>
      <w:r>
        <w:rPr>
          <w:rFonts w:ascii="Arial" w:hAnsi="Arial" w:eastAsia="Hiragino Sans GB"/>
          <w:b/>
          <w:color w:val="148A8A"/>
          <w:sz w:val="21"/>
        </w:rPr>
        <w:t>读者获得：</w:t>
      </w:r>
      <w:r>
        <w:rPr>
          <w:rFonts w:ascii="Arial" w:hAnsi="Arial" w:eastAsia="Hiragino Sans GB"/>
          <w:b/>
          <w:color w:val="1D2A3A"/>
          <w:sz w:val="21"/>
        </w:rPr>
        <w:t>出海的终点不是卖货，而是建立本地化经营能力。</w:t>
      </w:r>
    </w:p>
    <w:p>
      <w:pPr>
        <w:pStyle w:val="Heading2"/>
        <w:keepNext/>
      </w:pPr>
      <w:r>
        <w:rPr>
          <w:rFonts w:ascii="Arial" w:hAnsi="Arial" w:eastAsia="Hiragino Sans GB"/>
          <w:b/>
          <w:color w:val="1D2A3A"/>
          <w:sz w:val="26"/>
        </w:rPr>
        <w:t>9. 获得跨行业的系统思考框架</w:t>
      </w:r>
    </w:p>
    <w:p>
      <w:pPr>
        <w:keepNext w:val="0"/>
        <w:spacing w:before="0" w:after="60" w:line="276" w:lineRule="auto"/>
      </w:pPr>
      <w:r>
        <w:rPr>
          <w:rFonts w:ascii="Arial" w:hAnsi="Arial" w:eastAsia="Hiragino Sans GB"/>
          <w:b w:val="0"/>
          <w:color w:val="1B1F23"/>
          <w:sz w:val="21"/>
        </w:rPr>
        <w:t>把食品农业、餐饮鲜饮、冷链技术、智能设备、新零售、短视频、AI和全球化放进同一张产业地图。</w:t>
      </w:r>
    </w:p>
    <w:p>
      <w:pPr>
        <w:spacing w:before="0" w:after="160" w:line="276" w:lineRule="auto"/>
      </w:pPr>
      <w:r>
        <w:rPr>
          <w:rFonts w:ascii="Arial" w:hAnsi="Arial" w:eastAsia="Hiragino Sans GB"/>
          <w:b/>
          <w:color w:val="148A8A"/>
          <w:sz w:val="21"/>
        </w:rPr>
        <w:t>读者获得：</w:t>
      </w:r>
      <w:r>
        <w:rPr>
          <w:rFonts w:ascii="Arial" w:hAnsi="Arial" w:eastAsia="Hiragino Sans GB"/>
          <w:b/>
          <w:color w:val="1D2A3A"/>
          <w:sz w:val="21"/>
        </w:rPr>
        <w:t>适合不满足于碎片知识、希望建立整体认知的人。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Hiragino Sans GB"/>
          <w:b/>
          <w:color w:val="245E8A"/>
          <w:sz w:val="32"/>
        </w:rPr>
        <w:t>四、不同读者的直接购买理由</w:t>
      </w:r>
    </w:p>
    <w:p>
      <w:pPr>
        <w:spacing w:before="40" w:after="160" w:line="276" w:lineRule="auto"/>
      </w:pPr>
      <w:r>
        <w:rPr>
          <w:rFonts w:ascii="Arial" w:hAnsi="Arial" w:eastAsia="Hiragino Sans GB"/>
          <w:b/>
          <w:color w:val="245E8A"/>
          <w:sz w:val="21"/>
        </w:rPr>
        <w:t>餐饮、鲜饮经营者</w:t>
      </w:r>
      <w:r>
        <w:rPr>
          <w:rFonts w:ascii="Arial" w:hAnsi="Arial" w:eastAsia="Hiragino Sans GB"/>
          <w:b w:val="0"/>
          <w:color w:val="D8E2E8"/>
          <w:sz w:val="21"/>
        </w:rPr>
        <w:t>｜</w:t>
      </w:r>
      <w:r>
        <w:rPr>
          <w:rFonts w:ascii="Arial" w:hAnsi="Arial" w:eastAsia="Hiragino Sans GB"/>
          <w:b w:val="0"/>
          <w:color w:val="1B1F23"/>
          <w:sz w:val="21"/>
        </w:rPr>
        <w:t>寻找降本、标准化和新增收入的方法。</w:t>
      </w:r>
    </w:p>
    <w:p>
      <w:pPr>
        <w:spacing w:before="40" w:after="160" w:line="276" w:lineRule="auto"/>
      </w:pPr>
      <w:r>
        <w:rPr>
          <w:rFonts w:ascii="Arial" w:hAnsi="Arial" w:eastAsia="Hiragino Sans GB"/>
          <w:b/>
          <w:color w:val="245E8A"/>
          <w:sz w:val="21"/>
        </w:rPr>
        <w:t>便利店、新零售经营者</w:t>
      </w:r>
      <w:r>
        <w:rPr>
          <w:rFonts w:ascii="Arial" w:hAnsi="Arial" w:eastAsia="Hiragino Sans GB"/>
          <w:b w:val="0"/>
          <w:color w:val="D8E2E8"/>
          <w:sz w:val="21"/>
        </w:rPr>
        <w:t>｜</w:t>
      </w:r>
      <w:r>
        <w:rPr>
          <w:rFonts w:ascii="Arial" w:hAnsi="Arial" w:eastAsia="Hiragino Sans GB"/>
          <w:b w:val="0"/>
          <w:color w:val="1B1F23"/>
          <w:sz w:val="21"/>
        </w:rPr>
        <w:t>寻找利用现有客流和一平方米空间增加收入的新项目。</w:t>
      </w:r>
    </w:p>
    <w:p>
      <w:pPr>
        <w:spacing w:before="40" w:after="160" w:line="276" w:lineRule="auto"/>
      </w:pPr>
      <w:r>
        <w:rPr>
          <w:rFonts w:ascii="Arial" w:hAnsi="Arial" w:eastAsia="Hiragino Sans GB"/>
          <w:b/>
          <w:color w:val="245E8A"/>
          <w:sz w:val="21"/>
        </w:rPr>
        <w:t>食品、乳品、水果企业</w:t>
      </w:r>
      <w:r>
        <w:rPr>
          <w:rFonts w:ascii="Arial" w:hAnsi="Arial" w:eastAsia="Hiragino Sans GB"/>
          <w:b w:val="0"/>
          <w:color w:val="D8E2E8"/>
          <w:sz w:val="21"/>
        </w:rPr>
        <w:t>｜</w:t>
      </w:r>
      <w:r>
        <w:rPr>
          <w:rFonts w:ascii="Arial" w:hAnsi="Arial" w:eastAsia="Hiragino Sans GB"/>
          <w:b w:val="0"/>
          <w:color w:val="1B1F23"/>
          <w:sz w:val="21"/>
        </w:rPr>
        <w:t>探索产品鲜饮化、加工升级和渠道升级。</w:t>
      </w:r>
    </w:p>
    <w:p>
      <w:pPr>
        <w:spacing w:before="40" w:after="160" w:line="276" w:lineRule="auto"/>
      </w:pPr>
      <w:r>
        <w:rPr>
          <w:rFonts w:ascii="Arial" w:hAnsi="Arial" w:eastAsia="Hiragino Sans GB"/>
          <w:b/>
          <w:color w:val="245E8A"/>
          <w:sz w:val="21"/>
        </w:rPr>
        <w:t>设备代理商</w:t>
      </w:r>
      <w:r>
        <w:rPr>
          <w:rFonts w:ascii="Arial" w:hAnsi="Arial" w:eastAsia="Hiragino Sans GB"/>
          <w:b w:val="0"/>
          <w:color w:val="D8E2E8"/>
          <w:sz w:val="21"/>
        </w:rPr>
        <w:t>｜</w:t>
      </w:r>
      <w:r>
        <w:rPr>
          <w:rFonts w:ascii="Arial" w:hAnsi="Arial" w:eastAsia="Hiragino Sans GB"/>
          <w:b w:val="0"/>
          <w:color w:val="1B1F23"/>
          <w:sz w:val="21"/>
        </w:rPr>
        <w:t>从一次性卖设备转向长期经营终端网络。</w:t>
      </w:r>
    </w:p>
    <w:p>
      <w:pPr>
        <w:spacing w:before="40" w:after="160" w:line="276" w:lineRule="auto"/>
      </w:pPr>
      <w:r>
        <w:rPr>
          <w:rFonts w:ascii="Arial" w:hAnsi="Arial" w:eastAsia="Hiragino Sans GB"/>
          <w:b/>
          <w:color w:val="245E8A"/>
          <w:sz w:val="21"/>
        </w:rPr>
        <w:t>创业者</w:t>
      </w:r>
      <w:r>
        <w:rPr>
          <w:rFonts w:ascii="Arial" w:hAnsi="Arial" w:eastAsia="Hiragino Sans GB"/>
          <w:b w:val="0"/>
          <w:color w:val="D8E2E8"/>
          <w:sz w:val="21"/>
        </w:rPr>
        <w:t>｜</w:t>
      </w:r>
      <w:r>
        <w:rPr>
          <w:rFonts w:ascii="Arial" w:hAnsi="Arial" w:eastAsia="Hiragino Sans GB"/>
          <w:b w:val="0"/>
          <w:color w:val="1B1F23"/>
          <w:sz w:val="21"/>
        </w:rPr>
        <w:t>学习判断一个项目是否拥有供应链和持续复购支撑。</w:t>
      </w:r>
    </w:p>
    <w:p>
      <w:pPr>
        <w:spacing w:before="40" w:after="160" w:line="276" w:lineRule="auto"/>
      </w:pPr>
      <w:r>
        <w:rPr>
          <w:rFonts w:ascii="Arial" w:hAnsi="Arial" w:eastAsia="Hiragino Sans GB"/>
          <w:b/>
          <w:color w:val="245E8A"/>
          <w:sz w:val="21"/>
        </w:rPr>
        <w:t>投资人</w:t>
      </w:r>
      <w:r>
        <w:rPr>
          <w:rFonts w:ascii="Arial" w:hAnsi="Arial" w:eastAsia="Hiragino Sans GB"/>
          <w:b w:val="0"/>
          <w:color w:val="D8E2E8"/>
          <w:sz w:val="21"/>
        </w:rPr>
        <w:t>｜</w:t>
      </w:r>
      <w:r>
        <w:rPr>
          <w:rFonts w:ascii="Arial" w:hAnsi="Arial" w:eastAsia="Hiragino Sans GB"/>
          <w:b w:val="0"/>
          <w:color w:val="1B1F23"/>
          <w:sz w:val="21"/>
        </w:rPr>
        <w:t>理解鲜饮、智能终端与食品科技的产业机会。</w:t>
      </w:r>
    </w:p>
    <w:p>
      <w:pPr>
        <w:spacing w:before="40" w:after="160" w:line="276" w:lineRule="auto"/>
      </w:pPr>
      <w:r>
        <w:rPr>
          <w:rFonts w:ascii="Arial" w:hAnsi="Arial" w:eastAsia="Hiragino Sans GB"/>
          <w:b/>
          <w:color w:val="245E8A"/>
          <w:sz w:val="21"/>
        </w:rPr>
        <w:t>海外华人</w:t>
      </w:r>
      <w:r>
        <w:rPr>
          <w:rFonts w:ascii="Arial" w:hAnsi="Arial" w:eastAsia="Hiragino Sans GB"/>
          <w:b w:val="0"/>
          <w:color w:val="D8E2E8"/>
          <w:sz w:val="21"/>
        </w:rPr>
        <w:t>｜</w:t>
      </w:r>
      <w:r>
        <w:rPr>
          <w:rFonts w:ascii="Arial" w:hAnsi="Arial" w:eastAsia="Hiragino Sans GB"/>
          <w:b w:val="0"/>
          <w:color w:val="1B1F23"/>
          <w:sz w:val="21"/>
        </w:rPr>
        <w:t>寻找连接中国供应链与海外市场的商业机会。</w:t>
      </w:r>
    </w:p>
    <w:p>
      <w:pPr>
        <w:spacing w:before="40" w:after="160" w:line="276" w:lineRule="auto"/>
      </w:pPr>
      <w:r>
        <w:rPr>
          <w:rFonts w:ascii="Arial" w:hAnsi="Arial" w:eastAsia="Hiragino Sans GB"/>
          <w:b/>
          <w:color w:val="245E8A"/>
          <w:sz w:val="21"/>
        </w:rPr>
        <w:t>普通消费者</w:t>
      </w:r>
      <w:r>
        <w:rPr>
          <w:rFonts w:ascii="Arial" w:hAnsi="Arial" w:eastAsia="Hiragino Sans GB"/>
          <w:b w:val="0"/>
          <w:color w:val="D8E2E8"/>
          <w:sz w:val="21"/>
        </w:rPr>
        <w:t>｜</w:t>
      </w:r>
      <w:r>
        <w:rPr>
          <w:rFonts w:ascii="Arial" w:hAnsi="Arial" w:eastAsia="Hiragino Sans GB"/>
          <w:b w:val="0"/>
          <w:color w:val="1B1F23"/>
          <w:sz w:val="21"/>
        </w:rPr>
        <w:t>看懂食物、健康与现代生活方式之间的关系。</w:t>
      </w:r>
    </w:p>
    <w:p>
      <w:pPr>
        <w:pStyle w:val="Heading1"/>
        <w:keepNext/>
      </w:pPr>
      <w:r>
        <w:rPr>
          <w:rFonts w:ascii="Arial" w:hAnsi="Arial" w:eastAsia="Hiragino Sans GB"/>
          <w:b/>
          <w:color w:val="245E8A"/>
          <w:sz w:val="32"/>
        </w:rPr>
        <w:t>五、适合短视频传播的购买表达</w:t>
      </w:r>
    </w:p>
    <w:p>
      <w:pPr>
        <w:keepNext w:val="0"/>
        <w:spacing w:before="0" w:after="140" w:line="288" w:lineRule="auto"/>
      </w:pPr>
      <w:r>
        <w:rPr>
          <w:rFonts w:ascii="Arial" w:hAnsi="Arial" w:eastAsia="Hiragino Sans GB"/>
          <w:b w:val="0"/>
          <w:color w:val="1B1F23"/>
          <w:sz w:val="21"/>
        </w:rPr>
      </w:r>
      <w:r>
        <w:rPr>
          <w:rFonts w:ascii="Arial" w:hAnsi="Arial" w:eastAsia="Hiragino Sans GB"/>
          <w:b/>
          <w:color w:val="D39B2A"/>
          <w:sz w:val="21"/>
        </w:rPr>
        <w:t xml:space="preserve">01  </w:t>
      </w:r>
      <w:r>
        <w:rPr>
          <w:rFonts w:ascii="Arial" w:hAnsi="Arial" w:eastAsia="Hiragino Sans GB"/>
          <w:b w:val="0"/>
          <w:color w:val="1B1F23"/>
          <w:sz w:val="21"/>
        </w:rPr>
        <w:t>如果你正在做食品、饮品或者餐饮，这本书能帮你看懂行业接下来往哪里走。</w:t>
      </w:r>
    </w:p>
    <w:p>
      <w:pPr>
        <w:keepNext w:val="0"/>
        <w:spacing w:before="0" w:after="140" w:line="288" w:lineRule="auto"/>
      </w:pPr>
      <w:r>
        <w:rPr>
          <w:rFonts w:ascii="Arial" w:hAnsi="Arial" w:eastAsia="Hiragino Sans GB"/>
          <w:b w:val="0"/>
          <w:color w:val="1B1F23"/>
          <w:sz w:val="21"/>
        </w:rPr>
      </w:r>
      <w:r>
        <w:rPr>
          <w:rFonts w:ascii="Arial" w:hAnsi="Arial" w:eastAsia="Hiragino Sans GB"/>
          <w:b/>
          <w:color w:val="D39B2A"/>
          <w:sz w:val="21"/>
        </w:rPr>
        <w:t xml:space="preserve">02  </w:t>
      </w:r>
      <w:r>
        <w:rPr>
          <w:rFonts w:ascii="Arial" w:hAnsi="Arial" w:eastAsia="Hiragino Sans GB"/>
          <w:b w:val="0"/>
          <w:color w:val="1B1F23"/>
          <w:sz w:val="21"/>
        </w:rPr>
        <w:t>如果你正在寻找创业项目，这本书不会直接给你一个项目，却能教你判断什么样的项目值得做。</w:t>
      </w:r>
    </w:p>
    <w:p>
      <w:pPr>
        <w:keepNext w:val="0"/>
        <w:spacing w:before="0" w:after="140" w:line="288" w:lineRule="auto"/>
      </w:pPr>
      <w:r>
        <w:rPr>
          <w:rFonts w:ascii="Arial" w:hAnsi="Arial" w:eastAsia="Hiragino Sans GB"/>
          <w:b w:val="0"/>
          <w:color w:val="1B1F23"/>
          <w:sz w:val="21"/>
        </w:rPr>
      </w:r>
      <w:r>
        <w:rPr>
          <w:rFonts w:ascii="Arial" w:hAnsi="Arial" w:eastAsia="Hiragino Sans GB"/>
          <w:b/>
          <w:color w:val="D39B2A"/>
          <w:sz w:val="21"/>
        </w:rPr>
        <w:t xml:space="preserve">03  </w:t>
      </w:r>
      <w:r>
        <w:rPr>
          <w:rFonts w:ascii="Arial" w:hAnsi="Arial" w:eastAsia="Hiragino Sans GB"/>
          <w:b w:val="0"/>
          <w:color w:val="1B1F23"/>
          <w:sz w:val="21"/>
        </w:rPr>
        <w:t>为什么有的门店越开越累，有的企业却能靠一台设备铺设成千上万个终端？答案藏在商业模式里。</w:t>
      </w:r>
    </w:p>
    <w:p>
      <w:pPr>
        <w:keepNext w:val="0"/>
        <w:spacing w:before="0" w:after="140" w:line="288" w:lineRule="auto"/>
      </w:pPr>
      <w:r>
        <w:rPr>
          <w:rFonts w:ascii="Arial" w:hAnsi="Arial" w:eastAsia="Hiragino Sans GB"/>
          <w:b w:val="0"/>
          <w:color w:val="1B1F23"/>
          <w:sz w:val="21"/>
        </w:rPr>
      </w:r>
      <w:r>
        <w:rPr>
          <w:rFonts w:ascii="Arial" w:hAnsi="Arial" w:eastAsia="Hiragino Sans GB"/>
          <w:b/>
          <w:color w:val="D39B2A"/>
          <w:sz w:val="21"/>
        </w:rPr>
        <w:t xml:space="preserve">04  </w:t>
      </w:r>
      <w:r>
        <w:rPr>
          <w:rFonts w:ascii="Arial" w:hAnsi="Arial" w:eastAsia="Hiragino Sans GB"/>
          <w:b w:val="0"/>
          <w:color w:val="1B1F23"/>
          <w:sz w:val="21"/>
        </w:rPr>
        <w:t>消费者不会为了果昔走很远，所以真正的机会不是再开一家店，而是让产品出现在消费者顺路经过的地方。</w:t>
      </w:r>
    </w:p>
    <w:p>
      <w:pPr>
        <w:keepNext w:val="0"/>
        <w:spacing w:before="0" w:after="140" w:line="288" w:lineRule="auto"/>
      </w:pPr>
      <w:r>
        <w:rPr>
          <w:rFonts w:ascii="Arial" w:hAnsi="Arial" w:eastAsia="Hiragino Sans GB"/>
          <w:b w:val="0"/>
          <w:color w:val="1B1F23"/>
          <w:sz w:val="21"/>
        </w:rPr>
      </w:r>
      <w:r>
        <w:rPr>
          <w:rFonts w:ascii="Arial" w:hAnsi="Arial" w:eastAsia="Hiragino Sans GB"/>
          <w:b/>
          <w:color w:val="D39B2A"/>
          <w:sz w:val="21"/>
        </w:rPr>
        <w:t xml:space="preserve">05  </w:t>
      </w:r>
      <w:r>
        <w:rPr>
          <w:rFonts w:ascii="Arial" w:hAnsi="Arial" w:eastAsia="Hiragino Sans GB"/>
          <w:b w:val="0"/>
          <w:color w:val="1B1F23"/>
          <w:sz w:val="21"/>
        </w:rPr>
        <w:t>只卖机器，只能赚一次；形成装机量，再形成耗材复购，才是一门可以长期经营的生意。</w:t>
      </w:r>
    </w:p>
    <w:p>
      <w:pPr>
        <w:keepNext w:val="0"/>
        <w:spacing w:before="0" w:after="140" w:line="288" w:lineRule="auto"/>
      </w:pPr>
      <w:r>
        <w:rPr>
          <w:rFonts w:ascii="Arial" w:hAnsi="Arial" w:eastAsia="Hiragino Sans GB"/>
          <w:b w:val="0"/>
          <w:color w:val="1B1F23"/>
          <w:sz w:val="21"/>
        </w:rPr>
      </w:r>
      <w:r>
        <w:rPr>
          <w:rFonts w:ascii="Arial" w:hAnsi="Arial" w:eastAsia="Hiragino Sans GB"/>
          <w:b/>
          <w:color w:val="D39B2A"/>
          <w:sz w:val="21"/>
        </w:rPr>
        <w:t xml:space="preserve">06  </w:t>
      </w:r>
      <w:r>
        <w:rPr>
          <w:rFonts w:ascii="Arial" w:hAnsi="Arial" w:eastAsia="Hiragino Sans GB"/>
          <w:b w:val="0"/>
          <w:color w:val="1B1F23"/>
          <w:sz w:val="21"/>
        </w:rPr>
        <w:t>这是一本写“吃”的书，也是一部关于食品、零售、科技和商业未来的产业白皮书。</w:t>
      </w:r>
    </w:p>
    <w:p>
      <w:pPr>
        <w:pStyle w:val="Heading1"/>
        <w:keepNext/>
      </w:pPr>
      <w:r>
        <w:rPr>
          <w:rFonts w:ascii="Arial" w:hAnsi="Arial" w:eastAsia="Hiragino Sans GB"/>
          <w:b/>
          <w:color w:val="245E8A"/>
          <w:sz w:val="32"/>
        </w:rPr>
        <w:t>六、统一定位与一句话购买理由</w:t>
      </w:r>
    </w:p>
    <w:p>
      <w:pPr>
        <w:pStyle w:val="Heading2"/>
        <w:keepNext/>
      </w:pPr>
      <w:r>
        <w:rPr>
          <w:rFonts w:ascii="Arial" w:hAnsi="Arial" w:eastAsia="Hiragino Sans GB"/>
          <w:b/>
          <w:color w:val="1D2A3A"/>
          <w:sz w:val="26"/>
        </w:rPr>
        <w:t>推荐定位</w:t>
      </w:r>
    </w:p>
    <w:p>
      <w:pPr>
        <w:spacing w:before="160" w:after="200" w:line="288" w:lineRule="auto"/>
        <w:shd w:fill="F3F6F8"/>
        <w:ind w:left="180" w:right="180"/>
      </w:pPr>
      <w:r>
        <w:rPr>
          <w:rFonts w:ascii="Arial" w:hAnsi="Arial" w:eastAsia="Hiragino Sans GB"/>
          <w:b/>
          <w:color w:val="245E8A"/>
          <w:sz w:val="21"/>
        </w:rPr>
        <w:t xml:space="preserve">POSITIONING  </w:t>
      </w:r>
      <w:r>
        <w:rPr>
          <w:rFonts w:ascii="Arial" w:hAnsi="Arial" w:eastAsia="Hiragino Sans GB"/>
          <w:b/>
          <w:color w:val="1D2A3A"/>
          <w:sz w:val="21"/>
        </w:rPr>
        <w:t>一本写给食品餐饮从业者、创业者和普通消费者的“食物产业未来白皮书”。</w:t>
      </w:r>
    </w:p>
    <w:p>
      <w:pPr>
        <w:pStyle w:val="Heading2"/>
        <w:keepNext/>
      </w:pPr>
      <w:r>
        <w:rPr>
          <w:rFonts w:ascii="Arial" w:hAnsi="Arial" w:eastAsia="Hiragino Sans GB"/>
          <w:b/>
          <w:color w:val="1D2A3A"/>
          <w:sz w:val="26"/>
        </w:rPr>
        <w:t>一句话购买理由</w:t>
      </w:r>
    </w:p>
    <w:p>
      <w:pPr>
        <w:keepNext w:val="0"/>
        <w:spacing w:before="120" w:after="240" w:line="324" w:lineRule="auto"/>
        <w:jc w:val="center"/>
      </w:pPr>
      <w:r>
        <w:rPr>
          <w:rFonts w:ascii="Arial" w:hAnsi="Arial" w:eastAsia="Hiragino Sans GB"/>
          <w:b/>
          <w:color w:val="1D2A3A"/>
          <w:sz w:val="24"/>
        </w:rPr>
        <w:t>《吃法》帮助食品餐饮从业者、创业者和普通消费者，从一杯饮品出发，看懂食物产业正在发生的变化与未来商业机会。</w:t>
      </w:r>
    </w:p>
    <w:p>
      <w:pPr>
        <w:pStyle w:val="Heading2"/>
        <w:keepNext/>
      </w:pPr>
      <w:r>
        <w:rPr>
          <w:rFonts w:ascii="Arial" w:hAnsi="Arial" w:eastAsia="Hiragino Sans GB"/>
          <w:b/>
          <w:color w:val="1D2A3A"/>
          <w:sz w:val="26"/>
        </w:rPr>
        <w:t>销售收口</w:t>
      </w:r>
    </w:p>
    <w:p>
      <w:pPr>
        <w:keepNext w:val="0"/>
        <w:spacing w:before="120" w:after="240" w:line="324" w:lineRule="auto"/>
        <w:jc w:val="center"/>
      </w:pPr>
      <w:r>
        <w:rPr>
          <w:rFonts w:ascii="Arial" w:hAnsi="Arial" w:eastAsia="Hiragino Sans GB"/>
          <w:b/>
          <w:color w:val="148A8A"/>
          <w:sz w:val="24"/>
        </w:rPr>
        <w:t>如果你关心食品行业的未来，正在经营一门生意，或者正在寻找下一个机会，《吃法》值得你认真读一遍。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67" w:bottom="1123" w:left="126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Hiragino Sans GB"/>
        <w:b w:val="0"/>
        <w:color w:val="5F6B73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Arial" w:hAnsi="Arial" w:eastAsia="Hiragino Sans GB"/>
        <w:b w:val="0"/>
        <w:color w:val="5F6B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Hiragino Sans GB"/>
        <w:b/>
        <w:color w:val="5F6B73"/>
        <w:sz w:val="18"/>
      </w:rPr>
      <w:t>《吃法》短视频推广资料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Hiragino Sans GB" w:hAnsi="Hiragino Sans GB" w:eastAsia="Hiragino Sans GB"/>
      <w:color w:val="1B1F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45E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D2A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48A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《吃法》目标读者与购买理由</dc:title>
  <dc:subject>短视频推广读者定位与购买转化表达</dc:subject>
  <dc:creator>《吃法》推广团队</dc:creator>
  <cp:keywords>吃法, 目标读者, 购买理由, 短视频推广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