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ms-office.chartcolorstyle+xml" PartName="/word/charts/colors1.xml"/>
  <Override ContentType="application/vnd.ms-office.chartstyle+xml" PartName="/word/charts/styl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宜昌市产业人才地图</w:t>
      </w: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default"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default"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人才库报告</w:t>
      </w: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700" w:lineRule="exact"/>
        <w:jc w:val="both"/>
        <w:textAlignment w:val="auto"/>
        <w:rPr>
          <w:rFonts w:hint="eastAsia" w:ascii="方正小标宋简体" w:hAnsi="方正小标宋简体" w:eastAsia="方正小标宋简体" w:cs="方正小标宋简体"/>
          <w:sz w:val="44"/>
          <w:szCs w:val="44"/>
          <w:lang w:val="en-US" w:eastAsia="zh-CN"/>
        </w:rPr>
      </w:pPr>
    </w:p>
    <w:p>
      <w:pPr>
        <w:bidi w:val="0"/>
        <w:rPr>
          <w:rFonts w:hint="eastAsia"/>
          <w:lang w:val="en-US" w:eastAsia="zh-CN"/>
        </w:rPr>
      </w:pPr>
      <w:r>
        <w:rPr>
          <w:rFonts w:hint="eastAsia"/>
          <w:lang w:val="en-US" w:eastAsia="zh-CN"/>
        </w:rPr>
        <w:t xml:space="preserve">    </w:t>
      </w:r>
    </w:p>
    <w:p>
      <w:pPr>
        <w:bidi w:val="0"/>
        <w:ind w:firstLine="2570" w:firstLineChars="800"/>
        <w:rPr>
          <w:rFonts w:hint="default" w:ascii="仿宋_GB2312" w:hAnsi="仿宋_GB2312" w:cs="仿宋_GB2312"/>
          <w:szCs w:val="22"/>
          <w:lang w:val="en-US" w:eastAsia="zh-CN"/>
        </w:rPr>
      </w:pPr>
      <w:r>
        <w:rPr>
          <w:rFonts w:hint="eastAsia"/>
          <w:b/>
          <w:bCs/>
          <w:lang w:val="en-US" w:eastAsia="zh-CN"/>
        </w:rPr>
        <w:t>报告时间：</w:t>
      </w:r>
      <w:r>
        <w:rPr>
          <w:rFonts w:hint="eastAsia" w:ascii="仿宋_GB2312" w:hAnsi="仿宋_GB2312" w:cs="仿宋_GB2312"/>
          <w:szCs w:val="22"/>
          <w:lang w:val="en-US" w:eastAsia="zh-CN"/>
        </w:rPr>
        <w:t>2026-03-30</w:t>
      </w:r>
      <w:bookmarkStart w:id="0" w:name="_GoBack"/>
      <w:bookmarkEnd w:id="0"/>
    </w:p>
    <w:p>
      <w:pPr>
        <w:rPr>
          <w:rFonts w:hint="default"/>
          <w:lang w:val="en-US" w:eastAsia="zh-CN"/>
        </w:rPr>
      </w:pPr>
      <w:r>
        <w:rPr>
          <w:rFonts w:hint="default"/>
          <w:lang w:val="en-US" w:eastAsia="zh-CN"/>
        </w:rPr>
        <w:br w:type="page"/>
      </w:r>
    </w:p>
    <w:p>
      <w:pPr>
        <w:pStyle w:val="2"/>
        <w:numPr>
          <w:ilvl w:val="0"/>
          <w:numId w:val="1"/>
        </w:numPr>
        <w:bidi w:val="0"/>
        <w:rPr>
          <w:rFonts w:hint="eastAsia"/>
          <w:lang w:val="en-US" w:eastAsia="zh-CN"/>
        </w:rPr>
      </w:pPr>
      <w:r>
        <w:rPr>
          <w:rFonts w:hint="eastAsia"/>
          <w:lang w:val="en-US" w:eastAsia="zh-CN"/>
        </w:rPr>
        <w:t>引言</w:t>
      </w:r>
    </w:p>
    <w:p>
      <w:pPr>
        <w:ind w:firstLine="640" w:firstLineChars="200"/>
        <w:rPr>
          <w:rFonts w:hint="default"/>
          <w:lang w:val="en-US" w:eastAsia="zh-CN"/>
        </w:rPr>
      </w:pPr>
      <w:r>
        <w:rPr>
          <w:rFonts w:hint="default"/>
          <w:lang w:val="en-US" w:eastAsia="zh-CN"/>
        </w:rPr>
        <w:t>人才是城市竞争力的核心要素。拥有优质和数量兼备的人才，能够推动城市实现高质量发展。高素质的人才聚集将带动相关产业的发展，形成良性循环，进而带来经济的快速增长。因此，</w:t>
      </w:r>
      <w:r>
        <w:rPr>
          <w:rFonts w:hint="eastAsia"/>
          <w:lang w:val="en-US" w:eastAsia="zh-CN"/>
        </w:rPr>
        <w:t>高度</w:t>
      </w:r>
      <w:r>
        <w:rPr>
          <w:rFonts w:hint="default"/>
          <w:lang w:val="en-US" w:eastAsia="zh-CN"/>
        </w:rPr>
        <w:t>重视人才数据库的建设和管理，采集、分析内外部人才数据信息，描绘人才能力数字画像，洞悉</w:t>
      </w:r>
      <w:r>
        <w:rPr>
          <w:rFonts w:hint="eastAsia"/>
          <w:lang w:val="en-US" w:eastAsia="zh-CN"/>
        </w:rPr>
        <w:t>宜昌</w:t>
      </w:r>
      <w:r>
        <w:rPr>
          <w:rFonts w:hint="default"/>
          <w:lang w:val="en-US" w:eastAsia="zh-CN"/>
        </w:rPr>
        <w:t>人才发展现状及未来动向，提高</w:t>
      </w:r>
      <w:r>
        <w:rPr>
          <w:rFonts w:hint="eastAsia"/>
          <w:lang w:val="en-US" w:eastAsia="zh-CN"/>
        </w:rPr>
        <w:t>宜昌市</w:t>
      </w:r>
      <w:r>
        <w:rPr>
          <w:rFonts w:hint="default"/>
          <w:lang w:val="en-US" w:eastAsia="zh-CN"/>
        </w:rPr>
        <w:t>引才、聚才、用才能力。</w:t>
      </w:r>
    </w:p>
    <w:p>
      <w:pPr>
        <w:pStyle w:val="2"/>
        <w:numPr>
          <w:ilvl w:val="0"/>
          <w:numId w:val="1"/>
        </w:numPr>
        <w:bidi w:val="0"/>
        <w:rPr>
          <w:rFonts w:hint="default"/>
          <w:lang w:val="en-US" w:eastAsia="zh-CN"/>
        </w:rPr>
      </w:pPr>
      <w:r>
        <w:rPr>
          <w:rFonts w:hint="eastAsia"/>
          <w:lang w:val="en-US" w:eastAsia="zh-CN"/>
        </w:rPr>
        <w:t>概述</w:t>
      </w:r>
    </w:p>
    <w:p>
      <w:pPr>
        <w:ind w:firstLine="640" w:firstLineChars="200"/>
        <w:rPr>
          <w:rFonts w:hint="default"/>
          <w:lang w:val="en-US" w:eastAsia="zh-CN"/>
        </w:rPr>
      </w:pPr>
      <w:r>
        <w:rPr>
          <w:rFonts w:hint="eastAsia"/>
          <w:lang w:val="en-US" w:eastAsia="zh-CN"/>
        </w:rPr>
        <w:t>本报告旨在对宜昌市产业人才地图的人才库数据进行全面分析，以便更好地了解人才资源的现状、特点以及潜在价值。</w:t>
      </w:r>
    </w:p>
    <w:p>
      <w:pPr>
        <w:ind w:firstLine="640" w:firstLineChars="200"/>
        <w:rPr>
          <w:rFonts w:hint="default"/>
          <w:lang w:val="en-US" w:eastAsia="zh-CN"/>
        </w:rPr>
      </w:pPr>
      <w:r>
        <w:rPr>
          <w:rFonts w:hint="default"/>
          <w:lang w:val="en-US" w:eastAsia="zh-CN"/>
        </w:rPr>
        <w:t>目前的人才库已经</w:t>
      </w:r>
      <w:r>
        <w:rPr>
          <w:rFonts w:hint="eastAsia"/>
          <w:lang w:val="en-US" w:eastAsia="zh-CN"/>
        </w:rPr>
        <w:t>聚集</w:t>
      </w:r>
      <w:r>
        <w:rPr>
          <w:rFonts w:hint="default"/>
          <w:lang w:val="en-US" w:eastAsia="zh-CN"/>
        </w:rPr>
        <w:t>了大量的</w:t>
      </w:r>
      <w:r>
        <w:rPr>
          <w:rFonts w:hint="eastAsia"/>
          <w:lang w:val="en-US" w:eastAsia="zh-CN"/>
        </w:rPr>
        <w:t>人才数据</w:t>
      </w:r>
      <w:r>
        <w:rPr>
          <w:rFonts w:hint="default"/>
          <w:lang w:val="en-US" w:eastAsia="zh-CN"/>
        </w:rPr>
        <w:t>，</w:t>
      </w:r>
      <w:r>
        <w:rPr>
          <w:rFonts w:hint="eastAsia"/>
          <w:lang w:val="en-US" w:eastAsia="zh-CN"/>
        </w:rPr>
        <w:t>人才规模总数量已达</w:t>
      </w:r>
      <w:r>
        <w:rPr>
          <w:rFonts w:hint="eastAsia" w:ascii="仿宋_GB2312" w:hAnsi="仿宋_GB2312" w:eastAsia="仿宋_GB2312" w:cs="仿宋_GB2312"/>
          <w:color w:val="000000" w:themeColor="text1"/>
          <w:u w:val="single"/>
          <w:lang w:val="en-US" w:eastAsia="zh-CN"/>
          <w14:textFill>
            <w14:solidFill>
              <w14:schemeClr w14:val="tx1"/>
            </w14:solidFill>
          </w14:textFill>
        </w:rPr>
        <w:t>1582085</w:t>
      </w:r>
      <w:r>
        <w:rPr>
          <w:rFonts w:hint="eastAsia"/>
          <w:lang w:val="en-US" w:eastAsia="zh-CN"/>
        </w:rPr>
        <w:t>人次，其中宜昌本地人才</w:t>
      </w:r>
      <w:r>
        <w:rPr>
          <w:rFonts w:hint="eastAsia" w:ascii="仿宋_GB2312" w:hAnsi="仿宋_GB2312" w:eastAsia="仿宋_GB2312" w:cs="仿宋_GB2312"/>
          <w:color w:val="000000" w:themeColor="text1"/>
          <w:u w:val="single"/>
          <w:lang w:val="en-US" w:eastAsia="zh-CN"/>
          <w14:textFill>
            <w14:solidFill>
              <w14:schemeClr w14:val="tx1"/>
            </w14:solidFill>
          </w14:textFill>
        </w:rPr>
        <w:t>15534</w:t>
      </w:r>
      <w:r>
        <w:rPr>
          <w:rFonts w:hint="eastAsia"/>
          <w:lang w:val="en-US" w:eastAsia="zh-CN"/>
        </w:rPr>
        <w:t>人次。</w:t>
      </w:r>
      <w:r>
        <w:rPr>
          <w:rFonts w:hint="default"/>
          <w:lang w:val="en-US" w:eastAsia="zh-CN"/>
        </w:rPr>
        <w:t>涵盖了</w:t>
      </w:r>
      <w:r>
        <w:rPr>
          <w:rFonts w:hint="eastAsia"/>
          <w:lang w:val="en-US" w:eastAsia="zh-CN"/>
        </w:rPr>
        <w:t>层次、产业、地区、研究领域等多个维度，深度剖析在库人才现状，推荐相关人才。</w:t>
      </w:r>
    </w:p>
    <w:p>
      <w:pPr>
        <w:pStyle w:val="2"/>
        <w:numPr>
          <w:ilvl w:val="0"/>
          <w:numId w:val="1"/>
        </w:numPr>
        <w:bidi w:val="0"/>
        <w:ind w:left="0" w:leftChars="0" w:firstLine="0" w:firstLineChars="0"/>
        <w:rPr>
          <w:rFonts w:hint="eastAsia"/>
          <w:lang w:val="en-US" w:eastAsia="zh-CN"/>
        </w:rPr>
      </w:pPr>
      <w:r>
        <w:rPr>
          <w:rFonts w:hint="eastAsia"/>
          <w:lang w:val="en-US" w:eastAsia="zh-CN"/>
        </w:rPr>
        <w:t>人才库数据分析</w:t>
      </w:r>
    </w:p>
    <w:p>
      <w:pPr>
        <w:pStyle w:val="3"/>
        <w:numPr>
          <w:ilvl w:val="0"/>
          <w:numId w:val="2"/>
        </w:numPr>
        <w:bidi w:val="0"/>
        <w:ind w:left="0" w:leftChars="0" w:firstLineChars="0"/>
        <w:rPr>
          <w:rFonts w:hint="default"/>
          <w:lang w:val="en-US" w:eastAsia="zh-CN"/>
        </w:rPr>
      </w:pPr>
      <w:r>
        <w:rPr>
          <w:rFonts w:hint="eastAsia"/>
          <w:lang w:val="en-US" w:eastAsia="zh-CN"/>
        </w:rPr>
        <w:t>层次分布</w:t>
      </w:r>
    </w:p>
    <w:p>
      <w:pPr>
        <w:ind w:firstLine="640" w:firstLineChars="200"/>
        <w:rPr>
          <w:rFonts w:hint="eastAsia"/>
          <w:lang w:val="en-US" w:eastAsia="zh-CN"/>
        </w:rPr>
      </w:pPr>
      <w:r>
        <w:rPr>
          <w:rFonts w:hint="eastAsia"/>
          <w:lang w:val="en-US" w:eastAsia="zh-CN"/>
        </w:rPr>
        <w:t>《宜昌市产业人才地图》高层次人才分为</w:t>
      </w:r>
      <w:r>
        <w:rPr>
          <w:rFonts w:hint="eastAsia" w:ascii="仿宋_GB2312" w:hAnsi="仿宋_GB2312" w:eastAsia="仿宋_GB2312" w:cs="仿宋_GB2312"/>
          <w:lang w:val="en-US" w:eastAsia="zh-CN"/>
        </w:rPr>
        <w:t>4</w:t>
      </w:r>
      <w:r>
        <w:rPr>
          <w:rFonts w:hint="eastAsia"/>
          <w:lang w:val="en-US" w:eastAsia="zh-CN"/>
        </w:rPr>
        <w:t>类：院士、国家级人才、省级人才、市级人才。</w:t>
      </w:r>
    </w:p>
    <w:p>
      <w:pPr>
        <w:ind w:firstLine="640" w:firstLineChars="200"/>
        <w:rPr>
          <w:rFonts w:hint="default"/>
          <w:lang w:val="en-US" w:eastAsia="zh-CN"/>
        </w:rPr>
      </w:pPr>
      <w:r>
        <w:rPr>
          <w:rFonts w:hint="eastAsia"/>
          <w:lang w:val="en-US" w:eastAsia="zh-CN"/>
        </w:rPr>
        <w:t>宜昌市本地省级人才占比高达</w:t>
      </w:r>
      <w:r>
        <w:rPr>
          <w:rFonts w:hint="eastAsia" w:ascii="仿宋_GB2312" w:hAnsi="仿宋_GB2312" w:eastAsia="仿宋_GB2312" w:cs="仿宋_GB2312"/>
          <w:lang w:val="en-US" w:eastAsia="zh-CN"/>
        </w:rPr>
        <w:t>45.7%</w:t>
      </w:r>
      <w:r>
        <w:rPr>
          <w:rFonts w:hint="eastAsia"/>
          <w:lang w:val="en-US" w:eastAsia="zh-CN"/>
        </w:rPr>
        <w:t>，院士仅</w:t>
      </w:r>
      <w:r>
        <w:rPr>
          <w:rFonts w:hint="eastAsia" w:ascii="仿宋_GB2312" w:hAnsi="仿宋_GB2312" w:eastAsia="仿宋_GB2312" w:cs="仿宋_GB2312"/>
          <w:lang w:val="en-US" w:eastAsia="zh-CN"/>
        </w:rPr>
        <w:t>2</w:t>
      </w:r>
      <w:r>
        <w:rPr>
          <w:rFonts w:hint="eastAsia"/>
          <w:lang w:val="en-US" w:eastAsia="zh-CN"/>
        </w:rPr>
        <w:t>人，城市人才层次分布不均匀，迫切需要扩大高层次人才规模，将人才招引“触角”前移，吸引更多优秀的院士和国家级人才来为城市的科技创新和产业发展贡献力量。</w:t>
      </w:r>
    </w:p>
    <w:p>
      <w:pPr>
        <w:jc w:val="center"/>
        <w:rPr>
          <w:rFonts w:hint="eastAsia"/>
          <w:b/>
          <w:bCs/>
          <w:lang w:val="en-US" w:eastAsia="zh-CN"/>
        </w:rPr>
      </w:pPr>
      <w:r>
        <w:drawing>
          <wp:inline distT="0" distB="0" distL="114300" distR="114300">
            <wp:extent cx="4133850" cy="2514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4133850" cy="2514600"/>
                    </a:xfrm>
                    <a:prstGeom prst="rect">
                      <a:avLst/>
                    </a:prstGeom>
                    <a:noFill/>
                    <a:ln>
                      <a:noFill/>
                    </a:ln>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lang w:val="en-US" w:eastAsia="zh-CN"/>
        </w:rPr>
        <w:t>学历分布</w:t>
      </w:r>
    </w:p>
    <w:p>
      <w:pPr>
        <w:ind w:firstLine="640" w:firstLineChars="200"/>
        <w:rPr>
          <w:rFonts w:hint="eastAsia"/>
          <w:lang w:val="en-US" w:eastAsia="zh-CN"/>
        </w:rPr>
      </w:pPr>
      <w:r>
        <w:rPr>
          <w:rFonts w:hint="eastAsia"/>
          <w:lang w:val="en-US" w:eastAsia="zh-CN"/>
        </w:rPr>
        <w:t>《宜昌市产业人才地图》学历分布为</w:t>
      </w:r>
      <w:r>
        <w:rPr>
          <w:rFonts w:hint="eastAsia" w:ascii="仿宋_GB2312" w:hAnsi="仿宋_GB2312" w:eastAsia="仿宋_GB2312" w:cs="仿宋_GB2312"/>
          <w:lang w:val="en-US" w:eastAsia="zh-CN"/>
        </w:rPr>
        <w:t>4</w:t>
      </w:r>
      <w:r>
        <w:rPr>
          <w:rFonts w:hint="eastAsia"/>
          <w:lang w:val="en-US" w:eastAsia="zh-CN"/>
        </w:rPr>
        <w:t>层：博士研究生、硕士研究生、本科、专科。</w:t>
      </w:r>
    </w:p>
    <w:p>
      <w:pPr>
        <w:ind w:firstLine="640" w:firstLineChars="200"/>
        <w:rPr>
          <w:rFonts w:hint="default"/>
          <w:lang w:val="en-US" w:eastAsia="zh-CN"/>
        </w:rPr>
      </w:pPr>
      <w:r>
        <w:rPr>
          <w:rFonts w:hint="eastAsia"/>
          <w:lang w:val="en-US" w:eastAsia="zh-CN"/>
        </w:rPr>
        <w:t>人才库学历分布层次不齐，反映了人才来源的多样性和复杂性。其中博士研究生占比过半，高学历人才集中，应充分发挥高学历人才的优势，同时关注并平衡其他层次人才的发展，充分利用和发挥不同学历背景人才的优势，实现人才资源的优化配置和高效利用。</w:t>
      </w:r>
    </w:p>
    <w:p>
      <w:pPr>
        <w:jc w:val="center"/>
        <w:rPr>
          <w:rFonts w:hint="default"/>
          <w:lang w:val="en-US" w:eastAsia="zh-CN"/>
        </w:rPr>
      </w:pPr>
      <w:r>
        <w:drawing>
          <wp:inline distT="0" distB="0" distL="114300" distR="114300">
            <wp:extent cx="4114800" cy="2362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14800" cy="2362200"/>
                    </a:xfrm>
                    <a:prstGeom prst="rect">
                      <a:avLst/>
                    </a:prstGeom>
                    <a:noFill/>
                    <a:ln>
                      <a:noFill/>
                    </a:ln>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lang w:val="en-US" w:eastAsia="zh-CN"/>
        </w:rPr>
        <w:t>产业分布</w:t>
      </w:r>
    </w:p>
    <w:p>
      <w:pPr>
        <w:ind w:firstLine="640" w:firstLineChars="200"/>
        <w:rPr>
          <w:rFonts w:hint="eastAsia"/>
          <w:lang w:val="en-US" w:eastAsia="zh-CN"/>
        </w:rPr>
      </w:pPr>
      <w:r>
        <w:rPr>
          <w:rFonts w:hint="eastAsia"/>
          <w:lang w:val="en-US" w:eastAsia="zh-CN"/>
        </w:rPr>
        <w:t>《宜昌市产业人才地图》产业人才分布为</w:t>
      </w:r>
      <w:r>
        <w:rPr>
          <w:rFonts w:hint="eastAsia" w:ascii="仿宋_GB2312" w:hAnsi="仿宋_GB2312" w:eastAsia="仿宋_GB2312" w:cs="仿宋_GB2312"/>
          <w:lang w:val="en-US" w:eastAsia="zh-CN"/>
        </w:rPr>
        <w:t>4</w:t>
      </w:r>
      <w:r>
        <w:rPr>
          <w:rFonts w:hint="eastAsia"/>
          <w:lang w:val="en-US" w:eastAsia="zh-CN"/>
        </w:rPr>
        <w:t>大产业链，分别是：装备制造、精细化工、生物制药、清洁能源。</w:t>
      </w:r>
    </w:p>
    <w:p>
      <w:pPr>
        <w:ind w:firstLine="640" w:firstLineChars="200"/>
        <w:rPr>
          <w:rFonts w:hint="eastAsia"/>
          <w:lang w:val="en-US" w:eastAsia="zh-CN"/>
        </w:rPr>
      </w:pPr>
      <w:r>
        <w:rPr>
          <w:rFonts w:hint="eastAsia"/>
          <w:lang w:val="en-US" w:eastAsia="zh-CN"/>
        </w:rPr>
        <w:t>产业链总数量为</w:t>
      </w:r>
      <w:r>
        <w:rPr>
          <w:rFonts w:hint="eastAsia" w:ascii="仿宋_GB2312" w:hAnsi="仿宋_GB2312" w:eastAsia="仿宋_GB2312" w:cs="仿宋_GB2312"/>
          <w:lang w:val="en-US" w:eastAsia="zh-CN"/>
        </w:rPr>
        <w:t>15445</w:t>
      </w:r>
      <w:r>
        <w:rPr>
          <w:rFonts w:hint="eastAsia"/>
          <w:lang w:val="en-US" w:eastAsia="zh-CN"/>
        </w:rPr>
        <w:t>人次：装备制造</w:t>
      </w:r>
      <w:r>
        <w:rPr>
          <w:rFonts w:hint="eastAsia" w:ascii="仿宋_GB2312" w:hAnsi="仿宋_GB2312" w:eastAsia="仿宋_GB2312" w:cs="仿宋_GB2312"/>
          <w:lang w:val="en-US" w:eastAsia="zh-CN"/>
        </w:rPr>
        <w:t>6710</w:t>
      </w:r>
      <w:r>
        <w:rPr>
          <w:rFonts w:hint="eastAsia"/>
          <w:lang w:val="en-US" w:eastAsia="zh-CN"/>
        </w:rPr>
        <w:t>人次、精细化工</w:t>
      </w:r>
      <w:r>
        <w:rPr>
          <w:rFonts w:hint="eastAsia" w:ascii="仿宋_GB2312" w:hAnsi="仿宋_GB2312" w:eastAsia="仿宋_GB2312" w:cs="仿宋_GB2312"/>
          <w:lang w:val="en-US" w:eastAsia="zh-CN"/>
        </w:rPr>
        <w:t>5122</w:t>
      </w:r>
      <w:r>
        <w:rPr>
          <w:rFonts w:hint="eastAsia"/>
          <w:lang w:val="en-US" w:eastAsia="zh-CN"/>
        </w:rPr>
        <w:t>人次、生物制药</w:t>
      </w:r>
      <w:r>
        <w:rPr>
          <w:rFonts w:hint="eastAsia" w:ascii="仿宋_GB2312" w:hAnsi="仿宋_GB2312" w:eastAsia="仿宋_GB2312" w:cs="仿宋_GB2312"/>
          <w:lang w:val="en-US" w:eastAsia="zh-CN"/>
        </w:rPr>
        <w:t>4605</w:t>
      </w:r>
      <w:r>
        <w:rPr>
          <w:rFonts w:hint="eastAsia"/>
          <w:lang w:val="en-US" w:eastAsia="zh-CN"/>
        </w:rPr>
        <w:t>人次、清洁能源</w:t>
      </w:r>
      <w:r>
        <w:rPr>
          <w:rFonts w:hint="eastAsia" w:ascii="仿宋_GB2312" w:hAnsi="仿宋_GB2312" w:eastAsia="仿宋_GB2312" w:cs="仿宋_GB2312"/>
          <w:lang w:val="en-US" w:eastAsia="zh-CN"/>
        </w:rPr>
        <w:t>2158</w:t>
      </w:r>
      <w:r>
        <w:rPr>
          <w:rFonts w:hint="eastAsia"/>
          <w:lang w:val="en-US" w:eastAsia="zh-CN"/>
        </w:rPr>
        <w:t>人次。链上人才分布不均匀，涉及多方因素，包括产业发展状况、人才需求、人才流动等。</w:t>
      </w:r>
    </w:p>
    <w:p>
      <w:pPr>
        <w:jc w:val="center"/>
        <w:rPr>
          <w:rFonts w:hint="default"/>
          <w:lang w:val="en-US" w:eastAsia="zh-CN"/>
        </w:rPr>
      </w:pPr>
      <w:r>
        <w:drawing>
          <wp:inline distT="0" distB="0" distL="114300" distR="114300">
            <wp:extent cx="4019550" cy="2743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019550" cy="2743200"/>
                    </a:xfrm>
                    <a:prstGeom prst="rect">
                      <a:avLst/>
                    </a:prstGeom>
                    <a:noFill/>
                    <a:ln>
                      <a:noFill/>
                    </a:ln>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lang w:val="en-US" w:eastAsia="zh-CN"/>
        </w:rPr>
        <w:t>人才年龄结构</w:t>
      </w:r>
    </w:p>
    <w:p>
      <w:pPr>
        <w:ind w:firstLine="640" w:firstLineChars="200"/>
        <w:rPr>
          <w:rFonts w:hint="eastAsia"/>
          <w:lang w:val="en-US" w:eastAsia="zh-CN"/>
        </w:rPr>
      </w:pPr>
      <w:r>
        <w:rPr>
          <w:rFonts w:hint="eastAsia"/>
          <w:lang w:val="en-US" w:eastAsia="zh-CN"/>
        </w:rPr>
        <w:t>《宜昌市产业人才地图》人才年龄结构分为</w:t>
      </w:r>
      <w:r>
        <w:rPr>
          <w:rFonts w:hint="eastAsia" w:ascii="仿宋_GB2312" w:hAnsi="仿宋_GB2312" w:eastAsia="仿宋_GB2312" w:cs="仿宋_GB2312"/>
          <w:lang w:val="en-US" w:eastAsia="zh-CN"/>
        </w:rPr>
        <w:t>5</w:t>
      </w:r>
      <w:r>
        <w:rPr>
          <w:rFonts w:hint="eastAsia"/>
          <w:lang w:val="en-US" w:eastAsia="zh-CN"/>
        </w:rPr>
        <w:t>个阶段：</w:t>
      </w:r>
      <w:r>
        <w:rPr>
          <w:rFonts w:hint="eastAsia" w:ascii="仿宋_GB2312" w:hAnsi="仿宋_GB2312" w:eastAsia="仿宋_GB2312" w:cs="仿宋_GB2312"/>
          <w:lang w:val="en-US" w:eastAsia="zh-CN"/>
        </w:rPr>
        <w:t>18-30、30-40、40-50、50-60、60-*</w:t>
      </w:r>
      <w:r>
        <w:rPr>
          <w:rFonts w:hint="eastAsia"/>
          <w:lang w:val="en-US" w:eastAsia="zh-CN"/>
        </w:rPr>
        <w:t>。</w:t>
      </w:r>
    </w:p>
    <w:p>
      <w:pPr>
        <w:ind w:firstLine="640" w:firstLineChars="200"/>
        <w:rPr>
          <w:rFonts w:hint="default"/>
          <w:lang w:val="en-US" w:eastAsia="zh-CN"/>
        </w:rPr>
      </w:pPr>
      <w:r>
        <w:rPr>
          <w:rFonts w:hint="eastAsia"/>
          <w:lang w:val="en-US" w:eastAsia="zh-CN"/>
        </w:rPr>
        <w:t>人才库年龄集中分布在</w:t>
      </w:r>
      <w:r>
        <w:rPr>
          <w:rFonts w:hint="eastAsia" w:ascii="仿宋_GB2312" w:hAnsi="仿宋_GB2312" w:eastAsia="仿宋_GB2312" w:cs="仿宋_GB2312"/>
          <w:lang w:val="en-US" w:eastAsia="zh-CN"/>
        </w:rPr>
        <w:t>40-60</w:t>
      </w:r>
      <w:r>
        <w:rPr>
          <w:rFonts w:hint="eastAsia"/>
          <w:lang w:val="en-US" w:eastAsia="zh-CN"/>
        </w:rPr>
        <w:t>。一方面，意味着这些经验丰富、技能成熟的中年人在各行各业中扮演着重要的角色，他们的专业知识和经验对于城市的发展和运营至关重要；另一方面，随着这批中年人才的逐渐退休，可能会出现人才断层的情况，导致某些关键岗位的人才短缺。政府组织、企业等需采取积极的措施来优化人才结构和管理策略，以应对未来可能出现的变化和挑战。</w:t>
      </w:r>
    </w:p>
    <w:p>
      <w:pPr>
        <w:jc w:val="center"/>
        <w:rPr>
          <w:rFonts w:hint="default"/>
          <w:lang w:val="en-US" w:eastAsia="zh-CN"/>
        </w:rPr>
      </w:pPr>
      <w:r>
        <w:drawing>
          <wp:inline distT="0" distB="0" distL="114300" distR="114300">
            <wp:extent cx="4076700" cy="24860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76700" cy="2486025"/>
                    </a:xfrm>
                    <a:prstGeom prst="rect">
                      <a:avLst/>
                    </a:prstGeom>
                    <a:noFill/>
                    <a:ln>
                      <a:noFill/>
                    </a:ln>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lang w:val="en-US" w:eastAsia="zh-CN"/>
        </w:rPr>
        <w:t>地区分布</w:t>
      </w:r>
    </w:p>
    <w:p>
      <w:pPr>
        <w:ind w:firstLine="640" w:firstLineChars="200"/>
        <w:rPr>
          <w:rFonts w:hint="eastAsia"/>
          <w:lang w:val="en-US" w:eastAsia="zh-CN"/>
        </w:rPr>
      </w:pPr>
      <w:r>
        <w:rPr>
          <w:rFonts w:hint="eastAsia"/>
          <w:lang w:val="en-US" w:eastAsia="zh-CN"/>
        </w:rPr>
        <w:t>《宜昌市产业人才地图》地区人才分布大类为</w:t>
      </w:r>
      <w:r>
        <w:rPr>
          <w:rFonts w:hint="eastAsia" w:ascii="仿宋_GB2312" w:hAnsi="仿宋_GB2312" w:eastAsia="仿宋_GB2312" w:cs="仿宋_GB2312"/>
          <w:lang w:val="en-US" w:eastAsia="zh-CN"/>
        </w:rPr>
        <w:t>2</w:t>
      </w:r>
      <w:r>
        <w:rPr>
          <w:rFonts w:hint="eastAsia"/>
          <w:lang w:val="en-US" w:eastAsia="zh-CN"/>
        </w:rPr>
        <w:t>类：宜昌本地、外地人才。</w:t>
      </w:r>
    </w:p>
    <w:p>
      <w:pPr>
        <w:ind w:firstLine="640" w:firstLineChars="200"/>
        <w:rPr>
          <w:rFonts w:hint="eastAsia"/>
          <w:lang w:val="en-US" w:eastAsia="zh-CN"/>
        </w:rPr>
      </w:pPr>
      <w:r>
        <w:rPr>
          <w:rFonts w:hint="eastAsia"/>
          <w:lang w:val="en-US" w:eastAsia="zh-CN"/>
        </w:rPr>
        <w:t>通过对人才库分析，识别出宜昌市本地人才</w:t>
      </w:r>
      <w:r>
        <w:rPr>
          <w:rFonts w:hint="eastAsia" w:ascii="仿宋_GB2312" w:hAnsi="仿宋_GB2312" w:eastAsia="仿宋_GB2312" w:cs="仿宋_GB2312"/>
          <w:lang w:val="en-US" w:eastAsia="zh-CN"/>
        </w:rPr>
        <w:t>15534</w:t>
      </w:r>
      <w:r>
        <w:rPr>
          <w:rFonts w:hint="eastAsia"/>
          <w:lang w:val="en-US" w:eastAsia="zh-CN"/>
        </w:rPr>
        <w:t>名。下图为宜昌市人才聚集前十地区，西陵区人才聚集最多，为</w:t>
      </w:r>
      <w:r>
        <w:rPr>
          <w:rFonts w:hint="eastAsia" w:ascii="仿宋_GB2312" w:hAnsi="仿宋_GB2312" w:eastAsia="仿宋_GB2312" w:cs="仿宋_GB2312"/>
          <w:lang w:val="en-US" w:eastAsia="zh-CN"/>
        </w:rPr>
        <w:t>7071</w:t>
      </w:r>
      <w:r>
        <w:rPr>
          <w:rFonts w:hint="eastAsia"/>
          <w:lang w:val="en-US" w:eastAsia="zh-CN"/>
        </w:rPr>
        <w:t>人；其次为伍家岗区，</w:t>
      </w:r>
      <w:r>
        <w:rPr>
          <w:rFonts w:hint="eastAsia" w:ascii="仿宋_GB2312" w:hAnsi="仿宋_GB2312" w:eastAsia="仿宋_GB2312" w:cs="仿宋_GB2312"/>
          <w:lang w:val="en-US" w:eastAsia="zh-CN"/>
        </w:rPr>
        <w:t>1207</w:t>
      </w:r>
      <w:r>
        <w:rPr>
          <w:rFonts w:hint="eastAsia"/>
          <w:lang w:val="en-US" w:eastAsia="zh-CN"/>
        </w:rPr>
        <w:t>人。人才聚集在西陵区，促进了此区域的发展，政府和企业也应采取措施来平衡人才分布，促进人才的合理流动和区域协调发展。</w:t>
      </w:r>
    </w:p>
    <w:p>
      <w:pPr>
        <w:jc w:val="center"/>
        <w:rPr>
          <w:rFonts w:hint="default"/>
          <w:color w:val="C00000"/>
          <w:lang w:val="en-US" w:eastAsia="zh-CN"/>
        </w:rPr>
      </w:pPr>
      <w:r>
        <w:drawing>
          <wp:inline distT="0" distB="0" distL="114300" distR="114300">
            <wp:extent cx="4826000" cy="2743200"/>
            <wp:effectExtent l="4445" t="4445" r="8255" b="14605"/>
            <wp:docPr id="7" name="图表 6"/>
            <wp:cNvGraphicFramePr/>
            <a:graphic xmlns:a="http://schemas.openxmlformats.org/drawingml/2006/main">
              <a:graphicData uri="http://schemas.openxmlformats.org/drawingml/2006/chart">
                <c:chart xmlns:c="http://schemas.openxmlformats.org/drawingml/2006/chart" r:id="rId8"/>
              </a:graphicData>
            </a:graphic>
          </wp:inline>
        </w:drawing>
      </w:r>
    </w:p>
    <w:p>
      <w:pPr>
        <w:ind w:firstLine="640" w:firstLineChars="200"/>
        <w:rPr>
          <w:rFonts w:hint="eastAsia"/>
          <w:lang w:val="en-US" w:eastAsia="zh-CN"/>
        </w:rPr>
      </w:pPr>
      <w:r>
        <w:rPr>
          <w:rFonts w:hint="eastAsia"/>
          <w:lang w:val="en-US" w:eastAsia="zh-CN"/>
        </w:rPr>
        <w:t>宜昌市本地人才在整个人才库所占的比例相对较低。这种现象可能由多种因素导致，如人口流动迁移、当地资源等原因，后期可以从教育资源、引进政策综合考虑。</w:t>
      </w:r>
    </w:p>
    <w:p>
      <w:pPr>
        <w:pStyle w:val="3"/>
        <w:numPr>
          <w:ilvl w:val="0"/>
          <w:numId w:val="2"/>
        </w:numPr>
        <w:bidi w:val="0"/>
        <w:rPr>
          <w:rFonts w:hint="default"/>
          <w:lang w:val="en-US" w:eastAsia="zh-CN"/>
        </w:rPr>
      </w:pPr>
      <w:r>
        <w:rPr>
          <w:rFonts w:hint="eastAsia"/>
          <w:lang w:val="en-US" w:eastAsia="zh-CN"/>
        </w:rPr>
        <w:t>机构分布</w:t>
      </w:r>
    </w:p>
    <w:p>
      <w:pPr>
        <w:ind w:firstLine="640" w:firstLineChars="200"/>
        <w:rPr>
          <w:rFonts w:hint="eastAsia"/>
          <w:lang w:val="en-US" w:eastAsia="zh-CN"/>
        </w:rPr>
      </w:pPr>
      <w:r>
        <w:rPr>
          <w:rFonts w:hint="eastAsia"/>
          <w:lang w:val="en-US" w:eastAsia="zh-CN"/>
        </w:rPr>
        <w:t>《宜昌市产业人才地图》人才主要分布在两类机构：企业和高校。</w:t>
      </w:r>
    </w:p>
    <w:p>
      <w:pPr>
        <w:ind w:firstLine="640" w:firstLineChars="200"/>
        <w:rPr>
          <w:rFonts w:hint="default"/>
          <w:lang w:val="en-US" w:eastAsia="zh-CN"/>
        </w:rPr>
      </w:pPr>
      <w:r>
        <w:rPr>
          <w:rFonts w:hint="eastAsia"/>
          <w:lang w:val="en-US" w:eastAsia="zh-CN"/>
        </w:rPr>
        <w:t>人才重点分布在企业和高校中。一方面，高校作为人才培养的摇篮，自然也是人才聚集的重要场所。另一方面，企业作为经济活动的主要载体，对人才的需求旺盛。人才集中在企业和高校是当今社会发展的重要趋势，这种集中现象既带来了机遇也带来了挑战。我们需要通过多方面的努力来推动人才的合理流动和分布。</w:t>
      </w:r>
    </w:p>
    <w:p>
      <w:pPr>
        <w:pStyle w:val="3"/>
        <w:numPr>
          <w:ilvl w:val="0"/>
          <w:numId w:val="2"/>
        </w:numPr>
        <w:bidi w:val="0"/>
        <w:rPr>
          <w:rFonts w:hint="default"/>
          <w:lang w:val="en-US" w:eastAsia="zh-CN"/>
        </w:rPr>
      </w:pPr>
      <w:r>
        <w:rPr>
          <w:rFonts w:hint="eastAsia"/>
          <w:lang w:val="en-US" w:eastAsia="zh-CN"/>
        </w:rPr>
        <w:t>成果产出</w:t>
      </w:r>
    </w:p>
    <w:p>
      <w:pPr>
        <w:ind w:firstLine="640" w:firstLineChars="200"/>
        <w:rPr>
          <w:rFonts w:hint="eastAsia"/>
          <w:lang w:val="en-US" w:eastAsia="zh-CN"/>
        </w:rPr>
      </w:pPr>
      <w:r>
        <w:rPr>
          <w:rFonts w:hint="eastAsia"/>
          <w:lang w:val="en-US" w:eastAsia="zh-CN"/>
        </w:rPr>
        <w:t>《宜昌市产业人才地图》人才相关成果产出表现形式主要为</w:t>
      </w:r>
      <w:r>
        <w:rPr>
          <w:rFonts w:hint="eastAsia" w:ascii="仿宋_GB2312" w:hAnsi="仿宋_GB2312" w:eastAsia="仿宋_GB2312" w:cs="仿宋_GB2312"/>
          <w:lang w:val="en-US" w:eastAsia="zh-CN"/>
        </w:rPr>
        <w:t>2</w:t>
      </w:r>
      <w:r>
        <w:rPr>
          <w:rFonts w:hint="eastAsia"/>
          <w:lang w:val="en-US" w:eastAsia="zh-CN"/>
        </w:rPr>
        <w:t>大方面：论文、专利。</w:t>
      </w:r>
    </w:p>
    <w:p>
      <w:pPr>
        <w:ind w:firstLine="640" w:firstLineChars="200"/>
        <w:rPr>
          <w:rFonts w:hint="default"/>
          <w:lang w:val="en-US" w:eastAsia="zh-CN"/>
        </w:rPr>
      </w:pPr>
      <w:r>
        <w:rPr>
          <w:rFonts w:hint="eastAsia"/>
          <w:lang w:val="en-US" w:eastAsia="zh-CN"/>
        </w:rPr>
        <w:t>人才库涵盖全国范围内收录的论文、专利，总数为</w:t>
      </w:r>
      <w:r>
        <w:rPr>
          <w:rFonts w:hint="eastAsia" w:ascii="仿宋_GB2312" w:hAnsi="仿宋_GB2312" w:eastAsia="仿宋_GB2312" w:cs="仿宋_GB2312"/>
          <w:lang w:val="en-US" w:eastAsia="zh-CN"/>
        </w:rPr>
        <w:t>2177535</w:t>
      </w:r>
      <w:r>
        <w:rPr>
          <w:rFonts w:hint="eastAsia"/>
          <w:lang w:val="en-US" w:eastAsia="zh-CN"/>
        </w:rPr>
        <w:t>。通过大数据挖掘、云计算分析等技术对比，装备制造产业链在激烈的市场竞争中脱颖而出，展现出了显著的优势，占比</w:t>
      </w:r>
      <w:r>
        <w:rPr>
          <w:rFonts w:hint="eastAsia" w:ascii="仿宋_GB2312" w:hAnsi="仿宋_GB2312" w:eastAsia="仿宋_GB2312" w:cs="仿宋_GB2312"/>
          <w:lang w:val="en-US" w:eastAsia="zh-CN"/>
        </w:rPr>
        <w:t>36%</w:t>
      </w:r>
      <w:r>
        <w:rPr>
          <w:rFonts w:hint="eastAsia"/>
          <w:lang w:val="en-US" w:eastAsia="zh-CN"/>
        </w:rPr>
        <w:t>；生物制药产业链紧跟其后，占比</w:t>
      </w:r>
      <w:r>
        <w:rPr>
          <w:rFonts w:hint="eastAsia" w:ascii="仿宋_GB2312" w:hAnsi="仿宋_GB2312" w:eastAsia="仿宋_GB2312" w:cs="仿宋_GB2312"/>
          <w:lang w:val="en-US" w:eastAsia="zh-CN"/>
        </w:rPr>
        <w:t>33%</w:t>
      </w:r>
      <w:r>
        <w:rPr>
          <w:rFonts w:hint="eastAsia"/>
          <w:lang w:val="en-US" w:eastAsia="zh-CN"/>
        </w:rPr>
        <w:t>；精细化工和清洁能源产业链占比较少。</w:t>
      </w:r>
    </w:p>
    <w:p>
      <w:pPr>
        <w:jc w:val="center"/>
        <w:rPr>
          <w:rFonts w:hint="default"/>
          <w:lang w:val="en-US" w:eastAsia="zh-CN"/>
        </w:rPr>
      </w:pPr>
      <w:r>
        <w:drawing>
          <wp:inline distT="0" distB="0" distL="114300" distR="114300">
            <wp:extent cx="4000500" cy="241935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4000500" cy="2419350"/>
                    </a:xfrm>
                    <a:prstGeom prst="rect">
                      <a:avLst/>
                    </a:prstGeom>
                    <a:noFill/>
                    <a:ln>
                      <a:noFill/>
                    </a:ln>
                  </pic:spPr>
                </pic:pic>
              </a:graphicData>
            </a:graphic>
          </wp:inline>
        </w:drawing>
      </w:r>
    </w:p>
    <w:p>
      <w:pPr>
        <w:pStyle w:val="3"/>
        <w:numPr>
          <w:ilvl w:val="0"/>
          <w:numId w:val="2"/>
        </w:numPr>
        <w:bidi w:val="0"/>
        <w:ind w:left="0" w:leftChars="0" w:firstLine="0" w:firstLineChars="0"/>
        <w:rPr>
          <w:rFonts w:hint="default"/>
          <w:lang w:val="en-US" w:eastAsia="zh-CN"/>
        </w:rPr>
      </w:pPr>
      <w:r>
        <w:rPr>
          <w:rFonts w:hint="eastAsia"/>
          <w:lang w:val="en-US" w:eastAsia="zh-CN"/>
        </w:rPr>
        <w:t>重点人才推荐</w:t>
      </w:r>
    </w:p>
    <w:p>
      <w:pPr>
        <w:ind w:firstLine="640" w:firstLineChars="200"/>
        <w:rPr>
          <w:rFonts w:hint="default"/>
          <w:lang w:val="en-US" w:eastAsia="zh-CN"/>
        </w:rPr>
      </w:pPr>
      <w:r>
        <w:rPr>
          <w:rFonts w:hint="eastAsia"/>
          <w:lang w:val="en-US" w:eastAsia="zh-CN"/>
        </w:rPr>
        <w:t>《宜昌市产业人才地图》重点推荐综合排名TOP前</w:t>
      </w:r>
      <w:r>
        <w:rPr>
          <w:rFonts w:hint="eastAsia" w:ascii="仿宋_GB2312" w:hAnsi="仿宋_GB2312" w:eastAsia="仿宋_GB2312" w:cs="仿宋_GB2312"/>
          <w:lang w:val="en-US" w:eastAsia="zh-CN"/>
        </w:rPr>
        <w:t>20</w:t>
      </w:r>
      <w:r>
        <w:rPr>
          <w:rFonts w:hint="eastAsia"/>
          <w:lang w:val="en-US" w:eastAsia="zh-CN"/>
        </w:rPr>
        <w:t>名的人才，推荐的人才是</w:t>
      </w:r>
      <w:r>
        <w:rPr>
          <w:rFonts w:hint="default"/>
          <w:lang w:val="en-US" w:eastAsia="zh-CN"/>
        </w:rPr>
        <w:t>综合考虑</w:t>
      </w:r>
      <w:r>
        <w:rPr>
          <w:rFonts w:hint="eastAsia"/>
          <w:lang w:val="en-US" w:eastAsia="zh-CN"/>
        </w:rPr>
        <w:t>宜昌市</w:t>
      </w:r>
      <w:r>
        <w:rPr>
          <w:rFonts w:hint="default"/>
          <w:lang w:val="en-US" w:eastAsia="zh-CN"/>
        </w:rPr>
        <w:t>的产业发展、人才需求、地理位置和文化背景等因素</w:t>
      </w:r>
      <w:r>
        <w:rPr>
          <w:rFonts w:hint="eastAsia"/>
          <w:lang w:val="en-US" w:eastAsia="zh-CN"/>
        </w:rPr>
        <w:t>，可以为宜昌市的机构提升核心竞争力，推动产业升级。</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661"/>
        <w:gridCol w:w="3023"/>
        <w:gridCol w:w="3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姓名</w:t>
            </w:r>
          </w:p>
        </w:tc>
        <w:tc>
          <w:tcPr>
            <w:tcW w:w="1661" w:type="dxa"/>
            <w:vAlign w:val="top"/>
          </w:tcPr>
          <w:p>
            <w:pPr>
              <w:jc w:val="center"/>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单位名称</w:t>
            </w:r>
          </w:p>
        </w:tc>
        <w:tc>
          <w:tcPr>
            <w:tcW w:w="3023" w:type="dxa"/>
            <w:vAlign w:val="top"/>
          </w:tcPr>
          <w:p>
            <w:pPr>
              <w:jc w:val="center"/>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研究领域</w:t>
            </w:r>
          </w:p>
        </w:tc>
        <w:tc>
          <w:tcPr>
            <w:tcW w:w="3178" w:type="dxa"/>
            <w:vAlign w:val="top"/>
          </w:tcPr>
          <w:p>
            <w:pPr>
              <w:jc w:val="center"/>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人才层次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俞学锋</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医学、生物学、工程、经济学、材料科学、物理学、化学、工程学、艺术</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国务院政府特殊津贴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李建林</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中国水利教育协会理事会</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工程学、材料科学、地质学、物理学、数学、计算机科学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三峡学者</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国家科学技术进步奖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潘礼庆</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工程学、物理学、材料科学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长江学者</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楚天学者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黄应平</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化学、生物学、工程学、材料科学、物理学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省、部科学技术奖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张露露</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化学、材料科学、工程学、物理学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国家杰出青年科学基金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石小涛</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生物学、医学、化学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国家优秀青年科学基金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游敏</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材料科学、工程学、化学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国务院政府特殊津贴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田斌</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工程学、材料科学、计算机科学、地质学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国务院政府特殊津贴</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宜昌名师</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湖北名师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王乐华</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工程学、材料科学、地质学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国家科学技术进步奖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谭恺炎</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葛洲坝集团试验检测有限公司</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工程学、生物学、数学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国务院政府特殊津贴</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国家技术发明奖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李志军</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安琪酵母股份有限公司</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化学、生物学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百千万人才工程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王习东</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工程学、物理学、材料科学、数学、计算机科学、化学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国家自然科学奖</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国家科学技术进步奖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倪世兵</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化学、材料科学、物理学、工程学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湖北省政府专项津贴专家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许文年</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生物学、化学、地质学、医学、地理学、材料科学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湖北省新世纪高层次</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湖北省政府专项津贴专家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方子帆</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工程学、材料科学、数学、物理学、计算机科学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省、部科技进步奖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方亮</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材料科学、化学、工程学、物理学、生物学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楚天学者</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国务院政府特殊津贴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彭刚</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工程学、材料科学、物理学、化学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省、部科技进步奖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邓张双</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化学、生物学、医学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三峡学者</w:t>
            </w:r>
          </w:p>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省、部科技进步奖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纪道斌</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生物学、地质学、工程学、环境科学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省、部科技进步奖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9"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赵新泽</w:t>
            </w:r>
          </w:p>
        </w:tc>
        <w:tc>
          <w:tcPr>
            <w:tcW w:w="1661"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三峡大学</w:t>
            </w:r>
          </w:p>
        </w:tc>
        <w:tc>
          <w:tcPr>
            <w:tcW w:w="3023"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工程学、材料科学、数学、计算机科学</w:t>
            </w:r>
          </w:p>
        </w:tc>
        <w:tc>
          <w:tcPr>
            <w:tcW w:w="3178" w:type="dxa"/>
            <w:vAlign w:val="top"/>
          </w:tcPr>
          <w:p>
            <w:pPr>
              <w:jc w:val="center"/>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湖北省有突出贡献中青年专家</w:t>
            </w:r>
          </w:p>
        </w:tc>
      </w:tr>
    </w:tbl>
    <w:p>
      <w:pPr>
        <w:pStyle w:val="2"/>
        <w:numPr>
          <w:ilvl w:val="0"/>
          <w:numId w:val="1"/>
        </w:numPr>
        <w:bidi w:val="0"/>
        <w:rPr>
          <w:rFonts w:hint="default"/>
          <w:lang w:val="en-US" w:eastAsia="zh-CN"/>
        </w:rPr>
      </w:pPr>
      <w:r>
        <w:rPr>
          <w:rFonts w:hint="eastAsia"/>
          <w:lang w:val="en-US" w:eastAsia="zh-CN"/>
        </w:rPr>
        <w:t>结论及建议</w:t>
      </w:r>
    </w:p>
    <w:p>
      <w:pPr>
        <w:pStyle w:val="3"/>
        <w:numPr>
          <w:ilvl w:val="0"/>
          <w:numId w:val="3"/>
        </w:numPr>
        <w:bidi w:val="0"/>
        <w:rPr>
          <w:rFonts w:hint="default"/>
          <w:lang w:val="en-US" w:eastAsia="zh-CN"/>
        </w:rPr>
      </w:pPr>
      <w:r>
        <w:rPr>
          <w:rFonts w:hint="eastAsia"/>
          <w:lang w:val="en-US" w:eastAsia="zh-CN"/>
        </w:rPr>
        <w:t>结论</w:t>
      </w:r>
    </w:p>
    <w:p>
      <w:pPr>
        <w:ind w:firstLine="640" w:firstLineChars="200"/>
        <w:rPr>
          <w:rFonts w:hint="default"/>
          <w:lang w:val="en-US" w:eastAsia="zh-CN"/>
        </w:rPr>
      </w:pPr>
      <w:r>
        <w:rPr>
          <w:rFonts w:hint="default"/>
          <w:lang w:val="en-US" w:eastAsia="zh-CN"/>
        </w:rPr>
        <w:t>本次人才库分析报告旨在深入分析当前人才库中的人才资源现状，为</w:t>
      </w:r>
      <w:r>
        <w:rPr>
          <w:rFonts w:hint="eastAsia"/>
          <w:lang w:val="en-US" w:eastAsia="zh-CN"/>
        </w:rPr>
        <w:t>宜昌本地</w:t>
      </w:r>
      <w:r>
        <w:rPr>
          <w:rFonts w:hint="default"/>
          <w:lang w:val="en-US" w:eastAsia="zh-CN"/>
        </w:rPr>
        <w:t>的战略发展提供有力的人才保障。经过详细的数据统计和对比分析，我们得出以下结论：</w:t>
      </w:r>
    </w:p>
    <w:p>
      <w:pPr>
        <w:numPr>
          <w:ilvl w:val="0"/>
          <w:numId w:val="0"/>
        </w:numPr>
        <w:ind w:firstLine="640" w:firstLineChars="200"/>
        <w:rPr>
          <w:rFonts w:hint="eastAsia"/>
          <w:lang w:val="en-US" w:eastAsia="zh-CN"/>
        </w:rPr>
      </w:pPr>
      <w:r>
        <w:rPr>
          <w:rFonts w:hint="default"/>
          <w:lang w:val="en-US" w:eastAsia="zh-CN"/>
        </w:rPr>
        <w:t>人才库规模</w:t>
      </w:r>
      <w:r>
        <w:rPr>
          <w:rFonts w:hint="eastAsia"/>
          <w:lang w:val="en-US" w:eastAsia="zh-CN"/>
        </w:rPr>
        <w:t>壮</w:t>
      </w:r>
      <w:r>
        <w:rPr>
          <w:rFonts w:hint="default"/>
          <w:lang w:val="en-US" w:eastAsia="zh-CN"/>
        </w:rPr>
        <w:t>大，但人才结构仍需优化。目前人才库中的人才数量</w:t>
      </w:r>
      <w:r>
        <w:rPr>
          <w:rFonts w:hint="eastAsia"/>
          <w:lang w:val="en-US" w:eastAsia="zh-CN"/>
        </w:rPr>
        <w:t>超</w:t>
      </w:r>
      <w:r>
        <w:rPr>
          <w:rFonts w:hint="eastAsia" w:ascii="仿宋_GB2312" w:hAnsi="仿宋_GB2312" w:eastAsia="仿宋_GB2312" w:cs="仿宋_GB2312"/>
          <w:lang w:val="en-US" w:eastAsia="zh-CN"/>
        </w:rPr>
        <w:t>150</w:t>
      </w:r>
      <w:r>
        <w:rPr>
          <w:rFonts w:hint="eastAsia"/>
          <w:lang w:val="en-US" w:eastAsia="zh-CN"/>
        </w:rPr>
        <w:t>万</w:t>
      </w:r>
      <w:r>
        <w:rPr>
          <w:rFonts w:hint="default"/>
          <w:lang w:val="en-US" w:eastAsia="zh-CN"/>
        </w:rPr>
        <w:t>，但在</w:t>
      </w:r>
      <w:r>
        <w:rPr>
          <w:rFonts w:hint="eastAsia"/>
          <w:lang w:val="en-US" w:eastAsia="zh-CN"/>
        </w:rPr>
        <w:t>产业、年龄、地区、成果产出</w:t>
      </w:r>
      <w:r>
        <w:rPr>
          <w:rFonts w:hint="default"/>
          <w:lang w:val="en-US" w:eastAsia="zh-CN"/>
        </w:rPr>
        <w:t>等方面</w:t>
      </w:r>
      <w:r>
        <w:rPr>
          <w:rFonts w:hint="eastAsia"/>
          <w:lang w:val="en-US" w:eastAsia="zh-CN"/>
        </w:rPr>
        <w:t>仍存在一定的不均衡现象，这些不均与可能导致城市产业结构的失衡、影响城市的创新能力和竞争力等。</w:t>
      </w:r>
    </w:p>
    <w:p>
      <w:pPr>
        <w:pStyle w:val="3"/>
        <w:numPr>
          <w:ilvl w:val="0"/>
          <w:numId w:val="3"/>
        </w:numPr>
        <w:bidi w:val="0"/>
        <w:rPr>
          <w:rFonts w:hint="default"/>
          <w:lang w:val="en-US" w:eastAsia="zh-CN"/>
        </w:rPr>
      </w:pPr>
      <w:r>
        <w:rPr>
          <w:rFonts w:hint="eastAsia"/>
          <w:lang w:val="en-US" w:eastAsia="zh-CN"/>
        </w:rPr>
        <w:t>建议</w:t>
      </w:r>
    </w:p>
    <w:p>
      <w:pPr>
        <w:numPr>
          <w:ilvl w:val="0"/>
          <w:numId w:val="0"/>
        </w:numPr>
        <w:ind w:firstLine="640" w:firstLineChars="200"/>
        <w:rPr>
          <w:rFonts w:hint="default"/>
          <w:lang w:val="en-US" w:eastAsia="zh-CN"/>
        </w:rPr>
      </w:pPr>
      <w:r>
        <w:rPr>
          <w:rFonts w:hint="eastAsia"/>
          <w:lang w:val="en-US" w:eastAsia="zh-CN"/>
        </w:rPr>
        <w:t>为</w:t>
      </w:r>
      <w:r>
        <w:rPr>
          <w:rFonts w:hint="default"/>
          <w:lang w:val="en-US" w:eastAsia="zh-CN"/>
        </w:rPr>
        <w:t>了促进</w:t>
      </w:r>
      <w:r>
        <w:rPr>
          <w:rFonts w:hint="eastAsia"/>
          <w:lang w:val="en-US" w:eastAsia="zh-CN"/>
        </w:rPr>
        <w:t>宜昌本地</w:t>
      </w:r>
      <w:r>
        <w:rPr>
          <w:rFonts w:hint="default"/>
          <w:lang w:val="en-US" w:eastAsia="zh-CN"/>
        </w:rPr>
        <w:t>的发展，</w:t>
      </w:r>
      <w:r>
        <w:rPr>
          <w:rFonts w:hint="eastAsia"/>
          <w:lang w:val="en-US" w:eastAsia="zh-CN"/>
        </w:rPr>
        <w:t>可以</w:t>
      </w:r>
      <w:r>
        <w:rPr>
          <w:rFonts w:hint="default"/>
          <w:lang w:val="en-US" w:eastAsia="zh-CN"/>
        </w:rPr>
        <w:t>采取措施优化人才分布</w:t>
      </w:r>
      <w:r>
        <w:rPr>
          <w:rFonts w:hint="eastAsia"/>
          <w:lang w:val="en-US" w:eastAsia="zh-CN"/>
        </w:rPr>
        <w:t>不均匀现象</w:t>
      </w:r>
      <w:r>
        <w:rPr>
          <w:rFonts w:hint="default"/>
          <w:lang w:val="en-US" w:eastAsia="zh-CN"/>
        </w:rPr>
        <w:t>。政府和企业加强跨产业、跨地区的人才流动和合作，促进人才资源的均衡分布和共享。</w:t>
      </w:r>
    </w:p>
    <w:sectPr>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小标宋简体">
    <w:altName w:val="Arial Unicode MS"/>
    <w:panose1 w:val="03000509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D4590"/>
    <w:multiLevelType w:val="singleLevel"/>
    <w:tmpl w:val="9B7D4590"/>
    <w:lvl w:ilvl="0" w:tentative="0">
      <w:start w:val="1"/>
      <w:numFmt w:val="chineseCounting"/>
      <w:suff w:val="space"/>
      <w:lvlText w:val="（%1）"/>
      <w:lvlJc w:val="left"/>
      <w:pPr>
        <w:ind w:left="0"/>
      </w:pPr>
      <w:rPr>
        <w:rFonts w:hint="eastAsia"/>
      </w:rPr>
    </w:lvl>
  </w:abstractNum>
  <w:abstractNum w:abstractNumId="1">
    <w:nsid w:val="F898FACC"/>
    <w:multiLevelType w:val="singleLevel"/>
    <w:tmpl w:val="F898FACC"/>
    <w:lvl w:ilvl="0" w:tentative="0">
      <w:start w:val="1"/>
      <w:numFmt w:val="chineseCounting"/>
      <w:suff w:val="nothing"/>
      <w:lvlText w:val="%1、"/>
      <w:lvlJc w:val="left"/>
      <w:rPr>
        <w:rFonts w:hint="eastAsia"/>
      </w:rPr>
    </w:lvl>
  </w:abstractNum>
  <w:abstractNum w:abstractNumId="2">
    <w:nsid w:val="79229AC7"/>
    <w:multiLevelType w:val="singleLevel"/>
    <w:tmpl w:val="79229AC7"/>
    <w:lvl w:ilvl="0" w:tentative="0">
      <w:start w:val="1"/>
      <w:numFmt w:val="chineseCounting"/>
      <w:suff w:val="space"/>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wNzQwMjI5NjU3ODA1NWQ3ODVlMDhkM2VlMWFkMjAifQ=="/>
  </w:docVars>
  <w:rsids>
    <w:rsidRoot w:val="1B2C5C12"/>
    <w:rsid w:val="001C5015"/>
    <w:rsid w:val="01FF3086"/>
    <w:rsid w:val="022F5A73"/>
    <w:rsid w:val="04B30C95"/>
    <w:rsid w:val="0821752E"/>
    <w:rsid w:val="09A76035"/>
    <w:rsid w:val="09B039F5"/>
    <w:rsid w:val="0BBE6D64"/>
    <w:rsid w:val="0D137167"/>
    <w:rsid w:val="0F810856"/>
    <w:rsid w:val="0FB40B8C"/>
    <w:rsid w:val="123F4338"/>
    <w:rsid w:val="148443FC"/>
    <w:rsid w:val="17DC4334"/>
    <w:rsid w:val="197113F3"/>
    <w:rsid w:val="1A1046E7"/>
    <w:rsid w:val="1A65339C"/>
    <w:rsid w:val="1AB26EA5"/>
    <w:rsid w:val="1B2C5C12"/>
    <w:rsid w:val="1BB27AA1"/>
    <w:rsid w:val="1C362480"/>
    <w:rsid w:val="1CD83537"/>
    <w:rsid w:val="1E8F6869"/>
    <w:rsid w:val="230230BC"/>
    <w:rsid w:val="240E54C2"/>
    <w:rsid w:val="25575C66"/>
    <w:rsid w:val="25585215"/>
    <w:rsid w:val="258C45AD"/>
    <w:rsid w:val="266D2900"/>
    <w:rsid w:val="272B1A28"/>
    <w:rsid w:val="27402404"/>
    <w:rsid w:val="27561C28"/>
    <w:rsid w:val="27D14134"/>
    <w:rsid w:val="291F78CF"/>
    <w:rsid w:val="2B471FB3"/>
    <w:rsid w:val="30517430"/>
    <w:rsid w:val="3102072B"/>
    <w:rsid w:val="321E77E6"/>
    <w:rsid w:val="32787F7F"/>
    <w:rsid w:val="33744548"/>
    <w:rsid w:val="355E0F25"/>
    <w:rsid w:val="3AB17449"/>
    <w:rsid w:val="3B9D79CE"/>
    <w:rsid w:val="3DAE1A1E"/>
    <w:rsid w:val="3E48050B"/>
    <w:rsid w:val="3E742C68"/>
    <w:rsid w:val="3EF47905"/>
    <w:rsid w:val="41166258"/>
    <w:rsid w:val="433504EC"/>
    <w:rsid w:val="448160DE"/>
    <w:rsid w:val="4B1D003A"/>
    <w:rsid w:val="4F401E14"/>
    <w:rsid w:val="50C72264"/>
    <w:rsid w:val="50E33C7D"/>
    <w:rsid w:val="51024103"/>
    <w:rsid w:val="55DF5FAB"/>
    <w:rsid w:val="56F1356E"/>
    <w:rsid w:val="59A55F73"/>
    <w:rsid w:val="5BEE1AC6"/>
    <w:rsid w:val="5E413D91"/>
    <w:rsid w:val="60131DCE"/>
    <w:rsid w:val="61B551C2"/>
    <w:rsid w:val="61F96E5C"/>
    <w:rsid w:val="622B7232"/>
    <w:rsid w:val="6505650A"/>
    <w:rsid w:val="667444A2"/>
    <w:rsid w:val="674943E2"/>
    <w:rsid w:val="6854569E"/>
    <w:rsid w:val="6D5B09CB"/>
    <w:rsid w:val="6DB33D55"/>
    <w:rsid w:val="743B50B2"/>
    <w:rsid w:val="7A0534F6"/>
    <w:rsid w:val="7B073F40"/>
    <w:rsid w:val="7C26489A"/>
    <w:rsid w:val="7DC51E91"/>
    <w:rsid w:val="7E5033A0"/>
    <w:rsid w:val="7FF30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eastAsia="黑体"/>
      <w:b/>
      <w:kern w:val="44"/>
      <w:sz w:val="32"/>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楷体_GB2312"/>
      <w:b/>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Body Text"/>
    <w:basedOn w:val="1"/>
    <w:next w:val="1"/>
    <w:autoRedefine/>
    <w:qFormat/>
    <w:uiPriority w:val="99"/>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autoRedefine/>
    <w:qFormat/>
    <w:uiPriority w:val="34"/>
    <w:pPr>
      <w:ind w:firstLine="420" w:firstLineChars="200"/>
    </w:p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numbering.xml" Type="http://schemas.openxmlformats.org/officeDocument/2006/relationships/numbering"/><Relationship Id="rId11" Target="fontTable.xml" Type="http://schemas.openxmlformats.org/officeDocument/2006/relationships/fontTable"/><Relationship Id="rId2" Target="settings.xml" Type="http://schemas.openxmlformats.org/officeDocument/2006/relationships/settings"/><Relationship Id="rId3" Target="theme/theme1.xml" Type="http://schemas.openxmlformats.org/officeDocument/2006/relationships/theme"/><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charts/chart1.xml" Type="http://schemas.openxmlformats.org/officeDocument/2006/relationships/chart"/><Relationship Id="rId9" Target="media/image5.png" Type="http://schemas.openxmlformats.org/officeDocument/2006/relationships/image"/></Relationships>
</file>

<file path=word/charts/_rels/chart1.xml.rels><?xml version="1.0" encoding="UTF-8" standalone="yes"?><Relationships xmlns="http://schemas.openxmlformats.org/package/2006/relationships"><Relationship Id="rId1" Target="&#24037;&#20316;&#31807;1" TargetMode="External" Type="http://schemas.openxmlformats.org/officeDocument/2006/relationships/oleObject"/><Relationship Id="rId2" Target="style1.xml" Type="http://schemas.microsoft.com/office/2011/relationships/chartStyle"/><Relationship Id="rId3" Target="colors1.xml" Type="http://schemas.microsoft.com/office/2011/relationships/chartColorStyl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a:latin typeface="黑体" panose="02010609060101010101" charset="-122"/>
                <a:ea typeface="黑体" panose="02010609060101010101" charset="-122"/>
              </a:rPr>
              <a:t>地区分布</a:t>
            </a:r>
            <a:endParaRPr>
              <a:latin typeface="黑体" panose="02010609060101010101" charset="-122"/>
              <a:ea typeface="黑体" panose="02010609060101010101" charset="-122"/>
            </a:endParaRPr>
          </a:p>
        </c:rich>
      </c:tx>
      <c:layout/>
      <c:overlay val="0"/>
      <c:spPr>
        <a:noFill/>
        <a:ln>
          <a:noFill/>
        </a:ln>
        <a:effectLst/>
      </c:spPr>
    </c:title>
    <c:autoTitleDeleted val="0"/>
    <c:plotArea>
      <c:layout/>
      <c:barChart>
        <c:barDir val="col"/>
        <c:grouping val="clustered"/>
        <c:varyColors val="0"/>
        <c:ser>
          <c:idx val="0"/>
          <c:order val="0"/>
          <c:tx>
            <c:strRef>
              <c:f>[工作簿1]Sheet1!$B$22</c:f>
              <c:strCache>
                <c:ptCount val="1"/>
                <c:pt idx="0">
                  <c:v>数量</c:v>
                </c:pt>
              </c:strCache>
            </c:strRef>
          </c:tx>
          <c:spPr>
            <a:solidFill>
              <a:schemeClr val="accent1"/>
            </a:solidFill>
            <a:ln>
              <a:noFill/>
            </a:ln>
            <a:effectLst/>
          </c:spPr>
          <c:invertIfNegative val="0"/>
          <c:dLbls>
            <c:delete val="1"/>
          </c:dLbls>
          <c:cat>
            <c:strRef>
              <c:f>[工作簿1]Sheet1!$A$23:$A$35</c:f>
              <c:strCache>
                <c:ptCount val="13"/>
                <c:pt idx="0">
                  <c:v>五峰土家族自治县</c:v>
                </c:pt>
                <c:pt idx="1">
                  <c:v>伍家岗区</c:v>
                </c:pt>
                <c:pt idx="2">
                  <c:v>兴山县</c:v>
                </c:pt>
                <c:pt idx="3">
                  <c:v>夷陵区</c:v>
                </c:pt>
                <c:pt idx="4">
                  <c:v>宜都市</c:v>
                </c:pt>
                <c:pt idx="5">
                  <c:v>当阳市</c:v>
                </c:pt>
                <c:pt idx="6">
                  <c:v>枝江市</c:v>
                </c:pt>
                <c:pt idx="7">
                  <c:v>点军区</c:v>
                </c:pt>
                <c:pt idx="8">
                  <c:v>猇亭区</c:v>
                </c:pt>
                <c:pt idx="9">
                  <c:v>秭归县</c:v>
                </c:pt>
                <c:pt idx="10">
                  <c:v>西陵区</c:v>
                </c:pt>
                <c:pt idx="11">
                  <c:v>远安县</c:v>
                </c:pt>
                <c:pt idx="12">
                  <c:v>长阳土家族自治县</c:v>
                </c:pt>
              </c:strCache>
            </c:strRef>
          </c:cat>
          <c:val>
            <c:numRef>
              <c:f>[工作簿1]Sheet1!$B$23:$B$35</c:f>
              <c:numCache>
                <c:formatCode>General</c:formatCode>
                <c:ptCount val="13"/>
                <c:pt idx="0">
                  <c:v>105</c:v>
                </c:pt>
                <c:pt idx="1">
                  <c:v>1201</c:v>
                </c:pt>
                <c:pt idx="2">
                  <c:v>453</c:v>
                </c:pt>
                <c:pt idx="3">
                  <c:v>1034</c:v>
                </c:pt>
                <c:pt idx="4">
                  <c:v>542</c:v>
                </c:pt>
                <c:pt idx="5">
                  <c:v>326</c:v>
                </c:pt>
                <c:pt idx="6">
                  <c:v>826</c:v>
                </c:pt>
                <c:pt idx="7">
                  <c:v>94</c:v>
                </c:pt>
                <c:pt idx="8">
                  <c:v>816</c:v>
                </c:pt>
                <c:pt idx="9">
                  <c:v>64</c:v>
                </c:pt>
                <c:pt idx="10">
                  <c:v>7071</c:v>
                </c:pt>
                <c:pt idx="11">
                  <c:v>664</c:v>
                </c:pt>
                <c:pt idx="12">
                  <c:v>154</c:v>
                </c:pt>
              </c:numCache>
            </c:numRef>
          </c:val>
        </c:ser>
        <c:dLbls>
          <c:showLegendKey val="0"/>
          <c:showVal val="0"/>
          <c:showCatName val="0"/>
          <c:showSerName val="0"/>
          <c:showPercent val="0"/>
          <c:showBubbleSize val="0"/>
        </c:dLbls>
        <c:gapWidth val="246"/>
        <c:overlap val="-28"/>
        <c:axId val="827571584"/>
        <c:axId val="169091603"/>
      </c:barChart>
      <c:catAx>
        <c:axId val="82757158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9091603"/>
        <c:crosses val="autoZero"/>
        <c:auto val="1"/>
        <c:lblAlgn val="ctr"/>
        <c:lblOffset val="100"/>
        <c:noMultiLvlLbl val="0"/>
      </c:catAx>
      <c:valAx>
        <c:axId val="16909160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757158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2024-04-02T08:34:00Z</dcterms:created>
  <dc:creator>周旭阳</dc:creator>
  <cp:lastModifiedBy>清沐</cp:lastModifiedBy>
  <dcterms:modified xsi:type="dcterms:W3CDTF">2024-04-19T03:17:20Z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63F573B9E85B4A7C9650C1710F849D93_13</vt:lpwstr>
  </property>
</Properties>
</file>