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Toc14341"/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宜昌市产业人才地图</w:t>
      </w:r>
    </w:p>
    <w:p>
      <w:pPr>
        <w:widowControl w:val="0"/>
        <w:spacing w:line="7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技术库报告</w:t>
      </w: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widowControl w:val="0"/>
        <w:spacing w:line="700" w:lineRule="exact"/>
        <w:jc w:val="both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rPr>
          <w:rFonts w:hint="eastAsia"/>
        </w:rPr>
      </w:pPr>
    </w:p>
    <w:p>
      <w:pPr>
        <w:widowControl w:val="0"/>
        <w:bidi w:val="0"/>
        <w:jc w:val="center"/>
        <w:rPr>
          <w:rFonts w:hint="default" w:ascii="仿宋_GB2312" w:hAnsi="仿宋_GB2312" w:eastAsia="仿宋_GB2312" w:cs="仿宋_GB2312"/>
          <w:kern w:val="2"/>
          <w:sz w:val="32"/>
          <w:szCs w:val="22"/>
          <w:lang w:val="en-US" w:eastAsia="zh-CN"/>
        </w:rPr>
      </w:pPr>
      <w:r>
        <w:rPr>
          <w:rFonts w:hint="eastAsia" w:eastAsia="仿宋_GB2312" w:asciiTheme="minorAscii" w:hAnsiTheme="minorAscii" w:cstheme="minorBidi"/>
          <w:b/>
          <w:bCs/>
          <w:kern w:val="2"/>
          <w:sz w:val="32"/>
          <w:szCs w:val="24"/>
          <w:lang w:val="en-US" w:eastAsia="zh-CN"/>
        </w:rPr>
        <w:t>报告时间：</w:t>
      </w:r>
      <w:r>
        <w:rPr>
          <w:rFonts w:hint="eastAsia" w:ascii="仿宋_GB2312" w:hAnsi="仿宋_GB2312" w:eastAsia="仿宋_GB2312" w:cs="仿宋_GB2312"/>
          <w:kern w:val="2"/>
          <w:sz w:val="32"/>
          <w:szCs w:val="22"/>
          <w:lang w:val="en-US" w:eastAsia="zh-CN"/>
        </w:rPr>
        <w:t>2026-03-30</w:t>
      </w:r>
    </w:p>
    <w:p>
      <w:pPr>
        <w:widowControl w:val="0"/>
        <w:bidi w:val="0"/>
        <w:ind w:firstLine="2560" w:firstLineChars="800"/>
        <w:jc w:val="both"/>
        <w:rPr>
          <w:rFonts w:hint="eastAsia" w:eastAsia="仿宋_GB2312" w:asciiTheme="minorAscii" w:hAnsiTheme="minorAscii" w:cstheme="minorBidi"/>
          <w:b/>
          <w:bCs/>
          <w:kern w:val="2"/>
          <w:sz w:val="32"/>
          <w:szCs w:val="24"/>
          <w:lang w:val="en-US" w:eastAsia="zh-CN"/>
        </w:rPr>
      </w:pPr>
      <w:r>
        <w:rPr>
          <w:rFonts w:hint="eastAsia" w:eastAsia="仿宋_GB2312" w:asciiTheme="minorAscii" w:hAnsiTheme="minorAscii" w:cstheme="minorBidi"/>
          <w:b/>
          <w:bCs/>
          <w:kern w:val="2"/>
          <w:sz w:val="32"/>
          <w:szCs w:val="24"/>
          <w:lang w:val="en-US" w:eastAsia="zh-CN"/>
        </w:rPr>
        <w:br w:type="page"/>
      </w:r>
      <w:bookmarkEnd w:id="0"/>
    </w:p>
    <w:p>
      <w:pPr>
        <w:pStyle w:val="2"/>
        <w:keepNext/>
        <w:keepLines/>
        <w:widowControl w:val="0"/>
        <w:numPr>
          <w:ilvl w:val="0"/>
          <w:numId w:val="1"/>
        </w:numPr>
        <w:spacing w:before="340" w:beforeAutospacing="0" w:after="330" w:afterAutospacing="0" w:line="576" w:lineRule="auto"/>
        <w:jc w:val="both"/>
        <w:rPr>
          <w:rFonts w:hint="eastAsia" w:ascii="Calibri" w:hAnsi="Calibri" w:eastAsia="黑体"/>
          <w:bCs w:val="0"/>
          <w:sz w:val="32"/>
          <w:szCs w:val="24"/>
        </w:rPr>
      </w:pPr>
      <w:bookmarkStart w:id="1" w:name="_Toc25214"/>
      <w:r>
        <w:rPr>
          <w:rFonts w:hint="eastAsia" w:ascii="Calibri" w:hAnsi="Calibri" w:eastAsia="黑体"/>
          <w:bCs w:val="0"/>
          <w:sz w:val="32"/>
          <w:szCs w:val="24"/>
        </w:rPr>
        <w:t>引言</w:t>
      </w:r>
    </w:p>
    <w:p>
      <w:pPr>
        <w:widowControl w:val="0"/>
        <w:ind w:firstLine="640" w:firstLineChars="200"/>
        <w:jc w:val="both"/>
        <w:rPr>
          <w:rFonts w:eastAsia="仿宋_GB2312"/>
          <w:kern w:val="2"/>
          <w:sz w:val="32"/>
          <w:szCs w:val="24"/>
        </w:rPr>
      </w:pPr>
      <w:r>
        <w:rPr>
          <w:rFonts w:hint="eastAsia" w:eastAsia="仿宋_GB2312"/>
          <w:kern w:val="2"/>
          <w:sz w:val="32"/>
          <w:szCs w:val="24"/>
        </w:rPr>
        <w:t>随着科技的迅速发展，技术在我们的生活中扮演着越来越重要的角色。本报告旨在探讨宜昌市技术领域的最新进展，并分析其对宜昌社会、经济和环境的影响。本报告将从数据的背景出发，深入挖掘相关技术库数据分析，并探讨宜昌未来发展的潜力和挑战。</w:t>
      </w:r>
    </w:p>
    <w:p>
      <w:pPr>
        <w:pStyle w:val="2"/>
        <w:keepNext/>
        <w:keepLines/>
        <w:widowControl w:val="0"/>
        <w:numPr>
          <w:ilvl w:val="0"/>
          <w:numId w:val="1"/>
        </w:numPr>
        <w:spacing w:before="340" w:beforeAutospacing="0" w:after="330" w:afterAutospacing="0" w:line="576" w:lineRule="auto"/>
        <w:jc w:val="both"/>
        <w:rPr>
          <w:rFonts w:ascii="Calibri" w:hAnsi="Calibri" w:eastAsia="黑体"/>
          <w:bCs w:val="0"/>
          <w:sz w:val="32"/>
          <w:szCs w:val="24"/>
        </w:rPr>
      </w:pPr>
      <w:r>
        <w:rPr>
          <w:rFonts w:hint="eastAsia" w:ascii="Calibri" w:hAnsi="Calibri" w:eastAsia="黑体"/>
          <w:bCs w:val="0"/>
          <w:sz w:val="32"/>
          <w:szCs w:val="24"/>
        </w:rPr>
        <w:t>概述</w:t>
      </w:r>
    </w:p>
    <w:p>
      <w:pPr>
        <w:widowControl w:val="0"/>
        <w:ind w:firstLine="640" w:firstLineChars="200"/>
        <w:jc w:val="both"/>
        <w:rPr>
          <w:rFonts w:eastAsia="仿宋_GB2312"/>
          <w:kern w:val="2"/>
          <w:sz w:val="32"/>
          <w:szCs w:val="24"/>
        </w:rPr>
      </w:pPr>
      <w:r>
        <w:rPr>
          <w:rFonts w:hint="eastAsia" w:eastAsia="仿宋_GB2312"/>
          <w:kern w:val="2"/>
          <w:sz w:val="32"/>
          <w:szCs w:val="24"/>
        </w:rPr>
        <w:t>本报告旨在对宜昌市产业人才地图的技术库数据进行全面分析，以便更好地了解技术资源的现状、特点以及潜在价值。</w:t>
      </w:r>
    </w:p>
    <w:p>
      <w:pPr>
        <w:widowControl w:val="0"/>
        <w:ind w:firstLine="640" w:firstLineChars="200"/>
        <w:jc w:val="both"/>
        <w:rPr>
          <w:rFonts w:hint="eastAsia" w:ascii="黑体" w:hAnsi="黑体" w:eastAsia="黑体"/>
          <w:sz w:val="32"/>
          <w:szCs w:val="32"/>
        </w:rPr>
      </w:pPr>
      <w:r>
        <w:rPr>
          <w:rFonts w:eastAsia="仿宋_GB2312"/>
          <w:kern w:val="2"/>
          <w:sz w:val="32"/>
          <w:szCs w:val="24"/>
        </w:rPr>
        <w:t>目前的</w:t>
      </w:r>
      <w:r>
        <w:rPr>
          <w:rFonts w:hint="eastAsia" w:eastAsia="仿宋_GB2312"/>
          <w:kern w:val="2"/>
          <w:sz w:val="32"/>
          <w:szCs w:val="24"/>
        </w:rPr>
        <w:t>技术</w:t>
      </w:r>
      <w:r>
        <w:rPr>
          <w:rFonts w:eastAsia="仿宋_GB2312"/>
          <w:kern w:val="2"/>
          <w:sz w:val="32"/>
          <w:szCs w:val="24"/>
        </w:rPr>
        <w:t>库已经</w:t>
      </w:r>
      <w:r>
        <w:rPr>
          <w:rFonts w:hint="eastAsia" w:eastAsia="仿宋_GB2312"/>
          <w:kern w:val="2"/>
          <w:sz w:val="32"/>
          <w:szCs w:val="24"/>
        </w:rPr>
        <w:t>聚集</w:t>
      </w:r>
      <w:r>
        <w:rPr>
          <w:rFonts w:eastAsia="仿宋_GB2312"/>
          <w:kern w:val="2"/>
          <w:sz w:val="32"/>
          <w:szCs w:val="24"/>
        </w:rPr>
        <w:t>了大量的</w:t>
      </w:r>
      <w:r>
        <w:rPr>
          <w:rFonts w:hint="eastAsia" w:eastAsia="仿宋_GB2312"/>
          <w:kern w:val="2"/>
          <w:sz w:val="32"/>
          <w:szCs w:val="24"/>
        </w:rPr>
        <w:t>技术数据</w:t>
      </w:r>
      <w:r>
        <w:rPr>
          <w:rFonts w:eastAsia="仿宋_GB2312"/>
          <w:kern w:val="2"/>
          <w:sz w:val="32"/>
          <w:szCs w:val="24"/>
        </w:rPr>
        <w:t>，</w:t>
      </w:r>
      <w:r>
        <w:rPr>
          <w:rFonts w:hint="eastAsia" w:eastAsia="仿宋_GB2312"/>
          <w:kern w:val="2"/>
          <w:sz w:val="32"/>
          <w:szCs w:val="24"/>
        </w:rPr>
        <w:t>技术规模总数量已达35933。</w:t>
      </w:r>
      <w:r>
        <w:rPr>
          <w:rFonts w:eastAsia="仿宋_GB2312"/>
          <w:kern w:val="2"/>
          <w:sz w:val="32"/>
          <w:szCs w:val="24"/>
        </w:rPr>
        <w:t>涵盖了</w:t>
      </w:r>
      <w:r>
        <w:rPr>
          <w:rFonts w:hint="eastAsia" w:eastAsia="仿宋_GB2312"/>
          <w:kern w:val="2"/>
          <w:sz w:val="32"/>
          <w:szCs w:val="24"/>
        </w:rPr>
        <w:t>层次、产业、地区、研究领域等多个维度，深度剖析在库技术发展现状，推荐相关产业链主要技术。</w:t>
      </w:r>
    </w:p>
    <w:p>
      <w:pPr>
        <w:pStyle w:val="2"/>
        <w:keepNext/>
        <w:keepLines/>
        <w:widowControl w:val="0"/>
        <w:numPr>
          <w:ilvl w:val="0"/>
          <w:numId w:val="1"/>
        </w:numPr>
        <w:spacing w:before="340" w:beforeAutospacing="0" w:after="330" w:afterAutospacing="0" w:line="576" w:lineRule="auto"/>
        <w:jc w:val="both"/>
        <w:rPr>
          <w:rFonts w:hint="eastAsia" w:ascii="Calibri" w:hAnsi="Calibri" w:eastAsia="黑体"/>
          <w:bCs w:val="0"/>
          <w:sz w:val="32"/>
          <w:szCs w:val="24"/>
        </w:rPr>
      </w:pPr>
      <w:r>
        <w:rPr>
          <w:rFonts w:hint="eastAsia" w:ascii="Calibri" w:hAnsi="Calibri" w:eastAsia="黑体"/>
          <w:bCs w:val="0"/>
          <w:sz w:val="32"/>
          <w:szCs w:val="24"/>
        </w:rPr>
        <w:t>技术库</w:t>
      </w:r>
      <w:bookmarkEnd w:id="1"/>
      <w:r>
        <w:rPr>
          <w:rFonts w:hint="eastAsia" w:ascii="Calibri" w:hAnsi="Calibri" w:eastAsia="黑体"/>
          <w:bCs w:val="0"/>
          <w:sz w:val="32"/>
          <w:szCs w:val="24"/>
        </w:rPr>
        <w:t>数据分析</w:t>
      </w:r>
    </w:p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宜昌市重点产业技术及人才</w:t>
      </w:r>
    </w:p>
    <w:p>
      <w:pPr>
        <w:widowControl w:val="0"/>
        <w:spacing w:line="700" w:lineRule="atLeast"/>
        <w:jc w:val="both"/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（1）</w:t>
      </w:r>
      <w:r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  <w:t>精细化工</w:t>
      </w:r>
    </w:p>
    <w:p>
      <w:pPr>
        <w:widowControl w:val="0"/>
        <w:spacing w:line="700" w:lineRule="atLeast"/>
        <w:ind w:firstLine="7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宜昌市围绕产业基础高级化、产业链现代化，全力</w:t>
      </w:r>
      <w:r>
        <w:rPr>
          <w:rFonts w:hint="eastAsia" w:eastAsia="仿宋_GB2312"/>
          <w:kern w:val="2"/>
          <w:sz w:val="32"/>
          <w:szCs w:val="24"/>
        </w:rPr>
        <w:t>推进绿色化工产业延链补链强链，化工产业核心</w:t>
      </w:r>
      <w:r>
        <w:rPr>
          <w:rFonts w:hint="eastAsia" w:ascii="仿宋_GB2312" w:eastAsia="仿宋_GB2312"/>
          <w:sz w:val="32"/>
          <w:szCs w:val="32"/>
        </w:rPr>
        <w:t>竞争力和辐射带动力不断增强。2021年1-11月</w:t>
      </w:r>
      <w:r>
        <w:rPr>
          <w:rFonts w:hint="eastAsia" w:eastAsia="仿宋_GB2312"/>
          <w:kern w:val="2"/>
          <w:sz w:val="32"/>
          <w:szCs w:val="24"/>
        </w:rPr>
        <w:t>，绿色化工（含医药化工）率先突破千亿大关，完</w:t>
      </w:r>
      <w:r>
        <w:rPr>
          <w:rFonts w:hint="eastAsia" w:ascii="仿宋_GB2312" w:eastAsia="仿宋_GB2312"/>
          <w:sz w:val="32"/>
          <w:szCs w:val="32"/>
        </w:rPr>
        <w:t>成产值1100亿元，成为九大重点产业中的第一个千亿级产业。</w:t>
      </w:r>
    </w:p>
    <w:p>
      <w:pPr>
        <w:widowControl w:val="0"/>
        <w:spacing w:line="700" w:lineRule="atLeast"/>
        <w:ind w:firstLine="720" w:firstLineChars="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TOP5: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2443"/>
        <w:gridCol w:w="2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244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技术新兴度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人才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聚醚醚酮</w:t>
            </w:r>
          </w:p>
        </w:tc>
        <w:tc>
          <w:tcPr>
            <w:tcW w:w="244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2.06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磷酸铁锂</w:t>
            </w:r>
          </w:p>
        </w:tc>
        <w:tc>
          <w:tcPr>
            <w:tcW w:w="244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1.52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二甲基亚砜</w:t>
            </w:r>
          </w:p>
        </w:tc>
        <w:tc>
          <w:tcPr>
            <w:tcW w:w="244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1.08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焦磷酸盐</w:t>
            </w:r>
          </w:p>
        </w:tc>
        <w:tc>
          <w:tcPr>
            <w:tcW w:w="244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0.63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511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六氟磷酸锂</w:t>
            </w:r>
          </w:p>
        </w:tc>
        <w:tc>
          <w:tcPr>
            <w:tcW w:w="244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0.39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47</w:t>
            </w:r>
          </w:p>
        </w:tc>
      </w:tr>
    </w:tbl>
    <w:p>
      <w:pPr>
        <w:widowControl w:val="0"/>
        <w:spacing w:line="700" w:lineRule="atLeast"/>
        <w:jc w:val="left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/>
        </w:rPr>
        <w:tab/>
      </w:r>
      <w:r>
        <w:rPr>
          <w:rFonts w:hint="eastAsia" w:ascii="仿宋_GB2312" w:eastAsia="仿宋_GB2312"/>
          <w:sz w:val="32"/>
          <w:szCs w:val="32"/>
        </w:rPr>
        <w:t>宜昌精细化工人才占比饼状图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</w:p>
    <w:p>
      <w:pPr>
        <w:spacing w:line="700" w:lineRule="atLeast"/>
        <w:jc w:val="center"/>
      </w:pPr>
      <w:r>
        <w:drawing>
          <wp:inline distT="0" distB="0" distL="114300" distR="114300">
            <wp:extent cx="4587875" cy="2667000"/>
            <wp:effectExtent l="0" t="0" r="317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spacing w:line="700" w:lineRule="atLeast"/>
        <w:jc w:val="both"/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  <w:t>清洁能源</w:t>
      </w:r>
    </w:p>
    <w:p>
      <w:pPr>
        <w:spacing w:line="700" w:lineRule="atLeast"/>
        <w:ind w:firstLine="7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宜昌是三峡工程和葛洲坝工程所在地，是长江经济带重要节点城市和长江经济带“立规”之地。近年来，该市积极构建清洁能源多元供应体系，加快建设长江大保护典范城市。</w:t>
      </w:r>
    </w:p>
    <w:p>
      <w:pPr>
        <w:spacing w:line="700" w:lineRule="atLeast"/>
        <w:ind w:firstLine="72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TOP5: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2482"/>
        <w:gridCol w:w="2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24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技术新兴度</w:t>
            </w:r>
          </w:p>
        </w:tc>
        <w:tc>
          <w:tcPr>
            <w:tcW w:w="219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人才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光伏组件</w:t>
            </w:r>
          </w:p>
        </w:tc>
        <w:tc>
          <w:tcPr>
            <w:tcW w:w="24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8.08</w:t>
            </w:r>
          </w:p>
        </w:tc>
        <w:tc>
          <w:tcPr>
            <w:tcW w:w="219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548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光伏逆变器</w:t>
            </w:r>
          </w:p>
        </w:tc>
        <w:tc>
          <w:tcPr>
            <w:tcW w:w="24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0.7</w:t>
            </w:r>
          </w:p>
        </w:tc>
        <w:tc>
          <w:tcPr>
            <w:tcW w:w="219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1933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三相逆变器</w:t>
            </w:r>
          </w:p>
        </w:tc>
        <w:tc>
          <w:tcPr>
            <w:tcW w:w="24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0.61</w:t>
            </w:r>
          </w:p>
        </w:tc>
        <w:tc>
          <w:tcPr>
            <w:tcW w:w="219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氢气供应</w:t>
            </w:r>
          </w:p>
        </w:tc>
        <w:tc>
          <w:tcPr>
            <w:tcW w:w="24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0.22</w:t>
            </w:r>
          </w:p>
        </w:tc>
        <w:tc>
          <w:tcPr>
            <w:tcW w:w="219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氢气压缩机</w:t>
            </w:r>
          </w:p>
        </w:tc>
        <w:tc>
          <w:tcPr>
            <w:tcW w:w="24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0.14</w:t>
            </w:r>
          </w:p>
        </w:tc>
        <w:tc>
          <w:tcPr>
            <w:tcW w:w="219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28</w:t>
            </w:r>
          </w:p>
        </w:tc>
      </w:tr>
    </w:tbl>
    <w:p>
      <w:pPr>
        <w:widowControl w:val="0"/>
        <w:spacing w:line="700" w:lineRule="atLeast"/>
        <w:jc w:val="left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/>
        </w:rPr>
        <w:tab/>
      </w:r>
      <w:r>
        <w:rPr>
          <w:rFonts w:hint="eastAsia" w:ascii="仿宋_GB2312" w:eastAsia="仿宋_GB2312"/>
          <w:sz w:val="32"/>
          <w:szCs w:val="32"/>
        </w:rPr>
        <w:t>宜昌清洁能源人才占比饼状图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</w:p>
    <w:p>
      <w:pPr>
        <w:spacing w:line="700" w:lineRule="atLeast"/>
        <w:jc w:val="center"/>
      </w:pPr>
      <w:r>
        <w:drawing>
          <wp:inline distT="0" distB="0" distL="114300" distR="114300">
            <wp:extent cx="3957320" cy="2329180"/>
            <wp:effectExtent l="0" t="0" r="5080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spacing w:line="700" w:lineRule="atLeast"/>
        <w:jc w:val="both"/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  <w:t>生物制药</w:t>
      </w:r>
    </w:p>
    <w:p>
      <w:pPr>
        <w:widowControl w:val="0"/>
        <w:spacing w:line="700" w:lineRule="atLeast"/>
        <w:ind w:firstLine="7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目前，宜昌高新区生物医药产业已形成以化学原料药和制剂为主导，以卫生材料及医药用品制造、中成药和中药饮片、生物制品及衍生品为辅的产业体系。宜昌高新区现已集聚生物医药领域企业250多家，2021年生物医药产业营收达470余亿元。</w:t>
      </w:r>
    </w:p>
    <w:p>
      <w:pPr>
        <w:widowControl w:val="0"/>
        <w:spacing w:line="700" w:lineRule="atLeast"/>
        <w:ind w:firstLine="72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TOP5：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2"/>
        <w:gridCol w:w="2163"/>
        <w:gridCol w:w="20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216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技术新兴度</w:t>
            </w:r>
          </w:p>
        </w:tc>
        <w:tc>
          <w:tcPr>
            <w:tcW w:w="2049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人才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肿瘤坏死因子-α</w:t>
            </w:r>
          </w:p>
        </w:tc>
        <w:tc>
          <w:tcPr>
            <w:tcW w:w="216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4.22</w:t>
            </w:r>
          </w:p>
        </w:tc>
        <w:tc>
          <w:tcPr>
            <w:tcW w:w="2049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抗病毒治疗</w:t>
            </w:r>
          </w:p>
        </w:tc>
        <w:tc>
          <w:tcPr>
            <w:tcW w:w="216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4.05</w:t>
            </w:r>
          </w:p>
        </w:tc>
        <w:tc>
          <w:tcPr>
            <w:tcW w:w="2049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613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单克隆抗体</w:t>
            </w:r>
          </w:p>
        </w:tc>
        <w:tc>
          <w:tcPr>
            <w:tcW w:w="216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3.96</w:t>
            </w:r>
          </w:p>
        </w:tc>
        <w:tc>
          <w:tcPr>
            <w:tcW w:w="2049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1333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流感疫苗</w:t>
            </w:r>
          </w:p>
        </w:tc>
        <w:tc>
          <w:tcPr>
            <w:tcW w:w="216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1.13</w:t>
            </w:r>
          </w:p>
        </w:tc>
        <w:tc>
          <w:tcPr>
            <w:tcW w:w="2049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2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中草药制剂</w:t>
            </w:r>
          </w:p>
        </w:tc>
        <w:tc>
          <w:tcPr>
            <w:tcW w:w="216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0.19</w:t>
            </w:r>
          </w:p>
        </w:tc>
        <w:tc>
          <w:tcPr>
            <w:tcW w:w="2049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29</w:t>
            </w:r>
          </w:p>
        </w:tc>
      </w:tr>
    </w:tbl>
    <w:p>
      <w:pPr>
        <w:widowControl w:val="0"/>
        <w:spacing w:line="700" w:lineRule="atLeast"/>
        <w:jc w:val="left"/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widowControl w:val="0"/>
        <w:spacing w:line="700" w:lineRule="atLeast"/>
        <w:ind w:firstLine="720" w:firstLineChars="0"/>
        <w:jc w:val="left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宜昌生物制药人才占比饼状图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</w:p>
    <w:p>
      <w:pPr>
        <w:spacing w:line="700" w:lineRule="atLeast"/>
        <w:rPr>
          <w:rFonts w:hint="eastAsia" w:eastAsia="宋体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 w:eastAsia="宋体"/>
          <w:lang w:eastAsia="zh-CN"/>
        </w:rPr>
        <w:drawing>
          <wp:inline distT="0" distB="0" distL="114300" distR="114300">
            <wp:extent cx="3868420" cy="2247900"/>
            <wp:effectExtent l="0" t="0" r="17780" b="0"/>
            <wp:docPr id="8" name="图片 8" descr="171370767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137076797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spacing w:line="700" w:lineRule="atLeast"/>
        <w:jc w:val="both"/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6"/>
          <w:lang w:val="en-US" w:eastAsia="zh-CN" w:bidi="ar-SA"/>
        </w:rPr>
        <w:t>装备制造</w:t>
      </w:r>
    </w:p>
    <w:p>
      <w:pPr>
        <w:widowControl w:val="0"/>
        <w:spacing w:line="700" w:lineRule="atLeas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政府工作报告数据显示，2022年，宜昌装备制造业产值预计达1100亿元，增长20%，成为继绿色化工后第二个千亿支柱产业。</w:t>
      </w:r>
    </w:p>
    <w:p>
      <w:pPr>
        <w:widowControl w:val="0"/>
        <w:spacing w:line="700" w:lineRule="atLeast"/>
        <w:ind w:firstLine="640" w:firstLineChars="200"/>
        <w:jc w:val="both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TOP5：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2546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254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技术新兴度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人才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工业机器人</w:t>
            </w:r>
          </w:p>
        </w:tc>
        <w:tc>
          <w:tcPr>
            <w:tcW w:w="254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9.07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620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图像</w:t>
            </w: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传感器</w:t>
            </w:r>
          </w:p>
        </w:tc>
        <w:tc>
          <w:tcPr>
            <w:tcW w:w="254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6.92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286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智能机器人</w:t>
            </w:r>
          </w:p>
        </w:tc>
        <w:tc>
          <w:tcPr>
            <w:tcW w:w="254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5.83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发电系统</w:t>
            </w:r>
          </w:p>
        </w:tc>
        <w:tc>
          <w:tcPr>
            <w:tcW w:w="254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3.38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3024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  <w:t>海洋工程</w:t>
            </w:r>
          </w:p>
        </w:tc>
        <w:tc>
          <w:tcPr>
            <w:tcW w:w="254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1.53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default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838</w:t>
            </w:r>
          </w:p>
        </w:tc>
      </w:tr>
    </w:tbl>
    <w:p>
      <w:pPr>
        <w:widowControl w:val="0"/>
        <w:spacing w:line="700" w:lineRule="atLeast"/>
        <w:ind w:firstLine="720" w:firstLineChars="0"/>
        <w:jc w:val="left"/>
        <w:rPr>
          <w:rFonts w:hint="eastAsia"/>
        </w:rPr>
      </w:pPr>
      <w:r>
        <w:rPr>
          <w:rFonts w:hint="eastAsia" w:ascii="仿宋_GB2312" w:eastAsia="仿宋_GB2312"/>
          <w:sz w:val="32"/>
          <w:szCs w:val="32"/>
        </w:rPr>
        <w:t>宜昌装备制造人才占比饼状图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widowControl w:val="0"/>
        <w:spacing w:line="700" w:lineRule="atLeast"/>
        <w:ind w:firstLine="720" w:firstLineChars="0"/>
        <w:jc w:val="left"/>
        <w:rPr>
          <w:rFonts w:hint="eastAsia"/>
        </w:rPr>
      </w:pPr>
      <w:bookmarkStart w:id="2" w:name="_GoBack"/>
      <w:r>
        <w:drawing>
          <wp:inline distT="0" distB="0" distL="114300" distR="114300">
            <wp:extent cx="4398010" cy="2967355"/>
            <wp:effectExtent l="0" t="0" r="2540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宜昌市技术相关论文分析</w:t>
      </w:r>
    </w:p>
    <w:p>
      <w:pPr>
        <w:widowControl w:val="0"/>
        <w:spacing w:line="700" w:lineRule="atLeast"/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宜昌高被引论文（前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018"/>
        <w:gridCol w:w="4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245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技术</w:t>
            </w:r>
          </w:p>
        </w:tc>
        <w:tc>
          <w:tcPr>
            <w:tcW w:w="2018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论文数</w:t>
            </w:r>
          </w:p>
        </w:tc>
        <w:tc>
          <w:tcPr>
            <w:tcW w:w="421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高引论文数（H-index&gt;10）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45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生物化学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6157</w:t>
            </w:r>
          </w:p>
        </w:tc>
        <w:tc>
          <w:tcPr>
            <w:tcW w:w="421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891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45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控制理论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2605</w:t>
            </w:r>
          </w:p>
        </w:tc>
        <w:tc>
          <w:tcPr>
            <w:tcW w:w="421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5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化学工程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2148</w:t>
            </w:r>
          </w:p>
        </w:tc>
        <w:tc>
          <w:tcPr>
            <w:tcW w:w="421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45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人工智能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1616</w:t>
            </w:r>
          </w:p>
        </w:tc>
        <w:tc>
          <w:tcPr>
            <w:tcW w:w="421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5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细胞生物学</w:t>
            </w:r>
          </w:p>
        </w:tc>
        <w:tc>
          <w:tcPr>
            <w:tcW w:w="201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516</w:t>
            </w:r>
          </w:p>
        </w:tc>
        <w:tc>
          <w:tcPr>
            <w:tcW w:w="421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109</w:t>
            </w:r>
          </w:p>
        </w:tc>
      </w:tr>
    </w:tbl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全国技术相关论文分析</w:t>
      </w:r>
    </w:p>
    <w:p>
      <w:pPr>
        <w:widowControl w:val="0"/>
        <w:spacing w:line="700" w:lineRule="atLeas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我国热点论文世界占比持续增长，世界热点论文数量首次排名第 1 位。高被引论文数量 继续保持世界排名第 2 位，占世界份额提升了近 3 个百分点。我国发表在国际顶尖期刊论文数量世界排名继续保持在第 2 位，高水平国际期刊论文数量排名保持在第 1 位。</w:t>
      </w:r>
    </w:p>
    <w:p>
      <w:pPr>
        <w:widowControl w:val="0"/>
        <w:spacing w:line="700" w:lineRule="atLeast"/>
        <w:ind w:firstLine="640" w:firstLineChars="200"/>
        <w:jc w:val="both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全国高被引论文（前5）：</w:t>
      </w:r>
    </w:p>
    <w:tbl>
      <w:tblPr>
        <w:tblStyle w:val="6"/>
        <w:tblW w:w="9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2426"/>
        <w:gridCol w:w="4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技术</w:t>
            </w:r>
          </w:p>
        </w:tc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论文数</w:t>
            </w:r>
          </w:p>
        </w:tc>
        <w:tc>
          <w:tcPr>
            <w:tcW w:w="4307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高引论文数（H-index&gt;10）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2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生物化学</w:t>
            </w:r>
          </w:p>
        </w:tc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16447949</w:t>
            </w:r>
          </w:p>
        </w:tc>
        <w:tc>
          <w:tcPr>
            <w:tcW w:w="4307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7360612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2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化学工程</w:t>
            </w:r>
          </w:p>
        </w:tc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4452330</w:t>
            </w:r>
          </w:p>
        </w:tc>
        <w:tc>
          <w:tcPr>
            <w:tcW w:w="4307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1719382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2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控制理论</w:t>
            </w:r>
          </w:p>
        </w:tc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3268573</w:t>
            </w:r>
          </w:p>
        </w:tc>
        <w:tc>
          <w:tcPr>
            <w:tcW w:w="4307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893568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2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人工智能</w:t>
            </w:r>
          </w:p>
        </w:tc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2760933</w:t>
            </w:r>
          </w:p>
        </w:tc>
        <w:tc>
          <w:tcPr>
            <w:tcW w:w="4307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750131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2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细胞生物学</w:t>
            </w:r>
          </w:p>
        </w:tc>
        <w:tc>
          <w:tcPr>
            <w:tcW w:w="2426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2585743</w:t>
            </w:r>
          </w:p>
        </w:tc>
        <w:tc>
          <w:tcPr>
            <w:tcW w:w="4307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1452378</w:t>
            </w:r>
          </w:p>
        </w:tc>
      </w:tr>
    </w:tbl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宜昌市技术相关专利分析</w:t>
      </w:r>
    </w:p>
    <w:p>
      <w:pPr>
        <w:widowControl w:val="0"/>
        <w:spacing w:line="700" w:lineRule="atLeas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宜昌市被国家知识产权局批准为国家知识产权示范城市，成为湖北省首个获此殊荣的地级市。</w:t>
      </w:r>
    </w:p>
    <w:p>
      <w:pPr>
        <w:widowControl w:val="0"/>
        <w:spacing w:line="700" w:lineRule="atLeast"/>
        <w:ind w:firstLine="720" w:firstLineChars="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2022年全市专利授权量1871件，有效发明专利量537件，同比增长9.6%，高价值专利227件，同比增长29%，万人有效发明专利拥有量达3.42件。</w:t>
      </w:r>
    </w:p>
    <w:p>
      <w:pPr>
        <w:widowControl w:val="0"/>
        <w:spacing w:line="700" w:lineRule="atLeast"/>
        <w:ind w:firstLine="720" w:firstLineChars="0"/>
        <w:jc w:val="both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技术领域排名靠前专利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- TOP5</w:t>
      </w:r>
      <w:r>
        <w:rPr>
          <w:rFonts w:hint="eastAsia" w:ascii="仿宋_GB2312" w:eastAsia="仿宋_GB2312"/>
          <w:sz w:val="32"/>
          <w:szCs w:val="32"/>
        </w:rPr>
        <w:t>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2800" w:type="dxa"/>
            <w:noWrap w:val="0"/>
            <w:vAlign w:val="top"/>
          </w:tcPr>
          <w:p>
            <w:pPr>
              <w:widowControl w:val="0"/>
              <w:spacing w:line="700" w:lineRule="atLeast"/>
              <w:jc w:val="both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2800" w:type="dxa"/>
            <w:noWrap w:val="0"/>
            <w:vAlign w:val="top"/>
          </w:tcPr>
          <w:p>
            <w:pPr>
              <w:widowControl w:val="0"/>
              <w:spacing w:line="700" w:lineRule="atLeast"/>
              <w:jc w:val="both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专利数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化学工程</w:t>
            </w:r>
          </w:p>
        </w:tc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1822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生物化学</w:t>
            </w:r>
          </w:p>
        </w:tc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1819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控制理论</w:t>
            </w:r>
          </w:p>
        </w:tc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细胞生物学</w:t>
            </w:r>
          </w:p>
        </w:tc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Calibri" w:eastAsia="仿宋_GB2312" w:cs="Times New Roman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Calibri" w:eastAsia="仿宋_GB2312" w:cs="Times New Roman"/>
                <w:sz w:val="32"/>
                <w:szCs w:val="32"/>
                <w:lang w:val="en-US" w:eastAsia="zh-CN" w:bidi="ar-SA"/>
              </w:rPr>
              <w:t>人工智能</w:t>
            </w:r>
          </w:p>
        </w:tc>
        <w:tc>
          <w:tcPr>
            <w:tcW w:w="280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67</w:t>
            </w:r>
          </w:p>
        </w:tc>
      </w:tr>
    </w:tbl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全国技术相关专利分析</w:t>
      </w:r>
    </w:p>
    <w:p>
      <w:pPr>
        <w:widowControl w:val="0"/>
        <w:spacing w:line="700" w:lineRule="atLeas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2022年调查显示，我国专利产业化率、许可率、转让率、发明专利产业化平均收益等指标数据均较上年有所提高，专利转移转化成效稳中有升。一是发明专利产业化率稳步提高，实用新型小幅降低。2022年我国发明专利产业化率为36.7%，较上年提高1.3个百分点，自2018年以来逐年稳步上升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2760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技术</w:t>
            </w:r>
          </w:p>
        </w:tc>
        <w:tc>
          <w:tcPr>
            <w:tcW w:w="2760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专利数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化学工程</w:t>
            </w:r>
          </w:p>
        </w:tc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1298673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生物化学</w:t>
            </w:r>
          </w:p>
        </w:tc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1227227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控制理论</w:t>
            </w:r>
          </w:p>
        </w:tc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320962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人工智能</w:t>
            </w:r>
          </w:p>
        </w:tc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144145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细胞生物学</w:t>
            </w:r>
          </w:p>
        </w:tc>
        <w:tc>
          <w:tcPr>
            <w:tcW w:w="2760" w:type="dxa"/>
            <w:noWrap w:val="0"/>
            <w:vAlign w:val="center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50909</w:t>
            </w:r>
          </w:p>
        </w:tc>
      </w:tr>
    </w:tbl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宜昌市技术相关项目分析</w:t>
      </w:r>
    </w:p>
    <w:p>
      <w:pPr>
        <w:widowControl w:val="0"/>
        <w:spacing w:line="700" w:lineRule="atLeas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抓项目就是抓发展，谋项目就是谋未来。今年以来，宜昌聚焦城市和产业集中高质量发展，树牢“项目为王”理念，深入实施项目建设达效年行动，以“大抓项目、抓大项目”扩投资、稳增长，助推经济高质量发展。</w:t>
      </w:r>
    </w:p>
    <w:p>
      <w:pPr>
        <w:widowControl w:val="0"/>
        <w:spacing w:line="700" w:lineRule="atLeast"/>
        <w:ind w:firstLine="640" w:firstLineChars="200"/>
        <w:jc w:val="both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TOP5:</w:t>
      </w:r>
    </w:p>
    <w:tbl>
      <w:tblPr>
        <w:tblStyle w:val="6"/>
        <w:tblW w:w="51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2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256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技术</w:t>
            </w:r>
          </w:p>
        </w:tc>
        <w:tc>
          <w:tcPr>
            <w:tcW w:w="2569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项目数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生物化学</w:t>
            </w:r>
          </w:p>
        </w:tc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化学工程</w:t>
            </w:r>
          </w:p>
        </w:tc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电子工程</w:t>
            </w:r>
          </w:p>
        </w:tc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控制理论</w:t>
            </w:r>
          </w:p>
        </w:tc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人工智能</w:t>
            </w:r>
          </w:p>
        </w:tc>
        <w:tc>
          <w:tcPr>
            <w:tcW w:w="2569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</w:tr>
    </w:tbl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全国技术相关项目分析</w:t>
      </w:r>
    </w:p>
    <w:p>
      <w:pPr>
        <w:widowControl w:val="0"/>
        <w:spacing w:line="700" w:lineRule="atLeast"/>
        <w:ind w:firstLine="640" w:firstLineChars="200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重大项目是有效扩投资、稳增长的重要抓手。新春以来，多地掀起项目开工热潮，通过项目分析提质、项目建设提档、要素保障提能、项目服务提效，巩固和增强经济回升向好态势，奋力推进全年经济开好局、起好步。</w:t>
      </w:r>
    </w:p>
    <w:p>
      <w:pPr>
        <w:widowControl w:val="0"/>
        <w:spacing w:line="700" w:lineRule="atLeast"/>
        <w:ind w:firstLine="640" w:firstLineChars="200"/>
        <w:jc w:val="both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TOP5: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2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2212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技术</w:t>
            </w:r>
          </w:p>
        </w:tc>
        <w:tc>
          <w:tcPr>
            <w:tcW w:w="2210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项目数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221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生物化学</w:t>
            </w:r>
          </w:p>
        </w:tc>
        <w:tc>
          <w:tcPr>
            <w:tcW w:w="22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30528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21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化学工程</w:t>
            </w:r>
          </w:p>
        </w:tc>
        <w:tc>
          <w:tcPr>
            <w:tcW w:w="22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14051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21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电子工程</w:t>
            </w:r>
          </w:p>
        </w:tc>
        <w:tc>
          <w:tcPr>
            <w:tcW w:w="22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2491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21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控制理论</w:t>
            </w:r>
          </w:p>
        </w:tc>
        <w:tc>
          <w:tcPr>
            <w:tcW w:w="22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1221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1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人工智能</w:t>
            </w:r>
          </w:p>
        </w:tc>
        <w:tc>
          <w:tcPr>
            <w:tcW w:w="22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168</w:t>
            </w:r>
          </w:p>
        </w:tc>
      </w:tr>
    </w:tbl>
    <w:p>
      <w:pPr>
        <w:widowControl w:val="0"/>
        <w:spacing w:line="700" w:lineRule="atLeast"/>
        <w:jc w:val="both"/>
        <w:rPr>
          <w:rFonts w:hint="eastAsia" w:ascii="仿宋_GB2312" w:eastAsia="仿宋_GB2312"/>
          <w:sz w:val="32"/>
          <w:szCs w:val="32"/>
        </w:rPr>
      </w:pPr>
    </w:p>
    <w:p>
      <w:pPr>
        <w:pStyle w:val="3"/>
        <w:keepNext/>
        <w:keepLines/>
        <w:widowControl w:val="0"/>
        <w:numPr>
          <w:ilvl w:val="0"/>
          <w:numId w:val="2"/>
        </w:numPr>
        <w:spacing w:before="260" w:beforeAutospacing="0" w:after="260" w:afterAutospacing="0" w:line="413" w:lineRule="auto"/>
        <w:jc w:val="both"/>
        <w:rPr>
          <w:rFonts w:hint="eastAsia" w:eastAsia="楷体_GB2312" w:cs="楷体_GB2312"/>
        </w:rPr>
      </w:pPr>
      <w:r>
        <w:rPr>
          <w:rFonts w:hint="eastAsia" w:eastAsia="楷体_GB2312" w:cs="楷体_GB2312"/>
        </w:rPr>
        <w:t>宜昌市其他技术维度分析</w:t>
      </w:r>
    </w:p>
    <w:p>
      <w:pPr>
        <w:widowControl w:val="0"/>
        <w:spacing w:line="700" w:lineRule="atLeast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技术关联专家数目（前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2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7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2588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57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机械工程</w:t>
            </w:r>
          </w:p>
        </w:tc>
        <w:tc>
          <w:tcPr>
            <w:tcW w:w="2588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5749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57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电气工程</w:t>
            </w:r>
          </w:p>
        </w:tc>
        <w:tc>
          <w:tcPr>
            <w:tcW w:w="2588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5133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57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机械工业</w:t>
            </w:r>
          </w:p>
        </w:tc>
        <w:tc>
          <w:tcPr>
            <w:tcW w:w="2588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3901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57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电机工程</w:t>
            </w:r>
          </w:p>
        </w:tc>
        <w:tc>
          <w:tcPr>
            <w:tcW w:w="2588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3735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571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有机化学</w:t>
            </w:r>
          </w:p>
        </w:tc>
        <w:tc>
          <w:tcPr>
            <w:tcW w:w="2588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3285</w:t>
            </w:r>
          </w:p>
        </w:tc>
      </w:tr>
    </w:tbl>
    <w:p>
      <w:pPr>
        <w:widowControl w:val="0"/>
        <w:spacing w:line="700" w:lineRule="atLeast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技术关联公司数目（前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3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68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公司数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  <w:jc w:val="center"/>
        </w:trPr>
        <w:tc>
          <w:tcPr>
            <w:tcW w:w="168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电机工程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368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68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机械工业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359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68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生物化学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68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内分泌学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1683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结构工程</w:t>
            </w:r>
          </w:p>
        </w:tc>
        <w:tc>
          <w:tcPr>
            <w:tcW w:w="3476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188</w:t>
            </w:r>
          </w:p>
        </w:tc>
      </w:tr>
    </w:tbl>
    <w:p>
      <w:pPr>
        <w:widowControl w:val="0"/>
        <w:spacing w:line="700" w:lineRule="atLeast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技术新颖性指数排行（前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技术方向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新颖性指数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人工智能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0.02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消化内科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 xml:space="preserve"> 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细胞生物学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生物化学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电子工程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  <w:lang w:val="en-US" w:eastAsia="zh-CN"/>
              </w:rPr>
              <w:t>0.01</w:t>
            </w:r>
          </w:p>
        </w:tc>
      </w:tr>
    </w:tbl>
    <w:p>
      <w:pPr>
        <w:widowControl w:val="0"/>
        <w:spacing w:line="700" w:lineRule="atLeast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技术增长性指数排行（前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技术方向</w:t>
            </w:r>
          </w:p>
        </w:tc>
        <w:tc>
          <w:tcPr>
            <w:tcW w:w="2307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技术增长指数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工业4.0</w:t>
            </w:r>
          </w:p>
        </w:tc>
        <w:tc>
          <w:tcPr>
            <w:tcW w:w="2307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4592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生成对抗网络</w:t>
            </w:r>
          </w:p>
        </w:tc>
        <w:tc>
          <w:tcPr>
            <w:tcW w:w="2307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3022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深度卷积神经网络</w:t>
            </w:r>
          </w:p>
        </w:tc>
        <w:tc>
          <w:tcPr>
            <w:tcW w:w="2307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2695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移动边缘计算</w:t>
            </w:r>
          </w:p>
        </w:tc>
        <w:tc>
          <w:tcPr>
            <w:tcW w:w="2307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2573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钙钛矿太阳能电池</w:t>
            </w:r>
          </w:p>
        </w:tc>
        <w:tc>
          <w:tcPr>
            <w:tcW w:w="2307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2326</w:t>
            </w:r>
          </w:p>
        </w:tc>
      </w:tr>
    </w:tbl>
    <w:p>
      <w:pPr>
        <w:widowControl w:val="0"/>
        <w:spacing w:line="700" w:lineRule="atLeast"/>
        <w:jc w:val="both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技术近期趋势排行（前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2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技术方向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技术近期趋势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化学工程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131.8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电子设备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129.87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驱动电机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128.67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深度学习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127.75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卷积神经网络</w:t>
            </w:r>
          </w:p>
        </w:tc>
        <w:tc>
          <w:tcPr>
            <w:tcW w:w="2265" w:type="dxa"/>
            <w:noWrap w:val="0"/>
            <w:vAlign w:val="top"/>
          </w:tcPr>
          <w:p>
            <w:pPr>
              <w:widowControl w:val="0"/>
              <w:spacing w:line="700" w:lineRule="atLeast"/>
              <w:jc w:val="center"/>
              <w:rPr>
                <w:rFonts w:hint="eastAsia" w:ascii="仿宋_GB2312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eastAsia="仿宋_GB2312" w:cs="Times New Roman"/>
                <w:sz w:val="32"/>
                <w:szCs w:val="32"/>
              </w:rPr>
              <w:t>84.18</w:t>
            </w:r>
          </w:p>
        </w:tc>
      </w:tr>
    </w:tbl>
    <w:p>
      <w:pPr>
        <w:widowControl w:val="0"/>
        <w:spacing w:line="700" w:lineRule="atLeast"/>
        <w:jc w:val="center"/>
        <w:rPr>
          <w:rFonts w:hint="eastAsia" w:ascii="仿宋_GB2312" w:eastAsia="仿宋_GB2312" w:cs="Times New Roman"/>
          <w:sz w:val="32"/>
          <w:szCs w:val="32"/>
        </w:rPr>
      </w:pPr>
    </w:p>
    <w:sectPr>
      <w:pgSz w:w="11906" w:h="16838"/>
      <w:pgMar w:top="2098" w:right="1474" w:bottom="1985" w:left="1588" w:header="851" w:footer="1588" w:gutter="0"/>
      <w:cols w:space="720" w:num="1"/>
      <w:docGrid w:type="linesAndChar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 SC-5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D4590"/>
    <w:multiLevelType w:val="singleLevel"/>
    <w:tmpl w:val="9B7D4590"/>
    <w:lvl w:ilvl="0" w:tentative="0">
      <w:start w:val="1"/>
      <w:numFmt w:val="chineseCounting"/>
      <w:suff w:val="space"/>
      <w:lvlText w:val="（%1）"/>
      <w:lvlJc w:val="left"/>
      <w:pPr>
        <w:ind w:left="0"/>
      </w:pPr>
      <w:rPr>
        <w:rFonts w:hint="eastAsia"/>
      </w:rPr>
    </w:lvl>
  </w:abstractNum>
  <w:abstractNum w:abstractNumId="1">
    <w:nsid w:val="F898FACC"/>
    <w:multiLevelType w:val="singleLevel"/>
    <w:tmpl w:val="F898FA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B66885C"/>
    <w:multiLevelType w:val="singleLevel"/>
    <w:tmpl w:val="5B66885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hyphenationZone w:val="360"/>
  <w:drawingGridHorizontalSpacing w:val="160"/>
  <w:drawingGridVerticalSpacing w:val="435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wNzQwMjI5NjU3ODA1NWQ3ODVlMDhkM2VlMWFkMjAifQ=="/>
  </w:docVars>
  <w:rsids>
    <w:rsidRoot w:val="00ED7D35"/>
    <w:rsid w:val="00043144"/>
    <w:rsid w:val="000E093C"/>
    <w:rsid w:val="001020B4"/>
    <w:rsid w:val="001615C0"/>
    <w:rsid w:val="00265C16"/>
    <w:rsid w:val="00290C41"/>
    <w:rsid w:val="00365BF8"/>
    <w:rsid w:val="004230C5"/>
    <w:rsid w:val="004476A1"/>
    <w:rsid w:val="004758C7"/>
    <w:rsid w:val="004C398A"/>
    <w:rsid w:val="004D3845"/>
    <w:rsid w:val="005A23DF"/>
    <w:rsid w:val="005B57E7"/>
    <w:rsid w:val="00753336"/>
    <w:rsid w:val="007D129A"/>
    <w:rsid w:val="0093238D"/>
    <w:rsid w:val="00AA1E33"/>
    <w:rsid w:val="00B50D57"/>
    <w:rsid w:val="00C46B30"/>
    <w:rsid w:val="00CB0D60"/>
    <w:rsid w:val="00DC07AF"/>
    <w:rsid w:val="00E90F25"/>
    <w:rsid w:val="00ED7D35"/>
    <w:rsid w:val="00F766DC"/>
    <w:rsid w:val="011533D3"/>
    <w:rsid w:val="016F05E9"/>
    <w:rsid w:val="01B9244C"/>
    <w:rsid w:val="01BA7FF3"/>
    <w:rsid w:val="01BE66C3"/>
    <w:rsid w:val="024422FF"/>
    <w:rsid w:val="025362DD"/>
    <w:rsid w:val="02553BED"/>
    <w:rsid w:val="025B38A8"/>
    <w:rsid w:val="03101F14"/>
    <w:rsid w:val="034703DE"/>
    <w:rsid w:val="03C140FE"/>
    <w:rsid w:val="041B4E07"/>
    <w:rsid w:val="04544FDD"/>
    <w:rsid w:val="04697E10"/>
    <w:rsid w:val="04B113EE"/>
    <w:rsid w:val="0568116E"/>
    <w:rsid w:val="05CA210C"/>
    <w:rsid w:val="06607510"/>
    <w:rsid w:val="06B97816"/>
    <w:rsid w:val="06DA4BFF"/>
    <w:rsid w:val="073700E5"/>
    <w:rsid w:val="07F812AA"/>
    <w:rsid w:val="089D0D56"/>
    <w:rsid w:val="08C10CE0"/>
    <w:rsid w:val="09061CDB"/>
    <w:rsid w:val="094C1D4E"/>
    <w:rsid w:val="099111BE"/>
    <w:rsid w:val="0A171A87"/>
    <w:rsid w:val="0A5002F7"/>
    <w:rsid w:val="0A5A017E"/>
    <w:rsid w:val="0AA25856"/>
    <w:rsid w:val="0AAE6112"/>
    <w:rsid w:val="0AB3623A"/>
    <w:rsid w:val="0AE416F7"/>
    <w:rsid w:val="0AFB4013"/>
    <w:rsid w:val="0B3B1540"/>
    <w:rsid w:val="0B6E61C8"/>
    <w:rsid w:val="0B9A4E20"/>
    <w:rsid w:val="0BB82F6D"/>
    <w:rsid w:val="0BCD436B"/>
    <w:rsid w:val="0C3B37ED"/>
    <w:rsid w:val="0C5361FA"/>
    <w:rsid w:val="0C592F5E"/>
    <w:rsid w:val="0C664EE3"/>
    <w:rsid w:val="0C8A6E23"/>
    <w:rsid w:val="0CF3634C"/>
    <w:rsid w:val="0D2042CF"/>
    <w:rsid w:val="0D22409D"/>
    <w:rsid w:val="0D974726"/>
    <w:rsid w:val="0DB20C17"/>
    <w:rsid w:val="0E6C553D"/>
    <w:rsid w:val="0E7516AA"/>
    <w:rsid w:val="0EE06F4E"/>
    <w:rsid w:val="0F136F00"/>
    <w:rsid w:val="0FBC45E1"/>
    <w:rsid w:val="10753310"/>
    <w:rsid w:val="10817B13"/>
    <w:rsid w:val="109926A3"/>
    <w:rsid w:val="112E31BE"/>
    <w:rsid w:val="116210AD"/>
    <w:rsid w:val="11716160"/>
    <w:rsid w:val="11E6296C"/>
    <w:rsid w:val="120963A4"/>
    <w:rsid w:val="12414DF0"/>
    <w:rsid w:val="124257F9"/>
    <w:rsid w:val="12A36A44"/>
    <w:rsid w:val="12A86FD9"/>
    <w:rsid w:val="144116FF"/>
    <w:rsid w:val="14E05B4D"/>
    <w:rsid w:val="15054F9B"/>
    <w:rsid w:val="15267743"/>
    <w:rsid w:val="157E577E"/>
    <w:rsid w:val="15B50D6B"/>
    <w:rsid w:val="15E97DB9"/>
    <w:rsid w:val="164A206A"/>
    <w:rsid w:val="165D0268"/>
    <w:rsid w:val="16F93C3E"/>
    <w:rsid w:val="179F2333"/>
    <w:rsid w:val="17D11723"/>
    <w:rsid w:val="186E6D83"/>
    <w:rsid w:val="18F2402A"/>
    <w:rsid w:val="18FA6C07"/>
    <w:rsid w:val="194E1F14"/>
    <w:rsid w:val="19C31ED3"/>
    <w:rsid w:val="19DD3743"/>
    <w:rsid w:val="19F83AE6"/>
    <w:rsid w:val="19F86CB5"/>
    <w:rsid w:val="1AC83BF1"/>
    <w:rsid w:val="1D0C1FDF"/>
    <w:rsid w:val="1D321938"/>
    <w:rsid w:val="1D5219F5"/>
    <w:rsid w:val="1D686669"/>
    <w:rsid w:val="1D7879E5"/>
    <w:rsid w:val="1DA63635"/>
    <w:rsid w:val="1E0D421C"/>
    <w:rsid w:val="1E6E4A7A"/>
    <w:rsid w:val="1E946EB8"/>
    <w:rsid w:val="1F011A6A"/>
    <w:rsid w:val="1F2951AD"/>
    <w:rsid w:val="1F4B0BE5"/>
    <w:rsid w:val="1F730B5E"/>
    <w:rsid w:val="1FA24E77"/>
    <w:rsid w:val="1FBC2E92"/>
    <w:rsid w:val="1FD66C0C"/>
    <w:rsid w:val="20297421"/>
    <w:rsid w:val="20821001"/>
    <w:rsid w:val="2087096D"/>
    <w:rsid w:val="2141232F"/>
    <w:rsid w:val="217C6B87"/>
    <w:rsid w:val="21940A78"/>
    <w:rsid w:val="21C115EE"/>
    <w:rsid w:val="220E7FB9"/>
    <w:rsid w:val="224C0B5F"/>
    <w:rsid w:val="22AC2486"/>
    <w:rsid w:val="22B36C43"/>
    <w:rsid w:val="23E527FC"/>
    <w:rsid w:val="23EC0C7E"/>
    <w:rsid w:val="23F53B0C"/>
    <w:rsid w:val="240D4A36"/>
    <w:rsid w:val="24924C8F"/>
    <w:rsid w:val="25034EC9"/>
    <w:rsid w:val="25397F21"/>
    <w:rsid w:val="256B2E88"/>
    <w:rsid w:val="263B60ED"/>
    <w:rsid w:val="26420893"/>
    <w:rsid w:val="26B3018D"/>
    <w:rsid w:val="26B61111"/>
    <w:rsid w:val="26B741BD"/>
    <w:rsid w:val="27120CCA"/>
    <w:rsid w:val="27402404"/>
    <w:rsid w:val="279E3DBF"/>
    <w:rsid w:val="27AC17DC"/>
    <w:rsid w:val="284E59A3"/>
    <w:rsid w:val="28941D46"/>
    <w:rsid w:val="289C18BC"/>
    <w:rsid w:val="28C439AB"/>
    <w:rsid w:val="28D30187"/>
    <w:rsid w:val="28DA2336"/>
    <w:rsid w:val="2950368E"/>
    <w:rsid w:val="29652F79"/>
    <w:rsid w:val="29737EBB"/>
    <w:rsid w:val="29A14C42"/>
    <w:rsid w:val="2A6C136C"/>
    <w:rsid w:val="2A8D72E7"/>
    <w:rsid w:val="2B193CEA"/>
    <w:rsid w:val="2B821FEF"/>
    <w:rsid w:val="2C8A4A20"/>
    <w:rsid w:val="2D2E30E9"/>
    <w:rsid w:val="2D510EC7"/>
    <w:rsid w:val="2D6075F1"/>
    <w:rsid w:val="2E5B7B24"/>
    <w:rsid w:val="2E6C3ADF"/>
    <w:rsid w:val="2EC467A4"/>
    <w:rsid w:val="2F0E4046"/>
    <w:rsid w:val="2F540059"/>
    <w:rsid w:val="2F9B6BBA"/>
    <w:rsid w:val="2FDE27BA"/>
    <w:rsid w:val="305524CA"/>
    <w:rsid w:val="305A5C66"/>
    <w:rsid w:val="30871511"/>
    <w:rsid w:val="308C1EC2"/>
    <w:rsid w:val="30D329C6"/>
    <w:rsid w:val="30D46846"/>
    <w:rsid w:val="31920611"/>
    <w:rsid w:val="31D766C2"/>
    <w:rsid w:val="31F9420D"/>
    <w:rsid w:val="32525CAD"/>
    <w:rsid w:val="327E6664"/>
    <w:rsid w:val="33231C7B"/>
    <w:rsid w:val="335E0D8E"/>
    <w:rsid w:val="33661445"/>
    <w:rsid w:val="33A930DF"/>
    <w:rsid w:val="33F16546"/>
    <w:rsid w:val="347E7857"/>
    <w:rsid w:val="34FB1776"/>
    <w:rsid w:val="358A2463"/>
    <w:rsid w:val="35D94948"/>
    <w:rsid w:val="36107BED"/>
    <w:rsid w:val="36432D79"/>
    <w:rsid w:val="368A74AB"/>
    <w:rsid w:val="37373DA4"/>
    <w:rsid w:val="373D368C"/>
    <w:rsid w:val="374D654E"/>
    <w:rsid w:val="376B6D2F"/>
    <w:rsid w:val="37A44758"/>
    <w:rsid w:val="381A4397"/>
    <w:rsid w:val="38390EDA"/>
    <w:rsid w:val="38470BB0"/>
    <w:rsid w:val="3869215B"/>
    <w:rsid w:val="3912667C"/>
    <w:rsid w:val="39842625"/>
    <w:rsid w:val="3998008B"/>
    <w:rsid w:val="39A72365"/>
    <w:rsid w:val="39D4728C"/>
    <w:rsid w:val="3A151AEA"/>
    <w:rsid w:val="3A8F731E"/>
    <w:rsid w:val="3AE555F4"/>
    <w:rsid w:val="3B324532"/>
    <w:rsid w:val="3C081952"/>
    <w:rsid w:val="3C0A10AE"/>
    <w:rsid w:val="3C1A7270"/>
    <w:rsid w:val="3C1C362D"/>
    <w:rsid w:val="3C704D6A"/>
    <w:rsid w:val="3C8B7826"/>
    <w:rsid w:val="3CFE3C20"/>
    <w:rsid w:val="3D840E45"/>
    <w:rsid w:val="3DB80AEF"/>
    <w:rsid w:val="3DD73903"/>
    <w:rsid w:val="3E594080"/>
    <w:rsid w:val="3EB27A21"/>
    <w:rsid w:val="3EE7250A"/>
    <w:rsid w:val="3EF36F4F"/>
    <w:rsid w:val="3F486480"/>
    <w:rsid w:val="3FCF3A3E"/>
    <w:rsid w:val="3FDF05B5"/>
    <w:rsid w:val="40384169"/>
    <w:rsid w:val="4076360E"/>
    <w:rsid w:val="410D55D9"/>
    <w:rsid w:val="4142074F"/>
    <w:rsid w:val="4178689A"/>
    <w:rsid w:val="41C2021F"/>
    <w:rsid w:val="41C736D6"/>
    <w:rsid w:val="42602A72"/>
    <w:rsid w:val="42E95862"/>
    <w:rsid w:val="42FC368D"/>
    <w:rsid w:val="435B772B"/>
    <w:rsid w:val="43B06F1C"/>
    <w:rsid w:val="43E94AF8"/>
    <w:rsid w:val="43F959BD"/>
    <w:rsid w:val="44496945"/>
    <w:rsid w:val="44882ABA"/>
    <w:rsid w:val="44CD05ED"/>
    <w:rsid w:val="45011F36"/>
    <w:rsid w:val="45127CB9"/>
    <w:rsid w:val="458659AA"/>
    <w:rsid w:val="45AD58E9"/>
    <w:rsid w:val="45F34E5C"/>
    <w:rsid w:val="46616A8D"/>
    <w:rsid w:val="46707BA3"/>
    <w:rsid w:val="46827EEC"/>
    <w:rsid w:val="46DE35DF"/>
    <w:rsid w:val="472E0D2A"/>
    <w:rsid w:val="47C11514"/>
    <w:rsid w:val="48EF2337"/>
    <w:rsid w:val="48F60B83"/>
    <w:rsid w:val="493E7AD8"/>
    <w:rsid w:val="49A14B2D"/>
    <w:rsid w:val="49E760C4"/>
    <w:rsid w:val="4B26353C"/>
    <w:rsid w:val="4B810C27"/>
    <w:rsid w:val="4B904E89"/>
    <w:rsid w:val="4BA13E68"/>
    <w:rsid w:val="4BE51C76"/>
    <w:rsid w:val="4BF03B4A"/>
    <w:rsid w:val="4C7D739B"/>
    <w:rsid w:val="4CAC0AD9"/>
    <w:rsid w:val="4CF002C8"/>
    <w:rsid w:val="4CF02E26"/>
    <w:rsid w:val="4D34553A"/>
    <w:rsid w:val="4D6C771B"/>
    <w:rsid w:val="4D8F494F"/>
    <w:rsid w:val="4DB03590"/>
    <w:rsid w:val="4E554C32"/>
    <w:rsid w:val="4E80426E"/>
    <w:rsid w:val="4EBC76DE"/>
    <w:rsid w:val="500A6321"/>
    <w:rsid w:val="507508D7"/>
    <w:rsid w:val="50CD4DA0"/>
    <w:rsid w:val="51364512"/>
    <w:rsid w:val="515005C0"/>
    <w:rsid w:val="5183104C"/>
    <w:rsid w:val="518F25AD"/>
    <w:rsid w:val="51B26705"/>
    <w:rsid w:val="520143AC"/>
    <w:rsid w:val="528A6DCB"/>
    <w:rsid w:val="52CD22E8"/>
    <w:rsid w:val="5402266C"/>
    <w:rsid w:val="544C2359"/>
    <w:rsid w:val="5475139F"/>
    <w:rsid w:val="5477195C"/>
    <w:rsid w:val="548328B3"/>
    <w:rsid w:val="54AC14F8"/>
    <w:rsid w:val="55225FBE"/>
    <w:rsid w:val="55AC361A"/>
    <w:rsid w:val="55B06922"/>
    <w:rsid w:val="56006927"/>
    <w:rsid w:val="561E00D5"/>
    <w:rsid w:val="56B60D75"/>
    <w:rsid w:val="56C708EE"/>
    <w:rsid w:val="573A75A8"/>
    <w:rsid w:val="57620F3F"/>
    <w:rsid w:val="5789041A"/>
    <w:rsid w:val="580B282C"/>
    <w:rsid w:val="58260F8E"/>
    <w:rsid w:val="58C47EF0"/>
    <w:rsid w:val="58F016DE"/>
    <w:rsid w:val="58FD5D9D"/>
    <w:rsid w:val="59005B30"/>
    <w:rsid w:val="596F21A7"/>
    <w:rsid w:val="59F66527"/>
    <w:rsid w:val="5A016AB7"/>
    <w:rsid w:val="5A101AC2"/>
    <w:rsid w:val="5A3F5302"/>
    <w:rsid w:val="5A512369"/>
    <w:rsid w:val="5A6B0F71"/>
    <w:rsid w:val="5A845D9A"/>
    <w:rsid w:val="5AE22E06"/>
    <w:rsid w:val="5B0F630F"/>
    <w:rsid w:val="5B130C02"/>
    <w:rsid w:val="5B1F5120"/>
    <w:rsid w:val="5B455E49"/>
    <w:rsid w:val="5B8524B6"/>
    <w:rsid w:val="5B8D4B92"/>
    <w:rsid w:val="5C161EDE"/>
    <w:rsid w:val="5C4C28C6"/>
    <w:rsid w:val="5C581867"/>
    <w:rsid w:val="5CCA2340"/>
    <w:rsid w:val="5D0F67F8"/>
    <w:rsid w:val="5D665A1A"/>
    <w:rsid w:val="5D953E89"/>
    <w:rsid w:val="5DA97324"/>
    <w:rsid w:val="5DFB4B35"/>
    <w:rsid w:val="5EC05B97"/>
    <w:rsid w:val="5F087F58"/>
    <w:rsid w:val="5F090540"/>
    <w:rsid w:val="5F274BAB"/>
    <w:rsid w:val="5F3176B9"/>
    <w:rsid w:val="5F342B25"/>
    <w:rsid w:val="5FEB2206"/>
    <w:rsid w:val="5FFA35CE"/>
    <w:rsid w:val="60663E56"/>
    <w:rsid w:val="60A033CC"/>
    <w:rsid w:val="60F17CF0"/>
    <w:rsid w:val="61371BA7"/>
    <w:rsid w:val="619501A8"/>
    <w:rsid w:val="620F67EC"/>
    <w:rsid w:val="62882F2D"/>
    <w:rsid w:val="628C136C"/>
    <w:rsid w:val="62D33837"/>
    <w:rsid w:val="63343621"/>
    <w:rsid w:val="63406DDA"/>
    <w:rsid w:val="639E2E44"/>
    <w:rsid w:val="63C34831"/>
    <w:rsid w:val="63C6374F"/>
    <w:rsid w:val="6443663F"/>
    <w:rsid w:val="65030C16"/>
    <w:rsid w:val="651932EC"/>
    <w:rsid w:val="65D07218"/>
    <w:rsid w:val="65F02D51"/>
    <w:rsid w:val="660C6907"/>
    <w:rsid w:val="670F7122"/>
    <w:rsid w:val="67220C03"/>
    <w:rsid w:val="67B010BC"/>
    <w:rsid w:val="67B63BB5"/>
    <w:rsid w:val="686379BB"/>
    <w:rsid w:val="68D30230"/>
    <w:rsid w:val="68D50A5C"/>
    <w:rsid w:val="690C6AFD"/>
    <w:rsid w:val="69795205"/>
    <w:rsid w:val="6AB41E69"/>
    <w:rsid w:val="6AC87D14"/>
    <w:rsid w:val="6AD53752"/>
    <w:rsid w:val="6B4F3F91"/>
    <w:rsid w:val="6B882B85"/>
    <w:rsid w:val="6C03258C"/>
    <w:rsid w:val="6C165841"/>
    <w:rsid w:val="6C2F69D8"/>
    <w:rsid w:val="6C53360D"/>
    <w:rsid w:val="6C593661"/>
    <w:rsid w:val="6C870A40"/>
    <w:rsid w:val="6D6D6950"/>
    <w:rsid w:val="6E357253"/>
    <w:rsid w:val="6E5E4F55"/>
    <w:rsid w:val="6ED51A64"/>
    <w:rsid w:val="6F291A34"/>
    <w:rsid w:val="71211781"/>
    <w:rsid w:val="726E12CB"/>
    <w:rsid w:val="7285083D"/>
    <w:rsid w:val="72865C45"/>
    <w:rsid w:val="73037217"/>
    <w:rsid w:val="73440153"/>
    <w:rsid w:val="73583B1F"/>
    <w:rsid w:val="73A2082D"/>
    <w:rsid w:val="73B644C4"/>
    <w:rsid w:val="73CE2D74"/>
    <w:rsid w:val="73CF6A1B"/>
    <w:rsid w:val="741F0C91"/>
    <w:rsid w:val="743273F9"/>
    <w:rsid w:val="745D7266"/>
    <w:rsid w:val="74BB4445"/>
    <w:rsid w:val="7553467E"/>
    <w:rsid w:val="759A147D"/>
    <w:rsid w:val="75A40A8D"/>
    <w:rsid w:val="75C96ACE"/>
    <w:rsid w:val="75F06371"/>
    <w:rsid w:val="760D23F9"/>
    <w:rsid w:val="76AA163F"/>
    <w:rsid w:val="76B231C9"/>
    <w:rsid w:val="76BE5C07"/>
    <w:rsid w:val="76C137E3"/>
    <w:rsid w:val="76C966E3"/>
    <w:rsid w:val="76E6055C"/>
    <w:rsid w:val="77843BFC"/>
    <w:rsid w:val="7819585D"/>
    <w:rsid w:val="78931A06"/>
    <w:rsid w:val="78DD376F"/>
    <w:rsid w:val="79B80F53"/>
    <w:rsid w:val="79FA2810"/>
    <w:rsid w:val="7A391CE2"/>
    <w:rsid w:val="7ABE2599"/>
    <w:rsid w:val="7AF00FBF"/>
    <w:rsid w:val="7B1E408D"/>
    <w:rsid w:val="7B275ECC"/>
    <w:rsid w:val="7C0860ED"/>
    <w:rsid w:val="7C362DAD"/>
    <w:rsid w:val="7C522985"/>
    <w:rsid w:val="7CD6006E"/>
    <w:rsid w:val="7D0466EE"/>
    <w:rsid w:val="7D675B23"/>
    <w:rsid w:val="7E300197"/>
    <w:rsid w:val="7E71794C"/>
    <w:rsid w:val="7E9B2058"/>
    <w:rsid w:val="7EA832D9"/>
    <w:rsid w:val="7EAB7A4E"/>
    <w:rsid w:val="7F9C15E8"/>
    <w:rsid w:val="7FEA29EC"/>
    <w:rsid w:val="7FF50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100" w:beforeAutospacing="1" w:after="100" w:afterAutospacing="1"/>
      <w:jc w:val="center"/>
      <w:outlineLvl w:val="0"/>
    </w:pPr>
    <w:rPr>
      <w:rFonts w:hint="default" w:ascii="方正小标宋简体" w:hAnsi="方正小标宋简体" w:eastAsia="宋体"/>
      <w:b/>
      <w:bCs/>
      <w:kern w:val="44"/>
      <w:sz w:val="44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spacing w:before="100" w:beforeAutospacing="1" w:after="100" w:afterAutospacing="1"/>
      <w:jc w:val="center"/>
      <w:outlineLvl w:val="1"/>
    </w:pPr>
    <w:rPr>
      <w:rFonts w:hint="default" w:ascii="楷体_GB2312" w:hAnsi="楷体_GB2312" w:eastAsia="宋体"/>
      <w:b/>
      <w:bCs/>
      <w:sz w:val="32"/>
      <w:szCs w:val="36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autoRedefine/>
    <w:uiPriority w:val="0"/>
  </w:style>
  <w:style w:type="paragraph" w:styleId="5">
    <w:name w:val="Normal (Web)"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Hyperlink"/>
    <w:autoRedefine/>
    <w:uiPriority w:val="0"/>
    <w:rPr>
      <w:color w:val="0000FF"/>
      <w:u w:val="single"/>
    </w:rPr>
  </w:style>
  <w:style w:type="paragraph" w:customStyle="1" w:styleId="11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2">
    <w:name w:val="Normal1"/>
    <w:autoRedefine/>
    <w:uiPriority w:val="0"/>
    <w:rPr>
      <w:rFonts w:ascii="Calibri" w:hAnsi="Calibri" w:eastAsia="宋体" w:cs="Calibri"/>
      <w:sz w:val="24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446</Words>
  <Characters>2545</Characters>
  <Lines>1</Lines>
  <Paragraphs>1</Paragraphs>
  <TotalTime>104</TotalTime>
  <ScaleCrop>false</ScaleCrop>
  <LinksUpToDate>false</LinksUpToDate>
  <CharactersWithSpaces>2986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2024-04-02T06:52:00Z</dcterms:created>
  <dc:creator>jinzh</dc:creator>
  <cp:lastModifiedBy>清沐</cp:lastModifiedBy>
  <dcterms:modified xsi:type="dcterms:W3CDTF">2024-04-21T14:09:09Z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0430DCFEB120417385EAEB13B244F407_13</vt:lpwstr>
  </property>
</Properties>
</file>