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EA344" w14:textId="77F32455" w:rsidR="007911E7" w:rsidRPr="00B22CD4" w:rsidRDefault="007911E7" w:rsidP="00B22CD4">
      <w:pPr>
        <w:spacing w:beforeLines="50" w:before="211" w:afterLines="100" w:after="423"/>
        <w:ind w:firstLineChars="0" w:firstLine="0"/>
        <w:jc w:val="center"/>
        <w:rPr>
          <w:rFonts w:ascii="SimSun" w:eastAsia="SimSun" w:hAnsi="SimSun"/>
          <w:b/>
          <w:sz w:val="32"/>
          <w:szCs w:val="32"/>
        </w:rPr>
      </w:pPr>
      <w:hyperlink r:id="rIdHyperlink" w:history="1">
        <w:r w:rsidRPr="00B22CD4">
          <w:rPr>
            <w:rFonts w:ascii="SimSun" w:eastAsia="SimSun" w:hAnsi="SimSun" w:hint="eastAsia"/>
            <w:b/>
            <w:sz w:val="32"/>
            <w:szCs w:val="32"/>
          </w:rPr>
          <w:t>四川省高级人民法院执行案件移送破产审查工作指南</w:t>
        </w:r>
      </w:hyperlink>
    </w:p>
    <w:p w14:paraId="1CE78CBD" w14:textId="77777777" w:rsidR="00E07A1C" w:rsidRPr="00C468EA" w:rsidRDefault="00E07A1C" w:rsidP="00C468EA">
      <w:pPr>
        <w:pStyle w:val="afa"/>
        <w:spacing w:before="105"/>
        <w:ind w:firstLine="420"/>
      </w:pPr>
      <w:r w:rsidRPr="00C468EA">
        <w:rPr>
          <w:rStyle w:val="sect2title1"/>
          <w:rFonts w:ascii="SimSun" w:eastAsia="SimSun" w:hAnsi="SimSun"/>
        </w:rPr>
        <w:t xml:space="preserve">时效性：  </w:t>
      </w:r>
      <w:r w:rsidR="00983AF9" w:rsidRPr="00C468EA">
        <w:rPr>
          <w:rStyle w:val="sect2title1"/>
          <w:b w:val="0"/>
        </w:rPr>
        <w:t xml:space="preserve">  </w:t>
      </w:r>
      <w:r w:rsidR="00983AF9" w:rsidRPr="00C468EA">
        <w:rPr>
          <w:rFonts w:ascii="SimSun" w:eastAsia="SimSun" w:hAnsi="SimSun"/>
        </w:rPr>
        <w:t>现行有效</w:t>
      </w:r>
    </w:p>
    <w:p w14:paraId="628E1286" w14:textId="77777777" w:rsidR="00E07A1C" w:rsidRPr="00C468EA" w:rsidRDefault="00E07A1C" w:rsidP="00C468EA">
      <w:pPr>
        <w:pStyle w:val="afa"/>
        <w:spacing w:before="105"/>
        <w:ind w:firstLine="420"/>
      </w:pPr>
      <w:r w:rsidRPr="00C468EA">
        <w:rPr>
          <w:rStyle w:val="sect2title1"/>
          <w:rFonts w:ascii="SimSun" w:eastAsia="SimSun" w:hAnsi="SimSun"/>
        </w:rPr>
        <w:t>发文机关：</w:t>
      </w:r>
      <w:r w:rsidR="00983AF9" w:rsidRPr="00C468EA">
        <w:rPr>
          <w:rStyle w:val="sect2title1"/>
          <w:b w:val="0"/>
        </w:rPr>
        <w:t xml:space="preserve">  </w:t>
      </w:r>
      <w:r w:rsidR="00EE2355" w:rsidRPr="00C468EA">
        <w:rPr>
          <w:rFonts w:ascii="SimSun" w:eastAsia="SimSun" w:hAnsi="SimSun"/>
        </w:rPr>
        <w:t>四川省高级人民法院</w:t>
      </w:r>
    </w:p>
    <w:p w14:paraId="7045121C" w14:textId="77777777" w:rsidR="00E07A1C" w:rsidRPr="00C468EA" w:rsidRDefault="00E07A1C" w:rsidP="00C468EA">
      <w:pPr>
        <w:pStyle w:val="afa"/>
        <w:spacing w:before="105"/>
        <w:ind w:firstLine="420"/>
      </w:pPr>
      <w:r w:rsidRPr="00C468EA">
        <w:rPr>
          <w:rStyle w:val="sect2title1"/>
          <w:rFonts w:ascii="SimSun" w:eastAsia="SimSun" w:hAnsi="SimSun"/>
        </w:rPr>
        <w:t xml:space="preserve">发文日期：</w:t>
      </w:r>
      <w:r w:rsidR="00983AF9" w:rsidRPr="00C468EA">
        <w:rPr>
          <w:rStyle w:val="sect2title1"/>
          <w:b w:val="0"/>
        </w:rPr>
        <w:t xml:space="preserve">  </w:t>
      </w:r>
      <w:r w:rsidR="00EE2355" w:rsidRPr="00C468EA">
        <w:rPr>
          <w:rFonts w:ascii="SimSun" w:eastAsia="SimSun" w:hAnsi="SimSun"/>
        </w:rPr>
        <w:t>2021年08月10日</w:t>
      </w:r>
    </w:p>
    <w:p w14:paraId="7045121C" w14:textId="77777777" w:rsidR="00E07A1C" w:rsidRPr="00C468EA" w:rsidRDefault="00E07A1C" w:rsidP="00C468EA">
      <w:pPr>
        <w:pStyle w:val="afa"/>
        <w:spacing w:before="105"/>
        <w:ind w:firstLine="420"/>
      </w:pPr>
      <w:r w:rsidRPr="00C468EA">
        <w:rPr>
          <w:rStyle w:val="sect2title1"/>
          <w:rFonts w:ascii="SimSun" w:eastAsia="SimSun" w:hAnsi="SimSun"/>
        </w:rPr>
        <w:t xml:space="preserve">施行日期：</w:t>
      </w:r>
      <w:r w:rsidR="00983AF9" w:rsidRPr="00C468EA">
        <w:rPr>
          <w:rStyle w:val="sect2title1"/>
          <w:b w:val="0"/>
        </w:rPr>
        <w:t xml:space="preserve">  </w:t>
      </w:r>
      <w:r w:rsidR="00EE2355" w:rsidRPr="00C468EA">
        <w:rPr>
          <w:rFonts w:ascii="SimSun" w:eastAsia="SimSun" w:hAnsi="SimSun"/>
        </w:rPr>
        <w:t>2021年08月10日</w:t>
      </w:r>
    </w:p>
    <!-- 目录 -->
    <!-- 一行回车 -->
    <w:p w14:paraId="17D9BCF4" w14:textId="77777777" w:rsidR="00AD59E4" w:rsidRPr="00D05BC5" w:rsidRDefault="00AD59E4">
      <w:pPr>
        <w:spacing w:beforeLines="50" w:before="211" w:afterLines="50" w:after="211"/>
        <w:rPr>
          <w:rFonts w:ascii="SimSun" w:eastAsia="SimSun" w:hAnsi="SimSun"/>
          <w:color w:val="000000"/>
          <w:kern w:val="0"/>
          <w:sz w:val="28"/>
        </w:rPr>
      </w:pPr>
    </w:p>
    <!-- 正文 -->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为进一步细化落实最高人民法院《关于执行案件移送破产审査若干问题的指导意见》，明确执行案件移送破产审査的条件、标准、流程等，统筹构建执行不能案件退出和破产程序启动的有效衔接机制，四川高院制定下发了《执行案件移送破产审査工作指南》。现予以刊载，供学习交流。</w:t>
      </w:r>
    </w:p>
    <!--正文-编-->
    <!--正文-章-->
    <!--正文-节-->
    <!--正文-条-->
    <!--正文-款-->
    <!--正文-更深层级-->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四川省高级人民法院执行案件移送破产审査工作指南</w:t>
      </w:r>
    </w:p>
    <!--正文-编-->
    <!--正文-章-->
    <!--正文-节-->
    <!--正文-条-->
    <!--正文-款-->
    <!--正文-更深层级-->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为促进和规范执行案件移送破产审查工作，确保执行程序和破产程序有序衔接、高效联动，推动切实解决“执行难”，有效化解“破产难”，根据《中华人民共和国企业破产法》及其相关司法解释、《中华人民共和国民事诉讼法》《最高人民法院关于适用〈中华人民共和国民事诉讼法〉的解释》《最高人民法院关于执行案件移送破产审查若干问题的指导意见》《全国法院破产审判工作会议纪要》等规定，结合工作实际，制定本指南。</w:t>
      </w:r>
    </w:p>
    <!--正文-编-->
    <!--正文-章-->
    <!--正文-节-->
    <!--正文-条-->
    <!--正文-款-->
    <!--正文-更深层级-->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一、一般规定</w:t>
      </w:r>
    </w:p>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（一）</w:t>
      </w:r>
      <w:r w:rsidRPr="00A75184">
        <w:rPr>
          <w:rStyle w:val="sect2title1"/>
          <w:rFonts w:ascii="SimSun" w:eastAsia="SimSun" w:hAnsi="SimSun"/>
          <w:b w:val="0"/>
        </w:rPr>
        <w:t xml:space="preserve">　</w:t>
      </w:r>
      <w:r w:rsidRPr="00A75184">
        <w:rPr>
          <w:rFonts w:ascii="SimSun" w:eastAsia="SimSun" w:hAnsi="SimSun" w:hint="default"/>
        </w:rPr>
        <w:t>	基本原则。执行案件移送破产申查，应当遵循依法有序、协调配合、高效便捷的工作原则。</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符合移送破产审查条件的执行案件，应当移送破产审查；符合破产案件受理条件的执行转破产审查案件，应当依法及时受理。</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（二）</w:t>
      </w:r>
      <w:r w:rsidRPr="00A75184">
        <w:rPr>
          <w:rStyle w:val="sect2title1"/>
          <w:rFonts w:ascii="SimSun" w:eastAsia="SimSun" w:hAnsi="SimSun"/>
          <w:b w:val="0"/>
        </w:rPr>
        <w:t xml:space="preserve">　</w:t>
      </w:r>
      <w:r w:rsidRPr="00A75184">
        <w:rPr>
          <w:rFonts w:ascii="SimSun" w:eastAsia="SimSun" w:hAnsi="SimSun" w:hint="default"/>
        </w:rPr>
        <w:t>	管辖。执行案件移送破产审查案件的管辖，适用申请人直接向人民法院申请被执行人破产时确定案件管辖的一般规则。</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地域管辖上，由被执行人住所地人民法院管辖。级别管辖上，基层法院一般管辖县、县级市或者区一级登记机关核准登记被执行人的破产案件；中级人民法院一般管辖地区、地级市（含本级）以上的登记机关核准登记被执行人的破产案件。</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中级人民法院经报请四川省高级人民法院批准，可以将案件交由具备审理条件的所辖基层人民法院审理。</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（三）</w:t>
      </w:r>
      <w:r w:rsidRPr="00A75184">
        <w:rPr>
          <w:rStyle w:val="sect2title1"/>
          <w:rFonts w:ascii="SimSun" w:eastAsia="SimSun" w:hAnsi="SimSun"/>
          <w:b w:val="0"/>
        </w:rPr>
        <w:t xml:space="preserve">　</w:t>
      </w:r>
      <w:r w:rsidRPr="00A75184">
        <w:rPr>
          <w:rFonts w:ascii="SimSun" w:eastAsia="SimSun" w:hAnsi="SimSun" w:hint="default"/>
        </w:rPr>
        <w:t>	案件类型。执行案件移送破产申查的，以对被执行人进行破产清算为主；具备重整、和解条件的，也可以申请适用破产重整及破产和解。</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当事人直接向有管辖权的人民法院提出破产申请的，由该院依照相关法律规定办理。</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（四）</w:t>
      </w:r>
      <w:r w:rsidRPr="00A75184">
        <w:rPr>
          <w:rStyle w:val="sect2title1"/>
          <w:rFonts w:ascii="SimSun" w:eastAsia="SimSun" w:hAnsi="SimSun"/>
          <w:b w:val="0"/>
        </w:rPr>
        <w:t xml:space="preserve">　</w:t>
      </w:r>
      <w:r w:rsidRPr="00A75184">
        <w:rPr>
          <w:rFonts w:ascii="SimSun" w:eastAsia="SimSun" w:hAnsi="SimSun" w:hint="default"/>
        </w:rPr>
        <w:t>	争议协调。执行案件移送破产审查，属于在同一人民法院执行部门、立案部门、破产审判部门之间移转的，由执行部门直接向立案部门移送立案，立案部门登记立案后，移送破产审判部门审查，发生争议的，应及时协调处理。</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基层人民法院执行移送破产审查的案件，属于所属中级人民法院辖区内其他基层人民法院管辖的，由该基层人民法院直接向相应法院移送破产审查，发生争议的，应及时协商解决，协商不成的，报请中级人民法院协调处理。</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基层人民法院、中级人民法院执行移送破产审查的案件，属于省内其他法院管辖的，由该基层人民法院、中级人民法院直接向相应法院移送破产审查，发生争议的，应及时协商解决，协商不成的，报请四川省高级人民法院协调处理。</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外省人民法院执行移送破产审查的案件，由省内有管辖权的人民法院审查，发生争议的，应及时协商解决，协商不成的，层报共同上级法院协调处理。</w:t>
      </w:r>
    </w:p>
    <!--正文-更深层级-->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二、征询、决定程序</w:t>
      </w:r>
    </w:p>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（五）</w:t>
      </w:r>
      <w:r w:rsidRPr="00A75184">
        <w:rPr>
          <w:rStyle w:val="sect2title1"/>
          <w:rFonts w:ascii="SimSun" w:eastAsia="SimSun" w:hAnsi="SimSun"/>
          <w:b w:val="0"/>
        </w:rPr>
        <w:t xml:space="preserve">　</w:t>
      </w:r>
      <w:r w:rsidRPr="00A75184">
        <w:rPr>
          <w:rFonts w:ascii="SimSun" w:eastAsia="SimSun" w:hAnsi="SimSun" w:hint="default"/>
        </w:rPr>
        <w:t>	告知与释明。执行法院在向申请执行人送达《立案通知书》、向作为被执行人的企业法人送达《执行通知书》时，应当同时告知申请执行人和被执行人有关执行案件移送破产审查的相关规定。</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执行法院应重点向被执行人、持有劳动债权的申请执行人或财产控制措施顺位在后的普通债权人的申请执行人释明，征求其是否同意移送破产申查的意见。</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释明及征求意见应制作笔录，详细记录当事人意见。申请执行人或被执行人单独出具的《执行移送破产审查申请书》，或确认同意执行移送破产审查的书面说明，以及明确记载当事人同意执行移送破产审查意思并由其签字确认的释明或征求意见的笔录，均可作为执行法院移送破产审查的启动依据。</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（六）</w:t>
      </w:r>
      <w:r w:rsidRPr="00A75184">
        <w:rPr>
          <w:rStyle w:val="sect2title1"/>
          <w:rFonts w:ascii="SimSun" w:eastAsia="SimSun" w:hAnsi="SimSun"/>
          <w:b w:val="0"/>
        </w:rPr>
        <w:t xml:space="preserve">　</w:t>
      </w:r>
      <w:r w:rsidRPr="00A75184">
        <w:rPr>
          <w:rFonts w:ascii="SimSun" w:eastAsia="SimSun" w:hAnsi="SimSun" w:hint="default"/>
        </w:rPr>
        <w:t>	拟终本案件的告知与释明。以企业法人为被执行人的案件，执行法院拟终结本次执行程序的，在作出终结本次执行裁定前，应当向当事人释明执行程序移送破产审查的相关规定，征求其是否同意移送破产审查的意见。一方或双方当事人同意的，执行法院可按照《最高人民法院关于严格规范终结本次执行程序的规定（试行）》第十一条的规定，在作出终结本次执行程序裁定的同时，将执行案件移送破产审查。双方当事人均不同意的，应将释明笔录归入卷宗。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（七）</w:t>
      </w:r>
      <w:r w:rsidRPr="00A75184">
        <w:rPr>
          <w:rStyle w:val="sect2title1"/>
          <w:rFonts w:ascii="SimSun" w:eastAsia="SimSun" w:hAnsi="SimSun"/>
          <w:b w:val="0"/>
        </w:rPr>
        <w:t xml:space="preserve">　</w:t>
      </w:r>
      <w:r w:rsidRPr="00A75184">
        <w:rPr>
          <w:rFonts w:ascii="SimSun" w:eastAsia="SimSun" w:hAnsi="SimSun" w:hint="default"/>
        </w:rPr>
        <w:t>	已终本案件的告知与释明。对于已终结本次执行程序的案件，执行部门在按照《最高人民法院关于严格规范终结本次执行程序的规定（试行）》第九条第二款要求每六个月重新查询被执行人的财产后，可再次释明并征求当事人是否同意移送破产审查的意见。一方或双方当事人同意的，直接移送破产审查。双方当事人均不同意的，应将释明笔录归入卷宗。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（八）</w:t>
      </w:r>
      <w:r w:rsidRPr="00A75184">
        <w:rPr>
          <w:rStyle w:val="sect2title1"/>
          <w:rFonts w:ascii="SimSun" w:eastAsia="SimSun" w:hAnsi="SimSun"/>
          <w:b w:val="0"/>
        </w:rPr>
        <w:t xml:space="preserve">　</w:t>
      </w:r>
      <w:r w:rsidRPr="00A75184">
        <w:rPr>
          <w:rFonts w:ascii="SimSun" w:eastAsia="SimSun" w:hAnsi="SimSun" w:hint="default"/>
        </w:rPr>
        <w:t>	移送条件。执行案件同时符合下列条件的，可以移送破产审查：</w:t>
      </w:r>
    </w:p>
    <!--正文-款-->
    <!--正文-更深层级-->
    <!--正文-内容-->
    <!--正文-编-->
    <!--正文-章-->
    <!--正文-节-->
    <!--正文-条-->
    <!--正文-款-->
    <!--正文-更深层级-->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1.被执行人为企业法人；</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2.被执行人或者有关被执行人的任何一个执行案件的申请执行人向执行法院申请或经征询同意启动执行案件移送破产审查程序；</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3.执行法院穷尽查控措施后发现被执行人不能履行到期债务，且其财产不足以清偿全部债务或者明显缺乏清偿能力。</w:t>
      </w:r>
    </w:p>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（九）</w:t>
      </w:r>
      <w:r w:rsidRPr="00A75184">
        <w:rPr>
          <w:rStyle w:val="sect2title1"/>
          <w:rFonts w:ascii="SimSun" w:eastAsia="SimSun" w:hAnsi="SimSun"/>
          <w:b w:val="0"/>
        </w:rPr>
        <w:t xml:space="preserve">　</w:t>
      </w:r>
      <w:r w:rsidRPr="00A75184">
        <w:rPr>
          <w:rFonts w:ascii="SimSun" w:eastAsia="SimSun" w:hAnsi="SimSun" w:hint="default"/>
        </w:rPr>
        <w:t>	重点移送情形。执行案件的被执行人企业符合下列情形之一的，应作为移送破产审查的重点：</w:t>
      </w:r>
    </w:p>
    <!--正文-款-->
    <!--正文-更深层级-->
    <!--正文-内容-->
    <!--正文-编-->
    <!--正文-章-->
    <!--正文-节-->
    <!--正文-条-->
    <!--正文-款-->
    <!--正文-更深层级-->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1.已穷尽执行查控措施，被执行人确无财产可供执行的；</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2.涉及被执行人的执行案件众多，且申请执行标的总额明</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显超过已查明可供执行财产价值总额的；</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3.存在隐匿、转移财产、无偿转让财产、以明显不合理的低价进行交易、偏颇性清偿等行为造成可供执行的财产价值总额较大幅度减少，通过执行程序无法解决，但通过破产程序中的否定效力、撤销交易、追回财产以及实施合并破产等制度可以解决的；</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4.仍在生产经营且具有持续营运价值，通过执行程序难以妥善处置，但通过破产重整、和解制度可能实现事业延续的。</w:t>
      </w:r>
    </w:p>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（十）</w:t>
      </w:r>
      <w:r w:rsidRPr="00A75184">
        <w:rPr>
          <w:rStyle w:val="sect2title1"/>
          <w:rFonts w:ascii="SimSun" w:eastAsia="SimSun" w:hAnsi="SimSun"/>
          <w:b w:val="0"/>
        </w:rPr>
        <w:t xml:space="preserve">　</w:t>
      </w:r>
      <w:r w:rsidRPr="00A75184">
        <w:rPr>
          <w:rFonts w:ascii="SimSun" w:eastAsia="SimSun" w:hAnsi="SimSun" w:hint="default"/>
        </w:rPr>
        <w:t>不宜移送情形。执行案件具有下列情形之一的，不宜启动移送破产审查程序：</w:t>
      </w:r>
    </w:p>
    <!--正文-款-->
    <!--正文-更深层级-->
    <!--正文-内容-->
    <!--正文-编-->
    <!--正文-章-->
    <!--正文-节-->
    <!--正文-条-->
    <!--正文-款-->
    <!--正文-更深层级-->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1.被执行人是国有或国有控股企业，对其负有监管职责的主管部门不同意移送破产审查的；</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2.被执行人涉及职工人数众多、职工债权数额较大，有社会稳定风险，地方和有关职能部门明确不支持破产的；</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3.被执行人存在涉嫌非法集资、非法吸收公众存款等未审结的刑事犯罪案件的；</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4.仅有被执行人一方同意移送破产审查，但其财产去向不明、有破产逃债可能的；</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5.其他不宜移送破产审查的情形。</w:t>
      </w:r>
    </w:p>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上述情形不影响当事人直接向有管辖权的人民法院提起破产申请，也不影响破产管辖法院依法受理破产申请。</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（十一）</w:t>
      </w:r>
      <w:r w:rsidRPr="00A75184">
        <w:rPr>
          <w:rStyle w:val="sect2title1"/>
          <w:rFonts w:ascii="SimSun" w:eastAsia="SimSun" w:hAnsi="SimSun"/>
          <w:b w:val="0"/>
        </w:rPr>
        <w:t xml:space="preserve">　</w:t>
      </w:r>
      <w:r w:rsidRPr="00A75184">
        <w:rPr>
          <w:rFonts w:ascii="SimSun" w:eastAsia="SimSun" w:hAnsi="SimSun" w:hint="default"/>
        </w:rPr>
        <w:t>审査时限。对申请执行人或被执行人主动申请移送破产审查，或者签署同意移送破产审查书面意见的执行案件，执行法院应在十日内对案件是否符合移送破产条件进行审查。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（十二）</w:t>
      </w:r>
      <w:r w:rsidRPr="00A75184">
        <w:rPr>
          <w:rStyle w:val="sect2title1"/>
          <w:rFonts w:ascii="SimSun" w:eastAsia="SimSun" w:hAnsi="SimSun"/>
          <w:b w:val="0"/>
        </w:rPr>
        <w:t xml:space="preserve">　</w:t>
      </w:r>
      <w:r w:rsidRPr="00A75184">
        <w:rPr>
          <w:rFonts w:ascii="SimSun" w:eastAsia="SimSun" w:hAnsi="SimSun" w:hint="default"/>
        </w:rPr>
        <w:t>审批程序。经审查认为符合执行移送破产审查条件的，由执行案件承办人提出决定移送意见，经合议庭合议并报请本院院长审批同意后进行移送。</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基层人民法院拟将执行案件移送异地中级人民法院进行破产审查的，在作出移送决定前，应报请其所属中级人民法院执行部门审批同意。</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（十三）</w:t>
      </w:r>
      <w:r w:rsidRPr="00A75184">
        <w:rPr>
          <w:rStyle w:val="sect2title1"/>
          <w:rFonts w:ascii="SimSun" w:eastAsia="SimSun" w:hAnsi="SimSun"/>
          <w:b w:val="0"/>
        </w:rPr>
        <w:t xml:space="preserve">　</w:t>
      </w:r>
      <w:r w:rsidRPr="00A75184">
        <w:rPr>
          <w:rFonts w:ascii="SimSun" w:eastAsia="SimSun" w:hAnsi="SimSun" w:hint="default"/>
        </w:rPr>
        <w:t>移送告知及异议处理告知。执行法院作出移送决定后，应于五日内将《移送破产审查决定书》送达申请执行人和被执行人，并告知申请执行人和被执行人如对决定有异议的，可以在受移送法院破产审查期间提出，由受移送法院一并处理。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（十四）</w:t>
      </w:r>
      <w:r w:rsidRPr="00A75184">
        <w:rPr>
          <w:rStyle w:val="sect2title1"/>
          <w:rFonts w:ascii="SimSun" w:eastAsia="SimSun" w:hAnsi="SimSun"/>
          <w:b w:val="0"/>
        </w:rPr>
        <w:t xml:space="preserve">　</w:t>
      </w:r>
      <w:r w:rsidRPr="00A75184">
        <w:rPr>
          <w:rFonts w:ascii="SimSun" w:eastAsia="SimSun" w:hAnsi="SimSun" w:hint="default"/>
        </w:rPr>
        <w:t>中止执行。执行法院作出移送决定后，应当同时作出中止对被执行人执行的裁定，并于作岀决定之日起三日内书面通知已知执行法院中止执行。该裁定不影响对同一执行案件中其他被执行人的执行。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（十五）</w:t>
      </w:r>
      <w:r w:rsidRPr="00A75184">
        <w:rPr>
          <w:rStyle w:val="sect2title1"/>
          <w:rFonts w:ascii="SimSun" w:eastAsia="SimSun" w:hAnsi="SimSun"/>
          <w:b w:val="0"/>
        </w:rPr>
        <w:t xml:space="preserve">　</w:t>
      </w:r>
      <w:r w:rsidRPr="00A75184">
        <w:rPr>
          <w:rFonts w:ascii="SimSun" w:eastAsia="SimSun" w:hAnsi="SimSun" w:hint="default"/>
        </w:rPr>
        <w:t>应当先行处置的财产。执行法院作出移送决定后，符合下列条件之一的，应当及时变价处置，但处置价款不作分配：</w:t>
      </w:r>
    </w:p>
    <!--正文-款-->
    <!--正文-更深层级-->
    <!--正文-内容-->
    <!--正文-编-->
    <!--正文-章-->
    <!--正文-节-->
    <!--正文-条-->
    <!--正文-款-->
    <!--正文-更深层级-->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1.季节性物品；</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2.生鲜物品；</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3.易腐败变质物品；</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4.保管费用过高物品；</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5.易损、易贬值物品；</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6.其他不宜长期保存或需要及时变价处置的物品。</w:t>
      </w:r>
    </w:p>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（十六）</w:t>
      </w:r>
      <w:r w:rsidRPr="00A75184">
        <w:rPr>
          <w:rStyle w:val="sect2title1"/>
          <w:rFonts w:ascii="SimSun" w:eastAsia="SimSun" w:hAnsi="SimSun"/>
          <w:b w:val="0"/>
        </w:rPr>
        <w:t xml:space="preserve">　</w:t>
      </w:r>
      <w:r w:rsidRPr="00A75184">
        <w:rPr>
          <w:rFonts w:ascii="SimSun" w:eastAsia="SimSun" w:hAnsi="SimSun" w:hint="default"/>
        </w:rPr>
        <w:t>保全措施的延续。执行法院决定移送后，在受移送法院裁定受理破产案件之前，对被执行人的查封、扣押、冻结措施不解除。</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查封、扣押、冻结期限在破产审查期间期满的，经申请执行人申请，由执行法院负责办理续行保全措施。</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（十七）</w:t>
      </w:r>
      <w:r w:rsidRPr="00A75184">
        <w:rPr>
          <w:rStyle w:val="sect2title1"/>
          <w:rFonts w:ascii="SimSun" w:eastAsia="SimSun" w:hAnsi="SimSun"/>
          <w:b w:val="0"/>
        </w:rPr>
        <w:t xml:space="preserve">　</w:t>
      </w:r>
      <w:r w:rsidRPr="00A75184">
        <w:rPr>
          <w:rFonts w:ascii="SimSun" w:eastAsia="SimSun" w:hAnsi="SimSun" w:hint="default"/>
        </w:rPr>
        <w:t>不予移送处理。经审查认为不符合执行案件移送破产审查条件的，执行法院应于五日内将不予移送决定告知申请执行人或被执行人。申请执行人或被执行人对不予移送的决定有异议的，可依法另行向有管辖权的人民法院直接提出破产申请。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（十八）</w:t>
      </w:r>
      <w:r w:rsidRPr="00A75184">
        <w:rPr>
          <w:rStyle w:val="sect2title1"/>
          <w:rFonts w:ascii="SimSun" w:eastAsia="SimSun" w:hAnsi="SimSun"/>
          <w:b w:val="0"/>
        </w:rPr>
        <w:t xml:space="preserve">　</w:t>
      </w:r>
      <w:r w:rsidRPr="00A75184">
        <w:rPr>
          <w:rFonts w:ascii="SimSun" w:eastAsia="SimSun" w:hAnsi="SimSun" w:hint="default"/>
        </w:rPr>
        <w:t>撤回申请审査。执行法院作出移送决定前，原同意移送的申请执行人或被执行人撤回申请或不同意移送破产审查的，执行法院应当停止审查。</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执行法院作出移送决定后、破产法院裁定受理前，原同意移送的申请执行人或被执行人撤回申请或不同意移送破产审查的，由受移送的破产审查法院依照破产程序的相关法律规定审查处理。当事人向执行法院或执行部门提出上述意见的，执行法院或执行部门应及时将异议材料移交受移送的破产审查法院或破产审判部门处理。</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受移送的破产审查法院或破产审判部门经审查准许撤回的，应当作出准许撤回的裁定，并在作出裁定之日起五日内将移送的材料退回执行法院或执行部门。</w:t>
      </w:r>
    </w:p>
    <!--正文-更深层级-->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三、移送程序</w:t>
      </w:r>
    </w:p>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（十九）</w:t>
      </w:r>
      <w:r w:rsidRPr="00A75184">
        <w:rPr>
          <w:rStyle w:val="sect2title1"/>
          <w:rFonts w:ascii="SimSun" w:eastAsia="SimSun" w:hAnsi="SimSun"/>
          <w:b w:val="0"/>
        </w:rPr>
        <w:t xml:space="preserve">　</w:t>
      </w:r>
      <w:r w:rsidRPr="00A75184">
        <w:rPr>
          <w:rFonts w:ascii="SimSun" w:eastAsia="SimSun" w:hAnsi="SimSun" w:hint="default"/>
        </w:rPr>
        <w:t>移送材料。执行法院移送破产审查，应提交下列材料：</w:t>
      </w:r>
    </w:p>
    <!--正文-款-->
    <!--正文-更深层级-->
    <!--正文-内容-->
    <!--正文-编-->
    <!--正文-章-->
    <!--正文-节-->
    <!--正文-条-->
    <!--正文-款-->
    <!--正文-更深层级-->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1.《移送破产审查决定书》及《送达回证》，或其他证明已经送达的材料；</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2.当事人提交的书面申请或同意移送破产程序的材料；</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3.《移送破产审查报告》；</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4.申请执行人、被执行人的主体资料、送达地址、联系方式；</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5.作出移送决定前三个月内通过执行查控系统查询的详尽的财产调查结果及其他与执行财产相关的资料，包括但不限于银行存款、房地产、车辆、股权登记等材料；</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6.通过执行系统查询生成的被执行人关联案件清单。清单中应载明被执行人的债权人的名称及联系方式、被执行人作为单一被执行主体的案件数及尚未执行标的额、涉劳动争议案件数及尚未执行标的额、涉民间借贷案件数及尚未执行标的额。如存在重大涉稳、刑民交叉、少数民族情形的，应一并说明。</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7.能证明财产价值的评估报告、网询报告、审计报告等相关材料；</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8.需要移送的其他材料。</w:t>
      </w:r>
    </w:p>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第1至第6项材料，属于执行移送破产审查的必备材料。</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（二十）</w:t>
      </w:r>
      <w:r w:rsidRPr="00A75184">
        <w:rPr>
          <w:rStyle w:val="sect2title1"/>
          <w:rFonts w:ascii="SimSun" w:eastAsia="SimSun" w:hAnsi="SimSun"/>
          <w:b w:val="0"/>
        </w:rPr>
        <w:t xml:space="preserve">　</w:t>
      </w:r>
      <w:r w:rsidRPr="00A75184">
        <w:rPr>
          <w:rFonts w:ascii="SimSun" w:eastAsia="SimSun" w:hAnsi="SimSun" w:hint="default"/>
        </w:rPr>
        <w:t>移送审査报告。前条第3项规定的《移送破产审查报告》，应当载明如下事项：</w:t>
      </w:r>
    </w:p>
    <!--正文-款-->
    <!--正文-更深层级-->
    <!--正文-内容-->
    <!--正文-编-->
    <!--正文-章-->
    <!--正文-节-->
    <!--正文-条-->
    <!--正文-款-->
    <!--正文-更深层级-->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1.案件执行经过情况及当事人同意移送破产审查的情况；</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2.已查明的被执行人财产现状、已采取强制措施情况及已进行过的执行分配情况；</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3.被执行人所涉执行案件、所负债务情况及经营状况；</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4.有必要在报告中列明的其他情况。</w:t>
      </w:r>
    </w:p>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（二十一）</w:t>
      </w:r>
      <w:r w:rsidRPr="00A75184">
        <w:rPr>
          <w:rStyle w:val="sect2title1"/>
          <w:rFonts w:ascii="SimSun" w:eastAsia="SimSun" w:hAnsi="SimSun"/>
          <w:b w:val="0"/>
        </w:rPr>
        <w:t xml:space="preserve">　</w:t>
      </w:r>
      <w:r w:rsidRPr="00A75184">
        <w:rPr>
          <w:rFonts w:ascii="SimSun" w:eastAsia="SimSun" w:hAnsi="SimSun" w:hint="default"/>
        </w:rPr>
        <w:t>立案登记审査。执行法院在作出移送破产审查决定之次日内，应将本指南第（十九）条所列材料移送破产法院立案部门。移送材料完备的，受移送破产法院立案部门应当在接收移送材料之日起次日内在全国破产案件信息网中录入相关信息，以“破申”作为案件类型代字编立案号登记立案，在接收移送材料之日起三日内移送破产审查部门进行审查。</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移送材料不完备或内容有误，受移送法院的立案部门应要求执行法院在十日内补齐或补正，执行法院应当予以配合。补齐或补正期间，不计入破产法院审查的期间。执行法院未按指定期间提交补正或补充材料的，受移送法院可以将已经收到的材料退回。</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（二十二）</w:t>
      </w:r>
      <w:r w:rsidRPr="00A75184">
        <w:rPr>
          <w:rStyle w:val="sect2title1"/>
          <w:rFonts w:ascii="SimSun" w:eastAsia="SimSun" w:hAnsi="SimSun"/>
          <w:b w:val="0"/>
        </w:rPr>
        <w:t xml:space="preserve">　</w:t>
      </w:r>
      <w:r w:rsidRPr="00A75184">
        <w:rPr>
          <w:rFonts w:ascii="SimSun" w:eastAsia="SimSun" w:hAnsi="SimSun" w:hint="default"/>
        </w:rPr>
        <w:t>分别移送。同一执行案件的多个被执行人均符合移送破产审查条件的，执行法院应当分别单独移送，并在审查报告中分别说明情况。
</w:t>
      </w:r>
    </w:p>
    <!--正文-款-->
    <!--正文-更深层级-->
    <!--正文-内容-->
    <!--正文-编-->
    <!--正文-章-->
    <!--正文-节-->
    <!--正文-条-->
    <!--正文-款-->
    <!--正文-更深层级-->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四、审査程序</w:t>
      </w:r>
    </w:p>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（二十三）</w:t>
      </w:r>
      <w:r w:rsidRPr="00A75184">
        <w:rPr>
          <w:rStyle w:val="sect2title1"/>
          <w:rFonts w:ascii="SimSun" w:eastAsia="SimSun" w:hAnsi="SimSun"/>
          <w:b w:val="0"/>
        </w:rPr>
        <w:t xml:space="preserve">　</w:t>
      </w:r>
      <w:r w:rsidRPr="00A75184">
        <w:rPr>
          <w:rFonts w:ascii="SimSun" w:eastAsia="SimSun" w:hAnsi="SimSun" w:hint="default"/>
        </w:rPr>
        <w:t>审査方式。受移送法院的破产审判部门应在收到立案部门移送案件后五日内，向申请人和被申请人告知合议庭组成情况，并依照《中华人民共和国企业破产法》及《最高人民法院关于适用〈中华人民共和国企业破产法〉若干问题的规定（一）》的相关规定进行审查，作出是否受理的裁定。</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受移送法院审查发现本院对案件没有管辖权的，应按《中华人民共和国民事诉讼法》第三十六条规定处理。</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（二十四）</w:t>
      </w:r>
      <w:r w:rsidRPr="00A75184">
        <w:rPr>
          <w:rStyle w:val="sect2title1"/>
          <w:rFonts w:ascii="SimSun" w:eastAsia="SimSun" w:hAnsi="SimSun"/>
          <w:b w:val="0"/>
        </w:rPr>
        <w:t xml:space="preserve">　</w:t>
      </w:r>
      <w:r w:rsidRPr="00A75184">
        <w:rPr>
          <w:rFonts w:ascii="SimSun" w:eastAsia="SimSun" w:hAnsi="SimSun" w:hint="default"/>
        </w:rPr>
        <w:t>材料的补齐。受移送法院破产审判部门认为移送材料不完备或内容有误的，应当向执行法院或执行部门发送补充材料清单，要求执行法院或执行部门在十日内补齐或补正。受移送法院不得以材料不齐或未穷尽执行手段为由不予受理。执行法院或执行部门不予配合的，可按照本指南第（四）条规定的程序报请协调处理。</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执行法院或执行部门不予配合补齐或补正材料，影响受移送法院对被执行人是否具备破产原因的判断的，受移送法院可裁定对破产案件不予受理。</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（二十五）</w:t>
      </w:r>
      <w:r w:rsidRPr="00A75184">
        <w:rPr>
          <w:rStyle w:val="sect2title1"/>
          <w:rFonts w:ascii="SimSun" w:eastAsia="SimSun" w:hAnsi="SimSun"/>
          <w:b w:val="0"/>
        </w:rPr>
        <w:t xml:space="preserve">　</w:t>
      </w:r>
      <w:r w:rsidRPr="00A75184">
        <w:rPr>
          <w:rFonts w:ascii="SimSun" w:eastAsia="SimSun" w:hAnsi="SimSun" w:hint="default"/>
        </w:rPr>
        <w:t>审査结果及送达。破产审判部门应当自收到移送材料之日起十五日内作出是否受理的裁定；裁定作出后应当在三日内送达申请人、被申请人，同时送交移送的执行法院或执行部门。申请人对不予受理裁定不服的，可以自裁定书送达之日起十日内向上一级人民法院提起上诉。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（二十六）</w:t>
      </w:r>
      <w:r w:rsidRPr="00A75184">
        <w:rPr>
          <w:rStyle w:val="sect2title1"/>
          <w:rFonts w:ascii="SimSun" w:eastAsia="SimSun" w:hAnsi="SimSun"/>
          <w:b w:val="0"/>
        </w:rPr>
        <w:t xml:space="preserve">　</w:t>
      </w:r>
      <w:r w:rsidRPr="00A75184">
        <w:rPr>
          <w:rFonts w:ascii="SimSun" w:eastAsia="SimSun" w:hAnsi="SimSun" w:hint="default"/>
        </w:rPr>
        <w:t>受理后的驳回。破产审判部门作出受理裁定后、宣告破产前，发现不符合受理条件或属于法律规定不予受理情形的，应当作出驳回破产申请的裁定，并在三日内送达申请人、被申请人，同时送交移送的执行法院或执行部门。申请人对驳回申请裁定不服的，可以自裁定书送达之日起十日内向上一级人民法院提起上诉。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（二十七）</w:t>
      </w:r>
      <w:r w:rsidRPr="00A75184">
        <w:rPr>
          <w:rStyle w:val="sect2title1"/>
          <w:rFonts w:ascii="SimSun" w:eastAsia="SimSun" w:hAnsi="SimSun"/>
          <w:b w:val="0"/>
        </w:rPr>
        <w:t xml:space="preserve">　</w:t>
      </w:r>
      <w:r w:rsidRPr="00A75184">
        <w:rPr>
          <w:rFonts w:ascii="SimSun" w:eastAsia="SimSun" w:hAnsi="SimSun" w:hint="default"/>
        </w:rPr>
        <w:t>不予受理或驳回申请后的衔接。不予受理或驳回申请的裁定生效后，破产审判部门应于七日内将裁定书送交执行法院或执行部门，并将案件材料一并退回。</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执行法院或执行部门应当在收到受移送法院作出的不予受理破产申请或驳回破产申请裁定后三日内，恢复对被执行人的执行。</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裁定驳回申请的案件，执行法院应当在收到受移送法院作出的驳回破产申请裁定后，按照《最高人民法院关于适用〈中华人民共和国企业破产法〉若干问题的规定（二）》第八条规定及时恢复保全措施。在执行法院恢复保全措施或者明确表示不再恢复之前，受移送法院不得解除对债务人财产的保全措施。管理人应在裁定生效后七日内将接管的被执行人财产移交执行法院或执行部门。</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（二十八）</w:t>
      </w:r>
      <w:r w:rsidRPr="00A75184">
        <w:rPr>
          <w:rStyle w:val="sect2title1"/>
          <w:rFonts w:ascii="SimSun" w:eastAsia="SimSun" w:hAnsi="SimSun"/>
          <w:b w:val="0"/>
        </w:rPr>
        <w:t xml:space="preserve">　</w:t>
      </w:r>
      <w:r w:rsidRPr="00A75184">
        <w:rPr>
          <w:rFonts w:ascii="SimSun" w:eastAsia="SimSun" w:hAnsi="SimSun" w:hint="default"/>
        </w:rPr>
        <w:t>财产移交。执行法院收到受理裁定后，应于七日内将已经扣划到人民法院账户的银行存款、尚未分配的财产变价款、实际扣押的动产、有价证券等被执行人财产移交破产审查法院或破产管理人。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（二十九）</w:t>
      </w:r>
      <w:r w:rsidRPr="00A75184">
        <w:rPr>
          <w:rStyle w:val="sect2title1"/>
          <w:rFonts w:ascii="SimSun" w:eastAsia="SimSun" w:hAnsi="SimSun"/>
          <w:b w:val="0"/>
        </w:rPr>
        <w:t xml:space="preserve">　</w:t>
      </w:r>
      <w:r w:rsidRPr="00A75184">
        <w:rPr>
          <w:rFonts w:ascii="SimSun" w:eastAsia="SimSun" w:hAnsi="SimSun" w:hint="default"/>
        </w:rPr>
        <w:t>财产移交的例外。受移送法院裁定受理破产申请时，符合下列情形之一的，不属于被执行人的财产，不需移交：</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1-已通过拍卖程序处置且成交裁定书已送达买受人的财产；</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2.通过以物抵债且抵债裁定书已送达债权人的财产；</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3.已向债权人完成转账、汇款、现金交付的执行案款。</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（三十）</w:t>
      </w:r>
      <w:r w:rsidRPr="00A75184">
        <w:rPr>
          <w:rStyle w:val="sect2title1"/>
          <w:rFonts w:ascii="SimSun" w:eastAsia="SimSun" w:hAnsi="SimSun"/>
          <w:b w:val="0"/>
        </w:rPr>
        <w:t xml:space="preserve">　</w:t>
      </w:r>
      <w:r w:rsidRPr="00A75184">
        <w:rPr>
          <w:rFonts w:ascii="SimSun" w:eastAsia="SimSun" w:hAnsi="SimSun" w:hint="default"/>
        </w:rPr>
        <w:t>执行费用的衔接。执行程序中，因管理、变价被执行人财产而发生的保管费、仓储费、公告费、鉴定费、评估费等执行费用，如该财产或财产的变价款已由管理人接管、被认定为破产财产的，可以参照《中华人民共和国企业破产法》第四十一条的规定列为破产费用，从债务人财产中随时清偿。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（三十一）</w:t>
      </w:r>
      <w:r w:rsidRPr="00A75184">
        <w:rPr>
          <w:rStyle w:val="sect2title1"/>
          <w:rFonts w:ascii="SimSun" w:eastAsia="SimSun" w:hAnsi="SimSun"/>
          <w:b w:val="0"/>
        </w:rPr>
        <w:t xml:space="preserve">　</w:t>
      </w:r>
      <w:r w:rsidRPr="00A75184">
        <w:rPr>
          <w:rFonts w:ascii="SimSun" w:eastAsia="SimSun" w:hAnsi="SimSun" w:hint="default"/>
        </w:rPr>
        <w:t>审计的衔接。执行程序中已经作出审计报告且审计结论满足破产案件需要的，该审计报告可以在破产程序中使用。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（三十二）</w:t>
      </w:r>
      <w:r w:rsidRPr="00A75184">
        <w:rPr>
          <w:rStyle w:val="sect2title1"/>
          <w:rFonts w:ascii="SimSun" w:eastAsia="SimSun" w:hAnsi="SimSun"/>
          <w:b w:val="0"/>
        </w:rPr>
        <w:t xml:space="preserve">　</w:t>
      </w:r>
      <w:r w:rsidRPr="00A75184">
        <w:rPr>
          <w:rFonts w:ascii="SimSun" w:eastAsia="SimSun" w:hAnsi="SimSun" w:hint="default"/>
        </w:rPr>
        <w:t>财产査控的衔接。破产审判部门可沿用执行案件中的财产查询结果。</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截至案件裁定受理之日，查询时间已超过六个月以上的，破产管理人可以向执行法院的执行部门申请运用执行查控系统对被执行人的财产进行査控。</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（三十三）</w:t>
      </w:r>
      <w:r w:rsidRPr="00A75184">
        <w:rPr>
          <w:rStyle w:val="sect2title1"/>
          <w:rFonts w:ascii="SimSun" w:eastAsia="SimSun" w:hAnsi="SimSun"/>
          <w:b w:val="0"/>
        </w:rPr>
        <w:t xml:space="preserve">　</w:t>
      </w:r>
      <w:r w:rsidRPr="00A75184">
        <w:rPr>
          <w:rFonts w:ascii="SimSun" w:eastAsia="SimSun" w:hAnsi="SimSun" w:hint="default"/>
        </w:rPr>
        <w:t>评估的街接。破产程序中可使用执行案件中的财产评估报告。评估报告超过有效期的，债权人会议决定继续予以使用的，可以继续使用。财产清晰的案件，管理人可以参考近期同类资产处置价格等方式确定财产评估价格。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(三十四)</w:t>
      </w:r>
      <w:r w:rsidRPr="00A75184">
        <w:rPr>
          <w:rStyle w:val="sect2title1"/>
          <w:rFonts w:ascii="SimSun" w:eastAsia="SimSun" w:hAnsi="SimSun"/>
          <w:b w:val="0"/>
        </w:rPr>
        <w:t xml:space="preserve">　</w:t>
      </w:r>
      <w:r w:rsidRPr="00A75184">
        <w:rPr>
          <w:rFonts w:ascii="SimSun" w:eastAsia="SimSun" w:hAnsi="SimSun" w:hint="default"/>
        </w:rPr>
        <w:t>财产处置程序的衔接。破产审判部门可沿用执行案件中的财产拍卖、变卖结果，按以下情形处理:</w:t>
      </w:r>
    </w:p>
    <!--正文-款-->
    <!--正文-更深层级-->
    <!--正文-内容-->
    <!--正文-编-->
    <!--正文-章-->
    <!--正文-节-->
    <!--正文-条-->
    <!--正文-款-->
    <!--正文-更深层级-->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1.财产拍卖流拍、变卖不成的，或者暂缓、中止拍卖、变卖的，由管理人接管拍卖、变卖的财产后继续组织拍卖、变卖;2.财产拍卖、变卖成交后，成交裁定书尚未送达买受人的，由管理人接管拍卖、变卖的财产后办理后续交付手续;</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3.财产拍卖、变卖成交后，成交裁定书已送达买受人的，由管理人接管拍卖、变卖的执行款。</w:t>
      </w:r>
    </w:p>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(三十五)</w:t>
      </w:r>
      <w:r w:rsidRPr="00A75184">
        <w:rPr>
          <w:rStyle w:val="sect2title1"/>
          <w:rFonts w:ascii="SimSun" w:eastAsia="SimSun" w:hAnsi="SimSun"/>
          <w:b w:val="0"/>
        </w:rPr>
        <w:t xml:space="preserve">　</w:t>
      </w:r>
      <w:r w:rsidRPr="00A75184">
        <w:rPr>
          <w:rFonts w:ascii="SimSun" w:eastAsia="SimSun" w:hAnsi="SimSun" w:hint="default"/>
        </w:rPr>
        <w:t>保全财产的移交。破产案件受理后，执行法院可以针对被执行人财产的查封、扣押、冻结等保全措施，向破产受理法院移交控制的财产;也可以不解除保全措施，向破产受理法院出具移送函，直接将执行财产处置权移交给破产受理法院。</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执行法院与受移送破产审查的法院为同一法院的，执行程序中采取的保全措施可以不解除，转为破产程序中的保全措施。</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(三十六)</w:t>
      </w:r>
      <w:r w:rsidRPr="00A75184">
        <w:rPr>
          <w:rStyle w:val="sect2title1"/>
          <w:rFonts w:ascii="SimSun" w:eastAsia="SimSun" w:hAnsi="SimSun"/>
          <w:b w:val="0"/>
        </w:rPr>
        <w:t xml:space="preserve">　</w:t>
      </w:r>
      <w:r w:rsidRPr="00A75184">
        <w:rPr>
          <w:rFonts w:ascii="SimSun" w:eastAsia="SimSun" w:hAnsi="SimSun" w:hint="default"/>
        </w:rPr>
        <w:t>保全措施的解除。破产案件受理后，对被执行人财产采取查封、扣押、冻结等保全措施或者采取相关执行程序的有关人民法院、行政机关、金融机构在收到管理人解除保全措施或者中止执行程序的申请后，应当支持配合。</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相关人民法院拒不解除保全措施或者拒不中止执行程序的，破产案件受理法院应与相关人民法院协商解决。协商不成的，破产受理法院可以请求该法院的.上级人民法院责令其纠正。拒不纠正的，上级人民法院可直接裁定解除相关保全措施，或者裁定中止执行程序。</w:t>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人民法院以外的其他行政机关、金融机构采取保全措施或者执行程序的，破产案件受理法院应当根据最高人民法院联合其他部委出台的《关于推动和保障管理人在破产程序中依法履职进一步优化营商环境的意见》(发改财金规[2021]274号)第十八条规定，积极与上述机关进行协调和沟通，取得有关机关的配合，解除有关保全措施或者中止执行程序。</w:t>
      </w:r>
    </w:p>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(三十七)</w:t>
      </w:r>
      <w:r w:rsidRPr="00A75184">
        <w:rPr>
          <w:rStyle w:val="sect2title1"/>
          <w:rFonts w:ascii="SimSun" w:eastAsia="SimSun" w:hAnsi="SimSun"/>
          <w:b w:val="0"/>
        </w:rPr>
        <w:t xml:space="preserve">　</w:t>
      </w:r>
      <w:r w:rsidRPr="00A75184">
        <w:rPr>
          <w:rFonts w:ascii="SimSun" w:eastAsia="SimSun" w:hAnsi="SimSun" w:hint="default"/>
        </w:rPr>
        <w:t>一次移送。对于裁定不予受理或者驳回申请的，人民法院均不得再次启动执行移送破产审查程序。申请执行人或被执行人以有新证据足以证明被执行人具备破产原因为由，再次要求将执行案件移送破产审查的，人民法院不予支持，可告知申请执行人或者被执行人直接向有管辖权的人民法院申请破产。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(三十八)</w:t>
      </w:r>
      <w:r w:rsidRPr="00A75184">
        <w:rPr>
          <w:rStyle w:val="sect2title1"/>
          <w:rFonts w:ascii="SimSun" w:eastAsia="SimSun" w:hAnsi="SimSun"/>
          <w:b w:val="0"/>
        </w:rPr>
        <w:t xml:space="preserve">　</w:t>
      </w:r>
      <w:r w:rsidRPr="00A75184">
        <w:rPr>
          <w:rFonts w:ascii="SimSun" w:eastAsia="SimSun" w:hAnsi="SimSun" w:hint="default"/>
        </w:rPr>
        <w:t>终结执行。有下列情形之一的，破产审判部门应当在裁定作出之日起五日内，将相关法律文书送交执行法院或执行部门，执行法院或执行部门应当裁定终结对该被执行人的执行程序:</w:t>
      </w:r>
    </w:p>
    <!--正文-款-->
    <!--正文-更深层级-->
    <!--正文-内容-->
    <!--正文-编-->
    <!--正文-章-->
    <!--正文-节-->
    <!--正文-条-->
    <!--正文-款-->
    <!--正文-更深层级-->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1.裁定宣告破产的；</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2.裁定批准重整计划并终止重整程序的；</w:t>
      </w:r>
    </w:p>
    <!--正文-内容-->
    <!--正文-编-->
    <!--正文-章-->
    <!--正文-节-->
    <!--正文-条-->
    <!--正文-款-->
    <!--正文-更深层级-->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3.裁定认可和解协议并终止和解程序的。</w:t>
      </w:r>
    </w:p>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（三十九）</w:t>
      </w:r>
      <w:r w:rsidRPr="00A75184">
        <w:rPr>
          <w:rStyle w:val="sect2title1"/>
          <w:rFonts w:ascii="SimSun" w:eastAsia="SimSun" w:hAnsi="SimSun"/>
          <w:b w:val="0"/>
        </w:rPr>
        <w:t xml:space="preserve">　</w:t>
      </w:r>
      <w:r w:rsidRPr="00A75184">
        <w:rPr>
          <w:rFonts w:ascii="SimSun" w:eastAsia="SimSun" w:hAnsi="SimSun" w:hint="default"/>
        </w:rPr>
        <w:t>失信名单解除。执行程序终结后，被执行人此前被纳入失信被执行人名单的，执行法院应当将相关信息从失信被执行人名单库中删除或屏蔽，对其负责人及相关责任人员解除限制消费和限制出境等惩治措施。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（四十）</w:t>
      </w:r>
      <w:r w:rsidRPr="00A75184">
        <w:rPr>
          <w:rStyle w:val="sect2title1"/>
          <w:rFonts w:ascii="SimSun" w:eastAsia="SimSun" w:hAnsi="SimSun"/>
          <w:b w:val="0"/>
        </w:rPr>
        <w:t xml:space="preserve">　</w:t>
      </w:r>
      <w:r w:rsidRPr="00A75184">
        <w:rPr>
          <w:rFonts w:ascii="SimSun" w:eastAsia="SimSun" w:hAnsi="SimSun" w:hint="default"/>
        </w:rPr>
        <w:t>执行案件移送破产审査的监督。受移送法院拒绝接收移送材料，或者收到移送材料后不按规定期限作出是否受理裁定的，执行法院可报请受移送法院的上一级法院进行监督。上一级法院应当指令受移送法院在十日内接收材料或作出是否受理的裁定。</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A75184">
        <w:rPr>
          <w:rFonts w:ascii="SimSun" w:eastAsia="SimSun" w:hAnsi="SimSun" w:hint="default"/>
        </w:rPr>
        <w:t>受移送法院收到上级法院通知后，十日内仍不接收材料或不作出是否受理裁定的，上一级法院可以径行对移送破产审查的案件行使管辖权。上一级法院裁定受理破产案件的，可以指令受移送法院审理。</w:t>
      </w:r>
    </w:p>
    <!--正文-更深层级-->
    <!--正文-内容-->
    <w:p w14:paraId="08E1E112" w14:textId="79CF7905" w:rsidR="007911E7" w:rsidRPr="00A75184" w:rsidRDefault="007911E7" w:rsidP="00A75184">
      <w:pPr>
        <w:spacing w:beforeLines="0" w:before="0" w:afterLines="0" w:after="0"/>
        <w:ind w:firstLineChars="200" w:firstLine="420"/>
      </w:pPr>
      <w:r w:rsidRPr="00A75184">
        <w:rPr>
          <w:rFonts w:ascii="SimSun" w:eastAsia="SimSun" w:hAnsi="SimSun" w:hint="default"/>
        </w:rPr>
        <w:t>五、其他</w:t>
      </w:r>
    </w:p>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（四十一）</w:t>
      </w:r>
      <w:r w:rsidRPr="00A75184">
        <w:rPr>
          <w:rStyle w:val="sect2title1"/>
          <w:rFonts w:ascii="SimSun" w:eastAsia="SimSun" w:hAnsi="SimSun"/>
          <w:b w:val="0"/>
        </w:rPr>
        <w:t xml:space="preserve">　</w:t>
      </w:r>
      <w:r w:rsidRPr="00A75184">
        <w:rPr>
          <w:rFonts w:ascii="SimSun" w:eastAsia="SimSun" w:hAnsi="SimSun" w:hint="default"/>
        </w:rPr>
        <w:t>其他组织的参照适用。法律、司法解释规定可以参照适用破产程序的其他组织的执行案件，可以参照适用本指南规定的程序移送破产审查。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（四十二）</w:t>
      </w:r>
      <w:r w:rsidRPr="00A75184">
        <w:rPr>
          <w:rStyle w:val="sect2title1"/>
          <w:rFonts w:ascii="SimSun" w:eastAsia="SimSun" w:hAnsi="SimSun"/>
          <w:b w:val="0"/>
        </w:rPr>
        <w:t xml:space="preserve">　</w:t>
      </w:r>
      <w:r w:rsidRPr="00A75184">
        <w:rPr>
          <w:rFonts w:ascii="SimSun" w:eastAsia="SimSun" w:hAnsi="SimSun" w:hint="default"/>
        </w:rPr>
        <w:t>补充规定,本指南未尽事宜，依照法律'司法解释以及上级法院或本院的相关规定执行。相关法律、司法解释有新规定，上级法院有新要求的，按新的规定、要求执行。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（四十三）</w:t>
      </w:r>
      <w:r w:rsidRPr="00A75184">
        <w:rPr>
          <w:rStyle w:val="sect2title1"/>
          <w:rFonts w:ascii="SimSun" w:eastAsia="SimSun" w:hAnsi="SimSun"/>
          <w:b w:val="0"/>
        </w:rPr>
        <w:t xml:space="preserve">　</w:t>
      </w:r>
      <w:r w:rsidRPr="00A75184">
        <w:rPr>
          <w:rFonts w:ascii="SimSun" w:eastAsia="SimSun" w:hAnsi="SimSun" w:hint="default"/>
        </w:rPr>
        <w:t>解释。本指南由四川省高级人民法院负责解释。
</w:t>
      </w:r>
    </w:p>
    <!--正文-款-->
    <!--正文-更深层级-->
    <!--正文-内容-->
    <!--正文-编-->
    <!--正文-章-->
    <!--正文-节-->
    <!--正文-条-->
    <!--正文-款-->
    <!--正文-更深层级-->
    <!--正文-内容-->
    <!--正文-编-->
    <!--正文-章-->
    <!--正文-节-->
    <!--正文-条-->
    <w:p w14:paraId="3085933E" w14:textId="77777777" w:rsidR="007911E7" w:rsidRPr="00A75184" w:rsidRDefault="007911E7" w:rsidP="00DF5DD3">
      <w:pPr>
        <w:spacing w:beforeLines="0" w:before="0" w:afterLines="0" w:after="0"/>
        <w:ind w:firstLineChars="200" w:firstLine="420"/>
        <w:rPr>
          <w:rFonts w:ascii="SimSun" w:eastAsia="SimSun" w:hAnsi="SimSun"/>
          <w:sz w:val="21"/>
          <w:szCs w:val="21"/>
          <w:b w:val="0"/>
        </w:rPr>
      </w:pPr>
      <w:r w:rsidRPr="00A75184">
        <w:rPr>
          <w:rStyle w:val="sect2title1"/>
          <w:rFonts w:ascii="SimSun" w:eastAsia="SimSun" w:hAnsi="SimSun"/>
        </w:rPr>
        <w:t>（四十四）</w:t>
      </w:r>
      <w:r w:rsidRPr="00A75184">
        <w:rPr>
          <w:rStyle w:val="sect2title1"/>
          <w:rFonts w:ascii="SimSun" w:eastAsia="SimSun" w:hAnsi="SimSun"/>
          <w:b w:val="0"/>
        </w:rPr>
        <w:t xml:space="preserve">　</w:t>
      </w:r>
      <w:r w:rsidRPr="00A75184">
        <w:rPr>
          <w:rFonts w:ascii="SimSun" w:eastAsia="SimSun" w:hAnsi="SimSun" w:hint="default"/>
        </w:rPr>
        <w:t>实施时间。本指南自发布之日起施行。</w:t>
      </w:r>
    </w:p>
    <!--正文-款-->
    <!--正文-更深层级-->
    <!--正文-内容-->
    <!--正文-编-->
    <!--正文-章-->
    <!--正文-节-->
    <!--正文-条-->
    <!--正文-款-->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6409"/>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733d86d092ba43c7a2a38e57c52bae41" cstate="print">
                      <a:extLst>
                        <a:ext uri="{28A0092B-C50C-407E-A947-70E740481C1C}">
                          <a14:useLocalDpi xmlns:a14="http://schemas.microsoft.com/office/drawing/2010/main" val="0"/>
                        </a:ext>
                      </a:extLst>
                    </a:blip>
                    <a:stretch>
                      <a:fillRect/>
                    </a:stretch>
                  </pic:blipFill>
                  <pic:spPr>
                    <a:xfrm>
                      <a:off x="0" y="0"/>
                      <a:ext cx="5257800" cy="7436409"/>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6409"/>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27cfe42c3b374b24aefec3e6972f2d66" cstate="print">
                      <a:extLst>
                        <a:ext uri="{28A0092B-C50C-407E-A947-70E740481C1C}">
                          <a14:useLocalDpi xmlns:a14="http://schemas.microsoft.com/office/drawing/2010/main" val="0"/>
                        </a:ext>
                      </a:extLst>
                    </a:blip>
                    <a:stretch>
                      <a:fillRect/>
                    </a:stretch>
                  </pic:blipFill>
                  <pic:spPr>
                    <a:xfrm>
                      <a:off x="0" y="0"/>
                      <a:ext cx="5257800" cy="7436409"/>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6409"/>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0cbc4aa5a4a94e58ad905707b7494210" cstate="print">
                      <a:extLst>
                        <a:ext uri="{28A0092B-C50C-407E-A947-70E740481C1C}">
                          <a14:useLocalDpi xmlns:a14="http://schemas.microsoft.com/office/drawing/2010/main" val="0"/>
                        </a:ext>
                      </a:extLst>
                    </a:blip>
                    <a:stretch>
                      <a:fillRect/>
                    </a:stretch>
                  </pic:blipFill>
                  <pic:spPr>
                    <a:xfrm>
                      <a:off x="0" y="0"/>
                      <a:ext cx="5257800" cy="7436409"/>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6409"/>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8e4a7dbe0d134068a57e4451dbf80648" cstate="print">
                      <a:extLst>
                        <a:ext uri="{28A0092B-C50C-407E-A947-70E740481C1C}">
                          <a14:useLocalDpi xmlns:a14="http://schemas.microsoft.com/office/drawing/2010/main" val="0"/>
                        </a:ext>
                      </a:extLst>
                    </a:blip>
                    <a:stretch>
                      <a:fillRect/>
                    </a:stretch>
                  </pic:blipFill>
                  <pic:spPr>
                    <a:xfrm>
                      <a:off x="0" y="0"/>
                      <a:ext cx="5257800" cy="7436409"/>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6409"/>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2d15fd915aaa463a920dfae349e0410b" cstate="print">
                      <a:extLst>
                        <a:ext uri="{28A0092B-C50C-407E-A947-70E740481C1C}">
                          <a14:useLocalDpi xmlns:a14="http://schemas.microsoft.com/office/drawing/2010/main" val="0"/>
                        </a:ext>
                      </a:extLst>
                    </a:blip>
                    <a:stretch>
                      <a:fillRect/>
                    </a:stretch>
                  </pic:blipFill>
                  <pic:spPr>
                    <a:xfrm>
                      <a:off x="0" y="0"/>
                      <a:ext cx="5257800" cy="7436409"/>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6409"/>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4d316d31ce424a968966f3ec631a4d17" cstate="print">
                      <a:extLst>
                        <a:ext uri="{28A0092B-C50C-407E-A947-70E740481C1C}">
                          <a14:useLocalDpi xmlns:a14="http://schemas.microsoft.com/office/drawing/2010/main" val="0"/>
                        </a:ext>
                      </a:extLst>
                    </a:blip>
                    <a:stretch>
                      <a:fillRect/>
                    </a:stretch>
                  </pic:blipFill>
                  <pic:spPr>
                    <a:xfrm>
                      <a:off x="0" y="0"/>
                      <a:ext cx="5257800" cy="7436409"/>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6409"/>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dbe82cd2d8bb4baf80ff2623bbb462b9" cstate="print">
                      <a:extLst>
                        <a:ext uri="{28A0092B-C50C-407E-A947-70E740481C1C}">
                          <a14:useLocalDpi xmlns:a14="http://schemas.microsoft.com/office/drawing/2010/main" val="0"/>
                        </a:ext>
                      </a:extLst>
                    </a:blip>
                    <a:stretch>
                      <a:fillRect/>
                    </a:stretch>
                  </pic:blipFill>
                  <pic:spPr>
                    <a:xfrm>
                      <a:off x="0" y="0"/>
                      <a:ext cx="5257800" cy="7436409"/>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6409"/>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4947390d04d141f9b8e50809f645b5f5" cstate="print">
                      <a:extLst>
                        <a:ext uri="{28A0092B-C50C-407E-A947-70E740481C1C}">
                          <a14:useLocalDpi xmlns:a14="http://schemas.microsoft.com/office/drawing/2010/main" val="0"/>
                        </a:ext>
                      </a:extLst>
                    </a:blip>
                    <a:stretch>
                      <a:fillRect/>
                    </a:stretch>
                  </pic:blipFill>
                  <pic:spPr>
                    <a:xfrm>
                      <a:off x="0" y="0"/>
                      <a:ext cx="5257800" cy="7436409"/>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6409"/>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16b824f98ece44328623d0450563ff1d" cstate="print">
                      <a:extLst>
                        <a:ext uri="{28A0092B-C50C-407E-A947-70E740481C1C}">
                          <a14:useLocalDpi xmlns:a14="http://schemas.microsoft.com/office/drawing/2010/main" val="0"/>
                        </a:ext>
                      </a:extLst>
                    </a:blip>
                    <a:stretch>
                      <a:fillRect/>
                    </a:stretch>
                  </pic:blipFill>
                  <pic:spPr>
                    <a:xfrm>
                      <a:off x="0" y="0"/>
                      <a:ext cx="5257800" cy="7436409"/>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6409"/>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cbdb250ac83545709c20a7741cb0eb1a" cstate="print">
                      <a:extLst>
                        <a:ext uri="{28A0092B-C50C-407E-A947-70E740481C1C}">
                          <a14:useLocalDpi xmlns:a14="http://schemas.microsoft.com/office/drawing/2010/main" val="0"/>
                        </a:ext>
                      </a:extLst>
                    </a:blip>
                    <a:stretch>
                      <a:fillRect/>
                    </a:stretch>
                  </pic:blipFill>
                  <pic:spPr>
                    <a:xfrm>
                      <a:off x="0" y="0"/>
                      <a:ext cx="5257800" cy="7436409"/>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6409"/>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f54ed4e684f7478c972847729f18f67e" cstate="print">
                      <a:extLst>
                        <a:ext uri="{28A0092B-C50C-407E-A947-70E740481C1C}">
                          <a14:useLocalDpi xmlns:a14="http://schemas.microsoft.com/office/drawing/2010/main" val="0"/>
                        </a:ext>
                      </a:extLst>
                    </a:blip>
                    <a:stretch>
                      <a:fillRect/>
                    </a:stretch>
                  </pic:blipFill>
                  <pic:spPr>
                    <a:xfrm>
                      <a:off x="0" y="0"/>
                      <a:ext cx="5257800" cy="7436409"/>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6409"/>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0ca2963ede794e9888f9f442af51b970" cstate="print">
                      <a:extLst>
                        <a:ext uri="{28A0092B-C50C-407E-A947-70E740481C1C}">
                          <a14:useLocalDpi xmlns:a14="http://schemas.microsoft.com/office/drawing/2010/main" val="0"/>
                        </a:ext>
                      </a:extLst>
                    </a:blip>
                    <a:stretch>
                      <a:fillRect/>
                    </a:stretch>
                  </pic:blipFill>
                  <pic:spPr>
                    <a:xfrm>
                      <a:off x="0" y="0"/>
                      <a:ext cx="5257800" cy="7436409"/>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6409"/>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a5103f1fe42a48ea9fe5e459c2719191" cstate="print">
                      <a:extLst>
                        <a:ext uri="{28A0092B-C50C-407E-A947-70E740481C1C}">
                          <a14:useLocalDpi xmlns:a14="http://schemas.microsoft.com/office/drawing/2010/main" val="0"/>
                        </a:ext>
                      </a:extLst>
                    </a:blip>
                    <a:stretch>
                      <a:fillRect/>
                    </a:stretch>
                  </pic:blipFill>
                  <pic:spPr>
                    <a:xfrm>
                      <a:off x="0" y="0"/>
                      <a:ext cx="5257800" cy="7436409"/>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6409"/>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b5d16f810c5846039bf60e43ef013236" cstate="print">
                      <a:extLst>
                        <a:ext uri="{28A0092B-C50C-407E-A947-70E740481C1C}">
                          <a14:useLocalDpi xmlns:a14="http://schemas.microsoft.com/office/drawing/2010/main" val="0"/>
                        </a:ext>
                      </a:extLst>
                    </a:blip>
                    <a:stretch>
                      <a:fillRect/>
                    </a:stretch>
                  </pic:blipFill>
                  <pic:spPr>
                    <a:xfrm>
                      <a:off x="0" y="0"/>
                      <a:ext cx="5257800" cy="7436409"/>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6409"/>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038da2d67eda42e890728858e4719472" cstate="print">
                      <a:extLst>
                        <a:ext uri="{28A0092B-C50C-407E-A947-70E740481C1C}">
                          <a14:useLocalDpi xmlns:a14="http://schemas.microsoft.com/office/drawing/2010/main" val="0"/>
                        </a:ext>
                      </a:extLst>
                    </a:blip>
                    <a:stretch>
                      <a:fillRect/>
                    </a:stretch>
                  </pic:blipFill>
                  <pic:spPr>
                    <a:xfrm>
                      <a:off x="0" y="0"/>
                      <a:ext cx="5257800" cy="7436409"/>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正文-编-->
    <!--正文-章-->
    <!--正文-节-->
    <!--正文-条-->
    <!--正文-款-->
    <w:p w14:paraId="22A26534" w14:textId="77777777" w:rsidR="00E4508E" w:rsidRPr="00A75184" w:rsidRDefault="007911E7" w:rsidP="00A75184">
      <w:pPr>
        <w:spacing w:beforeLines="0" w:before="0" w:afterLines="0" w:after="0"/>
        <w:ind w:firstLineChars="200" w:firstLine="420"/>
      </w:pPr>
      <w:r w:rsidRPr="00764FCD">
        <w:rPr>
          <w:rFonts w:ascii="SimSun" w:eastAsia="SimSun" w:hAnsi="SimSun"/>
          <w:noProof/>
          <w:sz w:val="22"/>
        </w:rPr>
        <w:drawing>
          <wp:anchor distT="0" distB="0" distL="114300" distR="114300" simplePos="0" relativeHeight="251657728" behindDoc="0" locked="0" layoutInCell="1" allowOverlap="0" wp14:anchorId="2733A1FB" wp14:editId="7AAD6F72">
            <wp:simplePos x="0" y="0"/>
            <wp:positionH relativeFrom="margin">
              <wp:align>left</wp:align>
            </wp:positionH>
            <wp:positionV relativeFrom="line">
              <wp:align>top</wp:align>
            </wp:positionV>
            <wp:extent cx="5257800" cy="7436409"/>
            <wp:effectExtent l="0" t="0" r="0" b="0"/>
            <wp:wrapTopAndBottom/>
            <wp:docPr id="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10339773.gif"/>
                    <pic:cNvPicPr/>
                  </pic:nvPicPr>
                  <pic:blipFill>
                    <a:blip r:embed="rId4e644c1ff5f64dcea7d633cedbe7a759" cstate="print">
                      <a:extLst>
                        <a:ext uri="{28A0092B-C50C-407E-A947-70E740481C1C}">
                          <a14:useLocalDpi xmlns:a14="http://schemas.microsoft.com/office/drawing/2010/main" val="0"/>
                        </a:ext>
                      </a:extLst>
                    </a:blip>
                    <a:stretch>
                      <a:fillRect/>
                    </a:stretch>
                  </pic:blipFill>
                  <pic:spPr>
                    <a:xfrm>
                      <a:off x="0" y="0"/>
                      <a:ext cx="5257800" cy="7436409"/>
                    </a:xfrm>
                    <a:prstGeom prst="rect">
                      <a:avLst/>
                    </a:prstGeom>
                  </pic:spPr>
                </pic:pic>
              </a:graphicData>
            </a:graphic>
            <wp14:sizeRelH relativeFrom="margin">
              <wp14:pctWidth>0</wp14:pctWidth>
            </wp14:sizeRelH>
            <wp14:sizeRelV relativeFrom="margin">
              <wp14:pctHeight>0</wp14:pctHeight>
            </wp14:sizeRelV>
          </wp:anchor>
        </w:drawing>
      </w:r>
    </w:p>
    <!--正文-更深层级-->
    <!--正文-内容-->
    <w:p w14:paraId="08E1E112" w14:textId="79CF7905" w:rsidR="007911E7" w:rsidRPr="00A75184" w:rsidRDefault="007911E7" w:rsidP="00A75184">
      <w:pPr>
        <w:spacing w:beforeLines="0" w:before="0" w:afterLines="0" w:after="0"/>
        <w:ind w:firstLine="420"/>
        <w:jc w:val="right"/>
      </w:pPr>
      <w:r w:rsidRPr="00A75184">
        <w:rPr>
          <w:rFonts w:ascii="SimSun" w:eastAsia="SimSun" w:hAnsi="SimSun" w:hint="default"/>
        </w:rPr>
        <w:t>2021年8月10日</w:t>
      </w:r>
    </w:p>
    <!--正文-编-->
    <!--正文-章-->
    <!--正文-节-->
    <!--正文-条-->
    <!--正文-款-->
    <!--正文-更深层级-->
    <w:sectPr w:rsidR="00E4508E" w:rsidRPr="00CB7EA7" w:rsidSect="000C10B9">
      <w:headerReference w:type="even" r:id="rId9"/>
      <w:headerReference w:type="default" r:id="rId10"/>
      <w:footerReference w:type="even" r:id="rId11"/>
      <w:footerReference w:type="default" r:id="rId12"/>
      <w:headerReference w:type="first" r:id="rId13"/>
      <w:footerReference w:type="first" r:id="rId14"/>
      <w:pgSz w:w="11900" w:h="16840"/>
      <w:pgMar w:top="1440" w:right="1080" w:bottom="1440" w:left="1080" w:header="850" w:footer="992" w:gutter="0"/>
      <w:pgNumType w:fmt="numberInDash" w:start="1"/>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8AE280" w14:textId="77777777" w:rsidR="002D331B" w:rsidRDefault="002D331B" w:rsidP="007134C7">
      <w:pPr>
        <w:spacing w:before="120"/>
        <w:ind w:firstLine="420"/>
      </w:pPr>
      <w:r>
        <w:separator/>
      </w:r>
    </w:p>
    <w:p w14:paraId="32203FB6" w14:textId="77777777" w:rsidR="002D331B" w:rsidRDefault="002D331B" w:rsidP="007134C7">
      <w:pPr>
        <w:spacing w:before="120"/>
        <w:ind w:firstLine="420"/>
      </w:pPr>
    </w:p>
  </w:endnote>
  <w:endnote w:type="continuationSeparator" w:id="0">
    <w:p w14:paraId="1827C332" w14:textId="77777777" w:rsidR="002D331B" w:rsidRDefault="002D331B" w:rsidP="007134C7">
      <w:pPr>
        <w:spacing w:before="120"/>
        <w:ind w:firstLine="420"/>
      </w:pPr>
      <w:r>
        <w:continuationSeparator/>
      </w:r>
    </w:p>
    <w:p w14:paraId="487818AD" w14:textId="77777777" w:rsidR="002D331B" w:rsidRDefault="002D331B" w:rsidP="007134C7">
      <w:pPr>
        <w:spacing w:before="120"/>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2" w:usb2="00000016" w:usb3="00000000" w:csb0="0004001F" w:csb1="00000000"/>
  </w:font>
  <w:font w:name="Songti SC">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8974F" w14:textId="77777777" w:rsidR="00365C3F" w:rsidRDefault="00365C3F" w:rsidP="007134C7">
    <w:pPr>
      <w:pStyle w:val="a5"/>
      <w:spacing w:before="120"/>
      <w:ind w:firstLine="360"/>
      <w:rPr>
        <w:rStyle w:val="a7"/>
      </w:rPr>
    </w:pPr>
    <w:r>
      <w:rPr>
        <w:rStyle w:val="a7"/>
      </w:rPr>
      <w:fldChar w:fldCharType="begin"/>
    </w:r>
    <w:r>
      <w:rPr>
        <w:rStyle w:val="a7"/>
      </w:rPr>
      <w:instrText xml:space="preserve">PAGE  </w:instrText>
    </w:r>
    <w:r>
      <w:rPr>
        <w:rStyle w:val="a7"/>
      </w:rPr>
      <w:fldChar w:fldCharType="end"/>
    </w:r>
  </w:p>
  <w:p w14:paraId="65A1A4A3" w14:textId="77777777" w:rsidR="00365C3F" w:rsidRDefault="00365C3F" w:rsidP="007134C7">
    <w:pPr>
      <w:pStyle w:val="a5"/>
      <w:spacing w:before="120"/>
      <w:ind w:firstLine="360"/>
      <w:rPr>
        <w:rStyle w:val="a7"/>
      </w:rPr>
    </w:pPr>
    <w:r>
      <w:rPr>
        <w:rStyle w:val="a7"/>
      </w:rPr>
      <w:fldChar w:fldCharType="begin"/>
    </w:r>
    <w:r>
      <w:rPr>
        <w:rStyle w:val="a7"/>
      </w:rPr>
      <w:instrText xml:space="preserve">PAGE  </w:instrText>
    </w:r>
    <w:r>
      <w:rPr>
        <w:rStyle w:val="a7"/>
      </w:rPr>
      <w:fldChar w:fldCharType="end"/>
    </w:r>
  </w:p>
  <w:p w14:paraId="0535F3A2" w14:textId="77777777" w:rsidR="00365C3F" w:rsidRDefault="00365C3F" w:rsidP="007134C7">
    <w:pPr>
      <w:pStyle w:val="a5"/>
      <w:spacing w:before="120"/>
      <w:ind w:firstLine="360"/>
    </w:pPr>
  </w:p>
  <w:p w14:paraId="7D151C96" w14:textId="77777777" w:rsidR="00365C3F" w:rsidRDefault="00365C3F" w:rsidP="007134C7">
    <w:pPr>
      <w:spacing w:before="120"/>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1B08D" w14:textId="5E2EB485" w:rsidR="00365C3F" w:rsidRPr="00984A99" w:rsidRDefault="00984A99" w:rsidP="00984A99">
    <w:pPr>
      <w:spacing w:before="120"/>
      <w:ind w:firstLine="360"/>
      <w:jc w:val="center"/>
      <w:rPr>
        <w:rFonts w:ascii="宋体" w:eastAsia="宋体" w:hAnsi="宋体" w:hint="eastAsia"/>
        <w:sz w:val="18"/>
        <w:szCs w:val="18"/>
      </w:rPr>
    </w:pPr>
    <w:r w:rsidRPr="00E92B0B">
      <w:rPr>
        <w:rFonts w:ascii="宋体" w:eastAsia="宋体" w:hAnsi="宋体"/>
        <w:sz w:val="18"/>
        <w:szCs w:val="18"/>
      </w:rPr>
      <w:fldChar w:fldCharType="begin"/>
    </w:r>
    <w:r w:rsidRPr="00E92B0B">
      <w:rPr>
        <w:rFonts w:ascii="宋体" w:eastAsia="宋体" w:hAnsi="宋体"/>
        <w:sz w:val="18"/>
        <w:szCs w:val="18"/>
      </w:rPr>
      <w:instrText xml:space="preserve"> PAGE \* Arabic \* MERGEFORMAT </w:instrText>
    </w:r>
    <w:r w:rsidRPr="00E92B0B">
      <w:rPr>
        <w:rFonts w:ascii="宋体" w:eastAsia="宋体" w:hAnsi="宋体"/>
        <w:sz w:val="18"/>
        <w:szCs w:val="18"/>
      </w:rPr>
      <w:fldChar w:fldCharType="separate"/>
    </w:r>
    <w:r>
      <w:rPr>
        <w:rFonts w:ascii="宋体" w:eastAsia="宋体" w:hAnsi="宋体"/>
        <w:sz w:val="18"/>
        <w:szCs w:val="18"/>
      </w:rPr>
      <w:t>1</w:t>
    </w:r>
    <w:r w:rsidRPr="00E92B0B">
      <w:rPr>
        <w:rFonts w:ascii="宋体" w:eastAsia="宋体" w:hAnsi="宋体"/>
        <w:sz w:val="18"/>
        <w:szCs w:val="18"/>
      </w:rPr>
      <w:fldChar w:fldCharType="end"/>
    </w:r>
    <w:r w:rsidRPr="00E92B0B">
      <w:rPr>
        <w:rFonts w:ascii="宋体" w:eastAsia="宋体" w:hAnsi="宋体"/>
        <w:sz w:val="18"/>
        <w:szCs w:val="18"/>
      </w:rPr>
      <w:t xml:space="preserve"> </w:t>
    </w:r>
    <w:r w:rsidRPr="00E92B0B">
      <w:rPr>
        <w:rFonts w:ascii="宋体" w:eastAsia="宋体" w:hAnsi="宋体" w:hint="eastAsia"/>
        <w:sz w:val="18"/>
        <w:szCs w:val="18"/>
      </w:rPr>
      <w:t>/</w:t>
    </w:r>
    <w:r w:rsidRPr="00E92B0B">
      <w:rPr>
        <w:rFonts w:ascii="宋体" w:eastAsia="宋体" w:hAnsi="宋体"/>
        <w:sz w:val="18"/>
        <w:szCs w:val="18"/>
      </w:rPr>
      <w:t xml:space="preserve"> </w:t>
    </w:r>
    <w:r w:rsidRPr="00E92B0B">
      <w:rPr>
        <w:rFonts w:ascii="宋体" w:eastAsia="宋体" w:hAnsi="宋体"/>
        <w:sz w:val="18"/>
        <w:szCs w:val="18"/>
      </w:rPr>
      <w:fldChar w:fldCharType="begin"/>
    </w:r>
    <w:r w:rsidRPr="00E92B0B">
      <w:rPr>
        <w:rFonts w:ascii="宋体" w:eastAsia="宋体" w:hAnsi="宋体"/>
        <w:sz w:val="18"/>
        <w:szCs w:val="18"/>
      </w:rPr>
      <w:instrText xml:space="preserve"> NUMPAGES  \* MERGEFORMAT </w:instrText>
    </w:r>
    <w:r w:rsidRPr="00E92B0B">
      <w:rPr>
        <w:rFonts w:ascii="宋体" w:eastAsia="宋体" w:hAnsi="宋体"/>
        <w:sz w:val="18"/>
        <w:szCs w:val="18"/>
      </w:rPr>
      <w:fldChar w:fldCharType="separate"/>
    </w:r>
    <w:r>
      <w:rPr>
        <w:rFonts w:ascii="宋体" w:eastAsia="宋体" w:hAnsi="宋体"/>
        <w:sz w:val="18"/>
        <w:szCs w:val="18"/>
      </w:rPr>
      <w:t>1</w:t>
    </w:r>
    <w:r w:rsidRPr="00E92B0B">
      <w:rPr>
        <w:rFonts w:ascii="宋体" w:eastAsia="宋体" w:hAnsi="宋体"/>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ABA87" w14:textId="77777777" w:rsidR="00365C3F" w:rsidRDefault="00365C3F">
    <w:pPr>
      <w:pStyle w:val="a5"/>
      <w:spacing w:before="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4ED28" w14:textId="77777777" w:rsidR="002D331B" w:rsidRDefault="002D331B" w:rsidP="007134C7">
      <w:pPr>
        <w:spacing w:before="120"/>
        <w:ind w:firstLine="420"/>
      </w:pPr>
      <w:r>
        <w:separator/>
      </w:r>
    </w:p>
    <w:p w14:paraId="2FFAEC20" w14:textId="77777777" w:rsidR="002D331B" w:rsidRDefault="002D331B" w:rsidP="007134C7">
      <w:pPr>
        <w:spacing w:before="120"/>
        <w:ind w:firstLine="420"/>
      </w:pPr>
    </w:p>
  </w:footnote>
  <w:footnote w:type="continuationSeparator" w:id="0">
    <w:p w14:paraId="0FAF3F1F" w14:textId="77777777" w:rsidR="002D331B" w:rsidRDefault="002D331B" w:rsidP="007134C7">
      <w:pPr>
        <w:spacing w:before="120"/>
        <w:ind w:firstLine="420"/>
      </w:pPr>
      <w:r>
        <w:continuationSeparator/>
      </w:r>
    </w:p>
    <w:p w14:paraId="51153C43" w14:textId="77777777" w:rsidR="002D331B" w:rsidRDefault="002D331B" w:rsidP="007134C7">
      <w:pPr>
        <w:spacing w:before="120"/>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F8493E" w14:textId="77777777" w:rsidR="00365C3F" w:rsidRDefault="00365C3F">
    <w:pPr>
      <w:pStyle w:val="a3"/>
      <w:spacing w:before="120"/>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D8F08" w14:textId="40655C38" w:rsidR="00365C3F" w:rsidRDefault="00365C3F" w:rsidP="00DF4DDE">
    <w:pPr>
      <w:pStyle w:val="a3"/>
      <w:spacing w:before="120"/>
      <w:ind w:firstLineChars="0" w:firstLine="0"/>
    </w:pPr>
    <w:r>
      <w:rPr>
        <w:rFonts w:ascii="SimSun" w:eastAsia="SimSun" w:hAnsi="SimSun"/>
      </w:rPr>
      <w:t>四川省高级人民法院执行案件移送破产审查工作指南</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72149" w14:textId="77777777" w:rsidR="00365C3F" w:rsidRDefault="00365C3F">
    <w:pPr>
      <w:pStyle w:val="a3"/>
      <w:spacing w:before="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15D77"/>
    <w:multiLevelType w:val="hybridMultilevel"/>
    <w:tmpl w:val="A04E6BF2"/>
    <w:lvl w:ilvl="0" w:tplc="19F661A6">
      <w:start w:val="1"/>
      <w:numFmt w:val="japaneseCounting"/>
      <w:lvlText w:val="第%1节"/>
      <w:lvlJc w:val="left"/>
      <w:pPr>
        <w:ind w:left="740" w:hanging="74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05E"/>
    <w:rsid w:val="00011E08"/>
    <w:rsid w:val="00014794"/>
    <w:rsid w:val="00023491"/>
    <w:rsid w:val="00055661"/>
    <w:rsid w:val="000838AC"/>
    <w:rsid w:val="000B4268"/>
    <w:rsid w:val="000C10B9"/>
    <w:rsid w:val="000E0518"/>
    <w:rsid w:val="0010142F"/>
    <w:rsid w:val="001156D2"/>
    <w:rsid w:val="00155379"/>
    <w:rsid w:val="0017262F"/>
    <w:rsid w:val="00182C03"/>
    <w:rsid w:val="00186C4B"/>
    <w:rsid w:val="00190F60"/>
    <w:rsid w:val="00191D9F"/>
    <w:rsid w:val="0019779C"/>
    <w:rsid w:val="001A42BB"/>
    <w:rsid w:val="001B24CE"/>
    <w:rsid w:val="001B2E08"/>
    <w:rsid w:val="001D0531"/>
    <w:rsid w:val="001D0DAF"/>
    <w:rsid w:val="001D686D"/>
    <w:rsid w:val="001D6F7C"/>
    <w:rsid w:val="00270DD6"/>
    <w:rsid w:val="002714BD"/>
    <w:rsid w:val="002A2902"/>
    <w:rsid w:val="002C0974"/>
    <w:rsid w:val="002C39FF"/>
    <w:rsid w:val="002D331B"/>
    <w:rsid w:val="002D5D85"/>
    <w:rsid w:val="002F167B"/>
    <w:rsid w:val="00315774"/>
    <w:rsid w:val="003309EA"/>
    <w:rsid w:val="003458E8"/>
    <w:rsid w:val="00357CE9"/>
    <w:rsid w:val="00365C3F"/>
    <w:rsid w:val="00374CB2"/>
    <w:rsid w:val="00376810"/>
    <w:rsid w:val="00383B57"/>
    <w:rsid w:val="003B262C"/>
    <w:rsid w:val="003B4437"/>
    <w:rsid w:val="003C10FA"/>
    <w:rsid w:val="003D3437"/>
    <w:rsid w:val="003D5198"/>
    <w:rsid w:val="003E5582"/>
    <w:rsid w:val="003F7DB5"/>
    <w:rsid w:val="004045E1"/>
    <w:rsid w:val="00405BE7"/>
    <w:rsid w:val="00406A7C"/>
    <w:rsid w:val="00413553"/>
    <w:rsid w:val="00421888"/>
    <w:rsid w:val="00446D77"/>
    <w:rsid w:val="00467D9B"/>
    <w:rsid w:val="00475DC8"/>
    <w:rsid w:val="004944E8"/>
    <w:rsid w:val="004B4872"/>
    <w:rsid w:val="004D31E1"/>
    <w:rsid w:val="004F13D2"/>
    <w:rsid w:val="0050214D"/>
    <w:rsid w:val="0050753C"/>
    <w:rsid w:val="0055454B"/>
    <w:rsid w:val="0058105E"/>
    <w:rsid w:val="00581CC2"/>
    <w:rsid w:val="005A545E"/>
    <w:rsid w:val="005D2A44"/>
    <w:rsid w:val="005D6387"/>
    <w:rsid w:val="005E1E7E"/>
    <w:rsid w:val="005E4537"/>
    <w:rsid w:val="005E6D11"/>
    <w:rsid w:val="005F302E"/>
    <w:rsid w:val="00647249"/>
    <w:rsid w:val="00661D6F"/>
    <w:rsid w:val="0067413F"/>
    <w:rsid w:val="00674271"/>
    <w:rsid w:val="00681022"/>
    <w:rsid w:val="00686367"/>
    <w:rsid w:val="006864EA"/>
    <w:rsid w:val="00687F70"/>
    <w:rsid w:val="0069459A"/>
    <w:rsid w:val="00695BBA"/>
    <w:rsid w:val="006B4B40"/>
    <w:rsid w:val="006C1E70"/>
    <w:rsid w:val="006C2F31"/>
    <w:rsid w:val="006C3857"/>
    <w:rsid w:val="006D629B"/>
    <w:rsid w:val="006E374D"/>
    <w:rsid w:val="00701E2A"/>
    <w:rsid w:val="0071172E"/>
    <w:rsid w:val="007134C7"/>
    <w:rsid w:val="007462C7"/>
    <w:rsid w:val="00762164"/>
    <w:rsid w:val="00766565"/>
    <w:rsid w:val="007729AE"/>
    <w:rsid w:val="007756F7"/>
    <w:rsid w:val="00790272"/>
    <w:rsid w:val="007902D8"/>
    <w:rsid w:val="007911E7"/>
    <w:rsid w:val="00791FE7"/>
    <w:rsid w:val="00794C21"/>
    <w:rsid w:val="00795EF7"/>
    <w:rsid w:val="007A21E7"/>
    <w:rsid w:val="007F7F4A"/>
    <w:rsid w:val="00805D1F"/>
    <w:rsid w:val="008157A1"/>
    <w:rsid w:val="008460F3"/>
    <w:rsid w:val="00846EED"/>
    <w:rsid w:val="008770F6"/>
    <w:rsid w:val="00883795"/>
    <w:rsid w:val="008929C2"/>
    <w:rsid w:val="00894A8F"/>
    <w:rsid w:val="008A0D66"/>
    <w:rsid w:val="008B30B1"/>
    <w:rsid w:val="008C79B1"/>
    <w:rsid w:val="008E1133"/>
    <w:rsid w:val="008E22F9"/>
    <w:rsid w:val="008F7C89"/>
    <w:rsid w:val="00911F3F"/>
    <w:rsid w:val="009121D8"/>
    <w:rsid w:val="009260CB"/>
    <w:rsid w:val="0092725B"/>
    <w:rsid w:val="00950CBB"/>
    <w:rsid w:val="00963F94"/>
    <w:rsid w:val="00966E87"/>
    <w:rsid w:val="00983AF9"/>
    <w:rsid w:val="00984A99"/>
    <w:rsid w:val="009902F4"/>
    <w:rsid w:val="009D126A"/>
    <w:rsid w:val="009D7F36"/>
    <w:rsid w:val="009E7109"/>
    <w:rsid w:val="009F0946"/>
    <w:rsid w:val="009F15D3"/>
    <w:rsid w:val="009F1EAF"/>
    <w:rsid w:val="00A04389"/>
    <w:rsid w:val="00A07EE7"/>
    <w:rsid w:val="00A23C07"/>
    <w:rsid w:val="00A5155E"/>
    <w:rsid w:val="00A6261D"/>
    <w:rsid w:val="00A67A2B"/>
    <w:rsid w:val="00A75184"/>
    <w:rsid w:val="00A7683F"/>
    <w:rsid w:val="00A82018"/>
    <w:rsid w:val="00A93A88"/>
    <w:rsid w:val="00AD29DF"/>
    <w:rsid w:val="00AF2439"/>
    <w:rsid w:val="00B22CD4"/>
    <w:rsid w:val="00B26EB6"/>
    <w:rsid w:val="00B33D8B"/>
    <w:rsid w:val="00B42D0D"/>
    <w:rsid w:val="00B45CD8"/>
    <w:rsid w:val="00B8279B"/>
    <w:rsid w:val="00B94875"/>
    <w:rsid w:val="00BA40E8"/>
    <w:rsid w:val="00BB260D"/>
    <w:rsid w:val="00BB56F9"/>
    <w:rsid w:val="00BE1F95"/>
    <w:rsid w:val="00BE2026"/>
    <w:rsid w:val="00BE618D"/>
    <w:rsid w:val="00C468EA"/>
    <w:rsid w:val="00CB0C3C"/>
    <w:rsid w:val="00CB7EA7"/>
    <w:rsid w:val="00CC410E"/>
    <w:rsid w:val="00CD77D2"/>
    <w:rsid w:val="00CF2EDD"/>
    <w:rsid w:val="00D11826"/>
    <w:rsid w:val="00D11FA0"/>
    <w:rsid w:val="00D21CC8"/>
    <w:rsid w:val="00D350CF"/>
    <w:rsid w:val="00D42329"/>
    <w:rsid w:val="00D429FF"/>
    <w:rsid w:val="00D707CE"/>
    <w:rsid w:val="00D83979"/>
    <w:rsid w:val="00D87B1D"/>
    <w:rsid w:val="00D9483C"/>
    <w:rsid w:val="00DB0A8E"/>
    <w:rsid w:val="00DB3F75"/>
    <w:rsid w:val="00DD4082"/>
    <w:rsid w:val="00DD6EBA"/>
    <w:rsid w:val="00DE17E6"/>
    <w:rsid w:val="00DF4DDE"/>
    <w:rsid w:val="00DF5DD3"/>
    <w:rsid w:val="00E07A1C"/>
    <w:rsid w:val="00E16E7C"/>
    <w:rsid w:val="00E20705"/>
    <w:rsid w:val="00E367EF"/>
    <w:rsid w:val="00E4508E"/>
    <w:rsid w:val="00E519E7"/>
    <w:rsid w:val="00E62A39"/>
    <w:rsid w:val="00E6789D"/>
    <w:rsid w:val="00E709D0"/>
    <w:rsid w:val="00E91848"/>
    <w:rsid w:val="00E9315A"/>
    <w:rsid w:val="00E93E4A"/>
    <w:rsid w:val="00EE2355"/>
    <w:rsid w:val="00F07C98"/>
    <w:rsid w:val="00F15993"/>
    <w:rsid w:val="00F42084"/>
    <w:rsid w:val="00F47B0B"/>
    <w:rsid w:val="00F50BFC"/>
    <w:rsid w:val="00F63D38"/>
    <w:rsid w:val="00F6559B"/>
    <w:rsid w:val="00F91D76"/>
    <w:rsid w:val="00FA04AF"/>
    <w:rsid w:val="00FA49DB"/>
    <w:rsid w:val="00FD2CD5"/>
    <w:rsid w:val="00FD7099"/>
    <w:rsid w:val="00FE1BFB"/>
    <w:rsid w:val="00FE5686"/>
    <w:rsid w:val="00FF68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4B0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C410E"/>
    <w:pPr>
      <w:spacing w:beforeLines="50" w:before="50"/>
      <w:ind w:firstLineChars="200" w:firstLine="200"/>
    </w:pPr>
    <w:rPr>
      <w:rFonts w:ascii="DengXian" w:eastAsia="DengXian" w:hAnsi="DengXian" w:cs="宋体"/>
      <w:kern w:val="0"/>
      <w:sz w:val="21"/>
      <w:szCs w:val="21"/>
    </w:rPr>
  </w:style>
  <w:style w:type="paragraph" w:styleId="1">
    <w:name w:val="heading 1"/>
    <w:basedOn w:val="a"/>
    <w:link w:val="10"/>
    <w:uiPriority w:val="9"/>
    <w:qFormat/>
    <w:rsid w:val="00661D6F"/>
    <w:pPr>
      <w:spacing w:beforeLines="100" w:before="423" w:afterLines="75" w:after="317" w:line="400" w:lineRule="exact"/>
      <w:ind w:firstLineChars="0" w:firstLine="0"/>
      <w:jc w:val="center"/>
      <w:outlineLvl w:val="0"/>
    </w:pPr>
    <w:rPr>
      <w:rFonts w:eastAsia="宋体"/>
      <w:b/>
      <w:bCs/>
      <w:kern w:val="36"/>
      <w:sz w:val="24"/>
      <w:szCs w:val="24"/>
    </w:rPr>
  </w:style>
  <w:style w:type="paragraph" w:styleId="2">
    <w:name w:val="heading 2"/>
    <w:basedOn w:val="a"/>
    <w:next w:val="a"/>
    <w:link w:val="20"/>
    <w:uiPriority w:val="9"/>
    <w:unhideWhenUsed/>
    <w:qFormat/>
    <w:rsid w:val="009F15D3"/>
    <w:pPr>
      <w:keepNext/>
      <w:keepLines/>
      <w:spacing w:before="211" w:line="400" w:lineRule="exact"/>
      <w:ind w:firstLineChars="0" w:firstLine="0"/>
      <w:jc w:val="center"/>
      <w:outlineLvl w:val="1"/>
    </w:pPr>
    <w:rPr>
      <w:rFonts w:cstheme="majorBidi"/>
      <w:b/>
      <w:bCs/>
      <w:szCs w:val="32"/>
    </w:rPr>
  </w:style>
  <w:style w:type="paragraph" w:styleId="3">
    <w:name w:val="heading 3"/>
    <w:basedOn w:val="a"/>
    <w:next w:val="a"/>
    <w:link w:val="30"/>
    <w:uiPriority w:val="9"/>
    <w:unhideWhenUsed/>
    <w:qFormat/>
    <w:rsid w:val="00EE235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70D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8105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8105E"/>
    <w:rPr>
      <w:sz w:val="18"/>
      <w:szCs w:val="18"/>
    </w:rPr>
  </w:style>
  <w:style w:type="paragraph" w:styleId="a5">
    <w:name w:val="footer"/>
    <w:basedOn w:val="a"/>
    <w:link w:val="a6"/>
    <w:uiPriority w:val="99"/>
    <w:unhideWhenUsed/>
    <w:rsid w:val="0058105E"/>
    <w:pPr>
      <w:tabs>
        <w:tab w:val="center" w:pos="4153"/>
        <w:tab w:val="right" w:pos="8306"/>
      </w:tabs>
      <w:snapToGrid w:val="0"/>
    </w:pPr>
    <w:rPr>
      <w:sz w:val="18"/>
      <w:szCs w:val="18"/>
    </w:rPr>
  </w:style>
  <w:style w:type="character" w:customStyle="1" w:styleId="a6">
    <w:name w:val="页脚 字符"/>
    <w:basedOn w:val="a0"/>
    <w:link w:val="a5"/>
    <w:uiPriority w:val="99"/>
    <w:rsid w:val="0058105E"/>
    <w:rPr>
      <w:sz w:val="18"/>
      <w:szCs w:val="18"/>
    </w:rPr>
  </w:style>
  <w:style w:type="character" w:styleId="a7">
    <w:name w:val="page number"/>
    <w:basedOn w:val="a0"/>
    <w:uiPriority w:val="99"/>
    <w:semiHidden/>
    <w:unhideWhenUsed/>
    <w:rsid w:val="00E709D0"/>
  </w:style>
  <w:style w:type="character" w:customStyle="1" w:styleId="10">
    <w:name w:val="标题 1 字符"/>
    <w:basedOn w:val="a0"/>
    <w:link w:val="1"/>
    <w:uiPriority w:val="9"/>
    <w:rsid w:val="00661D6F"/>
    <w:rPr>
      <w:rFonts w:ascii="DengXian" w:eastAsia="宋体" w:hAnsi="DengXian" w:cs="宋体"/>
      <w:b/>
      <w:bCs/>
      <w:kern w:val="36"/>
    </w:rPr>
  </w:style>
  <w:style w:type="character" w:styleId="a8">
    <w:name w:val="Hyperlink"/>
    <w:basedOn w:val="a0"/>
    <w:uiPriority w:val="99"/>
    <w:unhideWhenUsed/>
    <w:rsid w:val="007911E7"/>
    <w:rPr>
      <w:strike w:val="0"/>
      <w:dstrike w:val="0"/>
      <w:color w:val="0000FF"/>
      <w:u w:val="none"/>
      <w:effect w:val="none"/>
    </w:rPr>
  </w:style>
  <w:style w:type="paragraph" w:styleId="a9">
    <w:name w:val="Normal (Web)"/>
    <w:basedOn w:val="a"/>
    <w:uiPriority w:val="99"/>
    <w:unhideWhenUsed/>
    <w:rsid w:val="007911E7"/>
    <w:pPr>
      <w:spacing w:before="100" w:beforeAutospacing="1" w:after="100" w:afterAutospacing="1"/>
    </w:pPr>
  </w:style>
  <w:style w:type="paragraph" w:customStyle="1" w:styleId="doc-a">
    <w:name w:val="doc-a"/>
    <w:basedOn w:val="a"/>
    <w:rsid w:val="007911E7"/>
    <w:pPr>
      <w:spacing w:before="100" w:beforeAutospacing="1" w:after="100" w:afterAutospacing="1"/>
      <w:ind w:firstLine="480"/>
    </w:pPr>
    <w:rPr>
      <w:rFonts w:ascii="微软雅黑" w:eastAsia="微软雅黑" w:hAnsi="微软雅黑"/>
    </w:rPr>
  </w:style>
  <w:style w:type="paragraph" w:customStyle="1" w:styleId="cnsubtitle">
    <w:name w:val="cnsubtitle"/>
    <w:basedOn w:val="a"/>
    <w:uiPriority w:val="99"/>
    <w:semiHidden/>
    <w:rsid w:val="007911E7"/>
    <w:pPr>
      <w:spacing w:before="315" w:after="315" w:line="300" w:lineRule="exact"/>
    </w:pPr>
    <w:rPr>
      <w:rFonts w:ascii="微软雅黑" w:eastAsia="微软雅黑" w:hAnsi="微软雅黑"/>
    </w:rPr>
  </w:style>
  <w:style w:type="paragraph" w:customStyle="1" w:styleId="cntitle">
    <w:name w:val="cntitle"/>
    <w:basedOn w:val="a"/>
    <w:uiPriority w:val="99"/>
    <w:semiHidden/>
    <w:rsid w:val="007911E7"/>
    <w:pPr>
      <w:spacing w:before="150" w:after="150"/>
      <w:ind w:left="150" w:right="150"/>
      <w:jc w:val="center"/>
    </w:pPr>
    <w:rPr>
      <w:rFonts w:ascii="微软雅黑" w:eastAsia="微软雅黑" w:hAnsi="微软雅黑"/>
      <w:b/>
      <w:bCs/>
      <w:vanish/>
    </w:rPr>
  </w:style>
  <w:style w:type="paragraph" w:customStyle="1" w:styleId="promulgatetitle">
    <w:name w:val="promulgatetitle"/>
    <w:basedOn w:val="a"/>
    <w:uiPriority w:val="99"/>
    <w:semiHidden/>
    <w:rsid w:val="007911E7"/>
    <w:pPr>
      <w:spacing w:before="100" w:beforeAutospacing="1" w:after="100" w:afterAutospacing="1"/>
      <w:jc w:val="center"/>
    </w:pPr>
    <w:rPr>
      <w:rFonts w:ascii="微软雅黑" w:eastAsia="微软雅黑" w:hAnsi="微软雅黑"/>
      <w:b/>
      <w:bCs/>
      <w:vanish/>
    </w:rPr>
  </w:style>
  <w:style w:type="paragraph" w:customStyle="1" w:styleId="promulgatesubtitle">
    <w:name w:val="promulgatesubtitle"/>
    <w:basedOn w:val="a"/>
    <w:uiPriority w:val="99"/>
    <w:semiHidden/>
    <w:rsid w:val="007911E7"/>
    <w:pPr>
      <w:spacing w:before="150" w:after="150"/>
      <w:ind w:left="150" w:right="150"/>
      <w:jc w:val="center"/>
    </w:pPr>
    <w:rPr>
      <w:rFonts w:ascii="微软雅黑" w:eastAsia="微软雅黑" w:hAnsi="微软雅黑"/>
      <w:sz w:val="23"/>
      <w:szCs w:val="23"/>
    </w:rPr>
  </w:style>
  <w:style w:type="paragraph" w:customStyle="1" w:styleId="promulgatedate">
    <w:name w:val="promulgatedate"/>
    <w:basedOn w:val="a"/>
    <w:rsid w:val="007911E7"/>
    <w:pPr>
      <w:jc w:val="right"/>
    </w:pPr>
  </w:style>
  <w:style w:type="paragraph" w:customStyle="1" w:styleId="promulgatesignatory">
    <w:name w:val="promulgatesignatory"/>
    <w:basedOn w:val="a"/>
    <w:rsid w:val="007911E7"/>
    <w:pPr>
      <w:jc w:val="right"/>
    </w:pPr>
  </w:style>
  <w:style w:type="paragraph" w:customStyle="1" w:styleId="11">
    <w:name w:val="标题1"/>
    <w:basedOn w:val="a"/>
    <w:uiPriority w:val="99"/>
    <w:semiHidden/>
    <w:rsid w:val="007911E7"/>
    <w:pPr>
      <w:spacing w:before="100" w:beforeAutospacing="1" w:after="100" w:afterAutospacing="1"/>
      <w:ind w:firstLine="480"/>
    </w:pPr>
    <w:rPr>
      <w:rFonts w:ascii="微软雅黑" w:eastAsia="微软雅黑" w:hAnsi="微软雅黑"/>
    </w:rPr>
  </w:style>
  <w:style w:type="paragraph" w:customStyle="1" w:styleId="catalog-a">
    <w:name w:val="catalog-a"/>
    <w:basedOn w:val="a"/>
    <w:uiPriority w:val="99"/>
    <w:semiHidden/>
    <w:rsid w:val="007911E7"/>
    <w:pPr>
      <w:spacing w:before="100" w:beforeAutospacing="1" w:after="100" w:afterAutospacing="1"/>
    </w:pPr>
  </w:style>
  <w:style w:type="character" w:customStyle="1" w:styleId="chaptertitle">
    <w:name w:val="chaptertitle"/>
    <w:basedOn w:val="a0"/>
    <w:rsid w:val="007911E7"/>
    <w:rPr>
      <w:rFonts w:ascii="微软雅黑" w:eastAsia="微软雅黑" w:hAnsi="微软雅黑" w:hint="eastAsia"/>
      <w:b/>
      <w:bCs/>
      <w:sz w:val="21"/>
      <w:szCs w:val="21"/>
    </w:rPr>
  </w:style>
  <w:style w:type="character" w:customStyle="1" w:styleId="metaname1">
    <w:name w:val="metaname1"/>
    <w:basedOn w:val="a0"/>
    <w:rsid w:val="007911E7"/>
    <w:rPr>
      <w:rFonts w:ascii="微软雅黑" w:eastAsia="微软雅黑" w:hAnsi="微软雅黑" w:hint="eastAsia"/>
      <w:b/>
      <w:bCs/>
      <w:sz w:val="21"/>
      <w:szCs w:val="21"/>
    </w:rPr>
  </w:style>
  <w:style w:type="character" w:customStyle="1" w:styleId="sect2title1">
    <w:name w:val="sect2title1"/>
    <w:basedOn w:val="a0"/>
    <w:rsid w:val="007911E7"/>
    <w:rPr>
      <w:rFonts w:ascii="微软雅黑" w:eastAsia="微软雅黑" w:hAnsi="微软雅黑" w:hint="eastAsia"/>
      <w:b/>
      <w:bCs/>
      <w:sz w:val="21"/>
      <w:szCs w:val="21"/>
    </w:rPr>
  </w:style>
  <w:style w:type="character" w:customStyle="1" w:styleId="title1">
    <w:name w:val="title1"/>
    <w:basedOn w:val="a0"/>
    <w:rsid w:val="007911E7"/>
    <w:rPr>
      <w:rFonts w:ascii="微软雅黑" w:eastAsia="微软雅黑" w:hAnsi="微软雅黑" w:hint="eastAsia"/>
      <w:sz w:val="21"/>
      <w:szCs w:val="21"/>
    </w:rPr>
  </w:style>
  <w:style w:type="character" w:customStyle="1" w:styleId="sect1title1">
    <w:name w:val="sect1title1"/>
    <w:basedOn w:val="a0"/>
    <w:rsid w:val="007911E7"/>
    <w:rPr>
      <w:rFonts w:ascii="微软雅黑" w:eastAsia="微软雅黑" w:hAnsi="微软雅黑" w:hint="eastAsia"/>
      <w:b/>
      <w:bCs/>
      <w:sz w:val="21"/>
      <w:szCs w:val="21"/>
    </w:rPr>
  </w:style>
  <w:style w:type="character" w:styleId="aa">
    <w:name w:val="annotation reference"/>
    <w:basedOn w:val="a0"/>
    <w:uiPriority w:val="99"/>
    <w:semiHidden/>
    <w:unhideWhenUsed/>
    <w:rsid w:val="001B2E08"/>
    <w:rPr>
      <w:sz w:val="21"/>
      <w:szCs w:val="21"/>
    </w:rPr>
  </w:style>
  <w:style w:type="paragraph" w:styleId="ab">
    <w:name w:val="annotation text"/>
    <w:basedOn w:val="a"/>
    <w:link w:val="ac"/>
    <w:uiPriority w:val="99"/>
    <w:unhideWhenUsed/>
    <w:rsid w:val="001B2E08"/>
  </w:style>
  <w:style w:type="character" w:customStyle="1" w:styleId="ac">
    <w:name w:val="批注文字 字符"/>
    <w:basedOn w:val="a0"/>
    <w:link w:val="ab"/>
    <w:uiPriority w:val="99"/>
    <w:rsid w:val="001B2E08"/>
    <w:rPr>
      <w:rFonts w:ascii="宋体" w:eastAsia="宋体" w:hAnsi="宋体" w:cs="宋体"/>
      <w:kern w:val="0"/>
    </w:rPr>
  </w:style>
  <w:style w:type="paragraph" w:styleId="ad">
    <w:name w:val="annotation subject"/>
    <w:basedOn w:val="ab"/>
    <w:next w:val="ab"/>
    <w:link w:val="ae"/>
    <w:uiPriority w:val="99"/>
    <w:semiHidden/>
    <w:unhideWhenUsed/>
    <w:rsid w:val="001B2E08"/>
    <w:rPr>
      <w:b/>
      <w:bCs/>
    </w:rPr>
  </w:style>
  <w:style w:type="character" w:customStyle="1" w:styleId="ae">
    <w:name w:val="批注主题 字符"/>
    <w:basedOn w:val="ac"/>
    <w:link w:val="ad"/>
    <w:uiPriority w:val="99"/>
    <w:semiHidden/>
    <w:rsid w:val="001B2E08"/>
    <w:rPr>
      <w:rFonts w:ascii="宋体" w:eastAsia="宋体" w:hAnsi="宋体" w:cs="宋体"/>
      <w:b/>
      <w:bCs/>
      <w:kern w:val="0"/>
    </w:rPr>
  </w:style>
  <w:style w:type="paragraph" w:styleId="af">
    <w:name w:val="Balloon Text"/>
    <w:basedOn w:val="a"/>
    <w:link w:val="af0"/>
    <w:uiPriority w:val="99"/>
    <w:semiHidden/>
    <w:unhideWhenUsed/>
    <w:rsid w:val="001B2E08"/>
    <w:rPr>
      <w:rFonts w:ascii="Times New Roman" w:hAnsi="Times New Roman" w:cs="Times New Roman"/>
      <w:sz w:val="18"/>
      <w:szCs w:val="18"/>
    </w:rPr>
  </w:style>
  <w:style w:type="character" w:customStyle="1" w:styleId="af0">
    <w:name w:val="批注框文本 字符"/>
    <w:basedOn w:val="a0"/>
    <w:link w:val="af"/>
    <w:uiPriority w:val="99"/>
    <w:semiHidden/>
    <w:rsid w:val="001B2E08"/>
    <w:rPr>
      <w:rFonts w:ascii="Times New Roman" w:eastAsia="宋体" w:hAnsi="Times New Roman" w:cs="Times New Roman"/>
      <w:kern w:val="0"/>
      <w:sz w:val="18"/>
      <w:szCs w:val="18"/>
    </w:rPr>
  </w:style>
  <w:style w:type="table" w:styleId="af1">
    <w:name w:val="Table Grid"/>
    <w:basedOn w:val="a1"/>
    <w:uiPriority w:val="39"/>
    <w:rsid w:val="00E62A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1156D2"/>
    <w:rPr>
      <w:rFonts w:ascii="DengXian" w:eastAsia="DengXian" w:hAnsi="DengXian" w:cs="宋体"/>
      <w:b/>
      <w:bCs/>
      <w:kern w:val="0"/>
      <w:szCs w:val="32"/>
    </w:rPr>
  </w:style>
  <w:style w:type="character" w:styleId="af2">
    <w:name w:val="FollowedHyperlink"/>
    <w:basedOn w:val="a0"/>
    <w:uiPriority w:val="99"/>
    <w:semiHidden/>
    <w:unhideWhenUsed/>
    <w:rsid w:val="001D0531"/>
    <w:rPr>
      <w:color w:val="954F72" w:themeColor="followedHyperlink"/>
      <w:u w:val="single"/>
    </w:rPr>
  </w:style>
  <w:style w:type="character" w:customStyle="1" w:styleId="20">
    <w:name w:val="标题 2 字符"/>
    <w:basedOn w:val="a0"/>
    <w:link w:val="2"/>
    <w:uiPriority w:val="9"/>
    <w:rsid w:val="009F15D3"/>
    <w:rPr>
      <w:rFonts w:ascii="DengXian" w:eastAsia="DengXian" w:hAnsi="DengXian" w:cstheme="majorBidi"/>
      <w:b/>
      <w:bCs/>
      <w:kern w:val="0"/>
      <w:sz w:val="21"/>
      <w:szCs w:val="32"/>
    </w:rPr>
  </w:style>
  <w:style w:type="paragraph" w:styleId="TOC1">
    <w:name w:val="toc 1"/>
    <w:basedOn w:val="1"/>
    <w:next w:val="1"/>
    <w:autoRedefine/>
    <w:uiPriority w:val="39"/>
    <w:unhideWhenUsed/>
    <w:rsid w:val="00B22CD4"/>
    <w:pPr>
      <w:tabs>
        <w:tab w:val="right" w:pos="9730"/>
      </w:tabs>
      <w:spacing w:beforeLines="0" w:before="0" w:afterLines="0" w:after="0" w:line="240" w:lineRule="auto"/>
      <w:jc w:val="left"/>
      <w:outlineLvl w:val="9"/>
    </w:pPr>
    <w:rPr>
      <w:rFonts w:asciiTheme="minorHAnsi"/>
      <w:b w:val="0"/>
      <w:caps/>
      <w:kern w:val="0"/>
      <w:sz w:val="21"/>
      <w:szCs w:val="20"/>
    </w:rPr>
  </w:style>
  <w:style w:type="paragraph" w:styleId="TOC2">
    <w:name w:val="toc 2"/>
    <w:basedOn w:val="a"/>
    <w:next w:val="a"/>
    <w:autoRedefine/>
    <w:uiPriority w:val="39"/>
    <w:unhideWhenUsed/>
    <w:rsid w:val="00AF2439"/>
    <w:pPr>
      <w:spacing w:beforeLines="0" w:before="0"/>
    </w:pPr>
    <w:rPr>
      <w:rFonts w:asciiTheme="minorHAnsi" w:eastAsiaTheme="minorHAnsi"/>
      <w:smallCaps/>
      <w:szCs w:val="20"/>
    </w:rPr>
  </w:style>
  <w:style w:type="paragraph" w:styleId="TOC3">
    <w:name w:val="toc 3"/>
    <w:basedOn w:val="a"/>
    <w:next w:val="a"/>
    <w:autoRedefine/>
    <w:uiPriority w:val="39"/>
    <w:unhideWhenUsed/>
    <w:rsid w:val="00D83979"/>
    <w:pPr>
      <w:spacing w:before="0"/>
      <w:ind w:left="420"/>
    </w:pPr>
    <w:rPr>
      <w:rFonts w:asciiTheme="minorHAnsi" w:eastAsiaTheme="minorHAnsi"/>
      <w:i/>
      <w:iCs/>
      <w:sz w:val="20"/>
      <w:szCs w:val="20"/>
    </w:rPr>
  </w:style>
  <w:style w:type="paragraph" w:styleId="TOC4">
    <w:name w:val="toc 4"/>
    <w:basedOn w:val="a"/>
    <w:next w:val="a"/>
    <w:autoRedefine/>
    <w:uiPriority w:val="39"/>
    <w:unhideWhenUsed/>
    <w:rsid w:val="00D83979"/>
    <w:pPr>
      <w:spacing w:before="0"/>
      <w:ind w:left="630"/>
    </w:pPr>
    <w:rPr>
      <w:rFonts w:asciiTheme="minorHAnsi" w:eastAsiaTheme="minorHAnsi"/>
      <w:sz w:val="18"/>
      <w:szCs w:val="18"/>
    </w:rPr>
  </w:style>
  <w:style w:type="paragraph" w:styleId="TOC5">
    <w:name w:val="toc 5"/>
    <w:basedOn w:val="a"/>
    <w:next w:val="a"/>
    <w:autoRedefine/>
    <w:uiPriority w:val="39"/>
    <w:unhideWhenUsed/>
    <w:rsid w:val="00D83979"/>
    <w:pPr>
      <w:spacing w:before="0"/>
      <w:ind w:left="840"/>
    </w:pPr>
    <w:rPr>
      <w:rFonts w:asciiTheme="minorHAnsi" w:eastAsiaTheme="minorHAnsi"/>
      <w:sz w:val="18"/>
      <w:szCs w:val="18"/>
    </w:rPr>
  </w:style>
  <w:style w:type="paragraph" w:styleId="TOC6">
    <w:name w:val="toc 6"/>
    <w:basedOn w:val="a"/>
    <w:next w:val="a"/>
    <w:autoRedefine/>
    <w:uiPriority w:val="39"/>
    <w:unhideWhenUsed/>
    <w:rsid w:val="00D83979"/>
    <w:pPr>
      <w:spacing w:before="0"/>
      <w:ind w:left="1050"/>
    </w:pPr>
    <w:rPr>
      <w:rFonts w:asciiTheme="minorHAnsi" w:eastAsiaTheme="minorHAnsi"/>
      <w:sz w:val="18"/>
      <w:szCs w:val="18"/>
    </w:rPr>
  </w:style>
  <w:style w:type="paragraph" w:styleId="TOC7">
    <w:name w:val="toc 7"/>
    <w:basedOn w:val="a"/>
    <w:next w:val="a"/>
    <w:autoRedefine/>
    <w:uiPriority w:val="39"/>
    <w:unhideWhenUsed/>
    <w:rsid w:val="00D83979"/>
    <w:pPr>
      <w:spacing w:before="0"/>
      <w:ind w:left="1260"/>
    </w:pPr>
    <w:rPr>
      <w:rFonts w:asciiTheme="minorHAnsi" w:eastAsiaTheme="minorHAnsi"/>
      <w:sz w:val="18"/>
      <w:szCs w:val="18"/>
    </w:rPr>
  </w:style>
  <w:style w:type="paragraph" w:styleId="TOC8">
    <w:name w:val="toc 8"/>
    <w:basedOn w:val="a"/>
    <w:next w:val="a"/>
    <w:autoRedefine/>
    <w:uiPriority w:val="39"/>
    <w:unhideWhenUsed/>
    <w:rsid w:val="00D83979"/>
    <w:pPr>
      <w:spacing w:before="0"/>
      <w:ind w:left="1470"/>
    </w:pPr>
    <w:rPr>
      <w:rFonts w:asciiTheme="minorHAnsi" w:eastAsiaTheme="minorHAnsi"/>
      <w:sz w:val="18"/>
      <w:szCs w:val="18"/>
    </w:rPr>
  </w:style>
  <w:style w:type="paragraph" w:styleId="TOC9">
    <w:name w:val="toc 9"/>
    <w:basedOn w:val="a"/>
    <w:next w:val="a"/>
    <w:autoRedefine/>
    <w:uiPriority w:val="39"/>
    <w:unhideWhenUsed/>
    <w:rsid w:val="00D83979"/>
    <w:pPr>
      <w:spacing w:before="0"/>
      <w:ind w:left="1680"/>
    </w:pPr>
    <w:rPr>
      <w:rFonts w:asciiTheme="minorHAnsi" w:eastAsiaTheme="minorHAnsi"/>
      <w:sz w:val="18"/>
      <w:szCs w:val="18"/>
    </w:rPr>
  </w:style>
  <w:style w:type="paragraph" w:styleId="TOC">
    <w:name w:val="TOC Heading"/>
    <w:basedOn w:val="1"/>
    <w:next w:val="a"/>
    <w:uiPriority w:val="39"/>
    <w:unhideWhenUsed/>
    <w:qFormat/>
    <w:rsid w:val="00475DC8"/>
    <w:pPr>
      <w:keepNext/>
      <w:keepLines/>
      <w:spacing w:before="480" w:after="0" w:line="276" w:lineRule="auto"/>
      <w:outlineLvl w:val="9"/>
    </w:pPr>
    <w:rPr>
      <w:rFonts w:asciiTheme="majorHAnsi" w:eastAsiaTheme="majorEastAsia" w:hAnsiTheme="majorHAnsi" w:cstheme="majorBidi"/>
      <w:color w:val="2F5496" w:themeColor="accent1" w:themeShade="BF"/>
      <w:kern w:val="0"/>
      <w:szCs w:val="28"/>
    </w:rPr>
  </w:style>
  <w:style w:type="table" w:styleId="af3">
    <w:name w:val="Grid Table Light"/>
    <w:basedOn w:val="a1"/>
    <w:uiPriority w:val="40"/>
    <w:rsid w:val="00A07EE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4">
    <w:name w:val="Revision"/>
    <w:hidden/>
    <w:uiPriority w:val="99"/>
    <w:semiHidden/>
    <w:rsid w:val="008E1133"/>
    <w:rPr>
      <w:rFonts w:ascii="宋体" w:eastAsia="宋体" w:hAnsi="宋体" w:cs="宋体"/>
      <w:kern w:val="0"/>
    </w:rPr>
  </w:style>
  <w:style w:type="paragraph" w:styleId="af5">
    <w:name w:val="Title"/>
    <w:basedOn w:val="a"/>
    <w:next w:val="a"/>
    <w:link w:val="af6"/>
    <w:uiPriority w:val="10"/>
    <w:qFormat/>
    <w:rsid w:val="0092725B"/>
    <w:pPr>
      <w:spacing w:before="240" w:after="60"/>
      <w:jc w:val="center"/>
      <w:outlineLvl w:val="0"/>
    </w:pPr>
    <w:rPr>
      <w:rFonts w:asciiTheme="majorHAnsi" w:eastAsia="Songti SC" w:hAnsiTheme="majorHAnsi" w:cstheme="majorBidi"/>
      <w:b/>
      <w:bCs/>
      <w:sz w:val="32"/>
      <w:szCs w:val="32"/>
    </w:rPr>
  </w:style>
  <w:style w:type="character" w:customStyle="1" w:styleId="af6">
    <w:name w:val="标题 字符"/>
    <w:basedOn w:val="a0"/>
    <w:link w:val="af5"/>
    <w:uiPriority w:val="10"/>
    <w:rsid w:val="0092725B"/>
    <w:rPr>
      <w:rFonts w:asciiTheme="majorHAnsi" w:eastAsia="Songti SC" w:hAnsiTheme="majorHAnsi" w:cstheme="majorBidi"/>
      <w:b/>
      <w:bCs/>
      <w:kern w:val="0"/>
      <w:sz w:val="32"/>
      <w:szCs w:val="32"/>
    </w:rPr>
  </w:style>
  <w:style w:type="paragraph" w:styleId="af7">
    <w:name w:val="Subtitle"/>
    <w:basedOn w:val="a"/>
    <w:next w:val="a"/>
    <w:link w:val="af8"/>
    <w:uiPriority w:val="11"/>
    <w:qFormat/>
    <w:rsid w:val="001156D2"/>
    <w:pPr>
      <w:spacing w:before="60" w:after="60" w:line="312" w:lineRule="auto"/>
      <w:jc w:val="center"/>
      <w:outlineLvl w:val="1"/>
    </w:pPr>
    <w:rPr>
      <w:rFonts w:asciiTheme="minorHAnsi" w:hAnsiTheme="minorHAnsi" w:cstheme="minorBidi"/>
      <w:bCs/>
      <w:kern w:val="28"/>
      <w:szCs w:val="32"/>
    </w:rPr>
  </w:style>
  <w:style w:type="character" w:customStyle="1" w:styleId="af8">
    <w:name w:val="副标题 字符"/>
    <w:basedOn w:val="a0"/>
    <w:link w:val="af7"/>
    <w:uiPriority w:val="11"/>
    <w:rsid w:val="001156D2"/>
    <w:rPr>
      <w:rFonts w:eastAsia="DengXian"/>
      <w:bCs/>
      <w:kern w:val="28"/>
      <w:sz w:val="21"/>
      <w:szCs w:val="32"/>
    </w:rPr>
  </w:style>
  <w:style w:type="paragraph" w:styleId="af9">
    <w:name w:val="Quote"/>
    <w:basedOn w:val="a"/>
    <w:next w:val="a"/>
    <w:link w:val="afa"/>
    <w:uiPriority w:val="29"/>
    <w:qFormat/>
    <w:rsid w:val="00C468EA"/>
    <w:pPr>
      <w:spacing w:beforeLines="25" w:before="25" w:line="240" w:lineRule="exact"/>
    </w:pPr>
    <w:rPr>
      <w:iCs/>
      <w:color w:val="404040" w:themeColor="text1" w:themeTint="BF"/>
    </w:rPr>
  </w:style>
  <w:style w:type="character" w:customStyle="1" w:styleId="afa">
    <w:name w:val="引用 字符"/>
    <w:basedOn w:val="a0"/>
    <w:link w:val="af9"/>
    <w:uiPriority w:val="29"/>
    <w:rsid w:val="00C468EA"/>
    <w:rPr>
      <w:rFonts w:ascii="DengXian" w:eastAsia="DengXian" w:hAnsi="DengXian" w:cs="宋体"/>
      <w:iCs/>
      <w:color w:val="404040" w:themeColor="text1" w:themeTint="BF"/>
      <w:kern w:val="0"/>
      <w:sz w:val="21"/>
      <w:szCs w:val="21"/>
    </w:rPr>
  </w:style>
  <w:style w:type="character" w:customStyle="1" w:styleId="40">
    <w:name w:val="标题 4 字符"/>
    <w:basedOn w:val="a0"/>
    <w:link w:val="4"/>
    <w:uiPriority w:val="9"/>
    <w:semiHidden/>
    <w:rsid w:val="00270DD6"/>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22269">
      <w:bodyDiv w:val="1"/>
      <w:marLeft w:val="0"/>
      <w:marRight w:val="0"/>
      <w:marTop w:val="0"/>
      <w:marBottom w:val="0"/>
      <w:divBdr>
        <w:top w:val="none" w:sz="0" w:space="0" w:color="auto"/>
        <w:left w:val="none" w:sz="0" w:space="0" w:color="auto"/>
        <w:bottom w:val="none" w:sz="0" w:space="0" w:color="auto"/>
        <w:right w:val="none" w:sz="0" w:space="0" w:color="auto"/>
      </w:divBdr>
    </w:div>
    <w:div w:id="100272850">
      <w:bodyDiv w:val="1"/>
      <w:marLeft w:val="0"/>
      <w:marRight w:val="0"/>
      <w:marTop w:val="0"/>
      <w:marBottom w:val="0"/>
      <w:divBdr>
        <w:top w:val="none" w:sz="0" w:space="0" w:color="auto"/>
        <w:left w:val="none" w:sz="0" w:space="0" w:color="auto"/>
        <w:bottom w:val="none" w:sz="0" w:space="0" w:color="auto"/>
        <w:right w:val="none" w:sz="0" w:space="0" w:color="auto"/>
      </w:divBdr>
    </w:div>
    <w:div w:id="183591487">
      <w:bodyDiv w:val="1"/>
      <w:marLeft w:val="0"/>
      <w:marRight w:val="0"/>
      <w:marTop w:val="0"/>
      <w:marBottom w:val="0"/>
      <w:divBdr>
        <w:top w:val="none" w:sz="0" w:space="0" w:color="auto"/>
        <w:left w:val="none" w:sz="0" w:space="0" w:color="auto"/>
        <w:bottom w:val="none" w:sz="0" w:space="0" w:color="auto"/>
        <w:right w:val="none" w:sz="0" w:space="0" w:color="auto"/>
      </w:divBdr>
    </w:div>
    <w:div w:id="213002848">
      <w:bodyDiv w:val="1"/>
      <w:marLeft w:val="0"/>
      <w:marRight w:val="0"/>
      <w:marTop w:val="0"/>
      <w:marBottom w:val="0"/>
      <w:divBdr>
        <w:top w:val="none" w:sz="0" w:space="0" w:color="auto"/>
        <w:left w:val="none" w:sz="0" w:space="0" w:color="auto"/>
        <w:bottom w:val="none" w:sz="0" w:space="0" w:color="auto"/>
        <w:right w:val="none" w:sz="0" w:space="0" w:color="auto"/>
      </w:divBdr>
    </w:div>
    <w:div w:id="238178481">
      <w:bodyDiv w:val="1"/>
      <w:marLeft w:val="0"/>
      <w:marRight w:val="0"/>
      <w:marTop w:val="0"/>
      <w:marBottom w:val="0"/>
      <w:divBdr>
        <w:top w:val="none" w:sz="0" w:space="0" w:color="auto"/>
        <w:left w:val="none" w:sz="0" w:space="0" w:color="auto"/>
        <w:bottom w:val="none" w:sz="0" w:space="0" w:color="auto"/>
        <w:right w:val="none" w:sz="0" w:space="0" w:color="auto"/>
      </w:divBdr>
    </w:div>
    <w:div w:id="250428242">
      <w:bodyDiv w:val="1"/>
      <w:marLeft w:val="0"/>
      <w:marRight w:val="0"/>
      <w:marTop w:val="0"/>
      <w:marBottom w:val="0"/>
      <w:divBdr>
        <w:top w:val="none" w:sz="0" w:space="0" w:color="auto"/>
        <w:left w:val="none" w:sz="0" w:space="0" w:color="auto"/>
        <w:bottom w:val="none" w:sz="0" w:space="0" w:color="auto"/>
        <w:right w:val="none" w:sz="0" w:space="0" w:color="auto"/>
      </w:divBdr>
    </w:div>
    <w:div w:id="405348421">
      <w:bodyDiv w:val="1"/>
      <w:marLeft w:val="0"/>
      <w:marRight w:val="0"/>
      <w:marTop w:val="0"/>
      <w:marBottom w:val="0"/>
      <w:divBdr>
        <w:top w:val="none" w:sz="0" w:space="0" w:color="auto"/>
        <w:left w:val="none" w:sz="0" w:space="0" w:color="auto"/>
        <w:bottom w:val="none" w:sz="0" w:space="0" w:color="auto"/>
        <w:right w:val="none" w:sz="0" w:space="0" w:color="auto"/>
      </w:divBdr>
    </w:div>
    <w:div w:id="424032115">
      <w:bodyDiv w:val="1"/>
      <w:marLeft w:val="0"/>
      <w:marRight w:val="0"/>
      <w:marTop w:val="0"/>
      <w:marBottom w:val="0"/>
      <w:divBdr>
        <w:top w:val="none" w:sz="0" w:space="0" w:color="auto"/>
        <w:left w:val="none" w:sz="0" w:space="0" w:color="auto"/>
        <w:bottom w:val="none" w:sz="0" w:space="0" w:color="auto"/>
        <w:right w:val="none" w:sz="0" w:space="0" w:color="auto"/>
      </w:divBdr>
    </w:div>
    <w:div w:id="726029957">
      <w:bodyDiv w:val="1"/>
      <w:marLeft w:val="0"/>
      <w:marRight w:val="0"/>
      <w:marTop w:val="0"/>
      <w:marBottom w:val="0"/>
      <w:divBdr>
        <w:top w:val="none" w:sz="0" w:space="0" w:color="auto"/>
        <w:left w:val="none" w:sz="0" w:space="0" w:color="auto"/>
        <w:bottom w:val="none" w:sz="0" w:space="0" w:color="auto"/>
        <w:right w:val="none" w:sz="0" w:space="0" w:color="auto"/>
      </w:divBdr>
    </w:div>
    <w:div w:id="778986626">
      <w:bodyDiv w:val="1"/>
      <w:marLeft w:val="0"/>
      <w:marRight w:val="0"/>
      <w:marTop w:val="0"/>
      <w:marBottom w:val="0"/>
      <w:divBdr>
        <w:top w:val="none" w:sz="0" w:space="0" w:color="auto"/>
        <w:left w:val="none" w:sz="0" w:space="0" w:color="auto"/>
        <w:bottom w:val="none" w:sz="0" w:space="0" w:color="auto"/>
        <w:right w:val="none" w:sz="0" w:space="0" w:color="auto"/>
      </w:divBdr>
    </w:div>
    <w:div w:id="806164819">
      <w:bodyDiv w:val="1"/>
      <w:marLeft w:val="0"/>
      <w:marRight w:val="0"/>
      <w:marTop w:val="0"/>
      <w:marBottom w:val="0"/>
      <w:divBdr>
        <w:top w:val="none" w:sz="0" w:space="0" w:color="auto"/>
        <w:left w:val="none" w:sz="0" w:space="0" w:color="auto"/>
        <w:bottom w:val="none" w:sz="0" w:space="0" w:color="auto"/>
        <w:right w:val="none" w:sz="0" w:space="0" w:color="auto"/>
      </w:divBdr>
    </w:div>
    <w:div w:id="828904415">
      <w:bodyDiv w:val="1"/>
      <w:marLeft w:val="0"/>
      <w:marRight w:val="0"/>
      <w:marTop w:val="0"/>
      <w:marBottom w:val="0"/>
      <w:divBdr>
        <w:top w:val="none" w:sz="0" w:space="0" w:color="auto"/>
        <w:left w:val="none" w:sz="0" w:space="0" w:color="auto"/>
        <w:bottom w:val="none" w:sz="0" w:space="0" w:color="auto"/>
        <w:right w:val="none" w:sz="0" w:space="0" w:color="auto"/>
      </w:divBdr>
    </w:div>
    <w:div w:id="926886637">
      <w:bodyDiv w:val="1"/>
      <w:marLeft w:val="0"/>
      <w:marRight w:val="0"/>
      <w:marTop w:val="0"/>
      <w:marBottom w:val="0"/>
      <w:divBdr>
        <w:top w:val="none" w:sz="0" w:space="0" w:color="auto"/>
        <w:left w:val="none" w:sz="0" w:space="0" w:color="auto"/>
        <w:bottom w:val="none" w:sz="0" w:space="0" w:color="auto"/>
        <w:right w:val="none" w:sz="0" w:space="0" w:color="auto"/>
      </w:divBdr>
    </w:div>
    <w:div w:id="956058882">
      <w:bodyDiv w:val="1"/>
      <w:marLeft w:val="0"/>
      <w:marRight w:val="0"/>
      <w:marTop w:val="0"/>
      <w:marBottom w:val="0"/>
      <w:divBdr>
        <w:top w:val="none" w:sz="0" w:space="0" w:color="auto"/>
        <w:left w:val="none" w:sz="0" w:space="0" w:color="auto"/>
        <w:bottom w:val="none" w:sz="0" w:space="0" w:color="auto"/>
        <w:right w:val="none" w:sz="0" w:space="0" w:color="auto"/>
      </w:divBdr>
    </w:div>
    <w:div w:id="1139808803">
      <w:bodyDiv w:val="1"/>
      <w:marLeft w:val="0"/>
      <w:marRight w:val="0"/>
      <w:marTop w:val="0"/>
      <w:marBottom w:val="0"/>
      <w:divBdr>
        <w:top w:val="none" w:sz="0" w:space="0" w:color="auto"/>
        <w:left w:val="none" w:sz="0" w:space="0" w:color="auto"/>
        <w:bottom w:val="none" w:sz="0" w:space="0" w:color="auto"/>
        <w:right w:val="none" w:sz="0" w:space="0" w:color="auto"/>
      </w:divBdr>
    </w:div>
    <w:div w:id="1471051882">
      <w:bodyDiv w:val="1"/>
      <w:marLeft w:val="0"/>
      <w:marRight w:val="0"/>
      <w:marTop w:val="0"/>
      <w:marBottom w:val="0"/>
      <w:divBdr>
        <w:top w:val="none" w:sz="0" w:space="0" w:color="auto"/>
        <w:left w:val="none" w:sz="0" w:space="0" w:color="auto"/>
        <w:bottom w:val="none" w:sz="0" w:space="0" w:color="auto"/>
        <w:right w:val="none" w:sz="0" w:space="0" w:color="auto"/>
      </w:divBdr>
    </w:div>
    <w:div w:id="1539705773">
      <w:bodyDiv w:val="1"/>
      <w:marLeft w:val="0"/>
      <w:marRight w:val="0"/>
      <w:marTop w:val="0"/>
      <w:marBottom w:val="0"/>
      <w:divBdr>
        <w:top w:val="none" w:sz="0" w:space="0" w:color="auto"/>
        <w:left w:val="none" w:sz="0" w:space="0" w:color="auto"/>
        <w:bottom w:val="none" w:sz="0" w:space="0" w:color="auto"/>
        <w:right w:val="none" w:sz="0" w:space="0" w:color="auto"/>
      </w:divBdr>
    </w:div>
    <w:div w:id="1577739002">
      <w:bodyDiv w:val="1"/>
      <w:marLeft w:val="0"/>
      <w:marRight w:val="0"/>
      <w:marTop w:val="0"/>
      <w:marBottom w:val="0"/>
      <w:divBdr>
        <w:top w:val="none" w:sz="0" w:space="0" w:color="auto"/>
        <w:left w:val="none" w:sz="0" w:space="0" w:color="auto"/>
        <w:bottom w:val="none" w:sz="0" w:space="0" w:color="auto"/>
        <w:right w:val="none" w:sz="0" w:space="0" w:color="auto"/>
      </w:divBdr>
    </w:div>
    <w:div w:id="1582375529">
      <w:bodyDiv w:val="1"/>
      <w:marLeft w:val="0"/>
      <w:marRight w:val="0"/>
      <w:marTop w:val="0"/>
      <w:marBottom w:val="0"/>
      <w:divBdr>
        <w:top w:val="none" w:sz="0" w:space="0" w:color="auto"/>
        <w:left w:val="none" w:sz="0" w:space="0" w:color="auto"/>
        <w:bottom w:val="none" w:sz="0" w:space="0" w:color="auto"/>
        <w:right w:val="none" w:sz="0" w:space="0" w:color="auto"/>
      </w:divBdr>
    </w:div>
    <w:div w:id="1609773436">
      <w:bodyDiv w:val="1"/>
      <w:marLeft w:val="0"/>
      <w:marRight w:val="0"/>
      <w:marTop w:val="0"/>
      <w:marBottom w:val="0"/>
      <w:divBdr>
        <w:top w:val="none" w:sz="0" w:space="0" w:color="auto"/>
        <w:left w:val="none" w:sz="0" w:space="0" w:color="auto"/>
        <w:bottom w:val="none" w:sz="0" w:space="0" w:color="auto"/>
        <w:right w:val="none" w:sz="0" w:space="0" w:color="auto"/>
      </w:divBdr>
    </w:div>
    <w:div w:id="1629704995">
      <w:bodyDiv w:val="1"/>
      <w:marLeft w:val="0"/>
      <w:marRight w:val="0"/>
      <w:marTop w:val="0"/>
      <w:marBottom w:val="0"/>
      <w:divBdr>
        <w:top w:val="none" w:sz="0" w:space="0" w:color="auto"/>
        <w:left w:val="none" w:sz="0" w:space="0" w:color="auto"/>
        <w:bottom w:val="none" w:sz="0" w:space="0" w:color="auto"/>
        <w:right w:val="none" w:sz="0" w:space="0" w:color="auto"/>
      </w:divBdr>
    </w:div>
    <w:div w:id="1849640525">
      <w:bodyDiv w:val="1"/>
      <w:marLeft w:val="0"/>
      <w:marRight w:val="0"/>
      <w:marTop w:val="0"/>
      <w:marBottom w:val="0"/>
      <w:divBdr>
        <w:top w:val="none" w:sz="0" w:space="0" w:color="auto"/>
        <w:left w:val="none" w:sz="0" w:space="0" w:color="auto"/>
        <w:bottom w:val="none" w:sz="0" w:space="0" w:color="auto"/>
        <w:right w:val="none" w:sz="0" w:space="0" w:color="auto"/>
      </w:divBdr>
    </w:div>
    <w:div w:id="1886021398">
      <w:bodyDiv w:val="1"/>
      <w:marLeft w:val="0"/>
      <w:marRight w:val="0"/>
      <w:marTop w:val="0"/>
      <w:marBottom w:val="0"/>
      <w:divBdr>
        <w:top w:val="none" w:sz="0" w:space="0" w:color="auto"/>
        <w:left w:val="none" w:sz="0" w:space="0" w:color="auto"/>
        <w:bottom w:val="none" w:sz="0" w:space="0" w:color="auto"/>
        <w:right w:val="none" w:sz="0" w:space="0" w:color="auto"/>
      </w:divBdr>
    </w:div>
    <w:div w:id="1888683317">
      <w:bodyDiv w:val="1"/>
      <w:marLeft w:val="0"/>
      <w:marRight w:val="0"/>
      <w:marTop w:val="0"/>
      <w:marBottom w:val="0"/>
      <w:divBdr>
        <w:top w:val="none" w:sz="0" w:space="0" w:color="auto"/>
        <w:left w:val="none" w:sz="0" w:space="0" w:color="auto"/>
        <w:bottom w:val="none" w:sz="0" w:space="0" w:color="auto"/>
        <w:right w:val="none" w:sz="0" w:space="0" w:color="auto"/>
      </w:divBdr>
    </w:div>
    <w:div w:id="1889996008">
      <w:bodyDiv w:val="1"/>
      <w:marLeft w:val="0"/>
      <w:marRight w:val="0"/>
      <w:marTop w:val="0"/>
      <w:marBottom w:val="0"/>
      <w:divBdr>
        <w:top w:val="none" w:sz="0" w:space="0" w:color="auto"/>
        <w:left w:val="none" w:sz="0" w:space="0" w:color="auto"/>
        <w:bottom w:val="none" w:sz="0" w:space="0" w:color="auto"/>
        <w:right w:val="none" w:sz="0" w:space="0" w:color="auto"/>
      </w:divBdr>
    </w:div>
    <w:div w:id="19929020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header"
                  Target="header3.xml"/>
    <Relationship Id="rId14" Type="http://schemas.openxmlformats.org/officeDocument/2006/relationships/footer"
                  Target="footer3.xml"/>
    <Relationship Id="rId15" Type="http://schemas.openxmlformats.org/officeDocument/2006/relationships/fontTable"
                  Target="fontTable.xml"/>
    <Relationship Id="rId16" Type="http://schemas.openxmlformats.org/officeDocument/2006/relationships/theme"
                  Target="theme/theme1.xml"/>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733d86d092ba43c7a2a38e57c52bae41"
                      Type="http://schemas.openxmlformats.org/officeDocument/2006/relationships/image"
                      Target="media/rId733d86d092ba43c7a2a38e57c52bae41.jpeg"/>
        <Relationship Id="rId27cfe42c3b374b24aefec3e6972f2d66"
                      Type="http://schemas.openxmlformats.org/officeDocument/2006/relationships/image"
                      Target="media/rId27cfe42c3b374b24aefec3e6972f2d66.jpeg"/>
        <Relationship Id="rId0cbc4aa5a4a94e58ad905707b7494210"
                      Type="http://schemas.openxmlformats.org/officeDocument/2006/relationships/image"
                      Target="media/rId0cbc4aa5a4a94e58ad905707b7494210.jpeg"/>
        <Relationship Id="rId8e4a7dbe0d134068a57e4451dbf80648"
                      Type="http://schemas.openxmlformats.org/officeDocument/2006/relationships/image"
                      Target="media/rId8e4a7dbe0d134068a57e4451dbf80648.jpeg"/>
        <Relationship Id="rId2d15fd915aaa463a920dfae349e0410b"
                      Type="http://schemas.openxmlformats.org/officeDocument/2006/relationships/image"
                      Target="media/rId2d15fd915aaa463a920dfae349e0410b.jpeg"/>
        <Relationship Id="rId4d316d31ce424a968966f3ec631a4d17"
                      Type="http://schemas.openxmlformats.org/officeDocument/2006/relationships/image"
                      Target="media/rId4d316d31ce424a968966f3ec631a4d17.jpeg"/>
        <Relationship Id="rIddbe82cd2d8bb4baf80ff2623bbb462b9"
                      Type="http://schemas.openxmlformats.org/officeDocument/2006/relationships/image"
                      Target="media/rIddbe82cd2d8bb4baf80ff2623bbb462b9.jpeg"/>
        <Relationship Id="rId4947390d04d141f9b8e50809f645b5f5"
                      Type="http://schemas.openxmlformats.org/officeDocument/2006/relationships/image"
                      Target="media/rId4947390d04d141f9b8e50809f645b5f5.jpeg"/>
        <Relationship Id="rId16b824f98ece44328623d0450563ff1d"
                      Type="http://schemas.openxmlformats.org/officeDocument/2006/relationships/image"
                      Target="media/rId16b824f98ece44328623d0450563ff1d.jpeg"/>
        <Relationship Id="rIdcbdb250ac83545709c20a7741cb0eb1a"
                      Type="http://schemas.openxmlformats.org/officeDocument/2006/relationships/image"
                      Target="media/rIdcbdb250ac83545709c20a7741cb0eb1a.jpeg"/>
        <Relationship Id="rIdf54ed4e684f7478c972847729f18f67e"
                      Type="http://schemas.openxmlformats.org/officeDocument/2006/relationships/image"
                      Target="media/rIdf54ed4e684f7478c972847729f18f67e.jpeg"/>
        <Relationship Id="rId0ca2963ede794e9888f9f442af51b970"
                      Type="http://schemas.openxmlformats.org/officeDocument/2006/relationships/image"
                      Target="media/rId0ca2963ede794e9888f9f442af51b970.jpeg"/>
        <Relationship Id="rIda5103f1fe42a48ea9fe5e459c2719191"
                      Type="http://schemas.openxmlformats.org/officeDocument/2006/relationships/image"
                      Target="media/rIda5103f1fe42a48ea9fe5e459c2719191.jpeg"/>
        <Relationship Id="rIdb5d16f810c5846039bf60e43ef013236"
                      Type="http://schemas.openxmlformats.org/officeDocument/2006/relationships/image"
                      Target="media/rIdb5d16f810c5846039bf60e43ef013236.jpeg"/>
        <Relationship Id="rId038da2d67eda42e890728858e4719472"
                      Type="http://schemas.openxmlformats.org/officeDocument/2006/relationships/image"
                      Target="media/rId038da2d67eda42e890728858e4719472.jpeg"/>
        <Relationship Id="rId4e644c1ff5f64dcea7d633cedbe7a759"
                      Type="http://schemas.openxmlformats.org/officeDocument/2006/relationships/image"
                      Target="media/rId4e644c1ff5f64dcea7d633cedbe7a759.jpeg"/>
    <Relationship Id="rIdNoPic" Type="http://schemas.openxmlformats.org/officeDocument/2006/relationships/image"
                  Target="media/image1.jpeg"/>
    <Relationship Id="rIdHyperlink"
                  Type="http://schemas.openxmlformats.org/officeDocument/2006/relationships/hyperlink"
                  Target="https://alphalawyer.cn/ilawregu-search/api/v1/lawregu/redict/927977c28f098760556c93dc642e821"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DCA6C4-851D-5947-B0FB-2EBCDA806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3</Pages>
  <Words>108</Words>
  <Characters>622</Characters>
  <Application>Microsoft Office Word</Application>
  <DocSecurity>0</DocSecurity>
  <Lines>5</Lines>
  <Paragraphs>1</Paragraphs>
  <ScaleCrop>false</ScaleCrop>
  <Manager/>
  <Company/>
  <LinksUpToDate>false</LinksUpToDate>
  <CharactersWithSpaces>729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Office User</cp:lastModifiedBy>
  <cp:revision>64</cp:revision>
  <cp:lastPrinted>2018-09-08T01:56:00Z</cp:lastPrinted>
  <dcterms:created xsi:type="dcterms:W3CDTF">2017-10-10T03:02:00Z</dcterms:created>
  <dcterms:modified xsi:type="dcterms:W3CDTF">2021-11-16T08:25:00Z</dcterms:modified>
  <cp:category/>
</cp:coreProperties>
</file>