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六个运营平台 Facebook 广告矩阵落地执行方案：资产分配与隔离</w:t>
      </w:r>
    </w:p>
    <w:p>
      <w:pPr>
        <w:pStyle w:val="Heading2"/>
        <w:pStyle w:val="MdHeading2"/>
      </w:pPr>
      <w:r>
        <w:t xml:space="preserve">1. 架构总览与平台映射</w:t>
      </w:r>
    </w:p>
    <w:p>
      <w:pPr>
        <w:pStyle w:val="MdParagraph"/>
      </w:pPr>
      <w:r>
        <w:t xml:space="preserve">基于您提供的四层架构（核心层、调度层、执行层、支撑层），我们将六个运营平台（品牌/独立站）进行如下映射与资产分配，旨在最大化数据积累效率与最小化风控风险。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核心层：种子 BM (数据银行)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数量</w:t>
      </w:r>
      <w:r>
        <w:t xml:space="preserve">：1 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实体</w:t>
      </w:r>
      <w:r>
        <w:t xml:space="preserve">：建议使用您最合规的香港主体（或信誉良好的海外主体）注册。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功能</w:t>
      </w:r>
      <w:r>
        <w:t xml:space="preserve">：仅用于创建和管理核心像素 (Pixel/Dataset) 和自定义受众 (Custom Audiences)。</w:t>
      </w:r>
      <w:r>
        <w:rPr>
          <w:rStyle w:val="MdStrong"/>
          <w:b/>
          <w:bCs/>
        </w:rPr>
        <w:t xml:space="preserve">严禁在此 BM 下投放任何广告。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逻辑</w:t>
      </w:r>
      <w:r>
        <w:t xml:space="preserve">：作为所有六个平台的“数据银行”，确保像素数据（买家画像）的纯净与安全。即使下游投放 BM 被封，核心数据资产依然可控。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</w:t>
      </w:r>
      <w:r>
        <w:t xml:space="preserve">：通过 Meta 的“合作关系 (Partners)”功能，将像素权限分发给调度层的“投放 BM”。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调度层：投放 BM (前线基地)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数量</w:t>
      </w:r>
      <w:r>
        <w:t xml:space="preserve">：2 个 (例如：投放 BM-A, 投放 BM-B)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分配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投放 BM-A</w:t>
      </w:r>
      <w:r>
        <w:t xml:space="preserve">：负责运营平台 1, 2, 3 的广告投放管理。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投放 BM-B</w:t>
      </w:r>
      <w:r>
        <w:t xml:space="preserve">：负责运营平台 4, 5, 6 的广告投放管理。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来源</w:t>
      </w:r>
      <w:r>
        <w:t xml:space="preserve">：可以是您自己认证的，也可以是寻找高权重的代理商 BM。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功能</w:t>
      </w:r>
      <w:r>
        <w:t xml:space="preserve">：管理广告账户 (Ad Accounts)、公共主页 (Pages) 和支付手段 (Payment Methods)。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逻辑</w:t>
      </w:r>
      <w:r>
        <w:t xml:space="preserve">：作为“缓冲区域”，每个投放 BM 承载 3 个平台的投放风险。若其中一个投放 BM 被封，仅损失该 BM 下的广告账户，核心像素数据仍安全，可迅速授权给新的投放 BM。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执行层：企业广告账户 (火力点)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数量</w:t>
      </w:r>
      <w:r>
        <w:t xml:space="preserve">：至少 6 个 (每个运营平台至少 1 个)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分配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投放 BM-A</w:t>
      </w:r>
      <w:r>
        <w:t xml:space="preserve"> 下：企业广告账户 P1, P2, P3 (分别对应运营平台 1, 2, 3)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投放 BM-B</w:t>
      </w:r>
      <w:r>
        <w:t xml:space="preserve"> 下：企业广告账户 P4, P5, P6 (分别对应运营平台 4, 5, 6)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类型</w:t>
      </w:r>
      <w:r>
        <w:t xml:space="preserve">：优先选择不限额的企业广告账户。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策略</w:t>
      </w:r>
      <w:r>
        <w:t xml:space="preserve">：严格遵循“</w:t>
      </w:r>
      <w:r>
        <w:rPr>
          <w:rStyle w:val="MdStrong"/>
          <w:b/>
          <w:bCs/>
        </w:rPr>
        <w:t xml:space="preserve">一号一像一类目</w:t>
      </w:r>
      <w:r>
        <w:t xml:space="preserve">”原则。</w:t>
      </w:r>
    </w:p>
    <w:p>
      <w:pPr>
        <w:pStyle w:val="MdListItem"/>
        <w:numPr>
          <w:ilvl w:val="1"/>
          <w:numId w:val="2"/>
        </w:numPr>
      </w:pPr>
      <w:r>
        <w:t xml:space="preserve">每个企业广告账户只绑定一个公共主页，投放一个运营平台的产品。</w:t>
      </w:r>
    </w:p>
    <w:p>
      <w:pPr>
        <w:pStyle w:val="MdListItem"/>
        <w:numPr>
          <w:ilvl w:val="1"/>
          <w:numId w:val="2"/>
        </w:numPr>
      </w:pPr>
      <w:r>
        <w:t xml:space="preserve">每个企业广告账户从其所属的“投放 BM”接收授权的像素，并进行投放。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逻辑</w:t>
      </w:r>
      <w:r>
        <w:t xml:space="preserve">：批量化 (Scaling) 广告投放在此层实现。通过复制 (Duplicate) 广告组，在不同的账户里平衡预算，规避单号加预算导致的封号风险。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支撑层：个人号矩阵 (隔离操作员)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数量</w:t>
      </w:r>
      <w:r>
        <w:t xml:space="preserve">：至少 6-9 个 (每个 BM 至少绑定 2-3 个个人号作为管理员)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分配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种子 BM</w:t>
      </w:r>
      <w:r>
        <w:t xml:space="preserve">：绑定 2-3 个高权重、实名老号作为管理员，仅用于管理 BM 权限，不参与广告操作。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投放 BM-A</w:t>
      </w:r>
      <w:r>
        <w:t xml:space="preserve">：绑定 2-3 个个人号作为管理员，负责管理 P1, P2, P3 的广告账户。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投放 BM-B</w:t>
      </w:r>
      <w:r>
        <w:t xml:space="preserve">：绑定 2-3 个个人号作为管理员，负责管理 P4, P5, P6 的广告账户。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配置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环境</w:t>
      </w:r>
      <w:r>
        <w:t xml:space="preserve">：每个个人号必须使用独立的</w:t>
      </w:r>
      <w:r>
        <w:rPr>
          <w:rStyle w:val="MdStrong"/>
          <w:b/>
          <w:bCs/>
        </w:rPr>
        <w:t xml:space="preserve">指纹浏览器</w:t>
      </w:r>
      <w:r>
        <w:t xml:space="preserve"> (如 AdsPower, Multilogin)，确保浏览器指纹、缓存、Cookie 等完全隔离。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IP</w:t>
      </w:r>
      <w:r>
        <w:t xml:space="preserve">：每个个人号必须绑定独立的</w:t>
      </w:r>
      <w:r>
        <w:rPr>
          <w:rStyle w:val="MdStrong"/>
          <w:b/>
          <w:bCs/>
        </w:rPr>
        <w:t xml:space="preserve">静态住宅 IP</w:t>
      </w:r>
      <w:r>
        <w:t xml:space="preserve"> 或高质量的动态住宅 IP，避免 IP 关联。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逻辑</w:t>
      </w:r>
      <w:r>
        <w:t xml:space="preserve">：即使其中一个个人号被封（例如，因为刷了 H-comic），其他的管理员依然可以登录 BM 继续操作，确保系统不停机。个人号的隔离是整个矩阵操作安全的基础。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隔离指纹配置细则</w:t>
      </w:r>
    </w:p>
    <w:p>
      <w:pPr>
        <w:pStyle w:val="MdParagraph"/>
      </w:pPr>
      <w:r>
        <w:t xml:space="preserve">针对支撑层的个人号矩阵，以下是详细的隔离配置建议：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隔离维度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配置细则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目的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指纹浏览器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每个个人号一个独立的浏览器配置文件，包含独立的浏览器指纹 (User-Agent, Canvas, WebGL 等)。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模拟多台独立设备，防止 Meta 通过设备指纹关联账号。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IP 地址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每个个人号绑定一个独立的静态住宅 IP 或高质量动态住宅 IP。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模拟不同地理位置的用户，防止 Meta 通过 IP 地址关联账号。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Cookie/缓存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浏览器配置文件之间不共享 Cookie 和缓存。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确保登录状态和浏览历史的独立性。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时区/语言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根据 IP 地址的地理位置设置对应的时区和语言。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模拟真实用户行为，降低风控概率。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支付方式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每个广告账户使用独立的虚拟信用卡 (VCC) 或实体卡。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避免支付信息关联导致多个账户被封。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公共主页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每个运营平台拥有独立的公共主页，不交叉使用。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避免主页内容或违规行为关联到其他平台。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素材 MD5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跨平台复用素材时，必须使用 </w:t>
            </w:r>
            <w:r>
              <w:rPr>
                <w:rStyle w:val="MdCode"/>
                <w:u w:val="single"/>
              </w:rPr>
              <w:t xml:space="preserve">md5_modifier.py</w:t>
            </w:r>
            <w:r>
              <w:t xml:space="preserve"> 脚本修改 MD5 值。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避免 Meta 通过素材哈希值关联广告。</w:t>
            </w:r>
          </w:p>
        </w:tc>
      </w:tr>
    </w:tbl>
    <w:p>
      <w:pPr>
        <w:pStyle w:val="Heading2"/>
        <w:pStyle w:val="MdHeading2"/>
      </w:pPr>
      <w:r>
        <w:t xml:space="preserve">3. 风险隔离红线</w:t>
      </w:r>
    </w:p>
    <w:p>
      <w:pPr>
        <w:pStyle w:val="MdParagraph"/>
      </w:pPr>
      <w:r>
        <w:t xml:space="preserve">以下行为是高风险品类运营的“红线”，触碰可能导致整个矩阵的崩溃：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同一 IP 登录多个个人号或 BM</w:t>
      </w:r>
      <w:r>
        <w:t xml:space="preserve">：这是最常见的关联死因。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同一张信用卡绑定多个广告账户</w:t>
      </w:r>
      <w:r>
        <w:t xml:space="preserve">：支付信息是 Meta 风控的重要依据。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未修改 MD5 的素材在多个账户间重复使用</w:t>
      </w:r>
      <w:r>
        <w:t xml:space="preserve">：容易被识别为关联账户。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在种子 BM 下投放广告</w:t>
      </w:r>
      <w:r>
        <w:t xml:space="preserve">：一旦被封，核心像素数据将面临风险。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个人号频繁违规操作</w:t>
      </w:r>
      <w:r>
        <w:t xml:space="preserve">：例如大量加好友、发垃圾信息，会导致个人号被封，进而影响其管理的 BM。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短时间内暴力扩量</w:t>
      </w:r>
      <w:r>
        <w:t xml:space="preserve">：新账户或低权重账户在短时间内大幅增加预算，容易触发风控。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通过以上详细的资产分配与隔离方案，您的六个运营平台可以在 Meta 广告生态中实现相对独立且高效的运作，同时最大程度地规避风险。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2026-03-28T09:20:18.259Z</dcterms:created>
  <dcterms:modified xsi:type="dcterms:W3CDTF">2026-03-28T09:20:18.259Z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