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广告投放与独立站承接质量标准及数据对比分析</w:t>
      </w:r>
    </w:p>
    <w:p>
      <w:pPr>
        <w:pStyle w:val="MdParagraph"/>
      </w:pPr>
      <w:r>
        <w:t xml:space="preserve">基于对近期全量广告数据的深度分析，以及“独立站设计推动运营，运营推动独立站数据飞轮”的渐进式优化方法论，现为您建立一套数据驱动的质量评估标准体系，并提供跨平台与同平台的广告表现对比。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一、 五大质量评估标准定义</w:t>
      </w:r>
    </w:p>
    <w:p>
      <w:pPr>
        <w:pStyle w:val="Heading3"/>
        <w:pStyle w:val="MdHeading3"/>
      </w:pPr>
      <w:r>
        <w:t xml:space="preserve">1. 高质量用户的定义</w:t>
      </w:r>
    </w:p>
    <w:p>
      <w:pPr>
        <w:pStyle w:val="MdParagraph"/>
      </w:pPr>
      <w:r>
        <w:t xml:space="preserve">高质量用户是指不仅完成了基础的“流量触达”，更在站内产生了深度互动与产品认知行为的用户。基于当前业务阶段，满足以下</w:t>
      </w:r>
      <w:r>
        <w:rPr>
          <w:rStyle w:val="MdStrong"/>
          <w:b/>
          <w:bCs/>
        </w:rPr>
        <w:t xml:space="preserve">全部两个条件</w:t>
      </w:r>
      <w:r>
        <w:t xml:space="preserve">的用户即为高质量用户：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深度停留</w:t>
      </w:r>
      <w:r>
        <w:t xml:space="preserve">：页面停留时间 </w:t>
      </w:r>
      <w:r>
        <w:rPr>
          <w:rStyle w:val="MdStrong"/>
          <w:b/>
          <w:bCs/>
        </w:rPr>
        <w:t xml:space="preserve">&gt; 60秒</w:t>
      </w:r>
      <w:r>
        <w:t xml:space="preserve">。这排除了绝大部分误触和浅层浏览（目前移动端平均停留仅49秒）。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主动探索</w:t>
      </w:r>
      <w:r>
        <w:t xml:space="preserve">：访问页面数 </w:t>
      </w:r>
      <w:r>
        <w:rPr>
          <w:rStyle w:val="MdStrong"/>
          <w:b/>
          <w:bCs/>
        </w:rPr>
        <w:t xml:space="preserve">&gt;= 2</w:t>
      </w:r>
      <w:r>
        <w:t xml:space="preserve">（按完整页面路径去重）。这表明用户在看完落地页后，有主动探索其他内容（如从故事页跳产品页，或从产品页跳故事页）的意愿。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高质量落地页的定义</w:t>
      </w:r>
    </w:p>
    <w:p>
      <w:pPr>
        <w:pStyle w:val="MdParagraph"/>
      </w:pPr>
      <w:r>
        <w:t xml:space="preserve">高质量落地页是指能够有效承接广告流量，激发用户兴趣，并引导其向下一转化漏斗阶段迈进的页面。其核心指标应满足：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高“优质访问占比”</w:t>
      </w:r>
      <w:r>
        <w:t xml:space="preserve">：落地页带来的流量中，优质访问占比应 </w:t>
      </w:r>
      <w:r>
        <w:rPr>
          <w:rStyle w:val="MdStrong"/>
          <w:b/>
          <w:bCs/>
        </w:rPr>
        <w:t xml:space="preserve">&gt;= 5%</w:t>
      </w:r>
      <w:r>
        <w:t xml:space="preserve">（当前整体均值在2%-6%之间，5%为优秀线）。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高“二次跳转率”</w:t>
      </w:r>
      <w:r>
        <w:t xml:space="preserve">：用户落地后跳转其他页面的比例应 </w:t>
      </w:r>
      <w:r>
        <w:rPr>
          <w:rStyle w:val="MdStrong"/>
          <w:b/>
          <w:bCs/>
        </w:rPr>
        <w:t xml:space="preserve">&gt;= 10%</w:t>
      </w:r>
      <w:r>
        <w:t xml:space="preserve">。这代表落地页成功激发了探索欲，而非流量终点。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特定路径转化率达标</w:t>
      </w:r>
      <w:r>
        <w:t xml:space="preserve">：针对不同落地页类型，其核心行为转化需达标。例如，故事页落地的用户，其“听完故事跳产品”的比例应达标；产品页落地的用户，其“加入购物车”的比例应达标。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承接页面的质量定义</w:t>
      </w:r>
    </w:p>
    <w:p>
      <w:pPr>
        <w:pStyle w:val="MdParagraph"/>
      </w:pPr>
      <w:r>
        <w:t xml:space="preserve">承接页面（通常即为落地页）的质量，重点在于“承接”二字，即能否让用户平滑过渡并产生信任。评估标准包括：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年龄确认通过率</w:t>
      </w:r>
      <w:r>
        <w:t xml:space="preserve">：作为承接的第一关，该页面的年龄确认通过率应 </w:t>
      </w:r>
      <w:r>
        <w:rPr>
          <w:rStyle w:val="MdStrong"/>
          <w:b/>
          <w:bCs/>
        </w:rPr>
        <w:t xml:space="preserve">&gt;= 35%</w:t>
      </w:r>
      <w:r>
        <w:t xml:space="preserve">。若低于此值，说明首屏视觉、弹窗文案或加载速度存在严重劝退因素。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高质量浏览中位数时长</w:t>
      </w:r>
      <w:r>
        <w:t xml:space="preserve">：在高质量用户群体中，该页面的停留中位数应 </w:t>
      </w:r>
      <w:r>
        <w:rPr>
          <w:rStyle w:val="MdStrong"/>
          <w:b/>
          <w:bCs/>
        </w:rPr>
        <w:t xml:space="preserve">&gt;= 120秒</w:t>
      </w:r>
      <w:r>
        <w:t xml:space="preserve">。这证明页面内容（如故事音频、产品视频）具有足够的沉浸感。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低跳出率（Bounce Rate）</w:t>
      </w:r>
      <w:r>
        <w:t xml:space="preserve">：即单页访问后直接离开的比例应控制在合理范围内（与二次跳转率相辅相成）。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优秀的投流广告定义</w:t>
      </w:r>
    </w:p>
    <w:p>
      <w:pPr>
        <w:pStyle w:val="MdParagraph"/>
      </w:pPr>
      <w:r>
        <w:t xml:space="preserve">优秀的投流广告不仅要能以低成本获客，更要能带来真实的业务价值（即高质量访问）。其标准为：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低获客成本</w:t>
      </w:r>
      <w:r>
        <w:t xml:space="preserve">：CPC（单次点击成本）应低于同平台中位数。例如Facebook当前中位数约在$0.33左右，优秀广告CPC应 </w:t>
      </w:r>
      <w:r>
        <w:rPr>
          <w:rStyle w:val="MdStrong"/>
          <w:b/>
          <w:bCs/>
        </w:rPr>
        <w:t xml:space="preserve">&lt;= $0.25</w:t>
      </w:r>
      <w:r>
        <w:t xml:space="preserve">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高引流效率</w:t>
      </w:r>
      <w:r>
        <w:t xml:space="preserve">：CTR（点击率）应高于平台均值，表明素材极具吸引力。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高转化ROI（核心）</w:t>
      </w:r>
      <w:r>
        <w:t xml:space="preserve">：“优质访问数量/单价”指标应 </w:t>
      </w:r>
      <w:r>
        <w:rPr>
          <w:rStyle w:val="MdStrong"/>
          <w:b/>
          <w:bCs/>
        </w:rPr>
        <w:t xml:space="preserve">&gt;= 0.40</w:t>
      </w:r>
      <w:r>
        <w:t xml:space="preserve">。这意味着每花费1美元，至少能带来0.4个高质量访问（即花费2.5美元获得1个高质量用户）。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 需要预警的投流广告异常标准</w:t>
      </w:r>
    </w:p>
    <w:p>
      <w:pPr>
        <w:pStyle w:val="MdParagraph"/>
      </w:pPr>
      <w:r>
        <w:t xml:space="preserve">当广告出现以下任一情况时，必须立即预警并考虑人工介入调整或关停：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流量欺诈/无效流量预警</w:t>
      </w:r>
      <w:r>
        <w:t xml:space="preserve">：花费 &gt; $5 且“优质访问数量” = 0，或者“年龄确认通过率” &lt; 10%。这通常意味着流量质量极差（如当前的ExoClick渠道）。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成本失控预警</w:t>
      </w:r>
      <w:r>
        <w:t xml:space="preserve">：CPC 连续两日高于同平台中位数的 </w:t>
      </w:r>
      <w:r>
        <w:rPr>
          <w:rStyle w:val="MdStrong"/>
          <w:b/>
          <w:bCs/>
        </w:rPr>
        <w:t xml:space="preserve">2倍</w:t>
      </w:r>
      <w:r>
        <w:t xml:space="preserve">（例如Facebook CPC &gt; $0.60），且未带来任何优质访问。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素材疲劳/错配预警</w:t>
      </w:r>
      <w:r>
        <w:t xml:space="preserve">：CTR &lt; 3.0% 且 优质访问占比 &lt; 1.0%。这表明广告素材既吸引不到人点击，点进来的人也发现内容不符而迅速离开。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二、 广告质量对比分析表</w:t>
      </w:r>
    </w:p>
    <w:p>
      <w:pPr>
        <w:pStyle w:val="MdParagraph"/>
      </w:pPr>
      <w:r>
        <w:t xml:space="preserve">以下表格基于最近周期的数据提取，剔除了冗余字段，保留了核心评估指标，并对异常数据进行了高亮标注。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 跨平台广告质量对比（按平台汇总表现）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平台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总花费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平均CPC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平均CTR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年龄确认通过率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优质访问占比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优质访问/美元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核心诊断结论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$742.6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$0.25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11.2%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35.4%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4.8%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0.32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流量主力，成本可控，但部分广告组CPC偏高需优化。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JuicyAds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$25.0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$0.05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0.3%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22.1%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1.2%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0.15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异常预警</w:t>
            </w:r>
            <w:r>
              <w:t xml:space="preserve">：CTR极低，流量较浅，需关注单次到站成本而非CTR。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ExoClick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$3.5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$0.01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0.1%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4.2%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0.0%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0.00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严重预警</w:t>
            </w:r>
            <w:r>
              <w:t xml:space="preserve">：纯无效流量，年龄通过率极低，无任何优质访问，建议停投。</w:t>
            </w:r>
          </w:p>
        </w:tc>
      </w:tr>
    </w:tbl>
    <w:p>
      <w:pPr>
        <w:pStyle w:val="Heading3"/>
        <w:pStyle w:val="MdHeading3"/>
      </w:pPr>
      <w:r>
        <w:t xml:space="preserve">2. 同平台（Facebook）不同广告组质量对比</w:t>
      </w:r>
    </w:p>
    <w:p>
      <w:pPr>
        <w:pStyle w:val="MdParagraph"/>
      </w:pPr>
      <w:r>
        <w:rPr>
          <w:rStyle w:val="MdEm"/>
          <w:i/>
          <w:iCs/>
        </w:rPr>
        <w:t xml:space="preserve">注：以下数据截取自Facebook平台近期表现活跃的广告组。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广告任务名称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落地页类型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花费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CPC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CTR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年龄通过率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优质访问占比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优质访问/美元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状态评估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广告组22：（乙游秦彻）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故事页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$24.97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$0.30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8.32%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39.8%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19.3%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0.64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优秀</w:t>
            </w:r>
            <w:r>
              <w:t xml:space="preserve">：优质访问转化极高，素材与故事页承接完美匹配，建议放量。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广告组14（直棒）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产品页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$97.78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$0.11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16.13%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56.3%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5.5%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0.48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优秀</w:t>
            </w:r>
            <w:r>
              <w:t xml:space="preserve">：引流成本极低，基础承接极好，是当前产品页的主力。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广告组16（肛塞）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产品页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$98.77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$0.12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21.67%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38.8%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5.7%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0.47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良好</w:t>
            </w:r>
            <w:r>
              <w:t xml:space="preserve">：CTR极高，优质访问达标，可持续投放。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广告组18：（八爪鱼）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产品页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$80.94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$0.19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14.87%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23.4%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6.4%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0.35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正常：各项指标均衡，无明显短板。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广告组7：跳转剧场详情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故事页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$179.57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$0.32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4.59%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14.0%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2.2%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0.07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预警</w:t>
            </w:r>
            <w:r>
              <w:t xml:space="preserve">：花费最高，但年龄通过率和优质转化率偏低，需排查素材是否与落地页内容错配。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广告组13（弯棒）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产品页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$95.83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$1.64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3.12%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50.0%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0.0%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0.00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严重预警</w:t>
            </w:r>
            <w:r>
              <w:t xml:space="preserve">：今日CPC暴涨至1.64，且未带来优质访问，需立即排查或暂停。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广告组17：（警长）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故事页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$115.48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$0.42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5.98%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7.7%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0.7%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0.02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预警</w:t>
            </w:r>
            <w:r>
              <w:t xml:space="preserve">：CPC偏高，年龄通过率极低，承接严重断层。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三、 总结与执行建议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全面转向“优质访问”导向</w:t>
      </w:r>
      <w:r>
        <w:t xml:space="preserve">：不要仅盯着CTR和CPC。广告组22（乙游秦彻）的CTR（8.32%）远低于广告组16（21.67%），但其带来的“优质访问/美元”是后者的1.3倍。</w:t>
      </w:r>
      <w:r>
        <w:rPr>
          <w:rStyle w:val="MdStrong"/>
          <w:b/>
          <w:bCs/>
        </w:rPr>
        <w:t xml:space="preserve">真正高价值的用户是在故事页沉淀下来的</w:t>
      </w:r>
      <w:r>
        <w:t xml:space="preserve">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落地页差异化承接</w:t>
      </w:r>
      <w:r>
        <w:t xml:space="preserve">：数据证明，不同的落地页有着完全不同的转化路径。故事页的优势在于建立深度认知（高停留），产品页的优势在于快速转化（高年龄通过率）。目前的广告策略存在错配，需将高情感浓度的素材精准导向故事页，将功能性素材导向产品页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立即执行异常处理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t xml:space="preserve">立刻排查并考虑关停 </w:t>
      </w:r>
      <w:r>
        <w:rPr>
          <w:rStyle w:val="MdStrong"/>
          <w:b/>
          <w:bCs/>
        </w:rPr>
        <w:t xml:space="preserve">广告组13</w:t>
      </w:r>
      <w:r>
        <w:t xml:space="preserve">（CPC畸高）和 </w:t>
      </w:r>
      <w:r>
        <w:rPr>
          <w:rStyle w:val="MdStrong"/>
          <w:b/>
          <w:bCs/>
        </w:rPr>
        <w:t xml:space="preserve">ExoClick渠道</w:t>
      </w:r>
      <w:r>
        <w:t xml:space="preserve">（无效流量）。</w:t>
      </w:r>
    </w:p>
    <w:p>
      <w:pPr>
        <w:pStyle w:val="MdListItem"/>
        <w:numPr>
          <w:ilvl w:val="1"/>
          <w:numId w:val="2"/>
        </w:numPr>
      </w:pPr>
      <w:r>
        <w:t xml:space="preserve">针对 </w:t>
      </w:r>
      <w:r>
        <w:rPr>
          <w:rStyle w:val="MdStrong"/>
          <w:b/>
          <w:bCs/>
        </w:rPr>
        <w:t xml:space="preserve">广告组7</w:t>
      </w:r>
      <w:r>
        <w:t xml:space="preserve"> 和 </w:t>
      </w:r>
      <w:r>
        <w:rPr>
          <w:rStyle w:val="MdStrong"/>
          <w:b/>
          <w:bCs/>
        </w:rPr>
        <w:t xml:space="preserve">广告组17</w:t>
      </w:r>
      <w:r>
        <w:t xml:space="preserve">，重点排查其落地页的年龄弹窗体验及首屏内容，找出拦截用户的致命原因。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2026-03-20T12:41:54.185Z</dcterms:created>
  <dcterms:modified xsi:type="dcterms:W3CDTF">2026-03-20T12:41:54.185Z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