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矩阵性广告投放执行准备思维导图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graph TD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A[矩阵性广告投放执行准备] --&gt; B(I. 策略与目标设定)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 --&gt; B1(1.1 核心产品与市场定位)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 --&gt; B2(1.2 目标受众细分)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B2 --&gt; B2a(性癖)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B2 --&gt; B2b(年龄)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B2 --&gt; B2c(地域)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 --&gt; B3(1.3 投放目标)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B3 --&gt; B3a(品牌曝光)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B3 --&gt; B3b(引流)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B3 --&gt; B3c(转化)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 --&gt; B4(1.4 预算分配)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 --&gt; C(II. 平台与账号体系)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 --&gt; C1(2.1 平台选择)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C1 --&gt; C1a(Google Ads)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C1 --&gt; C1b(Meta Ads)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C1 --&gt; C1c(TikTok Ads)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C1 --&gt; C1d(垂直成人广告网络)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 --&gt; C2(2.2 账号准备)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C2 --&gt; C2a(多账号策略: 主号/备用号)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C2 --&gt; C2b(防关联环境: 指纹浏览器/独立IP)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C2 --&gt; C2c(支付方式: 多币种/多卡)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 --&gt; C3(2.3 像素与追踪)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C3 --&gt; C3a(Meta Pixel/Google GTM/TikTok Pixel)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C3 --&gt; C3b(GA4 深度集成)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C3 --&gt; C3c(转化事件定义与测试)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 --&gt; D(III. 创意与素材准备)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 --&gt; D1(3.1 创意方向)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D1 --&gt; D1a(视频/图片/文案)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D1 --&gt; D1b(“软色情”艺术化处理)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D1 --&gt; D1c(UGC 模拟)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D1 --&gt; D1d(产品功能演示: AI互动/隐私保护)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D1 --&gt; D1e(差异化文案: 情感/科技/健康)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 --&gt; D2(3.2 创意合规性审核)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D2 --&gt; D2a(平台政策研究)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D2 --&gt; D2b(第三方审核工具)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D2 --&gt; D2c(多版本备用素材)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 --&gt; E(IV. 落地页与用户体验)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 --&gt; E1(4.1 独立站优化: 加载速度/移动端适配)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 --&gt; E2(4.2 落地页内容: 产品详情/用户评价/隐私政策)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 --&gt; E3(4.3 A/B 测试准备)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 --&gt; F(V. 数据分析与优化工具)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 --&gt; F1(5.1 数据报表模板)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 --&gt; F2(5.2 归因模型选择)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 --&gt; F3(5.3 自动化优化工具)</w:t>
      </w: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矩阵性广告投放标准化工作流</w:t>
      </w:r>
    </w:p>
    <w:p>
      <w:pPr>
        <w:pStyle w:val="Heading2"/>
        <w:pStyle w:val="MdHeading2"/>
      </w:pPr>
      <w:r>
        <w:t xml:space="preserve">第一阶段：策略制定与基础搭建 (Phase 1: Strategy &amp; Infrastructure)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任务1.1：明确产品与受众</w:t>
      </w:r>
      <w:r>
        <w:t xml:space="preserve">：确定主推AI成人玩具产品，细化目标用户性癖、年龄、地域等画像。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任务1.2：设定投放目标与预算</w:t>
      </w:r>
      <w:r>
        <w:t xml:space="preserve">：根据产品生命周期和市场阶段，制定短期/长期目标（曝光、点击、加购、转化），并分配各平台预算。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任务1.3：独立站技术准备</w:t>
      </w:r>
      <w:r>
        <w:t xml:space="preserve">：确保独立站（creviatech.com）稳定运行，安装并测试Meta Pixel、Google GTM、TikTok Pixel，配置GA4，定义核心转化事件。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任务1.4：账号体系构建</w:t>
      </w:r>
      <w:r>
        <w:t xml:space="preserve">：准备多个广告账户（主号、备用号），配置指纹浏览器和独立IP，绑定多张支付卡。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第二阶段：创意生产与合规审核 (Phase 2: Creative Production &amp; Compliance)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任务2.1：创意方向确定</w:t>
      </w:r>
      <w:r>
        <w:t xml:space="preserve">：根据目标受众和平台特性，确定视频、图片、文案的创意方向，强调AI互动、隐私保护、健康生活等。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任务2.2：素材批量制作</w:t>
      </w:r>
      <w:r>
        <w:t xml:space="preserve">：制作多版本、多风格的广告素材，注重“软色情”的艺术化处理，避免直接违规。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任务2.3：平台政策研究与预审</w:t>
      </w:r>
      <w:r>
        <w:t xml:space="preserve">：深入研究Google、Meta、TikTok等平台的广告政策，利用第三方工具进行素材预审，准备合规性说明。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任务2.4：落地页内容优化</w:t>
      </w:r>
      <w:r>
        <w:t xml:space="preserve">：确保落地页内容与广告素材一致，无违禁词，用户体验良好，隐私政策清晰。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第三阶段：广告系列搭建与测试 (Phase 3: Campaign Setup &amp; Testing)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任务3.1：广告系列搭建</w:t>
      </w:r>
      <w:r>
        <w:t xml:space="preserve">：在各平台（Google Ads, Meta Ads, TikTok Ads, 垂直成人广告网络）创建广告系列，设置目标、受众、版位、预算。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任务3.2：广告组与创意上传</w:t>
      </w:r>
      <w:r>
        <w:t xml:space="preserve">：根据“内容矩阵”原则，每个广告系列下设置多个广告组，每个广告组上传多套创意进行A/B测试。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任务3.3：小预算测试</w:t>
      </w:r>
      <w:r>
        <w:t xml:space="preserve">：初期采用小预算进行投放，快速测试不同创意、受众、版位的效果。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任务3.4：数据初步监测</w:t>
      </w:r>
      <w:r>
        <w:t xml:space="preserve">：重点关注广告的CTR、CPC、CPM、加购率、跳出率等核心指标。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第四阶段：数据分析与优化放量 (Phase 4: Data Analysis &amp; Scaling)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任务4.1：数据深度分析</w:t>
      </w:r>
      <w:r>
        <w:t xml:space="preserve">：每周/每日汇总各平台数据，分析ROAS、CPA、转化路径，识别高表现广告系列/广告组/创意。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任务4.2：优化调整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暂停低效</w:t>
      </w:r>
      <w:r>
        <w:t xml:space="preserve">：及时暂停表现不佳的广告组和创意。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调整出价</w:t>
      </w:r>
      <w:r>
        <w:t xml:space="preserve">：根据数据表现调整竞价策略。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受众优化</w:t>
      </w:r>
      <w:r>
        <w:t xml:space="preserve">：排除低效受众，拓展高潜力受众。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落地页优化</w:t>
      </w:r>
      <w:r>
        <w:t xml:space="preserve">：根据用户行为数据调整落地页内容和布局。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任务4.3：放量策略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纵向放量</w:t>
      </w:r>
      <w:r>
        <w:t xml:space="preserve">：对表现优异的广告组逐步增加预算。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横向放量</w:t>
      </w:r>
      <w:r>
        <w:t xml:space="preserve">：将成功素材和受众策略复制到新账号、新平台或新地区。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任务4.4：持续创意迭代</w:t>
      </w:r>
      <w:r>
        <w:t xml:space="preserve">：根据数据反馈，不断优化现有素材，并批量生产新创意，对抗审美疲劳。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第五阶段：复盘与知识沉淀 (Phase 5: Review &amp; Knowledge Management)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任务5.1：定期复盘会议</w:t>
      </w:r>
      <w:r>
        <w:t xml:space="preserve">：每月进行投放复盘，总结经验教训，分析市场变化和竞争态势。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任务5.2：知识库更新</w:t>
      </w:r>
      <w:r>
        <w:t xml:space="preserve">：将成功的策略、素材、受众包、合规经验等沉淀到内部知识库。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任务5.3：风险预警与应对</w:t>
      </w:r>
      <w:r>
        <w:t xml:space="preserve">：持续关注平台政策变化，建立风险预警机制，制定应对预案。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任务5.4：下一阶段规划</w:t>
      </w:r>
      <w:r>
        <w:t xml:space="preserve">：根据复盘结果，制定下一阶段的投放策略和目标。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反驳意见与风险提示：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资源分散与管理成本</w:t>
      </w:r>
      <w:r>
        <w:t xml:space="preserve">：矩阵性投放虽然能分散风险，但多平台、多账号、多创意的管理会显著增加人力和时间成本。对于初创企业，可能导致资源过度分散，影响核心业务聚焦。建议初期集中资源突破一两个核心平台，待模式跑通后再逐步拓展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品牌稀释与形象风险</w:t>
      </w:r>
      <w:r>
        <w:t xml:space="preserve">：在不同平台和账号上采用差异化甚至“擦边球”的创意，可能导致品牌形象不一致，甚至在某些受众群体中造成负面认知，稀释品牌价值。尤其在成人用品领域，如何在追求流量的同时维护品牌调性，是长期挑战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平台政策与封号风险</w:t>
      </w:r>
      <w:r>
        <w:t xml:space="preserve">：成人用品行业在主流广告平台（Google, Meta, TikTok）面临严格的审核和限制。多账号策略虽能规避短期风险，但平台算法的升级可能导致批量封号，造成巨大损失。过度依赖“黑科技”而非内容合规，是饮鸩止渴。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数据孤岛与归因难题</w:t>
      </w:r>
      <w:r>
        <w:t xml:space="preserve">：多平台投放容易形成数据孤岛，难以进行统一的归因分析，导致优化决策失误。需要强大的数据整合能力和专业的归因模型来支撑。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过度依赖工具与技术</w:t>
      </w:r>
      <w:r>
        <w:t xml:space="preserve">：指纹浏览器、自动化工具等虽能提高效率，但过度依赖可能导致对底层逻辑和平台规则的理解不足，一旦工具失效或平台规则改变，将面临巨大被动。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建议：</w:t>
      </w:r>
      <w:r>
        <w:t xml:space="preserve"> 在执行过程中，务必保持高度的灵活性和对市场、政策的敏感度，将风险控制置于核心位置。同时，注重品牌长期价值的建设，避免短期流量红利带来的负面影响。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2026-02-26T04:04:30.076Z</dcterms:created>
  <dcterms:modified xsi:type="dcterms:W3CDTF">2026-02-26T04:04:30.076Z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