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结算流程优化方案：提升“临门一脚”的转化率</w:t>
      </w:r>
    </w:p>
    <w:p>
      <w:pPr>
        <w:pStyle w:val="MdParagraph"/>
      </w:pPr>
      <w:r>
        <w:t xml:space="preserve">针对近期 AdClaw 数据揭示的结算流程流失问题（用户 A 在地址页徘徊，用户 B 在多语言间切换），本方案旨在通过</w:t>
      </w:r>
      <w:r>
        <w:rPr>
          <w:rStyle w:val="MdStrong"/>
          <w:b/>
          <w:bCs/>
        </w:rPr>
        <w:t xml:space="preserve">地址编辑页的极致简化</w:t>
      </w:r>
      <w:r>
        <w:t xml:space="preserve">和</w:t>
      </w:r>
      <w:r>
        <w:rPr>
          <w:rStyle w:val="MdStrong"/>
          <w:b/>
          <w:bCs/>
        </w:rPr>
        <w:t xml:space="preserve">多语言体验的无缝衔接</w:t>
      </w:r>
      <w:r>
        <w:t xml:space="preserve">，显著提升用户在“Buy Now”后的最终成交率。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 地址编辑页的简化与用户体验 (UX) 优化方案</w:t>
      </w:r>
    </w:p>
    <w:p>
      <w:pPr>
        <w:pStyle w:val="MdParagraph"/>
      </w:pPr>
      <w:r>
        <w:rPr>
          <w:rStyle w:val="MdStrong"/>
          <w:b/>
          <w:bCs/>
        </w:rPr>
        <w:t xml:space="preserve">核心目标：</w:t>
      </w:r>
      <w:r>
        <w:t xml:space="preserve"> 减少用户填写地址时的认知负担和操作摩擦，降低因地址填写错误或复杂性导致的弃单。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具体方案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预期效果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实施优先级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预估耗时 (开发)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字段精简与智能预填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a. 移除非必填项：</w:t>
            </w:r>
            <w:r>
              <w:t xml:space="preserve"> 仅保留收货人姓名、手机号、详细地址（街道、门牌号）、邮编、国家/地区。将“省/州”、“城市”等信息通过邮编或国家/地区自动识别填充。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b. 引入地址自动填充：</w:t>
            </w:r>
            <w:r>
              <w:t xml:space="preserve"> 集成 Google Place Autocomplete 或类似服务，用户输入部分地址后，自动推荐完整地址，减少手动输入和错误率。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减少用户输入量 30% 以上，降低错误率，提升填写速度。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4-8 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实时校验与清晰提示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a. 字段实时校验：</w:t>
            </w:r>
            <w:r>
              <w:t xml:space="preserve"> 用户输入时即时反馈字段格式是否正确，而非提交后才报错。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b. 错误信息人性化：</w:t>
            </w:r>
            <w:r>
              <w:t xml:space="preserve"> 避免技术性错误提示，使用清晰、友好的语言指导用户修正（例如：“邮编格式不正确，请检查国家/地区对应的邮编格式”）。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c. 邮编与城市联动：</w:t>
            </w:r>
            <w:r>
              <w:t xml:space="preserve"> 用户输入邮编后，自动填充城市和省份，并允许用户修正。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避免用户反复尝试，提升用户体验，减少因格式错误导致的流失。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3-6 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进度条与步骤可视化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在结算流程顶部增加清晰的</w:t>
            </w:r>
            <w:r>
              <w:rPr>
                <w:rStyle w:val="MdStrong"/>
                <w:b/>
                <w:bCs/>
              </w:rPr>
              <w:t xml:space="preserve">进度条</w:t>
            </w:r>
            <w:r>
              <w:t xml:space="preserve">（例如：购物车 &gt; 填写信息 &gt; 支付 &gt; 完成），并高亮当前步骤。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给予用户明确的流程预期，减少焦虑感，提升完成意愿。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1-2 小时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手机端优化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确保地址输入框的键盘类型与内容匹配（例如：手机号字段自动弹出数字键盘），并优化输入框大小和点击区域。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提升手机端用户填写体验，降低手机端弃单率。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2-4 小时</w:t>
            </w:r>
          </w:p>
        </w:tc>
      </w:tr>
    </w:tbl>
    <w:p>
      <w:pPr>
        <w:pStyle w:val="Heading2"/>
        <w:pStyle w:val="MdHeading2"/>
      </w:pPr>
      <w:r>
        <w:t xml:space="preserve">二、 多语言切换的一致性与信任感提升方案</w:t>
      </w:r>
    </w:p>
    <w:p>
      <w:pPr>
        <w:pStyle w:val="MdParagraph"/>
      </w:pPr>
      <w:r>
        <w:rPr>
          <w:rStyle w:val="MdStrong"/>
          <w:b/>
          <w:bCs/>
        </w:rPr>
        <w:t xml:space="preserve">核心目标：</w:t>
      </w:r>
      <w:r>
        <w:t xml:space="preserve"> 消除因语言切换不畅或信息不一致导致的信任危机，确保用户在任何语言环境下都能安心完成支付。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优化项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具体方案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预期效果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实施优先级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预估耗时 (开发/内容)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结算页语言锁定与提示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a. 语言偏好记忆：</w:t>
            </w:r>
            <w:r>
              <w:t xml:space="preserve"> 一旦用户在结算页选择或系统识别出语言，在当前 Session 内锁定该语言，避免自动跳转。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b. 友好提示：</w:t>
            </w:r>
            <w:r>
              <w:t xml:space="preserve"> 如果用户尝试切换语言，弹出提示：“切换语言可能会清空当前已填写信息，是否继续？”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避免用户在结算关键步骤中因语言切换导致信息丢失，提升流程稳定性。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2-4 小时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关键信息多语言一致性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a. 支付安全声明：</w:t>
            </w:r>
            <w:r>
              <w:t xml:space="preserve"> 确保所有语言版本的结算页都清晰展示“SSL 加密”、“隐私保护”、“安全支付”等信任徽章和文字说明。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b. 服务条款与隐私政策：</w:t>
            </w:r>
            <w:r>
              <w:t xml:space="preserve"> 确保这些法律文本在所有支持语言下都有准确、完整的翻译，并提供便捷的链接。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增强用户信任感，尤其是在跨国交易中，打消用户对信息安全的顾虑。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4-8 小时 (翻译+开发)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语言切换入口优化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将语言切换按钮放置在不干扰核心结算流程的区域（例如：页脚或顶部不显眼的角落），避免用户误触。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减少用户在结算过程中因误触语言切换而中断流程。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1-2 小时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增加本地化支付方式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根据 AdClaw 数据中用户所在国家/地区（如新加坡），调研并增加当地主流的支付方式（如 GrabPay, PayNow 等）。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提升本地化用户支付便利性，增加支付成功率。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8-16 小时 (支付接口集成)</w:t>
            </w:r>
          </w:p>
        </w:tc>
      </w:tr>
    </w:tbl>
    <w:p>
      <w:pPr>
        <w:pStyle w:val="Heading2"/>
        <w:pStyle w:val="MdHeading2"/>
      </w:pPr>
      <w:r>
        <w:t xml:space="preserve">三、 实施建议与后续追踪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优先实施：</w:t>
      </w:r>
      <w:r>
        <w:t xml:space="preserve"> 建议优先实施“地址编辑页的字段精简与智能预填”和“结算页语言锁定与提示”这两个高优先级方案，它们能最快地解决当前最大的流失痛点。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A/B 测试：</w:t>
      </w:r>
      <w:r>
        <w:t xml:space="preserve"> 对于某些优化项（如进度条样式、错误提示文案），可以进行 A/B 测试，通过数据验证最佳方案。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AdClaw 持续监控：</w:t>
      </w:r>
      <w:r>
        <w:t xml:space="preserve"> 优化上线后，持续通过 AdClaw 监控 </w:t>
      </w:r>
      <w:r>
        <w:rPr>
          <w:rStyle w:val="MdCode"/>
          <w:u w:val="single"/>
        </w:rPr>
        <w:t xml:space="preserve">checkout</w:t>
      </w:r>
      <w:r>
        <w:t xml:space="preserve"> 到 </w:t>
      </w:r>
      <w:r>
        <w:rPr>
          <w:rStyle w:val="MdCode"/>
          <w:u w:val="single"/>
        </w:rPr>
        <w:t xml:space="preserve">purchase</w:t>
      </w:r>
      <w:r>
        <w:t xml:space="preserve"> 的转化率，以及 </w:t>
      </w:r>
      <w:r>
        <w:rPr>
          <w:rStyle w:val="MdCode"/>
          <w:u w:val="single"/>
        </w:rPr>
        <w:t xml:space="preserve">address-edit</w:t>
      </w:r>
      <w:r>
        <w:t xml:space="preserve"> 页面的停留时长和跳出率，评估优化效果。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用户反馈：</w:t>
      </w:r>
      <w:r>
        <w:t xml:space="preserve"> 增加用户反馈渠道，收集用户在结算流程中遇到的问题，作为持续优化的依据。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通过上述渐进式优化，我们有信心将结算流程的摩擦力降到最低，让更多有购买意愿的用户顺利完成交易，助力实现日均 20 单的销售目标。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Manus AI 营销专家团队 呈报</w:t>
      </w:r>
      <w:r>
        <w:t xml:space="preserve">
</w:t>
      </w:r>
      <w:r>
        <w:rPr>
          <w:rStyle w:val="MdStrong"/>
          <w:b/>
          <w:bCs/>
        </w:rPr>
        <w:t xml:space="preserve">2026-03-14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2026-03-14T09:21:42.879Z</dcterms:created>
  <dcterms:modified xsi:type="dcterms:W3CDTF">2026-03-14T09:21:42.879Z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