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CreviaTech 独立站转化路径诊断与渐进式优化方案</w:t>
      </w:r>
    </w:p>
    <w:p>
      <w:pPr>
        <w:pStyle w:val="Heading2"/>
        <w:pStyle w:val="MdHeading2"/>
      </w:pPr>
      <w:r>
        <w:t xml:space="preserve">一、 核心数据诊断与漏斗瓶颈分析</w:t>
      </w:r>
    </w:p>
    <w:p>
      <w:pPr>
        <w:pStyle w:val="MdParagraph"/>
      </w:pPr>
      <w:r>
        <w:t xml:space="preserve">基于独立站实际数据的深度分析，当前转化漏斗存在明显的断层与瓶颈。我们提取了近半年的核心漏斗数据，以明确优化优先级。</w:t>
      </w:r>
    </w:p>
    <w:p>
      <w:pPr>
        <w:pStyle w:val="MdSpace"/>
        <w:spacing w:before="0" w:after="60"/>
      </w:pPr>
    </w:p>
    <w:p>
      <w:pPr>
        <w:pStyle w:val="Heading3"/>
        <w:pStyle w:val="MdHeading3"/>
      </w:pPr>
      <w:r>
        <w:t xml:space="preserve">1.1 全局漏斗转化率（宏观视角）</w:t>
      </w:r>
    </w:p>
    <w:p>
      <w:pPr>
        <w:pStyle w:val="MdParagraph"/>
      </w:pPr>
      <w:r>
        <w:t xml:space="preserve">从宏观漏斗来看，用户的流失呈现出极端的“断崖式”特征。</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漏斗阶段</w:t>
            </w:r>
          </w:p>
        </w:tc>
        <w:tc>
          <w:tcPr>
            <w:tcMar>
              <w:top w:type="dxa" w:w="100"/>
              <w:left w:type="dxa" w:w="120"/>
              <w:bottom w:type="dxa" w:w="100"/>
              <w:right w:type="dxa" w:w="120"/>
            </w:tcMar>
            <w:vAlign w:val="center"/>
          </w:tcPr>
          <w:p>
            <w:pPr>
              <w:pStyle w:val="MdTableHeader"/>
              <w:jc w:val="left"/>
            </w:pPr>
            <w:r>
              <w:t xml:space="preserve">独立会话数</w:t>
            </w:r>
          </w:p>
        </w:tc>
        <w:tc>
          <w:tcPr>
            <w:tcMar>
              <w:top w:type="dxa" w:w="100"/>
              <w:left w:type="dxa" w:w="120"/>
              <w:bottom w:type="dxa" w:w="100"/>
              <w:right w:type="dxa" w:w="120"/>
            </w:tcMar>
            <w:vAlign w:val="center"/>
          </w:tcPr>
          <w:p>
            <w:pPr>
              <w:pStyle w:val="MdTableHeader"/>
              <w:jc w:val="left"/>
            </w:pPr>
            <w:r>
              <w:t xml:space="preserve">阶段转化率（至下一阶段）</w:t>
            </w:r>
          </w:p>
        </w:tc>
        <w:tc>
          <w:tcPr>
            <w:tcBorders>
              <w:right w:val="none"/>
            </w:tcBorders>
            <w:tcMar>
              <w:top w:type="dxa" w:w="100"/>
              <w:left w:type="dxa" w:w="120"/>
              <w:bottom w:type="dxa" w:w="100"/>
              <w:right w:type="dxa" w:w="120"/>
            </w:tcMar>
            <w:vAlign w:val="center"/>
          </w:tcPr>
          <w:p>
            <w:pPr>
              <w:pStyle w:val="MdTableHeader"/>
              <w:jc w:val="left"/>
            </w:pPr>
            <w:r>
              <w:t xml:space="preserve">整体转化率（基于年龄验证）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1. 拦截层 (Age Verification)</w:t>
            </w:r>
          </w:p>
        </w:tc>
        <w:tc>
          <w:tcPr>
            <w:tcMar>
              <w:top w:type="dxa" w:w="80"/>
              <w:left w:type="dxa" w:w="120"/>
              <w:bottom w:type="dxa" w:w="80"/>
              <w:right w:type="dxa" w:w="120"/>
            </w:tcMar>
            <w:vAlign w:val="center"/>
          </w:tcPr>
          <w:p>
            <w:pPr>
              <w:pStyle w:val="MdTableCell"/>
              <w:jc w:val="left"/>
            </w:pPr>
            <w:r>
              <w:t xml:space="preserve">4,194</w:t>
            </w:r>
          </w:p>
        </w:tc>
        <w:tc>
          <w:tcPr>
            <w:tcMar>
              <w:top w:type="dxa" w:w="80"/>
              <w:left w:type="dxa" w:w="120"/>
              <w:bottom w:type="dxa" w:w="80"/>
              <w:right w:type="dxa" w:w="120"/>
            </w:tcMar>
            <w:vAlign w:val="center"/>
          </w:tcPr>
          <w:p>
            <w:pPr>
              <w:pStyle w:val="MdTableCell"/>
              <w:jc w:val="left"/>
            </w:pPr>
            <w:r>
              <w:t xml:space="preserve">19.10%</w:t>
            </w:r>
          </w:p>
        </w:tc>
        <w:tc>
          <w:tcPr>
            <w:tcBorders>
              <w:right w:val="none"/>
            </w:tcBorders>
            <w:tcMar>
              <w:top w:type="dxa" w:w="80"/>
              <w:left w:type="dxa" w:w="120"/>
              <w:bottom w:type="dxa" w:w="80"/>
              <w:right w:type="dxa" w:w="120"/>
            </w:tcMar>
            <w:vAlign w:val="center"/>
          </w:tcPr>
          <w:p>
            <w:pPr>
              <w:pStyle w:val="MdTableCell"/>
              <w:jc w:val="left"/>
            </w:pPr>
            <w:r>
              <w:t xml:space="preserve">100.00%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2. 兴趣层 (Product Interest)</w:t>
            </w:r>
          </w:p>
        </w:tc>
        <w:tc>
          <w:tcPr>
            <w:tcMar>
              <w:top w:type="dxa" w:w="80"/>
              <w:left w:type="dxa" w:w="120"/>
              <w:bottom w:type="dxa" w:w="80"/>
              <w:right w:type="dxa" w:w="120"/>
            </w:tcMar>
            <w:vAlign w:val="center"/>
          </w:tcPr>
          <w:p>
            <w:pPr>
              <w:pStyle w:val="MdTableCell"/>
              <w:jc w:val="left"/>
            </w:pPr>
            <w:r>
              <w:t xml:space="preserve">801</w:t>
            </w:r>
          </w:p>
        </w:tc>
        <w:tc>
          <w:tcPr>
            <w:tcMar>
              <w:top w:type="dxa" w:w="80"/>
              <w:left w:type="dxa" w:w="120"/>
              <w:bottom w:type="dxa" w:w="80"/>
              <w:right w:type="dxa" w:w="120"/>
            </w:tcMar>
            <w:vAlign w:val="center"/>
          </w:tcPr>
          <w:p>
            <w:pPr>
              <w:pStyle w:val="MdTableCell"/>
              <w:jc w:val="left"/>
            </w:pPr>
            <w:r>
              <w:t xml:space="preserve">32.71%</w:t>
            </w:r>
          </w:p>
        </w:tc>
        <w:tc>
          <w:tcPr>
            <w:tcBorders>
              <w:right w:val="none"/>
            </w:tcBorders>
            <w:tcMar>
              <w:top w:type="dxa" w:w="80"/>
              <w:left w:type="dxa" w:w="120"/>
              <w:bottom w:type="dxa" w:w="80"/>
              <w:right w:type="dxa" w:w="120"/>
            </w:tcMar>
            <w:vAlign w:val="center"/>
          </w:tcPr>
          <w:p>
            <w:pPr>
              <w:pStyle w:val="MdTableCell"/>
              <w:jc w:val="left"/>
            </w:pPr>
            <w:r>
              <w:t xml:space="preserve">19.10%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3. 互动层 (Engagement)</w:t>
            </w:r>
          </w:p>
        </w:tc>
        <w:tc>
          <w:tcPr>
            <w:tcMar>
              <w:top w:type="dxa" w:w="80"/>
              <w:left w:type="dxa" w:w="120"/>
              <w:bottom w:type="dxa" w:w="80"/>
              <w:right w:type="dxa" w:w="120"/>
            </w:tcMar>
            <w:vAlign w:val="center"/>
          </w:tcPr>
          <w:p>
            <w:pPr>
              <w:pStyle w:val="MdTableCell"/>
              <w:jc w:val="left"/>
            </w:pPr>
            <w:r>
              <w:t xml:space="preserve">262</w:t>
            </w:r>
          </w:p>
        </w:tc>
        <w:tc>
          <w:tcPr>
            <w:tcMar>
              <w:top w:type="dxa" w:w="80"/>
              <w:left w:type="dxa" w:w="120"/>
              <w:bottom w:type="dxa" w:w="80"/>
              <w:right w:type="dxa" w:w="120"/>
            </w:tcMar>
            <w:vAlign w:val="center"/>
          </w:tcPr>
          <w:p>
            <w:pPr>
              <w:pStyle w:val="MdTableCell"/>
              <w:jc w:val="left"/>
            </w:pPr>
            <w:r>
              <w:t xml:space="preserve">21.37%</w:t>
            </w:r>
          </w:p>
        </w:tc>
        <w:tc>
          <w:tcPr>
            <w:tcBorders>
              <w:right w:val="none"/>
            </w:tcBorders>
            <w:tcMar>
              <w:top w:type="dxa" w:w="80"/>
              <w:left w:type="dxa" w:w="120"/>
              <w:bottom w:type="dxa" w:w="80"/>
              <w:right w:type="dxa" w:w="120"/>
            </w:tcMar>
            <w:vAlign w:val="center"/>
          </w:tcPr>
          <w:p>
            <w:pPr>
              <w:pStyle w:val="MdTableCell"/>
              <w:jc w:val="left"/>
            </w:pPr>
            <w:r>
              <w:t xml:space="preserve">6.25%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4. 意向层 (App Download)</w:t>
            </w:r>
          </w:p>
        </w:tc>
        <w:tc>
          <w:tcPr>
            <w:tcMar>
              <w:top w:type="dxa" w:w="80"/>
              <w:left w:type="dxa" w:w="120"/>
              <w:bottom w:type="dxa" w:w="80"/>
              <w:right w:type="dxa" w:w="120"/>
            </w:tcMar>
            <w:vAlign w:val="center"/>
          </w:tcPr>
          <w:p>
            <w:pPr>
              <w:pStyle w:val="MdTableCell"/>
              <w:jc w:val="left"/>
            </w:pPr>
            <w:r>
              <w:t xml:space="preserve">56</w:t>
            </w:r>
          </w:p>
        </w:tc>
        <w:tc>
          <w:tcPr>
            <w:tcMar>
              <w:top w:type="dxa" w:w="80"/>
              <w:left w:type="dxa" w:w="120"/>
              <w:bottom w:type="dxa" w:w="80"/>
              <w:right w:type="dxa" w:w="120"/>
            </w:tcMar>
            <w:vAlign w:val="center"/>
          </w:tcPr>
          <w:p>
            <w:pPr>
              <w:pStyle w:val="MdTableCell"/>
              <w:jc w:val="left"/>
            </w:pPr>
            <w:r>
              <w:t xml:space="preserve">37.50%</w:t>
            </w:r>
          </w:p>
        </w:tc>
        <w:tc>
          <w:tcPr>
            <w:tcBorders>
              <w:right w:val="none"/>
            </w:tcBorders>
            <w:tcMar>
              <w:top w:type="dxa" w:w="80"/>
              <w:left w:type="dxa" w:w="120"/>
              <w:bottom w:type="dxa" w:w="80"/>
              <w:right w:type="dxa" w:w="120"/>
            </w:tcMar>
            <w:vAlign w:val="center"/>
          </w:tcPr>
          <w:p>
            <w:pPr>
              <w:pStyle w:val="MdTableCell"/>
              <w:jc w:val="left"/>
            </w:pPr>
            <w:r>
              <w:t xml:space="preserve">1.34%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5. 购物车 (Cart)</w:t>
            </w:r>
          </w:p>
        </w:tc>
        <w:tc>
          <w:tcPr>
            <w:tcMar>
              <w:top w:type="dxa" w:w="80"/>
              <w:left w:type="dxa" w:w="120"/>
              <w:bottom w:type="dxa" w:w="80"/>
              <w:right w:type="dxa" w:w="120"/>
            </w:tcMar>
            <w:vAlign w:val="center"/>
          </w:tcPr>
          <w:p>
            <w:pPr>
              <w:pStyle w:val="MdTableCell"/>
              <w:jc w:val="left"/>
            </w:pPr>
            <w:r>
              <w:t xml:space="preserve">21</w:t>
            </w:r>
          </w:p>
        </w:tc>
        <w:tc>
          <w:tcPr>
            <w:tcMar>
              <w:top w:type="dxa" w:w="80"/>
              <w:left w:type="dxa" w:w="120"/>
              <w:bottom w:type="dxa" w:w="80"/>
              <w:right w:type="dxa" w:w="120"/>
            </w:tcMar>
            <w:vAlign w:val="center"/>
          </w:tcPr>
          <w:p>
            <w:pPr>
              <w:pStyle w:val="MdTableCell"/>
              <w:jc w:val="left"/>
            </w:pPr>
            <w:r>
              <w:t xml:space="preserve">33.33%</w:t>
            </w:r>
          </w:p>
        </w:tc>
        <w:tc>
          <w:tcPr>
            <w:tcBorders>
              <w:right w:val="none"/>
            </w:tcBorders>
            <w:tcMar>
              <w:top w:type="dxa" w:w="80"/>
              <w:left w:type="dxa" w:w="120"/>
              <w:bottom w:type="dxa" w:w="80"/>
              <w:right w:type="dxa" w:w="120"/>
            </w:tcMar>
            <w:vAlign w:val="center"/>
          </w:tcPr>
          <w:p>
            <w:pPr>
              <w:pStyle w:val="MdTableCell"/>
              <w:jc w:val="left"/>
            </w:pPr>
            <w:r>
              <w:t xml:space="preserve">0.50%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6. 结账层 (Checkout)</w:t>
            </w:r>
          </w:p>
        </w:tc>
        <w:tc>
          <w:tcPr>
            <w:tcMar>
              <w:top w:type="dxa" w:w="80"/>
              <w:left w:type="dxa" w:w="120"/>
              <w:bottom w:type="dxa" w:w="80"/>
              <w:right w:type="dxa" w:w="120"/>
            </w:tcMar>
            <w:vAlign w:val="center"/>
          </w:tcPr>
          <w:p>
            <w:pPr>
              <w:pStyle w:val="MdTableCell"/>
              <w:jc w:val="left"/>
            </w:pPr>
            <w:r>
              <w:t xml:space="preserve">7</w:t>
            </w:r>
          </w:p>
        </w:tc>
        <w:tc>
          <w:tcPr>
            <w:tcMar>
              <w:top w:type="dxa" w:w="80"/>
              <w:left w:type="dxa" w:w="120"/>
              <w:bottom w:type="dxa" w:w="80"/>
              <w:right w:type="dxa" w:w="120"/>
            </w:tcMar>
            <w:vAlign w:val="center"/>
          </w:tcPr>
          <w:p>
            <w:pPr>
              <w:pStyle w:val="MdTableCell"/>
              <w:jc w:val="left"/>
            </w:pPr>
            <w:r>
              <w:t xml:space="preserve">42.86%</w:t>
            </w:r>
          </w:p>
        </w:tc>
        <w:tc>
          <w:tcPr>
            <w:tcBorders>
              <w:right w:val="none"/>
            </w:tcBorders>
            <w:tcMar>
              <w:top w:type="dxa" w:w="80"/>
              <w:left w:type="dxa" w:w="120"/>
              <w:bottom w:type="dxa" w:w="80"/>
              <w:right w:type="dxa" w:w="120"/>
            </w:tcMar>
            <w:vAlign w:val="center"/>
          </w:tcPr>
          <w:p>
            <w:pPr>
              <w:pStyle w:val="MdTableCell"/>
              <w:jc w:val="left"/>
            </w:pPr>
            <w:r>
              <w:t xml:space="preserve">0.17%</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7. 购买层 (Purchase)</w:t>
            </w:r>
          </w:p>
        </w:tc>
        <w:tc>
          <w:tcPr>
            <w:tcBorders>
              <w:bottom w:val="single" w:color="E1E4E8" w:sz="4"/>
            </w:tcBorders>
            <w:tcMar>
              <w:top w:type="dxa" w:w="80"/>
              <w:left w:type="dxa" w:w="120"/>
              <w:bottom w:type="dxa" w:w="80"/>
              <w:right w:type="dxa" w:w="120"/>
            </w:tcMar>
            <w:vAlign w:val="center"/>
          </w:tcPr>
          <w:p>
            <w:pPr>
              <w:pStyle w:val="MdTableCell"/>
              <w:jc w:val="left"/>
            </w:pPr>
            <w:r>
              <w:t xml:space="preserve">3</w:t>
            </w:r>
          </w:p>
        </w:tc>
        <w:tc>
          <w:tcPr>
            <w:tcBorders>
              <w:bottom w:val="single" w:color="E1E4E8" w:sz="4"/>
            </w:tcBorders>
            <w:tcMar>
              <w:top w:type="dxa" w:w="80"/>
              <w:left w:type="dxa" w:w="120"/>
              <w:bottom w:type="dxa" w:w="80"/>
              <w:right w:type="dxa" w:w="120"/>
            </w:tcMar>
            <w:vAlign w:val="center"/>
          </w:tcPr>
          <w:p>
            <w:pPr>
              <w:pStyle w:val="MdTableCell"/>
              <w:jc w:val="lef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0.07%</w:t>
            </w:r>
          </w:p>
        </w:tc>
      </w:tr>
    </w:tbl>
    <w:p>
      <w:pPr>
        <w:pStyle w:val="MdParagraph"/>
      </w:pPr>
      <w:r>
        <w:rPr>
          <w:rStyle w:val="MdStrong"/>
          <w:b/>
          <w:bCs/>
        </w:rPr>
        <w:t xml:space="preserve">数据洞察</w:t>
      </w:r>
      <w:r>
        <w:t xml:space="preserve">：</w:t>
      </w:r>
      <w:r>
        <w:br/>
        <w:t xml:space="preserve">最严重的流失发生在</w:t>
      </w:r>
      <w:r>
        <w:rPr>
          <w:rStyle w:val="MdStrong"/>
          <w:b/>
          <w:bCs/>
        </w:rPr>
        <w:t xml:space="preserve">拦截层到兴趣层</w:t>
      </w:r>
      <w:r>
        <w:t xml:space="preserve">（流失率约 80.9%）以及</w:t>
      </w:r>
      <w:r>
        <w:rPr>
          <w:rStyle w:val="MdStrong"/>
          <w:b/>
          <w:bCs/>
        </w:rPr>
        <w:t xml:space="preserve">兴趣层到互动层</w:t>
      </w:r>
      <w:r>
        <w:t xml:space="preserve">（流失率约 67.3%）。这表明，大量流量进入网站后，在确认年龄后并未产生对产品的深入兴趣，或者在产生初步兴趣后未能转化为有效的互动行为。</w:t>
      </w:r>
    </w:p>
    <w:p>
      <w:pPr>
        <w:pStyle w:val="MdSpace"/>
        <w:spacing w:before="0" w:after="60"/>
      </w:pPr>
    </w:p>
    <w:p>
      <w:pPr>
        <w:pStyle w:val="Heading3"/>
        <w:pStyle w:val="MdHeading3"/>
      </w:pPr>
      <w:r>
        <w:t xml:space="preserve">1.2 关键微观漏斗诊断</w:t>
      </w:r>
    </w:p>
    <w:p>
      <w:pPr>
        <w:pStyle w:val="MdParagraph"/>
      </w:pPr>
      <w:r>
        <w:t xml:space="preserve">除了宏观漏斗，几个关键的微观路径也暴露了具体的设计问题。</w:t>
      </w:r>
    </w:p>
    <w:p>
      <w:pPr>
        <w:pStyle w:val="MdSpace"/>
        <w:spacing w:before="0" w:after="60"/>
      </w:pPr>
    </w:p>
    <w:p>
      <w:pPr>
        <w:pStyle w:val="MdParagraph"/>
      </w:pPr>
      <w:r>
        <w:rPr>
          <w:rStyle w:val="MdStrong"/>
          <w:b/>
          <w:bCs/>
        </w:rPr>
        <w:t xml:space="preserve">年龄验证弹窗（Age Verification）</w:t>
      </w:r>
      <w:r>
        <w:t xml:space="preserve">：</w:t>
      </w:r>
    </w:p>
    <w:p>
      <w:pPr>
        <w:pStyle w:val="MdListItem"/>
        <w:numPr>
          <w:ilvl w:val="0"/>
          <w:numId w:val="2"/>
        </w:numPr>
      </w:pPr>
      <w:r>
        <w:t xml:space="preserve">弹窗展现：4,189 次</w:t>
      </w:r>
    </w:p>
    <w:p>
      <w:pPr>
        <w:pStyle w:val="MdListItem"/>
        <w:numPr>
          <w:ilvl w:val="0"/>
          <w:numId w:val="2"/>
        </w:numPr>
      </w:pPr>
      <w:r>
        <w:t xml:space="preserve">点击“Yes”：1,548 次</w:t>
      </w:r>
    </w:p>
    <w:p>
      <w:pPr>
        <w:pStyle w:val="MdListItem"/>
        <w:numPr>
          <w:ilvl w:val="0"/>
          <w:numId w:val="2"/>
        </w:numPr>
      </w:pPr>
      <w:r>
        <w:t xml:space="preserve">点击“No”：41 次</w:t>
      </w:r>
    </w:p>
    <w:p>
      <w:pPr>
        <w:pStyle w:val="MdListItem"/>
        <w:numPr>
          <w:ilvl w:val="0"/>
          <w:numId w:val="2"/>
        </w:numPr>
      </w:pPr>
      <w:r>
        <w:rPr>
          <w:rStyle w:val="MdStrong"/>
          <w:b/>
          <w:bCs/>
        </w:rPr>
        <w:t xml:space="preserve">流失洞察</w:t>
      </w:r>
      <w:r>
        <w:t xml:space="preserve">：大量用户在看到弹窗后直接跳出，未做任何选择。这不仅是年龄门槛，更是“信任门槛”。生硬的弹窗设计在用户建立信任前就强行索取确认，导致了极高的首屏跳出率。</w:t>
      </w:r>
    </w:p>
    <w:p>
      <w:pPr>
        <w:pStyle w:val="MdSpace"/>
        <w:spacing w:before="0" w:after="60"/>
      </w:pPr>
    </w:p>
    <w:p>
      <w:pPr>
        <w:pStyle w:val="MdParagraph"/>
      </w:pPr>
      <w:r>
        <w:rPr>
          <w:rStyle w:val="MdStrong"/>
          <w:b/>
          <w:bCs/>
        </w:rPr>
        <w:t xml:space="preserve">产品测试漏斗（Product Test）</w:t>
      </w:r>
      <w:r>
        <w:t xml:space="preserve">：</w:t>
      </w:r>
    </w:p>
    <w:p>
      <w:pPr>
        <w:pStyle w:val="MdListItem"/>
        <w:numPr>
          <w:ilvl w:val="0"/>
          <w:numId w:val="2"/>
        </w:numPr>
      </w:pPr>
      <w:r>
        <w:t xml:space="preserve">弹窗关闭：437 次</w:t>
      </w:r>
    </w:p>
    <w:p>
      <w:pPr>
        <w:pStyle w:val="MdListItem"/>
        <w:numPr>
          <w:ilvl w:val="0"/>
          <w:numId w:val="2"/>
        </w:numPr>
      </w:pPr>
      <w:r>
        <w:t xml:space="preserve">点击开始测试：44 次</w:t>
      </w:r>
    </w:p>
    <w:p>
      <w:pPr>
        <w:pStyle w:val="MdListItem"/>
        <w:numPr>
          <w:ilvl w:val="0"/>
          <w:numId w:val="2"/>
        </w:numPr>
      </w:pPr>
      <w:r>
        <w:rPr>
          <w:rStyle w:val="MdStrong"/>
          <w:b/>
          <w:bCs/>
        </w:rPr>
        <w:t xml:space="preserve">流失洞察</w:t>
      </w:r>
      <w:r>
        <w:t xml:space="preserve">：作为重要的导购工具，测试弹窗的关闭率极高。这说明当前的弹窗触发时机或文案缺乏吸引力，未能切中用户探索自身欲望的心理诉求，反而被视为干扰。</w:t>
      </w:r>
    </w:p>
    <w:p>
      <w:pPr>
        <w:pStyle w:val="MdSpace"/>
        <w:spacing w:before="0" w:after="60"/>
      </w:pPr>
    </w:p>
    <w:p>
      <w:pPr>
        <w:pStyle w:val="MdParagraph"/>
      </w:pPr>
      <w:r>
        <w:rPr>
          <w:rStyle w:val="MdStrong"/>
          <w:b/>
          <w:bCs/>
        </w:rPr>
        <w:t xml:space="preserve">页面访问时长与流量质量</w:t>
      </w:r>
      <w:r>
        <w:t xml:space="preserve">：</w:t>
      </w:r>
    </w:p>
    <w:p>
      <w:pPr>
        <w:pStyle w:val="MdListItem"/>
        <w:numPr>
          <w:ilvl w:val="0"/>
          <w:numId w:val="2"/>
        </w:numPr>
      </w:pPr>
      <w:r>
        <w:rPr>
          <w:rStyle w:val="MdStrong"/>
          <w:b/>
          <w:bCs/>
        </w:rPr>
        <w:t xml:space="preserve">广告流量 (Ads)</w:t>
      </w:r>
      <w:r>
        <w:t xml:space="preserve">：平均停留时长 155 秒，平均访问页数 4.5 页，转化极低。</w:t>
      </w:r>
    </w:p>
    <w:p>
      <w:pPr>
        <w:pStyle w:val="MdListItem"/>
        <w:numPr>
          <w:ilvl w:val="0"/>
          <w:numId w:val="2"/>
        </w:numPr>
      </w:pPr>
      <w:r>
        <w:rPr>
          <w:rStyle w:val="MdStrong"/>
          <w:b/>
          <w:bCs/>
        </w:rPr>
        <w:t xml:space="preserve">直接流量 (Direct)</w:t>
      </w:r>
      <w:r>
        <w:t xml:space="preserve">：平均停留时长 1991 秒，平均访问页数 23.9 页，贡献了主要购买。</w:t>
      </w:r>
    </w:p>
    <w:p>
      <w:pPr>
        <w:pStyle w:val="MdListItem"/>
        <w:numPr>
          <w:ilvl w:val="0"/>
          <w:numId w:val="2"/>
        </w:numPr>
      </w:pPr>
      <w:r>
        <w:rPr>
          <w:rStyle w:val="MdStrong"/>
          <w:b/>
          <w:bCs/>
        </w:rPr>
        <w:t xml:space="preserve">流失洞察</w:t>
      </w:r>
      <w:r>
        <w:t xml:space="preserve">：广告引流的用户落地后（主要集中在 </w:t>
      </w:r>
      <w:r>
        <w:rPr>
          <w:rStyle w:val="MdCode"/>
          <w:u w:val="single"/>
        </w:rPr>
        <w:t xml:space="preserve">/ai-sex-toys/1181025-deep-surge</w:t>
      </w:r>
      <w:r>
        <w:t xml:space="preserve"> 等产品页），由于缺乏足够的情感铺垫和信任构建，很难在短时间内做出购买决策，导致转化率远低于直接访问的忠实用户。</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二、 渐进式优化策略：以“情感共鸣”重塑转化路径</w:t>
      </w:r>
    </w:p>
    <w:p>
      <w:pPr>
        <w:pStyle w:val="MdParagraph"/>
      </w:pPr>
      <w:r>
        <w:t xml:space="preserve">结合女性向电商营销的“去男凝视角”原则与独立站“渐进式改造”方法论，我们不能仅靠修改按钮颜色来提升转化，而必须重构用户在路径中的心理体验。</w:t>
      </w:r>
    </w:p>
    <w:p>
      <w:pPr>
        <w:pStyle w:val="MdSpace"/>
        <w:spacing w:before="0" w:after="60"/>
      </w:pPr>
    </w:p>
    <w:p>
      <w:pPr>
        <w:pStyle w:val="Heading3"/>
        <w:pStyle w:val="MdHeading3"/>
      </w:pPr>
      <w:r>
        <w:t xml:space="preserve">阶段一：首屏破冰与信任重构（优化“拦截层”流失）</w:t>
      </w:r>
    </w:p>
    <w:p>
      <w:pPr>
        <w:pStyle w:val="MdParagraph"/>
      </w:pPr>
      <w:r>
        <w:t xml:space="preserve">当前用户在首页和产品页的首个动作是面对冰冷的“Are you 18 or older?”。对于女性用户而言，成人玩具的购买本就伴随心理防线，这种设计加剧了防备感。</w:t>
      </w:r>
    </w:p>
    <w:p>
      <w:pPr>
        <w:pStyle w:val="MdSpace"/>
        <w:spacing w:before="0" w:after="60"/>
      </w:pPr>
    </w:p>
    <w:p>
      <w:pPr>
        <w:pStyle w:val="MdParagraph"/>
      </w:pPr>
      <w:r>
        <w:rPr>
          <w:rStyle w:val="MdStrong"/>
          <w:b/>
          <w:bCs/>
        </w:rPr>
        <w:t xml:space="preserve">行动方案</w:t>
      </w:r>
      <w:r>
        <w:t xml:space="preserve">：</w:t>
      </w:r>
    </w:p>
    <w:p>
      <w:pPr>
        <w:pStyle w:val="MdListItem"/>
        <w:numPr>
          <w:ilvl w:val="0"/>
          <w:numId w:val="3"/>
        </w:numPr>
      </w:pPr>
      <w:r>
        <w:rPr>
          <w:rStyle w:val="MdStrong"/>
          <w:b/>
          <w:bCs/>
        </w:rPr>
        <w:t xml:space="preserve">柔化年龄验证</w:t>
      </w:r>
      <w:r>
        <w:t xml:space="preserve">：将生硬的系统级弹窗，改造为符合品牌调性的“欢迎仪式”。例如，使用模糊的、充满氛围感的背景，文案调整为：“CRAVE AI 致力于为成年人提供深度的感官探索。在开启您的私密旅程前，请确认您已满18岁。” </w:t>
      </w:r>
    </w:p>
    <w:p>
      <w:pPr>
        <w:pStyle w:val="MdListItem"/>
        <w:numPr>
          <w:ilvl w:val="0"/>
          <w:numId w:val="3"/>
        </w:numPr>
      </w:pPr>
      <w:r>
        <w:rPr>
          <w:rStyle w:val="MdStrong"/>
          <w:b/>
          <w:bCs/>
        </w:rPr>
        <w:t xml:space="preserve">落地页承接优化</w:t>
      </w:r>
      <w:r>
        <w:t xml:space="preserve">：广告流量大量落地于 </w:t>
      </w:r>
      <w:r>
        <w:rPr>
          <w:rStyle w:val="MdCode"/>
          <w:u w:val="single"/>
        </w:rPr>
        <w:t xml:space="preserve">Deep Surge</w:t>
      </w:r>
      <w:r>
        <w:t xml:space="preserve"> 等单品页。需在首屏（Hero Section）增加“信任背书”元素（如匿名用户评价、隐私保护承诺），并用“情绪化文案”替代“功能性参数”（如将“10-frequency peristalsis”弱化，强化“Unbind the body. Unwind the mind”的体验描述）。</w:t>
      </w:r>
    </w:p>
    <w:p>
      <w:pPr>
        <w:pStyle w:val="MdSpace"/>
        <w:spacing w:before="0" w:after="60"/>
      </w:pPr>
    </w:p>
    <w:p>
      <w:pPr>
        <w:pStyle w:val="Heading3"/>
        <w:pStyle w:val="MdHeading3"/>
      </w:pPr>
      <w:r>
        <w:t xml:space="preserve">阶段二：互动前置与欲望唤醒（优化“兴趣层”到“互动层”）</w:t>
      </w:r>
    </w:p>
    <w:p>
      <w:pPr>
        <w:pStyle w:val="MdParagraph"/>
      </w:pPr>
      <w:r>
        <w:t xml:space="preserve">产品测试（Product Test）原本是极佳的互动工具，但当前高达 90% 的关闭率说明其设计存在问题。</w:t>
      </w:r>
    </w:p>
    <w:p>
      <w:pPr>
        <w:pStyle w:val="MdSpace"/>
        <w:spacing w:before="0" w:after="60"/>
      </w:pPr>
    </w:p>
    <w:p>
      <w:pPr>
        <w:pStyle w:val="MdParagraph"/>
      </w:pPr>
      <w:r>
        <w:rPr>
          <w:rStyle w:val="MdStrong"/>
          <w:b/>
          <w:bCs/>
        </w:rPr>
        <w:t xml:space="preserve">行动方案</w:t>
      </w:r>
      <w:r>
        <w:t xml:space="preserve">：</w:t>
      </w:r>
    </w:p>
    <w:p>
      <w:pPr>
        <w:pStyle w:val="MdListItem"/>
        <w:numPr>
          <w:ilvl w:val="0"/>
          <w:numId w:val="3"/>
        </w:numPr>
      </w:pPr>
      <w:r>
        <w:rPr>
          <w:rStyle w:val="MdStrong"/>
          <w:b/>
          <w:bCs/>
        </w:rPr>
        <w:t xml:space="preserve">重构“欲望测试”入口</w:t>
      </w:r>
      <w:r>
        <w:t xml:space="preserve">：将测试弹窗从被动干扰改为主动探索。在产品详情页的中部（用户浏览功能时），以卡片形式自然嵌入：“不确定哪种体验适合你？花1分钟，让AI为你匹配专属的感官故事与设备。”</w:t>
      </w:r>
    </w:p>
    <w:p>
      <w:pPr>
        <w:pStyle w:val="MdListItem"/>
        <w:numPr>
          <w:ilvl w:val="0"/>
          <w:numId w:val="3"/>
        </w:numPr>
      </w:pPr>
      <w:r>
        <w:rPr>
          <w:rStyle w:val="MdStrong"/>
          <w:b/>
          <w:bCs/>
        </w:rPr>
        <w:t xml:space="preserve">测试过程游戏化</w:t>
      </w:r>
      <w:r>
        <w:t xml:space="preserve">：测试问题应从“你喜欢什么功能”转变为“欲望人格”的探索（如类似 MBTI 的测试），让用户在测试中获得情绪价值，最后自然引出产品推荐，降低推销感。</w:t>
      </w:r>
    </w:p>
    <w:p>
      <w:pPr>
        <w:pStyle w:val="MdSpace"/>
        <w:spacing w:before="0" w:after="60"/>
      </w:pPr>
    </w:p>
    <w:p>
      <w:pPr>
        <w:pStyle w:val="Heading3"/>
        <w:pStyle w:val="MdHeading3"/>
      </w:pPr>
      <w:r>
        <w:t xml:space="preserve">阶段三：内容驱动与场景种草（优化“互动层”到“购物车”）</w:t>
      </w:r>
    </w:p>
    <w:p>
      <w:pPr>
        <w:pStyle w:val="MdParagraph"/>
      </w:pPr>
      <w:r>
        <w:t xml:space="preserve">当前用户在 </w:t>
      </w:r>
      <w:r>
        <w:rPr>
          <w:rStyle w:val="MdCode"/>
          <w:u w:val="single"/>
        </w:rPr>
        <w:t xml:space="preserve">/scenarios/</w:t>
      </w:r>
      <w:r>
        <w:t xml:space="preserve">（故事场景）的停留时间较长，但故事页到购物车的转化路径不够顺畅。</w:t>
      </w:r>
    </w:p>
    <w:p>
      <w:pPr>
        <w:pStyle w:val="MdSpace"/>
        <w:spacing w:before="0" w:after="60"/>
      </w:pPr>
    </w:p>
    <w:p>
      <w:pPr>
        <w:pStyle w:val="MdParagraph"/>
      </w:pPr>
      <w:r>
        <w:rPr>
          <w:rStyle w:val="MdStrong"/>
          <w:b/>
          <w:bCs/>
        </w:rPr>
        <w:t xml:space="preserve">行动方案</w:t>
      </w:r>
      <w:r>
        <w:t xml:space="preserve">：</w:t>
      </w:r>
    </w:p>
    <w:p>
      <w:pPr>
        <w:pStyle w:val="MdListItem"/>
        <w:numPr>
          <w:ilvl w:val="0"/>
          <w:numId w:val="3"/>
        </w:numPr>
      </w:pPr>
      <w:r>
        <w:rPr>
          <w:rStyle w:val="MdStrong"/>
          <w:b/>
          <w:bCs/>
        </w:rPr>
        <w:t xml:space="preserve">故事与产品的强绑定</w:t>
      </w:r>
      <w:r>
        <w:t xml:space="preserve">：在阅读或收听 AI 故事的高潮部分（或页面底部），无缝植入对应产品的“场景化 CTA”。例如，在《Paranoid Lover's Return》故事旁，不直接写“Buy Now”，而是写“Unlock this sensation with Deep Surge（使用 Deep Surge 解锁这种触感）”。</w:t>
      </w:r>
    </w:p>
    <w:p>
      <w:pPr>
        <w:pStyle w:val="MdListItem"/>
        <w:numPr>
          <w:ilvl w:val="0"/>
          <w:numId w:val="3"/>
        </w:numPr>
      </w:pPr>
      <w:r>
        <w:rPr>
          <w:rStyle w:val="MdStrong"/>
          <w:b/>
          <w:bCs/>
        </w:rPr>
        <w:t xml:space="preserve">强化“软件+硬件”飞轮</w:t>
      </w:r>
      <w:r>
        <w:t xml:space="preserve">：在产品页（如 </w:t>
      </w:r>
      <w:r>
        <w:rPr>
          <w:rStyle w:val="MdCode"/>
          <w:u w:val="single"/>
        </w:rPr>
        <w:t xml:space="preserve">Deep Surge</w:t>
      </w:r>
      <w:r>
        <w:t xml:space="preserve">）突出“10,000+ 专属故事”的价值，让用户意识到购买硬件是获取无限内容的门票，提升产品附加值。</w:t>
      </w:r>
    </w:p>
    <w:p>
      <w:pPr>
        <w:pStyle w:val="MdSpace"/>
        <w:spacing w:before="0" w:after="60"/>
      </w:pPr>
    </w:p>
    <w:p>
      <w:pPr>
        <w:pStyle w:val="Heading3"/>
        <w:pStyle w:val="MdHeading3"/>
      </w:pPr>
      <w:r>
        <w:t xml:space="preserve">阶段四：消除决策摩擦（优化“购物车”到“购买层”）</w:t>
      </w:r>
    </w:p>
    <w:p>
      <w:pPr>
        <w:pStyle w:val="MdParagraph"/>
      </w:pPr>
      <w:r>
        <w:t xml:space="preserve">从购物车到最终付款，每多一个步骤都会导致流失。</w:t>
      </w:r>
    </w:p>
    <w:p>
      <w:pPr>
        <w:pStyle w:val="MdSpace"/>
        <w:spacing w:before="0" w:after="60"/>
      </w:pPr>
    </w:p>
    <w:p>
      <w:pPr>
        <w:pStyle w:val="MdParagraph"/>
      </w:pPr>
      <w:r>
        <w:rPr>
          <w:rStyle w:val="MdStrong"/>
          <w:b/>
          <w:bCs/>
        </w:rPr>
        <w:t xml:space="preserve">行动方案</w:t>
      </w:r>
      <w:r>
        <w:t xml:space="preserve">：</w:t>
      </w:r>
    </w:p>
    <w:p>
      <w:pPr>
        <w:pStyle w:val="MdListItem"/>
        <w:numPr>
          <w:ilvl w:val="0"/>
          <w:numId w:val="3"/>
        </w:numPr>
      </w:pPr>
      <w:r>
        <w:rPr>
          <w:rStyle w:val="MdStrong"/>
          <w:b/>
          <w:bCs/>
        </w:rPr>
        <w:t xml:space="preserve">强化隐私承诺</w:t>
      </w:r>
      <w:r>
        <w:t xml:space="preserve">：在购物车和结账页面，极其醒目地展示“DISCREET BOX（隐秘包装）”和“All orders are billed and shipped discreetly（账单与发货绝对保密）”的标识。这是女性购买成人玩具时最大的顾虑之一。</w:t>
      </w:r>
    </w:p>
    <w:p>
      <w:pPr>
        <w:pStyle w:val="MdListItem"/>
        <w:numPr>
          <w:ilvl w:val="0"/>
          <w:numId w:val="3"/>
        </w:numPr>
      </w:pPr>
      <w:r>
        <w:rPr>
          <w:rStyle w:val="MdStrong"/>
          <w:b/>
          <w:bCs/>
        </w:rPr>
        <w:t xml:space="preserve">简化购买流程</w:t>
      </w:r>
      <w:r>
        <w:t xml:space="preserve">：针对广告带来的冲动消费流量，提供“Guest Checkout（游客结账）”选项，并在结账页提供快捷支付方式（如 Apple Pay, Google Pay），减少表单填写。</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三、 强制自我反驳与风险提示</w:t>
      </w:r>
    </w:p>
    <w:p>
      <w:pPr>
        <w:pStyle w:val="MdParagraph"/>
      </w:pPr>
      <w:r>
        <w:t xml:space="preserve">在提出上述基于数据和转化逻辑的优化方案后，我们必须从品牌定位和长远发展的角度进行</w:t>
      </w:r>
      <w:r>
        <w:rPr>
          <w:rStyle w:val="MdStrong"/>
          <w:b/>
          <w:bCs/>
        </w:rPr>
        <w:t xml:space="preserve">强制自我反驳</w:t>
      </w:r>
      <w:r>
        <w:t xml:space="preserve">。</w:t>
      </w:r>
    </w:p>
    <w:p>
      <w:pPr>
        <w:pStyle w:val="MdSpace"/>
        <w:spacing w:before="0" w:after="60"/>
      </w:pPr>
    </w:p>
    <w:p>
      <w:pPr>
        <w:pStyle w:val="MdParagraph"/>
      </w:pPr>
      <w:r>
        <w:rPr>
          <w:rStyle w:val="MdStrong"/>
          <w:b/>
          <w:bCs/>
        </w:rPr>
        <w:t xml:space="preserve">反驳一：过度优化漏斗，可能损害品牌的高级感。</w:t>
      </w:r>
      <w:r>
        <w:t xml:space="preserve">
追求极致的转化率（如到处放置醒目的 CTA、急功近利的促销倒计时）往往带有强烈的“推销感”。对于主打“AI 陪伴”和“深层情感”的 CreviaTech 而言，如果页面显得过于急切地想要促成交易，反而会破坏品牌苦心营造的“安全、私密、懂你”的氛围，导致高价值用户的流失。</w:t>
      </w:r>
      <w:r>
        <w:rPr>
          <w:rStyle w:val="MdStrong"/>
          <w:b/>
          <w:bCs/>
        </w:rPr>
        <w:t xml:space="preserve">转化率不应以牺牲品牌格调为代价。</w:t>
      </w:r>
    </w:p>
    <w:p>
      <w:pPr>
        <w:pStyle w:val="MdSpace"/>
        <w:spacing w:before="0" w:after="60"/>
      </w:pPr>
    </w:p>
    <w:p>
      <w:pPr>
        <w:pStyle w:val="MdParagraph"/>
      </w:pPr>
      <w:r>
        <w:rPr>
          <w:rStyle w:val="MdStrong"/>
          <w:b/>
          <w:bCs/>
        </w:rPr>
        <w:t xml:space="preserve">反驳二：数据掩盖了真实的“非线性”购买决策。</w:t>
      </w:r>
      <w:r>
        <w:t xml:space="preserve">
漏斗模型假设用户是线性地从 A 走到 B 再走到 C。但成人玩具（特别是高客单价的 AI 硬件）的购买往往是非线性的。用户可能在广告中看到，产生兴趣，但因为羞耻感或环境不合适而离开；几天后通过直接搜索再次访问，阅读了几篇社区文章（如 </w:t>
      </w:r>
      <w:r>
        <w:rPr>
          <w:rStyle w:val="MdCode"/>
          <w:u w:val="single"/>
        </w:rPr>
        <w:t xml:space="preserve">/community</w:t>
      </w:r>
      <w:r>
        <w:t xml:space="preserve">），最后才下定决心购买。如果只盯着单次访问的漏斗转化，可能会错误地砍掉那些不直接产生转化但对建立信任至关重要的内容页面（如故事库和社区）。</w:t>
      </w:r>
      <w:r>
        <w:rPr>
          <w:rStyle w:val="MdStrong"/>
          <w:b/>
          <w:bCs/>
        </w:rPr>
        <w:t xml:space="preserve">我们需要建立跨周期的归因分析，而不是仅看单次 Session 的漏斗。</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四、 实施计划与迭代节奏</w:t>
      </w:r>
    </w:p>
    <w:p>
      <w:pPr>
        <w:pStyle w:val="MdParagraph"/>
      </w:pPr>
      <w:r>
        <w:t xml:space="preserve">为了落实渐进式优化，建议采用高频的小版本迭代：</w:t>
      </w:r>
    </w:p>
    <w:p>
      <w:pPr>
        <w:pStyle w:val="MdSpace"/>
        <w:spacing w:before="0" w:after="60"/>
      </w:pPr>
    </w:p>
    <w:p>
      <w:pPr>
        <w:pStyle w:val="MdListItem"/>
        <w:numPr>
          <w:ilvl w:val="0"/>
          <w:numId w:val="3"/>
        </w:numPr>
      </w:pPr>
      <w:r>
        <w:rPr>
          <w:rStyle w:val="MdStrong"/>
          <w:b/>
          <w:bCs/>
        </w:rPr>
        <w:t xml:space="preserve">第一周（快速止血）</w:t>
      </w:r>
      <w:r>
        <w:t xml:space="preserve">：</w:t>
      </w:r>
    </w:p>
    <w:p>
      <w:pPr>
        <w:pStyle w:val="MdListItem"/>
        <w:numPr>
          <w:ilvl w:val="1"/>
          <w:numId w:val="2"/>
        </w:numPr>
      </w:pPr>
      <w:r>
        <w:t xml:space="preserve">优化年龄验证弹窗的视觉与文案。</w:t>
      </w:r>
    </w:p>
    <w:p>
      <w:pPr>
        <w:pStyle w:val="MdListItem"/>
        <w:numPr>
          <w:ilvl w:val="1"/>
          <w:numId w:val="2"/>
        </w:numPr>
      </w:pPr>
      <w:r>
        <w:t xml:space="preserve">在产品详情页（特别是 </w:t>
      </w:r>
      <w:r>
        <w:rPr>
          <w:rStyle w:val="MdCode"/>
          <w:u w:val="single"/>
        </w:rPr>
        <w:t xml:space="preserve">Deep Surge</w:t>
      </w:r>
      <w:r>
        <w:t xml:space="preserve"> 和 </w:t>
      </w:r>
      <w:r>
        <w:rPr>
          <w:rStyle w:val="MdCode"/>
          <w:u w:val="single"/>
        </w:rPr>
        <w:t xml:space="preserve">Twin Pact</w:t>
      </w:r>
      <w:r>
        <w:t xml:space="preserve">）增加显眼的隐私保护和隐秘发货声明。</w:t>
      </w:r>
    </w:p>
    <w:p>
      <w:pPr>
        <w:pStyle w:val="MdListItem"/>
        <w:numPr>
          <w:ilvl w:val="0"/>
          <w:numId w:val="3"/>
        </w:numPr>
      </w:pPr>
      <w:r>
        <w:rPr>
          <w:rStyle w:val="MdStrong"/>
          <w:b/>
          <w:bCs/>
        </w:rPr>
        <w:t xml:space="preserve">第二周（重构互动）</w:t>
      </w:r>
      <w:r>
        <w:t xml:space="preserve">：</w:t>
      </w:r>
    </w:p>
    <w:p>
      <w:pPr>
        <w:pStyle w:val="MdListItem"/>
        <w:numPr>
          <w:ilvl w:val="1"/>
          <w:numId w:val="2"/>
        </w:numPr>
      </w:pPr>
      <w:r>
        <w:t xml:space="preserve">重新设计产品测试（Product Test）的触发机制和问卷逻辑，将其包装为“欲望探索”。</w:t>
      </w:r>
    </w:p>
    <w:p>
      <w:pPr>
        <w:pStyle w:val="MdListItem"/>
        <w:numPr>
          <w:ilvl w:val="1"/>
          <w:numId w:val="2"/>
        </w:numPr>
      </w:pPr>
      <w:r>
        <w:t xml:space="preserve">优化结账流程，确保移动端的快捷支付顺畅。</w:t>
      </w:r>
    </w:p>
    <w:p>
      <w:pPr>
        <w:pStyle w:val="MdListItem"/>
        <w:numPr>
          <w:ilvl w:val="0"/>
          <w:numId w:val="3"/>
        </w:numPr>
      </w:pPr>
      <w:r>
        <w:rPr>
          <w:rStyle w:val="MdStrong"/>
          <w:b/>
          <w:bCs/>
        </w:rPr>
        <w:t xml:space="preserve">第三周及以后（内容与硬件融合）</w:t>
      </w:r>
      <w:r>
        <w:t xml:space="preserve">：</w:t>
      </w:r>
    </w:p>
    <w:p>
      <w:pPr>
        <w:pStyle w:val="MdListItem"/>
        <w:numPr>
          <w:ilvl w:val="1"/>
          <w:numId w:val="2"/>
        </w:numPr>
      </w:pPr>
      <w:r>
        <w:t xml:space="preserve">在高访问量的故事页面（如 </w:t>
      </w:r>
      <w:r>
        <w:rPr>
          <w:rStyle w:val="MdCode"/>
          <w:u w:val="single"/>
        </w:rPr>
        <w:t xml:space="preserve">/scenarios/...</w:t>
      </w:r>
      <w:r>
        <w:t xml:space="preserve">）植入场景化、非推销式的产品 CTA。</w:t>
      </w:r>
    </w:p>
    <w:p>
      <w:pPr>
        <w:pStyle w:val="MdListItem"/>
        <w:numPr>
          <w:ilvl w:val="1"/>
          <w:numId w:val="2"/>
        </w:numPr>
      </w:pPr>
      <w:r>
        <w:t xml:space="preserve">持续监控 A/B 测试数据，根据反馈调整优化策略。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2026-03-16T11:59:13.772Z</dcterms:created>
  <dcterms:modified xsi:type="dcterms:W3CDTF">2026-03-16T11:59:13.772Z</dcterms:modified>
</cp:coreProperties>
</file>

<file path=docProps/custom.xml><?xml version="1.0" encoding="utf-8"?>
<Properties xmlns="http://schemas.openxmlformats.org/officeDocument/2006/custom-properties" xmlns:vt="http://schemas.openxmlformats.org/officeDocument/2006/docPropsVTypes"/>
</file>