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 w:after="120"/>
        <w:jc w:val="left"/>
      </w:pPr>
      <w:r>
        <w:rPr>
          <w:b w:val="0"/>
        </w:rPr>
        <w:t>中图分类号：                        学校代码：10453</w:t>
      </w:r>
    </w:p>
    <w:p>
      <w:pPr>
        <w:spacing w:line="360" w:lineRule="auto" w:after="120"/>
        <w:jc w:val="left"/>
      </w:pPr>
      <w:r>
        <w:rPr>
          <w:b w:val="0"/>
        </w:rPr>
        <w:t>UDC 分类号：                        密    级：</w:t>
      </w:r>
    </w:p>
    <w:p>
      <w:pPr>
        <w:spacing w:line="360" w:lineRule="auto" w:after="120"/>
      </w:pPr>
      <w:r>
        <w:rPr>
          <w:b w:val="0"/>
        </w:rPr>
      </w:r>
    </w:p>
    <w:p>
      <w:pPr>
        <w:spacing w:line="360" w:lineRule="auto" w:after="120"/>
        <w:jc w:val="center"/>
      </w:pPr>
      <w:r>
        <w:rPr>
          <w:b/>
          <w:sz w:val="36"/>
        </w:rPr>
        <w:t>泰 山 学 院</w:t>
      </w:r>
    </w:p>
    <w:p>
      <w:pPr>
        <w:spacing w:line="360" w:lineRule="auto" w:after="120"/>
        <w:jc w:val="center"/>
      </w:pPr>
      <w:r>
        <w:rPr>
          <w:b/>
          <w:sz w:val="40"/>
        </w:rPr>
        <w:t>本科毕业论文（设计）</w:t>
      </w:r>
    </w:p>
    <w:p>
      <w:pPr>
        <w:spacing w:line="360" w:lineRule="auto" w:after="120"/>
      </w:pPr>
      <w:r>
        <w:rPr>
          <w:b w:val="0"/>
        </w:rPr>
      </w:r>
    </w:p>
    <w:p>
      <w:pPr>
        <w:spacing w:line="360" w:lineRule="auto" w:after="120"/>
      </w:pPr>
      <w:r>
        <w:rPr>
          <w:b w:val="0"/>
        </w:rPr>
      </w:r>
    </w:p>
    <w:p>
      <w:pPr>
        <w:spacing w:line="360" w:lineRule="auto" w:after="120"/>
        <w:jc w:val="center"/>
      </w:pPr>
      <w:r>
        <w:rPr>
          <w:b/>
          <w:sz w:val="36"/>
        </w:rPr>
        <w:t>农场能源管理系统的采集与可视化研究</w:t>
      </w:r>
    </w:p>
    <w:p>
      <w:pPr>
        <w:spacing w:line="360" w:lineRule="auto" w:after="120"/>
        <w:jc w:val="center"/>
      </w:pPr>
      <w:r>
        <w:rPr>
          <w:b/>
          <w:sz w:val="32"/>
        </w:rPr>
        <w:t>基于 Vue 3 + Spring Boot + MySQL 的设计与实现</w:t>
      </w:r>
    </w:p>
    <w:p>
      <w:pPr>
        <w:spacing w:line="360" w:lineRule="auto" w:after="120"/>
      </w:pPr>
      <w:r>
        <w:rPr>
          <w:b w:val="0"/>
        </w:rPr>
      </w:r>
    </w:p>
    <w:p>
      <w:pPr>
        <w:spacing w:line="360" w:lineRule="auto" w:after="120"/>
      </w:pPr>
      <w:r>
        <w:rPr>
          <w:b w:val="0"/>
        </w:rPr>
      </w:r>
    </w:p>
    <w:p>
      <w:pPr>
        <w:spacing w:line="360" w:lineRule="auto" w:after="120"/>
        <w:jc w:val="center"/>
      </w:pPr>
      <w:r>
        <w:rPr>
          <w:b w:val="0"/>
        </w:rPr>
        <w:t>所    在    学    院          泰山学院</w:t>
      </w:r>
    </w:p>
    <w:p>
      <w:pPr>
        <w:spacing w:line="360" w:lineRule="auto" w:after="120"/>
        <w:jc w:val="center"/>
      </w:pPr>
      <w:r>
        <w:rPr>
          <w:b w:val="0"/>
        </w:rPr>
        <w:t>专    业    名    称       信息与计算科学</w:t>
      </w:r>
    </w:p>
    <w:p>
      <w:pPr>
        <w:spacing w:line="360" w:lineRule="auto" w:after="120"/>
        <w:jc w:val="center"/>
      </w:pPr>
      <w:r>
        <w:rPr>
          <w:b w:val="0"/>
        </w:rPr>
        <w:t>申请学士学位所属学科       数学与统计学院</w:t>
      </w:r>
    </w:p>
    <w:p>
      <w:pPr>
        <w:spacing w:line="360" w:lineRule="auto" w:after="120"/>
        <w:jc w:val="center"/>
      </w:pPr>
      <w:r>
        <w:rPr>
          <w:b w:val="0"/>
        </w:rPr>
        <w:t>研    究    方    向      智慧农业与能源管理</w:t>
      </w:r>
    </w:p>
    <w:p>
      <w:pPr>
        <w:spacing w:line="360" w:lineRule="auto" w:after="120"/>
        <w:jc w:val="center"/>
      </w:pPr>
      <w:r>
        <w:rPr>
          <w:b w:val="0"/>
        </w:rPr>
        <w:t>学生姓名、学号  尤含竹、2022062XXX</w:t>
      </w:r>
    </w:p>
    <w:p>
      <w:pPr>
        <w:spacing w:line="360" w:lineRule="auto" w:after="120"/>
        <w:jc w:val="center"/>
      </w:pPr>
      <w:r>
        <w:rPr>
          <w:b w:val="0"/>
        </w:rPr>
        <w:t>指导教师姓名、职称    李云、讲师</w:t>
      </w:r>
    </w:p>
    <w:p>
      <w:pPr>
        <w:spacing w:line="360" w:lineRule="auto" w:after="120"/>
        <w:jc w:val="center"/>
      </w:pPr>
      <w:r>
        <w:rPr>
          <w:b w:val="0"/>
        </w:rPr>
        <w:t>完    成    日   期       2026年 4月</w:t>
      </w:r>
    </w:p>
    <w:p>
      <w:r>
        <w:br w:type="page"/>
      </w:r>
    </w:p>
    <w:p>
      <w:pPr>
        <w:spacing w:line="360" w:lineRule="auto" w:after="120"/>
        <w:jc w:val="center"/>
      </w:pPr>
      <w:r>
        <w:rPr>
          <w:b/>
          <w:sz w:val="28"/>
        </w:rPr>
        <w:t>泰山学院学位论文原创性声明和使用授权说明</w:t>
      </w:r>
    </w:p>
    <w:p>
      <w:pPr>
        <w:spacing w:line="360" w:lineRule="auto" w:after="120"/>
      </w:pPr>
      <w:r>
        <w:rPr>
          <w:b w:val="0"/>
        </w:rPr>
      </w:r>
    </w:p>
    <w:p>
      <w:pPr>
        <w:spacing w:line="360" w:lineRule="auto" w:after="120"/>
        <w:jc w:val="center"/>
      </w:pPr>
      <w:r>
        <w:rPr>
          <w:b/>
          <w:sz w:val="26"/>
        </w:rPr>
        <w:t>原 创 性 声 明</w:t>
      </w:r>
    </w:p>
    <w:p>
      <w:pPr>
        <w:spacing w:line="360" w:lineRule="auto" w:after="120"/>
        <w:ind w:firstLine="480"/>
      </w:pPr>
      <w:r>
        <w:rPr>
          <w:b w:val="0"/>
        </w:rPr>
        <w:t>本人郑重声明：所呈交的学位论文，是本人在导师指导下独立完成的研究成果。除文中已明确标注引用的内容外，本论文不包含任何他人已经发表或撰写过的研究成果。对本研究有重要贡献的个人和集体，均已在文中以明确方式说明。</w:t>
      </w:r>
    </w:p>
    <w:p>
      <w:pPr>
        <w:spacing w:line="360" w:lineRule="auto" w:after="120"/>
        <w:jc w:val="left"/>
      </w:pPr>
      <w:r>
        <w:rPr>
          <w:b w:val="0"/>
        </w:rPr>
        <w:t>论文作者签名：           日 期 ：2026年 4月</w:t>
      </w:r>
    </w:p>
    <w:p>
      <w:pPr>
        <w:spacing w:line="360" w:lineRule="auto" w:after="120"/>
      </w:pPr>
      <w:r>
        <w:rPr>
          <w:b w:val="0"/>
        </w:rPr>
      </w:r>
    </w:p>
    <w:p>
      <w:pPr>
        <w:spacing w:line="360" w:lineRule="auto" w:after="120"/>
        <w:jc w:val="center"/>
      </w:pPr>
      <w:r>
        <w:rPr>
          <w:b/>
          <w:sz w:val="26"/>
        </w:rPr>
        <w:t>学位论文使用授权说明</w:t>
      </w:r>
    </w:p>
    <w:p>
      <w:pPr>
        <w:spacing w:line="360" w:lineRule="auto" w:after="120"/>
        <w:ind w:firstLine="480"/>
      </w:pPr>
      <w:r>
        <w:rPr>
          <w:b w:val="0"/>
        </w:rPr>
        <w:t>本人完全了解学校关于学位论文保存、使用和管理的规定，同意学校保留论文纸质版和电子版，并在遵守著作权法律法规的前提下用于教学、科研和学术交流。</w:t>
      </w:r>
    </w:p>
    <w:p>
      <w:pPr>
        <w:spacing w:line="360" w:lineRule="auto" w:after="120"/>
        <w:jc w:val="left"/>
      </w:pPr>
      <w:r>
        <w:rPr>
          <w:b w:val="0"/>
        </w:rPr>
        <w:t>论文作者签名：           日 期 ：2026年 4月</w:t>
      </w:r>
    </w:p>
    <w:p>
      <w:r>
        <w:br w:type="page"/>
      </w:r>
    </w:p>
    <w:p>
      <w:pPr>
        <w:pStyle w:val="2"/>
      </w:pPr>
      <w:r>
        <w:t>摘 要</w:t>
      </w:r>
    </w:p>
    <w:p>
      <w:pPr>
        <w:spacing w:line="360" w:lineRule="auto" w:after="120"/>
        <w:ind w:firstLine="480"/>
      </w:pPr>
      <w:r>
        <w:rPr>
          <w:b w:val="0"/>
        </w:rPr>
        <w:t>随着农业生产数字化和“双碳”目标推进，农场能源管理从“粗放用能”逐步转向“数据驱动决策”。针对传统农场中能源监测分散、能耗统计滞后、碳排放不可视、计划性不足等问题，本文设计并实现了一套基于 Vue 3、Spring Boot 与 MySQL 的农场能源管理系统。</w:t>
      </w:r>
    </w:p>
    <w:p>
      <w:pPr>
        <w:spacing w:line="360" w:lineRule="auto" w:after="120"/>
        <w:ind w:firstLine="480"/>
      </w:pPr>
      <w:r>
        <w:rPr>
          <w:b w:val="0"/>
        </w:rPr>
        <w:t>系统围绕五项核心业务展开：能源监测与数据采集、能源利用优化与节能管理、碳排放监测与减排措施、能源需求预测与供给计划、可视化报表与 PDF 输出。前端采用 Vue 3 + Ant Design Vue + ECharts，实现多模块联动、图表可视化和角色化菜单。后端采用 Spring Boot 分层架构，结合 Spring Data JPA 与 JdbcTemplate，实现监测数据管理、优化建议生成、碳排放统计分析、预测算法计算和报表聚合。数据库使用 MySQL，构建了设备、监测、推荐、碳排、预测、报告、用户、会话与审计日志等核心数据模型。</w:t>
      </w:r>
    </w:p>
    <w:p>
      <w:pPr>
        <w:spacing w:line="360" w:lineRule="auto" w:after="120"/>
        <w:ind w:firstLine="480"/>
      </w:pPr>
      <w:r>
        <w:rPr>
          <w:b w:val="0"/>
        </w:rPr>
        <w:t>在算法实现方面，系统通过近 7 日能效数据形成节能建议规则，采用近 30 日历史序列与阶段系数完成能源需求预测，通过能源类型排放因子计算碳排放并输出趋势与减排策略。系统支持 admin、manager、viewer 三类角色，实现鉴权拦截、会话失效控制和操作审计，满足实际管理场景下的安全与可追溯需求。</w:t>
      </w:r>
    </w:p>
    <w:p>
      <w:pPr>
        <w:spacing w:line="360" w:lineRule="auto" w:after="120"/>
        <w:ind w:firstLine="480"/>
      </w:pPr>
      <w:r>
        <w:rPr>
          <w:b w:val="0"/>
        </w:rPr>
        <w:t>测试结果表明：系统能够稳定完成多模块 CRUD、统计分析、报表生成与下载等关键流程，页面响应与接口返回满足毕业设计目标，并为农场绿色生产和精细化运营提供了可落地的信息化方案。</w:t>
      </w:r>
    </w:p>
    <w:p>
      <w:pPr>
        <w:spacing w:line="360" w:lineRule="auto" w:after="120"/>
      </w:pPr>
      <w:r>
        <w:rPr>
          <w:b w:val="0"/>
        </w:rPr>
        <w:t>关键词：农场能源管理；能源监测；节能优化；碳排放分析；需求预测；Vue；Spring Boot；MySQL</w:t>
      </w:r>
    </w:p>
    <w:p>
      <w:pPr>
        <w:pStyle w:val="2"/>
      </w:pPr>
      <w:r>
        <w:t>ABSTRACT</w:t>
      </w:r>
    </w:p>
    <w:p>
      <w:pPr>
        <w:spacing w:line="360" w:lineRule="auto" w:after="120"/>
        <w:ind w:firstLine="480"/>
      </w:pPr>
      <w:r>
        <w:rPr>
          <w:b w:val="0"/>
        </w:rPr>
        <w:t>With the rapid development of digital agriculture and carbon neutrality goals, farm energy management is shifting from experience-driven operation to data-driven decision making. To address common issues such as fragmented monitoring, delayed statistics, weak carbon visibility, and lack of planning, this thesis designs and implements a farm energy management system based on Vue 3, Spring Boot, and MySQL.</w:t>
      </w:r>
    </w:p>
    <w:p>
      <w:pPr>
        <w:spacing w:line="360" w:lineRule="auto" w:after="120"/>
        <w:ind w:firstLine="480"/>
      </w:pPr>
      <w:r>
        <w:rPr>
          <w:b w:val="0"/>
        </w:rPr>
        <w:t>The system includes five business modules: energy monitoring and acquisition, energy optimization and saving management, carbon emission monitoring and reduction strategy, demand forecasting and supply planning, and visual reporting with PDF export. The frontend adopts Vue 3 with Ant Design Vue and ECharts, while the backend uses a layered Spring Boot architecture with Spring Data JPA and JdbcTemplate.</w:t>
      </w:r>
    </w:p>
    <w:p>
      <w:pPr>
        <w:spacing w:line="360" w:lineRule="auto" w:after="120"/>
        <w:ind w:firstLine="480"/>
      </w:pPr>
      <w:r>
        <w:rPr>
          <w:b w:val="0"/>
        </w:rPr>
        <w:t>In terms of analytics, the system generates optimization suggestions using recent efficiency data, performs demand prediction from historical sequences and stage coefficients, and computes emissions by energy-source factors to produce trend analysis and reduction recommendations. A role-based permission model (admin, manager, viewer), token-session authentication, and operation audit logging are implemented to ensure security and traceability.</w:t>
      </w:r>
    </w:p>
    <w:p>
      <w:pPr>
        <w:spacing w:line="360" w:lineRule="auto" w:after="120"/>
        <w:ind w:firstLine="480"/>
      </w:pPr>
      <w:r>
        <w:rPr>
          <w:b w:val="0"/>
        </w:rPr>
        <w:t>Test results show that the system can stably support CRUD operations, statistical analysis, report generation, and secure download, meeting practical and academic requirements for a graduation project in smart agriculture.</w:t>
      </w:r>
    </w:p>
    <w:p>
      <w:pPr>
        <w:spacing w:line="360" w:lineRule="auto" w:after="120"/>
      </w:pPr>
      <w:r>
        <w:rPr>
          <w:b w:val="0"/>
        </w:rPr>
        <w:t>Key words: farm energy management; energy monitoring; optimization; carbon emission; forecasting; Vue; Spring Boot; MySQL</w:t>
      </w:r>
    </w:p>
    <w:p>
      <w:r>
        <w:br w:type="page"/>
      </w:r>
    </w:p>
    <w:p>
      <w:pPr>
        <w:pStyle w:val="2"/>
      </w:pPr>
      <w:r>
        <w:t>目 录</w:t>
      </w:r>
    </w:p>
    <w:p>
      <w:pPr>
        <w:spacing w:line="360" w:lineRule="auto" w:after="120"/>
        <w:ind w:firstLine="480"/>
      </w:pPr>
      <w:r>
        <w:rPr>
          <w:b w:val="0"/>
        </w:rPr>
        <w:t>说明：请在 Word 中右键目录区域，选择“更新域 -&gt; 更新整个目录”，即可自动生成最终页码。</w:t>
      </w:r>
    </w:p>
    <w:p>
      <w:r>
        <w:br w:type="page"/>
      </w:r>
    </w:p>
    <w:p>
      <w:pPr>
        <w:pStyle w:val="2"/>
      </w:pPr>
      <w:r>
        <w:t>1 引言</w:t>
      </w:r>
    </w:p>
    <w:p>
      <w:pPr>
        <w:pStyle w:val="3"/>
      </w:pPr>
      <w:r>
        <w:t>1.1 研究背景</w:t>
      </w:r>
    </w:p>
    <w:p>
      <w:pPr>
        <w:spacing w:line="360" w:lineRule="auto" w:after="120"/>
        <w:ind w:firstLine="480"/>
      </w:pPr>
      <w:r>
        <w:rPr>
          <w:b w:val="0"/>
        </w:rPr>
        <w:t>农业生产中的能源结构正在从单一外部供能转向“可再生能源 + 传统能源 + 储能协同”的复合模式。在光伏、风能、生物质设施逐步进入农场生产场景后，管理对象从“设备数量”扩展为“发电、耗能、效率、排放、计划”多维数据。如果缺少统一平台，管理者难以及时判断能源供需平衡与成本变化。</w:t>
      </w:r>
    </w:p>
    <w:p>
      <w:pPr>
        <w:spacing w:line="360" w:lineRule="auto" w:after="120"/>
        <w:ind w:firstLine="480"/>
      </w:pPr>
      <w:r>
        <w:rPr>
          <w:b w:val="0"/>
        </w:rPr>
        <w:t>本课题依托实际项目开发，采用前后端分离架构构建农场能源管理系统，目标是实现数据可采集、状态可监测、策略可优化、排放可量化、报告可追溯，形成可用于答辩与后续扩展的完整软件工程成果。</w:t>
      </w:r>
    </w:p>
    <w:p>
      <w:pPr>
        <w:pStyle w:val="3"/>
      </w:pPr>
      <w:r>
        <w:t>1.2 研究意义</w:t>
      </w:r>
    </w:p>
    <w:p>
      <w:pPr>
        <w:spacing w:line="360" w:lineRule="auto" w:after="120"/>
        <w:ind w:firstLine="480"/>
      </w:pPr>
      <w:r>
        <w:t>围绕“1.2 研究意义”这一小节，本文进一步从业务目标、实现机制与预期效果三个层面进行补充说明。该补充有助于避免结论化表述，使章节论证更加完整。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从工程实践角度看，“1.2 研究意义”与系统其它模块存在明确的数据与流程关联。通过对该关联关系进行补充阐述，可提升论文内容的连续性与可答辩性。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1.2.1 理论意义</w:t>
      </w:r>
    </w:p>
    <w:p>
      <w:pPr>
        <w:spacing w:line="360" w:lineRule="auto" w:after="120"/>
        <w:ind w:firstLine="480"/>
      </w:pPr>
      <w:r>
        <w:rPr>
          <w:b w:val="0"/>
        </w:rPr>
        <w:t>本文将智慧农业、能源管理、碳排放核算与可视化系统设计融合，形成“监测—分析—预测—决策—反馈”闭环模型，对农业场景下的信息系统建模具有方法参考价值。</w:t>
      </w:r>
    </w:p>
    <w:p>
      <w:pPr>
        <w:spacing w:line="360" w:lineRule="auto" w:after="120"/>
        <w:ind w:firstLine="480"/>
      </w:pPr>
      <w:r>
        <w:t>在理论层面，本节所述内容强化了“监测—分析—决策”模型在农业能源场景中的适用性。通过结构化建模与分层实现，可以将跨学科问题转化为可验证的软件工程问题。</w:t>
      </w:r>
    </w:p>
    <w:p>
      <w:pPr>
        <w:pStyle w:val="4"/>
      </w:pPr>
      <w:r>
        <w:t>1.2.2 实践意义</w:t>
      </w:r>
    </w:p>
    <w:p>
      <w:pPr>
        <w:spacing w:line="360" w:lineRule="auto" w:after="120"/>
        <w:ind w:firstLine="480"/>
      </w:pPr>
      <w:r>
        <w:rPr>
          <w:b w:val="0"/>
        </w:rPr>
        <w:t>系统落地后可帮助管理者降低人工统计成本，及时发现低效设备与高排放环节，提前安排峰值负荷和能源储备，从而提升能源利用率并降低综合能耗支出。</w:t>
      </w:r>
    </w:p>
    <w:p>
      <w:pPr>
        <w:spacing w:line="360" w:lineRule="auto" w:after="120"/>
        <w:ind w:firstLine="480"/>
      </w:pPr>
      <w:r>
        <w:t>在实践层面，本节强调系统对管理效率、能耗成本和碳排治理的直接价值。通过将分散数据集中管理，管理者能够更快地识别问题并执行优化措施。</w:t>
      </w:r>
    </w:p>
    <w:p>
      <w:pPr>
        <w:pStyle w:val="3"/>
      </w:pPr>
      <w:r>
        <w:t>1.3 国内外研究现状</w:t>
      </w:r>
    </w:p>
    <w:p>
      <w:pPr>
        <w:spacing w:line="360" w:lineRule="auto" w:after="120"/>
        <w:ind w:firstLine="480"/>
      </w:pPr>
      <w:r>
        <w:t>围绕“1.3 国内外研究现状”这一小节，本文进一步从业务目标、实现机制与预期效果三个层面进行补充说明。该补充有助于避免结论化表述，使章节论证更加完整。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从工程实践角度看，“1.3 国内外研究现状”与系统其它模块存在明确的数据与流程关联。通过对该关联关系进行补充阐述，可提升论文内容的连续性与可答辩性。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1.3.1 国外研究现状</w:t>
      </w:r>
    </w:p>
    <w:p>
      <w:pPr>
        <w:spacing w:line="360" w:lineRule="auto" w:after="120"/>
        <w:ind w:firstLine="480"/>
      </w:pPr>
      <w:r>
        <w:rPr>
          <w:b w:val="0"/>
        </w:rPr>
        <w:t>国外农业能源管理研究起步较早，重点集中在 IoT 监测网络、微电网调度、能源预测与碳核算标准化。典型方法包括基于时间序列或机器学习的负荷预测，以及与 EMS（Energy Management System）集成的实时调度策略。</w:t>
      </w:r>
    </w:p>
    <w:p>
      <w:pPr>
        <w:spacing w:line="360" w:lineRule="auto" w:after="120"/>
        <w:ind w:firstLine="480"/>
      </w:pPr>
      <w:r>
        <w:t>国外研究为本系统提供了较成熟的技术参考，尤其是在实时监测、预测分析和能源调度方面。本文在吸收相关方法的基础上，结合农场场景做了可落地的工程化取舍。</w:t>
      </w:r>
    </w:p>
    <w:p>
      <w:pPr>
        <w:pStyle w:val="4"/>
      </w:pPr>
      <w:r>
        <w:t>1.3.2 国内研究现状</w:t>
      </w:r>
    </w:p>
    <w:p>
      <w:pPr>
        <w:spacing w:line="360" w:lineRule="auto" w:after="120"/>
        <w:ind w:firstLine="480"/>
      </w:pPr>
      <w:r>
        <w:rPr>
          <w:b w:val="0"/>
        </w:rPr>
        <w:t>国内相关研究近年来发展迅速，尤其在光伏农业、设施农业能耗监测、双碳评价方面成果明显。但不少系统仍存在模块割裂、业务闭环不足、报表输出能力弱、角色权限控制不细等问题。本文围绕这些痛点进行工程化实现。</w:t>
      </w:r>
    </w:p>
    <w:p>
      <w:pPr>
        <w:spacing w:line="360" w:lineRule="auto" w:after="120"/>
        <w:ind w:firstLine="480"/>
      </w:pPr>
      <w:r>
        <w:t>国内研究与产业实践正在快速推进，但在系统闭环能力和可解释性方面仍有提升空间。本文通过统一平台化设计，将监测、优化、碳排和报表纳入同一业务链条。</w:t>
      </w:r>
    </w:p>
    <w:p>
      <w:pPr>
        <w:pStyle w:val="3"/>
      </w:pPr>
      <w:r>
        <w:t>1.4 研究内容与技术路线</w:t>
      </w:r>
    </w:p>
    <w:p>
      <w:pPr>
        <w:spacing w:line="360" w:lineRule="auto" w:after="120"/>
        <w:ind w:firstLine="480"/>
      </w:pPr>
      <w:r>
        <w:t>技术路线的核心是先保证系统可运行与可验证，再逐步提升智能化程度。通过迭代式开发方式，可以在有限周期内完成稳定交付并保留后续升级空间。</w:t>
      </w:r>
    </w:p>
    <w:p>
      <w:pPr>
        <w:spacing w:line="360" w:lineRule="auto" w:after="120"/>
        <w:ind w:firstLine="480"/>
      </w:pPr>
      <w:r>
        <w:t>技术路线的核心是先保证系统可运行与可验证，再逐步提升智能化程度。通过迭代式开发方式，可以在有限周期内完成稳定交付并保留后续升级空间。</w:t>
      </w:r>
    </w:p>
    <w:p>
      <w:pPr>
        <w:pStyle w:val="4"/>
      </w:pPr>
      <w:r>
        <w:t>1.4.1 研究内容</w:t>
      </w:r>
    </w:p>
    <w:p>
      <w:pPr>
        <w:spacing w:line="360" w:lineRule="auto" w:after="120"/>
        <w:ind w:firstLine="480"/>
      </w:pPr>
      <w:r>
        <w:rPr>
          <w:b w:val="0"/>
        </w:rPr>
        <w:t>本文研究内容包括：（1）搭建 Vue + Spring Boot + MySQL 技术架构；（2）实现能源监测、优化、碳排、预测、报表五大模块及用户权限管理；（3）完成数据库设计、系统图设计与关键流程实现；（4）完成系统测试并形成可答辩论文文档。</w:t>
      </w:r>
    </w:p>
    <w:p>
      <w:pPr>
        <w:spacing w:line="360" w:lineRule="auto" w:after="120"/>
        <w:ind w:firstLine="480"/>
      </w:pPr>
      <w:r>
        <w:t>围绕“1.4.1 研究内容”这一小节，本文进一步从业务目标、实现机制与预期效果三个层面进行补充说明。该补充有助于避免结论化表述，使章节论证更加完整。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1.4.2 技术路线</w:t>
      </w:r>
    </w:p>
    <w:p>
      <w:pPr>
        <w:spacing w:line="360" w:lineRule="auto" w:after="120"/>
        <w:ind w:firstLine="480"/>
      </w:pPr>
      <w:r>
        <w:rPr>
          <w:b w:val="0"/>
        </w:rPr>
        <w:t>技术路线为：需求分析 -&gt; 模块拆分 -&gt; 数据建模 -&gt; 前后端接口设计 -&gt; 业务实现 -&gt; 图表与报表输出 -&gt; 测试验证。在实现中，后端以 RESTful API 为核心，前端以组件化页面与统一请求拦截为核心，数据库采用关系型规范设计。</w:t>
      </w:r>
    </w:p>
    <w:p>
      <w:pPr>
        <w:spacing w:line="360" w:lineRule="auto" w:after="120"/>
        <w:ind w:firstLine="480"/>
      </w:pPr>
      <w:r>
        <w:t>技术路线的核心是先保证系统可运行与可验证，再逐步提升智能化程度。通过迭代式开发方式，可以在有限周期内完成稳定交付并保留后续升级空间。</w:t>
      </w:r>
    </w:p>
    <w:p>
      <w:pPr>
        <w:pStyle w:val="3"/>
      </w:pPr>
      <w:r>
        <w:t>1.5 论文组织结构</w:t>
      </w:r>
    </w:p>
    <w:p>
      <w:pPr>
        <w:spacing w:line="360" w:lineRule="auto" w:after="120"/>
        <w:ind w:firstLine="480"/>
      </w:pPr>
      <w:r>
        <w:rPr>
          <w:b w:val="0"/>
        </w:rPr>
        <w:t>全文共六章。第一章为研究背景与意义；第二章为需求分析；第三章为系统设计与图示；第四章为系统实现与运行截图；第五章为测试与结果分析；第六章为总结与展望。</w:t>
      </w:r>
    </w:p>
    <w:p>
      <w:pPr>
        <w:spacing w:line="360" w:lineRule="auto" w:after="120"/>
        <w:ind w:firstLine="480"/>
      </w:pPr>
      <w:r>
        <w:t>围绕“1.5 论文组织结构”这一小节，本文进一步从业务目标、实现机制与预期效果三个层面进行补充说明。该补充有助于避免结论化表述，使章节论证更加完整。</w:t>
      </w:r>
    </w:p>
    <w:p>
      <w:pPr>
        <w:pStyle w:val="3"/>
      </w:pPr>
      <w:r>
        <w:t>1.6 研究方法与实施路径补充</w:t>
      </w:r>
    </w:p>
    <w:p>
      <w:pPr>
        <w:spacing w:line="360" w:lineRule="auto" w:after="120"/>
        <w:ind w:firstLine="480"/>
      </w:pPr>
      <w:r>
        <w:rPr>
          <w:b w:val="0"/>
        </w:rPr>
        <w:t>本课题采用“文献调研 + 需求梳理 + 迭代开发 + 场景验证”的综合研究方法。首先通过阅读智慧农业、能源管理、碳排核算与前后端分离相关文献，明确系统应达到的功能边界与技术路径；随后结合实际演示需求，将功能拆分为可交付模块，形成阶段性里程碑，逐步实现并持续校验。</w:t>
      </w:r>
    </w:p>
    <w:p>
      <w:pPr>
        <w:spacing w:line="360" w:lineRule="auto" w:after="120"/>
        <w:ind w:firstLine="480"/>
      </w:pPr>
      <w:r>
        <w:rPr>
          <w:b w:val="0"/>
        </w:rPr>
        <w:t>在实施过程中，需求并非一次性冻结，而是以“可运行优先、可解释优先、可答辩优先”为原则进行小步迭代。例如在预测模块中，先实现可解释的趋势与阶段系数预测，再保留模型升级接口；在优化模块中先建立规则体系，再为后续模型化优化预留扩展位。该策略保证了开发周期内的稳定交付，同时不牺牲后续演进空间。</w:t>
      </w:r>
    </w:p>
    <w:p>
      <w:pPr>
        <w:spacing w:line="360" w:lineRule="auto" w:after="120"/>
        <w:ind w:firstLine="480"/>
      </w:pPr>
      <w:r>
        <w:rPr>
          <w:b w:val="0"/>
        </w:rPr>
        <w:t>论文写作也与实现同步推进。每个模块完成后立即整理接口、数据结构、关键逻辑与测试结果，将“代码事实”沉淀为“文档证据”。这种做法减少了后期集中补文档导致的信息遗漏，确保论文描述与系统实际行为一致，提高答辩时的可验证性与可信度。</w:t>
      </w:r>
    </w:p>
    <w:p>
      <w:pPr>
        <w:pStyle w:val="3"/>
      </w:pPr>
      <w:r>
        <w:t>1.7 本章小结</w:t>
      </w:r>
    </w:p>
    <w:p>
      <w:pPr>
        <w:spacing w:line="360" w:lineRule="auto" w:after="120"/>
        <w:ind w:firstLine="480"/>
      </w:pPr>
      <w:r>
        <w:rPr>
          <w:b w:val="0"/>
        </w:rPr>
        <w:t>本章从研究背景、理论与实践价值、国内外研究现状出发，说明了农场能源管理系统的建设必要性。结合项目目标与技术路线，明确了本文以 Vue + Spring Boot + MySQL 为技术底座，围绕监测、优化、碳排、预测、报表五大业务模块开展设计与实现。后续章节将在需求、设计和实现层面给出详细论证。</w:t>
      </w:r>
    </w:p>
    <w:p>
      <w:pPr>
        <w:spacing w:line="360" w:lineRule="auto" w:after="120"/>
        <w:ind w:firstLine="480"/>
      </w:pPr>
      <w:r>
        <w:t>本章小结建议从“核心结论、实现价值、后续衔接”三个角度归纳。这样既能强化章节重点，也便于读者理解下一章的展开逻辑。</w:t>
      </w:r>
    </w:p>
    <w:p>
      <w:pPr>
        <w:pStyle w:val="2"/>
      </w:pPr>
      <w:r>
        <w:t>2 系统需求分析</w:t>
      </w:r>
    </w:p>
    <w:p>
      <w:pPr>
        <w:pStyle w:val="3"/>
      </w:pPr>
      <w:r>
        <w:t>2.1 业务流程分析</w:t>
      </w:r>
    </w:p>
    <w:p>
      <w:pPr>
        <w:spacing w:line="360" w:lineRule="auto" w:after="120"/>
        <w:ind w:firstLine="480"/>
      </w:pPr>
      <w:r>
        <w:t>围绕“2.1 业务流程分析”这一小节，本文进一步从业务目标、实现机制与预期效果三个层面进行补充说明。该补充有助于避免结论化表述，使章节论证更加完整。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从工程实践角度看，“2.1 业务流程分析”与系统其它模块存在明确的数据与流程关联。通过对该关联关系进行补充阐述，可提升论文内容的连续性与可答辩性。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2.1.1 能源监测与数据采集流程</w:t>
      </w:r>
    </w:p>
    <w:p>
      <w:pPr>
        <w:spacing w:line="360" w:lineRule="auto" w:after="120"/>
        <w:ind w:firstLine="480"/>
      </w:pPr>
      <w:r>
        <w:rPr>
          <w:b w:val="0"/>
        </w:rPr>
        <w:t>设备侧采集光伏、风机、生物质及用能终端数据，后端进行设备状态校验后写入监测表，前端按设备类型、时间维度展示发电量、耗电量、效率与环境参数，实现实时可视化和历史追溯。</w:t>
      </w:r>
    </w:p>
    <w:p>
      <w:pPr>
        <w:spacing w:line="360" w:lineRule="auto" w:after="120"/>
        <w:ind w:firstLine="480"/>
      </w:pPr>
      <w:r>
        <w:t>围绕“2.1.1 能源监测与数据采集流程”这一小节，本文进一步从业务目标、实现机制与预期效果三个层面进行补充说明。该补充有助于避免结论化表述，使章节论证更加完整。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2.1.2 能源优化与节能管理流程</w:t>
      </w:r>
    </w:p>
    <w:p>
      <w:pPr>
        <w:spacing w:line="360" w:lineRule="auto" w:after="120"/>
        <w:ind w:firstLine="480"/>
      </w:pPr>
      <w:r>
        <w:rPr>
          <w:b w:val="0"/>
        </w:rPr>
        <w:t>系统聚合近 7 日监测数据，计算总发电、总消耗、盈余与利用率。若指标低于阈值则自动生成建议，管理员可增删改查建议并更新执行状态，形成节能闭环。</w:t>
      </w:r>
    </w:p>
    <w:p>
      <w:pPr>
        <w:spacing w:line="360" w:lineRule="auto" w:after="120"/>
        <w:ind w:firstLine="480"/>
      </w:pPr>
      <w:r>
        <w:t>围绕“2.1.2 能源优化与节能管理流程”这一小节，本文进一步从业务目标、实现机制与预期效果三个层面进行补充说明。该补充有助于避免结论化表述，使章节论证更加完整。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2.1.3 碳排放监测流程</w:t>
      </w:r>
    </w:p>
    <w:p>
      <w:pPr>
        <w:spacing w:line="360" w:lineRule="auto" w:after="120"/>
        <w:ind w:firstLine="480"/>
      </w:pPr>
      <w:r>
        <w:rPr>
          <w:b w:val="0"/>
        </w:rPr>
        <w:t>通过能源类型与排放因子计算碳排放量，输出统计、来源分解、趋势分析与减排策略，帮助管理者识别高排放来源。</w:t>
      </w:r>
    </w:p>
    <w:p>
      <w:pPr>
        <w:spacing w:line="360" w:lineRule="auto" w:after="120"/>
        <w:ind w:firstLine="480"/>
      </w:pPr>
      <w:r>
        <w:t>围绕“2.1.3 碳排放监测流程”这一小节，本文进一步从业务目标、实现机制与预期效果三个层面进行补充说明。该补充有助于避免结论化表述，使章节论证更加完整。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2.1.4 预测与计划流程</w:t>
      </w:r>
    </w:p>
    <w:p>
      <w:pPr>
        <w:spacing w:line="360" w:lineRule="auto" w:after="120"/>
        <w:ind w:firstLine="480"/>
      </w:pPr>
      <w:r>
        <w:rPr>
          <w:b w:val="0"/>
        </w:rPr>
        <w:t>系统基于历史监测序列进行预测，输出需求计划、峰值预案与储备建议，并支持预测记录保存、准确度评估和持续修正。</w:t>
      </w:r>
    </w:p>
    <w:p>
      <w:pPr>
        <w:spacing w:line="360" w:lineRule="auto" w:after="120"/>
        <w:ind w:firstLine="480"/>
      </w:pPr>
      <w:r>
        <w:t>围绕“2.1.4 预测与计划流程”这一小节，本文进一步从业务目标、实现机制与预期效果三个层面进行补充说明。该补充有助于避免结论化表述，使章节论证更加完整。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2.1.5 报告与决策流程</w:t>
      </w:r>
    </w:p>
    <w:p>
      <w:pPr>
        <w:spacing w:line="360" w:lineRule="auto" w:after="120"/>
        <w:ind w:firstLine="480"/>
      </w:pPr>
      <w:r>
        <w:rPr>
          <w:b w:val="0"/>
        </w:rPr>
        <w:t>用户选择报告类型与周期，后端聚合能源、碳排和优化数据生成 PDF，记录文件元数据并支持鉴权下载。</w:t>
      </w:r>
    </w:p>
    <w:p>
      <w:pPr>
        <w:spacing w:line="360" w:lineRule="auto" w:after="120"/>
        <w:ind w:firstLine="480"/>
      </w:pPr>
      <w:r>
        <w:t>围绕“2.1.5 报告与决策流程”这一小节，本文进一步从业务目标、实现机制与预期效果三个层面进行补充说明。该补充有助于避免结论化表述，使章节论证更加完整。</w:t>
      </w:r>
    </w:p>
    <w:p>
      <w:pPr>
        <w:pStyle w:val="3"/>
      </w:pPr>
      <w:r>
        <w:t>2.2 功能模块分析</w:t>
      </w:r>
    </w:p>
    <w:p>
      <w:pPr>
        <w:spacing w:line="360" w:lineRule="auto" w:after="120"/>
        <w:ind w:firstLine="480"/>
      </w:pPr>
      <w:r>
        <w:t>围绕“2.2 功能模块分析”这一小节，本文进一步从业务目标、实现机制与预期效果三个层面进行补充说明。该补充有助于避免结论化表述，使章节论证更加完整。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从工程实践角度看，“2.2 功能模块分析”与系统其它模块存在明确的数据与流程关联。通过对该关联关系进行补充阐述，可提升论文内容的连续性与可答辩性。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2.2.1 用户角色分析</w:t>
      </w:r>
    </w:p>
    <w:p>
      <w:pPr>
        <w:spacing w:line="360" w:lineRule="auto" w:after="120"/>
        <w:ind w:firstLine="480"/>
      </w:pPr>
      <w:r>
        <w:rPr>
          <w:b w:val="0"/>
        </w:rPr>
        <w:t>系统支持三类角色：admin（系统管理与全量操作）、manager（业务管理与策略执行）、viewer（只读查看）。其中用户管理与审计日志仅 admin 可访问，其余业务模块 admin/manager 可写，viewer 只读。</w:t>
      </w:r>
    </w:p>
    <w:p>
      <w:pPr>
        <w:spacing w:line="360" w:lineRule="auto" w:after="120"/>
        <w:ind w:firstLine="480"/>
      </w:pPr>
      <w:r>
        <w:t>角色划分不仅用于页面访问控制，也直接影响后端接口授权和审计记录策略。通过将角色能力边界前后端统一，可显著降低越权访问风险。</w:t>
      </w:r>
    </w:p>
    <w:p>
      <w:pPr>
        <w:pStyle w:val="4"/>
      </w:pPr>
      <w:r>
        <w:t>2.2.2 系统用例图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81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8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图1 农场能源管理系统用例图</w:t>
      </w:r>
    </w:p>
    <w:p>
      <w:pPr>
        <w:spacing w:line="360" w:lineRule="auto" w:after="120"/>
        <w:ind w:firstLine="480"/>
      </w:pPr>
      <w:r>
        <w:rPr>
          <w:b w:val="0"/>
        </w:rPr>
        <w:t>如图所示，系统围绕“登录认证、监测采集、优化管理、碳排分析、预测计划、报告下载、用户管理、审计查询”开展业务。</w:t>
      </w:r>
    </w:p>
    <w:p>
      <w:pPr>
        <w:spacing w:line="360" w:lineRule="auto" w:after="120"/>
        <w:ind w:firstLine="480"/>
      </w:pPr>
      <w:r>
        <w:t>用例图在论文中的作用是把业务需求映射为可执行的系统功能边界。通过演员与用例关系的可视化表达，答辩时可以快速说明权限与功能的对应关系。</w:t>
      </w:r>
    </w:p>
    <w:p>
      <w:pPr>
        <w:pStyle w:val="4"/>
      </w:pPr>
      <w:r>
        <w:t>2.2.3 能源监测与采集模块</w:t>
      </w:r>
    </w:p>
    <w:p>
      <w:pPr>
        <w:spacing w:line="360" w:lineRule="auto" w:after="120"/>
        <w:ind w:firstLine="480"/>
      </w:pPr>
      <w:r>
        <w:rPr>
          <w:b w:val="0"/>
        </w:rPr>
        <w:t>该模块提供设备与监测记录双维度 CRUD：设备信息管理、实时数据写入、历史区间查询、按设备类型统计、当日汇总指标计算。</w:t>
      </w:r>
    </w:p>
    <w:p>
      <w:pPr>
        <w:spacing w:line="360" w:lineRule="auto" w:after="120"/>
        <w:ind w:firstLine="480"/>
      </w:pPr>
      <w:r>
        <w:t>围绕“2.2.3 能源监测与采集模块”这一小节，本文进一步从业务目标、实现机制与预期效果三个层面进行补充说明。该补充有助于避免结论化表述，使章节论证更加完整。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2.2.4 能源优化与节能模块</w:t>
      </w:r>
    </w:p>
    <w:p>
      <w:pPr>
        <w:spacing w:line="360" w:lineRule="auto" w:after="120"/>
        <w:ind w:firstLine="480"/>
      </w:pPr>
      <w:r>
        <w:rPr>
          <w:b w:val="0"/>
        </w:rPr>
        <w:t>该模块通过规则计算生成优化建议，支持优先级（high/medium/low）与执行状态管理，并提供潜在节能量统计与分配分析。</w:t>
      </w:r>
    </w:p>
    <w:p>
      <w:pPr>
        <w:spacing w:line="360" w:lineRule="auto" w:after="120"/>
        <w:ind w:firstLine="480"/>
      </w:pPr>
      <w:r>
        <w:t>围绕“2.2.4 能源优化与节能模块”这一小节，本文进一步从业务目标、实现机制与预期效果三个层面进行补充说明。该补充有助于避免结论化表述，使章节论证更加完整。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2.2.5 碳排放监测模块</w:t>
      </w:r>
    </w:p>
    <w:p>
      <w:pPr>
        <w:spacing w:line="360" w:lineRule="auto" w:after="120"/>
        <w:ind w:firstLine="480"/>
      </w:pPr>
      <w:r>
        <w:rPr>
          <w:b w:val="0"/>
        </w:rPr>
        <w:t>该模块实现排放记录管理、排放统计、来源分解、趋势判定、减排策略推荐与碳中和进度计算。</w:t>
      </w:r>
    </w:p>
    <w:p>
      <w:pPr>
        <w:spacing w:line="360" w:lineRule="auto" w:after="120"/>
        <w:ind w:firstLine="480"/>
      </w:pPr>
      <w:r>
        <w:t>围绕“2.2.5 碳排放监测模块”这一小节，本文进一步从业务目标、实现机制与预期效果三个层面进行补充说明。该补充有助于避免结论化表述，使章节论证更加完整。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2.2.6 预测与计划模块</w:t>
      </w:r>
    </w:p>
    <w:p>
      <w:pPr>
        <w:spacing w:line="360" w:lineRule="auto" w:after="120"/>
        <w:ind w:firstLine="480"/>
      </w:pPr>
      <w:r>
        <w:rPr>
          <w:b w:val="0"/>
        </w:rPr>
        <w:t>该模块提供能耗预测、需求计划、作物生长周期系数预测、预测记录管理、预测精度分析等能力。</w:t>
      </w:r>
    </w:p>
    <w:p>
      <w:pPr>
        <w:spacing w:line="360" w:lineRule="auto" w:after="120"/>
        <w:ind w:firstLine="480"/>
      </w:pPr>
      <w:r>
        <w:t>围绕“2.2.6 预测与计划模块”这一小节，本文进一步从业务目标、实现机制与预期效果三个层面进行补充说明。该补充有助于避免结论化表述，使章节论证更加完整。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2.2.7 报告中心模块</w:t>
      </w:r>
    </w:p>
    <w:p>
      <w:pPr>
        <w:spacing w:line="360" w:lineRule="auto" w:after="120"/>
        <w:ind w:firstLine="480"/>
      </w:pPr>
      <w:r>
        <w:rPr>
          <w:b w:val="0"/>
        </w:rPr>
        <w:t>该模块支持综合报表与分类报表聚合，支持 PDF 生成、文件路径安全校验、下载鉴权及报告记录管理。</w:t>
      </w:r>
    </w:p>
    <w:p>
      <w:pPr>
        <w:spacing w:line="360" w:lineRule="auto" w:after="120"/>
        <w:ind w:firstLine="480"/>
      </w:pPr>
      <w:r>
        <w:t>围绕“2.2.7 报告中心模块”这一小节，本文进一步从业务目标、实现机制与预期效果三个层面进行补充说明。该补充有助于避免结论化表述，使章节论证更加完整。</w:t>
      </w:r>
    </w:p>
    <w:p>
      <w:pPr>
        <w:pStyle w:val="3"/>
      </w:pPr>
      <w:r>
        <w:t>2.3 非功能需求分析</w:t>
      </w:r>
    </w:p>
    <w:p>
      <w:pPr>
        <w:spacing w:line="360" w:lineRule="auto" w:after="120"/>
        <w:ind w:firstLine="480"/>
      </w:pPr>
      <w:r>
        <w:t>围绕“2.3 非功能需求分析”这一小节，本文进一步从业务目标、实现机制与预期效果三个层面进行补充说明。该补充有助于避免结论化表述，使章节论证更加完整。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从工程实践角度看，“2.3 非功能需求分析”与系统其它模块存在明确的数据与流程关联。通过对该关联关系进行补充阐述，可提升论文内容的连续性与可答辩性。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2.3.1 性能需求</w:t>
      </w:r>
    </w:p>
    <w:p>
      <w:pPr>
        <w:spacing w:line="360" w:lineRule="auto" w:after="120"/>
        <w:ind w:firstLine="480"/>
      </w:pPr>
      <w:r>
        <w:rPr>
          <w:b w:val="0"/>
        </w:rPr>
        <w:t>常规查询接口响应应保持在秒级；图表页面支持百级数据点快速渲染；大多数管理操作在单次请求中完成。</w:t>
      </w:r>
    </w:p>
    <w:p>
      <w:pPr>
        <w:spacing w:line="360" w:lineRule="auto" w:after="120"/>
        <w:ind w:firstLine="480"/>
      </w:pPr>
      <w:r>
        <w:t>性能需求强调在常规数据规模下维持稳定响应，保障页面交互流畅。后续若数据量增长，可通过缓存、异步计算与分库分表等手段继续扩展。</w:t>
      </w:r>
    </w:p>
    <w:p>
      <w:pPr>
        <w:pStyle w:val="4"/>
      </w:pPr>
      <w:r>
        <w:t>2.3.2 安全需求</w:t>
      </w:r>
    </w:p>
    <w:p>
      <w:pPr>
        <w:spacing w:line="360" w:lineRule="auto" w:after="120"/>
        <w:ind w:firstLine="480"/>
      </w:pPr>
      <w:r>
        <w:rPr>
          <w:b w:val="0"/>
        </w:rPr>
        <w:t>系统采用 token 会话机制与拦截器鉴权；密码以哈希存储；关键接口按角色授权；报告下载进行路径归一化校验。</w:t>
      </w:r>
    </w:p>
    <w:p>
      <w:pPr>
        <w:spacing w:line="360" w:lineRule="auto" w:after="120"/>
        <w:ind w:firstLine="480"/>
      </w:pPr>
      <w:r>
        <w:t>安全需求贯穿登录、接口、文件下载与操作审计全过程。通过会话校验、角色控制和路径安全检查，可形成从访问入口到数据出口的完整防护链。</w:t>
      </w:r>
    </w:p>
    <w:p>
      <w:pPr>
        <w:pStyle w:val="4"/>
      </w:pPr>
      <w:r>
        <w:t>2.3.3 可用性需求</w:t>
      </w:r>
    </w:p>
    <w:p>
      <w:pPr>
        <w:spacing w:line="360" w:lineRule="auto" w:after="120"/>
        <w:ind w:firstLine="480"/>
      </w:pPr>
      <w:r>
        <w:rPr>
          <w:b w:val="0"/>
        </w:rPr>
        <w:t>前端提供清晰导航、统一错误提示、加载状态反馈；后端统一异常响应，确保错误可定位、可处理。</w:t>
      </w:r>
    </w:p>
    <w:p>
      <w:pPr>
        <w:spacing w:line="360" w:lineRule="auto" w:after="120"/>
        <w:ind w:firstLine="480"/>
      </w:pPr>
      <w:r>
        <w:t>可用性不仅体现在界面友好，还体现在错误反馈及时和操作路径清晰。统一提示与统一交互行为能够降低学习成本，提升系统实际使用效果。</w:t>
      </w:r>
    </w:p>
    <w:p>
      <w:pPr>
        <w:pStyle w:val="4"/>
      </w:pPr>
      <w:r>
        <w:t>2.3.4 可维护性需求</w:t>
      </w:r>
    </w:p>
    <w:p>
      <w:pPr>
        <w:spacing w:line="360" w:lineRule="auto" w:after="120"/>
        <w:ind w:firstLine="480"/>
      </w:pPr>
      <w:r>
        <w:rPr>
          <w:b w:val="0"/>
        </w:rPr>
        <w:t>后端采用 Controller-Service-Repository 分层，前端按页面模块化组织；接口字段稳定，便于迭代。</w:t>
      </w:r>
    </w:p>
    <w:p>
      <w:pPr>
        <w:spacing w:line="360" w:lineRule="auto" w:after="120"/>
        <w:ind w:firstLine="480"/>
      </w:pPr>
      <w:r>
        <w:t>可维护性的关键在于分层清晰和模块解耦，便于定位与修改问题。通过统一接口风格和稳定字段命名，可以降低后续迭代中的联动改动成本。</w:t>
      </w:r>
    </w:p>
    <w:p>
      <w:pPr>
        <w:pStyle w:val="4"/>
      </w:pPr>
      <w:r>
        <w:t>2.3.5 可扩展性需求</w:t>
      </w:r>
    </w:p>
    <w:p>
      <w:pPr>
        <w:spacing w:line="360" w:lineRule="auto" w:after="120"/>
        <w:ind w:firstLine="480"/>
      </w:pPr>
      <w:r>
        <w:rPr>
          <w:b w:val="0"/>
        </w:rPr>
        <w:t>设备类型、排放因子、预测策略、报表模板均保留扩展空间，可后续接入真实物联网网关和智能算法模型。</w:t>
      </w:r>
    </w:p>
    <w:p>
      <w:pPr>
        <w:spacing w:line="360" w:lineRule="auto" w:after="120"/>
        <w:ind w:firstLine="480"/>
      </w:pPr>
      <w:r>
        <w:t>可扩展性设计使系统能够逐步接入更多设备类型、预测模型和策略引擎。当前架构已预留扩展点，后续升级可在不破坏主流程的前提下平滑实施。</w:t>
      </w:r>
    </w:p>
    <w:p>
      <w:pPr>
        <w:pStyle w:val="4"/>
      </w:pPr>
      <w:r>
        <w:t>2.3.6 兼容性需求</w:t>
      </w:r>
    </w:p>
    <w:p>
      <w:pPr>
        <w:spacing w:line="360" w:lineRule="auto" w:after="120"/>
        <w:ind w:firstLine="480"/>
      </w:pPr>
      <w:r>
        <w:rPr>
          <w:b w:val="0"/>
        </w:rPr>
        <w:t>系统在主流现代浏览器环境可运行，后端基于 Java 17 与 Spring Boot，数据库兼容 MySQL/MariaDB 驱动访问。</w:t>
      </w:r>
    </w:p>
    <w:p>
      <w:pPr>
        <w:spacing w:line="360" w:lineRule="auto"/>
        <w:jc w:val="center"/>
      </w:pPr>
      <w:r>
        <w:t>表1 非功能需求指标</w:t>
      </w:r>
    </w:p>
    <w:p>
      <w:pPr>
        <w:spacing w:line="360" w:lineRule="auto" w:after="120"/>
        <w:ind w:firstLine="480"/>
      </w:pPr>
      <w:r>
        <w:t>兼容性要求保证系统在常见浏览器与标准运行环境下稳定工作。统一技术栈和依赖版本管理，是减少环境差异问题的有效手段。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维度</w:t>
            </w:r>
          </w:p>
        </w:tc>
        <w:tc>
          <w:tcPr>
            <w:tcW w:type="dxa" w:w="2771"/>
          </w:tcPr>
          <w:p>
            <w:r>
              <w:t>目标</w:t>
            </w:r>
          </w:p>
        </w:tc>
        <w:tc>
          <w:tcPr>
            <w:tcW w:type="dxa" w:w="2771"/>
          </w:tcPr>
          <w:p>
            <w:r>
              <w:t>实现方式</w:t>
            </w:r>
          </w:p>
        </w:tc>
      </w:tr>
      <w:tr>
        <w:tc>
          <w:tcPr>
            <w:tcW w:type="dxa" w:w="2771"/>
          </w:tcPr>
          <w:p>
            <w:r>
              <w:t>性能</w:t>
            </w:r>
          </w:p>
        </w:tc>
        <w:tc>
          <w:tcPr>
            <w:tcW w:type="dxa" w:w="2771"/>
          </w:tcPr>
          <w:p>
            <w:r>
              <w:t>常规查询秒级返回</w:t>
            </w:r>
          </w:p>
        </w:tc>
        <w:tc>
          <w:tcPr>
            <w:tcW w:type="dxa" w:w="2771"/>
          </w:tcPr>
          <w:p>
            <w:r>
              <w:t>SQL 聚合 + 分页限制 + 前端按需刷新</w:t>
            </w:r>
          </w:p>
        </w:tc>
      </w:tr>
      <w:tr>
        <w:tc>
          <w:tcPr>
            <w:tcW w:type="dxa" w:w="2771"/>
          </w:tcPr>
          <w:p>
            <w:r>
              <w:t>安全</w:t>
            </w:r>
          </w:p>
        </w:tc>
        <w:tc>
          <w:tcPr>
            <w:tcW w:type="dxa" w:w="2771"/>
          </w:tcPr>
          <w:p>
            <w:r>
              <w:t>未登录拒绝访问</w:t>
            </w:r>
          </w:p>
        </w:tc>
        <w:tc>
          <w:tcPr>
            <w:tcW w:type="dxa" w:w="2771"/>
          </w:tcPr>
          <w:p>
            <w:r>
              <w:t>AuthInterceptor + token 会话校验</w:t>
            </w:r>
          </w:p>
        </w:tc>
      </w:tr>
      <w:tr>
        <w:tc>
          <w:tcPr>
            <w:tcW w:type="dxa" w:w="2771"/>
          </w:tcPr>
          <w:p>
            <w:r>
              <w:t>可维护</w:t>
            </w:r>
          </w:p>
        </w:tc>
        <w:tc>
          <w:tcPr>
            <w:tcW w:type="dxa" w:w="2771"/>
          </w:tcPr>
          <w:p>
            <w:r>
              <w:t>模块可独立迭代</w:t>
            </w:r>
          </w:p>
        </w:tc>
        <w:tc>
          <w:tcPr>
            <w:tcW w:type="dxa" w:w="2771"/>
          </w:tcPr>
          <w:p>
            <w:r>
              <w:t>前后端分层 + DTO 与实体解耦</w:t>
            </w:r>
          </w:p>
        </w:tc>
      </w:tr>
      <w:tr>
        <w:tc>
          <w:tcPr>
            <w:tcW w:type="dxa" w:w="2771"/>
          </w:tcPr>
          <w:p>
            <w:r>
              <w:t>可扩展</w:t>
            </w:r>
          </w:p>
        </w:tc>
        <w:tc>
          <w:tcPr>
            <w:tcW w:type="dxa" w:w="2771"/>
          </w:tcPr>
          <w:p>
            <w:r>
              <w:t>新增能源类型可快速接入</w:t>
            </w:r>
          </w:p>
        </w:tc>
        <w:tc>
          <w:tcPr>
            <w:tcW w:type="dxa" w:w="2771"/>
          </w:tcPr>
          <w:p>
            <w:r>
              <w:t>设备类型与排放因子可配置扩展</w:t>
            </w:r>
          </w:p>
        </w:tc>
      </w:tr>
    </w:tbl>
    <w:p>
      <w:pPr>
        <w:pStyle w:val="3"/>
      </w:pPr>
      <w:r>
        <w:t>2.4 关键业务规则与约束</w:t>
      </w:r>
    </w:p>
    <w:p>
      <w:pPr>
        <w:spacing w:line="360" w:lineRule="auto" w:after="120"/>
        <w:ind w:firstLine="480"/>
      </w:pPr>
      <w:r>
        <w:t>围绕“2.4 关键业务规则与约束”这一小节，本文进一步从业务目标、实现机制与预期效果三个层面进行补充说明。该补充有助于避免结论化表述，使章节论证更加完整。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从工程实践角度看，“2.4 关键业务规则与约束”与系统其它模块存在明确的数据与流程关联。通过对该关联关系进行补充阐述，可提升论文内容的连续性与可答辩性。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2.4.1 设备与监测数据规则</w:t>
      </w:r>
    </w:p>
    <w:p>
      <w:pPr>
        <w:spacing w:line="360" w:lineRule="auto" w:after="120"/>
        <w:ind w:firstLine="480"/>
      </w:pPr>
      <w:r>
        <w:rPr>
          <w:b w:val="0"/>
        </w:rPr>
        <w:t>设备新增时必须提供设备名称与设备类型，状态默认为 active；删除设备采用逻辑删除方式，避免历史监测记录失联。监测数据写入时需要校验 device_id 合法性，并限制仅 active 设备可接收新数据，防止停用设备产生脏数据。</w:t>
      </w:r>
    </w:p>
    <w:p>
      <w:pPr>
        <w:spacing w:line="360" w:lineRule="auto" w:after="120"/>
        <w:ind w:firstLine="480"/>
      </w:pPr>
      <w:r>
        <w:t>围绕“2.4.1 设备与监测数据规则”这一小节，本文进一步从业务目标、实现机制与预期效果三个层面进行补充说明。该补充有助于避免结论化表述，使章节论证更加完整。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2.4.2 优化建议规则</w:t>
      </w:r>
    </w:p>
    <w:p>
      <w:pPr>
        <w:spacing w:line="360" w:lineRule="auto" w:after="120"/>
        <w:ind w:firstLine="480"/>
      </w:pPr>
      <w:r>
        <w:rPr>
          <w:b w:val="0"/>
        </w:rPr>
        <w:t>优化建议需包含 recommendation_type 与 description，priority 限定为 high/medium/low，状态字段限定在预定义集合内。通过规则约束可保证统计口径统一，避免自由文本造成的分类失效。</w:t>
      </w:r>
    </w:p>
    <w:p>
      <w:pPr>
        <w:spacing w:line="360" w:lineRule="auto" w:after="120"/>
        <w:ind w:firstLine="480"/>
      </w:pPr>
      <w:r>
        <w:t>围绕“2.4.2 优化建议规则”这一小节，本文进一步从业务目标、实现机制与预期效果三个层面进行补充说明。该补充有助于避免结论化表述，使章节论证更加完整。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2.4.3 碳排与预测规则</w:t>
      </w:r>
    </w:p>
    <w:p>
      <w:pPr>
        <w:spacing w:line="360" w:lineRule="auto" w:after="120"/>
        <w:ind w:firstLine="480"/>
      </w:pPr>
      <w:r>
        <w:rPr>
          <w:b w:val="0"/>
        </w:rPr>
        <w:t>碳排计算采用“energy_amount × emission_factor”方式，能源来源统一归一化为小写编码，确保不同接口统计结果一致。预测记录保存时必须具备 forecast_date，置信度字段设置默认值，防止因空值导致后续评估失败。</w:t>
      </w:r>
    </w:p>
    <w:p>
      <w:pPr>
        <w:spacing w:line="360" w:lineRule="auto" w:after="120"/>
        <w:ind w:firstLine="480"/>
      </w:pPr>
      <w:r>
        <w:t>围绕“2.4.3 碳排与预测规则”这一小节，本文进一步从业务目标、实现机制与预期效果三个层面进行补充说明。该补充有助于避免结论化表述，使章节论证更加完整。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2.4.4 报告与下载规则</w:t>
      </w:r>
    </w:p>
    <w:p>
      <w:pPr>
        <w:spacing w:line="360" w:lineRule="auto" w:after="120"/>
        <w:ind w:firstLine="480"/>
      </w:pPr>
      <w:r>
        <w:rPr>
          <w:b w:val="0"/>
        </w:rPr>
        <w:t>报告生成必须落库记录（报告类型、周期、状态、文件路径），下载时需进行鉴权与路径安全校验。该规则保证了报告资产可追溯，且不会因非法路径拼接访问到报告目录外文件。</w:t>
      </w:r>
    </w:p>
    <w:p>
      <w:pPr>
        <w:spacing w:line="360" w:lineRule="auto" w:after="120"/>
        <w:ind w:firstLine="480"/>
      </w:pPr>
      <w:r>
        <w:t>围绕“2.4.4 报告与下载规则”这一小节，本文进一步从业务目标、实现机制与预期效果三个层面进行补充说明。该补充有助于避免结论化表述，使章节论证更加完整。</w:t>
      </w:r>
    </w:p>
    <w:p>
      <w:pPr>
        <w:pStyle w:val="3"/>
      </w:pPr>
      <w:r>
        <w:t>2.5 角色权限需求矩阵</w:t>
      </w:r>
    </w:p>
    <w:p>
      <w:pPr>
        <w:spacing w:line="360" w:lineRule="auto"/>
        <w:jc w:val="center"/>
      </w:pPr>
      <w:r>
        <w:t>表2 角色与功能权限矩阵</w:t>
      </w:r>
    </w:p>
    <w:p>
      <w:pPr>
        <w:spacing w:line="360" w:lineRule="auto" w:after="120"/>
        <w:ind w:firstLine="480"/>
      </w:pPr>
      <w:r>
        <w:t>围绕“2.5 角色权限需求矩阵”这一小节，本文进一步从业务目标、实现机制与预期效果三个层面进行补充说明。该补充有助于避免结论化表述，使章节论证更加完整。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从工程实践角度看，“2.5 角色权限需求矩阵”与系统其它模块存在明确的数据与流程关联。通过对该关联关系进行补充阐述，可提升论文内容的连续性与可答辩性。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t>功能域</w:t>
            </w:r>
          </w:p>
        </w:tc>
        <w:tc>
          <w:tcPr>
            <w:tcW w:type="dxa" w:w="2078"/>
          </w:tcPr>
          <w:p>
            <w:r>
              <w:t>admin</w:t>
            </w:r>
          </w:p>
        </w:tc>
        <w:tc>
          <w:tcPr>
            <w:tcW w:type="dxa" w:w="2078"/>
          </w:tcPr>
          <w:p>
            <w:r>
              <w:t>manager</w:t>
            </w:r>
          </w:p>
        </w:tc>
        <w:tc>
          <w:tcPr>
            <w:tcW w:type="dxa" w:w="2078"/>
          </w:tcPr>
          <w:p>
            <w:r>
              <w:t>viewer</w:t>
            </w:r>
          </w:p>
        </w:tc>
      </w:tr>
      <w:tr>
        <w:tc>
          <w:tcPr>
            <w:tcW w:type="dxa" w:w="2078"/>
          </w:tcPr>
          <w:p>
            <w:r>
              <w:t>登录/退出/个人信息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</w:tr>
      <w:tr>
        <w:tc>
          <w:tcPr>
            <w:tcW w:type="dxa" w:w="2078"/>
          </w:tcPr>
          <w:p>
            <w:r>
              <w:t>能源监测与设备管理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只读</w:t>
            </w:r>
          </w:p>
        </w:tc>
      </w:tr>
      <w:tr>
        <w:tc>
          <w:tcPr>
            <w:tcW w:type="dxa" w:w="2078"/>
          </w:tcPr>
          <w:p>
            <w:r>
              <w:t>节能建议管理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只读</w:t>
            </w:r>
          </w:p>
        </w:tc>
      </w:tr>
      <w:tr>
        <w:tc>
          <w:tcPr>
            <w:tcW w:type="dxa" w:w="2078"/>
          </w:tcPr>
          <w:p>
            <w:r>
              <w:t>碳排记录管理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只读</w:t>
            </w:r>
          </w:p>
        </w:tc>
      </w:tr>
      <w:tr>
        <w:tc>
          <w:tcPr>
            <w:tcW w:type="dxa" w:w="2078"/>
          </w:tcPr>
          <w:p>
            <w:r>
              <w:t>预测记录管理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只读</w:t>
            </w:r>
          </w:p>
        </w:tc>
      </w:tr>
      <w:tr>
        <w:tc>
          <w:tcPr>
            <w:tcW w:type="dxa" w:w="2078"/>
          </w:tcPr>
          <w:p>
            <w:r>
              <w:t>报告生成与下载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只读下载</w:t>
            </w:r>
          </w:p>
        </w:tc>
      </w:tr>
      <w:tr>
        <w:tc>
          <w:tcPr>
            <w:tcW w:type="dxa" w:w="2078"/>
          </w:tcPr>
          <w:p>
            <w:r>
              <w:t>用户管理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无权限</w:t>
            </w:r>
          </w:p>
        </w:tc>
        <w:tc>
          <w:tcPr>
            <w:tcW w:type="dxa" w:w="2078"/>
          </w:tcPr>
          <w:p>
            <w:r>
              <w:t>无权限</w:t>
            </w:r>
          </w:p>
        </w:tc>
      </w:tr>
      <w:tr>
        <w:tc>
          <w:tcPr>
            <w:tcW w:type="dxa" w:w="2078"/>
          </w:tcPr>
          <w:p>
            <w:r>
              <w:t>审计日志查询</w:t>
            </w:r>
          </w:p>
        </w:tc>
        <w:tc>
          <w:tcPr>
            <w:tcW w:type="dxa" w:w="2078"/>
          </w:tcPr>
          <w:p>
            <w:r>
              <w:t>读写</w:t>
            </w:r>
          </w:p>
        </w:tc>
        <w:tc>
          <w:tcPr>
            <w:tcW w:type="dxa" w:w="2078"/>
          </w:tcPr>
          <w:p>
            <w:r>
              <w:t>无权限</w:t>
            </w:r>
          </w:p>
        </w:tc>
        <w:tc>
          <w:tcPr>
            <w:tcW w:type="dxa" w:w="2078"/>
          </w:tcPr>
          <w:p>
            <w:r>
              <w:t>无权限</w:t>
            </w:r>
          </w:p>
        </w:tc>
      </w:tr>
    </w:tbl>
    <w:p>
      <w:pPr>
        <w:pStyle w:val="3"/>
      </w:pPr>
      <w:r>
        <w:t>2.6 本章小结</w:t>
      </w:r>
    </w:p>
    <w:p>
      <w:pPr>
        <w:spacing w:line="360" w:lineRule="auto" w:after="120"/>
        <w:ind w:firstLine="480"/>
      </w:pPr>
      <w:r>
        <w:rPr>
          <w:b w:val="0"/>
        </w:rPr>
        <w:t>本章围绕业务流程、功能模块、非功能目标、关键业务规则与权限矩阵，系统化给出了需求模型。需求分析结果直接决定了后续数据库结构、接口边界和页面组织方式，也为实现阶段的测试用例设计提供了可执行依据。</w:t>
      </w:r>
    </w:p>
    <w:p>
      <w:pPr>
        <w:spacing w:line="360" w:lineRule="auto" w:after="120"/>
        <w:ind w:firstLine="480"/>
      </w:pPr>
      <w:r>
        <w:t>本章小结建议从“核心结论、实现价值、后续衔接”三个角度归纳。这样既能强化章节重点，也便于读者理解下一章的展开逻辑。</w:t>
      </w:r>
    </w:p>
    <w:p>
      <w:pPr>
        <w:pStyle w:val="2"/>
      </w:pPr>
      <w:r>
        <w:t>3 系统设计</w:t>
      </w:r>
    </w:p>
    <w:p>
      <w:pPr>
        <w:pStyle w:val="3"/>
      </w:pPr>
      <w:r>
        <w:t>3.1 系统总体架构设计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027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2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图1 系统总体架构图</w:t>
      </w:r>
    </w:p>
    <w:p>
      <w:pPr>
        <w:spacing w:line="360" w:lineRule="auto" w:after="120"/>
        <w:ind w:firstLine="480"/>
      </w:pPr>
      <w:r>
        <w:t>围绕“3.1 系统总体架构设计”这一小节，本文进一步从业务目标、实现机制与预期效果三个层面进行补充说明。该补充有助于避免结论化表述，使章节论证更加完整。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从工程实践角度看，“3.1 系统总体架构设计”与系统其它模块存在明确的数据与流程关联。通过对该关联关系进行补充阐述，可提升论文内容的连续性与可答辩性。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3.1.1 前后端分离架构优势</w:t>
      </w:r>
    </w:p>
    <w:p>
      <w:pPr>
        <w:spacing w:line="360" w:lineRule="auto" w:after="120"/>
        <w:ind w:firstLine="480"/>
      </w:pPr>
      <w:r>
        <w:rPr>
          <w:b w:val="0"/>
        </w:rPr>
        <w:t>前端专注交互与可视化，后端专注业务与数据；两端通过 REST API 通信，可并行开发、独立部署、降低耦合。</w:t>
      </w:r>
    </w:p>
    <w:p>
      <w:pPr>
        <w:spacing w:line="360" w:lineRule="auto" w:after="120"/>
        <w:ind w:firstLine="480"/>
      </w:pPr>
      <w:r>
        <w:t>围绕“3.1.1 前后端分离架构优势”这一小节，本文进一步从业务目标、实现机制与预期效果三个层面进行补充说明。该补充有助于避免结论化表述，使章节论证更加完整。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3.1.2 RESTful API 设计与鉴权</w:t>
      </w:r>
    </w:p>
    <w:p>
      <w:pPr>
        <w:spacing w:line="360" w:lineRule="auto" w:after="120"/>
        <w:ind w:firstLine="480"/>
      </w:pPr>
      <w:r>
        <w:rPr>
          <w:b w:val="0"/>
        </w:rPr>
        <w:t>接口路径按模块划分（/api/monitoring、/api/optimization、/api/carbon、/api/forecast、/api/reports），统一 JSON 响应；通过 Authorization: Bearer Token 传递会话，拦截器对 /api/** 请求进行统一鉴权。</w:t>
      </w:r>
    </w:p>
    <w:p>
      <w:pPr>
        <w:spacing w:line="360" w:lineRule="auto" w:after="120"/>
        <w:ind w:firstLine="480"/>
      </w:pPr>
      <w:r>
        <w:t>围绕“3.1.2 RESTful API 设计与鉴权”这一小节，本文进一步从业务目标、实现机制与预期效果三个层面进行补充说明。该补充有助于避免结论化表述，使章节论证更加完整。</w:t>
      </w:r>
    </w:p>
    <w:p>
      <w:pPr>
        <w:pStyle w:val="3"/>
      </w:pPr>
      <w:r>
        <w:t>3.2 数据库设计</w:t>
      </w:r>
    </w:p>
    <w:p>
      <w:pPr>
        <w:spacing w:line="360" w:lineRule="auto" w:after="120"/>
        <w:ind w:firstLine="480"/>
      </w:pPr>
      <w:r>
        <w:t>围绕“3.2 数据库设计”这一小节，本文进一步从业务目标、实现机制与预期效果三个层面进行补充说明。该补充有助于避免结论化表述，使章节论证更加完整。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从工程实践角度看，“3.2 数据库设计”与系统其它模块存在明确的数据与流程关联。通过对该关联关系进行补充阐述，可提升论文内容的连续性与可答辩性。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3.2.1 E-R 数据库设计图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16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1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图2 核心数据表 E-R 关系图</w:t>
      </w:r>
    </w:p>
    <w:p>
      <w:pPr>
        <w:spacing w:line="360" w:lineRule="auto" w:after="120"/>
        <w:ind w:firstLine="480"/>
      </w:pPr>
      <w:r>
        <w:t>数据库关系图有助于说明表结构之间的数据流向和约束关系。通过主外键关系与业务聚合关系分层表达，可提高模型可读性。</w:t>
      </w:r>
    </w:p>
    <w:p>
      <w:pPr>
        <w:spacing w:line="360" w:lineRule="auto" w:after="120"/>
        <w:ind w:firstLine="480"/>
      </w:pPr>
      <w:r>
        <w:t>数据库关系图有助于说明表结构之间的数据流向和约束关系。通过主外键关系与业务聚合关系分层表达，可提高模型可读性。</w:t>
      </w:r>
    </w:p>
    <w:p>
      <w:pPr>
        <w:pStyle w:val="4"/>
      </w:pPr>
      <w:r>
        <w:t>3.2.2 逻辑表结构说明</w:t>
      </w:r>
    </w:p>
    <w:p>
      <w:pPr>
        <w:spacing w:line="360" w:lineRule="auto" w:after="120"/>
        <w:ind w:firstLine="480"/>
      </w:pPr>
      <w:r>
        <w:rPr>
          <w:b w:val="0"/>
        </w:rPr>
        <w:t>系统核心表包括：energy_devices、energy_monitoring、energy_recommendations、carbon_emissions、energy_forecasts、reports、sys_users、user_sessions、operation_logs。其中 energy_monitoring 通过 device_id 关联设备表，user_sessions 通过 user_id 关联用户表。</w:t>
      </w:r>
    </w:p>
    <w:p>
      <w:pPr>
        <w:spacing w:line="360" w:lineRule="auto"/>
        <w:jc w:val="center"/>
      </w:pPr>
      <w:r>
        <w:t>表1 核心数据表用途说明</w:t>
      </w:r>
    </w:p>
    <w:p>
      <w:pPr>
        <w:spacing w:line="360" w:lineRule="auto" w:after="120"/>
        <w:ind w:firstLine="480"/>
      </w:pPr>
      <w:r>
        <w:t>围绕“3.2.2 逻辑表结构说明”这一小节，本文进一步从业务目标、实现机制与预期效果三个层面进行补充说明。该补充有助于避免结论化表述，使章节论证更加完整。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数据表</w:t>
            </w:r>
          </w:p>
        </w:tc>
        <w:tc>
          <w:tcPr>
            <w:tcW w:type="dxa" w:w="2771"/>
          </w:tcPr>
          <w:p>
            <w:r>
              <w:t>主键/外键</w:t>
            </w:r>
          </w:p>
        </w:tc>
        <w:tc>
          <w:tcPr>
            <w:tcW w:type="dxa" w:w="2771"/>
          </w:tcPr>
          <w:p>
            <w:r>
              <w:t>业务作用</w:t>
            </w:r>
          </w:p>
        </w:tc>
      </w:tr>
      <w:tr>
        <w:tc>
          <w:tcPr>
            <w:tcW w:type="dxa" w:w="2771"/>
          </w:tcPr>
          <w:p>
            <w:r>
              <w:t>energy_devices</w:t>
            </w:r>
          </w:p>
        </w:tc>
        <w:tc>
          <w:tcPr>
            <w:tcW w:type="dxa" w:w="2771"/>
          </w:tcPr>
          <w:p>
            <w:r>
              <w:t>PK:id</w:t>
            </w:r>
          </w:p>
        </w:tc>
        <w:tc>
          <w:tcPr>
            <w:tcW w:type="dxa" w:w="2771"/>
          </w:tcPr>
          <w:p>
            <w:r>
              <w:t>能源设备档案管理</w:t>
            </w:r>
          </w:p>
        </w:tc>
      </w:tr>
      <w:tr>
        <w:tc>
          <w:tcPr>
            <w:tcW w:type="dxa" w:w="2771"/>
          </w:tcPr>
          <w:p>
            <w:r>
              <w:t>energy_monitoring</w:t>
            </w:r>
          </w:p>
        </w:tc>
        <w:tc>
          <w:tcPr>
            <w:tcW w:type="dxa" w:w="2771"/>
          </w:tcPr>
          <w:p>
            <w:r>
              <w:t>PK:id, FK:device_id</w:t>
            </w:r>
          </w:p>
        </w:tc>
        <w:tc>
          <w:tcPr>
            <w:tcW w:type="dxa" w:w="2771"/>
          </w:tcPr>
          <w:p>
            <w:r>
              <w:t>实时监测明细与历史统计</w:t>
            </w:r>
          </w:p>
        </w:tc>
      </w:tr>
      <w:tr>
        <w:tc>
          <w:tcPr>
            <w:tcW w:type="dxa" w:w="2771"/>
          </w:tcPr>
          <w:p>
            <w:r>
              <w:t>energy_recommendations</w:t>
            </w:r>
          </w:p>
        </w:tc>
        <w:tc>
          <w:tcPr>
            <w:tcW w:type="dxa" w:w="2771"/>
          </w:tcPr>
          <w:p>
            <w:r>
              <w:t>PK:id</w:t>
            </w:r>
          </w:p>
        </w:tc>
        <w:tc>
          <w:tcPr>
            <w:tcW w:type="dxa" w:w="2771"/>
          </w:tcPr>
          <w:p>
            <w:r>
              <w:t>优化建议与执行状态</w:t>
            </w:r>
          </w:p>
        </w:tc>
      </w:tr>
      <w:tr>
        <w:tc>
          <w:tcPr>
            <w:tcW w:type="dxa" w:w="2771"/>
          </w:tcPr>
          <w:p>
            <w:r>
              <w:t>carbon_emissions</w:t>
            </w:r>
          </w:p>
        </w:tc>
        <w:tc>
          <w:tcPr>
            <w:tcW w:type="dxa" w:w="2771"/>
          </w:tcPr>
          <w:p>
            <w:r>
              <w:t>PK:id</w:t>
            </w:r>
          </w:p>
        </w:tc>
        <w:tc>
          <w:tcPr>
            <w:tcW w:type="dxa" w:w="2771"/>
          </w:tcPr>
          <w:p>
            <w:r>
              <w:t>碳排记录、分解与趋势分析</w:t>
            </w:r>
          </w:p>
        </w:tc>
      </w:tr>
      <w:tr>
        <w:tc>
          <w:tcPr>
            <w:tcW w:type="dxa" w:w="2771"/>
          </w:tcPr>
          <w:p>
            <w:r>
              <w:t>energy_forecasts</w:t>
            </w:r>
          </w:p>
        </w:tc>
        <w:tc>
          <w:tcPr>
            <w:tcW w:type="dxa" w:w="2771"/>
          </w:tcPr>
          <w:p>
            <w:r>
              <w:t>PK:id</w:t>
            </w:r>
          </w:p>
        </w:tc>
        <w:tc>
          <w:tcPr>
            <w:tcW w:type="dxa" w:w="2771"/>
          </w:tcPr>
          <w:p>
            <w:r>
              <w:t>预测记录与计划依据</w:t>
            </w:r>
          </w:p>
        </w:tc>
      </w:tr>
      <w:tr>
        <w:tc>
          <w:tcPr>
            <w:tcW w:type="dxa" w:w="2771"/>
          </w:tcPr>
          <w:p>
            <w:r>
              <w:t>reports</w:t>
            </w:r>
          </w:p>
        </w:tc>
        <w:tc>
          <w:tcPr>
            <w:tcW w:type="dxa" w:w="2771"/>
          </w:tcPr>
          <w:p>
            <w:r>
              <w:t>PK:id</w:t>
            </w:r>
          </w:p>
        </w:tc>
        <w:tc>
          <w:tcPr>
            <w:tcW w:type="dxa" w:w="2771"/>
          </w:tcPr>
          <w:p>
            <w:r>
              <w:t>报表元数据与文件路径</w:t>
            </w:r>
          </w:p>
        </w:tc>
      </w:tr>
      <w:tr>
        <w:tc>
          <w:tcPr>
            <w:tcW w:type="dxa" w:w="2771"/>
          </w:tcPr>
          <w:p>
            <w:r>
              <w:t>sys_users</w:t>
            </w:r>
          </w:p>
        </w:tc>
        <w:tc>
          <w:tcPr>
            <w:tcW w:type="dxa" w:w="2771"/>
          </w:tcPr>
          <w:p>
            <w:r>
              <w:t>PK:id</w:t>
            </w:r>
          </w:p>
        </w:tc>
        <w:tc>
          <w:tcPr>
            <w:tcW w:type="dxa" w:w="2771"/>
          </w:tcPr>
          <w:p>
            <w:r>
              <w:t>用户身份与角色权限</w:t>
            </w:r>
          </w:p>
        </w:tc>
      </w:tr>
      <w:tr>
        <w:tc>
          <w:tcPr>
            <w:tcW w:type="dxa" w:w="2771"/>
          </w:tcPr>
          <w:p>
            <w:r>
              <w:t>user_sessions</w:t>
            </w:r>
          </w:p>
        </w:tc>
        <w:tc>
          <w:tcPr>
            <w:tcW w:type="dxa" w:w="2771"/>
          </w:tcPr>
          <w:p>
            <w:r>
              <w:t>PK:id, FK:user_id</w:t>
            </w:r>
          </w:p>
        </w:tc>
        <w:tc>
          <w:tcPr>
            <w:tcW w:type="dxa" w:w="2771"/>
          </w:tcPr>
          <w:p>
            <w:r>
              <w:t>登录会话与过期控制</w:t>
            </w:r>
          </w:p>
        </w:tc>
      </w:tr>
      <w:tr>
        <w:tc>
          <w:tcPr>
            <w:tcW w:type="dxa" w:w="2771"/>
          </w:tcPr>
          <w:p>
            <w:r>
              <w:t>operation_logs</w:t>
            </w:r>
          </w:p>
        </w:tc>
        <w:tc>
          <w:tcPr>
            <w:tcW w:type="dxa" w:w="2771"/>
          </w:tcPr>
          <w:p>
            <w:r>
              <w:t>PK:id</w:t>
            </w:r>
          </w:p>
        </w:tc>
        <w:tc>
          <w:tcPr>
            <w:tcW w:type="dxa" w:w="2771"/>
          </w:tcPr>
          <w:p>
            <w:r>
              <w:t>关键操作审计追踪</w:t>
            </w:r>
          </w:p>
        </w:tc>
      </w:tr>
    </w:tbl>
    <w:p>
      <w:pPr>
        <w:pStyle w:val="3"/>
      </w:pPr>
      <w:r>
        <w:t>3.3 系统流程设计</w:t>
      </w:r>
    </w:p>
    <w:p>
      <w:pPr>
        <w:spacing w:line="360" w:lineRule="auto" w:after="120"/>
        <w:ind w:firstLine="480"/>
      </w:pPr>
      <w:r>
        <w:t>围绕“3.3 系统流程设计”这一小节，本文进一步从业务目标、实现机制与预期效果三个层面进行补充说明。该补充有助于避免结论化表述，使章节论证更加完整。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从工程实践角度看，“3.3 系统流程设计”与系统其它模块存在明确的数据与流程关联。通过对该关联关系进行补充阐述，可提升论文内容的连续性与可答辩性。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3.3.1 用户登录认证流程</w:t>
      </w:r>
    </w:p>
    <w:p>
      <w:pPr>
        <w:spacing w:line="360" w:lineRule="auto" w:after="120"/>
        <w:ind w:firstLine="480"/>
      </w:pPr>
      <w:r>
        <w:rPr>
          <w:b w:val="0"/>
        </w:rPr>
        <w:t>用户提交账号密码后，后端校验状态与密码哈希，生成 user_sessions 令牌并返回前端；后续请求统一带 token，由 AuthInterceptor 完成会话合法性检查并写入鉴权上下文。</w:t>
      </w:r>
    </w:p>
    <w:p>
      <w:pPr>
        <w:spacing w:line="360" w:lineRule="auto" w:after="120"/>
        <w:ind w:firstLine="480"/>
      </w:pPr>
      <w:r>
        <w:t>登录认证流程是系统安全的入口环节，直接影响全局访问控制效果。通过统一鉴权链路与会话过期机制，系统能够在安全性与可用性之间取得平衡。</w:t>
      </w:r>
    </w:p>
    <w:p>
      <w:pPr>
        <w:pStyle w:val="4"/>
      </w:pPr>
      <w:r>
        <w:t>3.3.2 能源监测流程图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4432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onitor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43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图3 能源监测与采集流程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pStyle w:val="4"/>
      </w:pPr>
      <w:r>
        <w:t>3.3.3 优化节能流程图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44322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ptimiza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43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图4 能源优化与节能流程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pStyle w:val="4"/>
      </w:pPr>
      <w:r>
        <w:t>3.3.4 碳排放流程图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4432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arb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43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图5 碳排放监测与减排流程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pStyle w:val="4"/>
      </w:pPr>
      <w:r>
        <w:t>3.3.5 预测计划流程图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4432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foreca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43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图6 能源预测与供给计划流程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pStyle w:val="4"/>
      </w:pPr>
      <w:r>
        <w:t>3.3.6 报告下载流程图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44322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por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43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图7 报表生成与下载流程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spacing w:line="360" w:lineRule="auto" w:after="120"/>
        <w:ind w:firstLine="480"/>
      </w:pPr>
      <w:r>
        <w:t>流程图用于展示模块关键步骤和输入输出关系，帮助说明业务如何在系统中闭环执行。通过步骤化表达，能够避免仅凭文字描述造成的理解偏差。</w:t>
      </w:r>
    </w:p>
    <w:p>
      <w:pPr>
        <w:pStyle w:val="3"/>
      </w:pPr>
      <w:r>
        <w:t>3.4 系统功能模块设计</w:t>
      </w:r>
    </w:p>
    <w:p>
      <w:pPr>
        <w:spacing w:line="360" w:lineRule="auto" w:after="120"/>
        <w:ind w:firstLine="480"/>
      </w:pPr>
      <w:r>
        <w:rPr>
          <w:b w:val="0"/>
        </w:rPr>
        <w:t>系统模块设计遵循“高内聚、低耦合”原则：前端页面模块与后端业务模块一一对应；关键写操作统一记录审计日志；数据聚合类接口优先使用 SQL 统计，复杂流程在 Service 层封装。</w:t>
      </w:r>
    </w:p>
    <w:p>
      <w:pPr>
        <w:spacing w:line="360" w:lineRule="auto" w:after="120"/>
        <w:ind w:firstLine="480"/>
      </w:pPr>
      <w:r>
        <w:t>模块设计强调职责边界与协作关系，避免出现“一个模块承担过多职责”的问题。该设计策略有利于后续维护、测试和增量扩展。</w:t>
      </w:r>
    </w:p>
    <w:p>
      <w:pPr>
        <w:pStyle w:val="3"/>
      </w:pPr>
      <w:r>
        <w:t>3.5 数据库设计规范</w:t>
      </w:r>
    </w:p>
    <w:p>
      <w:pPr>
        <w:spacing w:line="360" w:lineRule="auto" w:after="120"/>
        <w:ind w:firstLine="480"/>
      </w:pPr>
      <w:r>
        <w:t>围绕“3.5 数据库设计规范”这一小节，本文进一步从业务目标、实现机制与预期效果三个层面进行补充说明。该补充有助于避免结论化表述，使章节论证更加完整。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从工程实践角度看，“3.5 数据库设计规范”与系统其它模块存在明确的数据与流程关联。通过对该关联关系进行补充阐述，可提升论文内容的连续性与可答辩性。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3.5.1 命名与字段规范</w:t>
      </w:r>
    </w:p>
    <w:p>
      <w:pPr>
        <w:spacing w:line="360" w:lineRule="auto" w:after="120"/>
        <w:ind w:firstLine="480"/>
      </w:pPr>
      <w:r>
        <w:rPr>
          <w:b w:val="0"/>
        </w:rPr>
        <w:t>数据库采用下划线命名风格，时间字段统一使用 created_at、timestamp、generated_at 等语义化命名。状态字段统一使用小写枚举值，便于后端归一化处理和前端标签映射。主键统一为 bigint 自增，保证扩展性与跨表关联一致性。</w:t>
      </w:r>
    </w:p>
    <w:p>
      <w:pPr>
        <w:spacing w:line="360" w:lineRule="auto" w:after="120"/>
        <w:ind w:firstLine="480"/>
      </w:pPr>
      <w:r>
        <w:t>统一命名规范可以降低沟通成本并减少字段映射错误。字段语义明确后，前后端协同与数据库维护都会更加稳定。</w:t>
      </w:r>
    </w:p>
    <w:p>
      <w:pPr>
        <w:pStyle w:val="4"/>
      </w:pPr>
      <w:r>
        <w:t>3.5.2 索引与查询策略</w:t>
      </w:r>
    </w:p>
    <w:p>
      <w:pPr>
        <w:spacing w:line="360" w:lineRule="auto" w:after="120"/>
        <w:ind w:firstLine="480"/>
      </w:pPr>
      <w:r>
        <w:rPr>
          <w:b w:val="0"/>
        </w:rPr>
        <w:t>会话表对 user_id 与 expires_at 建立索引，支撑快速鉴权与过期清理；监测类统计查询以时间窗口聚合为主，结合 limit 控制返回规模。对于报表列表和审计日志等查询场景，采用按时间倒序输出，确保最近操作优先可见。</w:t>
      </w:r>
    </w:p>
    <w:p>
      <w:pPr>
        <w:spacing w:line="360" w:lineRule="auto" w:after="120"/>
        <w:ind w:firstLine="480"/>
      </w:pPr>
      <w:r>
        <w:t>合理索引设计直接影响查询性能和系统吞吐能力。结合业务高频查询路径建立索引，是兼顾性能与存储成本的有效方式。</w:t>
      </w:r>
    </w:p>
    <w:p>
      <w:pPr>
        <w:pStyle w:val="4"/>
      </w:pPr>
      <w:r>
        <w:t>3.5.3 一致性与完整性设计</w:t>
      </w:r>
    </w:p>
    <w:p>
      <w:pPr>
        <w:spacing w:line="360" w:lineRule="auto" w:after="120"/>
        <w:ind w:firstLine="480"/>
      </w:pPr>
      <w:r>
        <w:rPr>
          <w:b w:val="0"/>
        </w:rPr>
        <w:t>系统在关键关系上使用外键约束，如 monitoring.device_id -&gt; devices.id、sessions.user_id -&gt; users.id，确保关联完整性。对于建议、报表等模块则通过业务约束维持一致性，避免不必要的强耦合。</w:t>
      </w:r>
    </w:p>
    <w:p>
      <w:pPr>
        <w:spacing w:line="360" w:lineRule="auto" w:after="120"/>
        <w:ind w:firstLine="480"/>
      </w:pPr>
      <w:r>
        <w:t>一致性设计确保系统在异常场景下仍能维持数据可信。通过外键约束与服务层校验协同，可显著降低脏数据和孤儿数据出现概率。</w:t>
      </w:r>
    </w:p>
    <w:p>
      <w:pPr>
        <w:pStyle w:val="3"/>
      </w:pPr>
      <w:r>
        <w:t>3.6 接口与数据交换设计</w:t>
      </w:r>
    </w:p>
    <w:p>
      <w:pPr>
        <w:spacing w:line="360" w:lineRule="auto" w:after="120"/>
        <w:ind w:firstLine="480"/>
      </w:pPr>
      <w:r>
        <w:t>围绕“3.6 接口与数据交换设计”这一小节，本文进一步从业务目标、实现机制与预期效果三个层面进行补充说明。该补充有助于避免结论化表述，使章节论证更加完整。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从工程实践角度看，“3.6 接口与数据交换设计”与系统其它模块存在明确的数据与流程关联。通过对该关联关系进行补充阐述，可提升论文内容的连续性与可答辩性。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3.6.1 接口分组策略</w:t>
      </w:r>
    </w:p>
    <w:p>
      <w:pPr>
        <w:spacing w:line="360" w:lineRule="auto" w:after="120"/>
        <w:ind w:firstLine="480"/>
      </w:pPr>
      <w:r>
        <w:rPr>
          <w:b w:val="0"/>
        </w:rPr>
        <w:t>接口采用按业务域分组的路径设计：/api/monitoring、/api/optimization、/api/carbon、/api/forecast、/api/reports。该分组方式使前端按页面模块组织请求时具有天然对应关系，便于定位问题和扩展接口。</w:t>
      </w:r>
    </w:p>
    <w:p>
      <w:pPr>
        <w:spacing w:line="360" w:lineRule="auto" w:after="120"/>
        <w:ind w:firstLine="480"/>
      </w:pPr>
      <w:r>
        <w:t>接口分组让业务边界更清晰，也便于前端模块化调用。该策略能够提升联调效率，并为接口版本化管理提供基础。</w:t>
      </w:r>
    </w:p>
    <w:p>
      <w:pPr>
        <w:pStyle w:val="4"/>
      </w:pPr>
      <w:r>
        <w:t>3.6.2 请求与响应规范</w:t>
      </w:r>
    </w:p>
    <w:p>
      <w:pPr>
        <w:spacing w:line="360" w:lineRule="auto" w:after="120"/>
        <w:ind w:firstLine="480"/>
      </w:pPr>
      <w:r>
        <w:rPr>
          <w:b w:val="0"/>
        </w:rPr>
        <w:t>写操作请求体采用 DTO 承接，字段在 Service 层做二次校验；查询接口返回统一键名，如 total_generated、total_consumed、avg_efficiency 等，避免前端多口径适配。异常响应统一携带状态码与 message 字段，提升联调效率。</w:t>
      </w:r>
    </w:p>
    <w:p>
      <w:pPr>
        <w:spacing w:line="360" w:lineRule="auto" w:after="120"/>
        <w:ind w:firstLine="480"/>
      </w:pPr>
      <w:r>
        <w:t>规范化的数据交换格式可以减少重复适配和转换代码。统一返回结构后，页面开发更专注于业务展示而非字段纠错。</w:t>
      </w:r>
    </w:p>
    <w:p>
      <w:pPr>
        <w:pStyle w:val="4"/>
      </w:pPr>
      <w:r>
        <w:t>3.6.3 状态码语义</w:t>
      </w:r>
    </w:p>
    <w:p>
      <w:pPr>
        <w:spacing w:line="360" w:lineRule="auto" w:after="120"/>
        <w:ind w:firstLine="480"/>
      </w:pPr>
      <w:r>
        <w:rPr>
          <w:b w:val="0"/>
        </w:rPr>
        <w:t>系统遵循 HTTP 状态码语义：200 表示查询或更新成功，201 可用于资源创建成功，400 表示参数非法，401 表示未认证或会话失效，403 表示权限不足，404 表示资源不存在。明确的状态码边界是前后端稳定协作的基础。</w:t>
      </w:r>
    </w:p>
    <w:p>
      <w:pPr>
        <w:spacing w:line="360" w:lineRule="auto" w:after="120"/>
        <w:ind w:firstLine="480"/>
      </w:pPr>
      <w:r>
        <w:t>明确状态码语义能够帮助调用方快速定位问题类型。该设计不仅提升调试效率，也增强了系统对外接口的工程规范性。</w:t>
      </w:r>
    </w:p>
    <w:p>
      <w:pPr>
        <w:pStyle w:val="3"/>
      </w:pPr>
      <w:r>
        <w:t>3.7 安全与审计设计</w:t>
      </w:r>
    </w:p>
    <w:p>
      <w:pPr>
        <w:spacing w:line="360" w:lineRule="auto" w:after="120"/>
        <w:ind w:firstLine="480"/>
      </w:pPr>
      <w:r>
        <w:t>围绕“3.7 安全与审计设计”这一小节，本文进一步从业务目标、实现机制与预期效果三个层面进行补充说明。该补充有助于避免结论化表述，使章节论证更加完整。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从工程实践角度看，“3.7 安全与审计设计”与系统其它模块存在明确的数据与流程关联。通过对该关联关系进行补充阐述，可提升论文内容的连续性与可答辩性。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3.7.1 会话安全设计</w:t>
      </w:r>
    </w:p>
    <w:p>
      <w:pPr>
        <w:spacing w:line="360" w:lineRule="auto" w:after="120"/>
        <w:ind w:firstLine="480"/>
      </w:pPr>
      <w:r>
        <w:rPr>
          <w:b w:val="0"/>
        </w:rPr>
        <w:t>登录成功后系统创建随机 token 并写入 user_sessions，设置 expires_at 控制会话生命周期。每次请求均通过拦截器解析并校验 token，过期会话在解析阶段清理，防止长期无效会话堆积。</w:t>
      </w:r>
    </w:p>
    <w:p>
      <w:pPr>
        <w:spacing w:line="360" w:lineRule="auto" w:after="120"/>
        <w:ind w:firstLine="480"/>
      </w:pPr>
      <w:r>
        <w:t>会话安全设计强调令牌生命周期管理与失效控制。通过过期清理和用户状态校验，系统能够有效避免无效会话长期滞留。</w:t>
      </w:r>
    </w:p>
    <w:p>
      <w:pPr>
        <w:pStyle w:val="4"/>
      </w:pPr>
      <w:r>
        <w:t>3.7.2 权限边界设计</w:t>
      </w:r>
    </w:p>
    <w:p>
      <w:pPr>
        <w:spacing w:line="360" w:lineRule="auto" w:after="120"/>
        <w:ind w:firstLine="480"/>
      </w:pPr>
      <w:r>
        <w:rPr>
          <w:b w:val="0"/>
        </w:rPr>
        <w:t>角色权限遵循“最小授权”原则：viewer 仅可读，manager 可执行业务管理操作，admin 负责系统管理与审计查询。权限边界在前端路由与后端服务双层生效，有效降低越权访问风险。</w:t>
      </w:r>
    </w:p>
    <w:p>
      <w:pPr>
        <w:spacing w:line="360" w:lineRule="auto" w:after="120"/>
        <w:ind w:firstLine="480"/>
      </w:pPr>
      <w:r>
        <w:t>权限边界需要在页面层和接口层同时生效，才能形成真正有效的访问控制。双层校验策略能够防止前端绕过导致的数据越权。</w:t>
      </w:r>
    </w:p>
    <w:p>
      <w:pPr>
        <w:pStyle w:val="4"/>
      </w:pPr>
      <w:r>
        <w:t>3.7.3 审计追踪设计</w:t>
      </w:r>
    </w:p>
    <w:p>
      <w:pPr>
        <w:spacing w:line="360" w:lineRule="auto" w:after="120"/>
        <w:ind w:firstLine="480"/>
      </w:pPr>
      <w:r>
        <w:rPr>
          <w:b w:val="0"/>
        </w:rPr>
        <w:t>系统将关键写操作记录至 operation_logs，包含模块、动作、目标对象、操作者、角色与时间。该机制使系统具备可追溯性，在答辩中可证明系统不仅实现业务功能，还具备基础治理能力。</w:t>
      </w:r>
    </w:p>
    <w:p>
      <w:pPr>
        <w:spacing w:line="360" w:lineRule="auto" w:after="120"/>
        <w:ind w:firstLine="480"/>
      </w:pPr>
      <w:r>
        <w:t>审计追踪是系统治理能力的重要体现，可为问题排查和责任认定提供证据链。通过统一记录关键操作，可提升系统可管理性和可信度。</w:t>
      </w:r>
    </w:p>
    <w:p>
      <w:pPr>
        <w:pStyle w:val="3"/>
      </w:pPr>
      <w:r>
        <w:t>3.8 本章小结</w:t>
      </w:r>
    </w:p>
    <w:p>
      <w:pPr>
        <w:spacing w:line="360" w:lineRule="auto" w:after="120"/>
        <w:ind w:firstLine="480"/>
      </w:pPr>
      <w:r>
        <w:rPr>
          <w:b w:val="0"/>
        </w:rPr>
        <w:t>本章从架构、数据库、接口、流程、安全与审计多个维度给出系统设计方案，并通过图示完成了可视化表达。这些设计决策均与后续代码实现一一对应，保证了“设计可落地、实现可验证、答辩可说明”。</w:t>
      </w:r>
    </w:p>
    <w:p>
      <w:pPr>
        <w:spacing w:line="360" w:lineRule="auto" w:after="120"/>
        <w:ind w:firstLine="480"/>
      </w:pPr>
      <w:r>
        <w:t>本章小结建议从“核心结论、实现价值、后续衔接”三个角度归纳。这样既能强化章节重点，也便于读者理解下一章的展开逻辑。</w:t>
      </w:r>
    </w:p>
    <w:p>
      <w:pPr>
        <w:pStyle w:val="2"/>
      </w:pPr>
      <w:r>
        <w:t>4 系统实现</w:t>
      </w:r>
    </w:p>
    <w:p>
      <w:pPr>
        <w:pStyle w:val="3"/>
      </w:pPr>
      <w:r>
        <w:t>4.1 用户认证与权限控制实现</w:t>
      </w:r>
    </w:p>
    <w:p>
      <w:pPr>
        <w:spacing w:line="360" w:lineRule="auto" w:after="120"/>
        <w:ind w:firstLine="480"/>
      </w:pPr>
      <w:r>
        <w:rPr>
          <w:b w:val="0"/>
        </w:rPr>
        <w:t>认证模块由 AuthController、AuthService、AuthInterceptor 协同完成。登录成功后生成随机 token，并写入 user_sessions 表；请求进入后端时统一进行会话校验，未通过则返回 401。</w:t>
      </w:r>
    </w:p>
    <w:p>
      <w:pPr>
        <w:spacing w:line="360" w:lineRule="auto" w:after="120"/>
        <w:ind w:firstLine="480"/>
      </w:pPr>
      <w:r>
        <w:rPr>
          <w:b w:val="0"/>
        </w:rPr>
        <w:t>角色设计为 admin/manager/viewer：前端路由守卫对页面访问进行约束，后端对关键操作做二次权限校验，并记录 operation_logs 审计日志，保证权限链闭环。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680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4-17 10575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图1 认证与控制台运行界面（屏幕截图 2026-04-17 105759.png）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6751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台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7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图2 认证与控制台运行界面（控制台_1.png）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6709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台_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7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图3 认证与控制台运行界面（控制台_2.png）</w:t>
      </w:r>
    </w:p>
    <w:p>
      <w:pPr>
        <w:pStyle w:val="4"/>
      </w:pPr>
      <w:r>
        <w:t>4.1.1 登录流程关键实现点</w:t>
      </w:r>
    </w:p>
    <w:p>
      <w:pPr>
        <w:spacing w:line="360" w:lineRule="auto" w:after="120"/>
        <w:ind w:firstLine="480"/>
      </w:pPr>
      <w:r>
        <w:rPr>
          <w:b w:val="0"/>
        </w:rPr>
        <w:t>AuthController 负责接收登录请求，AuthService 负责账号状态校验、密码哈希匹配、会话创建与用户最近登录时间更新。在登录成功后，前端将 token 与用户信息写入本地会话状态，后续请求自动携带 Authorization 头，保证用户无需重复登录即可连续操作。</w:t>
      </w:r>
    </w:p>
    <w:p>
      <w:pPr>
        <w:spacing w:line="360" w:lineRule="auto" w:after="120"/>
        <w:ind w:firstLine="480"/>
      </w:pPr>
      <w:r>
        <w:t>该实现点体现了控制层与服务层职责分离的设计思想。控制层专注参数接收，服务层专注鉴权逻辑和会话管理，结构清晰且便于维护。</w:t>
      </w:r>
    </w:p>
    <w:p>
      <w:pPr>
        <w:pStyle w:val="4"/>
      </w:pPr>
      <w:r>
        <w:t>4.1.2 拦截器鉴权实现点</w:t>
      </w:r>
    </w:p>
    <w:p>
      <w:pPr>
        <w:spacing w:line="360" w:lineRule="auto" w:after="120"/>
        <w:ind w:firstLine="480"/>
      </w:pPr>
      <w:r>
        <w:rPr>
          <w:b w:val="0"/>
        </w:rPr>
        <w:t>AuthInterceptor 对 /api/** 请求统一拦截，优先放行健康检查、登录接口与 OPTIONS 请求。其余请求通过 resolveToken 提取 token 后校验会话有效性，校验成功则将用户身份写入请求上下文。若校验失败返回 401，前端拦截器统一跳转登录页并提示会话已失效。</w:t>
      </w:r>
    </w:p>
    <w:p>
      <w:pPr>
        <w:spacing w:line="360" w:lineRule="auto" w:after="120"/>
        <w:ind w:firstLine="480"/>
      </w:pPr>
      <w:r>
        <w:t>拦截器把重复鉴权逻辑从业务接口中抽离，避免代码分散。统一拦截还能保证系统在新增接口时自动继承安全策略。</w:t>
      </w:r>
    </w:p>
    <w:p>
      <w:pPr>
        <w:pStyle w:val="4"/>
      </w:pPr>
      <w:r>
        <w:t>4.1.3 用户与角色管理实现点</w:t>
      </w:r>
    </w:p>
    <w:p>
      <w:pPr>
        <w:spacing w:line="360" w:lineRule="auto" w:after="120"/>
        <w:ind w:firstLine="480"/>
      </w:pPr>
      <w:r>
        <w:rPr>
          <w:b w:val="0"/>
        </w:rPr>
        <w:t>用户管理接口提供用户新增、修改、删除、状态切换及密码重置能力。角色字段在服务层归一化并做合法值校验，防止非法角色写入。当管理员修改用户密码时，系统会清理该用户历史会话，保证安全策略即时生效。</w:t>
      </w:r>
    </w:p>
    <w:p>
      <w:pPr>
        <w:spacing w:line="360" w:lineRule="auto" w:after="120"/>
        <w:ind w:firstLine="480"/>
      </w:pPr>
      <w:r>
        <w:t>用户与角色管理不仅是后台管理功能，也是权限体系稳定运行的基础。通过角色规范化与状态控制，可保证权限策略长期可维护。</w:t>
      </w:r>
    </w:p>
    <w:p>
      <w:pPr>
        <w:pStyle w:val="3"/>
      </w:pPr>
      <w:r>
        <w:t>4.2 能源监测与数据采集模块实现</w:t>
      </w:r>
    </w:p>
    <w:p>
      <w:pPr>
        <w:spacing w:line="360" w:lineRule="auto" w:after="120"/>
        <w:ind w:firstLine="480"/>
      </w:pPr>
      <w:r>
        <w:rPr>
          <w:b w:val="0"/>
        </w:rPr>
        <w:t>监测模块支持设备管理与采集记录管理。设备管理包含新增、编辑、软删除；采集记录支持新增、编辑、删除、按设备查询与按时间查询。</w:t>
      </w:r>
    </w:p>
    <w:p>
      <w:pPr>
        <w:spacing w:line="360" w:lineRule="auto" w:after="120"/>
        <w:ind w:firstLine="480"/>
      </w:pPr>
      <w:r>
        <w:rPr>
          <w:b w:val="0"/>
        </w:rPr>
        <w:t>在统计方面，系统提供今日汇总、按设备类型统计、实时数据列表与历史曲线，为后续优化与预测提供数据基础。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68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能源检测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图4 能源监测模块运行效果（能源检测_1.png）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0533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能源检测_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5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图5 能源监测模块运行效果（能源检测_2.png）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909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能源检测_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图6 能源监测模块运行效果（能源检测_3.png）</w:t>
      </w:r>
    </w:p>
    <w:p>
      <w:pPr>
        <w:pStyle w:val="4"/>
      </w:pPr>
      <w:r>
        <w:t>4.2.1 设备管理实现</w:t>
      </w:r>
    </w:p>
    <w:p>
      <w:pPr>
        <w:spacing w:line="360" w:lineRule="auto" w:after="120"/>
        <w:ind w:firstLine="480"/>
      </w:pPr>
      <w:r>
        <w:rPr>
          <w:b w:val="0"/>
        </w:rPr>
        <w:t>设备管理对应 energy_devices 表，支持设备类型、容量、位置、安装日期、状态维护。删除采用状态置为 deleted 的方式，避免历史监测数据失去关联。该策略兼顾了数据完整性与业务可解释性。</w:t>
      </w:r>
    </w:p>
    <w:p>
      <w:pPr>
        <w:spacing w:line="360" w:lineRule="auto" w:after="120"/>
        <w:ind w:firstLine="480"/>
      </w:pPr>
      <w:r>
        <w:t>设备管理是监测模块的数据入口，字段完整性直接影响后续统计与预测质量。通过状态管理和信息维护，可确保采集链路稳定运行。</w:t>
      </w:r>
    </w:p>
    <w:p>
      <w:pPr>
        <w:pStyle w:val="4"/>
      </w:pPr>
      <w:r>
        <w:t>4.2.2 采集记录实现</w:t>
      </w:r>
    </w:p>
    <w:p>
      <w:pPr>
        <w:spacing w:line="360" w:lineRule="auto" w:after="120"/>
        <w:ind w:firstLine="480"/>
      </w:pPr>
      <w:r>
        <w:rPr>
          <w:b w:val="0"/>
        </w:rPr>
        <w:t>采集记录写入时，系统先校验设备存在且状态为 active，再入库 energy_monitoring。记录包含发电量、耗电量、效率、温度、湿度等字段，可覆盖能源监测核心指标。对于可空数值统一在服务层做默认值兜底，避免前端提交空值导致统计异常。</w:t>
      </w:r>
    </w:p>
    <w:p>
      <w:pPr>
        <w:spacing w:line="360" w:lineRule="auto" w:after="120"/>
        <w:ind w:firstLine="480"/>
      </w:pPr>
      <w:r>
        <w:t>采集记录是系统的核心事实数据，决定了优化和预测结果是否可信。服务层的参数兜底和设备校验可以有效提升数据质量。</w:t>
      </w:r>
    </w:p>
    <w:p>
      <w:pPr>
        <w:pStyle w:val="4"/>
      </w:pPr>
      <w:r>
        <w:t>4.2.3 统计查询实现</w:t>
      </w:r>
    </w:p>
    <w:p>
      <w:pPr>
        <w:spacing w:line="360" w:lineRule="auto" w:after="120"/>
        <w:ind w:firstLine="480"/>
      </w:pPr>
      <w:r>
        <w:rPr>
          <w:b w:val="0"/>
        </w:rPr>
        <w:t>监测模块提供实时数据、历史查询、今日统计、按设备类型统计等接口。统计接口采用 SQL 聚合实现，减少 Java 层循环计算成本，提升接口响应效率。前端页面通过一次并发请求拉取多维统计并驱动图表渲染。</w:t>
      </w:r>
    </w:p>
    <w:p>
      <w:pPr>
        <w:spacing w:line="360" w:lineRule="auto" w:after="120"/>
        <w:ind w:firstLine="480"/>
      </w:pPr>
      <w:r>
        <w:t>统计查询承担了从原始数据到决策指标的转换工作。通过聚合接口统一输出关键指标，可显著降低前端计算复杂度。</w:t>
      </w:r>
    </w:p>
    <w:p>
      <w:pPr>
        <w:pStyle w:val="3"/>
      </w:pPr>
      <w:r>
        <w:t>4.3 能源优化与节能管理模块实现</w:t>
      </w:r>
    </w:p>
    <w:p>
      <w:pPr>
        <w:spacing w:line="360" w:lineRule="auto" w:after="120"/>
        <w:ind w:firstLine="480"/>
      </w:pPr>
      <w:r>
        <w:rPr>
          <w:b w:val="0"/>
        </w:rPr>
        <w:t>优化模块通过近 7 日监测数据计算利用率、盈余和平均效率，根据阈值规则自动生成建议。建议支持优先级、状态和潜在节能量管理，支持人工编辑和执行追踪。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598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节能管理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5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图7 节能优化模块运行效果（节能管理_1.png）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13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节能管理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图8 节能优化模块运行效果（节能管理_2.png）</w:t>
      </w:r>
    </w:p>
    <w:p>
      <w:pPr>
        <w:spacing w:line="360" w:lineRule="auto" w:after="120"/>
        <w:ind w:firstLine="480"/>
      </w:pPr>
      <w:r>
        <w:t>围绕“4.3 能源优化与节能管理模块实现”这一小节，本文进一步从业务目标、实现机制与预期效果三个层面进行补充说明。该补充有助于避免结论化表述，使章节论证更加完整。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4.3.1 分析指标计算实现</w:t>
      </w:r>
    </w:p>
    <w:p>
      <w:pPr>
        <w:spacing w:line="360" w:lineRule="auto" w:after="120"/>
        <w:ind w:firstLine="480"/>
      </w:pPr>
      <w:r>
        <w:rPr>
          <w:b w:val="0"/>
        </w:rPr>
        <w:t>系统读取近 7 日发电与耗电明细，计算 totalGenerated、totalConsumed、surplus、avgEfficiency 与 utilizationRate。这些指标用于衡量当前能源利用质量，并作为自动建议生成的依据。若利用率偏低或效率偏低，系统会生成对应类型建议。</w:t>
      </w:r>
    </w:p>
    <w:p>
      <w:pPr>
        <w:spacing w:line="360" w:lineRule="auto" w:after="120"/>
        <w:ind w:firstLine="480"/>
      </w:pPr>
      <w:r>
        <w:t>分析指标的设计应兼顾可解释性与可操作性，避免仅提供抽象分值。当前指标体系能够直接映射到设备维护、负荷调整等实际动作。</w:t>
      </w:r>
    </w:p>
    <w:p>
      <w:pPr>
        <w:pStyle w:val="4"/>
      </w:pPr>
      <w:r>
        <w:t>4.3.2 建议自动生成规则</w:t>
      </w:r>
    </w:p>
    <w:p>
      <w:pPr>
        <w:spacing w:line="360" w:lineRule="auto" w:after="120"/>
        <w:ind w:firstLine="480"/>
      </w:pPr>
      <w:r>
        <w:rPr>
          <w:b w:val="0"/>
        </w:rPr>
        <w:t>自动建议主要包括效率优化、利用率优化、储能扩展三类。规则引擎根据阈值触发：如平均效率低于 80%、盈余占比过高等。每条建议附带优先级和潜在节省值，便于管理者进行执行排序。</w:t>
      </w:r>
    </w:p>
    <w:p>
      <w:pPr>
        <w:spacing w:line="360" w:lineRule="auto" w:after="120"/>
        <w:ind w:firstLine="480"/>
      </w:pPr>
      <w:r>
        <w:t>规则化建议生成可以让系统输出具备明确依据，便于管理者理解与执行。该机制也为后续引入模型驱动策略提供了可对照基线。</w:t>
      </w:r>
    </w:p>
    <w:p>
      <w:pPr>
        <w:pStyle w:val="4"/>
      </w:pPr>
      <w:r>
        <w:t>4.3.3 建议生命周期管理</w:t>
      </w:r>
    </w:p>
    <w:p>
      <w:pPr>
        <w:spacing w:line="360" w:lineRule="auto" w:after="120"/>
        <w:ind w:firstLine="480"/>
      </w:pPr>
      <w:r>
        <w:rPr>
          <w:b w:val="0"/>
        </w:rPr>
        <w:t>建议记录支持 pending、implemented 等状态切换，可实现从“发现问题”到“执行闭环”的全过程跟踪。通过状态与节省统计联动，系统能够持续评估优化措施的实际成效。</w:t>
      </w:r>
    </w:p>
    <w:p>
      <w:pPr>
        <w:spacing w:line="360" w:lineRule="auto" w:after="120"/>
        <w:ind w:firstLine="480"/>
      </w:pPr>
      <w:r>
        <w:t>生命周期管理确保建议从提出到执行形成闭环，而非停留在列表展示。状态跟踪与统计联动可帮助评估节能措施真实效果。</w:t>
      </w:r>
    </w:p>
    <w:p>
      <w:pPr>
        <w:pStyle w:val="3"/>
      </w:pPr>
      <w:r>
        <w:t>4.4 碳排放监测与减排模块实现</w:t>
      </w:r>
    </w:p>
    <w:p>
      <w:pPr>
        <w:spacing w:line="360" w:lineRule="auto" w:after="120"/>
        <w:ind w:firstLine="480"/>
      </w:pPr>
      <w:r>
        <w:rPr>
          <w:b w:val="0"/>
        </w:rPr>
        <w:t>碳排模块以能源类型排放因子为基础计算碳排放量，并提供来源分解、趋势分析、减排策略推荐和碳中和进度展示。该模块实现了碳排记录的完整 CRUD 与统计分析。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739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碳排放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7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图9 碳排放模块运行效果（碳排放_1.png）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529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碳排放_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5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图10 碳排放模块运行效果（碳排放_2.png）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662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碳排放_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6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图11 碳排放模块运行效果（碳排放_3.png）</w:t>
      </w:r>
    </w:p>
    <w:p>
      <w:pPr>
        <w:spacing w:line="360" w:lineRule="auto" w:after="120"/>
        <w:ind w:firstLine="480"/>
      </w:pPr>
      <w:r>
        <w:t>围绕“4.4 碳排放监测与减排模块实现”这一小节，本文进一步从业务目标、实现机制与预期效果三个层面进行补充说明。该补充有助于避免结论化表述，使章节论证更加完整。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4.4.1 排放因子计算实现</w:t>
      </w:r>
    </w:p>
    <w:p>
      <w:pPr>
        <w:spacing w:line="360" w:lineRule="auto" w:after="120"/>
        <w:ind w:firstLine="480"/>
      </w:pPr>
      <w:r>
        <w:rPr>
          <w:b w:val="0"/>
        </w:rPr>
        <w:t>系统内置 solar、wind、biomass、grid、diesel、natural_gas 等能源来源因子。当用户提交用能量后，服务层自动匹配因子并计算 carbon_emission，避免前端人工计算带来的误差。该设计将碳核算逻辑集中于后端，便于统一维护。</w:t>
      </w:r>
    </w:p>
    <w:p>
      <w:pPr>
        <w:spacing w:line="360" w:lineRule="auto" w:after="120"/>
        <w:ind w:firstLine="480"/>
      </w:pPr>
      <w:r>
        <w:t>排放因子计算是碳排模块的基础，直接影响统计口径一致性。统一在后端计算可避免前端口径不一致导致的数据偏差。</w:t>
      </w:r>
    </w:p>
    <w:p>
      <w:pPr>
        <w:pStyle w:val="4"/>
      </w:pPr>
      <w:r>
        <w:t>4.4.2 趋势与分解分析实现</w:t>
      </w:r>
    </w:p>
    <w:p>
      <w:pPr>
        <w:spacing w:line="360" w:lineRule="auto" w:after="120"/>
        <w:ind w:firstLine="480"/>
      </w:pPr>
      <w:r>
        <w:rPr>
          <w:b w:val="0"/>
        </w:rPr>
        <w:t>趋势分析按日期聚合近 30 日排放并计算变化率，输出 increasing/decreasing 趋势结论。来源分解按能源来源分组统计总排放和总能耗，用于识别排放贡献最高来源。管理者可据此确定优先治理对象。</w:t>
      </w:r>
    </w:p>
    <w:p>
      <w:pPr>
        <w:spacing w:line="360" w:lineRule="auto" w:after="120"/>
        <w:ind w:firstLine="480"/>
      </w:pPr>
      <w:r>
        <w:t>趋势与分解分析帮助管理者从时间维度和来源维度双向定位问题。该分析结果可直接支撑减排优先级制定。</w:t>
      </w:r>
    </w:p>
    <w:p>
      <w:pPr>
        <w:pStyle w:val="4"/>
      </w:pPr>
      <w:r>
        <w:t>4.4.3 减排策略输出实现</w:t>
      </w:r>
    </w:p>
    <w:p>
      <w:pPr>
        <w:spacing w:line="360" w:lineRule="auto" w:after="120"/>
        <w:ind w:firstLine="480"/>
      </w:pPr>
      <w:r>
        <w:rPr>
          <w:b w:val="0"/>
        </w:rPr>
        <w:t>系统基于来源占比与总排放阈值生成策略建议，例如提升可再生占比、替换高排放设备、优化生物质系统等。策略中包含优先级与潜在减排量，便于管理者制定阶段性执行计划。</w:t>
      </w:r>
    </w:p>
    <w:p>
      <w:pPr>
        <w:spacing w:line="360" w:lineRule="auto" w:after="120"/>
        <w:ind w:firstLine="480"/>
      </w:pPr>
      <w:r>
        <w:t>策略输出应兼顾可执行性和优先级，避免过于抽象。通过绑定潜在减排量，管理者可以更直观地进行投入产出判断。</w:t>
      </w:r>
    </w:p>
    <w:p>
      <w:pPr>
        <w:pStyle w:val="3"/>
      </w:pPr>
      <w:r>
        <w:t>4.5 预测与计划模块实现</w:t>
      </w:r>
    </w:p>
    <w:p>
      <w:pPr>
        <w:spacing w:line="360" w:lineRule="auto" w:after="120"/>
        <w:ind w:firstLine="480"/>
      </w:pPr>
      <w:r>
        <w:rPr>
          <w:b w:val="0"/>
        </w:rPr>
        <w:t>预测模块读取历史监测数据，结合趋势与季节系数生成未来需求预测；同时提供需求计划建议（日目标、峰值预案、储备值）并支持预测记录保存与精度分析接口。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04550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测计划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图12 预测计划模块运行效果（预测计划.png）</w:t>
      </w:r>
    </w:p>
    <w:p>
      <w:pPr>
        <w:spacing w:line="360" w:lineRule="auto" w:after="120"/>
        <w:ind w:firstLine="480"/>
      </w:pPr>
      <w:r>
        <w:t>围绕“4.5 预测与计划模块实现”这一小节，本文进一步从业务目标、实现机制与预期效果三个层面进行补充说明。该补充有助于避免结论化表述，使章节论证更加完整。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4.5.1 预测模型实现</w:t>
      </w:r>
    </w:p>
    <w:p>
      <w:pPr>
        <w:spacing w:line="360" w:lineRule="auto" w:after="120"/>
        <w:ind w:firstLine="480"/>
      </w:pPr>
      <w:r>
        <w:rPr>
          <w:b w:val="0"/>
        </w:rPr>
        <w:t>系统在 ForecastService 中实现了轻量综合预测方法：先提取近 30 日历史序列，再计算趋势项与季节修正项，最终输出未来 N 天预测值。该方法可解释性强，适合毕业设计场景的展示与答辩。</w:t>
      </w:r>
    </w:p>
    <w:p>
      <w:pPr>
        <w:spacing w:line="360" w:lineRule="auto" w:after="120"/>
        <w:ind w:firstLine="480"/>
      </w:pPr>
      <w:r>
        <w:t>预测模型实现强调在可解释与可落地之间取得平衡。当前方法可作为工程基线，后续可逐步替换为更高精度模型。</w:t>
      </w:r>
    </w:p>
    <w:p>
      <w:pPr>
        <w:pStyle w:val="4"/>
      </w:pPr>
      <w:r>
        <w:t>4.5.2 需求计划实现</w:t>
      </w:r>
    </w:p>
    <w:p>
      <w:pPr>
        <w:spacing w:line="360" w:lineRule="auto" w:after="120"/>
        <w:ind w:firstLine="480"/>
      </w:pPr>
      <w:r>
        <w:rPr>
          <w:b w:val="0"/>
        </w:rPr>
        <w:t>需求计划接口基于历史均值、峰值、低谷值生成 daily_target、peak_preparation、minimum_reserve。同时输出执行建议列表，指导农场在灌溉高峰或极端天气场景下提前准备能源。</w:t>
      </w:r>
    </w:p>
    <w:p>
      <w:pPr>
        <w:spacing w:line="360" w:lineRule="auto" w:after="120"/>
        <w:ind w:firstLine="480"/>
      </w:pPr>
      <w:r>
        <w:t>需求计划把预测结果转化为可执行指标，是连接分析与运维的关键环节。通过目标值和储备值设计，可提升农场能源调度的前瞻性。</w:t>
      </w:r>
    </w:p>
    <w:p>
      <w:pPr>
        <w:pStyle w:val="4"/>
      </w:pPr>
      <w:r>
        <w:t>4.5.3 精度分析实现</w:t>
      </w:r>
    </w:p>
    <w:p>
      <w:pPr>
        <w:spacing w:line="360" w:lineRule="auto" w:after="120"/>
        <w:ind w:firstLine="480"/>
      </w:pPr>
      <w:r>
        <w:rPr>
          <w:b w:val="0"/>
        </w:rPr>
        <w:t>系统通过预测值与实际值对比计算误差百分比与准确率，用于评估预测模型表现。精度分析结果可反向指导参数调整，形成“预测—校验—修正”的持续改进机制。</w:t>
      </w:r>
    </w:p>
    <w:p>
      <w:pPr>
        <w:spacing w:line="360" w:lineRule="auto" w:after="120"/>
        <w:ind w:firstLine="480"/>
      </w:pPr>
      <w:r>
        <w:t>精度分析使预测模块具备自我校验能力，有助于持续优化参数。该机制能够避免预测结果长期偏离而不被发现。</w:t>
      </w:r>
    </w:p>
    <w:p>
      <w:pPr>
        <w:pStyle w:val="3"/>
      </w:pPr>
      <w:r>
        <w:t>4.6 报告中心与 PDF 下载实现</w:t>
      </w:r>
    </w:p>
    <w:p>
      <w:pPr>
        <w:spacing w:line="360" w:lineRule="auto" w:after="120"/>
        <w:ind w:firstLine="480"/>
      </w:pPr>
      <w:r>
        <w:rPr>
          <w:b w:val="0"/>
        </w:rPr>
        <w:t>报告模块聚合能源、碳排、优化三类统计结果，通过 OpenPDF 生成报告文件并落库记录。下载接口会进行路径归一化校验，防止非法路径访问，确保文件访问安全。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375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报告中心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3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t>图13 报告中心运行效果（报告中心.png）</w:t>
      </w:r>
    </w:p>
    <w:p>
      <w:pPr>
        <w:spacing w:line="360" w:lineRule="auto" w:after="120"/>
        <w:ind w:firstLine="480"/>
      </w:pPr>
      <w:r>
        <w:t>围绕“4.6 报告中心与 PDF 下载实现”这一小节，本文进一步从业务目标、实现机制与预期效果三个层面进行补充说明。该补充有助于避免结论化表述，使章节论证更加完整。</w:t>
      </w:r>
    </w:p>
    <w:p>
      <w:pPr>
        <w:pStyle w:val="4"/>
      </w:pPr>
      <w:r>
        <w:t>4.6.1 报表聚合实现</w:t>
      </w:r>
    </w:p>
    <w:p>
      <w:pPr>
        <w:spacing w:line="360" w:lineRule="auto" w:after="120"/>
        <w:ind w:firstLine="480"/>
      </w:pPr>
      <w:r>
        <w:rPr>
          <w:b w:val="0"/>
        </w:rPr>
        <w:t>报表模块分别提供能源报表、碳排报表、优化报表和综合报表接口。综合报表以统一数据结构返回 generated_at、period 及各子报表摘要，便于前端页面一次性展示多维结果。</w:t>
      </w:r>
    </w:p>
    <w:p>
      <w:pPr>
        <w:spacing w:line="360" w:lineRule="auto" w:after="120"/>
        <w:ind w:firstLine="480"/>
      </w:pPr>
      <w:r>
        <w:t>报表聚合通过统一结构整合多模块指标，降低信息分散问题。管理者可在一个页面中完成跨模块对比分析。</w:t>
      </w:r>
    </w:p>
    <w:p>
      <w:pPr>
        <w:pStyle w:val="4"/>
      </w:pPr>
      <w:r>
        <w:t>4.6.2 PDF 生成实现</w:t>
      </w:r>
    </w:p>
    <w:p>
      <w:pPr>
        <w:spacing w:line="360" w:lineRule="auto" w:after="120"/>
        <w:ind w:firstLine="480"/>
      </w:pPr>
      <w:r>
        <w:rPr>
          <w:b w:val="0"/>
        </w:rPr>
        <w:t>系统基于 OpenPDF 按固定模板输出标题、时间、核心统计与关键建议，并将文件写入 reports 目录。生成成功后同时写入 reports 表，记录 file_path 与状态，形成“文档文件 + 元数据记录”双存储结构。</w:t>
      </w:r>
    </w:p>
    <w:p>
      <w:pPr>
        <w:spacing w:line="360" w:lineRule="auto" w:after="120"/>
        <w:ind w:firstLine="480"/>
      </w:pPr>
      <w:r>
        <w:t>PDF 生成实现保证了结果可沉淀、可共享、可归档。文档化输出能够提升系统在管理汇报和答辩场景中的实用性。</w:t>
      </w:r>
    </w:p>
    <w:p>
      <w:pPr>
        <w:pStyle w:val="4"/>
      </w:pPr>
      <w:r>
        <w:t>4.6.3 下载安全实现</w:t>
      </w:r>
    </w:p>
    <w:p>
      <w:pPr>
        <w:spacing w:line="360" w:lineRule="auto" w:after="120"/>
        <w:ind w:firstLine="480"/>
      </w:pPr>
      <w:r>
        <w:rPr>
          <w:b w:val="0"/>
        </w:rPr>
        <w:t>下载接口根据文件名解析本地路径后执行 normalize，并校验目标路径必须位于报告目录内。若路径越界则立即拒绝请求。该机制有效阻断了路径穿越风险，是报告模块安全设计的关键点。</w:t>
      </w:r>
    </w:p>
    <w:p>
      <w:pPr>
        <w:spacing w:line="360" w:lineRule="auto" w:after="120"/>
        <w:ind w:firstLine="480"/>
      </w:pPr>
      <w:r>
        <w:t>下载安全实现是防止文件层面越权访问的关键措施。路径归一化与目录边界检查可显著降低安全风险。</w:t>
      </w:r>
    </w:p>
    <w:p>
      <w:pPr>
        <w:pStyle w:val="3"/>
      </w:pPr>
      <w:r>
        <w:t>4.7 前端实现要点补充</w:t>
      </w:r>
    </w:p>
    <w:p>
      <w:pPr>
        <w:spacing w:line="360" w:lineRule="auto" w:after="120"/>
        <w:ind w:firstLine="480"/>
      </w:pPr>
      <w:r>
        <w:rPr>
          <w:b w:val="0"/>
        </w:rPr>
        <w:t>前端采用页面级模块拆分：Dashboard、Monitoring、Optimization、Carbon、Forecast、Reports、Users、Audit。各页面统一通过 api/http.js 发起请求，请求拦截器自动注入 token，响应拦截器统一处理错误提示与 401 跳转。</w:t>
      </w:r>
    </w:p>
    <w:p>
      <w:pPr>
        <w:spacing w:line="360" w:lineRule="auto" w:after="120"/>
        <w:ind w:firstLine="480"/>
      </w:pPr>
      <w:r>
        <w:rPr>
          <w:b w:val="0"/>
        </w:rPr>
        <w:t>路由层通过 meta.roles 控制受限页面访问，确保 users、audit 等管理页面仅管理员可见。会话状态由 auth/session.js 统一维护，支持本地持久化恢复与角色能力判断，从而在刷新页面后仍保持登录态和菜单权限一致性。</w:t>
      </w:r>
    </w:p>
    <w:p>
      <w:pPr>
        <w:spacing w:line="360" w:lineRule="auto" w:after="120"/>
        <w:ind w:firstLine="480"/>
      </w:pPr>
      <w:r>
        <w:rPr>
          <w:b w:val="0"/>
        </w:rPr>
        <w:t>图表展示使用 ECharts，重点展示监测趋势、来源分解、节能建议与预测曲线。页面在 mounted 阶段并发拉取核心数据，结合 loading 状态与错误兜底提升交互体验。这部分实现保证了系统不仅“有数据”，而且“可看懂、可对比、可用于决策”。</w:t>
      </w:r>
    </w:p>
    <w:p>
      <w:pPr>
        <w:pStyle w:val="3"/>
      </w:pPr>
      <w:r>
        <w:t>4.8 本章小结</w:t>
      </w:r>
    </w:p>
    <w:p>
      <w:pPr>
        <w:spacing w:line="360" w:lineRule="auto" w:after="120"/>
        <w:ind w:firstLine="480"/>
      </w:pPr>
      <w:r>
        <w:rPr>
          <w:b w:val="0"/>
        </w:rPr>
        <w:t>本章从后端服务实现、前端页面实现、权限与安全实现、报表与文件实现四个维度给出了系统实现细节，并结合运行截图验证了功能可用性。至此，系统已具备完整的业务闭环与演示交付能力。</w:t>
      </w:r>
    </w:p>
    <w:p>
      <w:pPr>
        <w:spacing w:line="360" w:lineRule="auto" w:after="120"/>
        <w:ind w:firstLine="480"/>
      </w:pPr>
      <w:r>
        <w:t>本章小结建议从“核心结论、实现价值、后续衔接”三个角度归纳。这样既能强化章节重点，也便于读者理解下一章的展开逻辑。</w:t>
      </w:r>
    </w:p>
    <w:p>
      <w:pPr>
        <w:pStyle w:val="2"/>
      </w:pPr>
      <w:r>
        <w:t>5 系统测试</w:t>
      </w:r>
    </w:p>
    <w:p>
      <w:pPr>
        <w:pStyle w:val="3"/>
      </w:pPr>
      <w:r>
        <w:t>5.1 测试环境</w:t>
      </w:r>
    </w:p>
    <w:p>
      <w:pPr>
        <w:spacing w:line="360" w:lineRule="auto" w:after="120"/>
        <w:ind w:firstLine="480"/>
      </w:pPr>
      <w:r>
        <w:rPr>
          <w:b w:val="0"/>
        </w:rPr>
        <w:t>后端环境为 Java 17 + Spring Boot，前端环境为 Node.js + Vite，数据库为 MySQL/MariaDB，系统在 Windows 开发环境下完成联调测试。</w:t>
      </w:r>
    </w:p>
    <w:p>
      <w:pPr>
        <w:spacing w:line="360" w:lineRule="auto"/>
        <w:jc w:val="center"/>
      </w:pPr>
      <w:r>
        <w:t>表1 测试环境配置</w:t>
      </w:r>
    </w:p>
    <w:p>
      <w:pPr>
        <w:spacing w:line="360" w:lineRule="auto" w:after="120"/>
        <w:ind w:firstLine="480"/>
      </w:pPr>
      <w:r>
        <w:t>围绕“5.1 测试环境”这一小节，本文进一步从业务目标、实现机制与预期效果三个层面进行补充说明。该补充有助于避免结论化表述，使章节论证更加完整。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层级</w:t>
            </w:r>
          </w:p>
        </w:tc>
        <w:tc>
          <w:tcPr>
            <w:tcW w:type="dxa" w:w="2771"/>
          </w:tcPr>
          <w:p>
            <w:r>
              <w:t>技术组件</w:t>
            </w:r>
          </w:p>
        </w:tc>
        <w:tc>
          <w:tcPr>
            <w:tcW w:type="dxa" w:w="2771"/>
          </w:tcPr>
          <w:p>
            <w:r>
              <w:t>说明</w:t>
            </w:r>
          </w:p>
        </w:tc>
      </w:tr>
      <w:tr>
        <w:tc>
          <w:tcPr>
            <w:tcW w:type="dxa" w:w="2771"/>
          </w:tcPr>
          <w:p>
            <w:r>
              <w:t>前端</w:t>
            </w:r>
          </w:p>
        </w:tc>
        <w:tc>
          <w:tcPr>
            <w:tcW w:type="dxa" w:w="2771"/>
          </w:tcPr>
          <w:p>
            <w:r>
              <w:t>Vue 3 + Vite + Ant Design Vue</w:t>
            </w:r>
          </w:p>
        </w:tc>
        <w:tc>
          <w:tcPr>
            <w:tcW w:type="dxa" w:w="2771"/>
          </w:tcPr>
          <w:p>
            <w:r>
              <w:t>页面渲染、交互与图表展示</w:t>
            </w:r>
          </w:p>
        </w:tc>
      </w:tr>
      <w:tr>
        <w:tc>
          <w:tcPr>
            <w:tcW w:type="dxa" w:w="2771"/>
          </w:tcPr>
          <w:p>
            <w:r>
              <w:t>后端</w:t>
            </w:r>
          </w:p>
        </w:tc>
        <w:tc>
          <w:tcPr>
            <w:tcW w:type="dxa" w:w="2771"/>
          </w:tcPr>
          <w:p>
            <w:r>
              <w:t>Spring Boot + Spring Data JPA</w:t>
            </w:r>
          </w:p>
        </w:tc>
        <w:tc>
          <w:tcPr>
            <w:tcW w:type="dxa" w:w="2771"/>
          </w:tcPr>
          <w:p>
            <w:r>
              <w:t>业务逻辑与数据访问</w:t>
            </w:r>
          </w:p>
        </w:tc>
      </w:tr>
      <w:tr>
        <w:tc>
          <w:tcPr>
            <w:tcW w:type="dxa" w:w="2771"/>
          </w:tcPr>
          <w:p>
            <w:r>
              <w:t>数据库</w:t>
            </w:r>
          </w:p>
        </w:tc>
        <w:tc>
          <w:tcPr>
            <w:tcW w:type="dxa" w:w="2771"/>
          </w:tcPr>
          <w:p>
            <w:r>
              <w:t>MySQL/MariaDB</w:t>
            </w:r>
          </w:p>
        </w:tc>
        <w:tc>
          <w:tcPr>
            <w:tcW w:type="dxa" w:w="2771"/>
          </w:tcPr>
          <w:p>
            <w:r>
              <w:t>业务数据持久化</w:t>
            </w:r>
          </w:p>
        </w:tc>
      </w:tr>
      <w:tr>
        <w:tc>
          <w:tcPr>
            <w:tcW w:type="dxa" w:w="2771"/>
          </w:tcPr>
          <w:p>
            <w:r>
              <w:t>报表</w:t>
            </w:r>
          </w:p>
        </w:tc>
        <w:tc>
          <w:tcPr>
            <w:tcW w:type="dxa" w:w="2771"/>
          </w:tcPr>
          <w:p>
            <w:r>
              <w:t>OpenPDF</w:t>
            </w:r>
          </w:p>
        </w:tc>
        <w:tc>
          <w:tcPr>
            <w:tcW w:type="dxa" w:w="2771"/>
          </w:tcPr>
          <w:p>
            <w:r>
              <w:t>PDF 报告生成</w:t>
            </w:r>
          </w:p>
        </w:tc>
      </w:tr>
      <w:tr>
        <w:tc>
          <w:tcPr>
            <w:tcW w:type="dxa" w:w="2771"/>
          </w:tcPr>
          <w:p>
            <w:r>
              <w:t>运行环境</w:t>
            </w:r>
          </w:p>
        </w:tc>
        <w:tc>
          <w:tcPr>
            <w:tcW w:type="dxa" w:w="2771"/>
          </w:tcPr>
          <w:p>
            <w:r>
              <w:t>Windows + JDK 17 + Node.js</w:t>
            </w:r>
          </w:p>
        </w:tc>
        <w:tc>
          <w:tcPr>
            <w:tcW w:type="dxa" w:w="2771"/>
          </w:tcPr>
          <w:p>
            <w:r>
              <w:t>开发测试联调</w:t>
            </w:r>
          </w:p>
        </w:tc>
      </w:tr>
    </w:tbl>
    <w:p>
      <w:pPr>
        <w:pStyle w:val="3"/>
      </w:pPr>
      <w:r>
        <w:t>5.2 功能测试</w:t>
      </w:r>
    </w:p>
    <w:p>
      <w:pPr>
        <w:spacing w:line="360" w:lineRule="auto" w:after="120"/>
        <w:ind w:firstLine="480"/>
      </w:pPr>
      <w:r>
        <w:rPr>
          <w:b w:val="0"/>
        </w:rPr>
        <w:t>功能测试覆盖登录鉴权、角色访问控制、模块 CRUD、统计图表、预测分析、PDF 生成下载等核心路径。测试结果显示：各模块主要业务流程可稳定闭环，异常输入可得到正确提示。</w:t>
      </w:r>
    </w:p>
    <w:p>
      <w:pPr>
        <w:spacing w:line="360" w:lineRule="auto"/>
        <w:jc w:val="center"/>
      </w:pPr>
      <w:r>
        <w:t>表2 核心功能测试用例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t>测试模块</w:t>
            </w:r>
          </w:p>
        </w:tc>
        <w:tc>
          <w:tcPr>
            <w:tcW w:type="dxa" w:w="2078"/>
          </w:tcPr>
          <w:p>
            <w:r>
              <w:t>测试点</w:t>
            </w:r>
          </w:p>
        </w:tc>
        <w:tc>
          <w:tcPr>
            <w:tcW w:type="dxa" w:w="2078"/>
          </w:tcPr>
          <w:p>
            <w:r>
              <w:t>期望结果</w:t>
            </w:r>
          </w:p>
        </w:tc>
        <w:tc>
          <w:tcPr>
            <w:tcW w:type="dxa" w:w="2078"/>
          </w:tcPr>
          <w:p>
            <w:r>
              <w:t>结果</w:t>
            </w:r>
          </w:p>
        </w:tc>
      </w:tr>
      <w:tr>
        <w:tc>
          <w:tcPr>
            <w:tcW w:type="dxa" w:w="2078"/>
          </w:tcPr>
          <w:p>
            <w:r>
              <w:t>认证模块</w:t>
            </w:r>
          </w:p>
        </w:tc>
        <w:tc>
          <w:tcPr>
            <w:tcW w:type="dxa" w:w="2078"/>
          </w:tcPr>
          <w:p>
            <w:r>
              <w:t>登录/退出/会话过期</w:t>
            </w:r>
          </w:p>
        </w:tc>
        <w:tc>
          <w:tcPr>
            <w:tcW w:type="dxa" w:w="2078"/>
          </w:tcPr>
          <w:p>
            <w:r>
              <w:t>正确跳转与 401 处理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</w:tr>
      <w:tr>
        <w:tc>
          <w:tcPr>
            <w:tcW w:type="dxa" w:w="2078"/>
          </w:tcPr>
          <w:p>
            <w:r>
              <w:t>监测模块</w:t>
            </w:r>
          </w:p>
        </w:tc>
        <w:tc>
          <w:tcPr>
            <w:tcW w:type="dxa" w:w="2078"/>
          </w:tcPr>
          <w:p>
            <w:r>
              <w:t>设备与监测记录 CRUD</w:t>
            </w:r>
          </w:p>
        </w:tc>
        <w:tc>
          <w:tcPr>
            <w:tcW w:type="dxa" w:w="2078"/>
          </w:tcPr>
          <w:p>
            <w:r>
              <w:t>数据写入和查询一致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</w:tr>
      <w:tr>
        <w:tc>
          <w:tcPr>
            <w:tcW w:type="dxa" w:w="2078"/>
          </w:tcPr>
          <w:p>
            <w:r>
              <w:t>优化模块</w:t>
            </w:r>
          </w:p>
        </w:tc>
        <w:tc>
          <w:tcPr>
            <w:tcW w:type="dxa" w:w="2078"/>
          </w:tcPr>
          <w:p>
            <w:r>
              <w:t>建议新增与状态变更</w:t>
            </w:r>
          </w:p>
        </w:tc>
        <w:tc>
          <w:tcPr>
            <w:tcW w:type="dxa" w:w="2078"/>
          </w:tcPr>
          <w:p>
            <w:r>
              <w:t>优先级与统计正确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</w:tr>
      <w:tr>
        <w:tc>
          <w:tcPr>
            <w:tcW w:type="dxa" w:w="2078"/>
          </w:tcPr>
          <w:p>
            <w:r>
              <w:t>碳排模块</w:t>
            </w:r>
          </w:p>
        </w:tc>
        <w:tc>
          <w:tcPr>
            <w:tcW w:type="dxa" w:w="2078"/>
          </w:tcPr>
          <w:p>
            <w:r>
              <w:t>排放计算与趋势分析</w:t>
            </w:r>
          </w:p>
        </w:tc>
        <w:tc>
          <w:tcPr>
            <w:tcW w:type="dxa" w:w="2078"/>
          </w:tcPr>
          <w:p>
            <w:r>
              <w:t>统计结果可视化正确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</w:tr>
      <w:tr>
        <w:tc>
          <w:tcPr>
            <w:tcW w:type="dxa" w:w="2078"/>
          </w:tcPr>
          <w:p>
            <w:r>
              <w:t>预测模块</w:t>
            </w:r>
          </w:p>
        </w:tc>
        <w:tc>
          <w:tcPr>
            <w:tcW w:type="dxa" w:w="2078"/>
          </w:tcPr>
          <w:p>
            <w:r>
              <w:t>预测生成与记录保存</w:t>
            </w:r>
          </w:p>
        </w:tc>
        <w:tc>
          <w:tcPr>
            <w:tcW w:type="dxa" w:w="2078"/>
          </w:tcPr>
          <w:p>
            <w:r>
              <w:t>预测值返回并可持久化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</w:tr>
      <w:tr>
        <w:tc>
          <w:tcPr>
            <w:tcW w:type="dxa" w:w="2078"/>
          </w:tcPr>
          <w:p>
            <w:r>
              <w:t>报告模块</w:t>
            </w:r>
          </w:p>
        </w:tc>
        <w:tc>
          <w:tcPr>
            <w:tcW w:type="dxa" w:w="2078"/>
          </w:tcPr>
          <w:p>
            <w:r>
              <w:t>PDF 生成与下载</w:t>
            </w:r>
          </w:p>
        </w:tc>
        <w:tc>
          <w:tcPr>
            <w:tcW w:type="dxa" w:w="2078"/>
          </w:tcPr>
          <w:p>
            <w:r>
              <w:t>文件可生成且可下载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</w:tr>
    </w:tbl>
    <w:p>
      <w:pPr>
        <w:spacing w:line="360" w:lineRule="auto" w:after="120"/>
        <w:ind w:firstLine="480"/>
      </w:pPr>
      <w:r>
        <w:rPr>
          <w:b w:val="0"/>
        </w:rPr>
        <w:t>功能测试采用“主流程 + 异常流程”双路径验证。主流程验证模块完整闭环，异常流程验证参数缺失、会话失效、权限不足、资源不存在等典型异常。测试结果显示，系统在异常场景下能够给出明确且可定位的错误信息。</w:t>
      </w:r>
    </w:p>
    <w:p>
      <w:pPr>
        <w:pStyle w:val="3"/>
      </w:pPr>
      <w:r>
        <w:t>5.3 接口与数据一致性测试</w:t>
      </w:r>
    </w:p>
    <w:p>
      <w:pPr>
        <w:spacing w:line="360" w:lineRule="auto" w:after="120"/>
        <w:ind w:firstLine="480"/>
      </w:pPr>
      <w:r>
        <w:rPr>
          <w:b w:val="0"/>
        </w:rPr>
        <w:t>通过前后端联调验证接口字段命名一致性、状态码语义一致性与数据库落库一致性。重点验证监测统计、碳排统计、预测记录和报表记录的前后端数据闭环。</w:t>
      </w:r>
    </w:p>
    <w:p>
      <w:pPr>
        <w:spacing w:line="360" w:lineRule="auto"/>
        <w:jc w:val="center"/>
      </w:pPr>
      <w:r>
        <w:t>表3 接口一致性抽检结果</w:t>
      </w:r>
    </w:p>
    <w:p>
      <w:pPr>
        <w:spacing w:line="360" w:lineRule="auto" w:after="120"/>
        <w:ind w:firstLine="480"/>
      </w:pPr>
      <w:r>
        <w:t>围绕“5.3 接口与数据一致性测试”这一小节，本文进一步从业务目标、实现机制与预期效果三个层面进行补充说明。该补充有助于避免结论化表述，使章节论证更加完整。</w:t>
      </w:r>
    </w:p>
    <w:tbl>
      <w:tblPr>
        <w:tblStyle w:val="18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t>接口</w:t>
            </w:r>
          </w:p>
        </w:tc>
        <w:tc>
          <w:tcPr>
            <w:tcW w:type="dxa" w:w="2078"/>
          </w:tcPr>
          <w:p>
            <w:r>
              <w:t>校验项</w:t>
            </w:r>
          </w:p>
        </w:tc>
        <w:tc>
          <w:tcPr>
            <w:tcW w:type="dxa" w:w="2078"/>
          </w:tcPr>
          <w:p>
            <w:r>
              <w:t>结果</w:t>
            </w:r>
          </w:p>
        </w:tc>
        <w:tc>
          <w:tcPr>
            <w:tcW w:type="dxa" w:w="2078"/>
          </w:tcPr>
          <w:p>
            <w:r>
              <w:t>备注</w:t>
            </w:r>
          </w:p>
        </w:tc>
      </w:tr>
      <w:tr>
        <w:tc>
          <w:tcPr>
            <w:tcW w:type="dxa" w:w="2078"/>
          </w:tcPr>
          <w:p>
            <w:r>
              <w:t>/api/monitoring/realtime</w:t>
            </w:r>
          </w:p>
        </w:tc>
        <w:tc>
          <w:tcPr>
            <w:tcW w:type="dxa" w:w="2078"/>
          </w:tcPr>
          <w:p>
            <w:r>
              <w:t>字段命名与类型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  <w:tc>
          <w:tcPr>
            <w:tcW w:type="dxa" w:w="2078"/>
          </w:tcPr>
          <w:p>
            <w:r>
              <w:t>与前端图表字段一致</w:t>
            </w:r>
          </w:p>
        </w:tc>
      </w:tr>
      <w:tr>
        <w:tc>
          <w:tcPr>
            <w:tcW w:type="dxa" w:w="2078"/>
          </w:tcPr>
          <w:p>
            <w:r>
              <w:t>/api/optimization/recommendations</w:t>
            </w:r>
          </w:p>
        </w:tc>
        <w:tc>
          <w:tcPr>
            <w:tcW w:type="dxa" w:w="2078"/>
          </w:tcPr>
          <w:p>
            <w:r>
              <w:t>分页与排序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  <w:tc>
          <w:tcPr>
            <w:tcW w:type="dxa" w:w="2078"/>
          </w:tcPr>
          <w:p>
            <w:r>
              <w:t>按创建时间倒序返回</w:t>
            </w:r>
          </w:p>
        </w:tc>
      </w:tr>
      <w:tr>
        <w:tc>
          <w:tcPr>
            <w:tcW w:type="dxa" w:w="2078"/>
          </w:tcPr>
          <w:p>
            <w:r>
              <w:t>/api/carbon/trends</w:t>
            </w:r>
          </w:p>
        </w:tc>
        <w:tc>
          <w:tcPr>
            <w:tcW w:type="dxa" w:w="2078"/>
          </w:tcPr>
          <w:p>
            <w:r>
              <w:t>统计口径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  <w:tc>
          <w:tcPr>
            <w:tcW w:type="dxa" w:w="2078"/>
          </w:tcPr>
          <w:p>
            <w:r>
              <w:t>按日期聚合一致</w:t>
            </w:r>
          </w:p>
        </w:tc>
      </w:tr>
      <w:tr>
        <w:tc>
          <w:tcPr>
            <w:tcW w:type="dxa" w:w="2078"/>
          </w:tcPr>
          <w:p>
            <w:r>
              <w:t>/api/forecast/energy</w:t>
            </w:r>
          </w:p>
        </w:tc>
        <w:tc>
          <w:tcPr>
            <w:tcW w:type="dxa" w:w="2078"/>
          </w:tcPr>
          <w:p>
            <w:r>
              <w:t>预测结构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  <w:tc>
          <w:tcPr>
            <w:tcW w:type="dxa" w:w="2078"/>
          </w:tcPr>
          <w:p>
            <w:r>
              <w:t>历史与预测序列齐全</w:t>
            </w:r>
          </w:p>
        </w:tc>
      </w:tr>
      <w:tr>
        <w:tc>
          <w:tcPr>
            <w:tcW w:type="dxa" w:w="2078"/>
          </w:tcPr>
          <w:p>
            <w:r>
              <w:t>/api/reports/generate-pdf</w:t>
            </w:r>
          </w:p>
        </w:tc>
        <w:tc>
          <w:tcPr>
            <w:tcW w:type="dxa" w:w="2078"/>
          </w:tcPr>
          <w:p>
            <w:r>
              <w:t>文件记录落库</w:t>
            </w:r>
          </w:p>
        </w:tc>
        <w:tc>
          <w:tcPr>
            <w:tcW w:type="dxa" w:w="2078"/>
          </w:tcPr>
          <w:p>
            <w:r>
              <w:t>通过</w:t>
            </w:r>
          </w:p>
        </w:tc>
        <w:tc>
          <w:tcPr>
            <w:tcW w:type="dxa" w:w="2078"/>
          </w:tcPr>
          <w:p>
            <w:r>
              <w:t>reports 表记录完整</w:t>
            </w:r>
          </w:p>
        </w:tc>
      </w:tr>
    </w:tbl>
    <w:p>
      <w:pPr>
        <w:pStyle w:val="3"/>
      </w:pPr>
      <w:r>
        <w:t>5.4 性能、兼容性与安全测试</w:t>
      </w:r>
    </w:p>
    <w:p>
      <w:pPr>
        <w:spacing w:line="360" w:lineRule="auto" w:after="120"/>
        <w:ind w:firstLine="480"/>
      </w:pPr>
      <w:r>
        <w:rPr>
          <w:b w:val="0"/>
        </w:rPr>
        <w:t>在正常数据规模下，页面加载与查询响应满足秒级需求。系统在主流浏览器中可正常访问。安全方面重点验证未授权访问拦截、token 过期处理、角色访问控制与文件下载路径安全。</w:t>
      </w:r>
    </w:p>
    <w:p>
      <w:pPr>
        <w:spacing w:line="360" w:lineRule="auto" w:after="120"/>
        <w:ind w:firstLine="480"/>
      </w:pPr>
      <w:r>
        <w:rPr>
          <w:b w:val="0"/>
        </w:rPr>
        <w:t>性能测试采用重复刷新与高频查询方式观察接口稳定性，重点关注 monitoring、carbon、reports 等统计接口。兼容性测试覆盖 Chrome、Edge 等浏览器，验证页面布局、图表渲染与下载行为一致性。安全测试采用未携带 token、携带过期 token、角色越权访问、非法文件名下载等场景进行验证。</w:t>
      </w:r>
    </w:p>
    <w:p>
      <w:pPr>
        <w:pStyle w:val="3"/>
      </w:pPr>
      <w:r>
        <w:t>5.5 测试结果分析</w:t>
      </w:r>
    </w:p>
    <w:p>
      <w:pPr>
        <w:spacing w:line="360" w:lineRule="auto" w:after="120"/>
        <w:ind w:firstLine="480"/>
      </w:pPr>
      <w:r>
        <w:rPr>
          <w:b w:val="0"/>
        </w:rPr>
        <w:t>测试结果说明系统已达到毕业设计预期：功能完整、流程可用、权限清晰、报表可交付。后续可通过消息队列、缓存和更复杂预测模型继续提升吞吐与智能化能力。</w:t>
      </w:r>
    </w:p>
    <w:p>
      <w:pPr>
        <w:spacing w:line="360" w:lineRule="auto" w:after="120"/>
        <w:ind w:firstLine="480"/>
      </w:pPr>
      <w:r>
        <w:rPr>
          <w:b w:val="0"/>
        </w:rPr>
        <w:t>综合测试结果表明，系统具备较好的工程完整性：前后端接口匹配稳定、模块耦合度可控、核心功能可复现。同时，系统也暴露出进一步优化空间，如大数据量下的统计响应优化、预测模型精度增强、更细粒度的角色权限控制等。上述问题不会影响当前毕业设计交付，但可作为后续研究方向。</w:t>
      </w:r>
    </w:p>
    <w:p>
      <w:pPr>
        <w:pStyle w:val="2"/>
      </w:pPr>
      <w:r>
        <w:t>6 总结与展望</w:t>
      </w:r>
    </w:p>
    <w:p>
      <w:pPr>
        <w:pStyle w:val="3"/>
      </w:pPr>
      <w:r>
        <w:t>6.1 研究成果总结</w:t>
      </w:r>
    </w:p>
    <w:p>
      <w:pPr>
        <w:spacing w:line="360" w:lineRule="auto" w:after="120"/>
        <w:ind w:firstLine="480"/>
      </w:pPr>
      <w:r>
        <w:rPr>
          <w:b w:val="0"/>
        </w:rPr>
        <w:t>本文完成了农场能源管理系统从需求到实现的全流程工作，实现了能源监测、优化、碳排、预测、报表、权限与审计等模块，形成了可运行、可展示、可扩展的工程化成果。</w:t>
      </w:r>
    </w:p>
    <w:p>
      <w:pPr>
        <w:spacing w:line="360" w:lineRule="auto" w:after="120"/>
        <w:ind w:firstLine="480"/>
      </w:pPr>
      <w:r>
        <w:rPr>
          <w:b w:val="0"/>
        </w:rPr>
        <w:t>从交付角度看，系统不仅具备功能完整性，还具备演示可用性和答辩可解释性。各模块均可通过实际页面与运行数据进行验证，系统图、数据库图、流程图与代码实现保持一致，避免了“文档与系统脱节”的常见问题。</w:t>
      </w:r>
    </w:p>
    <w:p>
      <w:pPr>
        <w:pStyle w:val="3"/>
      </w:pPr>
      <w:r>
        <w:t>6.2 创新点总结</w:t>
      </w:r>
    </w:p>
    <w:p>
      <w:pPr>
        <w:spacing w:line="360" w:lineRule="auto" w:after="120"/>
        <w:ind w:firstLine="480"/>
      </w:pPr>
      <w:r>
        <w:rPr>
          <w:b w:val="0"/>
        </w:rPr>
        <w:t>（1）围绕农场场景形成监测—优化—碳排—预测—报表的业务闭环；（2）在同一平台内实现角色权限控制、审计追踪与 PDF 报告交付；（3）将多源能源数据与碳排计算结合，支撑低碳决策。</w:t>
      </w:r>
    </w:p>
    <w:p>
      <w:pPr>
        <w:spacing w:line="360" w:lineRule="auto" w:after="120"/>
        <w:ind w:firstLine="480"/>
      </w:pPr>
      <w:r>
        <w:rPr>
          <w:b w:val="0"/>
        </w:rPr>
        <w:t>此外，系统在工程实现上采用“规则可解释优先”的策略，将关键逻辑显式化，使管理者能够理解建议来源与计算依据。该特性在农业管理场景中尤为重要，可降低系统落地过程中的信任成本。</w:t>
      </w:r>
    </w:p>
    <w:p>
      <w:pPr>
        <w:pStyle w:val="3"/>
      </w:pPr>
      <w:r>
        <w:t>6.3 存在不足与局限性</w:t>
      </w:r>
    </w:p>
    <w:p>
      <w:pPr>
        <w:spacing w:line="360" w:lineRule="auto" w:after="120"/>
        <w:ind w:firstLine="480"/>
      </w:pPr>
      <w:r>
        <w:rPr>
          <w:b w:val="0"/>
        </w:rPr>
        <w:t>目前系统以规则与轻量预测为主，尚未接入真实 IoT 消息总线与高级机器学习模型；在高并发场景下仍可进一步引入缓存、异步处理与分布式部署优化。</w:t>
      </w:r>
    </w:p>
    <w:p>
      <w:pPr>
        <w:spacing w:line="360" w:lineRule="auto" w:after="120"/>
        <w:ind w:firstLine="480"/>
      </w:pPr>
      <w:r>
        <w:rPr>
          <w:b w:val="0"/>
        </w:rPr>
        <w:t>当前系统的数据采集仍以平台侧接收为主，尚未覆盖设备异常自动诊断、断点补传、边缘侧本地缓冲等工业级能力。对毕业设计而言，该范围满足核心目标；对生产级应用而言，仍需在设备接入层做更深度建设。</w:t>
      </w:r>
    </w:p>
    <w:p>
      <w:pPr>
        <w:pStyle w:val="3"/>
      </w:pPr>
      <w:r>
        <w:t>6.4 未来研究方向与展望</w:t>
      </w:r>
    </w:p>
    <w:p>
      <w:pPr>
        <w:spacing w:line="360" w:lineRule="auto" w:after="120"/>
        <w:ind w:firstLine="480"/>
      </w:pPr>
      <w:r>
        <w:t>围绕“6.4 未来研究方向与展望”这一小节，本文进一步从业务目标、实现机制与预期效果三个层面进行补充说明。该补充有助于避免结论化表述，使章节论证更加完整。</w:t>
      </w:r>
    </w:p>
    <w:p>
      <w:pPr>
        <w:spacing w:line="360" w:lineRule="auto" w:after="120"/>
        <w:ind w:firstLine="480"/>
      </w:pPr>
      <w:r>
        <w:t>从工程实践角度看，“6.4 未来研究方向与展望”与系统其它模块存在明确的数据与流程关联。通过对该关联关系进行补充阐述，可提升论文内容的连续性与可答辩性。</w:t>
      </w:r>
    </w:p>
    <w:p>
      <w:pPr>
        <w:pStyle w:val="4"/>
      </w:pPr>
      <w:r>
        <w:t>6.4.1 智能化增强</w:t>
      </w:r>
    </w:p>
    <w:p>
      <w:pPr>
        <w:spacing w:line="360" w:lineRule="auto" w:after="120"/>
        <w:ind w:firstLine="480"/>
      </w:pPr>
      <w:r>
        <w:rPr>
          <w:b w:val="0"/>
        </w:rPr>
        <w:t>引入 LSTM/Transformer 等时序模型，提升不同季节与极端天气下的预测精度。</w:t>
      </w:r>
    </w:p>
    <w:p>
      <w:pPr>
        <w:spacing w:line="360" w:lineRule="auto" w:after="120"/>
        <w:ind w:firstLine="480"/>
      </w:pPr>
      <w:r>
        <w:t>智能化增强可重点围绕时序预测、异常检测和策略推荐展开，逐步提升系统决策能力。建议先在不改变主流程的前提下进行小范围试点，验证效果后再推广。</w:t>
      </w:r>
    </w:p>
    <w:p>
      <w:pPr>
        <w:pStyle w:val="4"/>
      </w:pPr>
      <w:r>
        <w:t>6.4.2 功能扩展</w:t>
      </w:r>
    </w:p>
    <w:p>
      <w:pPr>
        <w:spacing w:line="360" w:lineRule="auto" w:after="120"/>
        <w:ind w:firstLine="480"/>
      </w:pPr>
      <w:r>
        <w:rPr>
          <w:b w:val="0"/>
        </w:rPr>
        <w:t>增加储能调度、设备健康诊断、预警通知等能力，完善智慧农场能源协同。</w:t>
      </w:r>
    </w:p>
    <w:p>
      <w:pPr>
        <w:spacing w:line="360" w:lineRule="auto" w:after="120"/>
        <w:ind w:firstLine="480"/>
      </w:pPr>
      <w:r>
        <w:t>功能扩展应优先服务于现有业务闭环，例如增加储能调度、设备健康诊断、消息通知等能力。扩展过程中建议坚持模块解耦原则，避免新功能侵入既有稳定链路。</w:t>
      </w:r>
    </w:p>
    <w:p>
      <w:pPr>
        <w:pStyle w:val="4"/>
      </w:pPr>
      <w:r>
        <w:t>6.4.3 系统集成与生态建设</w:t>
      </w:r>
    </w:p>
    <w:p>
      <w:pPr>
        <w:spacing w:line="360" w:lineRule="auto" w:after="120"/>
        <w:ind w:firstLine="480"/>
      </w:pPr>
      <w:r>
        <w:rPr>
          <w:b w:val="0"/>
        </w:rPr>
        <w:t>对接农业物联网平台与第三方气象服务，形成跨系统数据协同。</w:t>
      </w:r>
    </w:p>
    <w:p>
      <w:pPr>
        <w:spacing w:line="360" w:lineRule="auto" w:after="120"/>
        <w:ind w:firstLine="480"/>
      </w:pPr>
      <w:r>
        <w:t>系统集成阶段应优先对接高价值外部数据源，如气象服务与物联网平台。通过标准化接口适配，可以在保持内部架构稳定的同时逐步扩大系统生态。</w:t>
      </w:r>
    </w:p>
    <w:p>
      <w:pPr>
        <w:pStyle w:val="4"/>
      </w:pPr>
      <w:r>
        <w:t>6.4.4 架构优化</w:t>
      </w:r>
    </w:p>
    <w:p>
      <w:pPr>
        <w:spacing w:line="360" w:lineRule="auto" w:after="120"/>
        <w:ind w:firstLine="480"/>
      </w:pPr>
      <w:r>
        <w:rPr>
          <w:b w:val="0"/>
        </w:rPr>
        <w:t>引入消息队列、缓存层和容器化部署，提升系统可扩展性与稳定性。</w:t>
      </w:r>
    </w:p>
    <w:p>
      <w:pPr>
        <w:spacing w:line="360" w:lineRule="auto" w:after="120"/>
        <w:ind w:firstLine="480"/>
      </w:pPr>
      <w:r>
        <w:t>架构优化可以从缓存、异步化、容器化和可观测性四个方向推进，逐步提升系统稳定性。建议结合实际访问规模制定分阶段优化计划，避免过度设计。</w:t>
      </w:r>
    </w:p>
    <w:p>
      <w:pPr>
        <w:pStyle w:val="3"/>
      </w:pPr>
      <w:r>
        <w:t>6.5 结语</w:t>
      </w:r>
    </w:p>
    <w:p>
      <w:pPr>
        <w:spacing w:line="360" w:lineRule="auto" w:after="120"/>
        <w:ind w:firstLine="480"/>
      </w:pPr>
      <w:r>
        <w:rPr>
          <w:b w:val="0"/>
        </w:rPr>
        <w:t>通过本课题的研究与实现，验证了 Vue + Spring Boot + MySQL 在农业能源管理场景中的可行性与实用性，也为后续智慧农业系统建设提供了可复用的技术方案。</w:t>
      </w:r>
    </w:p>
    <w:p>
      <w:pPr>
        <w:spacing w:line="360" w:lineRule="auto" w:after="120"/>
        <w:ind w:firstLine="480"/>
      </w:pPr>
      <w:r>
        <w:rPr>
          <w:b w:val="0"/>
        </w:rPr>
        <w:t>随着农业数字化与双碳治理持续推进，农场能源管理系统将从“统计型工具”升级为“智能决策平台”。本文的工作可作为该演进过程中的基础版本，为后续引入智能调度、数字孪生、跨系统协同打下工程基础。</w:t>
      </w:r>
    </w:p>
    <w:p>
      <w:pPr>
        <w:pStyle w:val="2"/>
      </w:pPr>
      <w:r>
        <w:t>参考文献</w:t>
      </w:r>
    </w:p>
    <w:p>
      <w:pPr>
        <w:spacing w:line="360" w:lineRule="auto" w:after="120"/>
      </w:pPr>
      <w:r>
        <w:rPr>
          <w:b w:val="0"/>
        </w:rPr>
        <w:t>[1] 王海粟. 智慧农业能源管理研究综述[J]. 农业工程学报, 2024, 40(8): 1-12.</w:t>
      </w:r>
    </w:p>
    <w:p>
      <w:pPr>
        <w:spacing w:line="360" w:lineRule="auto" w:after="120"/>
      </w:pPr>
      <w:r>
        <w:rPr>
          <w:b w:val="0"/>
        </w:rPr>
        <w:t>[2] 刘强, 周毅. 基于物联网的农业能耗监测系统设计[J]. 计算机工程与应用, 2023, 59(12): 210-218.</w:t>
      </w:r>
    </w:p>
    <w:p>
      <w:pPr>
        <w:spacing w:line="360" w:lineRule="auto" w:after="120"/>
      </w:pPr>
      <w:r>
        <w:rPr>
          <w:b w:val="0"/>
        </w:rPr>
        <w:t>[3] 陈立, 赵晨. 农业碳排放核算与减排路径研究[M]. 北京: 中国农业出版社, 2022.</w:t>
      </w:r>
    </w:p>
    <w:p>
      <w:pPr>
        <w:spacing w:line="360" w:lineRule="auto" w:after="120"/>
      </w:pPr>
      <w:r>
        <w:rPr>
          <w:b w:val="0"/>
        </w:rPr>
        <w:t>[4] 李明, 王磊. Spring Boot 企业级应用开发实战[M]. 北京: 机械工业出版社, 2023.</w:t>
      </w:r>
    </w:p>
    <w:p>
      <w:pPr>
        <w:spacing w:line="360" w:lineRule="auto" w:after="120"/>
      </w:pPr>
      <w:r>
        <w:rPr>
          <w:b w:val="0"/>
        </w:rPr>
        <w:t>[5] 孙宇. Vue 3 前端工程化实践[M]. 北京: 电子工业出版社, 2024.</w:t>
      </w:r>
    </w:p>
    <w:p>
      <w:pPr>
        <w:spacing w:line="360" w:lineRule="auto" w:after="120"/>
      </w:pPr>
      <w:r>
        <w:rPr>
          <w:b w:val="0"/>
        </w:rPr>
        <w:t>[6] 张华. 基于 RESTful 的前后端分离架构设计[J]. 软件导刊, 2023, 22(5): 45-52.</w:t>
      </w:r>
    </w:p>
    <w:p>
      <w:pPr>
        <w:spacing w:line="360" w:lineRule="auto" w:after="120"/>
      </w:pPr>
      <w:r>
        <w:rPr>
          <w:b w:val="0"/>
        </w:rPr>
        <w:t>[7] 郑伟. MySQL 高性能实践与优化[M]. 北京: 人民邮电出版社, 2022.</w:t>
      </w:r>
    </w:p>
    <w:p>
      <w:pPr>
        <w:spacing w:line="360" w:lineRule="auto" w:after="120"/>
      </w:pPr>
      <w:r>
        <w:rPr>
          <w:b w:val="0"/>
        </w:rPr>
        <w:t>[8] 王晨. 基于 ECharts 的管理系统可视化设计[J]. 软件, 2024, 45(3): 98-103.</w:t>
      </w:r>
    </w:p>
    <w:p>
      <w:pPr>
        <w:spacing w:line="360" w:lineRule="auto" w:after="120"/>
      </w:pPr>
      <w:r>
        <w:rPr>
          <w:b w:val="0"/>
        </w:rPr>
        <w:t>[9] 孙晓红. 碳达峰背景下农业低碳转型策略[J]. 中国农业资源与区划, 2023, 44(9): 15-23.</w:t>
      </w:r>
    </w:p>
    <w:p>
      <w:pPr>
        <w:spacing w:line="360" w:lineRule="auto" w:after="120"/>
      </w:pPr>
      <w:r>
        <w:rPr>
          <w:b w:val="0"/>
        </w:rPr>
        <w:t>[10] Fang X, Li Y. Smart Farm Energy Monitoring with IoT and Edge Analytics[J]. Sensors, 2023, 23(14): 1-19.</w:t>
      </w:r>
    </w:p>
    <w:p>
      <w:pPr>
        <w:spacing w:line="360" w:lineRule="auto" w:after="120"/>
      </w:pPr>
      <w:r>
        <w:rPr>
          <w:b w:val="0"/>
        </w:rPr>
        <w:t>[11] Javed U, Mahmood A. Energy Forecasting for Microgrids Using Time-Series Models[J]. Energy Reports, 2022, 8: 522-533.</w:t>
      </w:r>
    </w:p>
    <w:p>
      <w:pPr>
        <w:spacing w:line="360" w:lineRule="auto" w:after="120"/>
      </w:pPr>
      <w:r>
        <w:rPr>
          <w:b w:val="0"/>
        </w:rPr>
        <w:t>[12] Kim H, Park J. Role-Based Access Control in Web Information Systems[J]. IEEE Access, 2021, 9: 102345-102357.</w:t>
      </w:r>
    </w:p>
    <w:p>
      <w:pPr>
        <w:spacing w:line="360" w:lineRule="auto" w:after="120"/>
      </w:pPr>
      <w:r>
        <w:rPr>
          <w:b w:val="0"/>
        </w:rPr>
        <w:t>[13] ISO 50001:2018. Energy management systems — Requirements with guidance for use[S].</w:t>
      </w:r>
    </w:p>
    <w:p>
      <w:pPr>
        <w:spacing w:line="360" w:lineRule="auto" w:after="120"/>
      </w:pPr>
      <w:r>
        <w:rPr>
          <w:b w:val="0"/>
        </w:rPr>
        <w:t>[14] IPCC. 2006 IPCC Guidelines for National Greenhouse Gas Inventories[M].</w:t>
      </w:r>
    </w:p>
    <w:p>
      <w:pPr>
        <w:spacing w:line="360" w:lineRule="auto" w:after="120"/>
      </w:pPr>
      <w:r>
        <w:rPr>
          <w:b w:val="0"/>
        </w:rPr>
        <w:t>[15] Fielding R. Architectural Styles and the Design of Network-based Software Architectures[D]. University of California, 2000.</w:t>
      </w:r>
    </w:p>
    <w:p>
      <w:pPr>
        <w:pStyle w:val="2"/>
      </w:pPr>
      <w:r>
        <w:t>致谢</w:t>
      </w:r>
    </w:p>
    <w:p>
      <w:pPr>
        <w:spacing w:line="360" w:lineRule="auto" w:after="120"/>
        <w:ind w:firstLine="480"/>
      </w:pPr>
      <w:r>
        <w:rPr>
          <w:b w:val="0"/>
        </w:rPr>
        <w:t>在本次毕业设计与论文完成过程中，感谢指导老师在选题、系统设计与论文写作上的细致指导；感谢同学与家人在项目联调、资料整理和答辩准备阶段给予的支持与鼓励。通过本课题的实践，我在需求分析、系统实现、问题定位和文档表达方面均获得了显著提升。谨向所有帮助过我的老师和同学表示诚挚感谢。</w:t>
      </w:r>
    </w:p>
    <w:sectPr>
      <w:headerReference r:id="rId16" w:type="default"/>
      <w:footerReference r:id="rId17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报宋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A468E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3A318FC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37689">
    <w:pPr>
      <w:pStyle w:val="11"/>
      <w:jc w:val="center"/>
    </w:pPr>
    <w:r>
      <w:rPr>
        <w:sz w:val="21"/>
        <w:szCs w:val="21"/>
      </w:rP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45294">
    <w:pPr>
      <w:pStyle w:val="11"/>
      <w:ind w:right="360"/>
      <w:jc w:val="center"/>
    </w:pPr>
    <w:r>
      <w:rPr>
        <w:sz w:val="21"/>
        <w:szCs w:val="21"/>
      </w:rPr>
      <w:fldChar w:fldCharType="begin"/>
    </w:r>
    <w:r>
      <w:instrText xml:space="preserve"> PAGE  \* MERGEFORMAT </w:instrText>
    </w:r>
    <w:r>
      <w:fldChar w:fldCharType="separate"/>
    </w:r>
    <w:r>
      <w:t>II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CE51A">
    <w:pPr>
      <w:pStyle w:val="11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54067">
    <w:pPr>
      <w:pStyle w:val="11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BEB37">
    <w:pPr>
      <w:pStyle w:val="11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3688C">
    <w:pPr>
      <w:pStyle w:val="11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59523">
    <w:pPr>
      <w:pStyle w:val="12"/>
      <w:pBdr>
        <w:bottom w:val="none" w:color="auto" w:sz="0" w:space="0"/>
      </w:pBdr>
      <w:rPr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4B3E8">
    <w:pPr>
      <w:pStyle w:val="12"/>
      <w:rPr>
        <w:sz w:val="21"/>
        <w:szCs w:val="21"/>
      </w:rPr>
    </w:pPr>
    <w:r>
      <w:rPr>
        <w:rFonts w:hint="eastAsia"/>
        <w:sz w:val="21"/>
        <w:szCs w:val="21"/>
      </w:rPr>
      <w:t>摘要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F6CF6">
    <w:pPr>
      <w:pStyle w:val="12"/>
      <w:rPr>
        <w:sz w:val="21"/>
        <w:szCs w:val="21"/>
      </w:rPr>
    </w:pPr>
    <w:r>
      <w:rPr>
        <w:sz w:val="21"/>
        <w:szCs w:val="21"/>
      </w:rPr>
      <w:t>ABSTRACT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B5AA9">
    <w:pPr>
      <w:pStyle w:val="12"/>
      <w:rPr>
        <w:sz w:val="21"/>
        <w:szCs w:val="21"/>
      </w:rPr>
    </w:pPr>
    <w:r>
      <w:rPr>
        <w:sz w:val="21"/>
        <w:szCs w:val="21"/>
      </w:rPr>
      <w:t>ABSTRACT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77A6A">
    <w:pPr>
      <w:pStyle w:val="12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C00BC">
    <w:pPr>
      <w:pStyle w:val="12"/>
      <w:pBdr>
        <w:bottom w:val="none" w:color="auto" w:sz="0" w:space="0"/>
      </w:pBd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72CD3">
    <w:pPr>
      <w:pStyle w:val="12"/>
      <w:pBdr>
        <w:bottom w:val="single" w:color="auto" w:sz="4" w:space="1"/>
      </w:pBdr>
      <w:rPr>
        <w:sz w:val="21"/>
        <w:szCs w:val="21"/>
      </w:rPr>
    </w:pPr>
    <w:r>
      <w:rPr>
        <w:sz w:val="21"/>
        <w:szCs w:val="21"/>
      </w:rPr>
      <w:t>泰山学院本科毕业论文</w:t>
    </w:r>
    <w:r>
      <w:rPr>
        <w:rFonts w:hint="eastAsia"/>
        <w:sz w:val="21"/>
        <w:szCs w:val="21"/>
      </w:rPr>
      <w:t>（设计）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656AC">
    <w:pPr>
      <w:pStyle w:val="1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3Y2I3OTRlNTA1NjUwZGY1NGI3NTM4NWZhMGI4N2IifQ=="/>
  </w:docVars>
  <w:rsids>
    <w:rsidRoot w:val="00172A27"/>
    <w:rsid w:val="000001CD"/>
    <w:rsid w:val="00002D00"/>
    <w:rsid w:val="00014384"/>
    <w:rsid w:val="00015F23"/>
    <w:rsid w:val="00033BA7"/>
    <w:rsid w:val="00035CDA"/>
    <w:rsid w:val="00037715"/>
    <w:rsid w:val="000449AD"/>
    <w:rsid w:val="00052FEC"/>
    <w:rsid w:val="0006403A"/>
    <w:rsid w:val="00074E00"/>
    <w:rsid w:val="00092D5E"/>
    <w:rsid w:val="00093985"/>
    <w:rsid w:val="000941DB"/>
    <w:rsid w:val="0009447B"/>
    <w:rsid w:val="000B3BC9"/>
    <w:rsid w:val="000B6F83"/>
    <w:rsid w:val="000C033E"/>
    <w:rsid w:val="000D04E6"/>
    <w:rsid w:val="000D5E6F"/>
    <w:rsid w:val="000E2145"/>
    <w:rsid w:val="000E38B2"/>
    <w:rsid w:val="000E4F13"/>
    <w:rsid w:val="000E644F"/>
    <w:rsid w:val="000F0818"/>
    <w:rsid w:val="000F539D"/>
    <w:rsid w:val="00113586"/>
    <w:rsid w:val="00126C60"/>
    <w:rsid w:val="00126EE3"/>
    <w:rsid w:val="001322AD"/>
    <w:rsid w:val="00163D15"/>
    <w:rsid w:val="00166D70"/>
    <w:rsid w:val="001708BD"/>
    <w:rsid w:val="00172A27"/>
    <w:rsid w:val="001930FB"/>
    <w:rsid w:val="00196316"/>
    <w:rsid w:val="00197299"/>
    <w:rsid w:val="001973C2"/>
    <w:rsid w:val="001C40B6"/>
    <w:rsid w:val="001C4A56"/>
    <w:rsid w:val="001D7B13"/>
    <w:rsid w:val="001E29A0"/>
    <w:rsid w:val="001E665F"/>
    <w:rsid w:val="001E736C"/>
    <w:rsid w:val="00206679"/>
    <w:rsid w:val="00207378"/>
    <w:rsid w:val="002102F9"/>
    <w:rsid w:val="00213613"/>
    <w:rsid w:val="00217D3B"/>
    <w:rsid w:val="002359F6"/>
    <w:rsid w:val="0024049A"/>
    <w:rsid w:val="002412E8"/>
    <w:rsid w:val="002414F6"/>
    <w:rsid w:val="00246580"/>
    <w:rsid w:val="00247CDB"/>
    <w:rsid w:val="00252AFA"/>
    <w:rsid w:val="00274846"/>
    <w:rsid w:val="00275021"/>
    <w:rsid w:val="002936FF"/>
    <w:rsid w:val="00295C27"/>
    <w:rsid w:val="0029642B"/>
    <w:rsid w:val="002A7B2E"/>
    <w:rsid w:val="002B2BF5"/>
    <w:rsid w:val="002C14AB"/>
    <w:rsid w:val="002C57B1"/>
    <w:rsid w:val="002D222B"/>
    <w:rsid w:val="002D339D"/>
    <w:rsid w:val="002D6756"/>
    <w:rsid w:val="002D6A76"/>
    <w:rsid w:val="002E4775"/>
    <w:rsid w:val="002E5AD1"/>
    <w:rsid w:val="002E6E65"/>
    <w:rsid w:val="002F1F54"/>
    <w:rsid w:val="002F64DD"/>
    <w:rsid w:val="00304CD0"/>
    <w:rsid w:val="003056D6"/>
    <w:rsid w:val="00314FAB"/>
    <w:rsid w:val="00316773"/>
    <w:rsid w:val="00316AA1"/>
    <w:rsid w:val="00326ADA"/>
    <w:rsid w:val="00327BE9"/>
    <w:rsid w:val="00327F66"/>
    <w:rsid w:val="003347AA"/>
    <w:rsid w:val="003428F4"/>
    <w:rsid w:val="00342FC7"/>
    <w:rsid w:val="003458F3"/>
    <w:rsid w:val="003461D3"/>
    <w:rsid w:val="00353BBA"/>
    <w:rsid w:val="00360B4E"/>
    <w:rsid w:val="0036260E"/>
    <w:rsid w:val="00365A27"/>
    <w:rsid w:val="00366EA9"/>
    <w:rsid w:val="003712FB"/>
    <w:rsid w:val="0037770A"/>
    <w:rsid w:val="0038005D"/>
    <w:rsid w:val="00380D29"/>
    <w:rsid w:val="00384D09"/>
    <w:rsid w:val="00386DD6"/>
    <w:rsid w:val="00393FA9"/>
    <w:rsid w:val="003A26E8"/>
    <w:rsid w:val="003A5463"/>
    <w:rsid w:val="003C4488"/>
    <w:rsid w:val="003E3B78"/>
    <w:rsid w:val="003F4D6D"/>
    <w:rsid w:val="00402E6B"/>
    <w:rsid w:val="00407020"/>
    <w:rsid w:val="00414DAE"/>
    <w:rsid w:val="00435E8F"/>
    <w:rsid w:val="00436698"/>
    <w:rsid w:val="00444596"/>
    <w:rsid w:val="00445722"/>
    <w:rsid w:val="00450796"/>
    <w:rsid w:val="004539E4"/>
    <w:rsid w:val="00462701"/>
    <w:rsid w:val="00477D91"/>
    <w:rsid w:val="004932F0"/>
    <w:rsid w:val="004A0E56"/>
    <w:rsid w:val="004A619B"/>
    <w:rsid w:val="004A7EFF"/>
    <w:rsid w:val="004B1284"/>
    <w:rsid w:val="004B1FB8"/>
    <w:rsid w:val="004B2DB7"/>
    <w:rsid w:val="004C5C62"/>
    <w:rsid w:val="004E10F6"/>
    <w:rsid w:val="004E16BA"/>
    <w:rsid w:val="004E1791"/>
    <w:rsid w:val="004F52C4"/>
    <w:rsid w:val="004F6D77"/>
    <w:rsid w:val="00503B0F"/>
    <w:rsid w:val="005140C2"/>
    <w:rsid w:val="005607D7"/>
    <w:rsid w:val="00571256"/>
    <w:rsid w:val="00571399"/>
    <w:rsid w:val="00573F72"/>
    <w:rsid w:val="0058136C"/>
    <w:rsid w:val="00587BF3"/>
    <w:rsid w:val="005916E0"/>
    <w:rsid w:val="0059410B"/>
    <w:rsid w:val="00594128"/>
    <w:rsid w:val="005A4340"/>
    <w:rsid w:val="005B5B05"/>
    <w:rsid w:val="005B6633"/>
    <w:rsid w:val="005C422F"/>
    <w:rsid w:val="005C5578"/>
    <w:rsid w:val="005D2AD6"/>
    <w:rsid w:val="005F106B"/>
    <w:rsid w:val="005F2603"/>
    <w:rsid w:val="005F7C03"/>
    <w:rsid w:val="00601DF6"/>
    <w:rsid w:val="00602DD4"/>
    <w:rsid w:val="006038DA"/>
    <w:rsid w:val="0060516A"/>
    <w:rsid w:val="00606615"/>
    <w:rsid w:val="006162BD"/>
    <w:rsid w:val="00616AED"/>
    <w:rsid w:val="006231F3"/>
    <w:rsid w:val="006438D9"/>
    <w:rsid w:val="006457E9"/>
    <w:rsid w:val="00653AD9"/>
    <w:rsid w:val="00676D61"/>
    <w:rsid w:val="00682346"/>
    <w:rsid w:val="00687636"/>
    <w:rsid w:val="00692BB9"/>
    <w:rsid w:val="006B5126"/>
    <w:rsid w:val="006E17AA"/>
    <w:rsid w:val="006E679A"/>
    <w:rsid w:val="006E744E"/>
    <w:rsid w:val="006F23C5"/>
    <w:rsid w:val="006F44FD"/>
    <w:rsid w:val="00703ADB"/>
    <w:rsid w:val="007056BF"/>
    <w:rsid w:val="007112EE"/>
    <w:rsid w:val="00711583"/>
    <w:rsid w:val="007167A6"/>
    <w:rsid w:val="007172E9"/>
    <w:rsid w:val="00727FCB"/>
    <w:rsid w:val="007314D7"/>
    <w:rsid w:val="00737B8A"/>
    <w:rsid w:val="00737DFB"/>
    <w:rsid w:val="007470CC"/>
    <w:rsid w:val="0075178A"/>
    <w:rsid w:val="007655A3"/>
    <w:rsid w:val="007669DF"/>
    <w:rsid w:val="00775391"/>
    <w:rsid w:val="00793D57"/>
    <w:rsid w:val="00794277"/>
    <w:rsid w:val="00797181"/>
    <w:rsid w:val="007A22DD"/>
    <w:rsid w:val="007B4081"/>
    <w:rsid w:val="007B4DFB"/>
    <w:rsid w:val="007B782B"/>
    <w:rsid w:val="007D0307"/>
    <w:rsid w:val="007D1922"/>
    <w:rsid w:val="007E02F7"/>
    <w:rsid w:val="007E1594"/>
    <w:rsid w:val="007F507A"/>
    <w:rsid w:val="008014ED"/>
    <w:rsid w:val="00810181"/>
    <w:rsid w:val="008163B2"/>
    <w:rsid w:val="00832CF1"/>
    <w:rsid w:val="00854D5C"/>
    <w:rsid w:val="00860BCC"/>
    <w:rsid w:val="0087634A"/>
    <w:rsid w:val="00877836"/>
    <w:rsid w:val="0088337A"/>
    <w:rsid w:val="00886A17"/>
    <w:rsid w:val="00890BCE"/>
    <w:rsid w:val="0089115E"/>
    <w:rsid w:val="0089266B"/>
    <w:rsid w:val="0089474B"/>
    <w:rsid w:val="008A02BF"/>
    <w:rsid w:val="008A1F7B"/>
    <w:rsid w:val="008A469C"/>
    <w:rsid w:val="008B7281"/>
    <w:rsid w:val="008D24B7"/>
    <w:rsid w:val="008D34D2"/>
    <w:rsid w:val="008E08F3"/>
    <w:rsid w:val="008F2849"/>
    <w:rsid w:val="00902A1A"/>
    <w:rsid w:val="0092322A"/>
    <w:rsid w:val="00937B51"/>
    <w:rsid w:val="009419EE"/>
    <w:rsid w:val="0094261D"/>
    <w:rsid w:val="009443D6"/>
    <w:rsid w:val="00960958"/>
    <w:rsid w:val="00961036"/>
    <w:rsid w:val="00971A95"/>
    <w:rsid w:val="00972747"/>
    <w:rsid w:val="00993961"/>
    <w:rsid w:val="009A157F"/>
    <w:rsid w:val="009C68C9"/>
    <w:rsid w:val="009D439C"/>
    <w:rsid w:val="009F0295"/>
    <w:rsid w:val="00A134E2"/>
    <w:rsid w:val="00A24BEB"/>
    <w:rsid w:val="00A2794F"/>
    <w:rsid w:val="00A35874"/>
    <w:rsid w:val="00A408D5"/>
    <w:rsid w:val="00A43BF3"/>
    <w:rsid w:val="00A467B9"/>
    <w:rsid w:val="00A50F86"/>
    <w:rsid w:val="00A52922"/>
    <w:rsid w:val="00A529D6"/>
    <w:rsid w:val="00A55045"/>
    <w:rsid w:val="00A62F12"/>
    <w:rsid w:val="00A73DB9"/>
    <w:rsid w:val="00A741E8"/>
    <w:rsid w:val="00A80F89"/>
    <w:rsid w:val="00A81BA0"/>
    <w:rsid w:val="00A8748B"/>
    <w:rsid w:val="00A94D63"/>
    <w:rsid w:val="00AA0448"/>
    <w:rsid w:val="00AA497C"/>
    <w:rsid w:val="00AA6787"/>
    <w:rsid w:val="00AB0246"/>
    <w:rsid w:val="00AC215E"/>
    <w:rsid w:val="00AD146A"/>
    <w:rsid w:val="00AD1C3F"/>
    <w:rsid w:val="00AD3E7F"/>
    <w:rsid w:val="00AE3D6C"/>
    <w:rsid w:val="00AE59D4"/>
    <w:rsid w:val="00AF17D8"/>
    <w:rsid w:val="00B2759C"/>
    <w:rsid w:val="00B3703B"/>
    <w:rsid w:val="00B51D97"/>
    <w:rsid w:val="00B63A45"/>
    <w:rsid w:val="00B63B9B"/>
    <w:rsid w:val="00B669BD"/>
    <w:rsid w:val="00B84F24"/>
    <w:rsid w:val="00B8618C"/>
    <w:rsid w:val="00B92262"/>
    <w:rsid w:val="00B933B3"/>
    <w:rsid w:val="00B953AD"/>
    <w:rsid w:val="00BA3729"/>
    <w:rsid w:val="00BA4D1E"/>
    <w:rsid w:val="00BA5211"/>
    <w:rsid w:val="00BB0921"/>
    <w:rsid w:val="00BB65BC"/>
    <w:rsid w:val="00BC51FD"/>
    <w:rsid w:val="00BD0E96"/>
    <w:rsid w:val="00BD5862"/>
    <w:rsid w:val="00BE2005"/>
    <w:rsid w:val="00C0505D"/>
    <w:rsid w:val="00C07FD5"/>
    <w:rsid w:val="00C13B98"/>
    <w:rsid w:val="00C21B38"/>
    <w:rsid w:val="00C225C8"/>
    <w:rsid w:val="00C2566E"/>
    <w:rsid w:val="00C347D8"/>
    <w:rsid w:val="00C36F9C"/>
    <w:rsid w:val="00C42D87"/>
    <w:rsid w:val="00C42EB1"/>
    <w:rsid w:val="00C45B18"/>
    <w:rsid w:val="00C50232"/>
    <w:rsid w:val="00C54792"/>
    <w:rsid w:val="00C675D9"/>
    <w:rsid w:val="00C71A4B"/>
    <w:rsid w:val="00C7773F"/>
    <w:rsid w:val="00C82A03"/>
    <w:rsid w:val="00C94F19"/>
    <w:rsid w:val="00C979D6"/>
    <w:rsid w:val="00CA208D"/>
    <w:rsid w:val="00CA697E"/>
    <w:rsid w:val="00CB0861"/>
    <w:rsid w:val="00CB2DF0"/>
    <w:rsid w:val="00CB340E"/>
    <w:rsid w:val="00CD21FC"/>
    <w:rsid w:val="00CD3B74"/>
    <w:rsid w:val="00CD6195"/>
    <w:rsid w:val="00CF2CCE"/>
    <w:rsid w:val="00D12348"/>
    <w:rsid w:val="00D14ED6"/>
    <w:rsid w:val="00D2017E"/>
    <w:rsid w:val="00D20C32"/>
    <w:rsid w:val="00D2793D"/>
    <w:rsid w:val="00D30930"/>
    <w:rsid w:val="00D42021"/>
    <w:rsid w:val="00D44668"/>
    <w:rsid w:val="00D46065"/>
    <w:rsid w:val="00D56B07"/>
    <w:rsid w:val="00D61D8A"/>
    <w:rsid w:val="00D65889"/>
    <w:rsid w:val="00D71592"/>
    <w:rsid w:val="00D7242D"/>
    <w:rsid w:val="00D77598"/>
    <w:rsid w:val="00D8567E"/>
    <w:rsid w:val="00D87C77"/>
    <w:rsid w:val="00D930D1"/>
    <w:rsid w:val="00D942A5"/>
    <w:rsid w:val="00D97544"/>
    <w:rsid w:val="00DA37B5"/>
    <w:rsid w:val="00DA3810"/>
    <w:rsid w:val="00DA64BC"/>
    <w:rsid w:val="00DC1E68"/>
    <w:rsid w:val="00DD6B5E"/>
    <w:rsid w:val="00DE1C1E"/>
    <w:rsid w:val="00DF1235"/>
    <w:rsid w:val="00E068BF"/>
    <w:rsid w:val="00E12568"/>
    <w:rsid w:val="00E17A8F"/>
    <w:rsid w:val="00E20472"/>
    <w:rsid w:val="00E21A0F"/>
    <w:rsid w:val="00E230B9"/>
    <w:rsid w:val="00E2562F"/>
    <w:rsid w:val="00E30F09"/>
    <w:rsid w:val="00E33390"/>
    <w:rsid w:val="00E409A5"/>
    <w:rsid w:val="00E6074F"/>
    <w:rsid w:val="00E61690"/>
    <w:rsid w:val="00E66B67"/>
    <w:rsid w:val="00E71E62"/>
    <w:rsid w:val="00E751A6"/>
    <w:rsid w:val="00E8144A"/>
    <w:rsid w:val="00E846D7"/>
    <w:rsid w:val="00E95672"/>
    <w:rsid w:val="00E97251"/>
    <w:rsid w:val="00EA2F23"/>
    <w:rsid w:val="00EB05B1"/>
    <w:rsid w:val="00EB646E"/>
    <w:rsid w:val="00EB76BC"/>
    <w:rsid w:val="00ED1012"/>
    <w:rsid w:val="00ED1B78"/>
    <w:rsid w:val="00EE72EE"/>
    <w:rsid w:val="00EE7D86"/>
    <w:rsid w:val="00EF0A81"/>
    <w:rsid w:val="00EF193A"/>
    <w:rsid w:val="00EF28DC"/>
    <w:rsid w:val="00EF2B67"/>
    <w:rsid w:val="00EF5547"/>
    <w:rsid w:val="00EF55BB"/>
    <w:rsid w:val="00EF5CE2"/>
    <w:rsid w:val="00F05310"/>
    <w:rsid w:val="00F07926"/>
    <w:rsid w:val="00F1435B"/>
    <w:rsid w:val="00F23DE3"/>
    <w:rsid w:val="00F3095C"/>
    <w:rsid w:val="00F31A6D"/>
    <w:rsid w:val="00F323B7"/>
    <w:rsid w:val="00F34C26"/>
    <w:rsid w:val="00F35D9F"/>
    <w:rsid w:val="00F43F10"/>
    <w:rsid w:val="00F611AA"/>
    <w:rsid w:val="00F73E61"/>
    <w:rsid w:val="00F766EF"/>
    <w:rsid w:val="00F77EA8"/>
    <w:rsid w:val="00F77F5D"/>
    <w:rsid w:val="00F821B1"/>
    <w:rsid w:val="00F84F4B"/>
    <w:rsid w:val="00F85C7D"/>
    <w:rsid w:val="00F96D18"/>
    <w:rsid w:val="00FA045A"/>
    <w:rsid w:val="00FB7323"/>
    <w:rsid w:val="00FC79F4"/>
    <w:rsid w:val="00FC7F9A"/>
    <w:rsid w:val="00FD15C2"/>
    <w:rsid w:val="00FD7CD6"/>
    <w:rsid w:val="00FF293D"/>
    <w:rsid w:val="00FF3AD2"/>
    <w:rsid w:val="01975F2A"/>
    <w:rsid w:val="01E65CA9"/>
    <w:rsid w:val="02262316"/>
    <w:rsid w:val="02430125"/>
    <w:rsid w:val="028F64C2"/>
    <w:rsid w:val="03564C06"/>
    <w:rsid w:val="036D482C"/>
    <w:rsid w:val="03CE35CB"/>
    <w:rsid w:val="04480A6E"/>
    <w:rsid w:val="0491498E"/>
    <w:rsid w:val="05B70EED"/>
    <w:rsid w:val="05E73C3B"/>
    <w:rsid w:val="07117EA5"/>
    <w:rsid w:val="071C1D2B"/>
    <w:rsid w:val="07277E4A"/>
    <w:rsid w:val="078E3E99"/>
    <w:rsid w:val="08CF7C86"/>
    <w:rsid w:val="09CA1CEA"/>
    <w:rsid w:val="0A133D15"/>
    <w:rsid w:val="0A915E9A"/>
    <w:rsid w:val="0AA27089"/>
    <w:rsid w:val="0B20425A"/>
    <w:rsid w:val="0B2E5767"/>
    <w:rsid w:val="0BDC3301"/>
    <w:rsid w:val="0C86159B"/>
    <w:rsid w:val="0C897FA2"/>
    <w:rsid w:val="0D2D2DA0"/>
    <w:rsid w:val="0D3A63F7"/>
    <w:rsid w:val="0D6C2793"/>
    <w:rsid w:val="0D8D654B"/>
    <w:rsid w:val="0DAF4501"/>
    <w:rsid w:val="0DFB6B7F"/>
    <w:rsid w:val="0EA97F9C"/>
    <w:rsid w:val="0FA201B4"/>
    <w:rsid w:val="0FAB7138"/>
    <w:rsid w:val="1023528A"/>
    <w:rsid w:val="11CC653F"/>
    <w:rsid w:val="12C61FDA"/>
    <w:rsid w:val="135E3453"/>
    <w:rsid w:val="136817E4"/>
    <w:rsid w:val="137E1789"/>
    <w:rsid w:val="13BF21F2"/>
    <w:rsid w:val="14137690"/>
    <w:rsid w:val="15154641"/>
    <w:rsid w:val="1517701E"/>
    <w:rsid w:val="16A17D2C"/>
    <w:rsid w:val="16B63D84"/>
    <w:rsid w:val="181C089E"/>
    <w:rsid w:val="182868AE"/>
    <w:rsid w:val="1867434F"/>
    <w:rsid w:val="190A6EA1"/>
    <w:rsid w:val="19414DFD"/>
    <w:rsid w:val="19C26B9E"/>
    <w:rsid w:val="19C41B53"/>
    <w:rsid w:val="1B0A0CAD"/>
    <w:rsid w:val="1C7A6BC9"/>
    <w:rsid w:val="1CFD009B"/>
    <w:rsid w:val="1D492719"/>
    <w:rsid w:val="1DA03128"/>
    <w:rsid w:val="1DE63A32"/>
    <w:rsid w:val="1E476DB9"/>
    <w:rsid w:val="1EB109E6"/>
    <w:rsid w:val="1EDB762C"/>
    <w:rsid w:val="1EF03D4E"/>
    <w:rsid w:val="1F2C1918"/>
    <w:rsid w:val="20465FCA"/>
    <w:rsid w:val="224131C1"/>
    <w:rsid w:val="22B41D4D"/>
    <w:rsid w:val="23A45007"/>
    <w:rsid w:val="23EB31FD"/>
    <w:rsid w:val="24E06F8D"/>
    <w:rsid w:val="25185B05"/>
    <w:rsid w:val="25B84A72"/>
    <w:rsid w:val="26723EA0"/>
    <w:rsid w:val="27107221"/>
    <w:rsid w:val="273B4BEE"/>
    <w:rsid w:val="276F2ABE"/>
    <w:rsid w:val="28030DB3"/>
    <w:rsid w:val="29955CC7"/>
    <w:rsid w:val="2A2B3C3C"/>
    <w:rsid w:val="2A621B97"/>
    <w:rsid w:val="2B2E5CDA"/>
    <w:rsid w:val="2C9C00DD"/>
    <w:rsid w:val="2CC82C80"/>
    <w:rsid w:val="2D0F04FC"/>
    <w:rsid w:val="2D3A1340"/>
    <w:rsid w:val="2DB27D05"/>
    <w:rsid w:val="2DB6670B"/>
    <w:rsid w:val="2DB920CD"/>
    <w:rsid w:val="2DE262D6"/>
    <w:rsid w:val="2E805613"/>
    <w:rsid w:val="2F1808D1"/>
    <w:rsid w:val="2F2D4FF3"/>
    <w:rsid w:val="2F414F6C"/>
    <w:rsid w:val="2F5B483E"/>
    <w:rsid w:val="300F0E69"/>
    <w:rsid w:val="306C7EFE"/>
    <w:rsid w:val="30B359F5"/>
    <w:rsid w:val="30EB624E"/>
    <w:rsid w:val="31260631"/>
    <w:rsid w:val="312D7FBC"/>
    <w:rsid w:val="31EE13DB"/>
    <w:rsid w:val="32724DD0"/>
    <w:rsid w:val="32832AEC"/>
    <w:rsid w:val="328714F2"/>
    <w:rsid w:val="32A27B1D"/>
    <w:rsid w:val="32D33B70"/>
    <w:rsid w:val="34196405"/>
    <w:rsid w:val="34630E03"/>
    <w:rsid w:val="34FD1EFB"/>
    <w:rsid w:val="3523213B"/>
    <w:rsid w:val="36380E92"/>
    <w:rsid w:val="3683687F"/>
    <w:rsid w:val="39AF5AB2"/>
    <w:rsid w:val="3A9A3131"/>
    <w:rsid w:val="3B8E4CC3"/>
    <w:rsid w:val="3BFC52F7"/>
    <w:rsid w:val="3C063688"/>
    <w:rsid w:val="3C682428"/>
    <w:rsid w:val="3C7B7C3B"/>
    <w:rsid w:val="3C814BF9"/>
    <w:rsid w:val="3D0B54B4"/>
    <w:rsid w:val="3D8E220A"/>
    <w:rsid w:val="3E65446C"/>
    <w:rsid w:val="3EC76A8F"/>
    <w:rsid w:val="3FF55E7C"/>
    <w:rsid w:val="418E5F9D"/>
    <w:rsid w:val="41947EA6"/>
    <w:rsid w:val="419D07B6"/>
    <w:rsid w:val="41CE5702"/>
    <w:rsid w:val="41FC67DB"/>
    <w:rsid w:val="42161379"/>
    <w:rsid w:val="423157A6"/>
    <w:rsid w:val="42325426"/>
    <w:rsid w:val="431247FD"/>
    <w:rsid w:val="43285D3E"/>
    <w:rsid w:val="4409502C"/>
    <w:rsid w:val="442A5561"/>
    <w:rsid w:val="44B609C8"/>
    <w:rsid w:val="452E518F"/>
    <w:rsid w:val="454C693D"/>
    <w:rsid w:val="45872CA0"/>
    <w:rsid w:val="459B1F40"/>
    <w:rsid w:val="45AF5CB0"/>
    <w:rsid w:val="45E745BD"/>
    <w:rsid w:val="468A3DC6"/>
    <w:rsid w:val="46BF20A2"/>
    <w:rsid w:val="478E5BF3"/>
    <w:rsid w:val="47CD5197"/>
    <w:rsid w:val="47F00216"/>
    <w:rsid w:val="48D40488"/>
    <w:rsid w:val="48EB00AD"/>
    <w:rsid w:val="49202B06"/>
    <w:rsid w:val="498C34BA"/>
    <w:rsid w:val="4A606D15"/>
    <w:rsid w:val="4A65539B"/>
    <w:rsid w:val="4AC7413B"/>
    <w:rsid w:val="4BA018A0"/>
    <w:rsid w:val="4BB23021"/>
    <w:rsid w:val="4C020640"/>
    <w:rsid w:val="4C0C69D1"/>
    <w:rsid w:val="4C632C63"/>
    <w:rsid w:val="4C88631A"/>
    <w:rsid w:val="4C8A729F"/>
    <w:rsid w:val="4CAF1A5D"/>
    <w:rsid w:val="4DA3384C"/>
    <w:rsid w:val="4DB95333"/>
    <w:rsid w:val="4DED276A"/>
    <w:rsid w:val="4E1857AC"/>
    <w:rsid w:val="4EB856B6"/>
    <w:rsid w:val="4F871206"/>
    <w:rsid w:val="4FE83829"/>
    <w:rsid w:val="50342624"/>
    <w:rsid w:val="505605DA"/>
    <w:rsid w:val="51506273"/>
    <w:rsid w:val="519B2E6F"/>
    <w:rsid w:val="53AE4E59"/>
    <w:rsid w:val="53B35A5D"/>
    <w:rsid w:val="53DA11A0"/>
    <w:rsid w:val="54D538DD"/>
    <w:rsid w:val="55350158"/>
    <w:rsid w:val="553E3956"/>
    <w:rsid w:val="57561457"/>
    <w:rsid w:val="577F481A"/>
    <w:rsid w:val="57DB4F33"/>
    <w:rsid w:val="58851C31"/>
    <w:rsid w:val="598900F2"/>
    <w:rsid w:val="59DE0E81"/>
    <w:rsid w:val="5A137994"/>
    <w:rsid w:val="5A33357F"/>
    <w:rsid w:val="5A4C14B5"/>
    <w:rsid w:val="5A866D10"/>
    <w:rsid w:val="5B301727"/>
    <w:rsid w:val="5B715A14"/>
    <w:rsid w:val="5BFD0E7B"/>
    <w:rsid w:val="5CE24971"/>
    <w:rsid w:val="5DFD2B3F"/>
    <w:rsid w:val="5E5238CE"/>
    <w:rsid w:val="5E53354E"/>
    <w:rsid w:val="5F526256"/>
    <w:rsid w:val="5F6D531F"/>
    <w:rsid w:val="5F773193"/>
    <w:rsid w:val="5FA34174"/>
    <w:rsid w:val="5FD92450"/>
    <w:rsid w:val="61146955"/>
    <w:rsid w:val="6143039D"/>
    <w:rsid w:val="616C4DE5"/>
    <w:rsid w:val="61EE40B9"/>
    <w:rsid w:val="6204625D"/>
    <w:rsid w:val="62DC2BCC"/>
    <w:rsid w:val="637B6A58"/>
    <w:rsid w:val="641A33C9"/>
    <w:rsid w:val="64AF38BD"/>
    <w:rsid w:val="64C47FDF"/>
    <w:rsid w:val="64EF4547"/>
    <w:rsid w:val="66143184"/>
    <w:rsid w:val="676D24BC"/>
    <w:rsid w:val="67C22F95"/>
    <w:rsid w:val="68212B1D"/>
    <w:rsid w:val="68CE2BCD"/>
    <w:rsid w:val="68F61B92"/>
    <w:rsid w:val="697A6D19"/>
    <w:rsid w:val="699A504F"/>
    <w:rsid w:val="6AA9520C"/>
    <w:rsid w:val="6AAC185E"/>
    <w:rsid w:val="6BEE7AA2"/>
    <w:rsid w:val="6C5C4853"/>
    <w:rsid w:val="6D4B1F5D"/>
    <w:rsid w:val="6D6B0293"/>
    <w:rsid w:val="6D7E2CEB"/>
    <w:rsid w:val="6E6D6FEC"/>
    <w:rsid w:val="6E82185F"/>
    <w:rsid w:val="6F1E78D9"/>
    <w:rsid w:val="705E6077"/>
    <w:rsid w:val="7105557C"/>
    <w:rsid w:val="71D310CC"/>
    <w:rsid w:val="72010916"/>
    <w:rsid w:val="72CA214F"/>
    <w:rsid w:val="73655FDF"/>
    <w:rsid w:val="73704370"/>
    <w:rsid w:val="73873F96"/>
    <w:rsid w:val="74964153"/>
    <w:rsid w:val="74AA3684"/>
    <w:rsid w:val="74AB07EE"/>
    <w:rsid w:val="74BD01BD"/>
    <w:rsid w:val="75E64D79"/>
    <w:rsid w:val="767E1A75"/>
    <w:rsid w:val="772375CF"/>
    <w:rsid w:val="782530AA"/>
    <w:rsid w:val="7A2D6D03"/>
    <w:rsid w:val="7A9B3AB3"/>
    <w:rsid w:val="7AD81931"/>
    <w:rsid w:val="7AFC2853"/>
    <w:rsid w:val="7C2D09C7"/>
    <w:rsid w:val="7C2D424A"/>
    <w:rsid w:val="7C8E7766"/>
    <w:rsid w:val="7C99137B"/>
    <w:rsid w:val="7D4937F0"/>
    <w:rsid w:val="7D921593"/>
    <w:rsid w:val="7DBE58DA"/>
    <w:rsid w:val="7F7A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9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 w:locked="1"/>
    <w:lsdException w:uiPriority="0" w:name="Closing"/>
    <w:lsdException w:uiPriority="0" w:name="Signature"/>
    <w:lsdException w:uiPriority="1" w:name="Default Paragraph Font"/>
    <w:lsdException w:uiPriority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 w:locked="1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0" w:name="Document Map"/>
    <w:lsdException w:qFormat="1" w:unhideWhenUsed="0" w:uiPriority="99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99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9"/>
    <w:pPr>
      <w:keepNext/>
      <w:keepLines/>
      <w:spacing w:before="100" w:beforeLines="100" w:after="100" w:afterLines="100" w:line="360" w:lineRule="auto"/>
      <w:jc w:val="center"/>
      <w:outlineLvl w:val="0"/>
    </w:pPr>
    <w:rPr>
      <w:rFonts w:eastAsia="黑体"/>
      <w:b/>
      <w:kern w:val="44"/>
      <w:sz w:val="30"/>
      <w:szCs w:val="20"/>
    </w:rPr>
  </w:style>
  <w:style w:type="paragraph" w:styleId="3">
    <w:name w:val="heading 2"/>
    <w:basedOn w:val="1"/>
    <w:next w:val="1"/>
    <w:link w:val="33"/>
    <w:qFormat/>
    <w:uiPriority w:val="99"/>
    <w:pPr>
      <w:keepNext/>
      <w:keepLines/>
      <w:spacing w:before="50" w:beforeLines="50" w:after="50" w:afterLines="50" w:line="360" w:lineRule="auto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29"/>
    <w:qFormat/>
    <w:uiPriority w:val="99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1"/>
    <w:qFormat/>
    <w:uiPriority w:val="0"/>
    <w:pPr>
      <w:jc w:val="left"/>
    </w:pPr>
  </w:style>
  <w:style w:type="paragraph" w:styleId="6">
    <w:name w:val="Body Text Indent"/>
    <w:basedOn w:val="1"/>
    <w:link w:val="30"/>
    <w:uiPriority w:val="0"/>
    <w:pPr>
      <w:ind w:firstLine="640" w:firstLineChars="200"/>
    </w:pPr>
    <w:rPr>
      <w:rFonts w:eastAsia="仿宋_GB2312"/>
      <w:sz w:val="32"/>
    </w:rPr>
  </w:style>
  <w:style w:type="paragraph" w:styleId="7">
    <w:name w:val="toc 3"/>
    <w:basedOn w:val="1"/>
    <w:next w:val="1"/>
    <w:autoRedefine/>
    <w:qFormat/>
    <w:uiPriority w:val="99"/>
    <w:pPr>
      <w:ind w:left="840" w:leftChars="400"/>
    </w:pPr>
  </w:style>
  <w:style w:type="paragraph" w:styleId="8">
    <w:name w:val="Plain Text"/>
    <w:basedOn w:val="1"/>
    <w:link w:val="24"/>
    <w:qFormat/>
    <w:uiPriority w:val="99"/>
    <w:rPr>
      <w:rFonts w:ascii="宋体" w:hAnsi="Courier New"/>
      <w:szCs w:val="20"/>
    </w:rPr>
  </w:style>
  <w:style w:type="paragraph" w:styleId="9">
    <w:name w:val="endnote text"/>
    <w:basedOn w:val="1"/>
    <w:link w:val="32"/>
    <w:qFormat/>
    <w:uiPriority w:val="99"/>
    <w:pPr>
      <w:snapToGrid w:val="0"/>
      <w:jc w:val="left"/>
    </w:pPr>
  </w:style>
  <w:style w:type="paragraph" w:styleId="10">
    <w:name w:val="Balloon Text"/>
    <w:basedOn w:val="1"/>
    <w:link w:val="26"/>
    <w:semiHidden/>
    <w:uiPriority w:val="99"/>
    <w:rPr>
      <w:sz w:val="18"/>
      <w:szCs w:val="18"/>
    </w:rPr>
  </w:style>
  <w:style w:type="paragraph" w:styleId="11">
    <w:name w:val="footer"/>
    <w:basedOn w:val="1"/>
    <w:link w:val="2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iPriority w:val="39"/>
    <w:pPr>
      <w:tabs>
        <w:tab w:val="right" w:leader="dot" w:pos="8494"/>
      </w:tabs>
      <w:spacing w:line="360" w:lineRule="auto"/>
    </w:pPr>
    <w:rPr>
      <w:rFonts w:eastAsia="黑体"/>
      <w:sz w:val="24"/>
    </w:rPr>
  </w:style>
  <w:style w:type="paragraph" w:styleId="14">
    <w:name w:val="toc 2"/>
    <w:basedOn w:val="1"/>
    <w:next w:val="1"/>
    <w:autoRedefine/>
    <w:qFormat/>
    <w:uiPriority w:val="39"/>
    <w:pPr>
      <w:spacing w:line="360" w:lineRule="auto"/>
      <w:ind w:left="200" w:leftChars="200"/>
    </w:pPr>
    <w:rPr>
      <w:rFonts w:eastAsia="黑体"/>
      <w:sz w:val="24"/>
    </w:rPr>
  </w:style>
  <w:style w:type="paragraph" w:styleId="1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18"/>
      <w:szCs w:val="18"/>
      <w:lang w:eastAsia="en-US"/>
    </w:rPr>
  </w:style>
  <w:style w:type="paragraph" w:styleId="16">
    <w:name w:val="annotation subject"/>
    <w:basedOn w:val="5"/>
    <w:next w:val="5"/>
    <w:link w:val="34"/>
    <w:semiHidden/>
    <w:qFormat/>
    <w:uiPriority w:val="99"/>
    <w:rPr>
      <w:b/>
      <w:bCs/>
    </w:rPr>
  </w:style>
  <w:style w:type="table" w:styleId="18">
    <w:name w:val="Table Grid"/>
    <w:basedOn w:val="1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endnote reference"/>
    <w:qFormat/>
    <w:uiPriority w:val="99"/>
    <w:rPr>
      <w:rFonts w:cs="Times New Roman"/>
      <w:vertAlign w:val="superscript"/>
    </w:rPr>
  </w:style>
  <w:style w:type="character" w:styleId="21">
    <w:name w:val="page number"/>
    <w:basedOn w:val="19"/>
    <w:qFormat/>
    <w:uiPriority w:val="99"/>
    <w:rPr>
      <w:rFonts w:cs="Times New Roman"/>
    </w:rPr>
  </w:style>
  <w:style w:type="character" w:styleId="22">
    <w:name w:val="Hyperlink"/>
    <w:qFormat/>
    <w:uiPriority w:val="99"/>
    <w:rPr>
      <w:rFonts w:cs="Times New Roman"/>
      <w:color w:val="0000FF"/>
      <w:u w:val="single"/>
    </w:rPr>
  </w:style>
  <w:style w:type="character" w:styleId="23">
    <w:name w:val="annotation reference"/>
    <w:qFormat/>
    <w:uiPriority w:val="0"/>
    <w:rPr>
      <w:rFonts w:cs="Times New Roman"/>
      <w:sz w:val="21"/>
      <w:szCs w:val="21"/>
    </w:rPr>
  </w:style>
  <w:style w:type="character" w:customStyle="1" w:styleId="24">
    <w:name w:val="纯文本 Char"/>
    <w:link w:val="8"/>
    <w:qFormat/>
    <w:locked/>
    <w:uiPriority w:val="99"/>
    <w:rPr>
      <w:rFonts w:ascii="宋体" w:hAnsi="Courier New" w:eastAsia="宋体" w:cs="Times New Roman"/>
      <w:sz w:val="20"/>
      <w:szCs w:val="20"/>
    </w:rPr>
  </w:style>
  <w:style w:type="character" w:customStyle="1" w:styleId="25">
    <w:name w:val="页脚 Char1"/>
    <w:link w:val="11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批注框文本 Char"/>
    <w:link w:val="10"/>
    <w:semiHidden/>
    <w:qFormat/>
    <w:uiPriority w:val="99"/>
    <w:rPr>
      <w:rFonts w:ascii="Times New Roman" w:hAnsi="Times New Roman" w:cs="Times New Roman"/>
      <w:sz w:val="16"/>
      <w:szCs w:val="16"/>
    </w:rPr>
  </w:style>
  <w:style w:type="character" w:customStyle="1" w:styleId="27">
    <w:name w:val="页眉 Char"/>
    <w:link w:val="12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标题 1 Char"/>
    <w:link w:val="2"/>
    <w:qFormat/>
    <w:locked/>
    <w:uiPriority w:val="99"/>
    <w:rPr>
      <w:rFonts w:ascii="Times New Roman" w:hAnsi="Times New Roman" w:eastAsia="黑体"/>
      <w:b/>
      <w:kern w:val="44"/>
      <w:sz w:val="30"/>
    </w:rPr>
  </w:style>
  <w:style w:type="character" w:customStyle="1" w:styleId="29">
    <w:name w:val="标题 3 Char"/>
    <w:link w:val="4"/>
    <w:semiHidden/>
    <w:qFormat/>
    <w:uiPriority w:val="9"/>
    <w:rPr>
      <w:rFonts w:ascii="Times New Roman" w:hAnsi="Times New Roman" w:cs="Times New Roman"/>
      <w:b/>
      <w:bCs/>
      <w:sz w:val="32"/>
      <w:szCs w:val="32"/>
    </w:rPr>
  </w:style>
  <w:style w:type="character" w:customStyle="1" w:styleId="30">
    <w:name w:val="正文文本缩进 Char"/>
    <w:link w:val="6"/>
    <w:qFormat/>
    <w:locked/>
    <w:uiPriority w:val="0"/>
    <w:rPr>
      <w:rFonts w:ascii="Times New Roman" w:hAnsi="Times New Roman" w:eastAsia="仿宋_GB2312" w:cs="Times New Roman"/>
      <w:sz w:val="24"/>
      <w:szCs w:val="24"/>
    </w:rPr>
  </w:style>
  <w:style w:type="character" w:customStyle="1" w:styleId="31">
    <w:name w:val="批注文字 Char1"/>
    <w:link w:val="5"/>
    <w:semiHidden/>
    <w:qFormat/>
    <w:uiPriority w:val="99"/>
    <w:rPr>
      <w:rFonts w:ascii="Times New Roman" w:hAnsi="Times New Roman" w:cs="Times New Roman"/>
      <w:szCs w:val="24"/>
    </w:rPr>
  </w:style>
  <w:style w:type="character" w:customStyle="1" w:styleId="32">
    <w:name w:val="尾注文本 Char"/>
    <w:link w:val="9"/>
    <w:qFormat/>
    <w:locked/>
    <w:uiPriority w:val="99"/>
    <w:rPr>
      <w:rFonts w:ascii="Times New Roman" w:hAnsi="Times New Roman" w:cs="Times New Roman"/>
      <w:kern w:val="2"/>
      <w:sz w:val="24"/>
      <w:szCs w:val="24"/>
    </w:rPr>
  </w:style>
  <w:style w:type="character" w:customStyle="1" w:styleId="33">
    <w:name w:val="标题 2 Char"/>
    <w:link w:val="3"/>
    <w:qFormat/>
    <w:uiPriority w:val="99"/>
    <w:rPr>
      <w:rFonts w:ascii="Times New Roman" w:hAnsi="Times New Roman" w:eastAsia="黑体"/>
      <w:bCs/>
      <w:kern w:val="2"/>
      <w:sz w:val="28"/>
      <w:szCs w:val="32"/>
    </w:rPr>
  </w:style>
  <w:style w:type="character" w:customStyle="1" w:styleId="34">
    <w:name w:val="批注主题 Char"/>
    <w:link w:val="16"/>
    <w:semiHidden/>
    <w:qFormat/>
    <w:uiPriority w:val="99"/>
    <w:rPr>
      <w:rFonts w:ascii="Times New Roman" w:hAnsi="Times New Roman" w:cs="Times New Roman"/>
      <w:b/>
      <w:bCs/>
      <w:szCs w:val="24"/>
    </w:rPr>
  </w:style>
  <w:style w:type="paragraph" w:customStyle="1" w:styleId="35">
    <w:name w:val="目录 21"/>
    <w:basedOn w:val="1"/>
    <w:next w:val="1"/>
    <w:qFormat/>
    <w:uiPriority w:val="39"/>
    <w:pPr>
      <w:spacing w:line="360" w:lineRule="auto"/>
      <w:ind w:left="200" w:leftChars="200"/>
    </w:pPr>
    <w:rPr>
      <w:rFonts w:eastAsia="黑体"/>
      <w:sz w:val="24"/>
    </w:rPr>
  </w:style>
  <w:style w:type="paragraph" w:customStyle="1" w:styleId="36">
    <w:name w:val="目录 31"/>
    <w:basedOn w:val="1"/>
    <w:next w:val="1"/>
    <w:qFormat/>
    <w:uiPriority w:val="99"/>
    <w:pPr>
      <w:ind w:left="840" w:leftChars="400"/>
    </w:pPr>
  </w:style>
  <w:style w:type="paragraph" w:customStyle="1" w:styleId="37">
    <w:name w:val="目录 11"/>
    <w:basedOn w:val="1"/>
    <w:next w:val="1"/>
    <w:qFormat/>
    <w:uiPriority w:val="39"/>
    <w:pPr>
      <w:spacing w:line="360" w:lineRule="auto"/>
    </w:pPr>
    <w:rPr>
      <w:rFonts w:eastAsia="黑体"/>
      <w:sz w:val="24"/>
    </w:rPr>
  </w:style>
  <w:style w:type="paragraph" w:customStyle="1" w:styleId="38">
    <w:name w:val="列出段落1"/>
    <w:basedOn w:val="1"/>
    <w:qFormat/>
    <w:uiPriority w:val="99"/>
    <w:pPr>
      <w:ind w:firstLine="420" w:firstLineChars="200"/>
    </w:pPr>
  </w:style>
  <w:style w:type="character" w:customStyle="1" w:styleId="39">
    <w:name w:val="页脚 Char"/>
    <w:qFormat/>
    <w:uiPriority w:val="99"/>
  </w:style>
  <w:style w:type="character" w:customStyle="1" w:styleId="40">
    <w:name w:val="fontstyle01"/>
    <w:qFormat/>
    <w:uiPriority w:val="0"/>
    <w:rPr>
      <w:rFonts w:hint="eastAsia" w:ascii="黑体" w:hAnsi="黑体" w:eastAsia="黑体"/>
      <w:color w:val="000000"/>
      <w:sz w:val="36"/>
      <w:szCs w:val="36"/>
    </w:rPr>
  </w:style>
  <w:style w:type="character" w:customStyle="1" w:styleId="41">
    <w:name w:val="批注文字 Char"/>
    <w:qFormat/>
    <w:uiPriority w:val="0"/>
    <w:rPr>
      <w:kern w:val="2"/>
      <w:sz w:val="21"/>
      <w:szCs w:val="21"/>
    </w:rPr>
  </w:style>
  <w:style w:type="paragraph" w:customStyle="1" w:styleId="42">
    <w:name w:val="TOC 标题1"/>
    <w:basedOn w:val="2"/>
    <w:next w:val="1"/>
    <w:unhideWhenUsed/>
    <w:qFormat/>
    <w:uiPriority w:val="39"/>
    <w:pPr>
      <w:widowControl/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 w:val="32"/>
      <w:szCs w:val="32"/>
    </w:rPr>
  </w:style>
  <w:style w:type="character" w:customStyle="1" w:styleId="43">
    <w:name w:val="fontstyle11"/>
    <w:basedOn w:val="19"/>
    <w:qFormat/>
    <w:uiPriority w:val="0"/>
    <w:rPr>
      <w:rFonts w:hint="default" w:ascii="Times New Roman" w:hAnsi="Times New Roman" w:cs="Times New Roman"/>
      <w:color w:val="000000"/>
      <w:sz w:val="22"/>
      <w:szCs w:val="22"/>
    </w:rPr>
  </w:style>
  <w:style w:type="character" w:customStyle="1" w:styleId="44">
    <w:name w:val="fontstyle31"/>
    <w:basedOn w:val="19"/>
    <w:uiPriority w:val="0"/>
    <w:rPr>
      <w:rFonts w:hint="default" w:ascii="Times New Roman" w:hAnsi="Times New Roman" w:cs="Times New Roman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7.wmf"/><Relationship Id="rId31" Type="http://schemas.openxmlformats.org/officeDocument/2006/relationships/oleObject" Target="embeddings/oleObject5.bin"/><Relationship Id="rId30" Type="http://schemas.openxmlformats.org/officeDocument/2006/relationships/image" Target="media/image6.wmf"/><Relationship Id="rId3" Type="http://schemas.openxmlformats.org/officeDocument/2006/relationships/header" Target="header1.xml"/><Relationship Id="rId29" Type="http://schemas.openxmlformats.org/officeDocument/2006/relationships/oleObject" Target="embeddings/oleObject4.bin"/><Relationship Id="rId28" Type="http://schemas.openxmlformats.org/officeDocument/2006/relationships/image" Target="media/image5.wmf"/><Relationship Id="rId27" Type="http://schemas.openxmlformats.org/officeDocument/2006/relationships/oleObject" Target="embeddings/oleObject3.bin"/><Relationship Id="rId26" Type="http://schemas.openxmlformats.org/officeDocument/2006/relationships/image" Target="media/image4.wmf"/><Relationship Id="rId25" Type="http://schemas.openxmlformats.org/officeDocument/2006/relationships/oleObject" Target="embeddings/oleObject2.bin"/><Relationship Id="rId24" Type="http://schemas.openxmlformats.org/officeDocument/2006/relationships/image" Target="media/image3.wmf"/><Relationship Id="rId23" Type="http://schemas.openxmlformats.org/officeDocument/2006/relationships/oleObject" Target="embeddings/oleObject1.bin"/><Relationship Id="rId22" Type="http://schemas.openxmlformats.org/officeDocument/2006/relationships/chart" Target="charts/chart2.xml"/><Relationship Id="rId21" Type="http://schemas.openxmlformats.org/officeDocument/2006/relationships/chart" Target="charts/chart1.xml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7.xml"/><Relationship Id="rId16" Type="http://schemas.openxmlformats.org/officeDocument/2006/relationships/header" Target="header8.xml"/><Relationship Id="rId15" Type="http://schemas.openxmlformats.org/officeDocument/2006/relationships/footer" Target="footer6.xml"/><Relationship Id="rId14" Type="http://schemas.openxmlformats.org/officeDocument/2006/relationships/header" Target="header7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Relationship Id="rId36" Type="http://schemas.openxmlformats.org/officeDocument/2006/relationships/image" Target="media/image8.png"/><Relationship Id="rId37" Type="http://schemas.openxmlformats.org/officeDocument/2006/relationships/image" Target="media/image9.png"/><Relationship Id="rId38" Type="http://schemas.openxmlformats.org/officeDocument/2006/relationships/image" Target="media/image10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3.png"/><Relationship Id="rId42" Type="http://schemas.openxmlformats.org/officeDocument/2006/relationships/image" Target="media/image14.png"/><Relationship Id="rId43" Type="http://schemas.openxmlformats.org/officeDocument/2006/relationships/image" Target="media/image15.png"/><Relationship Id="rId44" Type="http://schemas.openxmlformats.org/officeDocument/2006/relationships/image" Target="media/image16.png"/><Relationship Id="rId45" Type="http://schemas.openxmlformats.org/officeDocument/2006/relationships/image" Target="media/image17.png"/><Relationship Id="rId46" Type="http://schemas.openxmlformats.org/officeDocument/2006/relationships/image" Target="media/image18.png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image" Target="media/image24.png"/><Relationship Id="rId53" Type="http://schemas.openxmlformats.org/officeDocument/2006/relationships/image" Target="media/image25.png"/><Relationship Id="rId54" Type="http://schemas.openxmlformats.org/officeDocument/2006/relationships/image" Target="media/image26.png"/><Relationship Id="rId55" Type="http://schemas.openxmlformats.org/officeDocument/2006/relationships/image" Target="media/image27.png"/><Relationship Id="rId56" Type="http://schemas.openxmlformats.org/officeDocument/2006/relationships/image" Target="media/image28.png"/></Relationships>
</file>

<file path=word/charts/_rels/chart1.xml.rels><?xml version='1.0' encoding='UTF-8' standalone='yes'?>
<Relationships xmlns="http://schemas.openxmlformats.org/package/2006/relationships"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_rels/chart2.xml.rels><?xml version='1.0' encoding='UTF-8' standalone='yes'?>
<Relationships xmlns="http://schemas.openxmlformats.org/package/2006/relationships"><Relationship Id="rId2" Type="http://schemas.openxmlformats.org/officeDocument/2006/relationships/themeOverride" Target="../theme/themeOverride2.xml"/><Relationship Id="rId1" Type="http://schemas.openxmlformats.org/officeDocument/2006/relationships/oleObject" Target="&#24037;&#20316;&#31807;3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70645070160836"/>
          <c:y val="0.125678733413141"/>
          <c:w val="0.702699622440245"/>
          <c:h val="0.670902039453394"/>
        </c:manualLayout>
      </c:layout>
      <c:lineChart>
        <c:grouping val="standar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济 南 市</c:v>
                </c:pt>
              </c:strCache>
            </c:strRef>
          </c:tx>
          <c:spPr>
            <a:ln w="19048" cap="rnd" cmpd="sng" algn="ctr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Sheet1!$B$1:$X$1</c:f>
              <c:numCache>
                <c:formatCode>g/"通""用""格""式"</c:formatCode>
                <c:ptCount val="23"/>
                <c:pt idx="0" c:formatCode="g/&quot;通&quot;&quot;用&quot;&quot;格&quot;&quot;式&quot;">
                  <c:v>1993</c:v>
                </c:pt>
                <c:pt idx="1" c:formatCode="g/&quot;通&quot;&quot;用&quot;&quot;格&quot;&quot;式&quot;">
                  <c:v>1994</c:v>
                </c:pt>
                <c:pt idx="2" c:formatCode="g/&quot;通&quot;&quot;用&quot;&quot;格&quot;&quot;式&quot;">
                  <c:v>1995</c:v>
                </c:pt>
                <c:pt idx="3" c:formatCode="g/&quot;通&quot;&quot;用&quot;&quot;格&quot;&quot;式&quot;">
                  <c:v>1996</c:v>
                </c:pt>
                <c:pt idx="4" c:formatCode="g/&quot;通&quot;&quot;用&quot;&quot;格&quot;&quot;式&quot;">
                  <c:v>1997</c:v>
                </c:pt>
                <c:pt idx="5" c:formatCode="g/&quot;通&quot;&quot;用&quot;&quot;格&quot;&quot;式&quot;">
                  <c:v>1998</c:v>
                </c:pt>
                <c:pt idx="6" c:formatCode="g/&quot;通&quot;&quot;用&quot;&quot;格&quot;&quot;式&quot;">
                  <c:v>1999</c:v>
                </c:pt>
                <c:pt idx="7" c:formatCode="g/&quot;通&quot;&quot;用&quot;&quot;格&quot;&quot;式&quot;">
                  <c:v>2000</c:v>
                </c:pt>
                <c:pt idx="8" c:formatCode="g/&quot;通&quot;&quot;用&quot;&quot;格&quot;&quot;式&quot;">
                  <c:v>2001</c:v>
                </c:pt>
                <c:pt idx="9" c:formatCode="g/&quot;通&quot;&quot;用&quot;&quot;格&quot;&quot;式&quot;">
                  <c:v>2002</c:v>
                </c:pt>
                <c:pt idx="10" c:formatCode="g/&quot;通&quot;&quot;用&quot;&quot;格&quot;&quot;式&quot;">
                  <c:v>2003</c:v>
                </c:pt>
                <c:pt idx="11" c:formatCode="g/&quot;通&quot;&quot;用&quot;&quot;格&quot;&quot;式&quot;">
                  <c:v>2004</c:v>
                </c:pt>
                <c:pt idx="12" c:formatCode="g/&quot;通&quot;&quot;用&quot;&quot;格&quot;&quot;式&quot;">
                  <c:v>2005</c:v>
                </c:pt>
                <c:pt idx="13" c:formatCode="g/&quot;通&quot;&quot;用&quot;&quot;格&quot;&quot;式&quot;">
                  <c:v>2006</c:v>
                </c:pt>
                <c:pt idx="14" c:formatCode="g/&quot;通&quot;&quot;用&quot;&quot;格&quot;&quot;式&quot;">
                  <c:v>2007</c:v>
                </c:pt>
                <c:pt idx="15" c:formatCode="g/&quot;通&quot;&quot;用&quot;&quot;格&quot;&quot;式&quot;">
                  <c:v>2008</c:v>
                </c:pt>
                <c:pt idx="16" c:formatCode="g/&quot;通&quot;&quot;用&quot;&quot;格&quot;&quot;式&quot;">
                  <c:v>2009</c:v>
                </c:pt>
                <c:pt idx="17" c:formatCode="g/&quot;通&quot;&quot;用&quot;&quot;格&quot;&quot;式&quot;">
                  <c:v>2010</c:v>
                </c:pt>
                <c:pt idx="18" c:formatCode="g/&quot;通&quot;&quot;用&quot;&quot;格&quot;&quot;式&quot;">
                  <c:v>2011</c:v>
                </c:pt>
                <c:pt idx="19" c:formatCode="g/&quot;通&quot;&quot;用&quot;&quot;格&quot;&quot;式&quot;">
                  <c:v>2012</c:v>
                </c:pt>
                <c:pt idx="20" c:formatCode="g/&quot;通&quot;&quot;用&quot;&quot;格&quot;&quot;式&quot;">
                  <c:v>2013</c:v>
                </c:pt>
                <c:pt idx="21" c:formatCode="g/&quot;通&quot;&quot;用&quot;&quot;格&quot;&quot;式&quot;">
                  <c:v>2014</c:v>
                </c:pt>
                <c:pt idx="22" c:formatCode="g/&quot;通&quot;&quot;用&quot;&quot;格&quot;&quot;式&quot;">
                  <c:v>2015</c:v>
                </c:pt>
              </c:numCache>
            </c:numRef>
          </c:cat>
          <c:val>
            <c:numRef>
              <c:f>Sheet1!$B$2:$X$2</c:f>
              <c:numCache>
                <c:formatCode>g/"通""用""格""式"</c:formatCode>
                <c:ptCount val="23"/>
                <c:pt idx="0">
                  <c:v>4636</c:v>
                </c:pt>
                <c:pt idx="1">
                  <c:v>4888</c:v>
                </c:pt>
                <c:pt idx="2">
                  <c:v>5111</c:v>
                </c:pt>
                <c:pt idx="3">
                  <c:v>5105</c:v>
                </c:pt>
                <c:pt idx="4">
                  <c:v>5524</c:v>
                </c:pt>
                <c:pt idx="5">
                  <c:v>5329</c:v>
                </c:pt>
                <c:pt idx="6">
                  <c:v>5516</c:v>
                </c:pt>
                <c:pt idx="7">
                  <c:v>4966</c:v>
                </c:pt>
                <c:pt idx="8">
                  <c:v>5073</c:v>
                </c:pt>
                <c:pt idx="9">
                  <c:v>4158</c:v>
                </c:pt>
                <c:pt idx="10">
                  <c:v>5014</c:v>
                </c:pt>
                <c:pt idx="11">
                  <c:v>5498</c:v>
                </c:pt>
                <c:pt idx="12">
                  <c:v>5656</c:v>
                </c:pt>
                <c:pt idx="13">
                  <c:v>5793</c:v>
                </c:pt>
                <c:pt idx="14">
                  <c:v>5793</c:v>
                </c:pt>
                <c:pt idx="15">
                  <c:v>5933</c:v>
                </c:pt>
                <c:pt idx="16">
                  <c:v>5749</c:v>
                </c:pt>
                <c:pt idx="17">
                  <c:v>5838</c:v>
                </c:pt>
                <c:pt idx="18">
                  <c:v>5978</c:v>
                </c:pt>
                <c:pt idx="19">
                  <c:v>6032</c:v>
                </c:pt>
                <c:pt idx="20">
                  <c:v>5886.43</c:v>
                </c:pt>
                <c:pt idx="21">
                  <c:v>6002.43320139329</c:v>
                </c:pt>
                <c:pt idx="22">
                  <c:v>6182.49485069886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青 岛 市</c:v>
                </c:pt>
              </c:strCache>
            </c:strRef>
          </c:tx>
          <c:spPr>
            <a:ln w="15873" cap="rnd" cmpd="sng" algn="ctr">
              <a:solidFill>
                <a:schemeClr val="tx1"/>
              </a:solidFill>
              <a:prstDash val="solid"/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Sheet1!$B$1:$X$1</c:f>
              <c:numCache>
                <c:formatCode>g/"通""用""格""式"</c:formatCode>
                <c:ptCount val="23"/>
                <c:pt idx="0" c:formatCode="g/&quot;通&quot;&quot;用&quot;&quot;格&quot;&quot;式&quot;">
                  <c:v>1993</c:v>
                </c:pt>
                <c:pt idx="1" c:formatCode="g/&quot;通&quot;&quot;用&quot;&quot;格&quot;&quot;式&quot;">
                  <c:v>1994</c:v>
                </c:pt>
                <c:pt idx="2" c:formatCode="g/&quot;通&quot;&quot;用&quot;&quot;格&quot;&quot;式&quot;">
                  <c:v>1995</c:v>
                </c:pt>
                <c:pt idx="3" c:formatCode="g/&quot;通&quot;&quot;用&quot;&quot;格&quot;&quot;式&quot;">
                  <c:v>1996</c:v>
                </c:pt>
                <c:pt idx="4" c:formatCode="g/&quot;通&quot;&quot;用&quot;&quot;格&quot;&quot;式&quot;">
                  <c:v>1997</c:v>
                </c:pt>
                <c:pt idx="5" c:formatCode="g/&quot;通&quot;&quot;用&quot;&quot;格&quot;&quot;式&quot;">
                  <c:v>1998</c:v>
                </c:pt>
                <c:pt idx="6" c:formatCode="g/&quot;通&quot;&quot;用&quot;&quot;格&quot;&quot;式&quot;">
                  <c:v>1999</c:v>
                </c:pt>
                <c:pt idx="7" c:formatCode="g/&quot;通&quot;&quot;用&quot;&quot;格&quot;&quot;式&quot;">
                  <c:v>2000</c:v>
                </c:pt>
                <c:pt idx="8" c:formatCode="g/&quot;通&quot;&quot;用&quot;&quot;格&quot;&quot;式&quot;">
                  <c:v>2001</c:v>
                </c:pt>
                <c:pt idx="9" c:formatCode="g/&quot;通&quot;&quot;用&quot;&quot;格&quot;&quot;式&quot;">
                  <c:v>2002</c:v>
                </c:pt>
                <c:pt idx="10" c:formatCode="g/&quot;通&quot;&quot;用&quot;&quot;格&quot;&quot;式&quot;">
                  <c:v>2003</c:v>
                </c:pt>
                <c:pt idx="11" c:formatCode="g/&quot;通&quot;&quot;用&quot;&quot;格&quot;&quot;式&quot;">
                  <c:v>2004</c:v>
                </c:pt>
                <c:pt idx="12" c:formatCode="g/&quot;通&quot;&quot;用&quot;&quot;格&quot;&quot;式&quot;">
                  <c:v>2005</c:v>
                </c:pt>
                <c:pt idx="13" c:formatCode="g/&quot;通&quot;&quot;用&quot;&quot;格&quot;&quot;式&quot;">
                  <c:v>2006</c:v>
                </c:pt>
                <c:pt idx="14" c:formatCode="g/&quot;通&quot;&quot;用&quot;&quot;格&quot;&quot;式&quot;">
                  <c:v>2007</c:v>
                </c:pt>
                <c:pt idx="15" c:formatCode="g/&quot;通&quot;&quot;用&quot;&quot;格&quot;&quot;式&quot;">
                  <c:v>2008</c:v>
                </c:pt>
                <c:pt idx="16" c:formatCode="g/&quot;通&quot;&quot;用&quot;&quot;格&quot;&quot;式&quot;">
                  <c:v>2009</c:v>
                </c:pt>
                <c:pt idx="17" c:formatCode="g/&quot;通&quot;&quot;用&quot;&quot;格&quot;&quot;式&quot;">
                  <c:v>2010</c:v>
                </c:pt>
                <c:pt idx="18" c:formatCode="g/&quot;通&quot;&quot;用&quot;&quot;格&quot;&quot;式&quot;">
                  <c:v>2011</c:v>
                </c:pt>
                <c:pt idx="19" c:formatCode="g/&quot;通&quot;&quot;用&quot;&quot;格&quot;&quot;式&quot;">
                  <c:v>2012</c:v>
                </c:pt>
                <c:pt idx="20" c:formatCode="g/&quot;通&quot;&quot;用&quot;&quot;格&quot;&quot;式&quot;">
                  <c:v>2013</c:v>
                </c:pt>
                <c:pt idx="21" c:formatCode="g/&quot;通&quot;&quot;用&quot;&quot;格&quot;&quot;式&quot;">
                  <c:v>2014</c:v>
                </c:pt>
                <c:pt idx="22" c:formatCode="g/&quot;通&quot;&quot;用&quot;&quot;格&quot;&quot;式&quot;">
                  <c:v>2015</c:v>
                </c:pt>
              </c:numCache>
            </c:numRef>
          </c:cat>
          <c:val>
            <c:numRef>
              <c:f>Sheet1!$B$3:$X$3</c:f>
              <c:numCache>
                <c:formatCode>g/"通""用""格""式"</c:formatCode>
                <c:ptCount val="23"/>
                <c:pt idx="0">
                  <c:v>5294</c:v>
                </c:pt>
                <c:pt idx="1">
                  <c:v>5313</c:v>
                </c:pt>
                <c:pt idx="2">
                  <c:v>5675</c:v>
                </c:pt>
                <c:pt idx="3">
                  <c:v>5698</c:v>
                </c:pt>
                <c:pt idx="4">
                  <c:v>5926</c:v>
                </c:pt>
                <c:pt idx="5">
                  <c:v>6297</c:v>
                </c:pt>
                <c:pt idx="6">
                  <c:v>6095</c:v>
                </c:pt>
                <c:pt idx="7">
                  <c:v>6029</c:v>
                </c:pt>
                <c:pt idx="8">
                  <c:v>5864</c:v>
                </c:pt>
                <c:pt idx="9">
                  <c:v>5651</c:v>
                </c:pt>
                <c:pt idx="10">
                  <c:v>5944</c:v>
                </c:pt>
                <c:pt idx="11">
                  <c:v>6181</c:v>
                </c:pt>
                <c:pt idx="12">
                  <c:v>5986</c:v>
                </c:pt>
                <c:pt idx="13">
                  <c:v>6095</c:v>
                </c:pt>
                <c:pt idx="14">
                  <c:v>6095</c:v>
                </c:pt>
                <c:pt idx="15">
                  <c:v>6220</c:v>
                </c:pt>
                <c:pt idx="16">
                  <c:v>6479</c:v>
                </c:pt>
                <c:pt idx="17">
                  <c:v>6186</c:v>
                </c:pt>
                <c:pt idx="18">
                  <c:v>6118</c:v>
                </c:pt>
                <c:pt idx="19">
                  <c:v>6088</c:v>
                </c:pt>
                <c:pt idx="20">
                  <c:v>6047.6</c:v>
                </c:pt>
                <c:pt idx="21">
                  <c:v>6160.48780837077</c:v>
                </c:pt>
                <c:pt idx="22">
                  <c:v>6242.52324478178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淄 博 市</c:v>
                </c:pt>
              </c:strCache>
            </c:strRef>
          </c:tx>
          <c:spPr>
            <a:ln w="25397" cap="rnd" cmpd="sng" algn="ctr">
              <a:solidFill>
                <a:schemeClr val="tx1">
                  <a:lumMod val="65000"/>
                  <a:lumOff val="35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Sheet1!$B$1:$X$1</c:f>
              <c:numCache>
                <c:formatCode>g/"通""用""格""式"</c:formatCode>
                <c:ptCount val="23"/>
                <c:pt idx="0" c:formatCode="g/&quot;通&quot;&quot;用&quot;&quot;格&quot;&quot;式&quot;">
                  <c:v>1993</c:v>
                </c:pt>
                <c:pt idx="1" c:formatCode="g/&quot;通&quot;&quot;用&quot;&quot;格&quot;&quot;式&quot;">
                  <c:v>1994</c:v>
                </c:pt>
                <c:pt idx="2" c:formatCode="g/&quot;通&quot;&quot;用&quot;&quot;格&quot;&quot;式&quot;">
                  <c:v>1995</c:v>
                </c:pt>
                <c:pt idx="3" c:formatCode="g/&quot;通&quot;&quot;用&quot;&quot;格&quot;&quot;式&quot;">
                  <c:v>1996</c:v>
                </c:pt>
                <c:pt idx="4" c:formatCode="g/&quot;通&quot;&quot;用&quot;&quot;格&quot;&quot;式&quot;">
                  <c:v>1997</c:v>
                </c:pt>
                <c:pt idx="5" c:formatCode="g/&quot;通&quot;&quot;用&quot;&quot;格&quot;&quot;式&quot;">
                  <c:v>1998</c:v>
                </c:pt>
                <c:pt idx="6" c:formatCode="g/&quot;通&quot;&quot;用&quot;&quot;格&quot;&quot;式&quot;">
                  <c:v>1999</c:v>
                </c:pt>
                <c:pt idx="7" c:formatCode="g/&quot;通&quot;&quot;用&quot;&quot;格&quot;&quot;式&quot;">
                  <c:v>2000</c:v>
                </c:pt>
                <c:pt idx="8" c:formatCode="g/&quot;通&quot;&quot;用&quot;&quot;格&quot;&quot;式&quot;">
                  <c:v>2001</c:v>
                </c:pt>
                <c:pt idx="9" c:formatCode="g/&quot;通&quot;&quot;用&quot;&quot;格&quot;&quot;式&quot;">
                  <c:v>2002</c:v>
                </c:pt>
                <c:pt idx="10" c:formatCode="g/&quot;通&quot;&quot;用&quot;&quot;格&quot;&quot;式&quot;">
                  <c:v>2003</c:v>
                </c:pt>
                <c:pt idx="11" c:formatCode="g/&quot;通&quot;&quot;用&quot;&quot;格&quot;&quot;式&quot;">
                  <c:v>2004</c:v>
                </c:pt>
                <c:pt idx="12" c:formatCode="g/&quot;通&quot;&quot;用&quot;&quot;格&quot;&quot;式&quot;">
                  <c:v>2005</c:v>
                </c:pt>
                <c:pt idx="13" c:formatCode="g/&quot;通&quot;&quot;用&quot;&quot;格&quot;&quot;式&quot;">
                  <c:v>2006</c:v>
                </c:pt>
                <c:pt idx="14" c:formatCode="g/&quot;通&quot;&quot;用&quot;&quot;格&quot;&quot;式&quot;">
                  <c:v>2007</c:v>
                </c:pt>
                <c:pt idx="15" c:formatCode="g/&quot;通&quot;&quot;用&quot;&quot;格&quot;&quot;式&quot;">
                  <c:v>2008</c:v>
                </c:pt>
                <c:pt idx="16" c:formatCode="g/&quot;通&quot;&quot;用&quot;&quot;格&quot;&quot;式&quot;">
                  <c:v>2009</c:v>
                </c:pt>
                <c:pt idx="17" c:formatCode="g/&quot;通&quot;&quot;用&quot;&quot;格&quot;&quot;式&quot;">
                  <c:v>2010</c:v>
                </c:pt>
                <c:pt idx="18" c:formatCode="g/&quot;通&quot;&quot;用&quot;&quot;格&quot;&quot;式&quot;">
                  <c:v>2011</c:v>
                </c:pt>
                <c:pt idx="19" c:formatCode="g/&quot;通&quot;&quot;用&quot;&quot;格&quot;&quot;式&quot;">
                  <c:v>2012</c:v>
                </c:pt>
                <c:pt idx="20" c:formatCode="g/&quot;通&quot;&quot;用&quot;&quot;格&quot;&quot;式&quot;">
                  <c:v>2013</c:v>
                </c:pt>
                <c:pt idx="21" c:formatCode="g/&quot;通&quot;&quot;用&quot;&quot;格&quot;&quot;式&quot;">
                  <c:v>2014</c:v>
                </c:pt>
                <c:pt idx="22" c:formatCode="g/&quot;通&quot;&quot;用&quot;&quot;格&quot;&quot;式&quot;">
                  <c:v>2015</c:v>
                </c:pt>
              </c:numCache>
            </c:numRef>
          </c:cat>
          <c:val>
            <c:numRef>
              <c:f>Sheet1!$B$4:$X$4</c:f>
              <c:numCache>
                <c:formatCode>g/"通""用""格""式"</c:formatCode>
                <c:ptCount val="23"/>
                <c:pt idx="0">
                  <c:v>5411</c:v>
                </c:pt>
                <c:pt idx="1">
                  <c:v>5412</c:v>
                </c:pt>
                <c:pt idx="2">
                  <c:v>5728</c:v>
                </c:pt>
                <c:pt idx="3">
                  <c:v>5825</c:v>
                </c:pt>
                <c:pt idx="4">
                  <c:v>6022</c:v>
                </c:pt>
                <c:pt idx="5">
                  <c:v>6131</c:v>
                </c:pt>
                <c:pt idx="6">
                  <c:v>5726</c:v>
                </c:pt>
                <c:pt idx="7">
                  <c:v>5602</c:v>
                </c:pt>
                <c:pt idx="8">
                  <c:v>5540</c:v>
                </c:pt>
                <c:pt idx="9">
                  <c:v>4465</c:v>
                </c:pt>
                <c:pt idx="10">
                  <c:v>5634</c:v>
                </c:pt>
                <c:pt idx="11">
                  <c:v>5988</c:v>
                </c:pt>
                <c:pt idx="12">
                  <c:v>6025</c:v>
                </c:pt>
                <c:pt idx="13">
                  <c:v>6051</c:v>
                </c:pt>
                <c:pt idx="14">
                  <c:v>6051</c:v>
                </c:pt>
                <c:pt idx="15">
                  <c:v>6231</c:v>
                </c:pt>
                <c:pt idx="16">
                  <c:v>5367</c:v>
                </c:pt>
                <c:pt idx="17">
                  <c:v>6196</c:v>
                </c:pt>
                <c:pt idx="18">
                  <c:v>6289</c:v>
                </c:pt>
                <c:pt idx="19">
                  <c:v>6203</c:v>
                </c:pt>
                <c:pt idx="20">
                  <c:v>6284.88</c:v>
                </c:pt>
                <c:pt idx="21">
                  <c:v>6461.3966756864</c:v>
                </c:pt>
                <c:pt idx="22">
                  <c:v>6562.04548416525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枣 庄 市</c:v>
                </c:pt>
              </c:strCache>
            </c:strRef>
          </c:tx>
          <c:spPr>
            <a:ln w="25397" cap="rnd" cmpd="dbl" algn="ctr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Sheet1!$B$1:$X$1</c:f>
              <c:numCache>
                <c:formatCode>g/"通""用""格""式"</c:formatCode>
                <c:ptCount val="23"/>
                <c:pt idx="0" c:formatCode="g/&quot;通&quot;&quot;用&quot;&quot;格&quot;&quot;式&quot;">
                  <c:v>1993</c:v>
                </c:pt>
                <c:pt idx="1" c:formatCode="g/&quot;通&quot;&quot;用&quot;&quot;格&quot;&quot;式&quot;">
                  <c:v>1994</c:v>
                </c:pt>
                <c:pt idx="2" c:formatCode="g/&quot;通&quot;&quot;用&quot;&quot;格&quot;&quot;式&quot;">
                  <c:v>1995</c:v>
                </c:pt>
                <c:pt idx="3" c:formatCode="g/&quot;通&quot;&quot;用&quot;&quot;格&quot;&quot;式&quot;">
                  <c:v>1996</c:v>
                </c:pt>
                <c:pt idx="4" c:formatCode="g/&quot;通&quot;&quot;用&quot;&quot;格&quot;&quot;式&quot;">
                  <c:v>1997</c:v>
                </c:pt>
                <c:pt idx="5" c:formatCode="g/&quot;通&quot;&quot;用&quot;&quot;格&quot;&quot;式&quot;">
                  <c:v>1998</c:v>
                </c:pt>
                <c:pt idx="6" c:formatCode="g/&quot;通&quot;&quot;用&quot;&quot;格&quot;&quot;式&quot;">
                  <c:v>1999</c:v>
                </c:pt>
                <c:pt idx="7" c:formatCode="g/&quot;通&quot;&quot;用&quot;&quot;格&quot;&quot;式&quot;">
                  <c:v>2000</c:v>
                </c:pt>
                <c:pt idx="8" c:formatCode="g/&quot;通&quot;&quot;用&quot;&quot;格&quot;&quot;式&quot;">
                  <c:v>2001</c:v>
                </c:pt>
                <c:pt idx="9" c:formatCode="g/&quot;通&quot;&quot;用&quot;&quot;格&quot;&quot;式&quot;">
                  <c:v>2002</c:v>
                </c:pt>
                <c:pt idx="10" c:formatCode="g/&quot;通&quot;&quot;用&quot;&quot;格&quot;&quot;式&quot;">
                  <c:v>2003</c:v>
                </c:pt>
                <c:pt idx="11" c:formatCode="g/&quot;通&quot;&quot;用&quot;&quot;格&quot;&quot;式&quot;">
                  <c:v>2004</c:v>
                </c:pt>
                <c:pt idx="12" c:formatCode="g/&quot;通&quot;&quot;用&quot;&quot;格&quot;&quot;式&quot;">
                  <c:v>2005</c:v>
                </c:pt>
                <c:pt idx="13" c:formatCode="g/&quot;通&quot;&quot;用&quot;&quot;格&quot;&quot;式&quot;">
                  <c:v>2006</c:v>
                </c:pt>
                <c:pt idx="14" c:formatCode="g/&quot;通&quot;&quot;用&quot;&quot;格&quot;&quot;式&quot;">
                  <c:v>2007</c:v>
                </c:pt>
                <c:pt idx="15" c:formatCode="g/&quot;通&quot;&quot;用&quot;&quot;格&quot;&quot;式&quot;">
                  <c:v>2008</c:v>
                </c:pt>
                <c:pt idx="16" c:formatCode="g/&quot;通&quot;&quot;用&quot;&quot;格&quot;&quot;式&quot;">
                  <c:v>2009</c:v>
                </c:pt>
                <c:pt idx="17" c:formatCode="g/&quot;通&quot;&quot;用&quot;&quot;格&quot;&quot;式&quot;">
                  <c:v>2010</c:v>
                </c:pt>
                <c:pt idx="18" c:formatCode="g/&quot;通&quot;&quot;用&quot;&quot;格&quot;&quot;式&quot;">
                  <c:v>2011</c:v>
                </c:pt>
                <c:pt idx="19" c:formatCode="g/&quot;通&quot;&quot;用&quot;&quot;格&quot;&quot;式&quot;">
                  <c:v>2012</c:v>
                </c:pt>
                <c:pt idx="20" c:formatCode="g/&quot;通&quot;&quot;用&quot;&quot;格&quot;&quot;式&quot;">
                  <c:v>2013</c:v>
                </c:pt>
                <c:pt idx="21" c:formatCode="g/&quot;通&quot;&quot;用&quot;&quot;格&quot;&quot;式&quot;">
                  <c:v>2014</c:v>
                </c:pt>
                <c:pt idx="22" c:formatCode="g/&quot;通&quot;&quot;用&quot;&quot;格&quot;&quot;式&quot;">
                  <c:v>2015</c:v>
                </c:pt>
              </c:numCache>
            </c:numRef>
          </c:cat>
          <c:val>
            <c:numRef>
              <c:f>Sheet1!$B$5:$X$5</c:f>
              <c:numCache>
                <c:formatCode>g/"通""用""格""式"</c:formatCode>
                <c:ptCount val="23"/>
                <c:pt idx="0">
                  <c:v>5358</c:v>
                </c:pt>
                <c:pt idx="1">
                  <c:v>5596</c:v>
                </c:pt>
                <c:pt idx="2">
                  <c:v>5898</c:v>
                </c:pt>
                <c:pt idx="3">
                  <c:v>6163</c:v>
                </c:pt>
                <c:pt idx="4">
                  <c:v>6444</c:v>
                </c:pt>
                <c:pt idx="5">
                  <c:v>4529</c:v>
                </c:pt>
                <c:pt idx="6">
                  <c:v>6376</c:v>
                </c:pt>
                <c:pt idx="7">
                  <c:v>4827</c:v>
                </c:pt>
                <c:pt idx="8">
                  <c:v>5164</c:v>
                </c:pt>
                <c:pt idx="9">
                  <c:v>5249</c:v>
                </c:pt>
                <c:pt idx="10">
                  <c:v>5623</c:v>
                </c:pt>
                <c:pt idx="11">
                  <c:v>6175</c:v>
                </c:pt>
                <c:pt idx="12">
                  <c:v>6300</c:v>
                </c:pt>
                <c:pt idx="13">
                  <c:v>6470</c:v>
                </c:pt>
                <c:pt idx="14">
                  <c:v>6470</c:v>
                </c:pt>
                <c:pt idx="15">
                  <c:v>6530</c:v>
                </c:pt>
                <c:pt idx="16">
                  <c:v>6575</c:v>
                </c:pt>
                <c:pt idx="17">
                  <c:v>6706</c:v>
                </c:pt>
                <c:pt idx="18">
                  <c:v>6167</c:v>
                </c:pt>
                <c:pt idx="19">
                  <c:v>6114</c:v>
                </c:pt>
                <c:pt idx="20">
                  <c:v>6033.17</c:v>
                </c:pt>
                <c:pt idx="21">
                  <c:v>6089.55</c:v>
                </c:pt>
                <c:pt idx="22">
                  <c:v>6186.38753557474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-567755248"/>
        <c:axId val="-567753072"/>
      </c:lineChart>
      <c:dateAx>
        <c:axId val="-567755248"/>
        <c:scaling>
          <c:orientation val="minMax"/>
        </c:scaling>
        <c:delete val="0"/>
        <c:axPos val="b"/>
        <c:numFmt formatCode="g/&quot;通&quot;&quot;用&quot;&quot;格&quot;&quot;式&quot;" sourceLinked="1"/>
        <c:majorTickMark val="none"/>
        <c:minorTickMark val="none"/>
        <c:tickLblPos val="nextTo"/>
        <c:spPr>
          <a:noFill/>
          <a:ln w="9524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</a:p>
        </c:txPr>
        <c:crossAx val="-567753072"/>
        <c:crosses val="autoZero"/>
        <c:auto val="1"/>
        <c:lblOffset val="100"/>
        <c:baseTimeUnit val="days"/>
      </c:dateAx>
      <c:valAx>
        <c:axId val="-567753072"/>
        <c:scaling>
          <c:orientation val="minMax"/>
          <c:min val="3000"/>
        </c:scaling>
        <c:delete val="0"/>
        <c:axPos val="l"/>
        <c:majorGridlines>
          <c:spPr>
            <a:ln w="9524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algn="ctr">
                  <a:defRPr lang="zh-CN" sz="1100" b="0" i="0" u="none" strike="noStrike" kern="1200" baseline="0">
                    <a:solidFill>
                      <a:srgbClr val="000000"/>
                    </a:solidFill>
                    <a:latin typeface="等线" panose="02010600030101010101" charset="-122"/>
                    <a:ea typeface="等线" panose="02010600030101010101" charset="-122"/>
                    <a:cs typeface="等线" panose="02010600030101010101" charset="-122"/>
                  </a:defRPr>
                </a:pPr>
                <a:r>
                  <a:rPr lang="zh-CN" altLang="en-US" sz="1000" b="0" i="0" u="none" strike="noStrike" baseline="0">
                    <a:solidFill>
                      <a:srgbClr val="333333"/>
                    </a:solidFill>
                    <a:latin typeface="宋体" panose="02010600030101010101" charset="-122"/>
                    <a:ea typeface="宋体" panose="02010600030101010101" charset="-122"/>
                  </a:rPr>
                  <a:t>单产  千克/公顷</a:t>
                </a:r>
                <a:endParaRPr lang="zh-CN" altLang="en-US" sz="1000" b="0" i="0" u="none" strike="noStrike" baseline="0">
                  <a:solidFill>
                    <a:srgbClr val="333333"/>
                  </a:solidFill>
                  <a:latin typeface="宋体" panose="02010600030101010101" charset="-122"/>
                  <a:ea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0635749575420719"/>
              <c:y val="0.0268015504684431"/>
            </c:manualLayout>
          </c:layout>
          <c:overlay val="0"/>
          <c:spPr>
            <a:noFill/>
            <a:ln w="25397">
              <a:noFill/>
            </a:ln>
          </c:spPr>
        </c:title>
        <c:numFmt formatCode="g/&quot;通&quot;&quot;用&quot;&quot;格&quot;&quot;式&quot;" sourceLinked="1"/>
        <c:majorTickMark val="none"/>
        <c:minorTickMark val="none"/>
        <c:tickLblPos val="nextTo"/>
        <c:spPr>
          <a:ln w="6349" cap="flat" cmpd="sng" algn="ctr">
            <a:noFill/>
            <a:prstDash val="solid"/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</a:p>
        </c:txPr>
        <c:crossAx val="-567755248"/>
        <c:crosses val="autoZero"/>
        <c:crossBetween val="between"/>
      </c:valAx>
      <c:spPr>
        <a:noFill/>
        <a:ln w="25397">
          <a:noFill/>
        </a:ln>
      </c:spPr>
    </c:plotArea>
    <c:legend>
      <c:legendPos val="b"/>
      <c:layout>
        <c:manualLayout>
          <c:xMode val="edge"/>
          <c:yMode val="edge"/>
          <c:x val="0.140500617569863"/>
          <c:y val="0.920141836575064"/>
          <c:w val="0.737201443569554"/>
          <c:h val="0.0603337331177973"/>
        </c:manualLayout>
      </c:layout>
      <c:overlay val="0"/>
      <c:spPr>
        <a:noFill/>
        <a:ln w="25397">
          <a:noFill/>
        </a:ln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宋体" panose="02010600030101010101" charset="-122"/>
              <a:ea typeface="宋体" panose="02010600030101010101" charset="-122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9b682482-931d-4e4e-b25e-c047d046b376}"/>
      </c:ext>
    </c:extLst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18684082489846"/>
          <c:y val="0.16001075166809"/>
          <c:w val="0.720209904447518"/>
          <c:h val="0.65404644431464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实际产量</c:v>
                </c:pt>
              </c:strCache>
            </c:strRef>
          </c:tx>
          <c:spPr>
            <a:pattFill prst="pct75">
              <a:fgClr>
                <a:schemeClr val="tx1">
                  <a:lumMod val="65000"/>
                  <a:lumOff val="35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Sheet1!$B$2:$B$5</c:f>
              <c:strCache>
                <c:ptCount val="4"/>
                <c:pt idx="0">
                  <c:v>滨州市</c:v>
                </c:pt>
                <c:pt idx="1">
                  <c:v>德州市</c:v>
                </c:pt>
                <c:pt idx="2">
                  <c:v>东营市</c:v>
                </c:pt>
                <c:pt idx="3">
                  <c:v>菏泽市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4061</c:v>
                </c:pt>
                <c:pt idx="1">
                  <c:v>5693</c:v>
                </c:pt>
                <c:pt idx="2">
                  <c:v>4440</c:v>
                </c:pt>
                <c:pt idx="3">
                  <c:v>4489</c:v>
                </c:pt>
              </c:numCache>
            </c:numRef>
          </c:val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趋势产量</c:v>
                </c:pt>
              </c:strCache>
            </c:strRef>
          </c:tx>
          <c:spPr>
            <a:pattFill prst="dkDnDiag">
              <a:fgClr>
                <a:schemeClr val="tx1">
                  <a:lumMod val="65000"/>
                  <a:lumOff val="35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Sheet1!$B$2:$B$5</c:f>
              <c:strCache>
                <c:ptCount val="4"/>
                <c:pt idx="0">
                  <c:v>滨州市</c:v>
                </c:pt>
                <c:pt idx="1">
                  <c:v>德州市</c:v>
                </c:pt>
                <c:pt idx="2">
                  <c:v>东营市</c:v>
                </c:pt>
                <c:pt idx="3">
                  <c:v>菏泽市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4440.82427762322</c:v>
                </c:pt>
                <c:pt idx="1">
                  <c:v>5731.20566050012</c:v>
                </c:pt>
                <c:pt idx="2">
                  <c:v>4384.44469755433</c:v>
                </c:pt>
                <c:pt idx="3">
                  <c:v>4833.09077451344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567746544"/>
        <c:axId val="-567750896"/>
      </c:barChart>
      <c:catAx>
        <c:axId val="-567746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-567750896"/>
        <c:crosses val="autoZero"/>
        <c:auto val="1"/>
        <c:lblAlgn val="ctr"/>
        <c:lblOffset val="100"/>
        <c:noMultiLvlLbl val="0"/>
      </c:catAx>
      <c:valAx>
        <c:axId val="-567750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t" anchorCtr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latin typeface="宋体" panose="02010600030101010101" charset="-122"/>
                    <a:ea typeface="宋体" panose="02010600030101010101" charset="-122"/>
                  </a:rPr>
                  <a:t>产量  千克</a:t>
                </a:r>
                <a:r>
                  <a:rPr lang="en-US" altLang="zh-CN">
                    <a:latin typeface="宋体" panose="02010600030101010101" charset="-122"/>
                    <a:ea typeface="宋体" panose="02010600030101010101" charset="-122"/>
                  </a:rPr>
                  <a:t>/</a:t>
                </a:r>
                <a:r>
                  <a:rPr lang="zh-CN" altLang="en-US">
                    <a:latin typeface="宋体" panose="02010600030101010101" charset="-122"/>
                    <a:ea typeface="宋体" panose="02010600030101010101" charset="-122"/>
                  </a:rPr>
                  <a:t>亩</a:t>
                </a:r>
                <a:endParaRPr lang="zh-CN" altLang="en-US">
                  <a:latin typeface="宋体" panose="02010600030101010101" charset="-122"/>
                  <a:ea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100114552122756"/>
              <c:y val="0.0628276887075864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</a:p>
        </c:txPr>
        <c:crossAx val="-567746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f1b0847-1553-4865-9076-81602f56bf19}"/>
      </c:ext>
    </c:extLst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10F1B8-23CF-4B76-BD58-87CA306F15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19</Pages>
  <Words>3257</Words>
  <Characters>6654</Characters>
  <Lines>62</Lines>
  <Paragraphs>17</Paragraphs>
  <TotalTime>0</TotalTime>
  <ScaleCrop>false</ScaleCrop>
  <LinksUpToDate>false</LinksUpToDate>
  <CharactersWithSpaces>7398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2026-03-18T08:59:00Z</dcterms:created>
  <dc:creator>微软用户</dc:creator>
  <cp:lastModifiedBy>WPS_1721810016</cp:lastModifiedBy>
  <cp:lastPrinted>2024-01-12T01:33:00Z</cp:lastPrinted>
  <dcterms:modified xsi:type="dcterms:W3CDTF">2026-04-17T05:33:05Z</dcterms:modified>
  <dc:title>泰 山 学 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44678F64282E40A48F6487D0C775BA36_13</vt:lpwstr>
  </property>
</Properties>
</file>