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left"/>
      </w:pPr>
      <w:r>
        <w:rPr>
          <w:rFonts w:ascii="微软雅黑" w:hAnsi="微软雅黑" w:eastAsia="微软雅黑"/>
          <w:b/>
          <w:i w:val="0"/>
          <w:color w:val="1A1A1A"/>
          <w:sz w:val="44"/>
        </w:rPr>
        <w:t>11月起施行：社保、电动车、孩子用品都有新变化</w:t>
      </w:r>
    </w:p>
    <w:p>
      <w:pPr>
        <w:spacing w:after="280" w:line="240" w:lineRule="auto"/>
        <w:jc w:val="left"/>
      </w:pPr>
      <w:r>
        <w:rPr>
          <w:rFonts w:ascii="微软雅黑" w:hAnsi="微软雅黑" w:eastAsia="微软雅黑"/>
          <w:b w:val="0"/>
          <w:i w:val="0"/>
          <w:color w:val="888888"/>
          <w:sz w:val="18"/>
        </w:rPr>
        <w:t>全文约 1498 字 · 配图 5 张</w:t>
      </w:r>
    </w:p>
    <w:p>
      <w:pPr>
        <w:spacing w:after="160" w:line="360" w:lineRule="auto"/>
        <w:jc w:val="both"/>
      </w:pPr>
      <w:r>
        <w:rPr>
          <w:rFonts w:ascii="微软雅黑" w:hAnsi="微软雅黑" w:eastAsia="微软雅黑"/>
          <w:b w:val="0"/>
          <w:i w:val="0"/>
          <w:color w:val="222222"/>
          <w:sz w:val="24"/>
        </w:rPr>
        <w:t>11月1日起，一批全国性新规正式施行。这批新规的落点很具体：单位少缴社保怎么办，买电动自行车该看什么，孩子的用品和教室灯光达不达标，老人看病能否找到可靠的陪诊，电视开机能不能先看节目。需要提醒的是，网传的“医保报销大调整”并无全国统一文件，具体待遇以参保地公布为准。以下几条经新华社、央广网等渠道确认，在全国范围施行。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72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0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7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微软雅黑" w:hAnsi="微软雅黑" w:eastAsia="微软雅黑"/>
          <w:b w:val="0"/>
          <w:i w:val="0"/>
          <w:color w:val="888888"/>
          <w:sz w:val="18"/>
        </w:rPr>
        <w:t>电动自行车CCC认证新规相关配图（资料图）（来源：央广网）</w:t>
      </w:r>
    </w:p>
    <w:p>
      <w:pPr>
        <w:spacing w:after="160" w:line="360" w:lineRule="auto"/>
        <w:jc w:val="both"/>
      </w:pPr>
      <w:r>
        <w:rPr>
          <w:rFonts w:ascii="微软雅黑" w:hAnsi="微软雅黑" w:eastAsia="微软雅黑"/>
          <w:b w:val="0"/>
          <w:i w:val="0"/>
          <w:color w:val="222222"/>
          <w:sz w:val="24"/>
        </w:rPr>
        <w:t>与上班族关系最直接的是社保。11月1日起施行的《全国税务行政处罚裁量基准（2026年版）》，首次把社保缴费违法行为纳入全国统一的税务行政处罚裁量体系。用人单位不缴或者少缴社会保险费，经税务机关责令限期缴纳、逾期仍不缴纳的，处欠缴数额一倍以上三倍以下罚款，按金额和占比分一般、较重、严重三档，并按日加收万分之五的滞纳金。</w:t>
      </w:r>
    </w:p>
    <w:p>
      <w:pPr>
        <w:spacing w:after="160" w:line="360" w:lineRule="auto"/>
        <w:jc w:val="both"/>
      </w:pPr>
      <w:r>
        <w:rPr>
          <w:rFonts w:ascii="微软雅黑" w:hAnsi="微软雅黑" w:eastAsia="微软雅黑"/>
          <w:b w:val="0"/>
          <w:i w:val="0"/>
          <w:color w:val="222222"/>
          <w:sz w:val="24"/>
        </w:rPr>
        <w:t>新华社举例：一家公司欠缴社保600万元、占应缴总额35%，触及第三档，最高可能被罚1800万元。更值得记住的是，用人单位与员工签订的“自愿放弃社保协议”不具备法律效力，签字放弃不等于真的放弃。每月核对工资条上的社保扣款，换工作时查一次参保缴费记录，有助于维护自身养老和医保权益。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69674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0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6967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微软雅黑" w:hAnsi="微软雅黑" w:eastAsia="微软雅黑"/>
          <w:b w:val="0"/>
          <w:i w:val="0"/>
          <w:color w:val="888888"/>
          <w:sz w:val="18"/>
        </w:rPr>
        <w:t>上海市第六人民医院，陪诊师将取好的药物交给陪诊对象（资料图）（来源：新华网）</w:t>
      </w:r>
    </w:p>
    <w:p>
      <w:pPr>
        <w:spacing w:after="160" w:line="360" w:lineRule="auto"/>
        <w:jc w:val="both"/>
      </w:pPr>
      <w:r>
        <w:rPr>
          <w:rFonts w:ascii="微软雅黑" w:hAnsi="微软雅黑" w:eastAsia="微软雅黑"/>
          <w:b w:val="0"/>
          <w:i w:val="0"/>
          <w:color w:val="222222"/>
          <w:sz w:val="24"/>
        </w:rPr>
        <w:t>出行方面，新版《强制性产品认证实施规则 电动自行车（试行）》11月1日起实施，核心是“一车一池一充一码”：整车、配套电池、配套充电器必须成套认证、成套出厂，共享一套唯一可追溯编码，编码写入随车一致性证书，证书内容与上牌登记要求一致。非配套电池、充电器无法正常匹配使用，私自解除限速、混用电池的空间被压缩。全国电动自行车保有量已达3.8亿辆。</w:t>
      </w:r>
    </w:p>
    <w:p>
      <w:pPr>
        <w:spacing w:after="160" w:line="360" w:lineRule="auto"/>
        <w:jc w:val="both"/>
      </w:pPr>
      <w:r>
        <w:rPr>
          <w:rFonts w:ascii="微软雅黑" w:hAnsi="微软雅黑" w:eastAsia="微软雅黑"/>
          <w:b w:val="0"/>
          <w:i w:val="0"/>
          <w:color w:val="222222"/>
          <w:sz w:val="24"/>
        </w:rPr>
        <w:t>买新车时，除认准车身3C标志，还要查验随车一致性证书，核对车架号、电池品牌型号、充电器型号与证书及实车是否一致，并索要发票。已上牌的旧车不必担心，已颁发的有效3C证书可继续使用，通过变更、换证自然过渡。同日起，全国成品油零售加油站全面推广“交易即开票”，加油后当场就能取得发票。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6821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03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682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微软雅黑" w:hAnsi="微软雅黑" w:eastAsia="微软雅黑"/>
          <w:b w:val="0"/>
          <w:i w:val="0"/>
          <w:color w:val="888888"/>
          <w:sz w:val="18"/>
        </w:rPr>
        <w:t>中小学校教室采光和照明新标准相关配图（资料图）（来源：央广网）</w:t>
      </w:r>
    </w:p>
    <w:p>
      <w:pPr>
        <w:spacing w:after="160" w:line="360" w:lineRule="auto"/>
        <w:jc w:val="both"/>
      </w:pPr>
      <w:r>
        <w:rPr>
          <w:rFonts w:ascii="微软雅黑" w:hAnsi="微软雅黑" w:eastAsia="微软雅黑"/>
          <w:b w:val="0"/>
          <w:i w:val="0"/>
          <w:color w:val="222222"/>
          <w:sz w:val="24"/>
        </w:rPr>
        <w:t>家里有孩子的，要留意几项新标准。《儿童用品通用安全要求》（GB 46523—2025）是我国首个儿童用品全品类强制性国家标准，覆盖14周岁以下儿童使用、玩耍、穿戴的产品。标准对可迁移重金属、增塑剂、甲醛等7大类有害物质划定限量，带有刺鼻异味的儿童用品禁止上市销售。同日起，《玩具安全》4项强制性国家标准实施，新增甲醛、硼元素等10类限量，“水晶泥”的硼元素限量明确为每千克不超过300毫克。</w:t>
      </w:r>
    </w:p>
    <w:p>
      <w:pPr>
        <w:spacing w:after="160" w:line="360" w:lineRule="auto"/>
        <w:jc w:val="both"/>
      </w:pPr>
      <w:r>
        <w:rPr>
          <w:rFonts w:ascii="微软雅黑" w:hAnsi="微软雅黑" w:eastAsia="微软雅黑"/>
          <w:b w:val="0"/>
          <w:i w:val="0"/>
          <w:color w:val="222222"/>
          <w:sz w:val="24"/>
        </w:rPr>
        <w:t>学校里，新版《中小学校教室采光和照明卫生标准》（GB 7793—2025）同日实施，课桌面平均照度不低于300勒克斯、书写板不低于500勒克斯，均匀度分别不低于0.7和0.8，教室一般照明灯具蓝光危险组别需达到RG0豁免级。</w:t>
      </w:r>
    </w:p>
    <w:p>
      <w:pPr>
        <w:spacing w:after="160" w:line="360" w:lineRule="auto"/>
        <w:jc w:val="both"/>
      </w:pPr>
      <w:r>
        <w:rPr>
          <w:rFonts w:ascii="微软雅黑" w:hAnsi="微软雅黑" w:eastAsia="微软雅黑"/>
          <w:b w:val="0"/>
          <w:i w:val="0"/>
          <w:color w:val="222222"/>
          <w:sz w:val="24"/>
        </w:rPr>
        <w:t>给孩子报体育培训班的，还可对照同日实施的《青少年体育培训行为规范》：普通班次每班不超过35人，超过10名学员至少配2名执教人员，一次性收费不超过3个月或60课时、金额不超过5000元。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72881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04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7288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微软雅黑" w:hAnsi="微软雅黑" w:eastAsia="微软雅黑"/>
          <w:b w:val="0"/>
          <w:i w:val="0"/>
          <w:color w:val="888888"/>
          <w:sz w:val="18"/>
        </w:rPr>
        <w:t>《玩具安全》强制性国家标准相关配图（资料图）（来源：央广网）</w:t>
      </w:r>
    </w:p>
    <w:p>
      <w:pPr>
        <w:spacing w:after="160" w:line="360" w:lineRule="auto"/>
        <w:jc w:val="both"/>
      </w:pPr>
      <w:r>
        <w:rPr>
          <w:rFonts w:ascii="微软雅黑" w:hAnsi="微软雅黑" w:eastAsia="微软雅黑"/>
          <w:b w:val="0"/>
          <w:i w:val="0"/>
          <w:color w:val="222222"/>
          <w:sz w:val="24"/>
        </w:rPr>
        <w:t>看病和居家场景也有新规。陪诊服务首项国家标准《社会化陪同就医服务 基本要求》（GB/T 47801—2026）11月1日起实施，可开展的服务共12项，包括取号、代取药、预约检查、领取结果、记录医嘱、办理出入院和缴费等。标准要求陪诊人员经专业培训并取得培训合格证明，未经培训不得独立从业。</w:t>
      </w:r>
    </w:p>
    <w:p>
      <w:pPr>
        <w:spacing w:after="160" w:line="360" w:lineRule="auto"/>
        <w:jc w:val="both"/>
      </w:pPr>
      <w:r>
        <w:rPr>
          <w:rFonts w:ascii="微软雅黑" w:hAnsi="微软雅黑" w:eastAsia="微软雅黑"/>
          <w:b w:val="0"/>
          <w:i w:val="0"/>
          <w:color w:val="222222"/>
          <w:sz w:val="24"/>
        </w:rPr>
        <w:t>国家广播电视总局公布的《有线广播电视运营服务管理规定》等两项规定自11月27日起施行，要求实现开机看全屏直播、不得播放开机广告，首页设立免费专区、精简收费栏目并明示收费信息。这些规定的共同点，是把过去模糊的“应该”变成可检查的“必须”：社保看缴费记录，买车看一致性证书，儿童用品看标识，陪诊看培训证明，电视收费看明示内容。规定落地需要时间，普通人能做的，是在办事、花钱时多问一句、多查一项。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72186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05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7218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微软雅黑" w:hAnsi="微软雅黑" w:eastAsia="微软雅黑"/>
          <w:b w:val="0"/>
          <w:i w:val="0"/>
          <w:color w:val="888888"/>
          <w:sz w:val="18"/>
        </w:rPr>
        <w:t>有线电视开机画面相关配图（资料图）（来源：央广网）</w:t>
      </w:r>
    </w:p>
    <w:p>
      <w:pPr>
        <w:spacing w:after="0" w:line="288" w:lineRule="auto"/>
        <w:jc w:val="left"/>
      </w:pPr>
      <w:r>
        <w:rPr>
          <w:rFonts w:ascii="微软雅黑" w:hAnsi="微软雅黑" w:eastAsia="微软雅黑"/>
          <w:b w:val="0"/>
          <w:i w:val="0"/>
          <w:color w:val="888888"/>
          <w:sz w:val="18"/>
        </w:rPr>
        <w:t>声明：本文图片来源于网络，版权归原作者所有，如有侵权请联系删除。</w:t>
      </w: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11月起施行：社保、电动车、孩子用品都有新变化</dc:title>
  <dc:subject>百度热榜第 24 名</dc:subject>
  <dc:creator>python-docx</dc:creator>
  <cp:keywords>rank=24;body_chars=1498;images=5</cp:keywords>
  <dc:description>11月起这些新规将影响生活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