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B26CDA">
      <w:pPr>
        <w:pStyle w:val="7"/>
        <w:keepNext/>
        <w:keepLines/>
        <w:widowControl w:val="0"/>
        <w:shd w:val="clear" w:color="auto" w:fill="auto"/>
        <w:bidi w:val="0"/>
        <w:spacing w:line="240" w:lineRule="auto"/>
        <w:ind w:left="0" w:right="0" w:firstLine="0"/>
        <w:jc w:val="center"/>
      </w:pPr>
      <w:bookmarkStart w:id="639" w:name="_GoBack"/>
      <w:bookmarkEnd w:id="639"/>
      <w:bookmarkStart w:id="0" w:name="bookmark2"/>
      <w:bookmarkStart w:id="1" w:name="bookmark1"/>
      <w:bookmarkStart w:id="2" w:name="bookmark0"/>
      <w:r>
        <w:rPr>
          <w:color w:val="000000"/>
          <w:spacing w:val="0"/>
          <w:w w:val="100"/>
          <w:position w:val="0"/>
        </w:rPr>
        <w:t>民法判例百选</w:t>
      </w:r>
      <w:bookmarkEnd w:id="0"/>
      <w:bookmarkEnd w:id="1"/>
      <w:bookmarkEnd w:id="2"/>
    </w:p>
    <w:p w14:paraId="2A6E4199">
      <w:pPr>
        <w:pStyle w:val="9"/>
        <w:keepNext w:val="0"/>
        <w:keepLines w:val="0"/>
        <w:widowControl w:val="0"/>
        <w:shd w:val="clear" w:color="auto" w:fill="auto"/>
        <w:tabs>
          <w:tab w:val="left" w:pos="953"/>
        </w:tabs>
        <w:bidi w:val="0"/>
        <w:spacing w:before="0" w:line="240" w:lineRule="auto"/>
        <w:ind w:left="0" w:right="0" w:firstLine="0"/>
        <w:jc w:val="center"/>
      </w:pPr>
      <w:r>
        <w:rPr>
          <w:rFonts w:ascii="Times New Roman" w:hAnsi="Times New Roman" w:eastAsia="Times New Roman" w:cs="Times New Roman"/>
          <w:color w:val="000000"/>
          <w:spacing w:val="0"/>
          <w:w w:val="100"/>
          <w:position w:val="0"/>
          <w:sz w:val="24"/>
          <w:szCs w:val="24"/>
        </w:rPr>
        <w:t>I</w:t>
      </w:r>
      <w:r>
        <w:rPr>
          <w:rFonts w:ascii="Times New Roman" w:hAnsi="Times New Roman" w:eastAsia="Times New Roman" w:cs="Times New Roman"/>
          <w:color w:val="000000"/>
          <w:spacing w:val="0"/>
          <w:w w:val="100"/>
          <w:position w:val="0"/>
          <w:sz w:val="24"/>
          <w:szCs w:val="24"/>
        </w:rPr>
        <w:tab/>
      </w:r>
      <w:r>
        <w:rPr>
          <w:color w:val="000000"/>
          <w:spacing w:val="0"/>
          <w:w w:val="100"/>
          <w:position w:val="0"/>
        </w:rPr>
        <w:t xml:space="preserve">一周江洪 陆青 章程 </w:t>
      </w:r>
      <w:r>
        <w:rPr>
          <w:color w:val="000000"/>
          <w:spacing w:val="0"/>
          <w:w w:val="100"/>
          <w:position w:val="0"/>
          <w:lang w:val="zh-CN" w:eastAsia="zh-CN" w:bidi="zh-CN"/>
        </w:rPr>
        <w:t>主编―</w:t>
      </w:r>
      <w:r>
        <w:rPr>
          <w:color w:val="000000"/>
          <w:spacing w:val="0"/>
          <w:w w:val="100"/>
          <w:position w:val="0"/>
          <w:lang w:val="en-US" w:eastAsia="en-US" w:bidi="en-US"/>
        </w:rPr>
        <w:t>—</w:t>
      </w:r>
      <w:r>
        <w:rPr>
          <w:color w:val="000000"/>
          <w:spacing w:val="0"/>
          <w:w w:val="100"/>
          <w:position w:val="0"/>
        </w:rPr>
        <w:t>，</w:t>
      </w:r>
    </w:p>
    <w:p w14:paraId="0ACC609A">
      <w:pPr>
        <w:pStyle w:val="11"/>
        <w:keepNext w:val="0"/>
        <w:framePr w:dropCap="drop" w:lines="2" w:hSpace="67" w:vSpace="67" w:wrap="auto" w:vAnchor="text" w:hAnchor="text"/>
        <w:widowControl w:val="0"/>
        <w:shd w:val="clear" w:color="auto" w:fill="auto"/>
        <w:spacing w:before="0" w:line="370" w:lineRule="exact"/>
        <w:ind w:left="0" w:firstLine="0"/>
      </w:pPr>
      <w:r>
        <w:rPr>
          <w:rFonts w:ascii="Times New Roman" w:hAnsi="Times New Roman" w:eastAsia="Times New Roman" w:cs="Times New Roman"/>
          <w:color w:val="000000"/>
          <w:spacing w:val="0"/>
          <w:w w:val="100"/>
          <w:position w:val="-8"/>
          <w:sz w:val="82"/>
          <w:szCs w:val="82"/>
          <w:lang w:val="en-US" w:eastAsia="en-US" w:bidi="en-US"/>
        </w:rPr>
        <w:t>a</w:t>
      </w:r>
    </w:p>
    <w:p w14:paraId="18F31247">
      <w:pPr>
        <w:pStyle w:val="11"/>
        <w:keepNext w:val="0"/>
        <w:keepLines w:val="0"/>
        <w:widowControl w:val="0"/>
        <w:shd w:val="clear" w:color="auto" w:fill="auto"/>
        <w:bidi w:val="0"/>
        <w:spacing w:before="0" w:after="0" w:line="240" w:lineRule="auto"/>
        <w:ind w:left="3200" w:right="0" w:firstLine="0"/>
        <w:jc w:val="both"/>
      </w:pPr>
      <w:r>
        <w:rPr>
          <w:color w:val="000000"/>
          <w:spacing w:val="0"/>
          <w:w w:val="100"/>
          <w:position w:val="0"/>
        </w:rPr>
        <w:t>法律出版社</w:t>
      </w:r>
    </w:p>
    <w:p w14:paraId="4704D41C">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color w:val="000000"/>
          <w:spacing w:val="0"/>
          <w:w w:val="100"/>
          <w:position w:val="0"/>
          <w:lang w:val="en-US" w:eastAsia="en-US" w:bidi="en-US"/>
        </w:rPr>
        <w:t>LAW PRESS-CHINA</w:t>
      </w:r>
    </w:p>
    <w:p w14:paraId="0EAAF2DE">
      <w:pPr>
        <w:pStyle w:val="15"/>
        <w:keepNext/>
        <w:keepLines/>
        <w:widowControl w:val="0"/>
        <w:shd w:val="clear" w:color="auto" w:fill="auto"/>
        <w:bidi w:val="0"/>
        <w:spacing w:before="0" w:after="1680" w:line="240" w:lineRule="auto"/>
        <w:ind w:left="0" w:right="0" w:firstLine="280"/>
        <w:jc w:val="left"/>
      </w:pPr>
      <w:bookmarkStart w:id="3" w:name="bookmark4"/>
      <w:bookmarkStart w:id="4" w:name="bookmark3"/>
      <w:bookmarkStart w:id="5" w:name="bookmark5"/>
      <w:r>
        <w:rPr>
          <w:color w:val="000000"/>
          <w:spacing w:val="0"/>
          <w:w w:val="100"/>
          <w:position w:val="0"/>
        </w:rPr>
        <w:t>主编简介</w:t>
      </w:r>
      <w:bookmarkEnd w:id="3"/>
      <w:bookmarkEnd w:id="4"/>
      <w:bookmarkEnd w:id="5"/>
    </w:p>
    <w:p w14:paraId="10D2D8D9">
      <w:pPr>
        <w:pStyle w:val="17"/>
        <w:keepNext w:val="0"/>
        <w:keepLines w:val="0"/>
        <w:widowControl w:val="0"/>
        <w:shd w:val="clear" w:color="auto" w:fill="auto"/>
        <w:bidi w:val="0"/>
        <w:spacing w:before="0" w:after="80" w:line="343" w:lineRule="exact"/>
        <w:ind w:left="0" w:right="0" w:firstLine="0"/>
        <w:jc w:val="left"/>
      </w:pPr>
      <w:r>
        <w:rPr>
          <w:color w:val="000000"/>
          <w:spacing w:val="0"/>
          <w:w w:val="100"/>
          <w:position w:val="0"/>
        </w:rPr>
        <w:t>周江洪</w:t>
      </w:r>
    </w:p>
    <w:p w14:paraId="1A5D7868">
      <w:pPr>
        <w:pStyle w:val="17"/>
        <w:keepNext w:val="0"/>
        <w:keepLines w:val="0"/>
        <w:widowControl w:val="0"/>
        <w:shd w:val="clear" w:color="auto" w:fill="auto"/>
        <w:bidi w:val="0"/>
        <w:spacing w:before="0" w:after="1120" w:line="343" w:lineRule="exact"/>
        <w:ind w:left="0" w:right="0" w:firstLine="0"/>
        <w:jc w:val="both"/>
      </w:pPr>
      <w:r>
        <w:rPr>
          <w:rFonts w:ascii="Times New Roman" w:hAnsi="Times New Roman" w:eastAsia="Times New Roman" w:cs="Times New Roman"/>
          <w:color w:val="000000"/>
          <w:spacing w:val="0"/>
          <w:w w:val="100"/>
          <w:position w:val="0"/>
          <w:sz w:val="19"/>
          <w:szCs w:val="19"/>
        </w:rPr>
        <w:t>1976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月生，浙江省磐安县人，法学博士。现为浙江大学社会科学研究院院长，光华法学 院教授、博士生导师;中宣部文化名家暨</w:t>
      </w:r>
      <w:r>
        <w:rPr>
          <w:color w:val="000000"/>
          <w:spacing w:val="0"/>
          <w:w w:val="100"/>
          <w:position w:val="0"/>
          <w:lang w:val="zh-CN" w:eastAsia="zh-CN" w:bidi="zh-CN"/>
        </w:rPr>
        <w:t>“四</w:t>
      </w:r>
      <w:r>
        <w:rPr>
          <w:color w:val="000000"/>
          <w:spacing w:val="0"/>
          <w:w w:val="100"/>
          <w:position w:val="0"/>
        </w:rPr>
        <w:t>个一批</w:t>
      </w:r>
      <w:r>
        <w:rPr>
          <w:color w:val="000000"/>
          <w:spacing w:val="0"/>
          <w:w w:val="100"/>
          <w:position w:val="0"/>
          <w:lang w:val="zh-CN" w:eastAsia="zh-CN" w:bidi="zh-CN"/>
        </w:rPr>
        <w:t>”人才</w:t>
      </w:r>
      <w:r>
        <w:rPr>
          <w:color w:val="000000"/>
          <w:spacing w:val="0"/>
          <w:w w:val="100"/>
          <w:position w:val="0"/>
        </w:rPr>
        <w:t>、教育部长江学者奖励计划青年学 者、国家</w:t>
      </w:r>
      <w:r>
        <w:rPr>
          <w:color w:val="000000"/>
          <w:spacing w:val="0"/>
          <w:w w:val="100"/>
          <w:position w:val="0"/>
          <w:lang w:val="zh-CN" w:eastAsia="zh-CN" w:bidi="zh-CN"/>
        </w:rPr>
        <w:t>“万人</w:t>
      </w:r>
      <w:r>
        <w:rPr>
          <w:color w:val="000000"/>
          <w:spacing w:val="0"/>
          <w:w w:val="100"/>
          <w:position w:val="0"/>
        </w:rPr>
        <w:t>计划”青年拔尖人才、教育部新世纪优秀人才;教育部高等学校法学类专业教 学指导委员会委员、中国法学会理事、中国民法学研究会常务理事、中国法学教育研究会理 事。代表性论著有:《区分所有建筑物的灾后重建》《侵权赔偿与社会保险并行给付的困境 与出路》《风险负担规则与合同解除》《作为民法学方法的案例研究进路》《买卖不破租赁规 则的法律效果》《委托合同任意解除损害赔偿》《服务合同研究》《合同法案例研习》等。</w:t>
      </w:r>
    </w:p>
    <w:p w14:paraId="6B0888AA">
      <w:pPr>
        <w:pStyle w:val="17"/>
        <w:keepNext w:val="0"/>
        <w:keepLines w:val="0"/>
        <w:widowControl w:val="0"/>
        <w:shd w:val="clear" w:color="auto" w:fill="auto"/>
        <w:bidi w:val="0"/>
        <w:spacing w:before="0" w:after="1120" w:line="343" w:lineRule="exact"/>
        <w:ind w:left="0" w:right="0" w:firstLine="0"/>
        <w:jc w:val="both"/>
      </w:pPr>
      <w:r>
        <w:rPr>
          <w:rFonts w:ascii="Times New Roman" w:hAnsi="Times New Roman" w:eastAsia="Times New Roman" w:cs="Times New Roman"/>
          <w:color w:val="000000"/>
          <w:spacing w:val="0"/>
          <w:w w:val="100"/>
          <w:position w:val="0"/>
          <w:sz w:val="19"/>
          <w:szCs w:val="19"/>
        </w:rPr>
        <w:t>1981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月生，浙江省绍兴市人，法学博士。现为浙江大学光华法学院副教授、硕士生导 师;浙江大学立法研究院院长助理、浙江大学房地产研究中心副主任、浙江省案例法研究会 副会长、浙江省民法学研究会秘书长、浙江省之江青年社科学者。代表性论著有:《合同解 除效果的意思自治研究:以意大利法为背景的考察》、《债是法锁:债法要义》（译著）、《离婚 协议中的“赠与子女财产</w:t>
      </w:r>
      <w:r>
        <w:rPr>
          <w:color w:val="000000"/>
          <w:spacing w:val="0"/>
          <w:w w:val="100"/>
          <w:position w:val="0"/>
          <w:lang w:val="zh-CN" w:eastAsia="zh-CN" w:bidi="zh-CN"/>
        </w:rPr>
        <w:t>”条款</w:t>
      </w:r>
      <w:r>
        <w:rPr>
          <w:color w:val="000000"/>
          <w:spacing w:val="0"/>
          <w:w w:val="100"/>
          <w:position w:val="0"/>
        </w:rPr>
        <w:t>研究》、《以房抵债协议的法理基础》等。</w:t>
      </w:r>
    </w:p>
    <w:p w14:paraId="3AA1471C">
      <w:pPr>
        <w:pStyle w:val="17"/>
        <w:keepNext w:val="0"/>
        <w:keepLines w:val="0"/>
        <w:widowControl w:val="0"/>
        <w:shd w:val="clear" w:color="auto" w:fill="auto"/>
        <w:bidi w:val="0"/>
        <w:spacing w:before="0" w:after="0" w:line="342" w:lineRule="exact"/>
        <w:ind w:left="0" w:right="0" w:firstLine="0"/>
        <w:jc w:val="both"/>
      </w:pPr>
      <w:r>
        <w:rPr>
          <w:rFonts w:ascii="Times New Roman" w:hAnsi="Times New Roman" w:eastAsia="Times New Roman" w:cs="Times New Roman"/>
          <w:color w:val="000000"/>
          <w:spacing w:val="0"/>
          <w:w w:val="100"/>
          <w:position w:val="0"/>
          <w:sz w:val="19"/>
          <w:szCs w:val="19"/>
        </w:rPr>
        <w:t>1985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月生，江苏省武进县人，法学博士。现为浙江大学光华法学院讲师，浙江大学民 商法研究所副所长;中日民商法研究会副秘书长，最高人民法院行政审判庭行政审判案例 研究基地秘书长。代表性论著有:《从基本权理论看法律行为之阻却生效要件》《论我国留 置权的规范适用与体系整合》等。</w:t>
      </w:r>
    </w:p>
    <w:p w14:paraId="77836241">
      <w:pPr>
        <w:pStyle w:val="17"/>
        <w:keepNext w:val="0"/>
        <w:keepLines w:val="0"/>
        <w:widowControl w:val="0"/>
        <w:shd w:val="clear" w:color="auto" w:fill="auto"/>
        <w:bidi w:val="0"/>
        <w:spacing w:before="0" w:after="0" w:line="378" w:lineRule="exact"/>
        <w:ind w:left="0" w:right="0" w:firstLine="420"/>
        <w:jc w:val="both"/>
      </w:pPr>
      <w:r>
        <w:rPr>
          <w:color w:val="000000"/>
          <w:spacing w:val="0"/>
          <w:w w:val="100"/>
          <w:position w:val="0"/>
        </w:rPr>
        <w:t>本书收集近百位学者所撰写的</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篇案例评释，是中国法学研究的创举，在比较法 上罕见其例，具有重大深远的里程碑式意义。评释的案例涵盖</w:t>
      </w:r>
      <w:r>
        <w:rPr>
          <w:rFonts w:ascii="Times New Roman" w:hAnsi="Times New Roman" w:eastAsia="Times New Roman" w:cs="Times New Roman"/>
          <w:color w:val="000000"/>
          <w:spacing w:val="0"/>
          <w:w w:val="100"/>
          <w:position w:val="0"/>
          <w:sz w:val="19"/>
          <w:szCs w:val="19"/>
        </w:rPr>
        <w:t>1986</w:t>
      </w:r>
      <w:r>
        <w:rPr>
          <w:color w:val="000000"/>
          <w:spacing w:val="0"/>
          <w:w w:val="100"/>
          <w:position w:val="0"/>
        </w:rPr>
        <w:t>年《民法通则》施行 以来累积的重要指导性的裁判及若干民事第一例，体现社会变迁、法之实践以及司法的 任务和贡献。本书对案例评释采取统一的格式,包括事实概要、判决要旨、评析（相关规 范、本判决的思路和意义、相关学理、司法实践状况、本案遗留的问题）及参考文献，可以 作为案例研究的典范模式。</w:t>
      </w:r>
    </w:p>
    <w:p w14:paraId="3A0DFF7F">
      <w:pPr>
        <w:pStyle w:val="17"/>
        <w:keepNext w:val="0"/>
        <w:keepLines w:val="0"/>
        <w:widowControl w:val="0"/>
        <w:shd w:val="clear" w:color="auto" w:fill="auto"/>
        <w:bidi w:val="0"/>
        <w:spacing w:before="0" w:after="0" w:line="378" w:lineRule="exact"/>
        <w:ind w:left="0" w:right="0" w:firstLine="420"/>
        <w:jc w:val="both"/>
      </w:pPr>
      <w:r>
        <w:rPr>
          <w:color w:val="000000"/>
          <w:spacing w:val="0"/>
          <w:w w:val="100"/>
          <w:position w:val="0"/>
        </w:rPr>
        <w:t>中国民法及民法学的发展相伴同行，可以分为三个阶段。第一个阶段是改革开放， 倡导民法理念，形成私法体系以及制定具有历史性意义的《民法通则</w:t>
      </w:r>
      <w:r>
        <w:rPr>
          <w:rFonts w:ascii="Times New Roman" w:hAnsi="Times New Roman" w:eastAsia="Times New Roman" w:cs="Times New Roman"/>
          <w:color w:val="000000"/>
          <w:spacing w:val="0"/>
          <w:w w:val="100"/>
          <w:position w:val="0"/>
          <w:sz w:val="19"/>
          <w:szCs w:val="19"/>
        </w:rPr>
        <w:t>＞（1978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1986 </w:t>
      </w:r>
      <w:r>
        <w:rPr>
          <w:color w:val="000000"/>
          <w:spacing w:val="0"/>
          <w:w w:val="100"/>
          <w:position w:val="0"/>
        </w:rPr>
        <w:t>年）。第二个阶段的重点在于建构中国民法学,开展法律教育，陆续完成《合同法》、《物权 法》和《侵权责任法》等民事立法，集大成于</w:t>
      </w:r>
      <w:r>
        <w:rPr>
          <w:rFonts w:ascii="Times New Roman" w:hAnsi="Times New Roman" w:eastAsia="Times New Roman" w:cs="Times New Roman"/>
          <w:color w:val="000000"/>
          <w:spacing w:val="0"/>
          <w:w w:val="100"/>
          <w:position w:val="0"/>
          <w:sz w:val="19"/>
          <w:szCs w:val="19"/>
        </w:rPr>
        <w:t>2020</w:t>
      </w:r>
      <w:r>
        <w:rPr>
          <w:color w:val="000000"/>
          <w:spacing w:val="0"/>
          <w:w w:val="100"/>
          <w:position w:val="0"/>
        </w:rPr>
        <w:t>年制定的中国第一部《民法典》。本书 近百位学者所代表的世代,承担着承前启后第三阶段的使命。这个使命在于更进一步强 化法律教学,深化法学研究,尤其是结合理论与实务，实践民法的理念，促进具有中国特 色社会主义社会的发展，保障人民的合法权益。本书的出版展现一致的信念、明确的目 标及共同的努力，建设一个以人为本的法治社会。</w:t>
      </w:r>
    </w:p>
    <w:p w14:paraId="062FBE88">
      <w:pPr>
        <w:pStyle w:val="17"/>
        <w:keepNext w:val="0"/>
        <w:keepLines w:val="0"/>
        <w:widowControl w:val="0"/>
        <w:shd w:val="clear" w:color="auto" w:fill="auto"/>
        <w:bidi w:val="0"/>
        <w:spacing w:before="0" w:after="0" w:line="378" w:lineRule="exact"/>
        <w:ind w:left="0" w:right="0" w:firstLine="420"/>
        <w:jc w:val="both"/>
      </w:pPr>
      <w:r>
        <w:rPr>
          <w:color w:val="000000"/>
          <w:spacing w:val="0"/>
          <w:w w:val="100"/>
          <w:position w:val="0"/>
        </w:rPr>
        <w:t>判决评释或案例研究系以法学方法解析判决，结合判例与学说，建构法释义学。法 学方法论旨在提供一定的规则，用于引导法之适用的过程，检视其论证内容。法之适用 始于具体案例的法律问题,以此为出发点，寻找得适用的规范（尤其是请求权基础），分析 其构成要件，就其法律概念加以定义,涵摄于经认定的案例事实，加以论证，而获取一定 的结论。</w:t>
      </w:r>
    </w:p>
    <w:p w14:paraId="471D25FA">
      <w:pPr>
        <w:pStyle w:val="17"/>
        <w:keepNext w:val="0"/>
        <w:keepLines w:val="0"/>
        <w:widowControl w:val="0"/>
        <w:shd w:val="clear" w:color="auto" w:fill="auto"/>
        <w:bidi w:val="0"/>
        <w:spacing w:before="0" w:after="0" w:line="378" w:lineRule="exact"/>
        <w:ind w:left="0" w:right="0" w:firstLine="420"/>
        <w:jc w:val="both"/>
        <w:sectPr>
          <w:footnotePr>
            <w:numFmt w:val="decimal"/>
          </w:footnotePr>
          <w:pgSz w:w="10099" w:h="14782"/>
          <w:pgMar w:top="1323" w:right="1105" w:bottom="1065" w:left="989" w:header="895" w:footer="637" w:gutter="0"/>
          <w:pgNumType w:start="1"/>
          <w:cols w:space="720" w:num="1"/>
          <w:rtlGutter w:val="0"/>
          <w:docGrid w:linePitch="360" w:charSpace="0"/>
        </w:sectPr>
      </w:pPr>
      <w:r>
        <w:rPr>
          <w:color w:val="000000"/>
          <w:spacing w:val="0"/>
          <w:w w:val="100"/>
          <w:position w:val="0"/>
        </w:rPr>
        <w:t>法之适用在方法论上通常分为法律解释（概括条款的具体化）及法之续造。法律解 释的课题包括解释目的、解释方法及法律解释客观性。《民法典》第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条规定：“处理民 事纠纷，应当依照法律;法律没有规定的,可以适用习惯，但是不得违背公序良俗。”问题 在于无法律或习惯时，如何处理？此涉及法律漏洞及漏洞填补（类推适用及目的性限 缩）。制定</w:t>
      </w:r>
      <w:r>
        <w:rPr>
          <w:rFonts w:ascii="Times New Roman" w:hAnsi="Times New Roman" w:eastAsia="Times New Roman" w:cs="Times New Roman"/>
          <w:color w:val="000000"/>
          <w:spacing w:val="0"/>
          <w:w w:val="100"/>
          <w:position w:val="0"/>
          <w:sz w:val="19"/>
          <w:szCs w:val="19"/>
        </w:rPr>
        <w:t>2020</w:t>
      </w:r>
      <w:r>
        <w:rPr>
          <w:color w:val="000000"/>
          <w:spacing w:val="0"/>
          <w:w w:val="100"/>
          <w:position w:val="0"/>
        </w:rPr>
        <w:t>年《民法典》时曾经讨论这个问题，但未采纳《瑞士民法》第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条的规定, 以法理作为法源，授权法院从事法之续造。此将为民法发展的重要课题，以法学方法检 视法律解释，从事法之续造,系案例研究的任务。提升法学方法论的认知及意识,有助于 达成判例研究的任务。法之适用及判决评释与法释义学（法教义学）具有密切的关系，一 </w:t>
      </w:r>
    </w:p>
    <w:p w14:paraId="6F060794">
      <w:pPr>
        <w:pStyle w:val="17"/>
        <w:keepNext w:val="0"/>
        <w:keepLines w:val="0"/>
        <w:widowControl w:val="0"/>
        <w:shd w:val="clear" w:color="auto" w:fill="auto"/>
        <w:bidi w:val="0"/>
        <w:spacing w:before="0" w:after="0" w:line="378" w:lineRule="exact"/>
        <w:ind w:left="0" w:right="0" w:firstLine="0"/>
        <w:jc w:val="both"/>
      </w:pPr>
      <w:r>
        <w:rPr>
          <w:color w:val="000000"/>
          <w:spacing w:val="0"/>
          <w:w w:val="100"/>
          <w:position w:val="0"/>
        </w:rPr>
        <w:t>方面,运用法释义学从事案例研究；他方面,以案例研究建构法释义学。法释义学系对现 行法律(包括判例学说)进行阐释，从事法体系的建构，并提出解决实务上争议问题的建 议。法释义学具有如下的功能:第一，建构法体系功能。整合判例学说，有系统地整理分 析现行法的概念体系，了解法律内部的价值理念，在整体上把握其于具体案件规范适用 的关联，以利法之适用。第二，稳定功能。为司法实践及法院裁判提出可适用的法律见 解，以期能长期影响同一类型判决，形成普遍实践原则，以强化法院裁判的可预见性及法 律安定性。第三,减轻论证负担功能。为特定法律问题，提供可供检验并具说服力的解 决方法，得以减轻法学研究及法之适用上论证的负担，不必凡事都要重新讨论。因此，法 院适用法律，要变更法释义学上具有一定共识的法律见解，应提出更好的理由，承担论证 责任。第四，修正与更新功能。法释义学所提出关于法律解释及法之续造的原则，具有 调节各个制度发展的作用,但不应拘泥于向来之见解。为适应社会变迁,应为深刻的批 评创造条件，发现矛盾，解决冲突,探寻符合体系的新的解决方法途径，而能有所革新进 步。</w:t>
      </w:r>
    </w:p>
    <w:p w14:paraId="6CECC9DB">
      <w:pPr>
        <w:pStyle w:val="17"/>
        <w:keepNext w:val="0"/>
        <w:keepLines w:val="0"/>
        <w:widowControl w:val="0"/>
        <w:shd w:val="clear" w:color="auto" w:fill="auto"/>
        <w:bidi w:val="0"/>
        <w:spacing w:before="0" w:after="0" w:line="375" w:lineRule="exact"/>
        <w:ind w:left="0" w:right="0" w:firstLine="440"/>
        <w:jc w:val="both"/>
      </w:pPr>
      <w:r>
        <w:rPr>
          <w:color w:val="000000"/>
          <w:spacing w:val="0"/>
          <w:w w:val="100"/>
          <w:position w:val="0"/>
        </w:rPr>
        <w:t>值得再予强调的是,判例研究不仅在于方法论上检视法之适用、实现个案正义，并在 发现法律原则，尤其是整合判例与学说,建构法释义学,体现法学的任务。所应努力的 是，排除表面的论述，公开隐蔽的价值理念,不能满足于当前法律政策和法律实践的需 求，必须对学说见解与司法实践进行必要的批评和修正，积极参与法规范的形成与开展。 从事判例研究是每一个法学者的权利、责任与义务。</w:t>
      </w:r>
    </w:p>
    <w:p w14:paraId="73FAE2C1">
      <w:pPr>
        <w:pStyle w:val="17"/>
        <w:keepNext w:val="0"/>
        <w:keepLines w:val="0"/>
        <w:widowControl w:val="0"/>
        <w:shd w:val="clear" w:color="auto" w:fill="auto"/>
        <w:bidi w:val="0"/>
        <w:spacing w:before="0" w:after="0" w:line="375" w:lineRule="exact"/>
        <w:ind w:left="0" w:right="0" w:firstLine="440"/>
        <w:jc w:val="both"/>
      </w:pPr>
      <w:r>
        <w:rPr>
          <w:color w:val="000000"/>
          <w:spacing w:val="0"/>
          <w:w w:val="100"/>
          <w:position w:val="0"/>
        </w:rPr>
        <w:t>本书</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个案例凸显中国民法</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年来实务上法律解释及法之续造的重要问题。有 为中国特色(尤其是物权法)，如合法建造房屋所有权归属</w:t>
      </w:r>
      <w:r>
        <w:rPr>
          <w:rFonts w:ascii="Times New Roman" w:hAnsi="Times New Roman" w:eastAsia="Times New Roman" w:cs="Times New Roman"/>
          <w:color w:val="000000"/>
          <w:spacing w:val="0"/>
          <w:w w:val="100"/>
          <w:position w:val="0"/>
          <w:sz w:val="19"/>
          <w:szCs w:val="19"/>
        </w:rPr>
        <w:t>(033)</w:t>
      </w:r>
      <w:r>
        <w:rPr>
          <w:color w:val="000000"/>
          <w:spacing w:val="0"/>
          <w:w w:val="100"/>
          <w:position w:val="0"/>
        </w:rPr>
        <w:t>、集体土地征收中土地承 包经营权主体的确定</w:t>
      </w:r>
      <w:r>
        <w:rPr>
          <w:rFonts w:ascii="Times New Roman" w:hAnsi="Times New Roman" w:eastAsia="Times New Roman" w:cs="Times New Roman"/>
          <w:color w:val="000000"/>
          <w:spacing w:val="0"/>
          <w:w w:val="100"/>
          <w:position w:val="0"/>
          <w:sz w:val="19"/>
          <w:szCs w:val="19"/>
        </w:rPr>
        <w:t>(039)</w:t>
      </w:r>
      <w:r>
        <w:rPr>
          <w:color w:val="000000"/>
          <w:spacing w:val="0"/>
          <w:w w:val="100"/>
          <w:position w:val="0"/>
        </w:rPr>
        <w:t>、宅基地所有权继承问题</w:t>
      </w:r>
      <w:r>
        <w:rPr>
          <w:rFonts w:ascii="Times New Roman" w:hAnsi="Times New Roman" w:eastAsia="Times New Roman" w:cs="Times New Roman"/>
          <w:color w:val="000000"/>
          <w:spacing w:val="0"/>
          <w:w w:val="100"/>
          <w:position w:val="0"/>
          <w:sz w:val="19"/>
          <w:szCs w:val="19"/>
        </w:rPr>
        <w:t>(040)</w:t>
      </w:r>
      <w:r>
        <w:rPr>
          <w:color w:val="000000"/>
          <w:spacing w:val="0"/>
          <w:w w:val="100"/>
          <w:position w:val="0"/>
        </w:rPr>
        <w:t>；有为比较法上共同的问题，如 违反强制性规范合同效力的认定</w:t>
      </w:r>
      <w:r>
        <w:rPr>
          <w:rFonts w:ascii="Times New Roman" w:hAnsi="Times New Roman" w:eastAsia="Times New Roman" w:cs="Times New Roman"/>
          <w:color w:val="000000"/>
          <w:spacing w:val="0"/>
          <w:w w:val="100"/>
          <w:position w:val="0"/>
          <w:sz w:val="19"/>
          <w:szCs w:val="19"/>
        </w:rPr>
        <w:t>(021)</w:t>
      </w:r>
      <w:r>
        <w:rPr>
          <w:color w:val="000000"/>
          <w:spacing w:val="0"/>
          <w:w w:val="100"/>
          <w:position w:val="0"/>
        </w:rPr>
        <w:t>、无权代理人的赔偿责任</w:t>
      </w:r>
      <w:r>
        <w:rPr>
          <w:rFonts w:ascii="Times New Roman" w:hAnsi="Times New Roman" w:eastAsia="Times New Roman" w:cs="Times New Roman"/>
          <w:color w:val="000000"/>
          <w:spacing w:val="0"/>
          <w:w w:val="100"/>
          <w:position w:val="0"/>
          <w:sz w:val="19"/>
          <w:szCs w:val="19"/>
        </w:rPr>
        <w:t>(022)</w:t>
      </w:r>
      <w:r>
        <w:rPr>
          <w:color w:val="000000"/>
          <w:spacing w:val="0"/>
          <w:w w:val="100"/>
          <w:position w:val="0"/>
        </w:rPr>
        <w:t>、预约认定及违约 责任</w:t>
      </w:r>
      <w:r>
        <w:rPr>
          <w:rFonts w:ascii="Times New Roman" w:hAnsi="Times New Roman" w:eastAsia="Times New Roman" w:cs="Times New Roman"/>
          <w:color w:val="000000"/>
          <w:spacing w:val="0"/>
          <w:w w:val="100"/>
          <w:position w:val="0"/>
          <w:sz w:val="19"/>
          <w:szCs w:val="19"/>
        </w:rPr>
        <w:t>(054)</w:t>
      </w:r>
      <w:r>
        <w:rPr>
          <w:color w:val="000000"/>
          <w:spacing w:val="0"/>
          <w:w w:val="100"/>
          <w:position w:val="0"/>
        </w:rPr>
        <w:t>等。值得提出的是，若干案例涉及民法的核心问题，如公序良俗与法律行为效 力</w:t>
      </w:r>
      <w:r>
        <w:rPr>
          <w:rFonts w:ascii="Times New Roman" w:hAnsi="Times New Roman" w:eastAsia="Times New Roman" w:cs="Times New Roman"/>
          <w:color w:val="000000"/>
          <w:spacing w:val="0"/>
          <w:w w:val="100"/>
          <w:position w:val="0"/>
          <w:sz w:val="19"/>
          <w:szCs w:val="19"/>
        </w:rPr>
        <w:t>(002),</w:t>
      </w:r>
      <w:r>
        <w:rPr>
          <w:color w:val="000000"/>
          <w:spacing w:val="0"/>
          <w:w w:val="100"/>
          <w:position w:val="0"/>
        </w:rPr>
        <w:t>宪法权利的民法效力</w:t>
      </w:r>
      <w:r>
        <w:rPr>
          <w:rFonts w:ascii="Times New Roman" w:hAnsi="Times New Roman" w:eastAsia="Times New Roman" w:cs="Times New Roman"/>
          <w:color w:val="000000"/>
          <w:spacing w:val="0"/>
          <w:w w:val="100"/>
          <w:position w:val="0"/>
          <w:sz w:val="19"/>
          <w:szCs w:val="19"/>
        </w:rPr>
        <w:t>(003)</w:t>
      </w:r>
      <w:r>
        <w:rPr>
          <w:color w:val="000000"/>
          <w:spacing w:val="0"/>
          <w:w w:val="100"/>
          <w:position w:val="0"/>
        </w:rPr>
        <w:t>、情事变更与不可抗力的关系(</w:t>
      </w:r>
      <w:r>
        <w:rPr>
          <w:rFonts w:ascii="Times New Roman" w:hAnsi="Times New Roman" w:eastAsia="Times New Roman" w:cs="Times New Roman"/>
          <w:color w:val="000000"/>
          <w:spacing w:val="0"/>
          <w:w w:val="100"/>
          <w:position w:val="0"/>
          <w:sz w:val="19"/>
          <w:szCs w:val="19"/>
        </w:rPr>
        <w:t>062</w:t>
      </w:r>
      <w:r>
        <w:rPr>
          <w:color w:val="000000"/>
          <w:spacing w:val="0"/>
          <w:w w:val="100"/>
          <w:position w:val="0"/>
        </w:rPr>
        <w:t>)、继续性合同的 适用规则</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063)</w:t>
      </w:r>
      <w:r>
        <w:rPr>
          <w:color w:val="000000"/>
          <w:spacing w:val="0"/>
          <w:w w:val="100"/>
          <w:position w:val="0"/>
        </w:rPr>
        <w:t>、不当得利的类型化</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087)</w:t>
      </w:r>
      <w:r>
        <w:rPr>
          <w:color w:val="000000"/>
          <w:spacing w:val="0"/>
          <w:w w:val="100"/>
          <w:position w:val="0"/>
        </w:rPr>
        <w:t xml:space="preserve">、受害人特殊体质与损害赔偿责任的减轻 </w:t>
      </w:r>
      <w:r>
        <w:rPr>
          <w:rFonts w:ascii="Times New Roman" w:hAnsi="Times New Roman" w:eastAsia="Times New Roman" w:cs="Times New Roman"/>
          <w:color w:val="000000"/>
          <w:spacing w:val="0"/>
          <w:w w:val="100"/>
          <w:position w:val="0"/>
          <w:sz w:val="19"/>
          <w:szCs w:val="19"/>
        </w:rPr>
        <w:t>(088)</w:t>
      </w:r>
      <w:r>
        <w:rPr>
          <w:color w:val="000000"/>
          <w:spacing w:val="0"/>
          <w:w w:val="100"/>
          <w:position w:val="0"/>
        </w:rPr>
        <w:t>、纯粹经济上损失的侵权行为保护</w:t>
      </w:r>
      <w:r>
        <w:rPr>
          <w:rFonts w:ascii="Times New Roman" w:hAnsi="Times New Roman" w:eastAsia="Times New Roman" w:cs="Times New Roman"/>
          <w:color w:val="000000"/>
          <w:spacing w:val="0"/>
          <w:w w:val="100"/>
          <w:position w:val="0"/>
          <w:sz w:val="19"/>
          <w:szCs w:val="19"/>
        </w:rPr>
        <w:t>(093)</w:t>
      </w:r>
      <w:r>
        <w:rPr>
          <w:color w:val="000000"/>
          <w:spacing w:val="0"/>
          <w:w w:val="100"/>
          <w:position w:val="0"/>
        </w:rPr>
        <w:t xml:space="preserve">等。每一个法律问题均具重要性，每一件 案例评释均具参考价值，有助于民法案例法的形成及民法的进步。以下拟就案例 </w:t>
      </w:r>
      <w:r>
        <w:rPr>
          <w:rFonts w:ascii="Times New Roman" w:hAnsi="Times New Roman" w:eastAsia="Times New Roman" w:cs="Times New Roman"/>
          <w:color w:val="000000"/>
          <w:spacing w:val="0"/>
          <w:w w:val="100"/>
          <w:position w:val="0"/>
          <w:sz w:val="19"/>
          <w:szCs w:val="19"/>
        </w:rPr>
        <w:t>001——</w:t>
      </w:r>
      <w:r>
        <w:rPr>
          <w:color w:val="000000"/>
          <w:spacing w:val="0"/>
          <w:w w:val="100"/>
          <w:position w:val="0"/>
        </w:rPr>
        <w:t>诚信原则在违约无效合同中的适用，试做简要的说明：</w:t>
      </w:r>
    </w:p>
    <w:p w14:paraId="4A3995AA">
      <w:pPr>
        <w:pStyle w:val="17"/>
        <w:keepNext w:val="0"/>
        <w:keepLines w:val="0"/>
        <w:widowControl w:val="0"/>
        <w:shd w:val="clear" w:color="auto" w:fill="auto"/>
        <w:bidi w:val="0"/>
        <w:spacing w:before="0" w:after="0" w:line="375" w:lineRule="exact"/>
        <w:ind w:left="0" w:right="0" w:firstLine="440"/>
        <w:jc w:val="both"/>
        <w:sectPr>
          <w:headerReference r:id="rId5" w:type="default"/>
          <w:headerReference r:id="rId6" w:type="even"/>
          <w:footnotePr>
            <w:numFmt w:val="decimal"/>
          </w:footnotePr>
          <w:pgSz w:w="10099" w:h="14782"/>
          <w:pgMar w:top="1323" w:right="1105" w:bottom="1065" w:left="989" w:header="0" w:footer="637" w:gutter="0"/>
          <w:pgNumType w:start="2"/>
          <w:cols w:space="720" w:num="1"/>
          <w:rtlGutter w:val="0"/>
          <w:docGrid w:linePitch="360" w:charSpace="0"/>
        </w:sectPr>
      </w:pPr>
      <w:r>
        <w:rPr>
          <w:color w:val="000000"/>
          <w:spacing w:val="0"/>
          <w:w w:val="100"/>
          <w:position w:val="0"/>
        </w:rPr>
        <w:t>在案例</w:t>
      </w:r>
      <w:r>
        <w:rPr>
          <w:rFonts w:ascii="Times New Roman" w:hAnsi="Times New Roman" w:eastAsia="Times New Roman" w:cs="Times New Roman"/>
          <w:color w:val="000000"/>
          <w:spacing w:val="0"/>
          <w:w w:val="100"/>
          <w:position w:val="0"/>
          <w:sz w:val="19"/>
          <w:szCs w:val="19"/>
        </w:rPr>
        <w:t>001</w:t>
      </w:r>
      <w:r>
        <w:rPr>
          <w:color w:val="000000"/>
          <w:spacing w:val="0"/>
          <w:w w:val="100"/>
          <w:position w:val="0"/>
        </w:rPr>
        <w:t xml:space="preserve">中，合同因违反法律规定无效，当事人一方以合同无效为理由，拒绝履行 债务，是否违反诚实信用原则而不得为此主张，进而发生诚信原则能否修正制定法规则 或修正制定法规则适用不当结果的争议。学说上有肯定、否定及折中的观点。最高人民 法院釆肯定见解。本件评释赞成法院见解，补充其论证的内容，提出判断的基准。判决 评释有对法院见解提出质疑，提供不同的思考方法;有更深入阐释法院判决适用的问题， </w:t>
      </w:r>
    </w:p>
    <w:p w14:paraId="064450D3">
      <w:pPr>
        <w:pStyle w:val="17"/>
        <w:keepNext w:val="0"/>
        <w:keepLines w:val="0"/>
        <w:widowControl w:val="0"/>
        <w:shd w:val="clear" w:color="auto" w:fill="auto"/>
        <w:bidi w:val="0"/>
        <w:spacing w:before="0" w:after="0" w:line="375" w:lineRule="exact"/>
        <w:ind w:left="0" w:right="0" w:firstLine="0"/>
        <w:jc w:val="both"/>
      </w:pPr>
      <w:r>
        <w:rPr>
          <w:color w:val="000000"/>
          <w:spacing w:val="0"/>
          <w:w w:val="100"/>
          <w:position w:val="0"/>
        </w:rPr>
        <w:t>有就个案判决建立一般法律原则，有整合相关判决创设理论体系。本件判决评释的重点 在于明确争点问题，加强判决的理由构成及论证内容，此亦为判例研究的任务，具有重要 价值，应予肯定。</w:t>
      </w:r>
    </w:p>
    <w:p w14:paraId="22D9BBE6">
      <w:pPr>
        <w:pStyle w:val="17"/>
        <w:keepNext w:val="0"/>
        <w:keepLines w:val="0"/>
        <w:widowControl w:val="0"/>
        <w:shd w:val="clear" w:color="auto" w:fill="auto"/>
        <w:bidi w:val="0"/>
        <w:spacing w:before="0" w:after="0" w:line="375" w:lineRule="exact"/>
        <w:ind w:left="0" w:right="0" w:firstLine="420"/>
        <w:jc w:val="both"/>
      </w:pPr>
      <w:r>
        <w:rPr>
          <w:color w:val="000000"/>
          <w:spacing w:val="0"/>
          <w:w w:val="100"/>
          <w:position w:val="0"/>
        </w:rPr>
        <w:t>诚信原则在违约无效合同中的适用问题,似不在于以诚信原则修正制定规则，或修 正制定法规则本身适用不当结果。合同违反法律规定无效，其无效系自始无效、当然无 效、绝对无效，法院应依职权加以审究。真正的问题在于当事人主张合同无效而拒绝履 行，是否构成违反诚信原则的不当权利的行使。最高人民法院基本上釆肯定见解，提出 两点理由:第一，合同无效制度设立的重要目的在于防止因为无效的合同履行给国家、社 会以及第三人带来损失,维护社会的法治秩序和公德。第二,本案中，华诚房地产公司作 为违法行为人恶意主动请求确认合同无效，如支持其请求,意味着体现双方真实意愿的 合同约定不仅对其没有约束力，甚至可能使其获得不正当的利益，这将违背合同无效制 度设立的宗旨，也将纵容违法行为人从事违法行为,使合同无效制度沦为违法行为人追 求不正当甚至非法利益的手段。这两点理由实值赞同，问题在于能否建立较明确的判断 基准。</w:t>
      </w:r>
    </w:p>
    <w:p w14:paraId="1B3EDFC0">
      <w:pPr>
        <w:pStyle w:val="17"/>
        <w:keepNext w:val="0"/>
        <w:keepLines w:val="0"/>
        <w:widowControl w:val="0"/>
        <w:shd w:val="clear" w:color="auto" w:fill="auto"/>
        <w:bidi w:val="0"/>
        <w:spacing w:before="0" w:after="0" w:line="375" w:lineRule="exact"/>
        <w:ind w:left="0" w:right="0" w:firstLine="420"/>
        <w:jc w:val="both"/>
      </w:pPr>
      <w:r>
        <w:rPr>
          <w:color w:val="000000"/>
          <w:spacing w:val="0"/>
          <w:w w:val="100"/>
          <w:position w:val="0"/>
        </w:rPr>
        <w:t>本件判决评释肯定法院判决，并从更高的法理层次加以论述,认为法律规则的一般 性，决定了其仅能保障通常、多数情况下的正义;但一定会有某些特殊、少数情形,规则适 用将产生不正义的后果,导致法律走向正义的反面。此即成文法的</w:t>
      </w:r>
      <w:r>
        <w:rPr>
          <w:color w:val="000000"/>
          <w:spacing w:val="0"/>
          <w:w w:val="100"/>
          <w:position w:val="0"/>
          <w:lang w:val="zh-CN" w:eastAsia="zh-CN" w:bidi="zh-CN"/>
        </w:rPr>
        <w:t>“不</w:t>
      </w:r>
      <w:r>
        <w:rPr>
          <w:color w:val="000000"/>
          <w:spacing w:val="0"/>
          <w:w w:val="100"/>
          <w:position w:val="0"/>
        </w:rPr>
        <w:t>合目的性”。然 而,法律不允许少数人成为制度的“牺牲品</w:t>
      </w:r>
      <w:r>
        <w:rPr>
          <w:color w:val="000000"/>
          <w:spacing w:val="0"/>
          <w:w w:val="100"/>
          <w:position w:val="0"/>
          <w:lang w:val="zh-CN" w:eastAsia="zh-CN" w:bidi="zh-CN"/>
        </w:rPr>
        <w:t>”，在</w:t>
      </w:r>
      <w:r>
        <w:rPr>
          <w:color w:val="000000"/>
          <w:spacing w:val="0"/>
          <w:w w:val="100"/>
          <w:position w:val="0"/>
        </w:rPr>
        <w:t>规则适用产生严重不正义结果时,客观上 需要一个纠正机制。诚信原则提供了这样一个纠正的工具。拉德布鲁赫公式指出，当制 定法与正义的矛盾达到“不能容忍</w:t>
      </w:r>
      <w:r>
        <w:rPr>
          <w:color w:val="000000"/>
          <w:spacing w:val="0"/>
          <w:w w:val="100"/>
          <w:position w:val="0"/>
          <w:lang w:val="zh-CN" w:eastAsia="zh-CN" w:bidi="zh-CN"/>
        </w:rPr>
        <w:t>”的</w:t>
      </w:r>
      <w:r>
        <w:rPr>
          <w:color w:val="000000"/>
          <w:spacing w:val="0"/>
          <w:w w:val="100"/>
          <w:position w:val="0"/>
        </w:rPr>
        <w:t xml:space="preserve">程度时，制定法须屈服于正义。因此，真正的问题 不在于表征正义的原则能否修正规则,而在于如何尽到证明规则与正义的矛盾已经达到 </w:t>
      </w:r>
      <w:r>
        <w:rPr>
          <w:color w:val="000000"/>
          <w:spacing w:val="0"/>
          <w:w w:val="100"/>
          <w:position w:val="0"/>
          <w:lang w:val="zh-CN" w:eastAsia="zh-CN" w:bidi="zh-CN"/>
        </w:rPr>
        <w:t>“不</w:t>
      </w:r>
      <w:r>
        <w:rPr>
          <w:color w:val="000000"/>
          <w:spacing w:val="0"/>
          <w:w w:val="100"/>
          <w:position w:val="0"/>
        </w:rPr>
        <w:t>能容忍</w:t>
      </w:r>
      <w:r>
        <w:rPr>
          <w:color w:val="000000"/>
          <w:spacing w:val="0"/>
          <w:w w:val="100"/>
          <w:position w:val="0"/>
          <w:lang w:val="zh-CN" w:eastAsia="zh-CN" w:bidi="zh-CN"/>
        </w:rPr>
        <w:t>”的</w:t>
      </w:r>
      <w:r>
        <w:rPr>
          <w:color w:val="000000"/>
          <w:spacing w:val="0"/>
          <w:w w:val="100"/>
          <w:position w:val="0"/>
        </w:rPr>
        <w:t>程度的论证。此项见解甚为深刻。需说明的是,引述拉德布鲁赫公式，或 无必要。之所以提出</w:t>
      </w:r>
      <w:r>
        <w:rPr>
          <w:color w:val="000000"/>
          <w:spacing w:val="0"/>
          <w:w w:val="100"/>
          <w:position w:val="0"/>
          <w:lang w:val="zh-CN" w:eastAsia="zh-CN" w:bidi="zh-CN"/>
        </w:rPr>
        <w:t>“不</w:t>
      </w:r>
      <w:r>
        <w:rPr>
          <w:color w:val="000000"/>
          <w:spacing w:val="0"/>
          <w:w w:val="100"/>
          <w:position w:val="0"/>
        </w:rPr>
        <w:t>能容忍</w:t>
      </w:r>
      <w:r>
        <w:rPr>
          <w:color w:val="000000"/>
          <w:spacing w:val="0"/>
          <w:w w:val="100"/>
          <w:position w:val="0"/>
          <w:lang w:val="zh-CN" w:eastAsia="zh-CN" w:bidi="zh-CN"/>
        </w:rPr>
        <w:t>”程</w:t>
      </w:r>
      <w:r>
        <w:rPr>
          <w:color w:val="000000"/>
          <w:spacing w:val="0"/>
          <w:w w:val="100"/>
          <w:position w:val="0"/>
        </w:rPr>
        <w:t>度的论证义务，旨在强调诚实信用原则的适用应该审 慎，借以维护无效规则（制度），避免逃避或遁入概括条款，影响法律适用的安定性及预见 性,此项见解诚值赞同。</w:t>
      </w:r>
    </w:p>
    <w:p w14:paraId="1937D8B1">
      <w:pPr>
        <w:pStyle w:val="17"/>
        <w:keepNext w:val="0"/>
        <w:keepLines w:val="0"/>
        <w:widowControl w:val="0"/>
        <w:shd w:val="clear" w:color="auto" w:fill="auto"/>
        <w:bidi w:val="0"/>
        <w:spacing w:before="0" w:after="0" w:line="375" w:lineRule="exact"/>
        <w:ind w:left="0" w:right="0" w:firstLine="420"/>
        <w:jc w:val="both"/>
      </w:pPr>
      <w:r>
        <w:rPr>
          <w:color w:val="000000"/>
          <w:spacing w:val="0"/>
          <w:w w:val="100"/>
          <w:position w:val="0"/>
        </w:rPr>
        <w:t>需说明的是，诚信原则系属概括条款，必须具体化,借助案例比较建构次原则。权利 不当行使系诚信原则的次原则,应就各种类型（如权利失效、矛盾行为、权利滥用等）明确 其构成要件及法律效果。构成要件的建立应基于利益衡量，考量合同的性质、当事人的 归责性及公共利益而于具体案件加以适用论证，此为本案例的核心问题。法律争议问题 并非均有唯一明确的答案,案例研究在于发现或认识真正的法律问题的争点，这是一种 彼此协力、共同思考、相互启发、达成共识的论证过程。</w:t>
      </w:r>
    </w:p>
    <w:p w14:paraId="2B635D2C">
      <w:pPr>
        <w:pStyle w:val="17"/>
        <w:keepNext w:val="0"/>
        <w:keepLines w:val="0"/>
        <w:widowControl w:val="0"/>
        <w:shd w:val="clear" w:color="auto" w:fill="auto"/>
        <w:bidi w:val="0"/>
        <w:spacing w:before="0" w:after="0" w:line="375" w:lineRule="exact"/>
        <w:ind w:left="0" w:right="0" w:firstLine="420"/>
        <w:jc w:val="both"/>
        <w:sectPr>
          <w:headerReference r:id="rId7" w:type="default"/>
          <w:headerReference r:id="rId8" w:type="even"/>
          <w:footnotePr>
            <w:numFmt w:val="decimal"/>
          </w:footnotePr>
          <w:pgSz w:w="10099" w:h="14782"/>
          <w:pgMar w:top="1323" w:right="1105" w:bottom="1065" w:left="989" w:header="0" w:footer="637" w:gutter="0"/>
          <w:pgNumType w:start="5"/>
          <w:cols w:space="720" w:num="1"/>
          <w:rtlGutter w:val="0"/>
          <w:docGrid w:linePitch="360" w:charSpace="0"/>
        </w:sectPr>
      </w:pPr>
      <w:r>
        <w:rPr>
          <w:color w:val="000000"/>
          <w:spacing w:val="0"/>
          <w:w w:val="100"/>
          <w:position w:val="0"/>
        </w:rPr>
        <w:t>法律的生命在于实践，体现于法院判决。法院判决是法律人的</w:t>
      </w:r>
      <w:r>
        <w:rPr>
          <w:color w:val="000000"/>
          <w:spacing w:val="0"/>
          <w:w w:val="100"/>
          <w:position w:val="0"/>
          <w:lang w:val="zh-CN" w:eastAsia="zh-CN" w:bidi="zh-CN"/>
        </w:rPr>
        <w:t>“粮食”，研</w:t>
      </w:r>
      <w:r>
        <w:rPr>
          <w:color w:val="000000"/>
          <w:spacing w:val="0"/>
          <w:w w:val="100"/>
          <w:position w:val="0"/>
        </w:rPr>
        <w:t xml:space="preserve">读案件、理 解案件是法律人思维的基本素养及能力。本书的出版是件盛事，应对参与其事的学者及 </w:t>
      </w:r>
    </w:p>
    <w:p w14:paraId="7EFB1BEF">
      <w:pPr>
        <w:pStyle w:val="17"/>
        <w:keepNext w:val="0"/>
        <w:keepLines w:val="0"/>
        <w:widowControl w:val="0"/>
        <w:shd w:val="clear" w:color="auto" w:fill="auto"/>
        <w:bidi w:val="0"/>
        <w:spacing w:before="0" w:after="0" w:line="375" w:lineRule="exact"/>
        <w:ind w:left="0" w:right="0" w:firstLine="0"/>
        <w:jc w:val="both"/>
      </w:pPr>
      <w:r>
        <w:rPr>
          <w:color w:val="000000"/>
          <w:spacing w:val="0"/>
          <w:w w:val="100"/>
          <w:position w:val="0"/>
        </w:rPr>
        <w:t>相关人士表示敬意,期待能够继续出版此类文集，对法律教育、法学研究及实务发展做出 更大的贡献。</w:t>
      </w:r>
    </w:p>
    <w:p w14:paraId="4757A318">
      <w:pPr>
        <w:pStyle w:val="17"/>
        <w:keepNext w:val="0"/>
        <w:keepLines w:val="0"/>
        <w:widowControl w:val="0"/>
        <w:shd w:val="clear" w:color="auto" w:fill="auto"/>
        <w:bidi w:val="0"/>
        <w:spacing w:before="0" w:after="0" w:line="375" w:lineRule="exact"/>
        <w:ind w:left="0" w:right="0" w:firstLine="420"/>
        <w:jc w:val="both"/>
      </w:pPr>
      <w:r>
        <w:rPr>
          <w:color w:val="000000"/>
          <w:spacing w:val="0"/>
          <w:w w:val="100"/>
          <w:position w:val="0"/>
        </w:rPr>
        <w:t>本书可作为大学案例研究的教材。硕博士论文应以法院重要案例作为研究课题。 学说的任务在于整合判例学说、建立理论体系。法学杂志应增加刊登案例研究论文。法 学界应提高对案例研究在学术上的评价。律师研读案例评释，应用于诉讼，直接有助于 实务开展。</w:t>
      </w:r>
    </w:p>
    <w:p w14:paraId="52C1D584">
      <w:pPr>
        <w:pStyle w:val="17"/>
        <w:keepNext w:val="0"/>
        <w:keepLines w:val="0"/>
        <w:widowControl w:val="0"/>
        <w:shd w:val="clear" w:color="auto" w:fill="auto"/>
        <w:bidi w:val="0"/>
        <w:spacing w:before="0" w:after="2040" w:line="375" w:lineRule="exact"/>
        <w:ind w:left="0" w:right="0" w:firstLine="420"/>
        <w:jc w:val="both"/>
      </w:pPr>
      <w:r>
        <w:rPr>
          <w:color w:val="000000"/>
          <w:spacing w:val="0"/>
          <w:w w:val="100"/>
          <w:position w:val="0"/>
        </w:rPr>
        <w:t>最值得强调的是,案例研究是为法院而服务。要认真对待权利，也要认真对待实践 权利的法院判决及案例研究。法院应重视判决评释的见解及论证，自我检视、自我反省, 而能有所改变、完善或创新，促进法律的进步。实务与理论系属共同体,有理论而无实 务，犹如空谈;有实务而无理论，难免盲目飞行。案例研究系理论与实务、判例与学说的 共同协力，沟通交流,增进法之适用的共识，更进一步提升裁判升品质及人民对司法的信 赖，贯彻同案同判的平等保护原则与正义的理念。</w:t>
      </w:r>
    </w:p>
    <w:p w14:paraId="755BCFC3">
      <w:pPr>
        <w:pStyle w:val="17"/>
        <w:keepNext w:val="0"/>
        <w:keepLines w:val="0"/>
        <w:widowControl w:val="0"/>
        <w:shd w:val="clear" w:color="auto" w:fill="auto"/>
        <w:bidi w:val="0"/>
        <w:spacing w:before="0" w:after="140" w:line="240" w:lineRule="auto"/>
        <w:ind w:left="5020" w:right="0" w:firstLine="0"/>
        <w:jc w:val="both"/>
      </w:pPr>
      <w:r>
        <w:rPr>
          <w:color w:val="000000"/>
          <w:spacing w:val="0"/>
          <w:w w:val="100"/>
          <w:position w:val="0"/>
        </w:rPr>
        <w:t>台湾大学名誉教授王泽鉴</w:t>
      </w:r>
    </w:p>
    <w:p w14:paraId="35ACD12D">
      <w:pPr>
        <w:pStyle w:val="21"/>
        <w:keepNext w:val="0"/>
        <w:keepLines w:val="0"/>
        <w:widowControl w:val="0"/>
        <w:shd w:val="clear" w:color="auto" w:fill="auto"/>
        <w:bidi w:val="0"/>
        <w:spacing w:before="0" w:after="0" w:line="240" w:lineRule="auto"/>
        <w:ind w:left="0" w:right="0" w:firstLine="0"/>
        <w:jc w:val="center"/>
        <w:rPr>
          <w:sz w:val="18"/>
          <w:szCs w:val="18"/>
        </w:rPr>
        <w:sectPr>
          <w:headerReference r:id="rId9" w:type="default"/>
          <w:headerReference r:id="rId10" w:type="even"/>
          <w:footnotePr>
            <w:numFmt w:val="decimal"/>
          </w:footnotePr>
          <w:pgSz w:w="10099" w:h="14782"/>
          <w:pgMar w:top="1323" w:right="1105" w:bottom="1065" w:left="989" w:header="0" w:footer="637" w:gutter="0"/>
          <w:pgNumType w:start="4"/>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2020</w:t>
      </w:r>
      <w:r>
        <w:rPr>
          <w:rFonts w:ascii="宋体" w:hAnsi="宋体" w:eastAsia="宋体" w:cs="宋体"/>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10</w:t>
      </w:r>
      <w:r>
        <w:rPr>
          <w:rFonts w:ascii="宋体" w:hAnsi="宋体" w:eastAsia="宋体" w:cs="宋体"/>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1</w:t>
      </w:r>
      <w:r>
        <w:rPr>
          <w:rFonts w:ascii="宋体" w:hAnsi="宋体" w:eastAsia="宋体" w:cs="宋体"/>
          <w:color w:val="000000"/>
          <w:spacing w:val="0"/>
          <w:w w:val="100"/>
          <w:position w:val="0"/>
          <w:sz w:val="18"/>
          <w:szCs w:val="18"/>
        </w:rPr>
        <w:t>日</w:t>
      </w:r>
    </w:p>
    <w:p w14:paraId="301797CA">
      <w:pPr>
        <w:pStyle w:val="23"/>
        <w:keepNext w:val="0"/>
        <w:keepLines w:val="0"/>
        <w:widowControl w:val="0"/>
        <w:shd w:val="clear" w:color="auto" w:fill="auto"/>
        <w:tabs>
          <w:tab w:val="left" w:pos="7159"/>
        </w:tabs>
        <w:bidi w:val="0"/>
        <w:spacing w:before="2860" w:after="80" w:line="240" w:lineRule="auto"/>
        <w:ind w:left="0" w:right="0" w:firstLine="260"/>
        <w:jc w:val="both"/>
        <w:rPr>
          <w:sz w:val="19"/>
          <w:szCs w:val="19"/>
        </w:rPr>
      </w:pPr>
      <w:r>
        <w:fldChar w:fldCharType="begin"/>
      </w:r>
      <w:r>
        <w:instrText xml:space="preserve"> TOC \o "1-5" \h \z </w:instrText>
      </w:r>
      <w:r>
        <w:fldChar w:fldCharType="separate"/>
      </w:r>
      <w:r>
        <w:fldChar w:fldCharType="begin"/>
      </w:r>
      <w:r>
        <w:instrText xml:space="preserve"> HYPERLINK \l "bookmark10" \o "Current Document" \h </w:instrText>
      </w:r>
      <w:r>
        <w:fldChar w:fldCharType="separate"/>
      </w:r>
      <w:r>
        <w:rPr>
          <w:color w:val="000000"/>
          <w:spacing w:val="0"/>
          <w:w w:val="100"/>
          <w:position w:val="0"/>
          <w:sz w:val="18"/>
          <w:szCs w:val="18"/>
        </w:rPr>
        <w:t>诚信原则在违法无效合同中的适用</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于 飞</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001</w:t>
      </w:r>
      <w:r>
        <w:rPr>
          <w:rFonts w:ascii="Times New Roman" w:hAnsi="Times New Roman" w:eastAsia="Times New Roman" w:cs="Times New Roman"/>
          <w:color w:val="000000"/>
          <w:spacing w:val="0"/>
          <w:w w:val="100"/>
          <w:position w:val="0"/>
          <w:sz w:val="19"/>
          <w:szCs w:val="19"/>
        </w:rPr>
        <w:fldChar w:fldCharType="end"/>
      </w:r>
    </w:p>
    <w:p w14:paraId="6580A8C4">
      <w:pPr>
        <w:pStyle w:val="23"/>
        <w:keepNext w:val="0"/>
        <w:keepLines w:val="0"/>
        <w:widowControl w:val="0"/>
        <w:shd w:val="clear" w:color="auto" w:fill="auto"/>
        <w:bidi w:val="0"/>
        <w:spacing w:before="0" w:after="80" w:line="240" w:lineRule="auto"/>
        <w:ind w:left="0" w:right="0" w:firstLine="260"/>
        <w:jc w:val="both"/>
      </w:pPr>
      <w:r>
        <w:rPr>
          <w:color w:val="000000"/>
          <w:spacing w:val="0"/>
          <w:w w:val="100"/>
          <w:position w:val="0"/>
        </w:rPr>
        <w:t>新疆华诚安居房地产开发有限公司、中国铁建大桥工程局集团有限公司建设工程施工</w:t>
      </w:r>
    </w:p>
    <w:p w14:paraId="4D0DBE82">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合同纠纷案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最高法民终字</w:t>
      </w:r>
      <w:r>
        <w:rPr>
          <w:rFonts w:ascii="Times New Roman" w:hAnsi="Times New Roman" w:eastAsia="Times New Roman" w:cs="Times New Roman"/>
          <w:color w:val="000000"/>
          <w:spacing w:val="0"/>
          <w:w w:val="100"/>
          <w:position w:val="0"/>
          <w:sz w:val="19"/>
          <w:szCs w:val="19"/>
        </w:rPr>
        <w:t>347</w:t>
      </w:r>
      <w:r>
        <w:rPr>
          <w:color w:val="000000"/>
          <w:spacing w:val="0"/>
          <w:w w:val="100"/>
          <w:position w:val="0"/>
        </w:rPr>
        <w:t>号民事判决书</w:t>
      </w:r>
    </w:p>
    <w:p w14:paraId="6DF52601">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fldChar w:fldCharType="begin"/>
      </w:r>
      <w:r>
        <w:instrText xml:space="preserve"> HYPERLINK \l "bookmark22" \o "Current Document" \h </w:instrText>
      </w:r>
      <w:r>
        <w:fldChar w:fldCharType="separate"/>
      </w:r>
      <w:r>
        <w:rPr>
          <w:color w:val="000000"/>
          <w:spacing w:val="0"/>
          <w:w w:val="100"/>
          <w:position w:val="0"/>
          <w:sz w:val="18"/>
          <w:szCs w:val="18"/>
        </w:rPr>
        <w:t>公序良俗原则与法律行为的效力/叶增胜</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007</w:t>
      </w:r>
      <w:r>
        <w:rPr>
          <w:rFonts w:ascii="Times New Roman" w:hAnsi="Times New Roman" w:eastAsia="Times New Roman" w:cs="Times New Roman"/>
          <w:color w:val="000000"/>
          <w:spacing w:val="0"/>
          <w:w w:val="100"/>
          <w:position w:val="0"/>
          <w:sz w:val="19"/>
          <w:szCs w:val="19"/>
        </w:rPr>
        <w:fldChar w:fldCharType="end"/>
      </w:r>
    </w:p>
    <w:p w14:paraId="0D0FBCF5">
      <w:pPr>
        <w:pStyle w:val="23"/>
        <w:keepNext w:val="0"/>
        <w:keepLines w:val="0"/>
        <w:widowControl w:val="0"/>
        <w:shd w:val="clear" w:color="auto" w:fill="auto"/>
        <w:bidi w:val="0"/>
        <w:spacing w:before="0" w:after="120" w:line="240" w:lineRule="auto"/>
        <w:ind w:left="0" w:right="0" w:firstLine="260"/>
        <w:jc w:val="left"/>
        <w:rPr>
          <w:sz w:val="19"/>
          <w:szCs w:val="19"/>
        </w:rPr>
      </w:pPr>
      <w:r>
        <w:rPr>
          <w:color w:val="000000"/>
          <w:spacing w:val="0"/>
          <w:w w:val="100"/>
          <w:position w:val="0"/>
          <w:sz w:val="18"/>
          <w:szCs w:val="18"/>
        </w:rPr>
        <w:t>张学英与蒋伦芳遗赠纠纷案（泸州遗赠案）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sz w:val="18"/>
          <w:szCs w:val="18"/>
        </w:rPr>
        <w:t>四川省泸州市</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sz w:val="18"/>
          <w:szCs w:val="18"/>
        </w:rPr>
        <w:t>纳溪民初字第</w:t>
      </w:r>
      <w:r>
        <w:rPr>
          <w:rFonts w:ascii="Times New Roman" w:hAnsi="Times New Roman" w:eastAsia="Times New Roman" w:cs="Times New Roman"/>
          <w:color w:val="000000"/>
          <w:spacing w:val="0"/>
          <w:w w:val="100"/>
          <w:position w:val="0"/>
          <w:sz w:val="19"/>
          <w:szCs w:val="19"/>
        </w:rPr>
        <w:t>561</w:t>
      </w:r>
    </w:p>
    <w:p w14:paraId="04F0BD42">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号民事判决书</w:t>
      </w:r>
    </w:p>
    <w:p w14:paraId="3C8D2548">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fldChar w:fldCharType="begin"/>
      </w:r>
      <w:r>
        <w:instrText xml:space="preserve"> HYPERLINK \l "bookmark28" \o "Current Document" \h </w:instrText>
      </w:r>
      <w:r>
        <w:fldChar w:fldCharType="separate"/>
      </w:r>
      <w:r>
        <w:rPr>
          <w:color w:val="000000"/>
          <w:spacing w:val="0"/>
          <w:w w:val="100"/>
          <w:position w:val="0"/>
          <w:sz w:val="18"/>
          <w:szCs w:val="18"/>
        </w:rPr>
        <w:t>宪法权利的民法效力/王冠玺</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012</w:t>
      </w:r>
      <w:r>
        <w:rPr>
          <w:rFonts w:ascii="Times New Roman" w:hAnsi="Times New Roman" w:eastAsia="Times New Roman" w:cs="Times New Roman"/>
          <w:color w:val="000000"/>
          <w:spacing w:val="0"/>
          <w:w w:val="100"/>
          <w:position w:val="0"/>
          <w:sz w:val="19"/>
          <w:szCs w:val="19"/>
        </w:rPr>
        <w:fldChar w:fldCharType="end"/>
      </w:r>
    </w:p>
    <w:p w14:paraId="60E70C0B">
      <w:pPr>
        <w:pStyle w:val="23"/>
        <w:keepNext w:val="0"/>
        <w:keepLines w:val="0"/>
        <w:widowControl w:val="0"/>
        <w:shd w:val="clear" w:color="auto" w:fill="auto"/>
        <w:bidi w:val="0"/>
        <w:spacing w:before="0" w:after="80" w:line="240" w:lineRule="auto"/>
        <w:ind w:left="0" w:right="0" w:firstLine="260"/>
        <w:jc w:val="left"/>
      </w:pPr>
      <w:r>
        <w:rPr>
          <w:color w:val="000000"/>
          <w:spacing w:val="0"/>
          <w:w w:val="100"/>
          <w:position w:val="0"/>
        </w:rPr>
        <w:t>齐玉苓诉陈晓琪等以侵犯姓名权的手段侵犯宪法保护的公民受教育的基本权利纠纷</w:t>
      </w:r>
    </w:p>
    <w:p w14:paraId="705671CF">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案丨山东省高级人民法院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鲁民终字第</w:t>
      </w:r>
      <w:r>
        <w:rPr>
          <w:rFonts w:ascii="Times New Roman" w:hAnsi="Times New Roman" w:eastAsia="Times New Roman" w:cs="Times New Roman"/>
          <w:color w:val="000000"/>
          <w:spacing w:val="0"/>
          <w:w w:val="100"/>
          <w:position w:val="0"/>
          <w:sz w:val="19"/>
          <w:szCs w:val="19"/>
        </w:rPr>
        <w:t>258</w:t>
      </w:r>
      <w:r>
        <w:rPr>
          <w:color w:val="000000"/>
          <w:spacing w:val="0"/>
          <w:w w:val="100"/>
          <w:position w:val="0"/>
        </w:rPr>
        <w:t>号民事判决书</w:t>
      </w:r>
    </w:p>
    <w:p w14:paraId="75B09CF5">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fldChar w:fldCharType="begin"/>
      </w:r>
      <w:r>
        <w:instrText xml:space="preserve"> HYPERLINK \l "bookmark33" \o "Current Document" \h </w:instrText>
      </w:r>
      <w:r>
        <w:fldChar w:fldCharType="separate"/>
      </w:r>
      <w:r>
        <w:rPr>
          <w:color w:val="000000"/>
          <w:spacing w:val="0"/>
          <w:w w:val="100"/>
          <w:position w:val="0"/>
          <w:sz w:val="18"/>
          <w:szCs w:val="18"/>
        </w:rPr>
        <w:t>习惯作为法源的适用</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汪 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017</w:t>
      </w:r>
      <w:r>
        <w:rPr>
          <w:rFonts w:ascii="Times New Roman" w:hAnsi="Times New Roman" w:eastAsia="Times New Roman" w:cs="Times New Roman"/>
          <w:color w:val="000000"/>
          <w:spacing w:val="0"/>
          <w:w w:val="100"/>
          <w:position w:val="0"/>
          <w:sz w:val="19"/>
          <w:szCs w:val="19"/>
        </w:rPr>
        <w:fldChar w:fldCharType="end"/>
      </w:r>
    </w:p>
    <w:p w14:paraId="3C9DC97C">
      <w:pPr>
        <w:pStyle w:val="23"/>
        <w:keepNext w:val="0"/>
        <w:keepLines w:val="0"/>
        <w:widowControl w:val="0"/>
        <w:shd w:val="clear" w:color="auto" w:fill="auto"/>
        <w:bidi w:val="0"/>
        <w:spacing w:before="0" w:after="80" w:line="240" w:lineRule="auto"/>
        <w:ind w:left="0" w:right="0" w:firstLine="260"/>
        <w:jc w:val="both"/>
      </w:pPr>
      <w:r>
        <w:rPr>
          <w:color w:val="000000"/>
          <w:spacing w:val="0"/>
          <w:w w:val="100"/>
          <w:position w:val="0"/>
        </w:rPr>
        <w:t>石坊昌诉石忠雪顶盆过继案丨青岛市李沧区人民法院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李民初字</w:t>
      </w:r>
      <w:r>
        <w:rPr>
          <w:rFonts w:ascii="Times New Roman" w:hAnsi="Times New Roman" w:eastAsia="Times New Roman" w:cs="Times New Roman"/>
          <w:color w:val="000000"/>
          <w:spacing w:val="0"/>
          <w:w w:val="100"/>
          <w:position w:val="0"/>
          <w:sz w:val="19"/>
          <w:szCs w:val="19"/>
        </w:rPr>
        <w:t>3460</w:t>
      </w:r>
      <w:r>
        <w:rPr>
          <w:color w:val="000000"/>
          <w:spacing w:val="0"/>
          <w:w w:val="100"/>
          <w:position w:val="0"/>
        </w:rPr>
        <w:t>号民事判</w:t>
      </w:r>
    </w:p>
    <w:p w14:paraId="7B79A97F">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决书；青岛市中级人民法院（</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青民</w:t>
      </w:r>
      <w:r>
        <w:rPr>
          <w:color w:val="000000"/>
          <w:spacing w:val="0"/>
          <w:w w:val="100"/>
          <w:position w:val="0"/>
          <w:sz w:val="11"/>
          <w:szCs w:val="11"/>
        </w:rPr>
        <w:t>一</w:t>
      </w:r>
      <w:r>
        <w:rPr>
          <w:color w:val="000000"/>
          <w:spacing w:val="0"/>
          <w:w w:val="100"/>
          <w:position w:val="0"/>
        </w:rPr>
        <w:t>终字</w:t>
      </w:r>
      <w:r>
        <w:rPr>
          <w:rFonts w:ascii="Times New Roman" w:hAnsi="Times New Roman" w:eastAsia="Times New Roman" w:cs="Times New Roman"/>
          <w:color w:val="000000"/>
          <w:spacing w:val="0"/>
          <w:w w:val="100"/>
          <w:position w:val="0"/>
          <w:sz w:val="19"/>
          <w:szCs w:val="19"/>
        </w:rPr>
        <w:t>206</w:t>
      </w:r>
      <w:r>
        <w:rPr>
          <w:color w:val="000000"/>
          <w:spacing w:val="0"/>
          <w:w w:val="100"/>
          <w:position w:val="0"/>
        </w:rPr>
        <w:t>号民事判决书</w:t>
      </w:r>
    </w:p>
    <w:p w14:paraId="77A4513B">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rPr>
          <w:color w:val="000000"/>
          <w:spacing w:val="0"/>
          <w:w w:val="100"/>
          <w:position w:val="0"/>
          <w:sz w:val="18"/>
          <w:szCs w:val="18"/>
        </w:rPr>
        <w:t>异质人工授精所生子女的法律地位及胎儿继承权保护/张玉东</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022</w:t>
      </w:r>
    </w:p>
    <w:p w14:paraId="32C910CE">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李某、郭某阳诉郭某和、童某某继承纠纷案丨最高人民法院第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号指导性案例</w:t>
      </w:r>
    </w:p>
    <w:p w14:paraId="2A5C7EE5">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rPr>
          <w:color w:val="000000"/>
          <w:spacing w:val="0"/>
          <w:w w:val="100"/>
          <w:position w:val="0"/>
          <w:sz w:val="18"/>
          <w:szCs w:val="18"/>
        </w:rPr>
        <w:t>限制民事行为能力人实施代理行为的默示追认/彭诚信</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027</w:t>
      </w:r>
    </w:p>
    <w:p w14:paraId="51AE7556">
      <w:pPr>
        <w:pStyle w:val="23"/>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吕应福、彭兴平买卖合同纠纷二审民事判决书丨浙江省湖州市中级人民法院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）浙</w:t>
      </w:r>
    </w:p>
    <w:p w14:paraId="61E7F130">
      <w:pPr>
        <w:pStyle w:val="23"/>
        <w:keepNext w:val="0"/>
        <w:keepLines w:val="0"/>
        <w:widowControl w:val="0"/>
        <w:shd w:val="clear" w:color="auto" w:fill="auto"/>
        <w:bidi w:val="0"/>
        <w:spacing w:before="0" w:after="200" w:line="240" w:lineRule="auto"/>
        <w:ind w:left="0" w:right="0" w:firstLine="260"/>
        <w:jc w:val="left"/>
      </w:pPr>
      <w:r>
        <w:rPr>
          <w:rFonts w:ascii="Times New Roman" w:hAnsi="Times New Roman" w:eastAsia="Times New Roman" w:cs="Times New Roman"/>
          <w:color w:val="000000"/>
          <w:spacing w:val="0"/>
          <w:w w:val="100"/>
          <w:position w:val="0"/>
          <w:sz w:val="19"/>
          <w:szCs w:val="19"/>
        </w:rPr>
        <w:t>05</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1363</w:t>
      </w:r>
      <w:r>
        <w:rPr>
          <w:color w:val="000000"/>
          <w:spacing w:val="0"/>
          <w:w w:val="100"/>
          <w:position w:val="0"/>
        </w:rPr>
        <w:t>号民事判决书</w:t>
      </w:r>
    </w:p>
    <w:p w14:paraId="376E8A46">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rPr>
          <w:color w:val="000000"/>
          <w:spacing w:val="0"/>
          <w:w w:val="100"/>
          <w:position w:val="0"/>
          <w:sz w:val="18"/>
          <w:szCs w:val="18"/>
        </w:rPr>
        <w:t>监护资格的撤销/刘征峰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032</w:t>
      </w:r>
    </w:p>
    <w:p w14:paraId="2213B637">
      <w:pPr>
        <w:pStyle w:val="23"/>
        <w:keepNext w:val="0"/>
        <w:keepLines w:val="0"/>
        <w:widowControl w:val="0"/>
        <w:shd w:val="clear" w:color="auto" w:fill="auto"/>
        <w:bidi w:val="0"/>
        <w:spacing w:before="0" w:after="80" w:line="240" w:lineRule="auto"/>
        <w:ind w:left="0" w:right="0" w:firstLine="260"/>
        <w:jc w:val="left"/>
      </w:pPr>
      <w:r>
        <w:rPr>
          <w:color w:val="000000"/>
          <w:spacing w:val="0"/>
          <w:w w:val="100"/>
          <w:position w:val="0"/>
        </w:rPr>
        <w:t>陈庆佩与陈庆宏申请撤销监护人资格案丨上海市杨浦区人民法院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）沪</w:t>
      </w:r>
      <w:r>
        <w:rPr>
          <w:rFonts w:ascii="Times New Roman" w:hAnsi="Times New Roman" w:eastAsia="Times New Roman" w:cs="Times New Roman"/>
          <w:color w:val="000000"/>
          <w:spacing w:val="0"/>
          <w:w w:val="100"/>
          <w:position w:val="0"/>
          <w:sz w:val="19"/>
          <w:szCs w:val="19"/>
        </w:rPr>
        <w:t>0110</w:t>
      </w:r>
      <w:r>
        <w:rPr>
          <w:color w:val="000000"/>
          <w:spacing w:val="0"/>
          <w:w w:val="100"/>
          <w:position w:val="0"/>
        </w:rPr>
        <w:t>民特</w:t>
      </w:r>
    </w:p>
    <w:p w14:paraId="64816BE7">
      <w:pPr>
        <w:pStyle w:val="23"/>
        <w:keepNext w:val="0"/>
        <w:keepLines w:val="0"/>
        <w:widowControl w:val="0"/>
        <w:shd w:val="clear" w:color="auto" w:fill="auto"/>
        <w:bidi w:val="0"/>
        <w:spacing w:before="0" w:after="200" w:line="240" w:lineRule="auto"/>
        <w:ind w:left="0" w:right="0" w:firstLine="260"/>
        <w:jc w:val="left"/>
      </w:pP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号民事判决书</w:t>
      </w:r>
    </w:p>
    <w:p w14:paraId="3F1A983D">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fldChar w:fldCharType="begin"/>
      </w:r>
      <w:r>
        <w:instrText xml:space="preserve"> HYPERLINK \l "bookmark57" \o "Current Document" \h </w:instrText>
      </w:r>
      <w:r>
        <w:fldChar w:fldCharType="separate"/>
      </w:r>
      <w:r>
        <w:rPr>
          <w:color w:val="000000"/>
          <w:spacing w:val="0"/>
          <w:w w:val="100"/>
          <w:position w:val="0"/>
          <w:sz w:val="18"/>
          <w:szCs w:val="18"/>
        </w:rPr>
        <w:t>越权代表的效力认定/吕成龙</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037</w:t>
      </w:r>
      <w:r>
        <w:rPr>
          <w:rFonts w:ascii="Times New Roman" w:hAnsi="Times New Roman" w:eastAsia="Times New Roman" w:cs="Times New Roman"/>
          <w:color w:val="000000"/>
          <w:spacing w:val="0"/>
          <w:w w:val="100"/>
          <w:position w:val="0"/>
          <w:sz w:val="19"/>
          <w:szCs w:val="19"/>
        </w:rPr>
        <w:fldChar w:fldCharType="end"/>
      </w:r>
    </w:p>
    <w:p w14:paraId="4F47B715">
      <w:pPr>
        <w:pStyle w:val="23"/>
        <w:keepNext w:val="0"/>
        <w:keepLines w:val="0"/>
        <w:widowControl w:val="0"/>
        <w:shd w:val="clear" w:color="auto" w:fill="auto"/>
        <w:bidi w:val="0"/>
        <w:spacing w:before="0" w:after="80" w:line="240" w:lineRule="auto"/>
        <w:ind w:left="0" w:right="0" w:firstLine="260"/>
        <w:jc w:val="both"/>
      </w:pPr>
      <w:r>
        <w:rPr>
          <w:color w:val="000000"/>
          <w:spacing w:val="0"/>
          <w:w w:val="100"/>
          <w:position w:val="0"/>
        </w:rPr>
        <w:t>招商银行股份有限公司大连东港支行与大连振邦氟涂料股份有限公司、大连振邦集团</w:t>
      </w:r>
    </w:p>
    <w:p w14:paraId="466C3B89">
      <w:pPr>
        <w:pStyle w:val="23"/>
        <w:keepNext w:val="0"/>
        <w:keepLines w:val="0"/>
        <w:widowControl w:val="0"/>
        <w:shd w:val="clear" w:color="auto" w:fill="auto"/>
        <w:bidi w:val="0"/>
        <w:spacing w:before="0" w:after="200" w:line="240" w:lineRule="auto"/>
        <w:ind w:left="0" w:right="0" w:firstLine="260"/>
        <w:jc w:val="left"/>
      </w:pPr>
      <w:r>
        <w:rPr>
          <w:color w:val="000000"/>
          <w:spacing w:val="0"/>
          <w:w w:val="100"/>
          <w:position w:val="0"/>
        </w:rPr>
        <w:t>有限公司借款合同纠纷案丨《最高人民法院公报</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w:t>
      </w:r>
    </w:p>
    <w:p w14:paraId="7FEBC8BF">
      <w:pPr>
        <w:pStyle w:val="23"/>
        <w:keepNext w:val="0"/>
        <w:keepLines w:val="0"/>
        <w:widowControl w:val="0"/>
        <w:shd w:val="clear" w:color="auto" w:fill="auto"/>
        <w:tabs>
          <w:tab w:val="left" w:pos="7159"/>
        </w:tabs>
        <w:bidi w:val="0"/>
        <w:spacing w:before="0" w:after="80" w:line="240" w:lineRule="auto"/>
        <w:ind w:left="0" w:right="0" w:firstLine="260"/>
        <w:jc w:val="both"/>
        <w:rPr>
          <w:sz w:val="19"/>
          <w:szCs w:val="19"/>
        </w:rPr>
      </w:pPr>
      <w:r>
        <w:fldChar w:fldCharType="begin"/>
      </w:r>
      <w:r>
        <w:instrText xml:space="preserve"> HYPERLINK \l "bookmark60" \o "Current Document" \h </w:instrText>
      </w:r>
      <w:r>
        <w:fldChar w:fldCharType="separate"/>
      </w:r>
      <w:r>
        <w:rPr>
          <w:color w:val="000000"/>
          <w:spacing w:val="0"/>
          <w:w w:val="100"/>
          <w:position w:val="0"/>
          <w:sz w:val="18"/>
          <w:szCs w:val="18"/>
        </w:rPr>
        <w:t>有限公司清算义务人的界定/马俊彦</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042</w:t>
      </w:r>
      <w:r>
        <w:rPr>
          <w:rFonts w:ascii="Times New Roman" w:hAnsi="Times New Roman" w:eastAsia="Times New Roman" w:cs="Times New Roman"/>
          <w:color w:val="000000"/>
          <w:spacing w:val="0"/>
          <w:w w:val="100"/>
          <w:position w:val="0"/>
          <w:sz w:val="19"/>
          <w:szCs w:val="19"/>
        </w:rPr>
        <w:fldChar w:fldCharType="end"/>
      </w:r>
      <w:r>
        <w:fldChar w:fldCharType="end"/>
      </w:r>
    </w:p>
    <w:p w14:paraId="20AD7BFD">
      <w:pPr>
        <w:pStyle w:val="17"/>
        <w:keepNext w:val="0"/>
        <w:keepLines w:val="0"/>
        <w:widowControl w:val="0"/>
        <w:shd w:val="clear" w:color="auto" w:fill="auto"/>
        <w:bidi w:val="0"/>
        <w:spacing w:before="0" w:after="120" w:line="240" w:lineRule="auto"/>
        <w:ind w:left="0" w:right="0" w:firstLine="260"/>
        <w:jc w:val="left"/>
      </w:pPr>
      <w:r>
        <w:rPr>
          <w:color w:val="000000"/>
          <w:spacing w:val="0"/>
          <w:w w:val="100"/>
          <w:position w:val="0"/>
        </w:rPr>
        <w:t>上海存亮贸易有限公司诉蒋志东、王卫明等买卖合同纠纷案丨最高人民法院第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号指</w:t>
      </w:r>
    </w:p>
    <w:p w14:paraId="1FB35A24">
      <w:pPr>
        <w:pStyle w:val="17"/>
        <w:keepNext w:val="0"/>
        <w:keepLines w:val="0"/>
        <w:widowControl w:val="0"/>
        <w:shd w:val="clear" w:color="auto" w:fill="auto"/>
        <w:bidi w:val="0"/>
        <w:spacing w:before="0" w:after="80" w:line="240" w:lineRule="auto"/>
        <w:ind w:left="0" w:right="0" w:firstLine="260"/>
        <w:jc w:val="left"/>
      </w:pPr>
      <w:r>
        <w:rPr>
          <w:color w:val="000000"/>
          <w:spacing w:val="0"/>
          <w:w w:val="100"/>
          <w:position w:val="0"/>
        </w:rPr>
        <w:t>导性案例</w:t>
      </w:r>
    </w:p>
    <w:p w14:paraId="2E8E28DF">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TOC \o "1-5" \h \z </w:instrText>
      </w:r>
      <w:r>
        <w:fldChar w:fldCharType="separate"/>
      </w:r>
      <w:r>
        <w:fldChar w:fldCharType="begin"/>
      </w:r>
      <w:r>
        <w:instrText xml:space="preserve"> HYPERLINK \l "bookmark69" \o "Current Document" \h </w:instrText>
      </w:r>
      <w:r>
        <w:fldChar w:fldCharType="separate"/>
      </w:r>
      <w:r>
        <w:rPr>
          <w:color w:val="000000"/>
          <w:spacing w:val="0"/>
          <w:w w:val="100"/>
          <w:position w:val="0"/>
          <w:sz w:val="18"/>
          <w:szCs w:val="18"/>
        </w:rPr>
        <w:t>关联公司间法人格否认制度的适用/韩强</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047</w:t>
      </w:r>
      <w:r>
        <w:rPr>
          <w:rFonts w:ascii="Times New Roman" w:hAnsi="Times New Roman" w:eastAsia="Times New Roman" w:cs="Times New Roman"/>
          <w:color w:val="000000"/>
          <w:spacing w:val="0"/>
          <w:w w:val="100"/>
          <w:position w:val="0"/>
          <w:sz w:val="19"/>
          <w:szCs w:val="19"/>
        </w:rPr>
        <w:fldChar w:fldCharType="end"/>
      </w:r>
    </w:p>
    <w:p w14:paraId="04399AF9">
      <w:pPr>
        <w:pStyle w:val="23"/>
        <w:keepNext w:val="0"/>
        <w:keepLines w:val="0"/>
        <w:widowControl w:val="0"/>
        <w:shd w:val="clear" w:color="auto" w:fill="auto"/>
        <w:bidi w:val="0"/>
        <w:spacing w:before="0" w:after="0"/>
        <w:ind w:left="0" w:right="0" w:firstLine="940"/>
        <w:jc w:val="left"/>
      </w:pPr>
      <w:r>
        <w:rPr>
          <w:color w:val="000000"/>
          <w:spacing w:val="0"/>
          <w:w w:val="100"/>
          <w:position w:val="0"/>
        </w:rPr>
        <w:t>徐工集团工程机械股份有限公司诉成都川交工贸有限责任公司等买卖合同纠纷案丨</w:t>
      </w:r>
    </w:p>
    <w:p w14:paraId="1399F2F2">
      <w:pPr>
        <w:pStyle w:val="23"/>
        <w:keepNext w:val="0"/>
        <w:keepLines w:val="0"/>
        <w:widowControl w:val="0"/>
        <w:shd w:val="clear" w:color="auto" w:fill="auto"/>
        <w:bidi w:val="0"/>
        <w:spacing w:before="0" w:after="140"/>
        <w:ind w:left="0" w:right="0" w:firstLine="940"/>
        <w:jc w:val="left"/>
      </w:pPr>
      <w:r>
        <w:rPr>
          <w:color w:val="000000"/>
          <w:spacing w:val="0"/>
          <w:w w:val="100"/>
          <w:position w:val="0"/>
        </w:rPr>
        <w:t>最高人民法院第</w:t>
      </w:r>
      <w:r>
        <w:rPr>
          <w:rFonts w:ascii="Times New Roman" w:hAnsi="Times New Roman" w:eastAsia="Times New Roman" w:cs="Times New Roman"/>
          <w:color w:val="000000"/>
          <w:spacing w:val="0"/>
          <w:w w:val="100"/>
          <w:position w:val="0"/>
          <w:sz w:val="17"/>
          <w:szCs w:val="17"/>
        </w:rPr>
        <w:t>15</w:t>
      </w:r>
      <w:r>
        <w:rPr>
          <w:color w:val="000000"/>
          <w:spacing w:val="0"/>
          <w:w w:val="100"/>
          <w:position w:val="0"/>
        </w:rPr>
        <w:t>号指导性案例</w:t>
      </w:r>
    </w:p>
    <w:p w14:paraId="3AC2C279">
      <w:pPr>
        <w:pStyle w:val="23"/>
        <w:keepNext w:val="0"/>
        <w:keepLines w:val="0"/>
        <w:widowControl w:val="0"/>
        <w:shd w:val="clear" w:color="auto" w:fill="auto"/>
        <w:tabs>
          <w:tab w:val="left" w:pos="7835"/>
        </w:tabs>
        <w:bidi w:val="0"/>
        <w:spacing w:before="0" w:after="0"/>
        <w:ind w:left="0" w:right="0" w:firstLine="940"/>
        <w:jc w:val="both"/>
        <w:rPr>
          <w:sz w:val="19"/>
          <w:szCs w:val="19"/>
        </w:rPr>
      </w:pPr>
      <w:r>
        <w:rPr>
          <w:color w:val="000000"/>
          <w:spacing w:val="0"/>
          <w:w w:val="100"/>
          <w:position w:val="0"/>
          <w:sz w:val="18"/>
          <w:szCs w:val="18"/>
        </w:rPr>
        <w:t>隐名股东与名义股东债权人执行异议之诉的裁判规则/张桂龙</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052</w:t>
      </w:r>
    </w:p>
    <w:p w14:paraId="28FCA42F">
      <w:pPr>
        <w:pStyle w:val="23"/>
        <w:keepNext w:val="0"/>
        <w:keepLines w:val="0"/>
        <w:widowControl w:val="0"/>
        <w:shd w:val="clear" w:color="auto" w:fill="auto"/>
        <w:bidi w:val="0"/>
        <w:spacing w:before="0" w:after="0"/>
        <w:ind w:left="0" w:right="0" w:firstLine="940"/>
        <w:jc w:val="both"/>
      </w:pPr>
      <w:r>
        <w:rPr>
          <w:color w:val="000000"/>
          <w:spacing w:val="0"/>
          <w:w w:val="100"/>
          <w:position w:val="0"/>
        </w:rPr>
        <w:t>黄德鸣、李开俊与皮涛、广元市蜀川矿业有限责任公司案外人执行异议之诉案丨最高</w:t>
      </w:r>
    </w:p>
    <w:p w14:paraId="1BD5538C">
      <w:pPr>
        <w:pStyle w:val="23"/>
        <w:keepNext w:val="0"/>
        <w:keepLines w:val="0"/>
        <w:widowControl w:val="0"/>
        <w:shd w:val="clear" w:color="auto" w:fill="auto"/>
        <w:bidi w:val="0"/>
        <w:spacing w:before="0" w:after="140"/>
        <w:ind w:left="0" w:right="0" w:firstLine="940"/>
        <w:jc w:val="both"/>
      </w:pPr>
      <w:r>
        <w:rPr>
          <w:color w:val="000000"/>
          <w:spacing w:val="0"/>
          <w:w w:val="100"/>
          <w:position w:val="0"/>
        </w:rPr>
        <w:t>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45</w:t>
      </w:r>
      <w:r>
        <w:rPr>
          <w:color w:val="000000"/>
          <w:spacing w:val="0"/>
          <w:w w:val="100"/>
          <w:position w:val="0"/>
        </w:rPr>
        <w:t>号民事判决书</w:t>
      </w:r>
    </w:p>
    <w:p w14:paraId="4395CBE9">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"bookmark81" \o "Current Document" \h </w:instrText>
      </w:r>
      <w:r>
        <w:fldChar w:fldCharType="separate"/>
      </w:r>
      <w:r>
        <w:rPr>
          <w:color w:val="000000"/>
          <w:spacing w:val="0"/>
          <w:w w:val="100"/>
          <w:position w:val="0"/>
          <w:sz w:val="18"/>
          <w:szCs w:val="18"/>
        </w:rPr>
        <w:t>非营利法人举办者、出资人的法律权利/金锦萍</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057</w:t>
      </w:r>
      <w:r>
        <w:rPr>
          <w:rFonts w:ascii="Times New Roman" w:hAnsi="Times New Roman" w:eastAsia="Times New Roman" w:cs="Times New Roman"/>
          <w:color w:val="000000"/>
          <w:spacing w:val="0"/>
          <w:w w:val="100"/>
          <w:position w:val="0"/>
          <w:sz w:val="19"/>
          <w:szCs w:val="19"/>
        </w:rPr>
        <w:fldChar w:fldCharType="end"/>
      </w:r>
    </w:p>
    <w:p w14:paraId="1D45DD14">
      <w:pPr>
        <w:pStyle w:val="23"/>
        <w:keepNext w:val="0"/>
        <w:keepLines w:val="0"/>
        <w:widowControl w:val="0"/>
        <w:shd w:val="clear" w:color="auto" w:fill="auto"/>
        <w:bidi w:val="0"/>
        <w:spacing w:before="0" w:after="0"/>
        <w:ind w:left="0" w:right="0" w:firstLine="940"/>
        <w:jc w:val="both"/>
        <w:rPr>
          <w:sz w:val="17"/>
          <w:szCs w:val="17"/>
        </w:rPr>
      </w:pPr>
      <w:r>
        <w:rPr>
          <w:color w:val="000000"/>
          <w:spacing w:val="0"/>
          <w:w w:val="100"/>
          <w:position w:val="0"/>
          <w:sz w:val="18"/>
          <w:szCs w:val="18"/>
        </w:rPr>
        <w:t>李稳博诉上海虹口区艺术合子美术进修学校合同纠纷案丨《最高人民法院公报》</w:t>
      </w:r>
      <w:r>
        <w:rPr>
          <w:rFonts w:ascii="Times New Roman" w:hAnsi="Times New Roman" w:eastAsia="Times New Roman" w:cs="Times New Roman"/>
          <w:color w:val="000000"/>
          <w:spacing w:val="0"/>
          <w:w w:val="100"/>
          <w:position w:val="0"/>
          <w:sz w:val="17"/>
          <w:szCs w:val="17"/>
        </w:rPr>
        <w:t>2016</w:t>
      </w:r>
    </w:p>
    <w:p w14:paraId="58899247">
      <w:pPr>
        <w:pStyle w:val="23"/>
        <w:keepNext w:val="0"/>
        <w:keepLines w:val="0"/>
        <w:widowControl w:val="0"/>
        <w:shd w:val="clear" w:color="auto" w:fill="auto"/>
        <w:bidi w:val="0"/>
        <w:spacing w:before="0" w:after="140"/>
        <w:ind w:left="0" w:right="0" w:firstLine="940"/>
        <w:jc w:val="left"/>
      </w:pP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7E6CFFA5">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"bookmark90" \o "Current Document" \h </w:instrText>
      </w:r>
      <w:r>
        <w:fldChar w:fldCharType="separate"/>
      </w:r>
      <w:r>
        <w:rPr>
          <w:color w:val="000000"/>
          <w:spacing w:val="0"/>
          <w:w w:val="100"/>
          <w:position w:val="0"/>
          <w:sz w:val="18"/>
          <w:szCs w:val="18"/>
        </w:rPr>
        <w:t>冷冻胚胎的法律属性及法律归属/梁琳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062</w:t>
      </w:r>
      <w:r>
        <w:rPr>
          <w:rFonts w:ascii="Times New Roman" w:hAnsi="Times New Roman" w:eastAsia="Times New Roman" w:cs="Times New Roman"/>
          <w:color w:val="000000"/>
          <w:spacing w:val="0"/>
          <w:w w:val="100"/>
          <w:position w:val="0"/>
          <w:sz w:val="19"/>
          <w:szCs w:val="19"/>
        </w:rPr>
        <w:fldChar w:fldCharType="end"/>
      </w:r>
    </w:p>
    <w:p w14:paraId="6DCB3251">
      <w:pPr>
        <w:pStyle w:val="23"/>
        <w:keepNext w:val="0"/>
        <w:keepLines w:val="0"/>
        <w:widowControl w:val="0"/>
        <w:shd w:val="clear" w:color="auto" w:fill="auto"/>
        <w:bidi w:val="0"/>
        <w:spacing w:before="0" w:after="0"/>
        <w:ind w:left="0" w:right="0" w:firstLine="940"/>
        <w:jc w:val="both"/>
      </w:pPr>
      <w:r>
        <w:rPr>
          <w:color w:val="000000"/>
          <w:spacing w:val="0"/>
          <w:w w:val="100"/>
          <w:position w:val="0"/>
        </w:rPr>
        <w:t>沈新南、邵玉妹诉刘金法、胡杏仙监管、处置权纠纷案丨</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锡民终字第</w:t>
      </w:r>
      <w:r>
        <w:rPr>
          <w:rFonts w:ascii="Times New Roman" w:hAnsi="Times New Roman" w:eastAsia="Times New Roman" w:cs="Times New Roman"/>
          <w:color w:val="000000"/>
          <w:spacing w:val="0"/>
          <w:w w:val="100"/>
          <w:position w:val="0"/>
          <w:sz w:val="17"/>
          <w:szCs w:val="17"/>
        </w:rPr>
        <w:t>01235</w:t>
      </w:r>
      <w:r>
        <w:rPr>
          <w:color w:val="000000"/>
          <w:spacing w:val="0"/>
          <w:w w:val="100"/>
          <w:position w:val="0"/>
        </w:rPr>
        <w:t>号民</w:t>
      </w:r>
    </w:p>
    <w:p w14:paraId="0ED15F33">
      <w:pPr>
        <w:pStyle w:val="23"/>
        <w:keepNext w:val="0"/>
        <w:keepLines w:val="0"/>
        <w:widowControl w:val="0"/>
        <w:shd w:val="clear" w:color="auto" w:fill="auto"/>
        <w:bidi w:val="0"/>
        <w:spacing w:before="0" w:after="140"/>
        <w:ind w:left="0" w:right="0" w:firstLine="940"/>
        <w:jc w:val="left"/>
      </w:pPr>
      <w:r>
        <w:rPr>
          <w:color w:val="000000"/>
          <w:spacing w:val="0"/>
          <w:w w:val="100"/>
          <w:position w:val="0"/>
        </w:rPr>
        <w:t>事判决书</w:t>
      </w:r>
    </w:p>
    <w:p w14:paraId="115A0752">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"bookmark100" \o "Current Document" \h </w:instrText>
      </w:r>
      <w:r>
        <w:fldChar w:fldCharType="separate"/>
      </w:r>
      <w:r>
        <w:rPr>
          <w:color w:val="000000"/>
          <w:spacing w:val="0"/>
          <w:w w:val="100"/>
          <w:position w:val="0"/>
          <w:sz w:val="18"/>
          <w:szCs w:val="18"/>
        </w:rPr>
        <w:t>公司依瑕疵决议所为增资行为之效力认定/周淳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067</w:t>
      </w:r>
      <w:r>
        <w:rPr>
          <w:rFonts w:ascii="Times New Roman" w:hAnsi="Times New Roman" w:eastAsia="Times New Roman" w:cs="Times New Roman"/>
          <w:color w:val="000000"/>
          <w:spacing w:val="0"/>
          <w:w w:val="100"/>
          <w:position w:val="0"/>
          <w:sz w:val="19"/>
          <w:szCs w:val="19"/>
        </w:rPr>
        <w:fldChar w:fldCharType="end"/>
      </w:r>
    </w:p>
    <w:p w14:paraId="30C6B42F">
      <w:pPr>
        <w:pStyle w:val="23"/>
        <w:keepNext w:val="0"/>
        <w:keepLines w:val="0"/>
        <w:widowControl w:val="0"/>
        <w:shd w:val="clear" w:color="auto" w:fill="auto"/>
        <w:bidi w:val="0"/>
        <w:spacing w:before="0" w:after="0"/>
        <w:ind w:left="0" w:right="0" w:firstLine="940"/>
        <w:jc w:val="both"/>
      </w:pPr>
      <w:r>
        <w:rPr>
          <w:color w:val="000000"/>
          <w:spacing w:val="0"/>
          <w:w w:val="100"/>
          <w:position w:val="0"/>
        </w:rPr>
        <w:t>绵阳市红日实业有限公司、蒋洋诉绵阳高新区科创实业有限公司股东会决议效力及公</w:t>
      </w:r>
    </w:p>
    <w:p w14:paraId="08DD82A1">
      <w:pPr>
        <w:pStyle w:val="23"/>
        <w:keepNext w:val="0"/>
        <w:keepLines w:val="0"/>
        <w:widowControl w:val="0"/>
        <w:shd w:val="clear" w:color="auto" w:fill="auto"/>
        <w:bidi w:val="0"/>
        <w:spacing w:before="0" w:after="140"/>
        <w:ind w:left="0" w:right="0" w:firstLine="940"/>
        <w:jc w:val="both"/>
      </w:pPr>
      <w:r>
        <w:rPr>
          <w:color w:val="000000"/>
          <w:spacing w:val="0"/>
          <w:w w:val="100"/>
          <w:position w:val="0"/>
        </w:rPr>
        <w:t>司增资纠纷案丨《最高人民法院公报》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70C7C1B0">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"bookmark108" \o "Current Document" \h </w:instrText>
      </w:r>
      <w:r>
        <w:fldChar w:fldCharType="separate"/>
      </w:r>
      <w:r>
        <w:rPr>
          <w:color w:val="000000"/>
          <w:spacing w:val="0"/>
          <w:w w:val="100"/>
          <w:position w:val="0"/>
          <w:sz w:val="18"/>
          <w:szCs w:val="18"/>
        </w:rPr>
        <w:t>沉默只有在例外情形才可被视为意思表示/纪海龙</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072</w:t>
      </w:r>
      <w:r>
        <w:rPr>
          <w:rFonts w:ascii="Times New Roman" w:hAnsi="Times New Roman" w:eastAsia="Times New Roman" w:cs="Times New Roman"/>
          <w:color w:val="000000"/>
          <w:spacing w:val="0"/>
          <w:w w:val="100"/>
          <w:position w:val="0"/>
          <w:sz w:val="19"/>
          <w:szCs w:val="19"/>
        </w:rPr>
        <w:fldChar w:fldCharType="end"/>
      </w:r>
    </w:p>
    <w:p w14:paraId="4A469E06">
      <w:pPr>
        <w:pStyle w:val="23"/>
        <w:keepNext w:val="0"/>
        <w:keepLines w:val="0"/>
        <w:widowControl w:val="0"/>
        <w:shd w:val="clear" w:color="auto" w:fill="auto"/>
        <w:bidi w:val="0"/>
        <w:spacing w:before="0" w:after="0"/>
        <w:ind w:left="0" w:right="0" w:firstLine="940"/>
        <w:jc w:val="left"/>
      </w:pPr>
      <w:r>
        <w:rPr>
          <w:color w:val="000000"/>
          <w:spacing w:val="0"/>
          <w:w w:val="100"/>
          <w:position w:val="0"/>
        </w:rPr>
        <w:t>沈阳国际汽车城开发有限公司与抚顺中通建设（集团）有限公司建设工程施工合同纠</w:t>
      </w:r>
    </w:p>
    <w:p w14:paraId="3A6F9212">
      <w:pPr>
        <w:pStyle w:val="23"/>
        <w:keepNext w:val="0"/>
        <w:keepLines w:val="0"/>
        <w:widowControl w:val="0"/>
        <w:shd w:val="clear" w:color="auto" w:fill="auto"/>
        <w:bidi w:val="0"/>
        <w:spacing w:before="0" w:after="140"/>
        <w:ind w:left="0" w:right="0" w:firstLine="940"/>
        <w:jc w:val="both"/>
      </w:pPr>
      <w:r>
        <w:rPr>
          <w:color w:val="000000"/>
          <w:spacing w:val="0"/>
          <w:w w:val="100"/>
          <w:position w:val="0"/>
        </w:rPr>
        <w:t>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549</w:t>
      </w:r>
      <w:r>
        <w:rPr>
          <w:color w:val="000000"/>
          <w:spacing w:val="0"/>
          <w:w w:val="100"/>
          <w:position w:val="0"/>
        </w:rPr>
        <w:t>号民事裁定书</w:t>
      </w:r>
    </w:p>
    <w:p w14:paraId="254E2D9F">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"bookmark111" \o "Current Document" \h </w:instrText>
      </w:r>
      <w:r>
        <w:fldChar w:fldCharType="separate"/>
      </w:r>
      <w:r>
        <w:rPr>
          <w:color w:val="000000"/>
          <w:spacing w:val="0"/>
          <w:w w:val="100"/>
          <w:position w:val="0"/>
          <w:sz w:val="18"/>
          <w:szCs w:val="18"/>
        </w:rPr>
        <w:t>跟单信用证交易中开证行关于提单权利的合同解释/朱晓詰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076</w:t>
      </w:r>
      <w:r>
        <w:rPr>
          <w:rFonts w:ascii="Times New Roman" w:hAnsi="Times New Roman" w:eastAsia="Times New Roman" w:cs="Times New Roman"/>
          <w:color w:val="000000"/>
          <w:spacing w:val="0"/>
          <w:w w:val="100"/>
          <w:position w:val="0"/>
          <w:sz w:val="19"/>
          <w:szCs w:val="19"/>
        </w:rPr>
        <w:fldChar w:fldCharType="end"/>
      </w:r>
    </w:p>
    <w:p w14:paraId="2041ADF2">
      <w:pPr>
        <w:pStyle w:val="23"/>
        <w:keepNext w:val="0"/>
        <w:keepLines w:val="0"/>
        <w:widowControl w:val="0"/>
        <w:shd w:val="clear" w:color="auto" w:fill="auto"/>
        <w:bidi w:val="0"/>
        <w:spacing w:before="0" w:after="0"/>
        <w:ind w:left="0" w:right="0" w:firstLine="940"/>
        <w:jc w:val="both"/>
      </w:pPr>
      <w:r>
        <w:rPr>
          <w:color w:val="000000"/>
          <w:spacing w:val="0"/>
          <w:w w:val="100"/>
          <w:position w:val="0"/>
        </w:rPr>
        <w:t>中国建设银行股份有限公司广州荔湾支行诉广东蓝粤能源发展有限公司等信用证开</w:t>
      </w:r>
    </w:p>
    <w:p w14:paraId="04F170C0">
      <w:pPr>
        <w:pStyle w:val="23"/>
        <w:keepNext w:val="0"/>
        <w:keepLines w:val="0"/>
        <w:widowControl w:val="0"/>
        <w:shd w:val="clear" w:color="auto" w:fill="auto"/>
        <w:bidi w:val="0"/>
        <w:spacing w:before="0" w:after="140"/>
        <w:ind w:left="0" w:right="0" w:firstLine="940"/>
        <w:jc w:val="both"/>
      </w:pPr>
      <w:r>
        <w:rPr>
          <w:color w:val="000000"/>
          <w:spacing w:val="0"/>
          <w:w w:val="100"/>
          <w:position w:val="0"/>
        </w:rPr>
        <w:t>证纠纷案丨最高人民法院第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号指导性案例</w:t>
      </w:r>
    </w:p>
    <w:p w14:paraId="4569EA51">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"bookmark117" \o "Current Document" \h </w:instrText>
      </w:r>
      <w:r>
        <w:fldChar w:fldCharType="separate"/>
      </w:r>
      <w:r>
        <w:rPr>
          <w:color w:val="000000"/>
          <w:spacing w:val="0"/>
          <w:w w:val="100"/>
          <w:position w:val="0"/>
          <w:sz w:val="18"/>
          <w:szCs w:val="18"/>
        </w:rPr>
        <w:t>恶意串通、通谋虚伪与债权人撤销权/茅少伟</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081</w:t>
      </w:r>
      <w:r>
        <w:rPr>
          <w:rFonts w:ascii="Times New Roman" w:hAnsi="Times New Roman" w:eastAsia="Times New Roman" w:cs="Times New Roman"/>
          <w:color w:val="000000"/>
          <w:spacing w:val="0"/>
          <w:w w:val="100"/>
          <w:position w:val="0"/>
          <w:sz w:val="19"/>
          <w:szCs w:val="19"/>
        </w:rPr>
        <w:fldChar w:fldCharType="end"/>
      </w:r>
    </w:p>
    <w:p w14:paraId="5A06CFAD">
      <w:pPr>
        <w:pStyle w:val="23"/>
        <w:keepNext w:val="0"/>
        <w:keepLines w:val="0"/>
        <w:widowControl w:val="0"/>
        <w:shd w:val="clear" w:color="auto" w:fill="auto"/>
        <w:bidi w:val="0"/>
        <w:spacing w:before="0" w:after="0"/>
        <w:ind w:left="0" w:right="0" w:firstLine="940"/>
        <w:jc w:val="both"/>
      </w:pPr>
      <w:r>
        <w:rPr>
          <w:color w:val="000000"/>
          <w:spacing w:val="0"/>
          <w:w w:val="100"/>
          <w:position w:val="0"/>
        </w:rPr>
        <w:t>瑞士嘉吉国际公司诉福建金石制油有限公司等确认合同无效纠纷案丨最高人民法院</w:t>
      </w:r>
    </w:p>
    <w:p w14:paraId="49E4D0BA">
      <w:pPr>
        <w:pStyle w:val="23"/>
        <w:keepNext w:val="0"/>
        <w:keepLines w:val="0"/>
        <w:widowControl w:val="0"/>
        <w:shd w:val="clear" w:color="auto" w:fill="auto"/>
        <w:bidi w:val="0"/>
        <w:spacing w:before="0" w:after="140"/>
        <w:ind w:left="0" w:right="0" w:firstLine="940"/>
        <w:jc w:val="both"/>
      </w:pPr>
      <w:r>
        <w:rPr>
          <w:color w:val="000000"/>
          <w:spacing w:val="0"/>
          <w:w w:val="100"/>
          <w:position w:val="0"/>
        </w:rPr>
        <w:t>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号指导性案例</w:t>
      </w:r>
    </w:p>
    <w:p w14:paraId="58D37547">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"bookmark127" \o "Current Document" \h </w:instrText>
      </w:r>
      <w:r>
        <w:fldChar w:fldCharType="separate"/>
      </w:r>
      <w:r>
        <w:rPr>
          <w:color w:val="000000"/>
          <w:spacing w:val="0"/>
          <w:w w:val="100"/>
          <w:position w:val="0"/>
          <w:sz w:val="18"/>
          <w:szCs w:val="18"/>
        </w:rPr>
        <w:t>网络购物合同的成立与标价错误/王天凡</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086</w:t>
      </w:r>
      <w:r>
        <w:rPr>
          <w:rFonts w:ascii="Times New Roman" w:hAnsi="Times New Roman" w:eastAsia="Times New Roman" w:cs="Times New Roman"/>
          <w:color w:val="000000"/>
          <w:spacing w:val="0"/>
          <w:w w:val="100"/>
          <w:position w:val="0"/>
          <w:sz w:val="19"/>
          <w:szCs w:val="19"/>
        </w:rPr>
        <w:fldChar w:fldCharType="end"/>
      </w:r>
    </w:p>
    <w:p w14:paraId="03BA2074">
      <w:pPr>
        <w:pStyle w:val="23"/>
        <w:keepNext w:val="0"/>
        <w:keepLines w:val="0"/>
        <w:widowControl w:val="0"/>
        <w:shd w:val="clear" w:color="auto" w:fill="auto"/>
        <w:bidi w:val="0"/>
        <w:spacing w:before="0" w:after="0"/>
        <w:ind w:left="0" w:right="0" w:firstLine="940"/>
        <w:jc w:val="both"/>
      </w:pPr>
      <w:r>
        <w:rPr>
          <w:color w:val="000000"/>
          <w:spacing w:val="0"/>
          <w:w w:val="100"/>
          <w:position w:val="0"/>
        </w:rPr>
        <w:t>北京世纪卓越信息技术有限公司与李尚辉买卖合同纠纷上诉案丨北京市第三中级人</w:t>
      </w:r>
    </w:p>
    <w:p w14:paraId="4DDC1EC4">
      <w:pPr>
        <w:pStyle w:val="23"/>
        <w:keepNext w:val="0"/>
        <w:keepLines w:val="0"/>
        <w:widowControl w:val="0"/>
        <w:shd w:val="clear" w:color="auto" w:fill="auto"/>
        <w:bidi w:val="0"/>
        <w:spacing w:before="0" w:after="140"/>
        <w:ind w:left="0" w:right="0" w:firstLine="940"/>
        <w:jc w:val="both"/>
      </w:pPr>
      <w:r>
        <w:rPr>
          <w:color w:val="000000"/>
          <w:spacing w:val="0"/>
          <w:w w:val="100"/>
          <w:position w:val="0"/>
        </w:rPr>
        <w:t>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03</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1140</w:t>
      </w:r>
      <w:r>
        <w:rPr>
          <w:color w:val="000000"/>
          <w:spacing w:val="0"/>
          <w:w w:val="100"/>
          <w:position w:val="0"/>
        </w:rPr>
        <w:t>号民事判决书</w:t>
      </w:r>
    </w:p>
    <w:p w14:paraId="7F74B048">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"bookmark130" \o "Current Document" \h </w:instrText>
      </w:r>
      <w:r>
        <w:fldChar w:fldCharType="separate"/>
      </w:r>
      <w:r>
        <w:rPr>
          <w:color w:val="000000"/>
          <w:spacing w:val="0"/>
          <w:w w:val="100"/>
          <w:position w:val="0"/>
          <w:sz w:val="18"/>
          <w:szCs w:val="18"/>
          <w:lang w:val="zh-CN" w:eastAsia="zh-CN" w:bidi="zh-CN"/>
        </w:rPr>
        <w:t>“过</w:t>
      </w:r>
      <w:r>
        <w:rPr>
          <w:color w:val="000000"/>
          <w:spacing w:val="0"/>
          <w:w w:val="100"/>
          <w:position w:val="0"/>
          <w:sz w:val="18"/>
          <w:szCs w:val="18"/>
        </w:rPr>
        <w:t>失欺诈</w:t>
      </w:r>
      <w:r>
        <w:rPr>
          <w:color w:val="000000"/>
          <w:spacing w:val="0"/>
          <w:w w:val="100"/>
          <w:position w:val="0"/>
          <w:sz w:val="18"/>
          <w:szCs w:val="18"/>
          <w:lang w:val="zh-CN" w:eastAsia="zh-CN" w:bidi="zh-CN"/>
        </w:rPr>
        <w:t>”的可</w:t>
      </w:r>
      <w:r>
        <w:rPr>
          <w:color w:val="000000"/>
          <w:spacing w:val="0"/>
          <w:w w:val="100"/>
          <w:position w:val="0"/>
          <w:sz w:val="18"/>
          <w:szCs w:val="18"/>
        </w:rPr>
        <w:t>能/刘 勇</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091</w:t>
      </w:r>
      <w:r>
        <w:rPr>
          <w:rFonts w:ascii="Times New Roman" w:hAnsi="Times New Roman" w:eastAsia="Times New Roman" w:cs="Times New Roman"/>
          <w:color w:val="000000"/>
          <w:spacing w:val="0"/>
          <w:w w:val="100"/>
          <w:position w:val="0"/>
          <w:sz w:val="19"/>
          <w:szCs w:val="19"/>
        </w:rPr>
        <w:fldChar w:fldCharType="end"/>
      </w:r>
    </w:p>
    <w:p w14:paraId="7D94143C">
      <w:pPr>
        <w:pStyle w:val="23"/>
        <w:keepNext w:val="0"/>
        <w:keepLines w:val="0"/>
        <w:widowControl w:val="0"/>
        <w:shd w:val="clear" w:color="auto" w:fill="auto"/>
        <w:bidi w:val="0"/>
        <w:spacing w:before="0" w:after="140"/>
        <w:ind w:left="0" w:right="0" w:firstLine="940"/>
        <w:jc w:val="left"/>
      </w:pPr>
      <w:r>
        <w:rPr>
          <w:color w:val="000000"/>
          <w:spacing w:val="0"/>
          <w:w w:val="100"/>
          <w:position w:val="0"/>
        </w:rPr>
        <w:t>刘向前诉安邦财产保险公司保险合同纠纷案丨《最高人民法院公报》</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3E8A87EA">
      <w:pPr>
        <w:pStyle w:val="23"/>
        <w:keepNext w:val="0"/>
        <w:keepLines w:val="0"/>
        <w:widowControl w:val="0"/>
        <w:shd w:val="clear" w:color="auto" w:fill="auto"/>
        <w:tabs>
          <w:tab w:val="left" w:pos="7835"/>
        </w:tabs>
        <w:bidi w:val="0"/>
        <w:spacing w:before="0" w:after="0"/>
        <w:ind w:left="0" w:right="0" w:firstLine="940"/>
        <w:jc w:val="both"/>
        <w:rPr>
          <w:sz w:val="19"/>
          <w:szCs w:val="19"/>
        </w:rPr>
      </w:pPr>
      <w:r>
        <w:fldChar w:fldCharType="begin"/>
      </w:r>
      <w:r>
        <w:instrText xml:space="preserve"> HYPERLINK \l "bookmark133" \o "Current Document" \h </w:instrText>
      </w:r>
      <w:r>
        <w:fldChar w:fldCharType="separate"/>
      </w:r>
      <w:r>
        <w:rPr>
          <w:color w:val="000000"/>
          <w:spacing w:val="0"/>
          <w:w w:val="100"/>
          <w:position w:val="0"/>
          <w:sz w:val="18"/>
          <w:szCs w:val="18"/>
        </w:rPr>
        <w:t>违反强制性规范的合同效力认定/钟瑞栋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096</w:t>
      </w:r>
      <w:r>
        <w:rPr>
          <w:rFonts w:ascii="Times New Roman" w:hAnsi="Times New Roman" w:eastAsia="Times New Roman" w:cs="Times New Roman"/>
          <w:color w:val="000000"/>
          <w:spacing w:val="0"/>
          <w:w w:val="100"/>
          <w:position w:val="0"/>
          <w:sz w:val="19"/>
          <w:szCs w:val="19"/>
        </w:rPr>
        <w:fldChar w:fldCharType="end"/>
      </w:r>
      <w:r>
        <w:fldChar w:fldCharType="end"/>
      </w:r>
    </w:p>
    <w:p w14:paraId="468472CA">
      <w:pPr>
        <w:pStyle w:val="17"/>
        <w:keepNext w:val="0"/>
        <w:keepLines w:val="0"/>
        <w:widowControl w:val="0"/>
        <w:shd w:val="clear" w:color="auto" w:fill="auto"/>
        <w:bidi w:val="0"/>
        <w:spacing w:before="0" w:after="140" w:line="305" w:lineRule="exact"/>
        <w:ind w:left="940" w:right="0" w:firstLine="20"/>
        <w:jc w:val="both"/>
        <w:sectPr>
          <w:headerReference r:id="rId13" w:type="first"/>
          <w:headerReference r:id="rId11" w:type="default"/>
          <w:headerReference r:id="rId12" w:type="even"/>
          <w:footnotePr>
            <w:numFmt w:val="decimal"/>
          </w:footnotePr>
          <w:pgSz w:w="10099" w:h="14782"/>
          <w:pgMar w:top="1342" w:right="863" w:bottom="1282" w:left="952" w:header="0" w:footer="3" w:gutter="0"/>
          <w:pgNumType w:start="7"/>
          <w:cols w:space="720" w:num="1"/>
          <w:titlePg/>
          <w:rtlGutter w:val="0"/>
          <w:docGrid w:linePitch="360" w:charSpace="0"/>
        </w:sectPr>
      </w:pPr>
      <w:r>
        <w:rPr>
          <w:color w:val="000000"/>
          <w:spacing w:val="0"/>
          <w:w w:val="100"/>
          <w:position w:val="0"/>
        </w:rPr>
        <w:t>四川金核矿业有限公司与新疆临钢资源投资股份有限公司特殊区域合作勘查合同纠 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167</w:t>
      </w:r>
      <w:r>
        <w:rPr>
          <w:color w:val="000000"/>
          <w:spacing w:val="0"/>
          <w:w w:val="100"/>
          <w:position w:val="0"/>
        </w:rPr>
        <w:t>号民事判决书</w:t>
      </w:r>
    </w:p>
    <w:p w14:paraId="120B8EE6">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fldChar w:fldCharType="begin"/>
      </w:r>
      <w:r>
        <w:instrText xml:space="preserve"> TOC \o "1-5" \h \z </w:instrText>
      </w:r>
      <w:r>
        <w:fldChar w:fldCharType="separate"/>
      </w:r>
      <w:r>
        <w:fldChar w:fldCharType="begin"/>
      </w:r>
      <w:r>
        <w:instrText xml:space="preserve"> HYPERLINK \l "bookmark138" \o "Current Document" \h </w:instrText>
      </w:r>
      <w:r>
        <w:fldChar w:fldCharType="separate"/>
      </w:r>
      <w:r>
        <w:rPr>
          <w:rFonts w:ascii="Times New Roman" w:hAnsi="Times New Roman" w:eastAsia="Times New Roman" w:cs="Times New Roman"/>
          <w:color w:val="000000"/>
          <w:spacing w:val="0"/>
          <w:w w:val="100"/>
          <w:position w:val="0"/>
          <w:sz w:val="19"/>
          <w:szCs w:val="19"/>
        </w:rPr>
        <w:t>021</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非法吸收公众存款罪所涉合同的效力认定</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税兵</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101</w:t>
      </w:r>
      <w:r>
        <w:rPr>
          <w:rFonts w:ascii="Times New Roman" w:hAnsi="Times New Roman" w:eastAsia="Times New Roman" w:cs="Times New Roman"/>
          <w:color w:val="000000"/>
          <w:spacing w:val="0"/>
          <w:w w:val="100"/>
          <w:position w:val="0"/>
          <w:sz w:val="19"/>
          <w:szCs w:val="19"/>
        </w:rPr>
        <w:fldChar w:fldCharType="end"/>
      </w:r>
    </w:p>
    <w:p w14:paraId="55BF9D49">
      <w:pPr>
        <w:pStyle w:val="23"/>
        <w:keepNext w:val="0"/>
        <w:keepLines w:val="0"/>
        <w:widowControl w:val="0"/>
        <w:shd w:val="clear" w:color="auto" w:fill="auto"/>
        <w:bidi w:val="0"/>
        <w:spacing w:before="0" w:after="180" w:line="295" w:lineRule="exact"/>
        <w:ind w:left="560" w:right="0" w:firstLine="100"/>
        <w:jc w:val="both"/>
      </w:pPr>
      <w:r>
        <w:rPr>
          <w:color w:val="000000"/>
          <w:spacing w:val="0"/>
          <w:w w:val="100"/>
          <w:position w:val="0"/>
        </w:rPr>
        <w:t>吴国军诉陈晓富、王克祥、德清县中建房地产开发有限公司民间借贷纠纷案丨《最高人 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739DD86B">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022</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无权代理人的赔偿责任</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张家勇</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106</w:t>
      </w:r>
    </w:p>
    <w:p w14:paraId="69846BDC">
      <w:pPr>
        <w:pStyle w:val="23"/>
        <w:keepNext w:val="0"/>
        <w:keepLines w:val="0"/>
        <w:widowControl w:val="0"/>
        <w:shd w:val="clear" w:color="auto" w:fill="auto"/>
        <w:bidi w:val="0"/>
        <w:spacing w:before="0" w:after="0" w:line="310" w:lineRule="exact"/>
        <w:ind w:left="0" w:right="0" w:firstLine="560"/>
        <w:jc w:val="left"/>
      </w:pPr>
      <w:r>
        <w:rPr>
          <w:color w:val="000000"/>
          <w:spacing w:val="0"/>
          <w:w w:val="100"/>
          <w:position w:val="0"/>
        </w:rPr>
        <w:t>刘昕、彭某良房屋买卖合同纠纷案丨广东省佛山市中级人民法院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粤</w:t>
      </w:r>
      <w:r>
        <w:rPr>
          <w:rFonts w:ascii="Times New Roman" w:hAnsi="Times New Roman" w:eastAsia="Times New Roman" w:cs="Times New Roman"/>
          <w:color w:val="000000"/>
          <w:spacing w:val="0"/>
          <w:w w:val="100"/>
          <w:position w:val="0"/>
          <w:sz w:val="17"/>
          <w:szCs w:val="17"/>
        </w:rPr>
        <w:t>06</w:t>
      </w:r>
      <w:r>
        <w:rPr>
          <w:color w:val="000000"/>
          <w:spacing w:val="0"/>
          <w:w w:val="100"/>
          <w:position w:val="0"/>
        </w:rPr>
        <w:t>民终</w:t>
      </w:r>
    </w:p>
    <w:p w14:paraId="66C9F2E6">
      <w:pPr>
        <w:pStyle w:val="23"/>
        <w:keepNext w:val="0"/>
        <w:keepLines w:val="0"/>
        <w:widowControl w:val="0"/>
        <w:shd w:val="clear" w:color="auto" w:fill="auto"/>
        <w:bidi w:val="0"/>
        <w:spacing w:before="0" w:after="180" w:line="310" w:lineRule="exact"/>
        <w:ind w:left="0" w:right="0" w:firstLine="560"/>
        <w:jc w:val="left"/>
      </w:pPr>
      <w:r>
        <w:rPr>
          <w:rFonts w:ascii="Times New Roman" w:hAnsi="Times New Roman" w:eastAsia="Times New Roman" w:cs="Times New Roman"/>
          <w:color w:val="000000"/>
          <w:spacing w:val="0"/>
          <w:w w:val="100"/>
          <w:position w:val="0"/>
          <w:sz w:val="17"/>
          <w:szCs w:val="17"/>
        </w:rPr>
        <w:t>3076</w:t>
      </w:r>
      <w:r>
        <w:rPr>
          <w:color w:val="000000"/>
          <w:spacing w:val="0"/>
          <w:w w:val="100"/>
          <w:position w:val="0"/>
        </w:rPr>
        <w:t>号民事判决书</w:t>
      </w:r>
    </w:p>
    <w:p w14:paraId="0096A5C5">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023</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表见代理构成中的被代理人可归责性/朱 虎</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111</w:t>
      </w:r>
    </w:p>
    <w:p w14:paraId="1EE6D0DC">
      <w:pPr>
        <w:pStyle w:val="23"/>
        <w:keepNext w:val="0"/>
        <w:keepLines w:val="0"/>
        <w:widowControl w:val="0"/>
        <w:shd w:val="clear" w:color="auto" w:fill="auto"/>
        <w:bidi w:val="0"/>
        <w:spacing w:before="0" w:after="0" w:line="310" w:lineRule="exact"/>
        <w:ind w:left="0" w:right="0" w:firstLine="560"/>
        <w:jc w:val="left"/>
      </w:pPr>
      <w:r>
        <w:rPr>
          <w:color w:val="000000"/>
          <w:spacing w:val="0"/>
          <w:w w:val="100"/>
          <w:position w:val="0"/>
        </w:rPr>
        <w:t>山东宝华耐磨钢有限公司、方大特钢科技股份有限公司买卖合同纠纷案丨最高人民法</w:t>
      </w:r>
    </w:p>
    <w:p w14:paraId="2FE9E7A0">
      <w:pPr>
        <w:pStyle w:val="23"/>
        <w:keepNext w:val="0"/>
        <w:keepLines w:val="0"/>
        <w:widowControl w:val="0"/>
        <w:shd w:val="clear" w:color="auto" w:fill="auto"/>
        <w:bidi w:val="0"/>
        <w:spacing w:before="0" w:after="180" w:line="310" w:lineRule="exact"/>
        <w:ind w:left="0" w:right="0" w:firstLine="560"/>
        <w:jc w:val="left"/>
      </w:pPr>
      <w:r>
        <w:rPr>
          <w:color w:val="000000"/>
          <w:spacing w:val="0"/>
          <w:w w:val="100"/>
          <w:position w:val="0"/>
        </w:rPr>
        <w:t>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122</w:t>
      </w:r>
      <w:r>
        <w:rPr>
          <w:color w:val="000000"/>
          <w:spacing w:val="0"/>
          <w:w w:val="100"/>
          <w:position w:val="0"/>
        </w:rPr>
        <w:t>号民事判决书</w:t>
      </w:r>
    </w:p>
    <w:p w14:paraId="1F37851F">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024</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违法代理与本人的责任/王浩</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116</w:t>
      </w:r>
    </w:p>
    <w:p w14:paraId="6BB725AC">
      <w:pPr>
        <w:pStyle w:val="23"/>
        <w:keepNext w:val="0"/>
        <w:keepLines w:val="0"/>
        <w:widowControl w:val="0"/>
        <w:shd w:val="clear" w:color="auto" w:fill="auto"/>
        <w:bidi w:val="0"/>
        <w:spacing w:before="0" w:after="180" w:line="310" w:lineRule="exact"/>
        <w:ind w:left="560" w:right="0" w:firstLine="100"/>
        <w:jc w:val="both"/>
      </w:pPr>
      <w:r>
        <w:rPr>
          <w:color w:val="000000"/>
          <w:spacing w:val="0"/>
          <w:w w:val="100"/>
          <w:position w:val="0"/>
        </w:rPr>
        <w:t xml:space="preserve">郑州市财务开发公司、中国长城资产管理公司郑州办事处与郑州市财政局、郑州市人 民政府、中国工商银行河南省分行营业部债券认购款返还纠纷上诉案丨最高人民法院 </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号民事判决书</w:t>
      </w:r>
    </w:p>
    <w:p w14:paraId="180D0F00">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025</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禁止</w:t>
      </w:r>
      <w:r>
        <w:rPr>
          <w:color w:val="000000"/>
          <w:spacing w:val="0"/>
          <w:w w:val="100"/>
          <w:position w:val="0"/>
          <w:sz w:val="18"/>
          <w:szCs w:val="18"/>
          <w:lang w:val="zh-CN" w:eastAsia="zh-CN" w:bidi="zh-CN"/>
        </w:rPr>
        <w:t>“跳单”条</w:t>
      </w:r>
      <w:r>
        <w:rPr>
          <w:color w:val="000000"/>
          <w:spacing w:val="0"/>
          <w:w w:val="100"/>
          <w:position w:val="0"/>
          <w:sz w:val="18"/>
          <w:szCs w:val="18"/>
        </w:rPr>
        <w:t>款的效力和“跳单”违约的裁判标准</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戴孟勇</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121</w:t>
      </w:r>
    </w:p>
    <w:p w14:paraId="0039D786">
      <w:pPr>
        <w:pStyle w:val="23"/>
        <w:keepNext w:val="0"/>
        <w:keepLines w:val="0"/>
        <w:widowControl w:val="0"/>
        <w:shd w:val="clear" w:color="auto" w:fill="auto"/>
        <w:bidi w:val="0"/>
        <w:spacing w:before="0" w:after="180" w:line="310" w:lineRule="exact"/>
        <w:ind w:left="0" w:right="0" w:firstLine="560"/>
        <w:jc w:val="left"/>
      </w:pPr>
      <w:r>
        <w:rPr>
          <w:color w:val="000000"/>
          <w:spacing w:val="0"/>
          <w:w w:val="100"/>
          <w:position w:val="0"/>
        </w:rPr>
        <w:t>上海中原物业顾问有限公司诉陶德华居间合同纠纷案丨最高人民法院第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号指导性案例</w:t>
      </w:r>
    </w:p>
    <w:p w14:paraId="6C74A2C1">
      <w:pPr>
        <w:pStyle w:val="23"/>
        <w:keepNext w:val="0"/>
        <w:keepLines w:val="0"/>
        <w:widowControl w:val="0"/>
        <w:shd w:val="clear" w:color="auto" w:fill="auto"/>
        <w:tabs>
          <w:tab w:val="left" w:pos="554"/>
          <w:tab w:val="left" w:pos="7515"/>
        </w:tabs>
        <w:bidi w:val="0"/>
        <w:spacing w:before="0" w:after="0" w:line="310" w:lineRule="exact"/>
        <w:ind w:left="0" w:right="0" w:firstLine="0"/>
        <w:jc w:val="left"/>
        <w:rPr>
          <w:sz w:val="19"/>
          <w:szCs w:val="19"/>
        </w:rPr>
      </w:pPr>
      <w:r>
        <w:fldChar w:fldCharType="begin"/>
      </w:r>
      <w:r>
        <w:instrText xml:space="preserve"> HYPERLINK \l "bookmark170" \o "Current Document" \h </w:instrText>
      </w:r>
      <w:r>
        <w:fldChar w:fldCharType="separate"/>
      </w:r>
      <w:r>
        <w:rPr>
          <w:rFonts w:ascii="Times New Roman" w:hAnsi="Times New Roman" w:eastAsia="Times New Roman" w:cs="Times New Roman"/>
          <w:color w:val="000000"/>
          <w:spacing w:val="0"/>
          <w:w w:val="100"/>
          <w:position w:val="0"/>
          <w:sz w:val="19"/>
          <w:szCs w:val="19"/>
        </w:rPr>
        <w:t>026</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定期履行租金债权诉讼时效期间的起算规则</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周江洪</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126</w:t>
      </w:r>
      <w:r>
        <w:rPr>
          <w:rFonts w:ascii="Times New Roman" w:hAnsi="Times New Roman" w:eastAsia="Times New Roman" w:cs="Times New Roman"/>
          <w:color w:val="000000"/>
          <w:spacing w:val="0"/>
          <w:w w:val="100"/>
          <w:position w:val="0"/>
          <w:sz w:val="19"/>
          <w:szCs w:val="19"/>
        </w:rPr>
        <w:fldChar w:fldCharType="end"/>
      </w:r>
    </w:p>
    <w:p w14:paraId="462CEB13">
      <w:pPr>
        <w:pStyle w:val="23"/>
        <w:keepNext w:val="0"/>
        <w:keepLines w:val="0"/>
        <w:widowControl w:val="0"/>
        <w:shd w:val="clear" w:color="auto" w:fill="auto"/>
        <w:bidi w:val="0"/>
        <w:spacing w:before="0" w:after="80" w:line="302" w:lineRule="exact"/>
        <w:ind w:left="560" w:right="0" w:firstLine="100"/>
        <w:jc w:val="left"/>
      </w:pPr>
      <w:r>
        <w:rPr>
          <w:color w:val="000000"/>
          <w:spacing w:val="0"/>
          <w:w w:val="100"/>
          <w:position w:val="0"/>
        </w:rPr>
        <w:t>大连市物资回收总公司、大连市国土资源和房屋局土地租赁合同纠纷案丨最高人民法 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3959</w:t>
      </w:r>
      <w:r>
        <w:rPr>
          <w:color w:val="000000"/>
          <w:spacing w:val="0"/>
          <w:w w:val="100"/>
          <w:position w:val="0"/>
        </w:rPr>
        <w:t>号民事裁定书</w:t>
      </w:r>
    </w:p>
    <w:p w14:paraId="07286BEF">
      <w:pPr>
        <w:pStyle w:val="23"/>
        <w:keepNext w:val="0"/>
        <w:keepLines w:val="0"/>
        <w:widowControl w:val="0"/>
        <w:shd w:val="clear" w:color="auto" w:fill="auto"/>
        <w:bidi w:val="0"/>
        <w:spacing w:before="0" w:after="440" w:line="180" w:lineRule="auto"/>
        <w:ind w:left="0" w:right="920" w:firstLine="0"/>
        <w:jc w:val="right"/>
        <w:rPr>
          <w:sz w:val="108"/>
          <w:szCs w:val="108"/>
        </w:rPr>
      </w:pPr>
      <w:r>
        <w:rPr>
          <w:rFonts w:ascii="Times New Roman" w:hAnsi="Times New Roman" w:eastAsia="Times New Roman" w:cs="Times New Roman"/>
          <w:color w:val="000000"/>
          <w:spacing w:val="0"/>
          <w:w w:val="100"/>
          <w:position w:val="0"/>
          <w:sz w:val="108"/>
          <w:szCs w:val="108"/>
          <w:lang w:val="en-US" w:eastAsia="en-US" w:bidi="en-US"/>
        </w:rPr>
        <w:t xml:space="preserve">I </w:t>
      </w:r>
      <w:r>
        <w:rPr>
          <w:rFonts w:ascii="Times New Roman" w:hAnsi="Times New Roman" w:eastAsia="Times New Roman" w:cs="Times New Roman"/>
          <w:color w:val="000000"/>
          <w:spacing w:val="0"/>
          <w:w w:val="100"/>
          <w:position w:val="0"/>
          <w:sz w:val="108"/>
          <w:szCs w:val="108"/>
        </w:rPr>
        <w:t>I</w:t>
      </w:r>
    </w:p>
    <w:p w14:paraId="3442C700">
      <w:pPr>
        <w:pStyle w:val="23"/>
        <w:keepNext w:val="0"/>
        <w:keepLines w:val="0"/>
        <w:widowControl w:val="0"/>
        <w:shd w:val="clear" w:color="auto" w:fill="auto"/>
        <w:tabs>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 xml:space="preserve">027 </w:t>
      </w:r>
      <w:r>
        <w:rPr>
          <w:color w:val="000000"/>
          <w:spacing w:val="0"/>
          <w:w w:val="100"/>
          <w:position w:val="0"/>
          <w:sz w:val="18"/>
          <w:szCs w:val="18"/>
          <w:lang w:val="zh-CN" w:eastAsia="zh-CN" w:bidi="zh-CN"/>
        </w:rPr>
        <w:t>:物权</w:t>
      </w:r>
      <w:r>
        <w:rPr>
          <w:color w:val="000000"/>
          <w:spacing w:val="0"/>
          <w:w w:val="100"/>
          <w:position w:val="0"/>
          <w:sz w:val="18"/>
          <w:szCs w:val="18"/>
        </w:rPr>
        <w:t>法定原则的缓释机制</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熊丙万</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131</w:t>
      </w:r>
    </w:p>
    <w:p w14:paraId="74BFC293">
      <w:pPr>
        <w:pStyle w:val="23"/>
        <w:keepNext w:val="0"/>
        <w:keepLines w:val="0"/>
        <w:widowControl w:val="0"/>
        <w:shd w:val="clear" w:color="auto" w:fill="auto"/>
        <w:bidi w:val="0"/>
        <w:spacing w:before="0" w:after="0" w:line="310" w:lineRule="exact"/>
        <w:ind w:left="0" w:right="0" w:firstLine="560"/>
        <w:jc w:val="left"/>
      </w:pPr>
      <w:r>
        <w:rPr>
          <w:color w:val="000000"/>
          <w:spacing w:val="0"/>
          <w:w w:val="100"/>
          <w:position w:val="0"/>
        </w:rPr>
        <w:t>江西欧亚集团有限公司、上海浦东发展银行股份有限公司南昌分行金融借款合同纠纷</w:t>
      </w:r>
    </w:p>
    <w:p w14:paraId="2296A6BF">
      <w:pPr>
        <w:pStyle w:val="23"/>
        <w:keepNext w:val="0"/>
        <w:keepLines w:val="0"/>
        <w:widowControl w:val="0"/>
        <w:shd w:val="clear" w:color="auto" w:fill="auto"/>
        <w:bidi w:val="0"/>
        <w:spacing w:before="0" w:after="180" w:line="310" w:lineRule="exact"/>
        <w:ind w:left="0" w:right="0" w:firstLine="560"/>
        <w:jc w:val="left"/>
      </w:pPr>
      <w:r>
        <w:rPr>
          <w:color w:val="000000"/>
          <w:spacing w:val="0"/>
          <w:w w:val="100"/>
          <w:position w:val="0"/>
        </w:rPr>
        <w:t>「案丨最高人民法院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496</w:t>
      </w:r>
      <w:r>
        <w:rPr>
          <w:color w:val="000000"/>
          <w:spacing w:val="0"/>
          <w:w w:val="100"/>
          <w:position w:val="0"/>
        </w:rPr>
        <w:t>号民事判决书</w:t>
      </w:r>
    </w:p>
    <w:p w14:paraId="58464222">
      <w:pPr>
        <w:pStyle w:val="23"/>
        <w:keepNext w:val="0"/>
        <w:keepLines w:val="0"/>
        <w:widowControl w:val="0"/>
        <w:shd w:val="clear" w:color="auto" w:fill="auto"/>
        <w:tabs>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028</w:t>
      </w:r>
      <w:r>
        <w:rPr>
          <w:color w:val="000000"/>
          <w:spacing w:val="0"/>
          <w:w w:val="100"/>
          <w:position w:val="0"/>
          <w:sz w:val="18"/>
          <w:szCs w:val="18"/>
        </w:rPr>
        <w:t>「不动产登记的静态效力/朱晶晶</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136</w:t>
      </w:r>
    </w:p>
    <w:p w14:paraId="131FC086">
      <w:pPr>
        <w:pStyle w:val="23"/>
        <w:keepNext w:val="0"/>
        <w:keepLines w:val="0"/>
        <w:widowControl w:val="0"/>
        <w:shd w:val="clear" w:color="auto" w:fill="auto"/>
        <w:bidi w:val="0"/>
        <w:spacing w:before="0" w:after="180" w:line="310" w:lineRule="exact"/>
        <w:ind w:left="0" w:right="0" w:firstLine="560"/>
        <w:jc w:val="left"/>
      </w:pPr>
      <w:r>
        <w:rPr>
          <w:color w:val="000000"/>
          <w:spacing w:val="0"/>
          <w:w w:val="100"/>
          <w:position w:val="0"/>
        </w:rPr>
        <w:t>丁福如与石磊房屋买卖合同纠纷案丨《最高人民法院公报》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6043BA86">
      <w:pPr>
        <w:pStyle w:val="23"/>
        <w:keepNext w:val="0"/>
        <w:keepLines w:val="0"/>
        <w:widowControl w:val="0"/>
        <w:shd w:val="clear" w:color="auto" w:fill="auto"/>
        <w:tabs>
          <w:tab w:val="left" w:pos="7515"/>
        </w:tabs>
        <w:bidi w:val="0"/>
        <w:spacing w:before="0" w:after="0" w:line="314"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029</w:t>
      </w:r>
      <w:r>
        <w:rPr>
          <w:color w:val="000000"/>
          <w:spacing w:val="0"/>
          <w:w w:val="100"/>
          <w:position w:val="0"/>
          <w:sz w:val="18"/>
          <w:szCs w:val="18"/>
        </w:rPr>
        <w:t>「预购商品房抵押预告登记的法律效力/常鹏翱</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141</w:t>
      </w:r>
    </w:p>
    <w:p w14:paraId="73543A82">
      <w:pPr>
        <w:pStyle w:val="23"/>
        <w:keepNext w:val="0"/>
        <w:keepLines w:val="0"/>
        <w:widowControl w:val="0"/>
        <w:shd w:val="clear" w:color="auto" w:fill="auto"/>
        <w:bidi w:val="0"/>
        <w:spacing w:before="0" w:after="180" w:line="314" w:lineRule="exact"/>
        <w:ind w:left="560" w:right="0" w:firstLine="100"/>
        <w:jc w:val="left"/>
      </w:pPr>
      <w:r>
        <w:rPr>
          <w:color w:val="000000"/>
          <w:spacing w:val="0"/>
          <w:w w:val="100"/>
          <w:position w:val="0"/>
        </w:rPr>
        <w:t>「中国光大银行股份有限公司上海青浦支行诉上海东鹤房地产有限公司、陈思绮保证合 同纠纷案丨《最高人民法院公报》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476BDD8A">
      <w:pPr>
        <w:pStyle w:val="23"/>
        <w:keepNext w:val="0"/>
        <w:keepLines w:val="0"/>
        <w:widowControl w:val="0"/>
        <w:shd w:val="clear" w:color="auto" w:fill="auto"/>
        <w:tabs>
          <w:tab w:val="left" w:pos="7515"/>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030</w:t>
      </w:r>
      <w:r>
        <w:rPr>
          <w:color w:val="000000"/>
          <w:spacing w:val="0"/>
          <w:w w:val="100"/>
          <w:position w:val="0"/>
          <w:sz w:val="18"/>
          <w:szCs w:val="18"/>
        </w:rPr>
        <w:t>「特殊动产(船舶)物权的变动方式与效力机制/聂卫锋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146</w:t>
      </w:r>
      <w:r>
        <w:fldChar w:fldCharType="end"/>
      </w:r>
    </w:p>
    <w:p w14:paraId="2204252E">
      <w:pPr>
        <w:pStyle w:val="17"/>
        <w:keepNext w:val="0"/>
        <w:keepLines w:val="0"/>
        <w:widowControl w:val="0"/>
        <w:shd w:val="clear" w:color="auto" w:fill="auto"/>
        <w:bidi w:val="0"/>
        <w:spacing w:before="0" w:after="180" w:line="310" w:lineRule="exact"/>
        <w:ind w:left="0" w:right="0" w:firstLine="560"/>
        <w:jc w:val="left"/>
        <w:sectPr>
          <w:headerReference r:id="rId14" w:type="default"/>
          <w:headerReference r:id="rId15" w:type="even"/>
          <w:footnotePr>
            <w:numFmt w:val="decimal"/>
          </w:footnotePr>
          <w:type w:val="continuous"/>
          <w:pgSz w:w="10099" w:h="14782"/>
          <w:pgMar w:top="1342" w:right="863" w:bottom="1282" w:left="952" w:header="0" w:footer="854" w:gutter="0"/>
          <w:cols w:space="720" w:num="1"/>
          <w:rtlGutter w:val="0"/>
          <w:docGrid w:linePitch="360" w:charSpace="0"/>
        </w:sectPr>
      </w:pPr>
      <w:r>
        <w:rPr>
          <w:color w:val="000000"/>
          <w:spacing w:val="0"/>
          <w:w w:val="100"/>
          <w:position w:val="0"/>
        </w:rPr>
        <w:t>王卫东等诉王树建船舶权属纠纷案丨最高人民法院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的</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号民事裁定书</w:t>
      </w:r>
    </w:p>
    <w:p w14:paraId="4B18B0A9">
      <w:pPr>
        <w:pStyle w:val="23"/>
        <w:keepNext w:val="0"/>
        <w:keepLines w:val="0"/>
        <w:widowControl w:val="0"/>
        <w:shd w:val="clear" w:color="auto" w:fill="auto"/>
        <w:tabs>
          <w:tab w:val="left" w:pos="7865"/>
        </w:tabs>
        <w:bidi w:val="0"/>
        <w:spacing w:before="0" w:after="0" w:line="312" w:lineRule="exact"/>
        <w:ind w:left="0" w:right="0" w:firstLine="360"/>
        <w:jc w:val="both"/>
        <w:rPr>
          <w:sz w:val="19"/>
          <w:szCs w:val="19"/>
        </w:rPr>
      </w:pPr>
      <w:r>
        <w:fldChar w:fldCharType="begin"/>
      </w:r>
      <w:r>
        <w:instrText xml:space="preserve"> TOC \o "1-5" \h \z </w:instrText>
      </w:r>
      <w:r>
        <w:fldChar w:fldCharType="separate"/>
      </w:r>
      <w:r>
        <w:rPr>
          <w:rFonts w:ascii="Times New Roman" w:hAnsi="Times New Roman" w:eastAsia="Times New Roman" w:cs="Times New Roman"/>
          <w:color w:val="000000"/>
          <w:spacing w:val="0"/>
          <w:w w:val="100"/>
          <w:position w:val="0"/>
          <w:sz w:val="19"/>
          <w:szCs w:val="19"/>
        </w:rPr>
        <w:t xml:space="preserve">031 </w:t>
      </w:r>
      <w:r>
        <w:rPr>
          <w:color w:val="000000"/>
          <w:spacing w:val="0"/>
          <w:w w:val="100"/>
          <w:position w:val="0"/>
          <w:sz w:val="18"/>
          <w:szCs w:val="18"/>
        </w:rPr>
        <w:t>基于默示占有改定的动产所有权移转/庄加园</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151</w:t>
      </w:r>
    </w:p>
    <w:p w14:paraId="624CB09D">
      <w:pPr>
        <w:pStyle w:val="23"/>
        <w:keepNext w:val="0"/>
        <w:keepLines w:val="0"/>
        <w:widowControl w:val="0"/>
        <w:shd w:val="clear" w:color="auto" w:fill="auto"/>
        <w:bidi w:val="0"/>
        <w:spacing w:before="0" w:after="140" w:line="295" w:lineRule="exact"/>
        <w:ind w:left="980" w:right="0" w:firstLine="0"/>
        <w:jc w:val="left"/>
      </w:pPr>
      <w:r>
        <w:rPr>
          <w:color w:val="000000"/>
          <w:spacing w:val="0"/>
          <w:w w:val="100"/>
          <w:position w:val="0"/>
        </w:rPr>
        <w:t>青岛源宏祥纺织有限公司诉港润（聊城）印染有限公司取回权确认纠纷案丨《最高人民 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ED7112C">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032</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以物抵债协议及以物抵债裁定对物权变动之影响/吴一鸣</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156</w:t>
      </w:r>
    </w:p>
    <w:p w14:paraId="79678659">
      <w:pPr>
        <w:pStyle w:val="23"/>
        <w:keepNext w:val="0"/>
        <w:keepLines w:val="0"/>
        <w:widowControl w:val="0"/>
        <w:shd w:val="clear" w:color="auto" w:fill="auto"/>
        <w:bidi w:val="0"/>
        <w:spacing w:before="0" w:after="0" w:line="312" w:lineRule="exact"/>
        <w:ind w:left="0" w:right="0" w:firstLine="980"/>
        <w:jc w:val="left"/>
        <w:rPr>
          <w:sz w:val="17"/>
          <w:szCs w:val="17"/>
        </w:rPr>
      </w:pPr>
      <w:r>
        <w:rPr>
          <w:color w:val="000000"/>
          <w:spacing w:val="0"/>
          <w:w w:val="100"/>
          <w:position w:val="0"/>
          <w:sz w:val="18"/>
          <w:szCs w:val="18"/>
        </w:rPr>
        <w:t>中国银行济南分行与汇统房地产有限公司等欠款纠纷执行案丨最高人民法院</w:t>
      </w:r>
      <w:r>
        <w:rPr>
          <w:rFonts w:ascii="Times New Roman" w:hAnsi="Times New Roman" w:eastAsia="Times New Roman" w:cs="Times New Roman"/>
          <w:color w:val="000000"/>
          <w:spacing w:val="0"/>
          <w:w w:val="100"/>
          <w:position w:val="0"/>
          <w:sz w:val="17"/>
          <w:szCs w:val="17"/>
        </w:rPr>
        <w:t>（2016）</w:t>
      </w:r>
    </w:p>
    <w:p w14:paraId="1A9DCE68">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最高法执监</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号民事裁定书</w:t>
      </w:r>
    </w:p>
    <w:p w14:paraId="69EC4588">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033</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合法建造房屋的所有权归属/章程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161</w:t>
      </w:r>
    </w:p>
    <w:p w14:paraId="0E059217">
      <w:pPr>
        <w:pStyle w:val="23"/>
        <w:keepNext w:val="0"/>
        <w:keepLines w:val="0"/>
        <w:widowControl w:val="0"/>
        <w:shd w:val="clear" w:color="auto" w:fill="auto"/>
        <w:bidi w:val="0"/>
        <w:spacing w:before="0" w:after="140" w:line="312" w:lineRule="exact"/>
        <w:ind w:left="980" w:right="0" w:firstLine="0"/>
        <w:jc w:val="both"/>
      </w:pPr>
      <w:r>
        <w:rPr>
          <w:color w:val="000000"/>
          <w:spacing w:val="0"/>
          <w:w w:val="100"/>
          <w:position w:val="0"/>
        </w:rPr>
        <w:t>陕西崇立实业发展有限公司与中国信达资产管理股份有限公司陕西省分公司、西安佳 佳房地产综合开发有限责任公司案外人执行异议之诉案丨最高人民法院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 法民终</w:t>
      </w:r>
      <w:r>
        <w:rPr>
          <w:rFonts w:ascii="Times New Roman" w:hAnsi="Times New Roman" w:eastAsia="Times New Roman" w:cs="Times New Roman"/>
          <w:color w:val="000000"/>
          <w:spacing w:val="0"/>
          <w:w w:val="100"/>
          <w:position w:val="0"/>
          <w:sz w:val="17"/>
          <w:szCs w:val="17"/>
        </w:rPr>
        <w:t>763</w:t>
      </w:r>
      <w:r>
        <w:rPr>
          <w:color w:val="000000"/>
          <w:spacing w:val="0"/>
          <w:w w:val="100"/>
          <w:position w:val="0"/>
        </w:rPr>
        <w:t>号民事判决书</w:t>
      </w:r>
    </w:p>
    <w:p w14:paraId="34A876A6">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034</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金钱价值返还请求权/孙鹏</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166</w:t>
      </w:r>
    </w:p>
    <w:p w14:paraId="42718915">
      <w:pPr>
        <w:pStyle w:val="23"/>
        <w:keepNext w:val="0"/>
        <w:keepLines w:val="0"/>
        <w:widowControl w:val="0"/>
        <w:shd w:val="clear" w:color="auto" w:fill="auto"/>
        <w:bidi w:val="0"/>
        <w:spacing w:before="0" w:after="140" w:line="302" w:lineRule="exact"/>
        <w:ind w:left="980" w:right="0" w:firstLine="0"/>
        <w:jc w:val="both"/>
      </w:pPr>
      <w:r>
        <w:rPr>
          <w:color w:val="000000"/>
          <w:spacing w:val="0"/>
          <w:w w:val="100"/>
          <w:position w:val="0"/>
        </w:rPr>
        <w:t>河南省金博土地开发有限公司与刘玉荣及第三人河南元恒建设集团有限公司案外人 执行异议之诉案|最高人民法院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322</w:t>
      </w:r>
      <w:r>
        <w:rPr>
          <w:color w:val="000000"/>
          <w:spacing w:val="0"/>
          <w:w w:val="100"/>
          <w:position w:val="0"/>
        </w:rPr>
        <w:t>号民事裁定书</w:t>
      </w:r>
    </w:p>
    <w:p w14:paraId="2A7CFECA">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035</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乌木的所有权归属/金可可</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171</w:t>
      </w:r>
    </w:p>
    <w:p w14:paraId="7851FF42">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吴高亮、吴高惠诉四川省彭州市通济镇人民政府“乌木</w:t>
      </w:r>
      <w:r>
        <w:rPr>
          <w:color w:val="000000"/>
          <w:spacing w:val="0"/>
          <w:w w:val="100"/>
          <w:position w:val="0"/>
          <w:lang w:val="zh-CN" w:eastAsia="zh-CN" w:bidi="zh-CN"/>
        </w:rPr>
        <w:t>”行</w:t>
      </w:r>
      <w:r>
        <w:rPr>
          <w:color w:val="000000"/>
          <w:spacing w:val="0"/>
          <w:w w:val="100"/>
          <w:position w:val="0"/>
        </w:rPr>
        <w:t>政纠纷上诉案</w:t>
      </w:r>
    </w:p>
    <w:p w14:paraId="0AA39A5A">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036</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网络虚拟财产的返还财产请求权/李国强</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176</w:t>
      </w:r>
    </w:p>
    <w:p w14:paraId="22C4C3AA">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韩某诉李某某返还原物纠纷案丨河北省石家庄市中级人民法院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p>
    <w:p w14:paraId="4BB71A79">
      <w:pPr>
        <w:pStyle w:val="23"/>
        <w:keepNext w:val="0"/>
        <w:keepLines w:val="0"/>
        <w:widowControl w:val="0"/>
        <w:shd w:val="clear" w:color="auto" w:fill="auto"/>
        <w:bidi w:val="0"/>
        <w:spacing w:before="0" w:after="0" w:line="384" w:lineRule="auto"/>
        <w:ind w:left="0" w:right="0" w:firstLine="980"/>
        <w:jc w:val="left"/>
      </w:pPr>
      <w:r>
        <w:rPr>
          <w:rFonts w:ascii="Times New Roman" w:hAnsi="Times New Roman" w:eastAsia="Times New Roman" w:cs="Times New Roman"/>
          <w:color w:val="000000"/>
          <w:spacing w:val="0"/>
          <w:w w:val="100"/>
          <w:position w:val="0"/>
          <w:sz w:val="17"/>
          <w:szCs w:val="17"/>
        </w:rPr>
        <w:t>13196</w:t>
      </w:r>
      <w:r>
        <w:rPr>
          <w:color w:val="000000"/>
          <w:spacing w:val="0"/>
          <w:w w:val="100"/>
          <w:position w:val="0"/>
        </w:rPr>
        <w:t>号民事判决书</w:t>
      </w:r>
    </w:p>
    <w:p w14:paraId="5B1A5ECF">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037</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区分所有建筑物楼顶空间及其架空层的所有权归属/陈华彬</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181</w:t>
      </w:r>
    </w:p>
    <w:p w14:paraId="765A6776">
      <w:pPr>
        <w:pStyle w:val="23"/>
        <w:keepNext w:val="0"/>
        <w:keepLines w:val="0"/>
        <w:widowControl w:val="0"/>
        <w:shd w:val="clear" w:color="auto" w:fill="auto"/>
        <w:bidi w:val="0"/>
        <w:spacing w:before="0" w:after="0" w:line="312" w:lineRule="exact"/>
        <w:ind w:left="0" w:right="0" w:firstLine="980"/>
        <w:jc w:val="left"/>
      </w:pPr>
      <w:r>
        <w:rPr>
          <w:color w:val="000000"/>
          <w:spacing w:val="0"/>
          <w:w w:val="100"/>
          <w:position w:val="0"/>
        </w:rPr>
        <w:t>曾李峰等</w:t>
      </w:r>
      <w:r>
        <w:rPr>
          <w:rFonts w:ascii="Times New Roman" w:hAnsi="Times New Roman" w:eastAsia="Times New Roman" w:cs="Times New Roman"/>
          <w:color w:val="000000"/>
          <w:spacing w:val="0"/>
          <w:w w:val="100"/>
          <w:position w:val="0"/>
          <w:sz w:val="17"/>
          <w:szCs w:val="17"/>
        </w:rPr>
        <w:t>15</w:t>
      </w:r>
      <w:r>
        <w:rPr>
          <w:color w:val="000000"/>
          <w:spacing w:val="0"/>
          <w:w w:val="100"/>
          <w:position w:val="0"/>
        </w:rPr>
        <w:t>人与东兴房地产开发有限公司、东淮房地产开发有限公司财产损害纠纷案</w:t>
      </w:r>
    </w:p>
    <w:p w14:paraId="45A00D44">
      <w:pPr>
        <w:pStyle w:val="23"/>
        <w:keepNext w:val="0"/>
        <w:keepLines w:val="0"/>
        <w:widowControl w:val="0"/>
        <w:shd w:val="clear" w:color="auto" w:fill="auto"/>
        <w:bidi w:val="0"/>
        <w:spacing w:before="0" w:after="140" w:line="312" w:lineRule="exact"/>
        <w:ind w:left="1040" w:right="0" w:firstLine="0"/>
        <w:jc w:val="left"/>
      </w:pPr>
      <w:r>
        <w:rPr>
          <w:rFonts w:ascii="Times New Roman" w:hAnsi="Times New Roman" w:eastAsia="Times New Roman" w:cs="Times New Roman"/>
          <w:color w:val="000000"/>
          <w:spacing w:val="0"/>
          <w:w w:val="100"/>
          <w:position w:val="0"/>
          <w:sz w:val="17"/>
          <w:szCs w:val="17"/>
        </w:rPr>
        <w:t>I</w:t>
      </w:r>
      <w:r>
        <w:rPr>
          <w:color w:val="000000"/>
          <w:spacing w:val="0"/>
          <w:w w:val="100"/>
          <w:position w:val="0"/>
        </w:rPr>
        <w:t>福建省泉州市中级人民法院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泉民终字第</w:t>
      </w:r>
      <w:r>
        <w:rPr>
          <w:rFonts w:ascii="Times New Roman" w:hAnsi="Times New Roman" w:eastAsia="Times New Roman" w:cs="Times New Roman"/>
          <w:color w:val="000000"/>
          <w:spacing w:val="0"/>
          <w:w w:val="100"/>
          <w:position w:val="0"/>
          <w:sz w:val="17"/>
          <w:szCs w:val="17"/>
        </w:rPr>
        <w:t>342</w:t>
      </w:r>
      <w:r>
        <w:rPr>
          <w:color w:val="000000"/>
          <w:spacing w:val="0"/>
          <w:w w:val="100"/>
          <w:position w:val="0"/>
        </w:rPr>
        <w:t>号民事判决书</w:t>
      </w:r>
    </w:p>
    <w:p w14:paraId="366A77B8">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038</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善意取得中的受让人登记/娄爱华</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186</w:t>
      </w:r>
    </w:p>
    <w:p w14:paraId="16930EA1">
      <w:pPr>
        <w:pStyle w:val="23"/>
        <w:keepNext w:val="0"/>
        <w:keepLines w:val="0"/>
        <w:widowControl w:val="0"/>
        <w:shd w:val="clear" w:color="auto" w:fill="auto"/>
        <w:bidi w:val="0"/>
        <w:spacing w:before="0" w:after="0" w:line="312" w:lineRule="exact"/>
        <w:ind w:left="0" w:right="0" w:firstLine="980"/>
        <w:jc w:val="left"/>
      </w:pPr>
      <w:r>
        <w:rPr>
          <w:color w:val="000000"/>
          <w:spacing w:val="0"/>
          <w:w w:val="100"/>
          <w:position w:val="0"/>
        </w:rPr>
        <w:t>杨家辉诉叶娟云返还原物案丨福建省福州市中级人民法院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榕民终字第</w:t>
      </w:r>
      <w:r>
        <w:rPr>
          <w:rFonts w:ascii="Times New Roman" w:hAnsi="Times New Roman" w:eastAsia="Times New Roman" w:cs="Times New Roman"/>
          <w:color w:val="000000"/>
          <w:spacing w:val="0"/>
          <w:w w:val="100"/>
          <w:position w:val="0"/>
          <w:sz w:val="17"/>
          <w:szCs w:val="17"/>
        </w:rPr>
        <w:t>833</w:t>
      </w:r>
      <w:r>
        <w:rPr>
          <w:color w:val="000000"/>
          <w:spacing w:val="0"/>
          <w:w w:val="100"/>
          <w:position w:val="0"/>
        </w:rPr>
        <w:t>号</w:t>
      </w:r>
    </w:p>
    <w:p w14:paraId="06C9DA40">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民事判决书</w:t>
      </w:r>
    </w:p>
    <w:p w14:paraId="106F81F9">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fldChar w:fldCharType="begin"/>
      </w:r>
      <w:r>
        <w:instrText xml:space="preserve"> HYPERLINK \l "bookmark251" \o "Current Document" \h </w:instrText>
      </w:r>
      <w:r>
        <w:fldChar w:fldCharType="separate"/>
      </w:r>
      <w:r>
        <w:rPr>
          <w:rFonts w:ascii="Times New Roman" w:hAnsi="Times New Roman" w:eastAsia="Times New Roman" w:cs="Times New Roman"/>
          <w:color w:val="000000"/>
          <w:spacing w:val="0"/>
          <w:w w:val="100"/>
          <w:position w:val="0"/>
          <w:sz w:val="19"/>
          <w:szCs w:val="19"/>
        </w:rPr>
        <w:t>039</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集体土地征收中土地承包经营权主体的确定/耿 卓</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191</w:t>
      </w:r>
      <w:r>
        <w:rPr>
          <w:rFonts w:ascii="Times New Roman" w:hAnsi="Times New Roman" w:eastAsia="Times New Roman" w:cs="Times New Roman"/>
          <w:color w:val="000000"/>
          <w:spacing w:val="0"/>
          <w:w w:val="100"/>
          <w:position w:val="0"/>
          <w:sz w:val="19"/>
          <w:szCs w:val="19"/>
        </w:rPr>
        <w:fldChar w:fldCharType="end"/>
      </w:r>
    </w:p>
    <w:p w14:paraId="4BA93646">
      <w:pPr>
        <w:pStyle w:val="23"/>
        <w:keepNext w:val="0"/>
        <w:keepLines w:val="0"/>
        <w:widowControl w:val="0"/>
        <w:shd w:val="clear" w:color="auto" w:fill="auto"/>
        <w:bidi w:val="0"/>
        <w:spacing w:before="0" w:after="0" w:line="312" w:lineRule="exact"/>
        <w:ind w:left="0" w:right="0" w:firstLine="980"/>
        <w:jc w:val="left"/>
        <w:rPr>
          <w:sz w:val="17"/>
          <w:szCs w:val="17"/>
        </w:rPr>
      </w:pPr>
      <w:r>
        <w:rPr>
          <w:color w:val="000000"/>
          <w:spacing w:val="0"/>
          <w:w w:val="100"/>
          <w:position w:val="0"/>
          <w:sz w:val="18"/>
          <w:szCs w:val="18"/>
        </w:rPr>
        <w:t>陈清棕诉亭洋村一组、亭洋村村委会征地补偿款分配纠纷丨《最高人民法院公报》</w:t>
      </w:r>
      <w:r>
        <w:rPr>
          <w:rFonts w:ascii="Times New Roman" w:hAnsi="Times New Roman" w:eastAsia="Times New Roman" w:cs="Times New Roman"/>
          <w:color w:val="000000"/>
          <w:spacing w:val="0"/>
          <w:w w:val="100"/>
          <w:position w:val="0"/>
          <w:sz w:val="17"/>
          <w:szCs w:val="17"/>
        </w:rPr>
        <w:t>2005</w:t>
      </w:r>
    </w:p>
    <w:p w14:paraId="7BE3B224">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w:t>
      </w:r>
    </w:p>
    <w:p w14:paraId="1CE4D344">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rPr>
          <w:rFonts w:ascii="Times New Roman" w:hAnsi="Times New Roman" w:eastAsia="Times New Roman" w:cs="Times New Roman"/>
          <w:color w:val="000000"/>
          <w:spacing w:val="0"/>
          <w:w w:val="100"/>
          <w:position w:val="0"/>
          <w:sz w:val="19"/>
          <w:szCs w:val="19"/>
        </w:rPr>
        <w:t>040</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宅基地使用权继承问题/高飞</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196</w:t>
      </w:r>
    </w:p>
    <w:p w14:paraId="56C2B4D1">
      <w:pPr>
        <w:pStyle w:val="23"/>
        <w:keepNext w:val="0"/>
        <w:keepLines w:val="0"/>
        <w:widowControl w:val="0"/>
        <w:shd w:val="clear" w:color="auto" w:fill="auto"/>
        <w:bidi w:val="0"/>
        <w:spacing w:before="0" w:after="0" w:line="312" w:lineRule="exact"/>
        <w:ind w:left="0" w:right="0" w:firstLine="980"/>
        <w:jc w:val="left"/>
        <w:rPr>
          <w:sz w:val="17"/>
          <w:szCs w:val="17"/>
        </w:rPr>
      </w:pPr>
      <w:r>
        <w:rPr>
          <w:color w:val="000000"/>
          <w:spacing w:val="0"/>
          <w:w w:val="100"/>
          <w:position w:val="0"/>
          <w:sz w:val="18"/>
          <w:szCs w:val="18"/>
        </w:rPr>
        <w:t>陈某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与陈某</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继承纠纷上诉案丨浙江省宁波市中级人民法院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8"/>
          <w:szCs w:val="18"/>
        </w:rPr>
        <w:t>浙</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8"/>
          <w:szCs w:val="18"/>
        </w:rPr>
        <w:t>民终</w:t>
      </w:r>
      <w:r>
        <w:rPr>
          <w:rFonts w:ascii="Times New Roman" w:hAnsi="Times New Roman" w:eastAsia="Times New Roman" w:cs="Times New Roman"/>
          <w:color w:val="000000"/>
          <w:spacing w:val="0"/>
          <w:w w:val="100"/>
          <w:position w:val="0"/>
          <w:sz w:val="17"/>
          <w:szCs w:val="17"/>
        </w:rPr>
        <w:t>3633</w:t>
      </w:r>
    </w:p>
    <w:p w14:paraId="50F0CCB0">
      <w:pPr>
        <w:pStyle w:val="23"/>
        <w:keepNext w:val="0"/>
        <w:keepLines w:val="0"/>
        <w:widowControl w:val="0"/>
        <w:shd w:val="clear" w:color="auto" w:fill="auto"/>
        <w:bidi w:val="0"/>
        <w:spacing w:before="0" w:after="140" w:line="312" w:lineRule="exact"/>
        <w:ind w:left="0" w:right="0" w:firstLine="980"/>
        <w:jc w:val="left"/>
      </w:pPr>
      <w:r>
        <w:rPr>
          <w:color w:val="000000"/>
          <w:spacing w:val="0"/>
          <w:w w:val="100"/>
          <w:position w:val="0"/>
        </w:rPr>
        <w:t>号民事判决书</w:t>
      </w:r>
    </w:p>
    <w:p w14:paraId="5DAAF8B7">
      <w:pPr>
        <w:pStyle w:val="23"/>
        <w:keepNext w:val="0"/>
        <w:keepLines w:val="0"/>
        <w:widowControl w:val="0"/>
        <w:shd w:val="clear" w:color="auto" w:fill="auto"/>
        <w:tabs>
          <w:tab w:val="left" w:pos="935"/>
          <w:tab w:val="left" w:pos="7865"/>
        </w:tabs>
        <w:bidi w:val="0"/>
        <w:spacing w:before="0" w:after="0" w:line="312" w:lineRule="exact"/>
        <w:ind w:left="0" w:right="0" w:firstLine="360"/>
        <w:jc w:val="both"/>
        <w:rPr>
          <w:sz w:val="19"/>
          <w:szCs w:val="19"/>
        </w:rPr>
      </w:pPr>
      <w:r>
        <w:fldChar w:fldCharType="begin"/>
      </w:r>
      <w:r>
        <w:instrText xml:space="preserve"> HYPERLINK \l "bookmark262" \o "Current Document" \h </w:instrText>
      </w:r>
      <w:r>
        <w:fldChar w:fldCharType="separate"/>
      </w:r>
      <w:r>
        <w:rPr>
          <w:rFonts w:ascii="Times New Roman" w:hAnsi="Times New Roman" w:eastAsia="Times New Roman" w:cs="Times New Roman"/>
          <w:color w:val="000000"/>
          <w:spacing w:val="0"/>
          <w:w w:val="100"/>
          <w:position w:val="0"/>
          <w:sz w:val="19"/>
          <w:szCs w:val="19"/>
        </w:rPr>
        <w:t>041</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混合担保中担保人之间的追偿权及其范围/叶名怡</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201</w:t>
      </w:r>
      <w:r>
        <w:rPr>
          <w:rFonts w:ascii="Times New Roman" w:hAnsi="Times New Roman" w:eastAsia="Times New Roman" w:cs="Times New Roman"/>
          <w:color w:val="000000"/>
          <w:spacing w:val="0"/>
          <w:w w:val="100"/>
          <w:position w:val="0"/>
          <w:sz w:val="19"/>
          <w:szCs w:val="19"/>
        </w:rPr>
        <w:fldChar w:fldCharType="end"/>
      </w:r>
      <w:r>
        <w:fldChar w:fldCharType="end"/>
      </w:r>
    </w:p>
    <w:p w14:paraId="548804EA">
      <w:pPr>
        <w:pStyle w:val="17"/>
        <w:keepNext w:val="0"/>
        <w:keepLines w:val="0"/>
        <w:widowControl w:val="0"/>
        <w:shd w:val="clear" w:color="auto" w:fill="auto"/>
        <w:bidi w:val="0"/>
        <w:spacing w:before="0" w:after="140" w:line="312" w:lineRule="exact"/>
        <w:ind w:left="980" w:right="0" w:firstLine="0"/>
        <w:jc w:val="left"/>
        <w:sectPr>
          <w:headerReference r:id="rId16" w:type="default"/>
          <w:headerReference r:id="rId17" w:type="even"/>
          <w:footnotePr>
            <w:numFmt w:val="decimal"/>
          </w:footnotePr>
          <w:pgSz w:w="10099" w:h="14782"/>
          <w:pgMar w:top="1342" w:right="863" w:bottom="1282" w:left="952" w:header="0" w:footer="854" w:gutter="0"/>
          <w:pgNumType w:start="4"/>
          <w:cols w:space="720" w:num="1"/>
          <w:rtlGutter w:val="0"/>
          <w:docGrid w:linePitch="360" w:charSpace="0"/>
        </w:sectPr>
      </w:pPr>
      <w:r>
        <w:rPr>
          <w:color w:val="000000"/>
          <w:spacing w:val="0"/>
          <w:w w:val="100"/>
          <w:position w:val="0"/>
        </w:rPr>
        <w:t>顾正康等诉湖北汇城置业有限公司追偿权纠纷再审案丨最高人民法院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 民再</w:t>
      </w:r>
      <w:r>
        <w:rPr>
          <w:rFonts w:ascii="Times New Roman" w:hAnsi="Times New Roman" w:eastAsia="Times New Roman" w:cs="Times New Roman"/>
          <w:color w:val="000000"/>
          <w:spacing w:val="0"/>
          <w:w w:val="100"/>
          <w:position w:val="0"/>
          <w:sz w:val="17"/>
          <w:szCs w:val="17"/>
        </w:rPr>
        <w:t>137</w:t>
      </w:r>
      <w:r>
        <w:rPr>
          <w:color w:val="000000"/>
          <w:spacing w:val="0"/>
          <w:w w:val="100"/>
          <w:position w:val="0"/>
        </w:rPr>
        <w:t>号民事判决书</w:t>
      </w:r>
    </w:p>
    <w:p w14:paraId="7A153E83">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fldChar w:fldCharType="begin"/>
      </w:r>
      <w:r>
        <w:instrText xml:space="preserve"> TOC \o "1-5" \h \z </w:instrText>
      </w:r>
      <w:r>
        <w:fldChar w:fldCharType="separate"/>
      </w:r>
      <w:r>
        <w:rPr>
          <w:rFonts w:ascii="Times New Roman" w:hAnsi="Times New Roman" w:eastAsia="Times New Roman" w:cs="Times New Roman"/>
          <w:color w:val="000000"/>
          <w:spacing w:val="0"/>
          <w:w w:val="100"/>
          <w:position w:val="0"/>
          <w:sz w:val="19"/>
          <w:szCs w:val="19"/>
        </w:rPr>
        <w:t>042</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混合共同担保求偿权</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耿林</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206</w:t>
      </w:r>
    </w:p>
    <w:p w14:paraId="45714E59">
      <w:pPr>
        <w:pStyle w:val="23"/>
        <w:keepNext w:val="0"/>
        <w:keepLines w:val="0"/>
        <w:widowControl w:val="0"/>
        <w:shd w:val="clear" w:color="auto" w:fill="auto"/>
        <w:bidi w:val="0"/>
        <w:spacing w:before="0" w:after="140" w:line="310" w:lineRule="exact"/>
        <w:ind w:left="580" w:right="0" w:firstLine="60"/>
        <w:jc w:val="both"/>
      </w:pPr>
      <w:r>
        <w:rPr>
          <w:color w:val="000000"/>
          <w:spacing w:val="0"/>
          <w:w w:val="100"/>
          <w:position w:val="0"/>
        </w:rPr>
        <w:t>黑龙江北大荒投资担保股份有限公司与黑龙江省建三江农垦七星粮油工贸有限责任 公司、黑龙江省建三江农垦宏达粮油工贸有限公司等担保合同纠纷案</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《最高人民法 院公报》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99D0ED5">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fldChar w:fldCharType="begin"/>
      </w:r>
      <w:r>
        <w:instrText xml:space="preserve"> HYPERLINK \l "bookmark285" \o "Current Document" \h </w:instrText>
      </w:r>
      <w:r>
        <w:fldChar w:fldCharType="separate"/>
      </w:r>
      <w:r>
        <w:rPr>
          <w:rFonts w:ascii="Times New Roman" w:hAnsi="Times New Roman" w:eastAsia="Times New Roman" w:cs="Times New Roman"/>
          <w:color w:val="000000"/>
          <w:spacing w:val="0"/>
          <w:w w:val="100"/>
          <w:position w:val="0"/>
          <w:sz w:val="19"/>
          <w:szCs w:val="19"/>
        </w:rPr>
        <w:t>043</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以个人资产作抵押为债权提供担保属于保证</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董学立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211</w:t>
      </w:r>
      <w:r>
        <w:rPr>
          <w:rFonts w:ascii="Times New Roman" w:hAnsi="Times New Roman" w:eastAsia="Times New Roman" w:cs="Times New Roman"/>
          <w:color w:val="000000"/>
          <w:spacing w:val="0"/>
          <w:w w:val="100"/>
          <w:position w:val="0"/>
          <w:sz w:val="19"/>
          <w:szCs w:val="19"/>
        </w:rPr>
        <w:fldChar w:fldCharType="end"/>
      </w:r>
    </w:p>
    <w:p w14:paraId="3DB85B3D">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张玉彪与江苏省无锡欧翔动力机车贸易有限公司抵押权纠纷上诉案</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江苏省无锡市</w:t>
      </w:r>
    </w:p>
    <w:p w14:paraId="7933DDC4">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锡商终字第</w:t>
      </w:r>
      <w:r>
        <w:rPr>
          <w:rFonts w:ascii="Times New Roman" w:hAnsi="Times New Roman" w:eastAsia="Times New Roman" w:cs="Times New Roman"/>
          <w:color w:val="000000"/>
          <w:spacing w:val="0"/>
          <w:w w:val="100"/>
          <w:position w:val="0"/>
          <w:sz w:val="17"/>
          <w:szCs w:val="17"/>
        </w:rPr>
        <w:t>0169</w:t>
      </w:r>
      <w:r>
        <w:rPr>
          <w:color w:val="000000"/>
          <w:spacing w:val="0"/>
          <w:w w:val="100"/>
          <w:position w:val="0"/>
        </w:rPr>
        <w:t>号民事判决书</w:t>
      </w:r>
    </w:p>
    <w:p w14:paraId="18DE9E1B">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044</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未登记抵押合同的效力</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冉克平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216</w:t>
      </w:r>
    </w:p>
    <w:p w14:paraId="49CC4C02">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新疆石河子农村合作银行与刘峻瑞、步春华借款合同纠纷案丨最高人民法院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2015 </w:t>
      </w:r>
      <w:r>
        <w:rPr>
          <w:color w:val="000000"/>
          <w:spacing w:val="0"/>
          <w:w w:val="100"/>
          <w:position w:val="0"/>
        </w:rPr>
        <w:t>）民</w:t>
      </w:r>
    </w:p>
    <w:p w14:paraId="24557089">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申字第</w:t>
      </w:r>
      <w:r>
        <w:rPr>
          <w:rFonts w:ascii="Times New Roman" w:hAnsi="Times New Roman" w:eastAsia="Times New Roman" w:cs="Times New Roman"/>
          <w:color w:val="000000"/>
          <w:spacing w:val="0"/>
          <w:w w:val="100"/>
          <w:position w:val="0"/>
          <w:sz w:val="17"/>
          <w:szCs w:val="17"/>
        </w:rPr>
        <w:t>2354</w:t>
      </w:r>
      <w:r>
        <w:rPr>
          <w:color w:val="000000"/>
          <w:spacing w:val="0"/>
          <w:w w:val="100"/>
          <w:position w:val="0"/>
        </w:rPr>
        <w:t>号民事裁定书</w:t>
      </w:r>
    </w:p>
    <w:p w14:paraId="1E4611B1">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fldChar w:fldCharType="begin"/>
      </w:r>
      <w:r>
        <w:instrText xml:space="preserve"> HYPERLINK \l "bookmark306" \o "Current Document" \h </w:instrText>
      </w:r>
      <w:r>
        <w:fldChar w:fldCharType="separate"/>
      </w:r>
      <w:r>
        <w:rPr>
          <w:rFonts w:ascii="Times New Roman" w:hAnsi="Times New Roman" w:eastAsia="Times New Roman" w:cs="Times New Roman"/>
          <w:color w:val="000000"/>
          <w:spacing w:val="0"/>
          <w:w w:val="100"/>
          <w:position w:val="0"/>
          <w:sz w:val="19"/>
          <w:szCs w:val="19"/>
        </w:rPr>
        <w:t>045</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在建工程抵押与房地一体原则的适用</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刘颖</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221</w:t>
      </w:r>
      <w:r>
        <w:rPr>
          <w:rFonts w:ascii="Times New Roman" w:hAnsi="Times New Roman" w:eastAsia="Times New Roman" w:cs="Times New Roman"/>
          <w:color w:val="000000"/>
          <w:spacing w:val="0"/>
          <w:w w:val="100"/>
          <w:position w:val="0"/>
          <w:sz w:val="19"/>
          <w:szCs w:val="19"/>
        </w:rPr>
        <w:fldChar w:fldCharType="end"/>
      </w:r>
    </w:p>
    <w:p w14:paraId="15713480">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山东省国际信托股份有限公司与田佳灵执行异议之诉纠纷案丨湖北省宜昌市中级人</w:t>
      </w:r>
    </w:p>
    <w:p w14:paraId="64B9EC28">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）鄂</w:t>
      </w:r>
      <w:r>
        <w:rPr>
          <w:rFonts w:ascii="Times New Roman" w:hAnsi="Times New Roman" w:eastAsia="Times New Roman" w:cs="Times New Roman"/>
          <w:color w:val="000000"/>
          <w:spacing w:val="0"/>
          <w:w w:val="100"/>
          <w:position w:val="0"/>
          <w:sz w:val="17"/>
          <w:szCs w:val="17"/>
        </w:rPr>
        <w:t>05</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776</w:t>
      </w:r>
      <w:r>
        <w:rPr>
          <w:color w:val="000000"/>
          <w:spacing w:val="0"/>
          <w:w w:val="100"/>
          <w:position w:val="0"/>
        </w:rPr>
        <w:t>号民事判决书</w:t>
      </w:r>
    </w:p>
    <w:p w14:paraId="783FD3B8">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fldChar w:fldCharType="begin"/>
      </w:r>
      <w:r>
        <w:instrText xml:space="preserve"> HYPERLINK \l "bookmark309" \o "Current Document" \h </w:instrText>
      </w:r>
      <w:r>
        <w:fldChar w:fldCharType="separate"/>
      </w:r>
      <w:r>
        <w:rPr>
          <w:rFonts w:ascii="Times New Roman" w:hAnsi="Times New Roman" w:eastAsia="Times New Roman" w:cs="Times New Roman"/>
          <w:color w:val="000000"/>
          <w:spacing w:val="0"/>
          <w:w w:val="100"/>
          <w:position w:val="0"/>
          <w:sz w:val="19"/>
          <w:szCs w:val="19"/>
        </w:rPr>
        <w:t>046</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主债权诉讼时效期间届满抵押权是否消灭</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程 啸</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226</w:t>
      </w:r>
      <w:r>
        <w:rPr>
          <w:rFonts w:ascii="Times New Roman" w:hAnsi="Times New Roman" w:eastAsia="Times New Roman" w:cs="Times New Roman"/>
          <w:color w:val="000000"/>
          <w:spacing w:val="0"/>
          <w:w w:val="100"/>
          <w:position w:val="0"/>
          <w:sz w:val="19"/>
          <w:szCs w:val="19"/>
        </w:rPr>
        <w:fldChar w:fldCharType="end"/>
      </w:r>
    </w:p>
    <w:p w14:paraId="39190502">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王军诉李睿抵押合同纠纷案丨《最高人民法院公报》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2FDEB8B6">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047</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最高额担保中“最高额</w:t>
      </w:r>
      <w:r>
        <w:rPr>
          <w:color w:val="000000"/>
          <w:spacing w:val="0"/>
          <w:w w:val="100"/>
          <w:position w:val="0"/>
          <w:sz w:val="18"/>
          <w:szCs w:val="18"/>
          <w:lang w:val="zh-CN" w:eastAsia="zh-CN" w:bidi="zh-CN"/>
        </w:rPr>
        <w:t>”含义</w:t>
      </w:r>
      <w:r>
        <w:rPr>
          <w:color w:val="000000"/>
          <w:spacing w:val="0"/>
          <w:w w:val="100"/>
          <w:position w:val="0"/>
          <w:sz w:val="18"/>
          <w:szCs w:val="18"/>
        </w:rPr>
        <w:t>的确定</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黄 忠</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231</w:t>
      </w:r>
    </w:p>
    <w:p w14:paraId="72DA4173">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珠海农村商业银行股份有限公司、冯潇金融借款合同纠纷案丨广东省珠海市中级人民</w:t>
      </w:r>
    </w:p>
    <w:p w14:paraId="73C3E7E1">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粤</w:t>
      </w:r>
      <w:r>
        <w:rPr>
          <w:rFonts w:ascii="Times New Roman" w:hAnsi="Times New Roman" w:eastAsia="Times New Roman" w:cs="Times New Roman"/>
          <w:color w:val="000000"/>
          <w:spacing w:val="0"/>
          <w:w w:val="100"/>
          <w:position w:val="0"/>
          <w:sz w:val="17"/>
          <w:szCs w:val="17"/>
        </w:rPr>
        <w:t>04</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1261</w:t>
      </w:r>
      <w:r>
        <w:rPr>
          <w:color w:val="000000"/>
          <w:spacing w:val="0"/>
          <w:w w:val="100"/>
          <w:position w:val="0"/>
        </w:rPr>
        <w:t>号民事判决书</w:t>
      </w:r>
    </w:p>
    <w:p w14:paraId="11E00E7D">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048</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流质条款的效力</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陈永强</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236</w:t>
      </w:r>
    </w:p>
    <w:p w14:paraId="04557EED">
      <w:pPr>
        <w:pStyle w:val="23"/>
        <w:keepNext w:val="0"/>
        <w:keepLines w:val="0"/>
        <w:widowControl w:val="0"/>
        <w:shd w:val="clear" w:color="auto" w:fill="auto"/>
        <w:bidi w:val="0"/>
        <w:spacing w:before="0" w:after="0" w:line="310" w:lineRule="exact"/>
        <w:ind w:left="0" w:right="0"/>
        <w:jc w:val="left"/>
        <w:rPr>
          <w:sz w:val="17"/>
          <w:szCs w:val="17"/>
        </w:rPr>
      </w:pPr>
      <w:r>
        <w:rPr>
          <w:color w:val="000000"/>
          <w:spacing w:val="0"/>
          <w:w w:val="100"/>
          <w:position w:val="0"/>
          <w:sz w:val="18"/>
          <w:szCs w:val="18"/>
        </w:rPr>
        <w:t>唐虎威与陈小建、魏子杨和费俊玮质押合同纠纷案丨北京市第二中级人民法院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p>
    <w:p w14:paraId="6444E269">
      <w:pPr>
        <w:pStyle w:val="23"/>
        <w:keepNext w:val="0"/>
        <w:keepLines w:val="0"/>
        <w:widowControl w:val="0"/>
        <w:shd w:val="clear" w:color="auto" w:fill="auto"/>
        <w:bidi w:val="0"/>
        <w:spacing w:before="0" w:after="140" w:line="310" w:lineRule="exact"/>
        <w:ind w:left="0" w:right="0"/>
        <w:jc w:val="left"/>
      </w:pP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6873</w:t>
      </w:r>
      <w:r>
        <w:rPr>
          <w:color w:val="000000"/>
          <w:spacing w:val="0"/>
          <w:w w:val="100"/>
          <w:position w:val="0"/>
        </w:rPr>
        <w:t>号民事判决书</w:t>
      </w:r>
    </w:p>
    <w:p w14:paraId="3E5ACEF2">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049</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特许经营项目收益权质押的效力认定</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高圣平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241</w:t>
      </w:r>
    </w:p>
    <w:p w14:paraId="5D60B859">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福建海峡银行股份有限公司福州五一支行与长乐亚新污水处理有限公司、福州市政工</w:t>
      </w:r>
    </w:p>
    <w:p w14:paraId="202CA9E8">
      <w:pPr>
        <w:pStyle w:val="23"/>
        <w:keepNext w:val="0"/>
        <w:keepLines w:val="0"/>
        <w:widowControl w:val="0"/>
        <w:shd w:val="clear" w:color="auto" w:fill="auto"/>
        <w:bidi w:val="0"/>
        <w:spacing w:before="0" w:after="140" w:line="310" w:lineRule="exact"/>
        <w:ind w:left="0" w:right="0"/>
        <w:jc w:val="left"/>
      </w:pPr>
      <w:r>
        <w:rPr>
          <w:color w:val="000000"/>
          <w:spacing w:val="0"/>
          <w:w w:val="100"/>
          <w:position w:val="0"/>
        </w:rPr>
        <w:t>程有限公司借款合同纠纷案</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最高人民法院第</w:t>
      </w:r>
      <w:r>
        <w:rPr>
          <w:rFonts w:ascii="Times New Roman" w:hAnsi="Times New Roman" w:eastAsia="Times New Roman" w:cs="Times New Roman"/>
          <w:color w:val="000000"/>
          <w:spacing w:val="0"/>
          <w:w w:val="100"/>
          <w:position w:val="0"/>
          <w:sz w:val="17"/>
          <w:szCs w:val="17"/>
        </w:rPr>
        <w:t>53</w:t>
      </w:r>
      <w:r>
        <w:rPr>
          <w:color w:val="000000"/>
          <w:spacing w:val="0"/>
          <w:w w:val="100"/>
          <w:position w:val="0"/>
        </w:rPr>
        <w:t>号指导性案例</w:t>
      </w:r>
    </w:p>
    <w:p w14:paraId="266B7437">
      <w:pPr>
        <w:pStyle w:val="23"/>
        <w:keepNext w:val="0"/>
        <w:keepLines w:val="0"/>
        <w:widowControl w:val="0"/>
        <w:shd w:val="clear" w:color="auto" w:fill="auto"/>
        <w:tabs>
          <w:tab w:val="left" w:pos="560"/>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050</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保证金账户质押的设立要件</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高圣平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246</w:t>
      </w:r>
    </w:p>
    <w:p w14:paraId="3D940677">
      <w:pPr>
        <w:pStyle w:val="23"/>
        <w:keepNext w:val="0"/>
        <w:keepLines w:val="0"/>
        <w:widowControl w:val="0"/>
        <w:shd w:val="clear" w:color="auto" w:fill="auto"/>
        <w:bidi w:val="0"/>
        <w:spacing w:before="0" w:after="0" w:line="310" w:lineRule="exact"/>
        <w:ind w:left="0" w:right="0"/>
        <w:jc w:val="left"/>
      </w:pPr>
      <w:r>
        <w:rPr>
          <w:color w:val="000000"/>
          <w:spacing w:val="0"/>
          <w:w w:val="100"/>
          <w:position w:val="0"/>
        </w:rPr>
        <w:t>中国农业发展银行安徽省分行诉张大标、安徽长江融资担保集团有限公司执行异议之</w:t>
      </w:r>
    </w:p>
    <w:p w14:paraId="53C545E2">
      <w:pPr>
        <w:pStyle w:val="23"/>
        <w:keepNext w:val="0"/>
        <w:keepLines w:val="0"/>
        <w:widowControl w:val="0"/>
        <w:shd w:val="clear" w:color="auto" w:fill="auto"/>
        <w:bidi w:val="0"/>
        <w:spacing w:before="0" w:after="720" w:line="310" w:lineRule="exact"/>
        <w:ind w:left="0" w:right="0"/>
        <w:jc w:val="left"/>
      </w:pPr>
      <w:r>
        <w:rPr>
          <w:color w:val="000000"/>
          <w:spacing w:val="0"/>
          <w:w w:val="100"/>
          <w:position w:val="0"/>
        </w:rPr>
        <w:t>诉纠纷案</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最高人民法院第</w:t>
      </w:r>
      <w:r>
        <w:rPr>
          <w:rFonts w:ascii="Times New Roman" w:hAnsi="Times New Roman" w:eastAsia="Times New Roman" w:cs="Times New Roman"/>
          <w:color w:val="000000"/>
          <w:spacing w:val="0"/>
          <w:w w:val="100"/>
          <w:position w:val="0"/>
          <w:sz w:val="17"/>
          <w:szCs w:val="17"/>
        </w:rPr>
        <w:t>54</w:t>
      </w:r>
      <w:r>
        <w:rPr>
          <w:color w:val="000000"/>
          <w:spacing w:val="0"/>
          <w:w w:val="100"/>
          <w:position w:val="0"/>
        </w:rPr>
        <w:t>号指导性案</w:t>
      </w:r>
    </w:p>
    <w:p w14:paraId="67765DB4">
      <w:pPr>
        <w:pStyle w:val="23"/>
        <w:keepNext w:val="0"/>
        <w:keepLines w:val="0"/>
        <w:widowControl w:val="0"/>
        <w:shd w:val="clear" w:color="auto" w:fill="auto"/>
        <w:bidi w:val="0"/>
        <w:spacing w:before="0" w:after="380" w:line="310" w:lineRule="exact"/>
        <w:ind w:left="0" w:right="0" w:firstLine="0"/>
        <w:jc w:val="left"/>
        <w:rPr>
          <w:sz w:val="22"/>
          <w:szCs w:val="22"/>
        </w:rPr>
      </w:pPr>
      <w:r>
        <w:rPr>
          <w:color w:val="000000"/>
          <w:spacing w:val="0"/>
          <w:w w:val="100"/>
          <w:position w:val="0"/>
          <w:sz w:val="22"/>
          <w:szCs w:val="22"/>
          <w:lang w:val="en-US" w:eastAsia="en-US" w:bidi="en-US"/>
        </w:rPr>
        <w:t>—</w:t>
      </w:r>
      <w:r>
        <w:rPr>
          <w:color w:val="000000"/>
          <w:spacing w:val="0"/>
          <w:w w:val="100"/>
          <w:position w:val="0"/>
          <w:sz w:val="22"/>
          <w:szCs w:val="22"/>
          <w:lang w:val="zh-CN" w:eastAsia="zh-CN" w:bidi="zh-CN"/>
        </w:rPr>
        <w:t>耕州</w:t>
      </w:r>
      <w:r>
        <w:rPr>
          <w:rFonts w:ascii="Times New Roman" w:hAnsi="Times New Roman" w:eastAsia="Times New Roman" w:cs="Times New Roman"/>
          <w:color w:val="000000"/>
          <w:spacing w:val="0"/>
          <w:w w:val="100"/>
          <w:position w:val="0"/>
          <w:sz w:val="17"/>
          <w:szCs w:val="17"/>
          <w:lang w:val="zh-CN" w:eastAsia="zh-CN" w:bidi="zh-CN"/>
        </w:rPr>
        <w:t>1</w:t>
      </w:r>
      <w:r>
        <w:rPr>
          <w:color w:val="000000"/>
          <w:spacing w:val="0"/>
          <w:w w:val="100"/>
          <w:position w:val="0"/>
          <w:sz w:val="22"/>
          <w:szCs w:val="22"/>
        </w:rPr>
        <w:t>剛■敏略合囱</w:t>
      </w:r>
      <w:r>
        <w:rPr>
          <w:color w:val="000000"/>
          <w:spacing w:val="0"/>
          <w:w w:val="100"/>
          <w:position w:val="0"/>
          <w:sz w:val="22"/>
          <w:szCs w:val="22"/>
          <w:lang w:val="en-US" w:eastAsia="en-US" w:bidi="en-US"/>
        </w:rPr>
        <w:t>"</w:t>
      </w:r>
      <w:r>
        <w:rPr>
          <w:color w:val="000000"/>
          <w:spacing w:val="0"/>
          <w:w w:val="100"/>
          <w:position w:val="0"/>
          <w:sz w:val="22"/>
          <w:szCs w:val="22"/>
        </w:rPr>
        <w:t>磁—</w:t>
      </w:r>
    </w:p>
    <w:p w14:paraId="7D184071">
      <w:pPr>
        <w:pStyle w:val="23"/>
        <w:keepNext w:val="0"/>
        <w:keepLines w:val="0"/>
        <w:widowControl w:val="0"/>
        <w:shd w:val="clear" w:color="auto" w:fill="auto"/>
        <w:tabs>
          <w:tab w:val="left" w:pos="7514"/>
        </w:tabs>
        <w:bidi w:val="0"/>
        <w:spacing w:before="0" w:after="0" w:line="310" w:lineRule="exact"/>
        <w:ind w:left="0" w:right="0" w:firstLine="0"/>
        <w:jc w:val="left"/>
        <w:rPr>
          <w:sz w:val="19"/>
          <w:szCs w:val="19"/>
        </w:rPr>
      </w:pPr>
      <w:r>
        <w:rPr>
          <w:rFonts w:ascii="Times New Roman" w:hAnsi="Times New Roman" w:eastAsia="Times New Roman" w:cs="Times New Roman"/>
          <w:color w:val="000000"/>
          <w:spacing w:val="0"/>
          <w:w w:val="100"/>
          <w:position w:val="0"/>
          <w:sz w:val="19"/>
          <w:szCs w:val="19"/>
        </w:rPr>
        <w:t>051</w:t>
      </w:r>
      <w:r>
        <w:rPr>
          <w:color w:val="000000"/>
          <w:spacing w:val="0"/>
          <w:w w:val="100"/>
          <w:position w:val="0"/>
          <w:sz w:val="18"/>
          <w:szCs w:val="18"/>
        </w:rPr>
        <w:t>「身份关系协议的法律适用</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8"/>
          <w:szCs w:val="18"/>
        </w:rPr>
        <w:t>王雷</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251</w:t>
      </w:r>
      <w:r>
        <w:fldChar w:fldCharType="end"/>
      </w:r>
    </w:p>
    <w:p w14:paraId="0D8C0B08">
      <w:pPr>
        <w:pStyle w:val="17"/>
        <w:keepNext w:val="0"/>
        <w:keepLines w:val="0"/>
        <w:widowControl w:val="0"/>
        <w:shd w:val="clear" w:color="auto" w:fill="auto"/>
        <w:bidi w:val="0"/>
        <w:spacing w:before="0" w:after="0" w:line="310" w:lineRule="exact"/>
        <w:ind w:left="0" w:right="0" w:firstLine="580"/>
        <w:jc w:val="left"/>
      </w:pPr>
      <w:r>
        <w:rPr>
          <w:color w:val="000000"/>
          <w:spacing w:val="0"/>
          <w:w w:val="100"/>
          <w:position w:val="0"/>
        </w:rPr>
        <w:t>李某某诉王某某离婚后财产纠纷案丨北京市第二中级人民法院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二中民终字第</w:t>
      </w:r>
    </w:p>
    <w:p w14:paraId="51755179">
      <w:pPr>
        <w:pStyle w:val="17"/>
        <w:keepNext w:val="0"/>
        <w:keepLines w:val="0"/>
        <w:widowControl w:val="0"/>
        <w:shd w:val="clear" w:color="auto" w:fill="auto"/>
        <w:bidi w:val="0"/>
        <w:spacing w:before="0" w:after="0" w:line="310" w:lineRule="exact"/>
        <w:ind w:left="0" w:right="0" w:firstLine="520"/>
        <w:jc w:val="left"/>
      </w:pP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rPr>
        <w:t>09734</w:t>
      </w:r>
      <w:r>
        <w:rPr>
          <w:color w:val="000000"/>
          <w:spacing w:val="0"/>
          <w:w w:val="100"/>
          <w:position w:val="0"/>
        </w:rPr>
        <w:t>号民事判决书</w:t>
      </w:r>
    </w:p>
    <w:p w14:paraId="39436610">
      <w:pPr>
        <w:pStyle w:val="23"/>
        <w:keepNext w:val="0"/>
        <w:keepLines w:val="0"/>
        <w:widowControl w:val="0"/>
        <w:shd w:val="clear" w:color="auto" w:fill="auto"/>
        <w:tabs>
          <w:tab w:val="left" w:pos="7810"/>
        </w:tabs>
        <w:bidi w:val="0"/>
        <w:spacing w:before="0" w:after="120" w:line="329" w:lineRule="exact"/>
        <w:ind w:left="0" w:right="0" w:firstLine="900"/>
        <w:jc w:val="both"/>
        <w:rPr>
          <w:sz w:val="19"/>
          <w:szCs w:val="19"/>
        </w:rPr>
      </w:pPr>
      <w:r>
        <w:fldChar w:fldCharType="begin"/>
      </w:r>
      <w:r>
        <w:instrText xml:space="preserve"> TOC \o "1-5" \h \z </w:instrText>
      </w:r>
      <w:r>
        <w:fldChar w:fldCharType="separate"/>
      </w:r>
      <w:r>
        <w:fldChar w:fldCharType="begin"/>
      </w:r>
      <w:r>
        <w:instrText xml:space="preserve"> HYPERLINK \l "bookmark339" \o "Current Document" \h </w:instrText>
      </w:r>
      <w:r>
        <w:fldChar w:fldCharType="separate"/>
      </w:r>
      <w:r>
        <w:rPr>
          <w:color w:val="000000"/>
          <w:spacing w:val="0"/>
          <w:w w:val="100"/>
          <w:position w:val="0"/>
          <w:sz w:val="18"/>
          <w:szCs w:val="18"/>
        </w:rPr>
        <w:t>混合合同的法律适用规则/许中缘</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256</w:t>
      </w:r>
      <w:r>
        <w:rPr>
          <w:rFonts w:ascii="Times New Roman" w:hAnsi="Times New Roman" w:eastAsia="Times New Roman" w:cs="Times New Roman"/>
          <w:color w:val="000000"/>
          <w:spacing w:val="0"/>
          <w:w w:val="100"/>
          <w:position w:val="0"/>
          <w:sz w:val="19"/>
          <w:szCs w:val="19"/>
        </w:rPr>
        <w:fldChar w:fldCharType="end"/>
      </w:r>
    </w:p>
    <w:p w14:paraId="4FF5B3F9">
      <w:pPr>
        <w:pStyle w:val="23"/>
        <w:keepNext w:val="0"/>
        <w:keepLines w:val="0"/>
        <w:widowControl w:val="0"/>
        <w:shd w:val="clear" w:color="auto" w:fill="auto"/>
        <w:bidi w:val="0"/>
        <w:spacing w:before="0" w:after="120" w:line="240" w:lineRule="auto"/>
        <w:ind w:left="0" w:right="0" w:firstLine="900"/>
        <w:jc w:val="left"/>
      </w:pPr>
      <w:r>
        <w:rPr>
          <w:color w:val="000000"/>
          <w:spacing w:val="0"/>
          <w:w w:val="100"/>
          <w:position w:val="0"/>
        </w:rPr>
        <w:t>宏大中源太阳能股份有限公司与湖南红太阳光电科技有限公司买卖合同纠纷再审案</w:t>
      </w:r>
    </w:p>
    <w:p w14:paraId="705C5829">
      <w:pPr>
        <w:pStyle w:val="23"/>
        <w:keepNext w:val="0"/>
        <w:keepLines w:val="0"/>
        <w:widowControl w:val="0"/>
        <w:shd w:val="clear" w:color="auto" w:fill="auto"/>
        <w:bidi w:val="0"/>
        <w:spacing w:before="0" w:after="120" w:line="240" w:lineRule="auto"/>
        <w:ind w:left="0" w:right="0" w:firstLine="980"/>
        <w:jc w:val="left"/>
      </w:pPr>
      <w:r>
        <w:rPr>
          <w:rFonts w:ascii="Times New Roman" w:hAnsi="Times New Roman" w:eastAsia="Times New Roman" w:cs="Times New Roman"/>
          <w:color w:val="000000"/>
          <w:spacing w:val="0"/>
          <w:w w:val="100"/>
          <w:position w:val="0"/>
          <w:sz w:val="17"/>
          <w:szCs w:val="17"/>
        </w:rPr>
        <w:t>I</w:t>
      </w:r>
      <w:r>
        <w:rPr>
          <w:color w:val="000000"/>
          <w:spacing w:val="0"/>
          <w:w w:val="100"/>
          <w:position w:val="0"/>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4300</w:t>
      </w:r>
      <w:r>
        <w:rPr>
          <w:color w:val="000000"/>
          <w:spacing w:val="0"/>
          <w:w w:val="100"/>
          <w:position w:val="0"/>
        </w:rPr>
        <w:t>号</w:t>
      </w:r>
    </w:p>
    <w:p w14:paraId="44FD3C88">
      <w:pPr>
        <w:pStyle w:val="23"/>
        <w:keepNext w:val="0"/>
        <w:keepLines w:val="0"/>
        <w:widowControl w:val="0"/>
        <w:shd w:val="clear" w:color="auto" w:fill="auto"/>
        <w:tabs>
          <w:tab w:val="left" w:pos="7810"/>
        </w:tabs>
        <w:bidi w:val="0"/>
        <w:spacing w:before="0" w:after="0" w:line="329" w:lineRule="exact"/>
        <w:ind w:left="0" w:right="0" w:firstLine="900"/>
        <w:jc w:val="left"/>
        <w:rPr>
          <w:sz w:val="19"/>
          <w:szCs w:val="19"/>
        </w:rPr>
      </w:pPr>
      <w:r>
        <w:fldChar w:fldCharType="begin"/>
      </w:r>
      <w:r>
        <w:instrText xml:space="preserve"> HYPERLINK \l "bookmark342" \o "Current Document" \h </w:instrText>
      </w:r>
      <w:r>
        <w:fldChar w:fldCharType="separate"/>
      </w:r>
      <w:r>
        <w:rPr>
          <w:color w:val="000000"/>
          <w:spacing w:val="0"/>
          <w:w w:val="100"/>
          <w:position w:val="0"/>
          <w:sz w:val="18"/>
          <w:szCs w:val="18"/>
        </w:rPr>
        <w:t>合同联立的认定及其法律适用/陆青</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261</w:t>
      </w:r>
      <w:r>
        <w:rPr>
          <w:rFonts w:ascii="Times New Roman" w:hAnsi="Times New Roman" w:eastAsia="Times New Roman" w:cs="Times New Roman"/>
          <w:color w:val="000000"/>
          <w:spacing w:val="0"/>
          <w:w w:val="100"/>
          <w:position w:val="0"/>
          <w:sz w:val="19"/>
          <w:szCs w:val="19"/>
        </w:rPr>
        <w:fldChar w:fldCharType="end"/>
      </w:r>
    </w:p>
    <w:p w14:paraId="23EC15F0">
      <w:pPr>
        <w:pStyle w:val="23"/>
        <w:keepNext w:val="0"/>
        <w:keepLines w:val="0"/>
        <w:widowControl w:val="0"/>
        <w:shd w:val="clear" w:color="auto" w:fill="auto"/>
        <w:bidi w:val="0"/>
        <w:spacing w:before="0" w:after="0" w:line="329" w:lineRule="exact"/>
        <w:ind w:left="0" w:right="0" w:firstLine="900"/>
        <w:jc w:val="left"/>
      </w:pPr>
      <w:r>
        <w:rPr>
          <w:color w:val="000000"/>
          <w:spacing w:val="0"/>
          <w:w w:val="100"/>
          <w:position w:val="0"/>
        </w:rPr>
        <w:t>牟定兄弟矿业有限责任公司、云南德胜钢铁有限公司民间借贷纠纷案丨最高人民法院</w:t>
      </w:r>
    </w:p>
    <w:p w14:paraId="02315715">
      <w:pPr>
        <w:pStyle w:val="23"/>
        <w:keepNext w:val="0"/>
        <w:keepLines w:val="0"/>
        <w:widowControl w:val="0"/>
        <w:shd w:val="clear" w:color="auto" w:fill="auto"/>
        <w:bidi w:val="0"/>
        <w:spacing w:before="0" w:after="120" w:line="329" w:lineRule="exact"/>
        <w:ind w:left="0" w:right="0" w:firstLine="900"/>
        <w:jc w:val="left"/>
      </w:pP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862</w:t>
      </w:r>
      <w:r>
        <w:rPr>
          <w:color w:val="000000"/>
          <w:spacing w:val="0"/>
          <w:w w:val="100"/>
          <w:position w:val="0"/>
        </w:rPr>
        <w:t>号民事裁定书</w:t>
      </w:r>
    </w:p>
    <w:p w14:paraId="0FB1F16C">
      <w:pPr>
        <w:pStyle w:val="23"/>
        <w:keepNext w:val="0"/>
        <w:keepLines w:val="0"/>
        <w:widowControl w:val="0"/>
        <w:shd w:val="clear" w:color="auto" w:fill="auto"/>
        <w:tabs>
          <w:tab w:val="left" w:pos="7810"/>
        </w:tabs>
        <w:bidi w:val="0"/>
        <w:spacing w:before="0" w:after="0" w:line="329" w:lineRule="exact"/>
        <w:ind w:left="0" w:right="0" w:firstLine="900"/>
        <w:jc w:val="both"/>
        <w:rPr>
          <w:sz w:val="19"/>
          <w:szCs w:val="19"/>
        </w:rPr>
      </w:pPr>
      <w:r>
        <w:fldChar w:fldCharType="begin"/>
      </w:r>
      <w:r>
        <w:instrText xml:space="preserve"> HYPERLINK \l "bookmark348" \o "Current Document" \h </w:instrText>
      </w:r>
      <w:r>
        <w:fldChar w:fldCharType="separate"/>
      </w:r>
      <w:r>
        <w:rPr>
          <w:color w:val="000000"/>
          <w:spacing w:val="0"/>
          <w:w w:val="100"/>
          <w:position w:val="0"/>
          <w:sz w:val="18"/>
          <w:szCs w:val="18"/>
        </w:rPr>
        <w:t>预约的认定及违约责任/李俊</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266</w:t>
      </w:r>
      <w:r>
        <w:rPr>
          <w:rFonts w:ascii="Times New Roman" w:hAnsi="Times New Roman" w:eastAsia="Times New Roman" w:cs="Times New Roman"/>
          <w:color w:val="000000"/>
          <w:spacing w:val="0"/>
          <w:w w:val="100"/>
          <w:position w:val="0"/>
          <w:sz w:val="19"/>
          <w:szCs w:val="19"/>
        </w:rPr>
        <w:fldChar w:fldCharType="end"/>
      </w:r>
    </w:p>
    <w:p w14:paraId="337D1CD2">
      <w:pPr>
        <w:pStyle w:val="23"/>
        <w:keepNext w:val="0"/>
        <w:keepLines w:val="0"/>
        <w:widowControl w:val="0"/>
        <w:shd w:val="clear" w:color="auto" w:fill="auto"/>
        <w:bidi w:val="0"/>
        <w:spacing w:before="0" w:after="0" w:line="329" w:lineRule="exact"/>
        <w:ind w:left="0" w:right="0" w:firstLine="900"/>
        <w:jc w:val="both"/>
      </w:pPr>
      <w:r>
        <w:rPr>
          <w:color w:val="000000"/>
          <w:spacing w:val="0"/>
          <w:w w:val="100"/>
          <w:position w:val="0"/>
        </w:rPr>
        <w:t>成都讯捷通讯连锁有限公司与四川蜀都实业有限责任公司、四川友利投资控股股份有</w:t>
      </w:r>
    </w:p>
    <w:p w14:paraId="507E546B">
      <w:pPr>
        <w:pStyle w:val="23"/>
        <w:keepNext w:val="0"/>
        <w:keepLines w:val="0"/>
        <w:widowControl w:val="0"/>
        <w:shd w:val="clear" w:color="auto" w:fill="auto"/>
        <w:bidi w:val="0"/>
        <w:spacing w:before="0" w:after="120" w:line="329" w:lineRule="exact"/>
        <w:ind w:left="0" w:right="0" w:firstLine="900"/>
        <w:jc w:val="both"/>
      </w:pPr>
      <w:r>
        <w:rPr>
          <w:color w:val="000000"/>
          <w:spacing w:val="0"/>
          <w:w w:val="100"/>
          <w:position w:val="0"/>
        </w:rPr>
        <w:t>限公司房屋买卖合同纠纷案丨《最高人民法院公报》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9735919">
      <w:pPr>
        <w:pStyle w:val="23"/>
        <w:keepNext w:val="0"/>
        <w:keepLines w:val="0"/>
        <w:widowControl w:val="0"/>
        <w:shd w:val="clear" w:color="auto" w:fill="auto"/>
        <w:tabs>
          <w:tab w:val="left" w:pos="7810"/>
        </w:tabs>
        <w:bidi w:val="0"/>
        <w:spacing w:before="0" w:after="0" w:line="329" w:lineRule="exact"/>
        <w:ind w:left="0" w:right="0" w:firstLine="900"/>
        <w:jc w:val="left"/>
        <w:rPr>
          <w:sz w:val="19"/>
          <w:szCs w:val="19"/>
        </w:rPr>
      </w:pPr>
      <w:r>
        <w:fldChar w:fldCharType="begin"/>
      </w:r>
      <w:r>
        <w:instrText xml:space="preserve"> HYPERLINK \l "bookmark354" \o "Current Document" \h </w:instrText>
      </w:r>
      <w:r>
        <w:fldChar w:fldCharType="separate"/>
      </w:r>
      <w:r>
        <w:rPr>
          <w:color w:val="000000"/>
          <w:spacing w:val="0"/>
          <w:w w:val="100"/>
          <w:position w:val="0"/>
          <w:sz w:val="18"/>
          <w:szCs w:val="18"/>
        </w:rPr>
        <w:t>悬赏广告的解释规则/施鸿鹏</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271</w:t>
      </w:r>
      <w:r>
        <w:rPr>
          <w:rFonts w:ascii="Times New Roman" w:hAnsi="Times New Roman" w:eastAsia="Times New Roman" w:cs="Times New Roman"/>
          <w:color w:val="000000"/>
          <w:spacing w:val="0"/>
          <w:w w:val="100"/>
          <w:position w:val="0"/>
          <w:sz w:val="19"/>
          <w:szCs w:val="19"/>
        </w:rPr>
        <w:fldChar w:fldCharType="end"/>
      </w:r>
    </w:p>
    <w:p w14:paraId="5B827FFE">
      <w:pPr>
        <w:pStyle w:val="23"/>
        <w:keepNext w:val="0"/>
        <w:keepLines w:val="0"/>
        <w:widowControl w:val="0"/>
        <w:shd w:val="clear" w:color="auto" w:fill="auto"/>
        <w:bidi w:val="0"/>
        <w:spacing w:before="0" w:after="120" w:line="329" w:lineRule="exact"/>
        <w:ind w:left="0" w:right="0" w:firstLine="900"/>
        <w:jc w:val="left"/>
      </w:pPr>
      <w:r>
        <w:rPr>
          <w:color w:val="000000"/>
          <w:spacing w:val="0"/>
          <w:w w:val="100"/>
          <w:position w:val="0"/>
        </w:rPr>
        <w:t>鲁瑞庚诉东港市公安局悬赏广告纠纷案丨《最高人民法院公报</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D6D98AA">
      <w:pPr>
        <w:pStyle w:val="23"/>
        <w:keepNext w:val="0"/>
        <w:keepLines w:val="0"/>
        <w:widowControl w:val="0"/>
        <w:shd w:val="clear" w:color="auto" w:fill="auto"/>
        <w:tabs>
          <w:tab w:val="left" w:pos="7810"/>
        </w:tabs>
        <w:bidi w:val="0"/>
        <w:spacing w:before="0" w:after="0" w:line="329" w:lineRule="exact"/>
        <w:ind w:left="0" w:right="0" w:firstLine="900"/>
        <w:jc w:val="both"/>
        <w:rPr>
          <w:sz w:val="19"/>
          <w:szCs w:val="19"/>
        </w:rPr>
      </w:pPr>
      <w:r>
        <w:rPr>
          <w:color w:val="000000"/>
          <w:spacing w:val="0"/>
          <w:w w:val="100"/>
          <w:position w:val="0"/>
          <w:sz w:val="18"/>
          <w:szCs w:val="18"/>
        </w:rPr>
        <w:t>恶意磋商的认定/尚连杰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276</w:t>
      </w:r>
    </w:p>
    <w:p w14:paraId="7FC61CEB">
      <w:pPr>
        <w:pStyle w:val="23"/>
        <w:keepNext w:val="0"/>
        <w:keepLines w:val="0"/>
        <w:widowControl w:val="0"/>
        <w:shd w:val="clear" w:color="auto" w:fill="auto"/>
        <w:bidi w:val="0"/>
        <w:spacing w:before="0" w:after="0" w:line="329" w:lineRule="exact"/>
        <w:ind w:left="0" w:right="0" w:firstLine="900"/>
        <w:jc w:val="both"/>
      </w:pPr>
      <w:r>
        <w:rPr>
          <w:color w:val="000000"/>
          <w:spacing w:val="0"/>
          <w:w w:val="100"/>
          <w:position w:val="0"/>
        </w:rPr>
        <w:t>陕西咸阳星云机械有限公司与彩虹集团电子股份有限公司缔约过失责任纠纷上诉案</w:t>
      </w:r>
    </w:p>
    <w:p w14:paraId="3A433B5B">
      <w:pPr>
        <w:pStyle w:val="23"/>
        <w:keepNext w:val="0"/>
        <w:keepLines w:val="0"/>
        <w:widowControl w:val="0"/>
        <w:shd w:val="clear" w:color="auto" w:fill="auto"/>
        <w:bidi w:val="0"/>
        <w:spacing w:before="0" w:after="120" w:line="329" w:lineRule="exact"/>
        <w:ind w:left="0" w:right="0" w:firstLine="980"/>
        <w:jc w:val="left"/>
      </w:pPr>
      <w:r>
        <w:rPr>
          <w:rFonts w:ascii="Times New Roman" w:hAnsi="Times New Roman" w:eastAsia="Times New Roman" w:cs="Times New Roman"/>
          <w:color w:val="000000"/>
          <w:spacing w:val="0"/>
          <w:w w:val="100"/>
          <w:position w:val="0"/>
          <w:sz w:val="17"/>
          <w:szCs w:val="17"/>
        </w:rPr>
        <w:t>I</w:t>
      </w:r>
      <w:r>
        <w:rPr>
          <w:color w:val="000000"/>
          <w:spacing w:val="0"/>
          <w:w w:val="100"/>
          <w:position w:val="0"/>
        </w:rPr>
        <w:t>最高人民法院</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号民事判决书</w:t>
      </w:r>
    </w:p>
    <w:p w14:paraId="1653FCC3">
      <w:pPr>
        <w:pStyle w:val="23"/>
        <w:keepNext w:val="0"/>
        <w:keepLines w:val="0"/>
        <w:widowControl w:val="0"/>
        <w:shd w:val="clear" w:color="auto" w:fill="auto"/>
        <w:tabs>
          <w:tab w:val="left" w:pos="7810"/>
        </w:tabs>
        <w:bidi w:val="0"/>
        <w:spacing w:before="0" w:after="0" w:line="329" w:lineRule="exact"/>
        <w:ind w:left="0" w:right="0" w:firstLine="900"/>
        <w:jc w:val="both"/>
        <w:rPr>
          <w:sz w:val="19"/>
          <w:szCs w:val="19"/>
        </w:rPr>
      </w:pPr>
      <w:r>
        <w:fldChar w:fldCharType="begin"/>
      </w:r>
      <w:r>
        <w:instrText xml:space="preserve"> HYPERLINK \l "bookmark363" \o "Current Document" \h </w:instrText>
      </w:r>
      <w:r>
        <w:fldChar w:fldCharType="separate"/>
      </w:r>
      <w:r>
        <w:rPr>
          <w:color w:val="000000"/>
          <w:spacing w:val="0"/>
          <w:w w:val="100"/>
          <w:position w:val="0"/>
          <w:sz w:val="18"/>
          <w:szCs w:val="18"/>
        </w:rPr>
        <w:t>消费者保护法上的告知义务和欺诈认定/陆青</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281</w:t>
      </w:r>
      <w:r>
        <w:rPr>
          <w:rFonts w:ascii="Times New Roman" w:hAnsi="Times New Roman" w:eastAsia="Times New Roman" w:cs="Times New Roman"/>
          <w:color w:val="000000"/>
          <w:spacing w:val="0"/>
          <w:w w:val="100"/>
          <w:position w:val="0"/>
          <w:sz w:val="19"/>
          <w:szCs w:val="19"/>
        </w:rPr>
        <w:fldChar w:fldCharType="end"/>
      </w:r>
    </w:p>
    <w:p w14:paraId="0CB41C76">
      <w:pPr>
        <w:pStyle w:val="23"/>
        <w:keepNext w:val="0"/>
        <w:keepLines w:val="0"/>
        <w:widowControl w:val="0"/>
        <w:shd w:val="clear" w:color="auto" w:fill="auto"/>
        <w:bidi w:val="0"/>
        <w:spacing w:before="0" w:after="120" w:line="329" w:lineRule="exact"/>
        <w:ind w:left="900" w:right="0" w:firstLine="20"/>
        <w:jc w:val="both"/>
      </w:pPr>
      <w:r>
        <w:rPr>
          <w:color w:val="000000"/>
          <w:spacing w:val="0"/>
          <w:w w:val="100"/>
          <w:position w:val="0"/>
        </w:rPr>
        <w:t>张莉诉北京合力华通汽车服务有限公司买卖合同纠纷案丨最高人民法院第</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号指导 性案例</w:t>
      </w:r>
    </w:p>
    <w:p w14:paraId="2170E31D">
      <w:pPr>
        <w:pStyle w:val="23"/>
        <w:keepNext w:val="0"/>
        <w:keepLines w:val="0"/>
        <w:widowControl w:val="0"/>
        <w:shd w:val="clear" w:color="auto" w:fill="auto"/>
        <w:tabs>
          <w:tab w:val="left" w:pos="7810"/>
        </w:tabs>
        <w:bidi w:val="0"/>
        <w:spacing w:before="0" w:after="120" w:line="329" w:lineRule="exact"/>
        <w:ind w:left="900" w:right="0" w:firstLine="20"/>
        <w:jc w:val="both"/>
        <w:rPr>
          <w:sz w:val="19"/>
          <w:szCs w:val="19"/>
        </w:rPr>
      </w:pPr>
      <w:r>
        <w:fldChar w:fldCharType="begin"/>
      </w:r>
      <w:r>
        <w:instrText xml:space="preserve"> HYPERLINK \l "bookmark369" \o "Current Document" \h </w:instrText>
      </w:r>
      <w:r>
        <w:fldChar w:fldCharType="separate"/>
      </w:r>
      <w:r>
        <w:rPr>
          <w:color w:val="000000"/>
          <w:spacing w:val="0"/>
          <w:w w:val="100"/>
          <w:position w:val="0"/>
          <w:sz w:val="18"/>
          <w:szCs w:val="18"/>
        </w:rPr>
        <w:t>报批义务违反之损害赔偿规则/汤文平</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286</w:t>
      </w:r>
      <w:r>
        <w:rPr>
          <w:rFonts w:ascii="Times New Roman" w:hAnsi="Times New Roman" w:eastAsia="Times New Roman" w:cs="Times New Roman"/>
          <w:color w:val="000000"/>
          <w:spacing w:val="0"/>
          <w:w w:val="100"/>
          <w:position w:val="0"/>
          <w:sz w:val="19"/>
          <w:szCs w:val="19"/>
        </w:rPr>
        <w:fldChar w:fldCharType="end"/>
      </w:r>
    </w:p>
    <w:p w14:paraId="53B37C9A">
      <w:pPr>
        <w:pStyle w:val="23"/>
        <w:keepNext w:val="0"/>
        <w:keepLines w:val="0"/>
        <w:widowControl w:val="0"/>
        <w:shd w:val="clear" w:color="auto" w:fill="auto"/>
        <w:bidi w:val="0"/>
        <w:spacing w:before="0" w:after="120" w:line="240" w:lineRule="auto"/>
        <w:ind w:left="0" w:right="0" w:firstLine="900"/>
        <w:jc w:val="left"/>
      </w:pPr>
      <w:r>
        <w:rPr>
          <w:color w:val="000000"/>
          <w:spacing w:val="0"/>
          <w:w w:val="100"/>
          <w:position w:val="0"/>
        </w:rPr>
        <w:t>深圳市标榜投资发展有限公司与鞍山市财政局股权转让纠纷案丨《最高人民法院公</w:t>
      </w:r>
    </w:p>
    <w:p w14:paraId="579E3B0B">
      <w:pPr>
        <w:pStyle w:val="23"/>
        <w:keepNext w:val="0"/>
        <w:keepLines w:val="0"/>
        <w:widowControl w:val="0"/>
        <w:shd w:val="clear" w:color="auto" w:fill="auto"/>
        <w:bidi w:val="0"/>
        <w:spacing w:before="0" w:after="120" w:line="240" w:lineRule="auto"/>
        <w:ind w:left="0" w:right="0" w:firstLine="900"/>
        <w:jc w:val="left"/>
      </w:pPr>
      <w:r>
        <w:rPr>
          <w:color w:val="000000"/>
          <w:spacing w:val="0"/>
          <w:w w:val="100"/>
          <w:position w:val="0"/>
        </w:rPr>
        <w:t>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w:t>
      </w:r>
    </w:p>
    <w:p w14:paraId="1D6088C2">
      <w:pPr>
        <w:pStyle w:val="23"/>
        <w:keepNext w:val="0"/>
        <w:keepLines w:val="0"/>
        <w:widowControl w:val="0"/>
        <w:shd w:val="clear" w:color="auto" w:fill="auto"/>
        <w:tabs>
          <w:tab w:val="left" w:pos="7810"/>
        </w:tabs>
        <w:bidi w:val="0"/>
        <w:spacing w:before="0" w:after="0" w:line="329" w:lineRule="exact"/>
        <w:ind w:left="0" w:right="0" w:firstLine="900"/>
        <w:jc w:val="both"/>
        <w:rPr>
          <w:sz w:val="19"/>
          <w:szCs w:val="19"/>
        </w:rPr>
      </w:pPr>
      <w:r>
        <w:fldChar w:fldCharType="begin"/>
      </w:r>
      <w:r>
        <w:instrText xml:space="preserve"> HYPERLINK \l "bookmark377" \o "Current Document" \h </w:instrText>
      </w:r>
      <w:r>
        <w:fldChar w:fldCharType="separate"/>
      </w:r>
      <w:r>
        <w:rPr>
          <w:color w:val="000000"/>
          <w:spacing w:val="0"/>
          <w:w w:val="100"/>
          <w:position w:val="0"/>
          <w:sz w:val="18"/>
          <w:szCs w:val="18"/>
        </w:rPr>
        <w:t>约定不明的多数人债务的推定规则/齐 云</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291</w:t>
      </w:r>
      <w:r>
        <w:rPr>
          <w:rFonts w:ascii="Times New Roman" w:hAnsi="Times New Roman" w:eastAsia="Times New Roman" w:cs="Times New Roman"/>
          <w:color w:val="000000"/>
          <w:spacing w:val="0"/>
          <w:w w:val="100"/>
          <w:position w:val="0"/>
          <w:sz w:val="19"/>
          <w:szCs w:val="19"/>
        </w:rPr>
        <w:fldChar w:fldCharType="end"/>
      </w:r>
    </w:p>
    <w:p w14:paraId="3226B770">
      <w:pPr>
        <w:pStyle w:val="23"/>
        <w:keepNext w:val="0"/>
        <w:keepLines w:val="0"/>
        <w:widowControl w:val="0"/>
        <w:shd w:val="clear" w:color="auto" w:fill="auto"/>
        <w:bidi w:val="0"/>
        <w:spacing w:before="0" w:after="0" w:line="329" w:lineRule="exact"/>
        <w:ind w:left="0" w:right="0" w:firstLine="900"/>
        <w:jc w:val="left"/>
      </w:pPr>
      <w:r>
        <w:rPr>
          <w:color w:val="000000"/>
          <w:spacing w:val="0"/>
          <w:w w:val="100"/>
          <w:position w:val="0"/>
        </w:rPr>
        <w:t>王勇与艾国保、霍建明买卖合同纠纷案丨内蒙古自治区呼伦贝尔市中级人民法院</w:t>
      </w:r>
    </w:p>
    <w:p w14:paraId="4F17B4F2">
      <w:pPr>
        <w:pStyle w:val="23"/>
        <w:keepNext w:val="0"/>
        <w:keepLines w:val="0"/>
        <w:widowControl w:val="0"/>
        <w:shd w:val="clear" w:color="auto" w:fill="auto"/>
        <w:bidi w:val="0"/>
        <w:spacing w:before="0" w:after="120" w:line="329" w:lineRule="exact"/>
        <w:ind w:left="0" w:right="0" w:firstLine="900"/>
        <w:jc w:val="both"/>
      </w:pP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呼民终字第</w:t>
      </w:r>
      <w:r>
        <w:rPr>
          <w:rFonts w:ascii="Times New Roman" w:hAnsi="Times New Roman" w:eastAsia="Times New Roman" w:cs="Times New Roman"/>
          <w:color w:val="000000"/>
          <w:spacing w:val="0"/>
          <w:w w:val="100"/>
          <w:position w:val="0"/>
          <w:sz w:val="17"/>
          <w:szCs w:val="17"/>
        </w:rPr>
        <w:t>436</w:t>
      </w:r>
      <w:r>
        <w:rPr>
          <w:color w:val="000000"/>
          <w:spacing w:val="0"/>
          <w:w w:val="100"/>
          <w:position w:val="0"/>
        </w:rPr>
        <w:t>号民事判决书</w:t>
      </w:r>
    </w:p>
    <w:p w14:paraId="5D071173">
      <w:pPr>
        <w:pStyle w:val="23"/>
        <w:keepNext w:val="0"/>
        <w:keepLines w:val="0"/>
        <w:widowControl w:val="0"/>
        <w:shd w:val="clear" w:color="auto" w:fill="auto"/>
        <w:tabs>
          <w:tab w:val="left" w:pos="7810"/>
        </w:tabs>
        <w:bidi w:val="0"/>
        <w:spacing w:before="0" w:after="0" w:line="329" w:lineRule="exact"/>
        <w:ind w:left="0" w:right="0" w:firstLine="900"/>
        <w:jc w:val="both"/>
        <w:rPr>
          <w:sz w:val="19"/>
          <w:szCs w:val="19"/>
        </w:rPr>
      </w:pPr>
      <w:r>
        <w:rPr>
          <w:color w:val="000000"/>
          <w:spacing w:val="0"/>
          <w:w w:val="100"/>
          <w:position w:val="0"/>
          <w:sz w:val="18"/>
          <w:szCs w:val="18"/>
        </w:rPr>
        <w:t>利他合同/薛军</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296</w:t>
      </w:r>
    </w:p>
    <w:p w14:paraId="2575F307">
      <w:pPr>
        <w:pStyle w:val="23"/>
        <w:keepNext w:val="0"/>
        <w:keepLines w:val="0"/>
        <w:widowControl w:val="0"/>
        <w:shd w:val="clear" w:color="auto" w:fill="auto"/>
        <w:bidi w:val="0"/>
        <w:spacing w:before="0" w:after="0" w:line="329" w:lineRule="exact"/>
        <w:ind w:left="0" w:right="0" w:firstLine="900"/>
        <w:jc w:val="both"/>
      </w:pPr>
      <w:r>
        <w:rPr>
          <w:color w:val="000000"/>
          <w:spacing w:val="0"/>
          <w:w w:val="100"/>
          <w:position w:val="0"/>
        </w:rPr>
        <w:t>黄以霞等诉王明然等买卖合同案丨江苏省宿迁市中级人民法院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宿中民二终字</w:t>
      </w:r>
    </w:p>
    <w:p w14:paraId="21649E7A">
      <w:pPr>
        <w:pStyle w:val="23"/>
        <w:keepNext w:val="0"/>
        <w:keepLines w:val="0"/>
        <w:widowControl w:val="0"/>
        <w:shd w:val="clear" w:color="auto" w:fill="auto"/>
        <w:bidi w:val="0"/>
        <w:spacing w:before="0" w:after="120" w:line="329" w:lineRule="exact"/>
        <w:ind w:left="0" w:right="0" w:firstLine="900"/>
        <w:jc w:val="left"/>
      </w:pPr>
      <w:r>
        <w:rPr>
          <w:color w:val="000000"/>
          <w:spacing w:val="0"/>
          <w:w w:val="100"/>
          <w:position w:val="0"/>
        </w:rPr>
        <w:t>第</w:t>
      </w:r>
      <w:r>
        <w:rPr>
          <w:rFonts w:ascii="Times New Roman" w:hAnsi="Times New Roman" w:eastAsia="Times New Roman" w:cs="Times New Roman"/>
          <w:color w:val="000000"/>
          <w:spacing w:val="0"/>
          <w:w w:val="100"/>
          <w:position w:val="0"/>
          <w:sz w:val="17"/>
          <w:szCs w:val="17"/>
        </w:rPr>
        <w:t>0187</w:t>
      </w:r>
      <w:r>
        <w:rPr>
          <w:color w:val="000000"/>
          <w:spacing w:val="0"/>
          <w:w w:val="100"/>
          <w:position w:val="0"/>
        </w:rPr>
        <w:t>号民事判决书</w:t>
      </w:r>
    </w:p>
    <w:p w14:paraId="162F920B">
      <w:pPr>
        <w:pStyle w:val="23"/>
        <w:keepNext w:val="0"/>
        <w:keepLines w:val="0"/>
        <w:widowControl w:val="0"/>
        <w:shd w:val="clear" w:color="auto" w:fill="auto"/>
        <w:tabs>
          <w:tab w:val="left" w:pos="7810"/>
        </w:tabs>
        <w:bidi w:val="0"/>
        <w:spacing w:before="0" w:after="120" w:line="329" w:lineRule="exact"/>
        <w:ind w:left="0" w:right="0" w:firstLine="900"/>
        <w:jc w:val="left"/>
        <w:rPr>
          <w:sz w:val="19"/>
          <w:szCs w:val="19"/>
        </w:rPr>
      </w:pPr>
      <w:r>
        <w:fldChar w:fldCharType="begin"/>
      </w:r>
      <w:r>
        <w:instrText xml:space="preserve"> HYPERLINK \l "bookmark383" \o "Current Document" \h </w:instrText>
      </w:r>
      <w:r>
        <w:fldChar w:fldCharType="separate"/>
      </w:r>
      <w:r>
        <w:rPr>
          <w:color w:val="000000"/>
          <w:spacing w:val="0"/>
          <w:w w:val="100"/>
          <w:position w:val="0"/>
          <w:sz w:val="18"/>
          <w:szCs w:val="18"/>
        </w:rPr>
        <w:t>第三人违约是否引发丧失商业信誉之不安抗辩/贺剑</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301</w:t>
      </w:r>
      <w:r>
        <w:rPr>
          <w:rFonts w:ascii="Times New Roman" w:hAnsi="Times New Roman" w:eastAsia="Times New Roman" w:cs="Times New Roman"/>
          <w:color w:val="000000"/>
          <w:spacing w:val="0"/>
          <w:w w:val="100"/>
          <w:position w:val="0"/>
          <w:sz w:val="19"/>
          <w:szCs w:val="19"/>
        </w:rPr>
        <w:fldChar w:fldCharType="end"/>
      </w:r>
    </w:p>
    <w:p w14:paraId="268D6811">
      <w:pPr>
        <w:pStyle w:val="23"/>
        <w:keepNext w:val="0"/>
        <w:keepLines w:val="0"/>
        <w:widowControl w:val="0"/>
        <w:shd w:val="clear" w:color="auto" w:fill="auto"/>
        <w:bidi w:val="0"/>
        <w:spacing w:before="0" w:after="120" w:line="240" w:lineRule="auto"/>
        <w:ind w:left="0" w:right="0" w:firstLine="900"/>
        <w:jc w:val="left"/>
      </w:pPr>
      <w:r>
        <w:rPr>
          <w:color w:val="000000"/>
          <w:spacing w:val="0"/>
          <w:w w:val="100"/>
          <w:position w:val="0"/>
        </w:rPr>
        <w:t>俞财新与福建华辰房地产有限公司、魏传瑞商品房买卖(预约)合同纠纷案丨《最高人</w:t>
      </w:r>
    </w:p>
    <w:p w14:paraId="7A2E6746">
      <w:pPr>
        <w:pStyle w:val="23"/>
        <w:keepNext w:val="0"/>
        <w:keepLines w:val="0"/>
        <w:widowControl w:val="0"/>
        <w:shd w:val="clear" w:color="auto" w:fill="auto"/>
        <w:bidi w:val="0"/>
        <w:spacing w:before="0" w:after="120" w:line="240" w:lineRule="auto"/>
        <w:ind w:left="0" w:right="0" w:firstLine="900"/>
        <w:jc w:val="left"/>
      </w:pPr>
      <w:r>
        <w:rPr>
          <w:color w:val="000000"/>
          <w:spacing w:val="0"/>
          <w:w w:val="100"/>
          <w:position w:val="0"/>
        </w:rPr>
        <w:t>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175F7454">
      <w:pPr>
        <w:pStyle w:val="23"/>
        <w:keepNext w:val="0"/>
        <w:keepLines w:val="0"/>
        <w:widowControl w:val="0"/>
        <w:shd w:val="clear" w:color="auto" w:fill="auto"/>
        <w:tabs>
          <w:tab w:val="left" w:pos="7810"/>
        </w:tabs>
        <w:bidi w:val="0"/>
        <w:spacing w:before="0" w:after="0" w:line="329" w:lineRule="exact"/>
        <w:ind w:left="0" w:right="0" w:firstLine="900"/>
        <w:jc w:val="left"/>
        <w:rPr>
          <w:sz w:val="19"/>
          <w:szCs w:val="19"/>
        </w:rPr>
      </w:pPr>
      <w:r>
        <w:fldChar w:fldCharType="begin"/>
      </w:r>
      <w:r>
        <w:instrText xml:space="preserve"> HYPERLINK \l "bookmark389" \o "Current Document" \h </w:instrText>
      </w:r>
      <w:r>
        <w:fldChar w:fldCharType="separate"/>
      </w:r>
      <w:r>
        <w:rPr>
          <w:color w:val="000000"/>
          <w:spacing w:val="0"/>
          <w:w w:val="100"/>
          <w:position w:val="0"/>
          <w:sz w:val="18"/>
          <w:szCs w:val="18"/>
        </w:rPr>
        <w:t>情势变更与不可抗力的关系问题/侯国跃</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306</w:t>
      </w:r>
      <w:r>
        <w:rPr>
          <w:rFonts w:ascii="Times New Roman" w:hAnsi="Times New Roman" w:eastAsia="Times New Roman" w:cs="Times New Roman"/>
          <w:color w:val="000000"/>
          <w:spacing w:val="0"/>
          <w:w w:val="100"/>
          <w:position w:val="0"/>
          <w:sz w:val="19"/>
          <w:szCs w:val="19"/>
        </w:rPr>
        <w:fldChar w:fldCharType="end"/>
      </w:r>
      <w:r>
        <w:fldChar w:fldCharType="end"/>
      </w:r>
    </w:p>
    <w:p w14:paraId="38337A60">
      <w:pPr>
        <w:pStyle w:val="17"/>
        <w:keepNext w:val="0"/>
        <w:keepLines w:val="0"/>
        <w:widowControl w:val="0"/>
        <w:shd w:val="clear" w:color="auto" w:fill="auto"/>
        <w:bidi w:val="0"/>
        <w:spacing w:before="0" w:after="0" w:line="329" w:lineRule="exact"/>
        <w:ind w:left="0" w:right="0" w:firstLine="900"/>
        <w:jc w:val="left"/>
      </w:pPr>
      <w:r>
        <w:rPr>
          <w:color w:val="000000"/>
          <w:spacing w:val="0"/>
          <w:w w:val="100"/>
          <w:position w:val="0"/>
        </w:rPr>
        <w:t>成都鹏伟实业有限公司与江西省永修县人民政府、永修县鄱阳湖采砂管理工作领导小</w:t>
      </w:r>
    </w:p>
    <w:p w14:paraId="06F1F0E9">
      <w:pPr>
        <w:pStyle w:val="17"/>
        <w:keepNext w:val="0"/>
        <w:keepLines w:val="0"/>
        <w:widowControl w:val="0"/>
        <w:shd w:val="clear" w:color="auto" w:fill="auto"/>
        <w:bidi w:val="0"/>
        <w:spacing w:before="0" w:after="120" w:line="329" w:lineRule="exact"/>
        <w:ind w:left="0" w:right="0" w:firstLine="900"/>
        <w:jc w:val="left"/>
        <w:sectPr>
          <w:headerReference r:id="rId20" w:type="first"/>
          <w:headerReference r:id="rId18" w:type="default"/>
          <w:headerReference r:id="rId19" w:type="even"/>
          <w:footnotePr>
            <w:numFmt w:val="decimal"/>
          </w:footnotePr>
          <w:pgSz w:w="10099" w:h="14782"/>
          <w:pgMar w:top="1342" w:right="863" w:bottom="1282" w:left="952" w:header="0" w:footer="3" w:gutter="0"/>
          <w:pgNumType w:start="11"/>
          <w:cols w:space="720" w:num="1"/>
          <w:titlePg/>
          <w:rtlGutter w:val="0"/>
          <w:docGrid w:linePitch="360" w:charSpace="0"/>
        </w:sectPr>
      </w:pPr>
      <w:r>
        <w:rPr>
          <w:color w:val="000000"/>
          <w:spacing w:val="0"/>
          <w:w w:val="100"/>
          <w:position w:val="0"/>
        </w:rPr>
        <w:t>组办公室采矿权纠纷案丨《最高人民法院公报》</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CE02F39">
      <w:pPr>
        <w:pStyle w:val="23"/>
        <w:keepNext w:val="0"/>
        <w:keepLines w:val="0"/>
        <w:widowControl w:val="0"/>
        <w:shd w:val="clear" w:color="auto" w:fill="auto"/>
        <w:tabs>
          <w:tab w:val="left" w:pos="7530"/>
        </w:tabs>
        <w:bidi w:val="0"/>
        <w:spacing w:before="0" w:line="240" w:lineRule="auto"/>
        <w:ind w:left="0" w:right="0" w:firstLine="640"/>
        <w:jc w:val="left"/>
        <w:rPr>
          <w:sz w:val="19"/>
          <w:szCs w:val="19"/>
        </w:rPr>
      </w:pPr>
      <w:r>
        <w:fldChar w:fldCharType="begin"/>
      </w:r>
      <w:r>
        <w:instrText xml:space="preserve"> TOC \o "1-5" \h \z </w:instrText>
      </w:r>
      <w:r>
        <w:fldChar w:fldCharType="separate"/>
      </w:r>
      <w:r>
        <w:fldChar w:fldCharType="begin"/>
      </w:r>
      <w:r>
        <w:instrText xml:space="preserve"> HYPERLINK \l "bookmark392" \o "Current Document" \h </w:instrText>
      </w:r>
      <w:r>
        <w:fldChar w:fldCharType="separate"/>
      </w:r>
      <w:r>
        <w:rPr>
          <w:color w:val="000000"/>
          <w:spacing w:val="0"/>
          <w:w w:val="100"/>
          <w:position w:val="0"/>
          <w:sz w:val="18"/>
          <w:szCs w:val="18"/>
        </w:rPr>
        <w:t>继续性合同的适用规则/许中缘</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311</w:t>
      </w:r>
      <w:r>
        <w:rPr>
          <w:rFonts w:ascii="Times New Roman" w:hAnsi="Times New Roman" w:eastAsia="Times New Roman" w:cs="Times New Roman"/>
          <w:color w:val="000000"/>
          <w:spacing w:val="0"/>
          <w:w w:val="100"/>
          <w:position w:val="0"/>
          <w:sz w:val="19"/>
          <w:szCs w:val="19"/>
        </w:rPr>
        <w:fldChar w:fldCharType="end"/>
      </w:r>
    </w:p>
    <w:p w14:paraId="1F929EB6">
      <w:pPr>
        <w:pStyle w:val="23"/>
        <w:keepNext w:val="0"/>
        <w:keepLines w:val="0"/>
        <w:widowControl w:val="0"/>
        <w:shd w:val="clear" w:color="auto" w:fill="auto"/>
        <w:bidi w:val="0"/>
        <w:spacing w:before="0" w:line="240" w:lineRule="auto"/>
        <w:ind w:left="0" w:right="0" w:firstLine="640"/>
        <w:jc w:val="left"/>
      </w:pPr>
      <w:r>
        <w:rPr>
          <w:color w:val="000000"/>
          <w:spacing w:val="0"/>
          <w:w w:val="100"/>
          <w:position w:val="0"/>
        </w:rPr>
        <w:t>孙金辉与济南万怡物业服务有限公司物业服务合同纠纷案丨济南市中级人民法院</w:t>
      </w:r>
    </w:p>
    <w:p w14:paraId="37A2DE87">
      <w:pPr>
        <w:pStyle w:val="23"/>
        <w:keepNext w:val="0"/>
        <w:keepLines w:val="0"/>
        <w:widowControl w:val="0"/>
        <w:shd w:val="clear" w:color="auto" w:fill="auto"/>
        <w:bidi w:val="0"/>
        <w:spacing w:before="0" w:after="240" w:line="240" w:lineRule="auto"/>
        <w:ind w:left="0" w:right="0" w:firstLine="640"/>
        <w:jc w:val="left"/>
      </w:pP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鲁</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3323</w:t>
      </w:r>
      <w:r>
        <w:rPr>
          <w:color w:val="000000"/>
          <w:spacing w:val="0"/>
          <w:w w:val="100"/>
          <w:position w:val="0"/>
        </w:rPr>
        <w:t>号民事判决书</w:t>
      </w:r>
    </w:p>
    <w:p w14:paraId="1A3D79D5">
      <w:pPr>
        <w:pStyle w:val="23"/>
        <w:keepNext w:val="0"/>
        <w:keepLines w:val="0"/>
        <w:widowControl w:val="0"/>
        <w:shd w:val="clear" w:color="auto" w:fill="auto"/>
        <w:tabs>
          <w:tab w:val="left" w:pos="7530"/>
        </w:tabs>
        <w:bidi w:val="0"/>
        <w:spacing w:before="0" w:line="240" w:lineRule="auto"/>
        <w:ind w:left="0" w:right="0" w:firstLine="640"/>
        <w:jc w:val="left"/>
        <w:rPr>
          <w:sz w:val="19"/>
          <w:szCs w:val="19"/>
        </w:rPr>
      </w:pPr>
      <w:r>
        <w:fldChar w:fldCharType="begin"/>
      </w:r>
      <w:r>
        <w:instrText xml:space="preserve"> HYPERLINK \l "bookmark398" \o "Current Document" \h </w:instrText>
      </w:r>
      <w:r>
        <w:fldChar w:fldCharType="separate"/>
      </w:r>
      <w:r>
        <w:rPr>
          <w:color w:val="000000"/>
          <w:spacing w:val="0"/>
          <w:w w:val="100"/>
          <w:position w:val="0"/>
          <w:sz w:val="18"/>
          <w:szCs w:val="18"/>
        </w:rPr>
        <w:t>债务人进入破产程序后的代位权行使/石一峰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316</w:t>
      </w:r>
      <w:r>
        <w:rPr>
          <w:rFonts w:ascii="Times New Roman" w:hAnsi="Times New Roman" w:eastAsia="Times New Roman" w:cs="Times New Roman"/>
          <w:color w:val="000000"/>
          <w:spacing w:val="0"/>
          <w:w w:val="100"/>
          <w:position w:val="0"/>
          <w:sz w:val="19"/>
          <w:szCs w:val="19"/>
        </w:rPr>
        <w:fldChar w:fldCharType="end"/>
      </w:r>
    </w:p>
    <w:p w14:paraId="2F40E619">
      <w:pPr>
        <w:pStyle w:val="23"/>
        <w:keepNext w:val="0"/>
        <w:keepLines w:val="0"/>
        <w:widowControl w:val="0"/>
        <w:shd w:val="clear" w:color="auto" w:fill="auto"/>
        <w:bidi w:val="0"/>
        <w:spacing w:before="0" w:line="240" w:lineRule="auto"/>
        <w:ind w:left="0" w:right="0" w:firstLine="640"/>
        <w:jc w:val="both"/>
      </w:pPr>
      <w:r>
        <w:rPr>
          <w:color w:val="000000"/>
          <w:spacing w:val="0"/>
          <w:w w:val="100"/>
          <w:position w:val="0"/>
        </w:rPr>
        <w:t>中国长城资产管理公司长沙办事处与成功控股集团有限公司、酒鬼酒股份有限公司、</w:t>
      </w:r>
    </w:p>
    <w:p w14:paraId="553DF6DC">
      <w:pPr>
        <w:pStyle w:val="23"/>
        <w:keepNext w:val="0"/>
        <w:keepLines w:val="0"/>
        <w:widowControl w:val="0"/>
        <w:shd w:val="clear" w:color="auto" w:fill="auto"/>
        <w:bidi w:val="0"/>
        <w:spacing w:before="0" w:line="240" w:lineRule="auto"/>
        <w:ind w:left="0" w:right="0" w:firstLine="640"/>
        <w:jc w:val="both"/>
      </w:pPr>
      <w:r>
        <w:rPr>
          <w:color w:val="000000"/>
          <w:spacing w:val="0"/>
          <w:w w:val="100"/>
          <w:position w:val="0"/>
        </w:rPr>
        <w:t>湖南湘泉集团有限公司代位权纠纷上诉案丨最高人民法院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218</w:t>
      </w:r>
      <w:r>
        <w:rPr>
          <w:color w:val="000000"/>
          <w:spacing w:val="0"/>
          <w:w w:val="100"/>
          <w:position w:val="0"/>
        </w:rPr>
        <w:t>号</w:t>
      </w:r>
    </w:p>
    <w:p w14:paraId="075809E5">
      <w:pPr>
        <w:pStyle w:val="23"/>
        <w:keepNext w:val="0"/>
        <w:keepLines w:val="0"/>
        <w:widowControl w:val="0"/>
        <w:shd w:val="clear" w:color="auto" w:fill="auto"/>
        <w:bidi w:val="0"/>
        <w:spacing w:before="0" w:after="160" w:line="240" w:lineRule="auto"/>
        <w:ind w:left="0" w:right="0" w:firstLine="640"/>
        <w:jc w:val="left"/>
      </w:pPr>
      <w:r>
        <w:rPr>
          <w:color w:val="000000"/>
          <w:spacing w:val="0"/>
          <w:w w:val="100"/>
          <w:position w:val="0"/>
        </w:rPr>
        <w:t>民事裁定书</w:t>
      </w:r>
    </w:p>
    <w:p w14:paraId="001EDDF2">
      <w:pPr>
        <w:pStyle w:val="23"/>
        <w:keepNext w:val="0"/>
        <w:keepLines w:val="0"/>
        <w:widowControl w:val="0"/>
        <w:shd w:val="clear" w:color="auto" w:fill="auto"/>
        <w:tabs>
          <w:tab w:val="left" w:pos="7530"/>
        </w:tabs>
        <w:bidi w:val="0"/>
        <w:spacing w:before="0" w:after="0" w:line="307" w:lineRule="exact"/>
        <w:ind w:left="0" w:right="0" w:firstLine="640"/>
        <w:jc w:val="left"/>
        <w:rPr>
          <w:sz w:val="19"/>
          <w:szCs w:val="19"/>
        </w:rPr>
      </w:pPr>
      <w:r>
        <w:fldChar w:fldCharType="begin"/>
      </w:r>
      <w:r>
        <w:instrText xml:space="preserve"> HYPERLINK \l "bookmark404" \o "Current Document" \h </w:instrText>
      </w:r>
      <w:r>
        <w:fldChar w:fldCharType="separate"/>
      </w:r>
      <w:r>
        <w:rPr>
          <w:color w:val="000000"/>
          <w:spacing w:val="0"/>
          <w:w w:val="100"/>
          <w:position w:val="0"/>
          <w:sz w:val="18"/>
          <w:szCs w:val="18"/>
        </w:rPr>
        <w:t>债权人对故意有偿行为的撤销/王洪亮</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321</w:t>
      </w:r>
      <w:r>
        <w:rPr>
          <w:rFonts w:ascii="Times New Roman" w:hAnsi="Times New Roman" w:eastAsia="Times New Roman" w:cs="Times New Roman"/>
          <w:color w:val="000000"/>
          <w:spacing w:val="0"/>
          <w:w w:val="100"/>
          <w:position w:val="0"/>
          <w:sz w:val="19"/>
          <w:szCs w:val="19"/>
        </w:rPr>
        <w:fldChar w:fldCharType="end"/>
      </w:r>
    </w:p>
    <w:p w14:paraId="4BF3940C">
      <w:pPr>
        <w:pStyle w:val="23"/>
        <w:keepNext w:val="0"/>
        <w:keepLines w:val="0"/>
        <w:widowControl w:val="0"/>
        <w:shd w:val="clear" w:color="auto" w:fill="auto"/>
        <w:bidi w:val="0"/>
        <w:spacing w:before="0" w:after="160" w:line="307" w:lineRule="exact"/>
        <w:ind w:left="640" w:right="0" w:firstLine="20"/>
        <w:jc w:val="both"/>
      </w:pPr>
      <w:r>
        <w:rPr>
          <w:color w:val="000000"/>
          <w:spacing w:val="0"/>
          <w:w w:val="100"/>
          <w:position w:val="0"/>
        </w:rPr>
        <w:t>国家开发银行与沈阳高压开关有限责任公司、新东北电气（沈阳）高压开关有限公司、 新东北电气（沈阳）高压隔离开关有限公司、沈阳北富机械制造有限公司等借款合同、 撤销权纠纷案丨最高人民法院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23</w:t>
      </w:r>
      <w:r>
        <w:rPr>
          <w:color w:val="000000"/>
          <w:spacing w:val="0"/>
          <w:w w:val="100"/>
          <w:position w:val="0"/>
        </w:rPr>
        <w:t>号民事判决书</w:t>
      </w:r>
    </w:p>
    <w:p w14:paraId="1CF886FA">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"bookmark407" \o "Current Document" \h </w:instrText>
      </w:r>
      <w:r>
        <w:fldChar w:fldCharType="separate"/>
      </w:r>
      <w:r>
        <w:rPr>
          <w:color w:val="000000"/>
          <w:spacing w:val="0"/>
          <w:w w:val="100"/>
          <w:position w:val="0"/>
          <w:sz w:val="18"/>
          <w:szCs w:val="18"/>
        </w:rPr>
        <w:t>债权让与通知对债务人的效力/冯洁语</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326</w:t>
      </w:r>
      <w:r>
        <w:rPr>
          <w:rFonts w:ascii="Times New Roman" w:hAnsi="Times New Roman" w:eastAsia="Times New Roman" w:cs="Times New Roman"/>
          <w:color w:val="000000"/>
          <w:spacing w:val="0"/>
          <w:w w:val="100"/>
          <w:position w:val="0"/>
          <w:sz w:val="19"/>
          <w:szCs w:val="19"/>
        </w:rPr>
        <w:fldChar w:fldCharType="end"/>
      </w:r>
    </w:p>
    <w:p w14:paraId="40662009">
      <w:pPr>
        <w:pStyle w:val="23"/>
        <w:keepNext w:val="0"/>
        <w:keepLines w:val="0"/>
        <w:widowControl w:val="0"/>
        <w:shd w:val="clear" w:color="auto" w:fill="auto"/>
        <w:bidi w:val="0"/>
        <w:spacing w:before="0" w:after="0" w:line="304" w:lineRule="exact"/>
        <w:ind w:left="0" w:right="0" w:firstLine="640"/>
        <w:jc w:val="both"/>
      </w:pPr>
      <w:r>
        <w:rPr>
          <w:color w:val="000000"/>
          <w:spacing w:val="0"/>
          <w:w w:val="100"/>
          <w:position w:val="0"/>
        </w:rPr>
        <w:t>遵义渝禾商贸有限责任公司诉中信银行股份有限公司贵阳分行公司、简传刚、杨小平</w:t>
      </w:r>
    </w:p>
    <w:p w14:paraId="535B3A39">
      <w:pPr>
        <w:pStyle w:val="23"/>
        <w:keepNext w:val="0"/>
        <w:keepLines w:val="0"/>
        <w:widowControl w:val="0"/>
        <w:shd w:val="clear" w:color="auto" w:fill="auto"/>
        <w:bidi w:val="0"/>
        <w:spacing w:before="0" w:after="160" w:line="304" w:lineRule="exact"/>
        <w:ind w:left="0" w:right="0" w:firstLine="640"/>
        <w:jc w:val="left"/>
      </w:pPr>
      <w:r>
        <w:rPr>
          <w:color w:val="000000"/>
          <w:spacing w:val="0"/>
          <w:w w:val="100"/>
          <w:position w:val="0"/>
        </w:rPr>
        <w:t>保理业务合同纠纷案丨最高人民法院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号民事裁定书</w:t>
      </w:r>
    </w:p>
    <w:p w14:paraId="281C7F86">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"bookmark410" \o "Current Document" \h </w:instrText>
      </w:r>
      <w:r>
        <w:fldChar w:fldCharType="separate"/>
      </w:r>
      <w:r>
        <w:rPr>
          <w:color w:val="000000"/>
          <w:spacing w:val="0"/>
          <w:w w:val="100"/>
          <w:position w:val="0"/>
          <w:sz w:val="18"/>
          <w:szCs w:val="18"/>
        </w:rPr>
        <w:t>转让抵押权不以办理转移登记为必要/吕双全</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331</w:t>
      </w:r>
      <w:r>
        <w:rPr>
          <w:rFonts w:ascii="Times New Roman" w:hAnsi="Times New Roman" w:eastAsia="Times New Roman" w:cs="Times New Roman"/>
          <w:color w:val="000000"/>
          <w:spacing w:val="0"/>
          <w:w w:val="100"/>
          <w:position w:val="0"/>
          <w:sz w:val="19"/>
          <w:szCs w:val="19"/>
        </w:rPr>
        <w:fldChar w:fldCharType="end"/>
      </w:r>
    </w:p>
    <w:p w14:paraId="5025F596">
      <w:pPr>
        <w:pStyle w:val="23"/>
        <w:keepNext w:val="0"/>
        <w:keepLines w:val="0"/>
        <w:widowControl w:val="0"/>
        <w:shd w:val="clear" w:color="auto" w:fill="auto"/>
        <w:bidi w:val="0"/>
        <w:spacing w:before="0" w:after="160" w:line="304" w:lineRule="exact"/>
        <w:ind w:left="0" w:right="0" w:firstLine="640"/>
        <w:jc w:val="left"/>
      </w:pPr>
      <w:r>
        <w:rPr>
          <w:color w:val="000000"/>
          <w:spacing w:val="0"/>
          <w:w w:val="100"/>
          <w:position w:val="0"/>
        </w:rPr>
        <w:t>黄健民与黄稼云担保物权纠纷案丨陕西省宝鸡市渭滨区人民法院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陕</w:t>
      </w:r>
      <w:r>
        <w:rPr>
          <w:rFonts w:ascii="Times New Roman" w:hAnsi="Times New Roman" w:eastAsia="Times New Roman" w:cs="Times New Roman"/>
          <w:color w:val="000000"/>
          <w:spacing w:val="0"/>
          <w:w w:val="100"/>
          <w:position w:val="0"/>
          <w:sz w:val="17"/>
          <w:szCs w:val="17"/>
        </w:rPr>
        <w:t>0302</w:t>
      </w:r>
      <w:r>
        <w:rPr>
          <w:color w:val="000000"/>
          <w:spacing w:val="0"/>
          <w:w w:val="100"/>
          <w:position w:val="0"/>
        </w:rPr>
        <w:t>民特</w:t>
      </w:r>
    </w:p>
    <w:p w14:paraId="0B956F1C">
      <w:pPr>
        <w:pStyle w:val="23"/>
        <w:keepNext w:val="0"/>
        <w:keepLines w:val="0"/>
        <w:widowControl w:val="0"/>
        <w:shd w:val="clear" w:color="auto" w:fill="auto"/>
        <w:bidi w:val="0"/>
        <w:spacing w:before="0" w:after="0" w:line="374" w:lineRule="auto"/>
        <w:ind w:left="0" w:right="0" w:firstLine="640"/>
        <w:jc w:val="left"/>
      </w:pP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号民事裁定书</w:t>
      </w:r>
    </w:p>
    <w:p w14:paraId="18E10EE5">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"bookmark416" \o "Current Document" \h </w:instrText>
      </w:r>
      <w:r>
        <w:fldChar w:fldCharType="separate"/>
      </w:r>
      <w:r>
        <w:rPr>
          <w:color w:val="000000"/>
          <w:spacing w:val="0"/>
          <w:w w:val="100"/>
          <w:position w:val="0"/>
          <w:sz w:val="18"/>
          <w:szCs w:val="18"/>
        </w:rPr>
        <w:t>以物抵债（替代清偿</w:t>
      </w:r>
      <w:r>
        <w:rPr>
          <w:i/>
          <w:iCs/>
          <w:color w:val="000000"/>
          <w:spacing w:val="0"/>
          <w:w w:val="100"/>
          <w:position w:val="0"/>
          <w:sz w:val="22"/>
          <w:szCs w:val="22"/>
        </w:rPr>
        <w:t>）</w:t>
      </w:r>
      <w:r>
        <w:rPr>
          <w:color w:val="000000"/>
          <w:spacing w:val="0"/>
          <w:w w:val="100"/>
          <w:position w:val="0"/>
          <w:sz w:val="18"/>
          <w:szCs w:val="18"/>
        </w:rPr>
        <w:t>的规则建构/肖 俊</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336</w:t>
      </w:r>
      <w:r>
        <w:rPr>
          <w:rFonts w:ascii="Times New Roman" w:hAnsi="Times New Roman" w:eastAsia="Times New Roman" w:cs="Times New Roman"/>
          <w:color w:val="000000"/>
          <w:spacing w:val="0"/>
          <w:w w:val="100"/>
          <w:position w:val="0"/>
          <w:sz w:val="19"/>
          <w:szCs w:val="19"/>
        </w:rPr>
        <w:fldChar w:fldCharType="end"/>
      </w:r>
    </w:p>
    <w:p w14:paraId="3ABEDD8B">
      <w:pPr>
        <w:pStyle w:val="23"/>
        <w:keepNext w:val="0"/>
        <w:keepLines w:val="0"/>
        <w:widowControl w:val="0"/>
        <w:shd w:val="clear" w:color="auto" w:fill="auto"/>
        <w:bidi w:val="0"/>
        <w:spacing w:before="0" w:after="0" w:line="304" w:lineRule="exact"/>
        <w:ind w:left="0" w:right="0" w:firstLine="640"/>
        <w:jc w:val="both"/>
      </w:pPr>
      <w:r>
        <w:rPr>
          <w:color w:val="000000"/>
          <w:spacing w:val="0"/>
          <w:w w:val="100"/>
          <w:position w:val="0"/>
        </w:rPr>
        <w:t>通州建总集团有限公司与内蒙古兴华房地产有限责任公司建设工程施工合同纠纷案</w:t>
      </w:r>
    </w:p>
    <w:p w14:paraId="1D76BDC9">
      <w:pPr>
        <w:pStyle w:val="23"/>
        <w:keepNext w:val="0"/>
        <w:keepLines w:val="0"/>
        <w:widowControl w:val="0"/>
        <w:shd w:val="clear" w:color="auto" w:fill="auto"/>
        <w:bidi w:val="0"/>
        <w:spacing w:before="0" w:after="160" w:line="304" w:lineRule="exact"/>
        <w:ind w:left="0" w:right="0" w:firstLine="720"/>
        <w:jc w:val="left"/>
      </w:pPr>
      <w:r>
        <w:rPr>
          <w:rFonts w:ascii="Times New Roman" w:hAnsi="Times New Roman" w:eastAsia="Times New Roman" w:cs="Times New Roman"/>
          <w:color w:val="000000"/>
          <w:spacing w:val="0"/>
          <w:w w:val="100"/>
          <w:position w:val="0"/>
          <w:sz w:val="17"/>
          <w:szCs w:val="17"/>
        </w:rPr>
        <w:t>I</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2896373C">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"bookmark434" \o "Current Document" \h </w:instrText>
      </w:r>
      <w:r>
        <w:fldChar w:fldCharType="separate"/>
      </w:r>
      <w:r>
        <w:rPr>
          <w:color w:val="000000"/>
          <w:spacing w:val="0"/>
          <w:w w:val="100"/>
          <w:position w:val="0"/>
          <w:sz w:val="18"/>
          <w:szCs w:val="18"/>
        </w:rPr>
        <w:t>非金钱合同债务履行费用</w:t>
      </w:r>
      <w:r>
        <w:rPr>
          <w:color w:val="000000"/>
          <w:spacing w:val="0"/>
          <w:w w:val="100"/>
          <w:position w:val="0"/>
          <w:sz w:val="18"/>
          <w:szCs w:val="18"/>
          <w:lang w:val="zh-CN" w:eastAsia="zh-CN" w:bidi="zh-CN"/>
        </w:rPr>
        <w:t>“过高”与</w:t>
      </w:r>
      <w:r>
        <w:rPr>
          <w:color w:val="000000"/>
          <w:spacing w:val="0"/>
          <w:w w:val="100"/>
          <w:position w:val="0"/>
          <w:sz w:val="18"/>
          <w:szCs w:val="18"/>
        </w:rPr>
        <w:t>违约方解除/谢鸿飞</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341</w:t>
      </w:r>
      <w:r>
        <w:rPr>
          <w:rFonts w:ascii="Times New Roman" w:hAnsi="Times New Roman" w:eastAsia="Times New Roman" w:cs="Times New Roman"/>
          <w:color w:val="000000"/>
          <w:spacing w:val="0"/>
          <w:w w:val="100"/>
          <w:position w:val="0"/>
          <w:sz w:val="19"/>
          <w:szCs w:val="19"/>
        </w:rPr>
        <w:fldChar w:fldCharType="end"/>
      </w:r>
    </w:p>
    <w:p w14:paraId="6D3CF2FD">
      <w:pPr>
        <w:pStyle w:val="23"/>
        <w:keepNext w:val="0"/>
        <w:keepLines w:val="0"/>
        <w:widowControl w:val="0"/>
        <w:shd w:val="clear" w:color="auto" w:fill="auto"/>
        <w:bidi w:val="0"/>
        <w:spacing w:before="0" w:after="160" w:line="304" w:lineRule="exact"/>
        <w:ind w:left="0" w:right="0" w:firstLine="640"/>
        <w:jc w:val="left"/>
      </w:pPr>
      <w:r>
        <w:rPr>
          <w:color w:val="000000"/>
          <w:spacing w:val="0"/>
          <w:w w:val="100"/>
          <w:position w:val="0"/>
        </w:rPr>
        <w:t>新宇公司诉冯玉梅商铺买卖合同纠纷案丨《最高人民法院公报》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F7A157F">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"bookmark440" \o "Current Document" \h </w:instrText>
      </w:r>
      <w:r>
        <w:fldChar w:fldCharType="separate"/>
      </w:r>
      <w:r>
        <w:rPr>
          <w:color w:val="000000"/>
          <w:spacing w:val="0"/>
          <w:w w:val="100"/>
          <w:position w:val="0"/>
          <w:sz w:val="18"/>
          <w:szCs w:val="18"/>
        </w:rPr>
        <w:t>合同解除权与解除异议/张双根</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346</w:t>
      </w:r>
      <w:r>
        <w:rPr>
          <w:rFonts w:ascii="Times New Roman" w:hAnsi="Times New Roman" w:eastAsia="Times New Roman" w:cs="Times New Roman"/>
          <w:color w:val="000000"/>
          <w:spacing w:val="0"/>
          <w:w w:val="100"/>
          <w:position w:val="0"/>
          <w:sz w:val="19"/>
          <w:szCs w:val="19"/>
        </w:rPr>
        <w:fldChar w:fldCharType="end"/>
      </w:r>
    </w:p>
    <w:p w14:paraId="60081EAA">
      <w:pPr>
        <w:pStyle w:val="23"/>
        <w:keepNext w:val="0"/>
        <w:keepLines w:val="0"/>
        <w:widowControl w:val="0"/>
        <w:shd w:val="clear" w:color="auto" w:fill="auto"/>
        <w:bidi w:val="0"/>
        <w:spacing w:before="0" w:after="0" w:line="304" w:lineRule="exact"/>
        <w:ind w:left="0" w:right="0" w:firstLine="640"/>
        <w:jc w:val="both"/>
      </w:pPr>
      <w:r>
        <w:rPr>
          <w:color w:val="000000"/>
          <w:spacing w:val="0"/>
          <w:w w:val="100"/>
          <w:position w:val="0"/>
        </w:rPr>
        <w:t>四川省聚丰房地产开发有限责任公司与达州广播电视大学合资、合作开发房地产合同</w:t>
      </w:r>
    </w:p>
    <w:p w14:paraId="75ED13F9">
      <w:pPr>
        <w:pStyle w:val="23"/>
        <w:keepNext w:val="0"/>
        <w:keepLines w:val="0"/>
        <w:widowControl w:val="0"/>
        <w:shd w:val="clear" w:color="auto" w:fill="auto"/>
        <w:bidi w:val="0"/>
        <w:spacing w:before="0" w:after="160" w:line="304" w:lineRule="exact"/>
        <w:ind w:left="0" w:right="0" w:firstLine="640"/>
        <w:jc w:val="left"/>
      </w:pPr>
      <w:r>
        <w:rPr>
          <w:color w:val="000000"/>
          <w:spacing w:val="0"/>
          <w:w w:val="100"/>
          <w:position w:val="0"/>
        </w:rPr>
        <w:t>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rPr>
        <w:t>号民事判决书</w:t>
      </w:r>
    </w:p>
    <w:p w14:paraId="07C222A9">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"bookmark446" \o "Current Document" \h </w:instrText>
      </w:r>
      <w:r>
        <w:fldChar w:fldCharType="separate"/>
      </w:r>
      <w:r>
        <w:rPr>
          <w:color w:val="000000"/>
          <w:spacing w:val="0"/>
          <w:w w:val="100"/>
          <w:position w:val="0"/>
          <w:sz w:val="18"/>
          <w:szCs w:val="18"/>
        </w:rPr>
        <w:t>瑕疵补正请求权:修理与更换/夏静宜</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351</w:t>
      </w:r>
      <w:r>
        <w:rPr>
          <w:rFonts w:ascii="Times New Roman" w:hAnsi="Times New Roman" w:eastAsia="Times New Roman" w:cs="Times New Roman"/>
          <w:color w:val="000000"/>
          <w:spacing w:val="0"/>
          <w:w w:val="100"/>
          <w:position w:val="0"/>
          <w:sz w:val="19"/>
          <w:szCs w:val="19"/>
        </w:rPr>
        <w:fldChar w:fldCharType="end"/>
      </w:r>
    </w:p>
    <w:p w14:paraId="5D149146">
      <w:pPr>
        <w:pStyle w:val="23"/>
        <w:keepNext w:val="0"/>
        <w:keepLines w:val="0"/>
        <w:widowControl w:val="0"/>
        <w:shd w:val="clear" w:color="auto" w:fill="auto"/>
        <w:bidi w:val="0"/>
        <w:spacing w:before="0" w:after="160" w:line="290" w:lineRule="exact"/>
        <w:ind w:left="640" w:right="0" w:firstLine="20"/>
        <w:jc w:val="both"/>
      </w:pPr>
      <w:r>
        <w:rPr>
          <w:color w:val="000000"/>
          <w:spacing w:val="0"/>
          <w:w w:val="100"/>
          <w:position w:val="0"/>
        </w:rPr>
        <w:t>任才生诉宜兴市广海元汽车销售公司因汽车质量问题要求更换纠纷案丨江苏省宜兴 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宜民初字第</w:t>
      </w:r>
      <w:r>
        <w:rPr>
          <w:rFonts w:ascii="Times New Roman" w:hAnsi="Times New Roman" w:eastAsia="Times New Roman" w:cs="Times New Roman"/>
          <w:color w:val="000000"/>
          <w:spacing w:val="0"/>
          <w:w w:val="100"/>
          <w:position w:val="0"/>
          <w:sz w:val="17"/>
          <w:szCs w:val="17"/>
        </w:rPr>
        <w:t>2540</w:t>
      </w:r>
      <w:r>
        <w:rPr>
          <w:color w:val="000000"/>
          <w:spacing w:val="0"/>
          <w:w w:val="100"/>
          <w:position w:val="0"/>
        </w:rPr>
        <w:t>号民事判决书</w:t>
      </w:r>
    </w:p>
    <w:p w14:paraId="4219DE89">
      <w:pPr>
        <w:pStyle w:val="23"/>
        <w:keepNext w:val="0"/>
        <w:keepLines w:val="0"/>
        <w:widowControl w:val="0"/>
        <w:shd w:val="clear" w:color="auto" w:fill="auto"/>
        <w:tabs>
          <w:tab w:val="left" w:pos="7530"/>
        </w:tabs>
        <w:bidi w:val="0"/>
        <w:spacing w:before="0" w:after="0" w:line="304" w:lineRule="exact"/>
        <w:ind w:left="0" w:right="0" w:firstLine="640"/>
        <w:jc w:val="left"/>
        <w:rPr>
          <w:sz w:val="19"/>
          <w:szCs w:val="19"/>
        </w:rPr>
      </w:pPr>
      <w:r>
        <w:fldChar w:fldCharType="begin"/>
      </w:r>
      <w:r>
        <w:instrText xml:space="preserve"> HYPERLINK \l "bookmark454" \o "Current Document" \h </w:instrText>
      </w:r>
      <w:r>
        <w:fldChar w:fldCharType="separate"/>
      </w:r>
      <w:r>
        <w:rPr>
          <w:color w:val="000000"/>
          <w:spacing w:val="0"/>
          <w:w w:val="100"/>
          <w:position w:val="0"/>
          <w:sz w:val="18"/>
          <w:szCs w:val="18"/>
        </w:rPr>
        <w:t>隐藏在银行卡盗刷纠纷背后的法理/解亘</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356</w:t>
      </w:r>
      <w:r>
        <w:rPr>
          <w:rFonts w:ascii="Times New Roman" w:hAnsi="Times New Roman" w:eastAsia="Times New Roman" w:cs="Times New Roman"/>
          <w:color w:val="000000"/>
          <w:spacing w:val="0"/>
          <w:w w:val="100"/>
          <w:position w:val="0"/>
          <w:sz w:val="19"/>
          <w:szCs w:val="19"/>
        </w:rPr>
        <w:fldChar w:fldCharType="end"/>
      </w:r>
    </w:p>
    <w:p w14:paraId="0A7BF0DD">
      <w:pPr>
        <w:pStyle w:val="23"/>
        <w:keepNext w:val="0"/>
        <w:keepLines w:val="0"/>
        <w:widowControl w:val="0"/>
        <w:shd w:val="clear" w:color="auto" w:fill="auto"/>
        <w:bidi w:val="0"/>
        <w:spacing w:before="0" w:after="0" w:line="304" w:lineRule="exact"/>
        <w:ind w:left="0" w:right="0" w:firstLine="640"/>
        <w:jc w:val="left"/>
      </w:pPr>
      <w:r>
        <w:rPr>
          <w:color w:val="000000"/>
          <w:spacing w:val="0"/>
          <w:w w:val="100"/>
          <w:position w:val="0"/>
        </w:rPr>
        <w:t>宋鹏诉中国工商银行股份有限公司南京新门口支行借记卡纠纷案丨《最高人民法院公</w:t>
      </w:r>
    </w:p>
    <w:p w14:paraId="25F72043">
      <w:pPr>
        <w:pStyle w:val="23"/>
        <w:keepNext w:val="0"/>
        <w:keepLines w:val="0"/>
        <w:widowControl w:val="0"/>
        <w:shd w:val="clear" w:color="auto" w:fill="auto"/>
        <w:bidi w:val="0"/>
        <w:spacing w:before="0" w:after="160" w:line="304" w:lineRule="exact"/>
        <w:ind w:left="0" w:right="0" w:firstLine="640"/>
        <w:jc w:val="left"/>
      </w:pPr>
      <w:r>
        <w:rPr>
          <w:color w:val="000000"/>
          <w:spacing w:val="0"/>
          <w:w w:val="100"/>
          <w:position w:val="0"/>
        </w:rPr>
        <w:t>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w:t>
      </w:r>
    </w:p>
    <w:p w14:paraId="3B19A266">
      <w:pPr>
        <w:pStyle w:val="23"/>
        <w:keepNext w:val="0"/>
        <w:keepLines w:val="0"/>
        <w:widowControl w:val="0"/>
        <w:shd w:val="clear" w:color="auto" w:fill="auto"/>
        <w:tabs>
          <w:tab w:val="left" w:pos="7530"/>
        </w:tabs>
        <w:bidi w:val="0"/>
        <w:spacing w:before="0" w:after="0" w:line="300" w:lineRule="exact"/>
        <w:ind w:left="0" w:right="0" w:firstLine="640"/>
        <w:jc w:val="left"/>
        <w:rPr>
          <w:sz w:val="19"/>
          <w:szCs w:val="19"/>
        </w:rPr>
      </w:pPr>
      <w:r>
        <w:fldChar w:fldCharType="begin"/>
      </w:r>
      <w:r>
        <w:instrText xml:space="preserve"> HYPERLINK \l "bookmark457" \o "Current Document" \h </w:instrText>
      </w:r>
      <w:r>
        <w:fldChar w:fldCharType="separate"/>
      </w:r>
      <w:r>
        <w:rPr>
          <w:color w:val="000000"/>
          <w:spacing w:val="0"/>
          <w:w w:val="100"/>
          <w:position w:val="0"/>
          <w:sz w:val="18"/>
          <w:szCs w:val="18"/>
        </w:rPr>
        <w:t>预期违约情形</w:t>
      </w:r>
      <w:r>
        <w:rPr>
          <w:color w:val="000000"/>
          <w:spacing w:val="0"/>
          <w:w w:val="100"/>
          <w:position w:val="0"/>
          <w:sz w:val="18"/>
          <w:szCs w:val="18"/>
          <w:lang w:val="zh-CN" w:eastAsia="zh-CN" w:bidi="zh-CN"/>
        </w:rPr>
        <w:t>“以</w:t>
      </w:r>
      <w:r>
        <w:rPr>
          <w:color w:val="000000"/>
          <w:spacing w:val="0"/>
          <w:w w:val="100"/>
          <w:position w:val="0"/>
          <w:sz w:val="18"/>
          <w:szCs w:val="18"/>
        </w:rPr>
        <w:t>自己的行为表明不履行合同义务”的认定/陈韵希</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361</w:t>
      </w:r>
      <w:r>
        <w:rPr>
          <w:rFonts w:ascii="Times New Roman" w:hAnsi="Times New Roman" w:eastAsia="Times New Roman" w:cs="Times New Roman"/>
          <w:color w:val="000000"/>
          <w:spacing w:val="0"/>
          <w:w w:val="100"/>
          <w:position w:val="0"/>
          <w:sz w:val="19"/>
          <w:szCs w:val="19"/>
        </w:rPr>
        <w:fldChar w:fldCharType="end"/>
      </w:r>
      <w:r>
        <w:fldChar w:fldCharType="end"/>
      </w:r>
    </w:p>
    <w:p w14:paraId="4CA8B526">
      <w:pPr>
        <w:pStyle w:val="17"/>
        <w:keepNext w:val="0"/>
        <w:keepLines w:val="0"/>
        <w:widowControl w:val="0"/>
        <w:shd w:val="clear" w:color="auto" w:fill="auto"/>
        <w:bidi w:val="0"/>
        <w:spacing w:before="0" w:after="100" w:line="300" w:lineRule="exact"/>
        <w:ind w:left="640" w:right="0" w:firstLine="20"/>
        <w:jc w:val="both"/>
      </w:pPr>
      <w:r>
        <w:rPr>
          <w:color w:val="000000"/>
          <w:spacing w:val="0"/>
          <w:w w:val="100"/>
          <w:position w:val="0"/>
        </w:rPr>
        <w:t>开封东京空分集团有限公司、白银有色集团股份有限公司买卖合同纠纷案丨最高人民 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377</w:t>
      </w:r>
      <w:r>
        <w:rPr>
          <w:color w:val="000000"/>
          <w:spacing w:val="0"/>
          <w:w w:val="100"/>
          <w:position w:val="0"/>
        </w:rPr>
        <w:t>号民事判决书</w:t>
      </w:r>
    </w:p>
    <w:p w14:paraId="0A4A6E64">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fldChar w:fldCharType="begin"/>
      </w:r>
      <w:r>
        <w:instrText xml:space="preserve"> TOC \o "1-5" \h \z </w:instrText>
      </w:r>
      <w:r>
        <w:fldChar w:fldCharType="separate"/>
      </w:r>
      <w:r>
        <w:fldChar w:fldCharType="begin"/>
      </w:r>
      <w:r>
        <w:instrText xml:space="preserve"> HYPERLINK \l "bookmark463" \o "Current Document" \h </w:instrText>
      </w:r>
      <w:r>
        <w:fldChar w:fldCharType="separate"/>
      </w:r>
      <w:r>
        <w:rPr>
          <w:rFonts w:ascii="Times New Roman" w:hAnsi="Times New Roman" w:eastAsia="Times New Roman" w:cs="Times New Roman"/>
          <w:color w:val="000000"/>
          <w:spacing w:val="0"/>
          <w:w w:val="100"/>
          <w:position w:val="0"/>
          <w:sz w:val="19"/>
          <w:szCs w:val="19"/>
        </w:rPr>
        <w:t xml:space="preserve">074 </w:t>
      </w:r>
      <w:r>
        <w:rPr>
          <w:color w:val="000000"/>
          <w:spacing w:val="0"/>
          <w:w w:val="100"/>
          <w:position w:val="0"/>
          <w:sz w:val="18"/>
          <w:szCs w:val="18"/>
        </w:rPr>
        <w:t>违反竞业禁止、保密义务与违约金酌减/姚明斌</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366</w:t>
      </w:r>
      <w:r>
        <w:rPr>
          <w:rFonts w:ascii="Times New Roman" w:hAnsi="Times New Roman" w:eastAsia="Times New Roman" w:cs="Times New Roman"/>
          <w:color w:val="000000"/>
          <w:spacing w:val="0"/>
          <w:w w:val="100"/>
          <w:position w:val="0"/>
          <w:sz w:val="19"/>
          <w:szCs w:val="19"/>
        </w:rPr>
        <w:fldChar w:fldCharType="end"/>
      </w:r>
    </w:p>
    <w:p w14:paraId="20A8B701">
      <w:pPr>
        <w:pStyle w:val="23"/>
        <w:keepNext w:val="0"/>
        <w:keepLines w:val="0"/>
        <w:widowControl w:val="0"/>
        <w:shd w:val="clear" w:color="auto" w:fill="auto"/>
        <w:bidi w:val="0"/>
        <w:spacing w:before="0" w:after="160" w:line="295" w:lineRule="exact"/>
        <w:ind w:left="900" w:right="0" w:firstLine="0"/>
        <w:jc w:val="both"/>
      </w:pPr>
      <w:r>
        <w:rPr>
          <w:color w:val="000000"/>
          <w:spacing w:val="0"/>
          <w:w w:val="100"/>
          <w:position w:val="0"/>
        </w:rPr>
        <w:t xml:space="preserve">马海力、王巍与楼世良、楼利波、庄子粲股权转让纠纷案丨浙江省宁波市中级人民法院 </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浙甬商终字第</w:t>
      </w:r>
      <w:r>
        <w:rPr>
          <w:rFonts w:ascii="Times New Roman" w:hAnsi="Times New Roman" w:eastAsia="Times New Roman" w:cs="Times New Roman"/>
          <w:color w:val="000000"/>
          <w:spacing w:val="0"/>
          <w:w w:val="100"/>
          <w:position w:val="0"/>
          <w:sz w:val="17"/>
          <w:szCs w:val="17"/>
        </w:rPr>
        <w:t>948</w:t>
      </w:r>
      <w:r>
        <w:rPr>
          <w:color w:val="000000"/>
          <w:spacing w:val="0"/>
          <w:w w:val="100"/>
          <w:position w:val="0"/>
        </w:rPr>
        <w:t>号民事判决书</w:t>
      </w:r>
    </w:p>
    <w:p w14:paraId="5308B3F1">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075 </w:t>
      </w:r>
      <w:r>
        <w:rPr>
          <w:color w:val="000000"/>
          <w:spacing w:val="0"/>
          <w:w w:val="100"/>
          <w:position w:val="0"/>
          <w:sz w:val="18"/>
          <w:szCs w:val="18"/>
        </w:rPr>
        <w:t>债权人违反协力义务的法律效果/刘洋</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370</w:t>
      </w:r>
    </w:p>
    <w:p w14:paraId="2D4C983C">
      <w:pPr>
        <w:pStyle w:val="23"/>
        <w:keepNext w:val="0"/>
        <w:keepLines w:val="0"/>
        <w:widowControl w:val="0"/>
        <w:shd w:val="clear" w:color="auto" w:fill="auto"/>
        <w:bidi w:val="0"/>
        <w:spacing w:before="0" w:after="160" w:line="300" w:lineRule="exact"/>
        <w:ind w:left="0" w:right="0" w:firstLine="900"/>
        <w:jc w:val="both"/>
      </w:pPr>
      <w:r>
        <w:rPr>
          <w:color w:val="000000"/>
          <w:spacing w:val="0"/>
          <w:w w:val="100"/>
          <w:position w:val="0"/>
        </w:rPr>
        <w:t>孙宝静诉上海一定得美容有限公司服务合同纠纷案</w:t>
      </w:r>
      <w:r>
        <w:rPr>
          <w:rFonts w:ascii="Times New Roman" w:hAnsi="Times New Roman" w:eastAsia="Times New Roman" w:cs="Times New Roman"/>
          <w:color w:val="000000"/>
          <w:spacing w:val="0"/>
          <w:w w:val="100"/>
          <w:position w:val="0"/>
          <w:sz w:val="17"/>
          <w:szCs w:val="17"/>
        </w:rPr>
        <w:t>I</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p>
    <w:p w14:paraId="68DCB79A">
      <w:pPr>
        <w:pStyle w:val="23"/>
        <w:keepNext w:val="0"/>
        <w:keepLines w:val="0"/>
        <w:widowControl w:val="0"/>
        <w:shd w:val="clear" w:color="auto" w:fill="auto"/>
        <w:bidi w:val="0"/>
        <w:spacing w:before="0" w:after="0" w:line="360" w:lineRule="auto"/>
        <w:ind w:left="0" w:right="0" w:firstLine="900"/>
        <w:jc w:val="left"/>
      </w:pP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0B2045A0">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rPr>
          <w:rFonts w:ascii="Times New Roman" w:hAnsi="Times New Roman" w:eastAsia="Times New Roman" w:cs="Times New Roman"/>
          <w:color w:val="000000"/>
          <w:spacing w:val="0"/>
          <w:w w:val="100"/>
          <w:position w:val="0"/>
          <w:sz w:val="17"/>
          <w:szCs w:val="17"/>
        </w:rPr>
        <w:t xml:space="preserve">076 </w:t>
      </w:r>
      <w:r>
        <w:rPr>
          <w:color w:val="000000"/>
          <w:spacing w:val="0"/>
          <w:w w:val="100"/>
          <w:position w:val="0"/>
          <w:sz w:val="18"/>
          <w:szCs w:val="18"/>
        </w:rPr>
        <w:t>减损义务与替代交易/程坦</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375</w:t>
      </w:r>
    </w:p>
    <w:p w14:paraId="5CD119A7">
      <w:pPr>
        <w:pStyle w:val="23"/>
        <w:keepNext w:val="0"/>
        <w:keepLines w:val="0"/>
        <w:widowControl w:val="0"/>
        <w:shd w:val="clear" w:color="auto" w:fill="auto"/>
        <w:bidi w:val="0"/>
        <w:spacing w:before="0" w:after="160" w:line="300" w:lineRule="exact"/>
        <w:ind w:left="900" w:right="0" w:firstLine="0"/>
        <w:jc w:val="both"/>
      </w:pPr>
      <w:r>
        <w:rPr>
          <w:color w:val="000000"/>
          <w:spacing w:val="0"/>
          <w:w w:val="100"/>
          <w:position w:val="0"/>
        </w:rPr>
        <w:t>青海省大柴旦大华化工有限公司与江苏绿陵润发化工有限公司买卖合同纠纷案丨最 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91</w:t>
      </w:r>
      <w:r>
        <w:rPr>
          <w:color w:val="000000"/>
          <w:spacing w:val="0"/>
          <w:w w:val="100"/>
          <w:position w:val="0"/>
        </w:rPr>
        <w:t>号民事判决书</w:t>
      </w:r>
    </w:p>
    <w:p w14:paraId="315EC0C2">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fldChar w:fldCharType="begin"/>
      </w:r>
      <w:r>
        <w:instrText xml:space="preserve"> HYPERLINK \l "bookmark475" \o "Current Document" \h </w:instrText>
      </w:r>
      <w:r>
        <w:fldChar w:fldCharType="separate"/>
      </w:r>
      <w:r>
        <w:rPr>
          <w:rFonts w:ascii="Times New Roman" w:hAnsi="Times New Roman" w:eastAsia="Times New Roman" w:cs="Times New Roman"/>
          <w:color w:val="000000"/>
          <w:spacing w:val="0"/>
          <w:w w:val="100"/>
          <w:position w:val="0"/>
          <w:sz w:val="19"/>
          <w:szCs w:val="19"/>
        </w:rPr>
        <w:t xml:space="preserve">077 </w:t>
      </w:r>
      <w:r>
        <w:rPr>
          <w:color w:val="000000"/>
          <w:spacing w:val="0"/>
          <w:w w:val="100"/>
          <w:position w:val="0"/>
          <w:sz w:val="18"/>
          <w:szCs w:val="18"/>
        </w:rPr>
        <w:t>检验期间、通知期间与质量保证期的关系/金 晶</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380</w:t>
      </w:r>
      <w:r>
        <w:rPr>
          <w:rFonts w:ascii="Times New Roman" w:hAnsi="Times New Roman" w:eastAsia="Times New Roman" w:cs="Times New Roman"/>
          <w:color w:val="000000"/>
          <w:spacing w:val="0"/>
          <w:w w:val="100"/>
          <w:position w:val="0"/>
          <w:sz w:val="19"/>
          <w:szCs w:val="19"/>
        </w:rPr>
        <w:fldChar w:fldCharType="end"/>
      </w:r>
    </w:p>
    <w:p w14:paraId="79FD4780">
      <w:pPr>
        <w:pStyle w:val="23"/>
        <w:keepNext w:val="0"/>
        <w:keepLines w:val="0"/>
        <w:widowControl w:val="0"/>
        <w:shd w:val="clear" w:color="auto" w:fill="auto"/>
        <w:bidi w:val="0"/>
        <w:spacing w:before="0" w:after="0" w:line="300" w:lineRule="exact"/>
        <w:ind w:left="0" w:right="0" w:firstLine="900"/>
        <w:jc w:val="both"/>
      </w:pPr>
      <w:r>
        <w:rPr>
          <w:color w:val="000000"/>
          <w:spacing w:val="0"/>
          <w:w w:val="100"/>
          <w:position w:val="0"/>
        </w:rPr>
        <w:t>北京夭超仓储超市有限责任公司与首佳提供照明方案（北京）有限责任公司买卖合同</w:t>
      </w:r>
    </w:p>
    <w:p w14:paraId="5608DAED">
      <w:pPr>
        <w:pStyle w:val="23"/>
        <w:keepNext w:val="0"/>
        <w:keepLines w:val="0"/>
        <w:widowControl w:val="0"/>
        <w:shd w:val="clear" w:color="auto" w:fill="auto"/>
        <w:bidi w:val="0"/>
        <w:spacing w:before="0" w:after="160" w:line="300" w:lineRule="exact"/>
        <w:ind w:left="0" w:right="0" w:firstLine="900"/>
        <w:jc w:val="left"/>
      </w:pPr>
      <w:r>
        <w:rPr>
          <w:color w:val="000000"/>
          <w:spacing w:val="0"/>
          <w:w w:val="100"/>
          <w:position w:val="0"/>
        </w:rPr>
        <w:t>纠纷案丨北京市第三中级人民法院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03</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12203</w:t>
      </w:r>
      <w:r>
        <w:rPr>
          <w:color w:val="000000"/>
          <w:spacing w:val="0"/>
          <w:w w:val="100"/>
          <w:position w:val="0"/>
        </w:rPr>
        <w:t>号民事判决书</w:t>
      </w:r>
    </w:p>
    <w:p w14:paraId="7CD85E6D">
      <w:pPr>
        <w:pStyle w:val="23"/>
        <w:keepNext w:val="0"/>
        <w:keepLines w:val="0"/>
        <w:widowControl w:val="0"/>
        <w:shd w:val="clear" w:color="auto" w:fill="auto"/>
        <w:tabs>
          <w:tab w:val="left" w:pos="7790"/>
        </w:tabs>
        <w:bidi w:val="0"/>
        <w:spacing w:before="0" w:after="0" w:line="307"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078 </w:t>
      </w:r>
      <w:r>
        <w:rPr>
          <w:color w:val="000000"/>
          <w:spacing w:val="0"/>
          <w:w w:val="100"/>
          <w:position w:val="0"/>
          <w:sz w:val="18"/>
          <w:szCs w:val="18"/>
        </w:rPr>
        <w:t>借名购房中的多重法律关系/陈信勇</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385</w:t>
      </w:r>
    </w:p>
    <w:p w14:paraId="2B282BED">
      <w:pPr>
        <w:pStyle w:val="23"/>
        <w:keepNext w:val="0"/>
        <w:keepLines w:val="0"/>
        <w:widowControl w:val="0"/>
        <w:shd w:val="clear" w:color="auto" w:fill="auto"/>
        <w:bidi w:val="0"/>
        <w:spacing w:before="0" w:after="160" w:line="307" w:lineRule="exact"/>
        <w:ind w:left="900" w:right="0" w:firstLine="0"/>
        <w:jc w:val="both"/>
      </w:pPr>
      <w:r>
        <w:rPr>
          <w:color w:val="000000"/>
          <w:spacing w:val="0"/>
          <w:w w:val="100"/>
          <w:position w:val="0"/>
        </w:rPr>
        <w:t>陆某某、徐某与宋某某、章某某所有权确认纠纷案丨浙江省海宁市人民法院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嘉 海民初字第</w:t>
      </w:r>
      <w:r>
        <w:rPr>
          <w:rFonts w:ascii="Times New Roman" w:hAnsi="Times New Roman" w:eastAsia="Times New Roman" w:cs="Times New Roman"/>
          <w:color w:val="000000"/>
          <w:spacing w:val="0"/>
          <w:w w:val="100"/>
          <w:position w:val="0"/>
          <w:sz w:val="17"/>
          <w:szCs w:val="17"/>
        </w:rPr>
        <w:t>3806</w:t>
      </w:r>
      <w:r>
        <w:rPr>
          <w:color w:val="000000"/>
          <w:spacing w:val="0"/>
          <w:w w:val="100"/>
          <w:position w:val="0"/>
        </w:rPr>
        <w:t>号民事判决书</w:t>
      </w:r>
    </w:p>
    <w:p w14:paraId="063EA6E8">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079 </w:t>
      </w:r>
      <w:r>
        <w:rPr>
          <w:color w:val="000000"/>
          <w:spacing w:val="0"/>
          <w:w w:val="100"/>
          <w:position w:val="0"/>
          <w:sz w:val="18"/>
          <w:szCs w:val="18"/>
        </w:rPr>
        <w:t>分期付款买卖合同解除规则对股权转让的参照适用/孙新宽</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390</w:t>
      </w:r>
    </w:p>
    <w:p w14:paraId="49A5380E">
      <w:pPr>
        <w:pStyle w:val="23"/>
        <w:keepNext w:val="0"/>
        <w:keepLines w:val="0"/>
        <w:widowControl w:val="0"/>
        <w:shd w:val="clear" w:color="auto" w:fill="auto"/>
        <w:bidi w:val="0"/>
        <w:spacing w:before="0" w:after="160" w:line="300" w:lineRule="exact"/>
        <w:ind w:left="0" w:right="0" w:firstLine="900"/>
        <w:jc w:val="left"/>
      </w:pPr>
      <w:r>
        <w:rPr>
          <w:color w:val="000000"/>
          <w:spacing w:val="0"/>
          <w:w w:val="100"/>
          <w:position w:val="0"/>
        </w:rPr>
        <w:t>汤长龙诉周士海股权转让纠纷案丨最高人民法院第</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号指导性案例</w:t>
      </w:r>
    </w:p>
    <w:p w14:paraId="4ECD7473">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fldChar w:fldCharType="begin"/>
      </w:r>
      <w:r>
        <w:instrText xml:space="preserve"> HYPERLINK \l "bookmark490" \o "Current Document" \h </w:instrText>
      </w:r>
      <w:r>
        <w:fldChar w:fldCharType="separate"/>
      </w:r>
      <w:r>
        <w:rPr>
          <w:rFonts w:ascii="Times New Roman" w:hAnsi="Times New Roman" w:eastAsia="Times New Roman" w:cs="Times New Roman"/>
          <w:color w:val="000000"/>
          <w:spacing w:val="0"/>
          <w:w w:val="100"/>
          <w:position w:val="0"/>
          <w:sz w:val="19"/>
          <w:szCs w:val="19"/>
        </w:rPr>
        <w:t xml:space="preserve">080 </w:t>
      </w:r>
      <w:r>
        <w:rPr>
          <w:color w:val="000000"/>
          <w:spacing w:val="0"/>
          <w:w w:val="100"/>
          <w:position w:val="0"/>
          <w:sz w:val="18"/>
          <w:szCs w:val="18"/>
        </w:rPr>
        <w:t>股东与公司间股权回购协议的裁判路径/刘燕</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395</w:t>
      </w:r>
      <w:r>
        <w:rPr>
          <w:rFonts w:ascii="Times New Roman" w:hAnsi="Times New Roman" w:eastAsia="Times New Roman" w:cs="Times New Roman"/>
          <w:color w:val="000000"/>
          <w:spacing w:val="0"/>
          <w:w w:val="100"/>
          <w:position w:val="0"/>
          <w:sz w:val="19"/>
          <w:szCs w:val="19"/>
        </w:rPr>
        <w:fldChar w:fldCharType="end"/>
      </w:r>
    </w:p>
    <w:p w14:paraId="5B9CA629">
      <w:pPr>
        <w:pStyle w:val="23"/>
        <w:keepNext w:val="0"/>
        <w:keepLines w:val="0"/>
        <w:widowControl w:val="0"/>
        <w:shd w:val="clear" w:color="auto" w:fill="auto"/>
        <w:bidi w:val="0"/>
        <w:spacing w:before="0" w:after="0" w:line="300" w:lineRule="exact"/>
        <w:ind w:left="0" w:right="0" w:firstLine="900"/>
        <w:jc w:val="both"/>
      </w:pPr>
      <w:r>
        <w:rPr>
          <w:color w:val="000000"/>
          <w:spacing w:val="0"/>
          <w:w w:val="100"/>
          <w:position w:val="0"/>
        </w:rPr>
        <w:t>江苏华工创业投资有限公司与扬州锻压机床股份有限公司、潘云虎等请求公司收购股</w:t>
      </w:r>
    </w:p>
    <w:p w14:paraId="235451EA">
      <w:pPr>
        <w:pStyle w:val="23"/>
        <w:keepNext w:val="0"/>
        <w:keepLines w:val="0"/>
        <w:widowControl w:val="0"/>
        <w:shd w:val="clear" w:color="auto" w:fill="auto"/>
        <w:bidi w:val="0"/>
        <w:spacing w:before="0" w:after="160" w:line="300" w:lineRule="exact"/>
        <w:ind w:left="0" w:right="0" w:firstLine="900"/>
        <w:jc w:val="left"/>
      </w:pPr>
      <w:r>
        <w:rPr>
          <w:color w:val="000000"/>
          <w:spacing w:val="0"/>
          <w:w w:val="100"/>
          <w:position w:val="0"/>
        </w:rPr>
        <w:t>份纠纷案丨江苏省高级人民法院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苏民再</w:t>
      </w:r>
      <w:r>
        <w:rPr>
          <w:rFonts w:ascii="Times New Roman" w:hAnsi="Times New Roman" w:eastAsia="Times New Roman" w:cs="Times New Roman"/>
          <w:color w:val="000000"/>
          <w:spacing w:val="0"/>
          <w:w w:val="100"/>
          <w:position w:val="0"/>
          <w:sz w:val="17"/>
          <w:szCs w:val="17"/>
        </w:rPr>
        <w:t>62</w:t>
      </w:r>
      <w:r>
        <w:rPr>
          <w:color w:val="000000"/>
          <w:spacing w:val="0"/>
          <w:w w:val="100"/>
          <w:position w:val="0"/>
        </w:rPr>
        <w:t>号民事判决书</w:t>
      </w:r>
    </w:p>
    <w:p w14:paraId="4183A11A">
      <w:pPr>
        <w:pStyle w:val="23"/>
        <w:keepNext w:val="0"/>
        <w:keepLines w:val="0"/>
        <w:widowControl w:val="0"/>
        <w:shd w:val="clear" w:color="auto" w:fill="auto"/>
        <w:tabs>
          <w:tab w:val="left" w:pos="818"/>
          <w:tab w:val="left" w:pos="7790"/>
        </w:tabs>
        <w:bidi w:val="0"/>
        <w:spacing w:before="0" w:after="0" w:line="300"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081</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独立担保索付欺诈的认定/李世刚</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400</w:t>
      </w:r>
    </w:p>
    <w:p w14:paraId="3853C18F">
      <w:pPr>
        <w:pStyle w:val="23"/>
        <w:keepNext w:val="0"/>
        <w:keepLines w:val="0"/>
        <w:widowControl w:val="0"/>
        <w:shd w:val="clear" w:color="auto" w:fill="auto"/>
        <w:bidi w:val="0"/>
        <w:spacing w:before="0" w:after="160" w:line="298" w:lineRule="exact"/>
        <w:ind w:left="900" w:right="0" w:firstLine="0"/>
        <w:jc w:val="both"/>
      </w:pPr>
      <w:r>
        <w:rPr>
          <w:color w:val="000000"/>
          <w:spacing w:val="0"/>
          <w:w w:val="100"/>
          <w:position w:val="0"/>
        </w:rPr>
        <w:t>安徽省外经建设（集团）有限公司诉东方置业房地产有限公司保函欺诈纠纷案丨最高 人民法院第</w:t>
      </w:r>
      <w:r>
        <w:rPr>
          <w:rFonts w:ascii="Times New Roman" w:hAnsi="Times New Roman" w:eastAsia="Times New Roman" w:cs="Times New Roman"/>
          <w:color w:val="000000"/>
          <w:spacing w:val="0"/>
          <w:w w:val="100"/>
          <w:position w:val="0"/>
          <w:sz w:val="17"/>
          <w:szCs w:val="17"/>
        </w:rPr>
        <w:t>109</w:t>
      </w:r>
      <w:r>
        <w:rPr>
          <w:color w:val="000000"/>
          <w:spacing w:val="0"/>
          <w:w w:val="100"/>
          <w:position w:val="0"/>
        </w:rPr>
        <w:t>号指导性案例</w:t>
      </w:r>
    </w:p>
    <w:p w14:paraId="3EE67611">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fldChar w:fldCharType="begin"/>
      </w:r>
      <w:r>
        <w:instrText xml:space="preserve"> HYPERLINK \l "bookmark509" \o "Current Document" \h </w:instrText>
      </w:r>
      <w:r>
        <w:fldChar w:fldCharType="separate"/>
      </w:r>
      <w:r>
        <w:rPr>
          <w:rFonts w:ascii="Times New Roman" w:hAnsi="Times New Roman" w:eastAsia="Times New Roman" w:cs="Times New Roman"/>
          <w:color w:val="000000"/>
          <w:spacing w:val="0"/>
          <w:w w:val="100"/>
          <w:position w:val="0"/>
          <w:sz w:val="19"/>
          <w:szCs w:val="19"/>
        </w:rPr>
        <w:t xml:space="preserve">082 </w:t>
      </w:r>
      <w:r>
        <w:rPr>
          <w:color w:val="000000"/>
          <w:spacing w:val="0"/>
          <w:w w:val="100"/>
          <w:position w:val="0"/>
          <w:sz w:val="18"/>
          <w:szCs w:val="18"/>
        </w:rPr>
        <w:t>基础合同真实性与保理人权利的实现/高放</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405</w:t>
      </w:r>
      <w:r>
        <w:rPr>
          <w:rFonts w:ascii="Times New Roman" w:hAnsi="Times New Roman" w:eastAsia="Times New Roman" w:cs="Times New Roman"/>
          <w:color w:val="000000"/>
          <w:spacing w:val="0"/>
          <w:w w:val="100"/>
          <w:position w:val="0"/>
          <w:sz w:val="19"/>
          <w:szCs w:val="19"/>
        </w:rPr>
        <w:fldChar w:fldCharType="end"/>
      </w:r>
    </w:p>
    <w:p w14:paraId="75A21635">
      <w:pPr>
        <w:pStyle w:val="23"/>
        <w:keepNext w:val="0"/>
        <w:keepLines w:val="0"/>
        <w:widowControl w:val="0"/>
        <w:shd w:val="clear" w:color="auto" w:fill="auto"/>
        <w:bidi w:val="0"/>
        <w:spacing w:before="0" w:after="0" w:line="300" w:lineRule="exact"/>
        <w:ind w:left="0" w:right="0" w:firstLine="900"/>
        <w:jc w:val="both"/>
      </w:pPr>
      <w:r>
        <w:rPr>
          <w:color w:val="000000"/>
          <w:spacing w:val="0"/>
          <w:w w:val="100"/>
          <w:position w:val="0"/>
        </w:rPr>
        <w:t>中央储备粮长春直属库有限公司与前郭县阳光村镇银行股份有限公司、松原市隆瑞祥</w:t>
      </w:r>
    </w:p>
    <w:p w14:paraId="1A7EB21B">
      <w:pPr>
        <w:pStyle w:val="23"/>
        <w:keepNext w:val="0"/>
        <w:keepLines w:val="0"/>
        <w:widowControl w:val="0"/>
        <w:shd w:val="clear" w:color="auto" w:fill="auto"/>
        <w:bidi w:val="0"/>
        <w:spacing w:before="0" w:after="160" w:line="300" w:lineRule="exact"/>
        <w:ind w:left="0" w:right="0" w:firstLine="900"/>
        <w:jc w:val="left"/>
      </w:pPr>
      <w:r>
        <w:rPr>
          <w:color w:val="000000"/>
          <w:spacing w:val="0"/>
          <w:w w:val="100"/>
          <w:position w:val="0"/>
        </w:rPr>
        <w:t>贸易有限公司合同纠纷丨吉林省高级人民法院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吉民再</w:t>
      </w:r>
      <w:r>
        <w:rPr>
          <w:rFonts w:ascii="Times New Roman" w:hAnsi="Times New Roman" w:eastAsia="Times New Roman" w:cs="Times New Roman"/>
          <w:color w:val="000000"/>
          <w:spacing w:val="0"/>
          <w:w w:val="100"/>
          <w:position w:val="0"/>
          <w:sz w:val="17"/>
          <w:szCs w:val="17"/>
        </w:rPr>
        <w:t>112</w:t>
      </w:r>
      <w:r>
        <w:rPr>
          <w:color w:val="000000"/>
          <w:spacing w:val="0"/>
          <w:w w:val="100"/>
          <w:position w:val="0"/>
        </w:rPr>
        <w:t>号民事判决书</w:t>
      </w:r>
    </w:p>
    <w:p w14:paraId="24D0E52C">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fldChar w:fldCharType="begin"/>
      </w:r>
      <w:r>
        <w:instrText xml:space="preserve"> HYPERLINK \l "bookmark514" \o "Current Document" \h </w:instrText>
      </w:r>
      <w:r>
        <w:fldChar w:fldCharType="separate"/>
      </w:r>
      <w:r>
        <w:rPr>
          <w:rFonts w:ascii="Times New Roman" w:hAnsi="Times New Roman" w:eastAsia="Times New Roman" w:cs="Times New Roman"/>
          <w:color w:val="000000"/>
          <w:spacing w:val="0"/>
          <w:w w:val="100"/>
          <w:position w:val="0"/>
          <w:sz w:val="19"/>
          <w:szCs w:val="19"/>
        </w:rPr>
        <w:t xml:space="preserve">083 </w:t>
      </w:r>
      <w:r>
        <w:rPr>
          <w:color w:val="000000"/>
          <w:spacing w:val="0"/>
          <w:w w:val="100"/>
          <w:position w:val="0"/>
          <w:sz w:val="18"/>
          <w:szCs w:val="18"/>
        </w:rPr>
        <w:t>定作人任意解除权的行使与赔偿范围之认定/宁红丽</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410</w:t>
      </w:r>
      <w:r>
        <w:rPr>
          <w:rFonts w:ascii="Times New Roman" w:hAnsi="Times New Roman" w:eastAsia="Times New Roman" w:cs="Times New Roman"/>
          <w:color w:val="000000"/>
          <w:spacing w:val="0"/>
          <w:w w:val="100"/>
          <w:position w:val="0"/>
          <w:sz w:val="19"/>
          <w:szCs w:val="19"/>
        </w:rPr>
        <w:fldChar w:fldCharType="end"/>
      </w:r>
    </w:p>
    <w:p w14:paraId="6D7EC46D">
      <w:pPr>
        <w:pStyle w:val="23"/>
        <w:keepNext w:val="0"/>
        <w:keepLines w:val="0"/>
        <w:widowControl w:val="0"/>
        <w:shd w:val="clear" w:color="auto" w:fill="auto"/>
        <w:bidi w:val="0"/>
        <w:spacing w:before="0" w:after="0" w:line="300" w:lineRule="exact"/>
        <w:ind w:left="0" w:right="0" w:firstLine="900"/>
        <w:jc w:val="both"/>
      </w:pPr>
      <w:r>
        <w:rPr>
          <w:color w:val="000000"/>
          <w:spacing w:val="0"/>
          <w:w w:val="100"/>
          <w:position w:val="0"/>
        </w:rPr>
        <w:t>北京东方宏业家具有限公司诉鄂尔多斯市福泰房地产开发有限责任公司定作合同纠</w:t>
      </w:r>
    </w:p>
    <w:p w14:paraId="413668CD">
      <w:pPr>
        <w:pStyle w:val="23"/>
        <w:keepNext w:val="0"/>
        <w:keepLines w:val="0"/>
        <w:widowControl w:val="0"/>
        <w:shd w:val="clear" w:color="auto" w:fill="auto"/>
        <w:bidi w:val="0"/>
        <w:spacing w:before="0" w:after="160" w:line="300" w:lineRule="exact"/>
        <w:ind w:left="0" w:right="0" w:firstLine="900"/>
        <w:jc w:val="left"/>
      </w:pPr>
      <w:r>
        <w:rPr>
          <w:color w:val="000000"/>
          <w:spacing w:val="0"/>
          <w:w w:val="100"/>
          <w:position w:val="0"/>
        </w:rPr>
        <w:t>纷案丨北京市第二中级人民法院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10573</w:t>
      </w:r>
      <w:r>
        <w:rPr>
          <w:color w:val="000000"/>
          <w:spacing w:val="0"/>
          <w:w w:val="100"/>
          <w:position w:val="0"/>
        </w:rPr>
        <w:t>号民事判决书</w:t>
      </w:r>
    </w:p>
    <w:p w14:paraId="336ECCD0">
      <w:pPr>
        <w:pStyle w:val="23"/>
        <w:keepNext w:val="0"/>
        <w:keepLines w:val="0"/>
        <w:widowControl w:val="0"/>
        <w:shd w:val="clear" w:color="auto" w:fill="auto"/>
        <w:tabs>
          <w:tab w:val="left" w:pos="7790"/>
        </w:tabs>
        <w:bidi w:val="0"/>
        <w:spacing w:before="0" w:after="0" w:line="300"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084 </w:t>
      </w:r>
      <w:r>
        <w:rPr>
          <w:color w:val="000000"/>
          <w:spacing w:val="0"/>
          <w:w w:val="100"/>
          <w:position w:val="0"/>
          <w:sz w:val="18"/>
          <w:szCs w:val="18"/>
        </w:rPr>
        <w:t>借用资质承揽建设工程的法律责任/黄 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415</w:t>
      </w:r>
      <w:r>
        <w:fldChar w:fldCharType="end"/>
      </w:r>
    </w:p>
    <w:p w14:paraId="658FC8ED">
      <w:pPr>
        <w:pStyle w:val="17"/>
        <w:keepNext w:val="0"/>
        <w:keepLines w:val="0"/>
        <w:widowControl w:val="0"/>
        <w:shd w:val="clear" w:color="auto" w:fill="auto"/>
        <w:bidi w:val="0"/>
        <w:spacing w:before="0" w:after="0" w:line="300" w:lineRule="exact"/>
        <w:ind w:left="0" w:right="0" w:firstLine="900"/>
        <w:jc w:val="both"/>
      </w:pPr>
      <w:r>
        <w:rPr>
          <w:color w:val="000000"/>
          <w:spacing w:val="0"/>
          <w:w w:val="100"/>
          <w:position w:val="0"/>
        </w:rPr>
        <w:t>莫志华、深圳市东深工程有限公司与东莞市长富广场房地产开发有限公司建设工程合</w:t>
      </w:r>
    </w:p>
    <w:p w14:paraId="4189F03C">
      <w:pPr>
        <w:pStyle w:val="17"/>
        <w:keepNext w:val="0"/>
        <w:keepLines w:val="0"/>
        <w:widowControl w:val="0"/>
        <w:shd w:val="clear" w:color="auto" w:fill="auto"/>
        <w:bidi w:val="0"/>
        <w:spacing w:before="0" w:after="0" w:line="300" w:lineRule="exact"/>
        <w:ind w:left="0" w:right="0" w:firstLine="900"/>
        <w:jc w:val="left"/>
      </w:pPr>
      <w:r>
        <w:rPr>
          <w:color w:val="000000"/>
          <w:spacing w:val="0"/>
          <w:w w:val="100"/>
          <w:position w:val="0"/>
        </w:rPr>
        <w:t>同纠纷案丨《最高人民法院公报》</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263C86B8">
      <w:pPr>
        <w:pStyle w:val="23"/>
        <w:keepNext w:val="0"/>
        <w:keepLines w:val="0"/>
        <w:widowControl w:val="0"/>
        <w:shd w:val="clear" w:color="auto" w:fill="auto"/>
        <w:tabs>
          <w:tab w:val="left" w:pos="7545"/>
        </w:tabs>
        <w:bidi w:val="0"/>
        <w:spacing w:before="0" w:after="0" w:line="312" w:lineRule="exact"/>
        <w:ind w:left="0" w:right="0" w:firstLine="640"/>
        <w:jc w:val="both"/>
        <w:rPr>
          <w:sz w:val="19"/>
          <w:szCs w:val="19"/>
        </w:rPr>
      </w:pPr>
      <w:r>
        <w:fldChar w:fldCharType="begin"/>
      </w:r>
      <w:r>
        <w:instrText xml:space="preserve"> TOC \o "1-5" \h \z </w:instrText>
      </w:r>
      <w:r>
        <w:fldChar w:fldCharType="separate"/>
      </w:r>
      <w:r>
        <w:fldChar w:fldCharType="begin"/>
      </w:r>
      <w:r>
        <w:instrText xml:space="preserve"> HYPERLINK \l "bookmark530" \o "Current Document" \h </w:instrText>
      </w:r>
      <w:r>
        <w:fldChar w:fldCharType="separate"/>
      </w:r>
      <w:r>
        <w:rPr>
          <w:color w:val="000000"/>
          <w:spacing w:val="0"/>
          <w:w w:val="100"/>
          <w:position w:val="0"/>
          <w:sz w:val="18"/>
          <w:szCs w:val="18"/>
        </w:rPr>
        <w:t>货运代理转委托行为的效力规则/方新军</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420</w:t>
      </w:r>
      <w:r>
        <w:rPr>
          <w:rFonts w:ascii="Times New Roman" w:hAnsi="Times New Roman" w:eastAsia="Times New Roman" w:cs="Times New Roman"/>
          <w:color w:val="000000"/>
          <w:spacing w:val="0"/>
          <w:w w:val="100"/>
          <w:position w:val="0"/>
          <w:sz w:val="19"/>
          <w:szCs w:val="19"/>
        </w:rPr>
        <w:fldChar w:fldCharType="end"/>
      </w:r>
    </w:p>
    <w:p w14:paraId="001FEBB0">
      <w:pPr>
        <w:pStyle w:val="23"/>
        <w:keepNext w:val="0"/>
        <w:keepLines w:val="0"/>
        <w:widowControl w:val="0"/>
        <w:shd w:val="clear" w:color="auto" w:fill="auto"/>
        <w:bidi w:val="0"/>
        <w:spacing w:before="0" w:after="0" w:line="312" w:lineRule="exact"/>
        <w:ind w:left="640" w:right="0" w:firstLine="20"/>
        <w:jc w:val="both"/>
      </w:pPr>
      <w:r>
        <w:rPr>
          <w:color w:val="000000"/>
          <w:spacing w:val="0"/>
          <w:w w:val="100"/>
          <w:position w:val="0"/>
        </w:rPr>
        <w:t>宁波维度纺织品有限公司与建峰（上海）国际货运代理有限公司、建峰（上海）国际货运 代理有限公司宁波分公司海上、通海水域货物运输合同纠纷丨浙江省高级人民法院</w:t>
      </w:r>
    </w:p>
    <w:p w14:paraId="585D2897">
      <w:pPr>
        <w:pStyle w:val="23"/>
        <w:keepNext w:val="0"/>
        <w:keepLines w:val="0"/>
        <w:widowControl w:val="0"/>
        <w:shd w:val="clear" w:color="auto" w:fill="auto"/>
        <w:bidi w:val="0"/>
        <w:spacing w:before="0" w:after="140" w:line="312" w:lineRule="exact"/>
        <w:ind w:left="0" w:right="0" w:firstLine="640"/>
        <w:jc w:val="left"/>
      </w:pP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浙海终字第</w:t>
      </w:r>
      <w:r>
        <w:rPr>
          <w:rFonts w:ascii="Times New Roman" w:hAnsi="Times New Roman" w:eastAsia="Times New Roman" w:cs="Times New Roman"/>
          <w:color w:val="000000"/>
          <w:spacing w:val="0"/>
          <w:w w:val="100"/>
          <w:position w:val="0"/>
          <w:sz w:val="17"/>
          <w:szCs w:val="17"/>
        </w:rPr>
        <w:t>102</w:t>
      </w:r>
      <w:r>
        <w:rPr>
          <w:color w:val="000000"/>
          <w:spacing w:val="0"/>
          <w:w w:val="100"/>
          <w:position w:val="0"/>
        </w:rPr>
        <w:t>号民事判决书</w:t>
      </w:r>
    </w:p>
    <w:p w14:paraId="5580109B">
      <w:pPr>
        <w:pStyle w:val="23"/>
        <w:keepNext w:val="0"/>
        <w:keepLines w:val="0"/>
        <w:widowControl w:val="0"/>
        <w:shd w:val="clear" w:color="auto" w:fill="auto"/>
        <w:tabs>
          <w:tab w:val="left" w:pos="7545"/>
        </w:tabs>
        <w:bidi w:val="0"/>
        <w:spacing w:before="0" w:after="0" w:line="312" w:lineRule="exact"/>
        <w:ind w:left="0" w:right="0" w:firstLine="640"/>
        <w:jc w:val="both"/>
        <w:rPr>
          <w:sz w:val="19"/>
          <w:szCs w:val="19"/>
        </w:rPr>
      </w:pPr>
      <w:r>
        <w:fldChar w:fldCharType="begin"/>
      </w:r>
      <w:r>
        <w:instrText xml:space="preserve"> HYPERLINK \l "bookmark536" \o "Current Document" \h </w:instrText>
      </w:r>
      <w:r>
        <w:fldChar w:fldCharType="separate"/>
      </w:r>
      <w:r>
        <w:rPr>
          <w:color w:val="000000"/>
          <w:spacing w:val="0"/>
          <w:w w:val="100"/>
          <w:position w:val="0"/>
          <w:sz w:val="18"/>
          <w:szCs w:val="18"/>
        </w:rPr>
        <w:t>合伙关系的认定/严城</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425</w:t>
      </w:r>
      <w:r>
        <w:rPr>
          <w:rFonts w:ascii="Times New Roman" w:hAnsi="Times New Roman" w:eastAsia="Times New Roman" w:cs="Times New Roman"/>
          <w:color w:val="000000"/>
          <w:spacing w:val="0"/>
          <w:w w:val="100"/>
          <w:position w:val="0"/>
          <w:sz w:val="19"/>
          <w:szCs w:val="19"/>
        </w:rPr>
        <w:fldChar w:fldCharType="end"/>
      </w:r>
    </w:p>
    <w:p w14:paraId="3A3681DD">
      <w:pPr>
        <w:pStyle w:val="23"/>
        <w:keepNext w:val="0"/>
        <w:keepLines w:val="0"/>
        <w:widowControl w:val="0"/>
        <w:shd w:val="clear" w:color="auto" w:fill="auto"/>
        <w:bidi w:val="0"/>
        <w:spacing w:before="0" w:after="0" w:line="312" w:lineRule="exact"/>
        <w:ind w:left="0" w:right="0" w:firstLine="640"/>
        <w:jc w:val="both"/>
      </w:pPr>
      <w:r>
        <w:rPr>
          <w:color w:val="000000"/>
          <w:spacing w:val="0"/>
          <w:w w:val="100"/>
          <w:position w:val="0"/>
        </w:rPr>
        <w:t>刘永林、内蒙古金泽煤业有限责任公司与吕文斌、大连金泽矿业有限公司合伙协议纠</w:t>
      </w:r>
    </w:p>
    <w:p w14:paraId="714257A2">
      <w:pPr>
        <w:pStyle w:val="23"/>
        <w:keepNext w:val="0"/>
        <w:keepLines w:val="0"/>
        <w:widowControl w:val="0"/>
        <w:shd w:val="clear" w:color="auto" w:fill="auto"/>
        <w:bidi w:val="0"/>
        <w:spacing w:before="0" w:after="140" w:line="312" w:lineRule="exact"/>
        <w:ind w:left="0" w:right="0" w:firstLine="640"/>
        <w:jc w:val="both"/>
      </w:pPr>
      <w:r>
        <w:rPr>
          <w:color w:val="000000"/>
          <w:spacing w:val="0"/>
          <w:w w:val="100"/>
          <w:position w:val="0"/>
        </w:rPr>
        <w:t>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69</w:t>
      </w:r>
      <w:r>
        <w:rPr>
          <w:color w:val="000000"/>
          <w:spacing w:val="0"/>
          <w:w w:val="100"/>
          <w:position w:val="0"/>
        </w:rPr>
        <w:t>号民事判决书</w:t>
      </w:r>
    </w:p>
    <w:p w14:paraId="120BB744">
      <w:pPr>
        <w:pStyle w:val="23"/>
        <w:keepNext w:val="0"/>
        <w:keepLines w:val="0"/>
        <w:widowControl w:val="0"/>
        <w:shd w:val="clear" w:color="auto" w:fill="auto"/>
        <w:tabs>
          <w:tab w:val="left" w:pos="7545"/>
        </w:tabs>
        <w:bidi w:val="0"/>
        <w:spacing w:before="0" w:after="0" w:line="312" w:lineRule="exact"/>
        <w:ind w:left="0" w:right="0" w:firstLine="640"/>
        <w:jc w:val="both"/>
        <w:rPr>
          <w:sz w:val="19"/>
          <w:szCs w:val="19"/>
        </w:rPr>
      </w:pPr>
      <w:r>
        <w:fldChar w:fldCharType="begin"/>
      </w:r>
      <w:r>
        <w:instrText xml:space="preserve"> HYPERLINK \l "bookmark539" \o "Current Document" \h </w:instrText>
      </w:r>
      <w:r>
        <w:fldChar w:fldCharType="separate"/>
      </w:r>
      <w:r>
        <w:rPr>
          <w:color w:val="000000"/>
          <w:spacing w:val="0"/>
          <w:w w:val="100"/>
          <w:position w:val="0"/>
          <w:sz w:val="18"/>
          <w:szCs w:val="18"/>
        </w:rPr>
        <w:t>不当得利当事人确定和善意得利人返还范围规则/赵文杰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430</w:t>
      </w:r>
      <w:r>
        <w:rPr>
          <w:rFonts w:ascii="Times New Roman" w:hAnsi="Times New Roman" w:eastAsia="Times New Roman" w:cs="Times New Roman"/>
          <w:color w:val="000000"/>
          <w:spacing w:val="0"/>
          <w:w w:val="100"/>
          <w:position w:val="0"/>
          <w:sz w:val="19"/>
          <w:szCs w:val="19"/>
        </w:rPr>
        <w:fldChar w:fldCharType="end"/>
      </w:r>
    </w:p>
    <w:p w14:paraId="0A4F6F45">
      <w:pPr>
        <w:pStyle w:val="23"/>
        <w:keepNext w:val="0"/>
        <w:keepLines w:val="0"/>
        <w:widowControl w:val="0"/>
        <w:shd w:val="clear" w:color="auto" w:fill="auto"/>
        <w:bidi w:val="0"/>
        <w:spacing w:before="0" w:after="0" w:line="312" w:lineRule="exact"/>
        <w:ind w:left="0" w:right="0" w:firstLine="640"/>
        <w:jc w:val="both"/>
      </w:pPr>
      <w:r>
        <w:rPr>
          <w:color w:val="000000"/>
          <w:spacing w:val="0"/>
          <w:w w:val="100"/>
          <w:position w:val="0"/>
        </w:rPr>
        <w:t>刘忠友与南昌市市政建设有限公司、江西省福振路桥建筑工程有限公司建设工程合同</w:t>
      </w:r>
    </w:p>
    <w:p w14:paraId="4398054D">
      <w:pPr>
        <w:pStyle w:val="23"/>
        <w:keepNext w:val="0"/>
        <w:keepLines w:val="0"/>
        <w:widowControl w:val="0"/>
        <w:shd w:val="clear" w:color="auto" w:fill="auto"/>
        <w:bidi w:val="0"/>
        <w:spacing w:before="0" w:after="740" w:line="312" w:lineRule="exact"/>
        <w:ind w:left="0" w:right="0" w:firstLine="640"/>
        <w:jc w:val="both"/>
      </w:pPr>
      <w:r>
        <w:rPr>
          <w:color w:val="000000"/>
          <w:spacing w:val="0"/>
          <w:w w:val="100"/>
          <w:position w:val="0"/>
        </w:rPr>
        <w:t>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287</w:t>
      </w:r>
      <w:r>
        <w:rPr>
          <w:color w:val="000000"/>
          <w:spacing w:val="0"/>
          <w:w w:val="100"/>
          <w:position w:val="0"/>
        </w:rPr>
        <w:t>号民事判决书</w:t>
      </w:r>
    </w:p>
    <w:p w14:paraId="31781EA0">
      <w:pPr>
        <w:pStyle w:val="23"/>
        <w:keepNext w:val="0"/>
        <w:keepLines w:val="0"/>
        <w:widowControl w:val="0"/>
        <w:shd w:val="clear" w:color="auto" w:fill="auto"/>
        <w:tabs>
          <w:tab w:val="left" w:pos="6544"/>
        </w:tabs>
        <w:bidi w:val="0"/>
        <w:spacing w:before="0" w:after="480" w:line="240" w:lineRule="auto"/>
        <w:ind w:left="3460" w:right="0" w:firstLine="0"/>
        <w:jc w:val="left"/>
      </w:pPr>
      <w:r>
        <w:rPr>
          <w:color w:val="000000"/>
          <w:spacing w:val="0"/>
          <w:w w:val="100"/>
          <w:position w:val="0"/>
          <w:sz w:val="26"/>
          <w:szCs w:val="26"/>
        </w:rPr>
        <w:t>侵 权</w:t>
      </w:r>
      <w:r>
        <w:rPr>
          <w:color w:val="000000"/>
          <w:spacing w:val="0"/>
          <w:w w:val="100"/>
          <w:position w:val="0"/>
          <w:sz w:val="26"/>
          <w:szCs w:val="26"/>
        </w:rPr>
        <w:tab/>
      </w:r>
      <w:r>
        <w:rPr>
          <w:color w:val="000000"/>
          <w:spacing w:val="0"/>
          <w:w w:val="100"/>
          <w:position w:val="0"/>
        </w:rPr>
        <w:t>整</w:t>
      </w:r>
    </w:p>
    <w:p w14:paraId="67D718FC">
      <w:pPr>
        <w:pStyle w:val="23"/>
        <w:keepNext w:val="0"/>
        <w:keepLines w:val="0"/>
        <w:widowControl w:val="0"/>
        <w:shd w:val="clear" w:color="auto" w:fill="auto"/>
        <w:tabs>
          <w:tab w:val="left" w:pos="7545"/>
        </w:tabs>
        <w:bidi w:val="0"/>
        <w:spacing w:before="0" w:line="240" w:lineRule="auto"/>
        <w:ind w:left="0" w:right="0" w:firstLine="640"/>
        <w:jc w:val="both"/>
        <w:rPr>
          <w:sz w:val="19"/>
          <w:szCs w:val="19"/>
        </w:rPr>
      </w:pPr>
      <w:r>
        <w:fldChar w:fldCharType="begin"/>
      </w:r>
      <w:r>
        <w:instrText xml:space="preserve"> HYPERLINK \l "bookmark547" \o "Current Document" \h </w:instrText>
      </w:r>
      <w:r>
        <w:fldChar w:fldCharType="separate"/>
      </w:r>
      <w:r>
        <w:rPr>
          <w:color w:val="000000"/>
          <w:spacing w:val="0"/>
          <w:w w:val="100"/>
          <w:position w:val="0"/>
          <w:sz w:val="18"/>
          <w:szCs w:val="18"/>
        </w:rPr>
        <w:t>受害人特殊体质与损害赔偿责任的减轻/程啸</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435</w:t>
      </w:r>
      <w:r>
        <w:rPr>
          <w:rFonts w:ascii="Times New Roman" w:hAnsi="Times New Roman" w:eastAsia="Times New Roman" w:cs="Times New Roman"/>
          <w:color w:val="000000"/>
          <w:spacing w:val="0"/>
          <w:w w:val="100"/>
          <w:position w:val="0"/>
          <w:sz w:val="19"/>
          <w:szCs w:val="19"/>
        </w:rPr>
        <w:fldChar w:fldCharType="end"/>
      </w:r>
    </w:p>
    <w:p w14:paraId="71B11091">
      <w:pPr>
        <w:pStyle w:val="23"/>
        <w:keepNext w:val="0"/>
        <w:keepLines w:val="0"/>
        <w:widowControl w:val="0"/>
        <w:shd w:val="clear" w:color="auto" w:fill="auto"/>
        <w:bidi w:val="0"/>
        <w:spacing w:before="0" w:line="240" w:lineRule="auto"/>
        <w:ind w:left="0" w:right="0" w:firstLine="640"/>
        <w:jc w:val="left"/>
      </w:pPr>
      <w:r>
        <w:rPr>
          <w:color w:val="000000"/>
          <w:spacing w:val="0"/>
          <w:w w:val="100"/>
          <w:position w:val="0"/>
        </w:rPr>
        <w:t>荣宝英诉王阳、永诚财产保险股份有限公司江阴支公司机动车交通事故责任纠纷案丨</w:t>
      </w:r>
    </w:p>
    <w:p w14:paraId="2C45E801">
      <w:pPr>
        <w:pStyle w:val="23"/>
        <w:keepNext w:val="0"/>
        <w:keepLines w:val="0"/>
        <w:widowControl w:val="0"/>
        <w:shd w:val="clear" w:color="auto" w:fill="auto"/>
        <w:bidi w:val="0"/>
        <w:spacing w:before="0" w:after="240" w:line="240" w:lineRule="auto"/>
        <w:ind w:left="0" w:right="0" w:firstLine="640"/>
        <w:jc w:val="left"/>
      </w:pPr>
      <w:r>
        <w:rPr>
          <w:color w:val="000000"/>
          <w:spacing w:val="0"/>
          <w:w w:val="100"/>
          <w:position w:val="0"/>
        </w:rPr>
        <w:t>最高人民法院第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号指导案例</w:t>
      </w:r>
    </w:p>
    <w:p w14:paraId="61DCA515">
      <w:pPr>
        <w:pStyle w:val="23"/>
        <w:keepNext w:val="0"/>
        <w:keepLines w:val="0"/>
        <w:widowControl w:val="0"/>
        <w:shd w:val="clear" w:color="auto" w:fill="auto"/>
        <w:tabs>
          <w:tab w:val="left" w:pos="7545"/>
        </w:tabs>
        <w:bidi w:val="0"/>
        <w:spacing w:before="0" w:line="240" w:lineRule="auto"/>
        <w:ind w:left="0" w:right="0" w:firstLine="640"/>
        <w:jc w:val="both"/>
        <w:rPr>
          <w:sz w:val="19"/>
          <w:szCs w:val="19"/>
        </w:rPr>
      </w:pPr>
      <w:r>
        <w:rPr>
          <w:color w:val="000000"/>
          <w:spacing w:val="0"/>
          <w:w w:val="100"/>
          <w:position w:val="0"/>
          <w:sz w:val="18"/>
          <w:szCs w:val="18"/>
        </w:rPr>
        <w:t>数人侵权责任规则的检索顺序及共同过失的认定/曹险峰</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440</w:t>
      </w:r>
    </w:p>
    <w:p w14:paraId="6897002C">
      <w:pPr>
        <w:pStyle w:val="23"/>
        <w:keepNext w:val="0"/>
        <w:keepLines w:val="0"/>
        <w:widowControl w:val="0"/>
        <w:shd w:val="clear" w:color="auto" w:fill="auto"/>
        <w:bidi w:val="0"/>
        <w:spacing w:before="0" w:line="240" w:lineRule="auto"/>
        <w:ind w:left="0" w:right="0" w:firstLine="640"/>
        <w:jc w:val="both"/>
      </w:pPr>
      <w:r>
        <w:rPr>
          <w:color w:val="000000"/>
          <w:spacing w:val="0"/>
          <w:w w:val="100"/>
          <w:position w:val="0"/>
        </w:rPr>
        <w:t>杨丐俊与中国工商银行股份有限公司澧县支行、兴业银行股份有限公司长沙分行等财</w:t>
      </w:r>
    </w:p>
    <w:p w14:paraId="3E7DEF78">
      <w:pPr>
        <w:pStyle w:val="23"/>
        <w:keepNext w:val="0"/>
        <w:keepLines w:val="0"/>
        <w:widowControl w:val="0"/>
        <w:shd w:val="clear" w:color="auto" w:fill="auto"/>
        <w:bidi w:val="0"/>
        <w:spacing w:before="0" w:after="240" w:line="240" w:lineRule="auto"/>
        <w:ind w:left="0" w:right="0" w:firstLine="640"/>
        <w:jc w:val="left"/>
      </w:pPr>
      <w:r>
        <w:rPr>
          <w:color w:val="000000"/>
          <w:spacing w:val="0"/>
          <w:w w:val="100"/>
          <w:position w:val="0"/>
        </w:rPr>
        <w:t>产损害赔偿纠纷案丨最高人民法院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159</w:t>
      </w:r>
      <w:r>
        <w:rPr>
          <w:color w:val="000000"/>
          <w:spacing w:val="0"/>
          <w:w w:val="100"/>
          <w:position w:val="0"/>
        </w:rPr>
        <w:t>号民事判决书</w:t>
      </w:r>
    </w:p>
    <w:p w14:paraId="5A9C1951">
      <w:pPr>
        <w:pStyle w:val="23"/>
        <w:keepNext w:val="0"/>
        <w:keepLines w:val="0"/>
        <w:widowControl w:val="0"/>
        <w:shd w:val="clear" w:color="auto" w:fill="auto"/>
        <w:tabs>
          <w:tab w:val="left" w:pos="7545"/>
        </w:tabs>
        <w:bidi w:val="0"/>
        <w:spacing w:before="0" w:line="240" w:lineRule="auto"/>
        <w:ind w:left="0" w:right="0" w:firstLine="640"/>
        <w:jc w:val="both"/>
        <w:rPr>
          <w:sz w:val="19"/>
          <w:szCs w:val="19"/>
        </w:rPr>
      </w:pPr>
      <w:r>
        <w:fldChar w:fldCharType="begin"/>
      </w:r>
      <w:r>
        <w:instrText xml:space="preserve"> HYPERLINK \l "bookmark567" \o "Current Document" \h </w:instrText>
      </w:r>
      <w:r>
        <w:fldChar w:fldCharType="separate"/>
      </w:r>
      <w:r>
        <w:rPr>
          <w:color w:val="000000"/>
          <w:spacing w:val="0"/>
          <w:w w:val="100"/>
          <w:position w:val="0"/>
          <w:sz w:val="18"/>
          <w:szCs w:val="18"/>
        </w:rPr>
        <w:t>擅自转让旅游业务与连带责任/孙维飞</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445</w:t>
      </w:r>
      <w:r>
        <w:rPr>
          <w:rFonts w:ascii="Times New Roman" w:hAnsi="Times New Roman" w:eastAsia="Times New Roman" w:cs="Times New Roman"/>
          <w:color w:val="000000"/>
          <w:spacing w:val="0"/>
          <w:w w:val="100"/>
          <w:position w:val="0"/>
          <w:sz w:val="19"/>
          <w:szCs w:val="19"/>
        </w:rPr>
        <w:fldChar w:fldCharType="end"/>
      </w:r>
    </w:p>
    <w:p w14:paraId="5E5DA20E">
      <w:pPr>
        <w:pStyle w:val="23"/>
        <w:keepNext w:val="0"/>
        <w:keepLines w:val="0"/>
        <w:widowControl w:val="0"/>
        <w:shd w:val="clear" w:color="auto" w:fill="auto"/>
        <w:bidi w:val="0"/>
        <w:spacing w:before="0" w:line="240" w:lineRule="auto"/>
        <w:ind w:left="0" w:right="0" w:firstLine="640"/>
        <w:jc w:val="both"/>
      </w:pPr>
      <w:r>
        <w:rPr>
          <w:color w:val="000000"/>
          <w:spacing w:val="0"/>
          <w:w w:val="100"/>
          <w:position w:val="0"/>
        </w:rPr>
        <w:t>焦建军与江苏省中山国际旅行社有限公司、第三人中国康辉南京国际旅行社有限责任</w:t>
      </w:r>
    </w:p>
    <w:p w14:paraId="590DA77B">
      <w:pPr>
        <w:pStyle w:val="23"/>
        <w:keepNext w:val="0"/>
        <w:keepLines w:val="0"/>
        <w:widowControl w:val="0"/>
        <w:shd w:val="clear" w:color="auto" w:fill="auto"/>
        <w:bidi w:val="0"/>
        <w:spacing w:before="0" w:after="240" w:line="240" w:lineRule="auto"/>
        <w:ind w:left="0" w:right="0" w:firstLine="640"/>
        <w:jc w:val="both"/>
      </w:pPr>
      <w:r>
        <w:rPr>
          <w:color w:val="000000"/>
          <w:spacing w:val="0"/>
          <w:w w:val="100"/>
          <w:position w:val="0"/>
        </w:rPr>
        <w:t>公司旅游侵权纠纷案丨《最高人民法院公报》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0A944996">
      <w:pPr>
        <w:pStyle w:val="23"/>
        <w:keepNext w:val="0"/>
        <w:keepLines w:val="0"/>
        <w:widowControl w:val="0"/>
        <w:shd w:val="clear" w:color="auto" w:fill="auto"/>
        <w:tabs>
          <w:tab w:val="left" w:pos="7545"/>
        </w:tabs>
        <w:bidi w:val="0"/>
        <w:spacing w:before="0" w:line="240" w:lineRule="auto"/>
        <w:ind w:left="0" w:right="0" w:firstLine="640"/>
        <w:jc w:val="both"/>
        <w:rPr>
          <w:sz w:val="19"/>
          <w:szCs w:val="19"/>
        </w:rPr>
      </w:pPr>
      <w:r>
        <w:fldChar w:fldCharType="begin"/>
      </w:r>
      <w:r>
        <w:instrText xml:space="preserve"> HYPERLINK \l "bookmark577" \o "Current Document" \h </w:instrText>
      </w:r>
      <w:r>
        <w:fldChar w:fldCharType="separate"/>
      </w:r>
      <w:r>
        <w:rPr>
          <w:color w:val="000000"/>
          <w:spacing w:val="0"/>
          <w:w w:val="100"/>
          <w:position w:val="0"/>
          <w:sz w:val="18"/>
          <w:szCs w:val="18"/>
        </w:rPr>
        <w:t>刑事受害人的民事赔偿范围/石冠彬</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449</w:t>
      </w:r>
      <w:r>
        <w:rPr>
          <w:rFonts w:ascii="Times New Roman" w:hAnsi="Times New Roman" w:eastAsia="Times New Roman" w:cs="Times New Roman"/>
          <w:color w:val="000000"/>
          <w:spacing w:val="0"/>
          <w:w w:val="100"/>
          <w:position w:val="0"/>
          <w:sz w:val="19"/>
          <w:szCs w:val="19"/>
        </w:rPr>
        <w:fldChar w:fldCharType="end"/>
      </w:r>
    </w:p>
    <w:p w14:paraId="385BE186">
      <w:pPr>
        <w:pStyle w:val="23"/>
        <w:keepNext w:val="0"/>
        <w:keepLines w:val="0"/>
        <w:widowControl w:val="0"/>
        <w:shd w:val="clear" w:color="auto" w:fill="auto"/>
        <w:bidi w:val="0"/>
        <w:spacing w:before="0" w:after="240" w:line="240" w:lineRule="auto"/>
        <w:ind w:left="0" w:right="0" w:firstLine="640"/>
        <w:jc w:val="left"/>
      </w:pPr>
      <w:r>
        <w:rPr>
          <w:color w:val="000000"/>
          <w:spacing w:val="0"/>
          <w:w w:val="100"/>
          <w:position w:val="0"/>
        </w:rPr>
        <w:t>尹瑞军诉颜礼奎健康权、身体权纠纷案丨《最高人民法院公报》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C84FF9C">
      <w:pPr>
        <w:pStyle w:val="23"/>
        <w:keepNext w:val="0"/>
        <w:keepLines w:val="0"/>
        <w:widowControl w:val="0"/>
        <w:shd w:val="clear" w:color="auto" w:fill="auto"/>
        <w:tabs>
          <w:tab w:val="left" w:pos="7545"/>
        </w:tabs>
        <w:bidi w:val="0"/>
        <w:spacing w:before="0" w:after="140" w:line="240" w:lineRule="auto"/>
        <w:ind w:left="0" w:right="0" w:firstLine="640"/>
        <w:jc w:val="both"/>
        <w:rPr>
          <w:sz w:val="19"/>
          <w:szCs w:val="19"/>
        </w:rPr>
      </w:pPr>
      <w:r>
        <w:fldChar w:fldCharType="begin"/>
      </w:r>
      <w:r>
        <w:instrText xml:space="preserve"> HYPERLINK \l "bookmark580" \o "Current Document" \h </w:instrText>
      </w:r>
      <w:r>
        <w:fldChar w:fldCharType="separate"/>
      </w:r>
      <w:r>
        <w:rPr>
          <w:color w:val="000000"/>
          <w:spacing w:val="0"/>
          <w:w w:val="100"/>
          <w:position w:val="0"/>
          <w:sz w:val="18"/>
          <w:szCs w:val="18"/>
        </w:rPr>
        <w:t>按因侵权所获利益认定赔偿额的方法/王好</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454</w:t>
      </w:r>
      <w:r>
        <w:rPr>
          <w:rFonts w:ascii="Times New Roman" w:hAnsi="Times New Roman" w:eastAsia="Times New Roman" w:cs="Times New Roman"/>
          <w:color w:val="000000"/>
          <w:spacing w:val="0"/>
          <w:w w:val="100"/>
          <w:position w:val="0"/>
          <w:sz w:val="19"/>
          <w:szCs w:val="19"/>
        </w:rPr>
        <w:fldChar w:fldCharType="end"/>
      </w:r>
    </w:p>
    <w:p w14:paraId="34907B10">
      <w:pPr>
        <w:pStyle w:val="23"/>
        <w:keepNext w:val="0"/>
        <w:keepLines w:val="0"/>
        <w:widowControl w:val="0"/>
        <w:shd w:val="clear" w:color="auto" w:fill="auto"/>
        <w:bidi w:val="0"/>
        <w:spacing w:before="0" w:line="240" w:lineRule="auto"/>
        <w:ind w:left="0" w:right="0" w:firstLine="640"/>
        <w:jc w:val="both"/>
      </w:pPr>
      <w:r>
        <w:rPr>
          <w:color w:val="000000"/>
          <w:spacing w:val="0"/>
          <w:w w:val="100"/>
          <w:position w:val="0"/>
        </w:rPr>
        <w:t>无锡国威陶瓷电器有限公司、蒋国屏与常熟市林芝电热器件有限公司、苏宁易购集团</w:t>
      </w:r>
    </w:p>
    <w:p w14:paraId="6FA8B094">
      <w:pPr>
        <w:pStyle w:val="23"/>
        <w:keepNext w:val="0"/>
        <w:keepLines w:val="0"/>
        <w:widowControl w:val="0"/>
        <w:shd w:val="clear" w:color="auto" w:fill="auto"/>
        <w:bidi w:val="0"/>
        <w:spacing w:before="0" w:after="240" w:line="240" w:lineRule="auto"/>
        <w:ind w:left="0" w:right="0" w:firstLine="640"/>
        <w:jc w:val="left"/>
      </w:pPr>
      <w:r>
        <w:rPr>
          <w:color w:val="000000"/>
          <w:spacing w:val="0"/>
          <w:w w:val="100"/>
          <w:position w:val="0"/>
        </w:rPr>
        <w:t>股份有限公司侵害实用新型专利权纠纷案丨《最高人民法院公报》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34610D4">
      <w:pPr>
        <w:pStyle w:val="23"/>
        <w:keepNext w:val="0"/>
        <w:keepLines w:val="0"/>
        <w:widowControl w:val="0"/>
        <w:shd w:val="clear" w:color="auto" w:fill="auto"/>
        <w:tabs>
          <w:tab w:val="left" w:pos="7545"/>
        </w:tabs>
        <w:bidi w:val="0"/>
        <w:spacing w:before="0" w:line="240" w:lineRule="auto"/>
        <w:ind w:left="0" w:right="0" w:firstLine="640"/>
        <w:jc w:val="left"/>
        <w:rPr>
          <w:sz w:val="19"/>
          <w:szCs w:val="19"/>
        </w:rPr>
      </w:pPr>
      <w:r>
        <w:fldChar w:fldCharType="begin"/>
      </w:r>
      <w:r>
        <w:instrText xml:space="preserve"> HYPERLINK \l "bookmark586" \o "Current Document" \h </w:instrText>
      </w:r>
      <w:r>
        <w:fldChar w:fldCharType="separate"/>
      </w:r>
      <w:r>
        <w:rPr>
          <w:color w:val="000000"/>
          <w:spacing w:val="0"/>
          <w:w w:val="100"/>
          <w:position w:val="0"/>
          <w:sz w:val="18"/>
          <w:szCs w:val="18"/>
        </w:rPr>
        <w:t>纯粹经济损失的侵权责任法保护/李昊</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459</w:t>
      </w:r>
      <w:r>
        <w:rPr>
          <w:rFonts w:ascii="Times New Roman" w:hAnsi="Times New Roman" w:eastAsia="Times New Roman" w:cs="Times New Roman"/>
          <w:color w:val="000000"/>
          <w:spacing w:val="0"/>
          <w:w w:val="100"/>
          <w:position w:val="0"/>
          <w:sz w:val="19"/>
          <w:szCs w:val="19"/>
        </w:rPr>
        <w:fldChar w:fldCharType="end"/>
      </w:r>
    </w:p>
    <w:p w14:paraId="499F9981">
      <w:pPr>
        <w:pStyle w:val="23"/>
        <w:keepNext w:val="0"/>
        <w:keepLines w:val="0"/>
        <w:widowControl w:val="0"/>
        <w:shd w:val="clear" w:color="auto" w:fill="auto"/>
        <w:bidi w:val="0"/>
        <w:spacing w:before="0" w:line="240" w:lineRule="auto"/>
        <w:ind w:left="0" w:right="0" w:firstLine="640"/>
        <w:jc w:val="left"/>
      </w:pPr>
      <w:r>
        <w:rPr>
          <w:color w:val="000000"/>
          <w:spacing w:val="0"/>
          <w:w w:val="100"/>
          <w:position w:val="0"/>
        </w:rPr>
        <w:t>黔江区永安建筑有限责任公司诉黔江区民族医院、黔江区供电有限责任公司财产损害</w:t>
      </w:r>
    </w:p>
    <w:p w14:paraId="37DECE54">
      <w:pPr>
        <w:pStyle w:val="23"/>
        <w:keepNext w:val="0"/>
        <w:keepLines w:val="0"/>
        <w:widowControl w:val="0"/>
        <w:shd w:val="clear" w:color="auto" w:fill="auto"/>
        <w:bidi w:val="0"/>
        <w:spacing w:before="0" w:after="240" w:line="240" w:lineRule="auto"/>
        <w:ind w:left="0" w:right="0" w:firstLine="640"/>
        <w:jc w:val="left"/>
      </w:pPr>
      <w:r>
        <w:rPr>
          <w:color w:val="000000"/>
          <w:spacing w:val="0"/>
          <w:w w:val="100"/>
          <w:position w:val="0"/>
        </w:rPr>
        <w:t>赔偿纠纷案</w:t>
      </w:r>
      <w:r>
        <w:rPr>
          <w:color w:val="000000"/>
          <w:spacing w:val="0"/>
          <w:w w:val="100"/>
          <w:position w:val="0"/>
          <w:lang w:val="zh-CN" w:eastAsia="zh-CN" w:bidi="zh-CN"/>
        </w:rPr>
        <w:t>|</w:t>
      </w:r>
      <w:r>
        <w:rPr>
          <w:color w:val="000000"/>
          <w:spacing w:val="0"/>
          <w:w w:val="100"/>
          <w:position w:val="0"/>
        </w:rPr>
        <w:t>重庆市第四中级人民法院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渝四中法民一终字第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号民事判决书</w:t>
      </w:r>
    </w:p>
    <w:p w14:paraId="18F5EA00">
      <w:pPr>
        <w:pStyle w:val="23"/>
        <w:keepNext w:val="0"/>
        <w:keepLines w:val="0"/>
        <w:widowControl w:val="0"/>
        <w:shd w:val="clear" w:color="auto" w:fill="auto"/>
        <w:tabs>
          <w:tab w:val="left" w:pos="7545"/>
        </w:tabs>
        <w:bidi w:val="0"/>
        <w:spacing w:before="0" w:line="240" w:lineRule="auto"/>
        <w:ind w:left="0" w:right="0" w:firstLine="640"/>
        <w:jc w:val="both"/>
        <w:rPr>
          <w:sz w:val="19"/>
          <w:szCs w:val="19"/>
        </w:rPr>
      </w:pPr>
      <w:r>
        <w:fldChar w:fldCharType="begin"/>
      </w:r>
      <w:r>
        <w:instrText xml:space="preserve"> HYPERLINK \l "bookmark589" \o "Current Document" \h </w:instrText>
      </w:r>
      <w:r>
        <w:fldChar w:fldCharType="separate"/>
      </w:r>
      <w:r>
        <w:rPr>
          <w:color w:val="000000"/>
          <w:spacing w:val="0"/>
          <w:w w:val="100"/>
          <w:position w:val="0"/>
          <w:sz w:val="18"/>
          <w:szCs w:val="18"/>
        </w:rPr>
        <w:t>适用公平责任规则是否以存在法律因果关系为要件/王文胜</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464</w:t>
      </w:r>
      <w:r>
        <w:rPr>
          <w:rFonts w:ascii="Times New Roman" w:hAnsi="Times New Roman" w:eastAsia="Times New Roman" w:cs="Times New Roman"/>
          <w:color w:val="000000"/>
          <w:spacing w:val="0"/>
          <w:w w:val="100"/>
          <w:position w:val="0"/>
          <w:sz w:val="19"/>
          <w:szCs w:val="19"/>
        </w:rPr>
        <w:fldChar w:fldCharType="end"/>
      </w:r>
      <w:r>
        <w:fldChar w:fldCharType="end"/>
      </w:r>
    </w:p>
    <w:p w14:paraId="617D56CE">
      <w:pPr>
        <w:pStyle w:val="17"/>
        <w:keepNext w:val="0"/>
        <w:keepLines w:val="0"/>
        <w:widowControl w:val="0"/>
        <w:shd w:val="clear" w:color="auto" w:fill="auto"/>
        <w:bidi w:val="0"/>
        <w:spacing w:before="0" w:after="140" w:line="240" w:lineRule="auto"/>
        <w:ind w:left="0" w:right="0" w:firstLine="640"/>
        <w:jc w:val="left"/>
      </w:pPr>
      <w:r>
        <w:rPr>
          <w:color w:val="000000"/>
          <w:spacing w:val="0"/>
          <w:w w:val="100"/>
          <w:position w:val="0"/>
        </w:rPr>
        <w:t>田九菊诉杨帆生命权纠纷案丨河南省郑州市中级人民法院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豫</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14848</w:t>
      </w:r>
      <w:r>
        <w:rPr>
          <w:color w:val="000000"/>
          <w:spacing w:val="0"/>
          <w:w w:val="100"/>
          <w:position w:val="0"/>
        </w:rPr>
        <w:t>号</w:t>
      </w:r>
    </w:p>
    <w:p w14:paraId="27369067">
      <w:pPr>
        <w:pStyle w:val="17"/>
        <w:keepNext w:val="0"/>
        <w:keepLines w:val="0"/>
        <w:widowControl w:val="0"/>
        <w:shd w:val="clear" w:color="auto" w:fill="auto"/>
        <w:bidi w:val="0"/>
        <w:spacing w:before="0" w:after="100" w:line="240" w:lineRule="auto"/>
        <w:ind w:left="0" w:right="0" w:firstLine="640"/>
        <w:jc w:val="left"/>
      </w:pPr>
      <w:r>
        <w:rPr>
          <w:color w:val="000000"/>
          <w:spacing w:val="0"/>
          <w:w w:val="100"/>
          <w:position w:val="0"/>
        </w:rPr>
        <w:t>民事判决书</w:t>
      </w:r>
    </w:p>
    <w:p w14:paraId="5973A2AB">
      <w:pPr>
        <w:pStyle w:val="17"/>
        <w:keepNext w:val="0"/>
        <w:keepLines w:val="0"/>
        <w:widowControl w:val="0"/>
        <w:shd w:val="clear" w:color="auto" w:fill="auto"/>
        <w:bidi w:val="0"/>
        <w:spacing w:before="0" w:after="0" w:line="312" w:lineRule="exact"/>
        <w:ind w:left="0" w:right="0" w:firstLine="280"/>
        <w:jc w:val="left"/>
      </w:pPr>
      <w:r>
        <w:rPr>
          <w:rFonts w:ascii="Times New Roman" w:hAnsi="Times New Roman" w:eastAsia="Times New Roman" w:cs="Times New Roman"/>
          <w:color w:val="000000"/>
          <w:spacing w:val="0"/>
          <w:w w:val="100"/>
          <w:position w:val="0"/>
          <w:sz w:val="19"/>
          <w:szCs w:val="19"/>
        </w:rPr>
        <w:t xml:space="preserve">095 </w:t>
      </w:r>
      <w:r>
        <w:rPr>
          <w:color w:val="000000"/>
          <w:spacing w:val="0"/>
          <w:w w:val="100"/>
          <w:position w:val="0"/>
        </w:rPr>
        <w:t>经营者未尽产品特殊危险的充分警示义务与被侵权人过错的责任分担规则</w:t>
      </w:r>
    </w:p>
    <w:p w14:paraId="23DFA0FF">
      <w:pPr>
        <w:pStyle w:val="23"/>
        <w:keepNext w:val="0"/>
        <w:keepLines w:val="0"/>
        <w:widowControl w:val="0"/>
        <w:shd w:val="clear" w:color="auto" w:fill="auto"/>
        <w:tabs>
          <w:tab w:val="left" w:pos="7794"/>
        </w:tabs>
        <w:bidi w:val="0"/>
        <w:spacing w:before="0" w:after="0" w:line="312" w:lineRule="exact"/>
        <w:ind w:left="0" w:right="0" w:firstLine="880"/>
        <w:jc w:val="both"/>
        <w:rPr>
          <w:sz w:val="19"/>
          <w:szCs w:val="19"/>
        </w:rPr>
      </w:pPr>
      <w:r>
        <w:fldChar w:fldCharType="begin"/>
      </w:r>
      <w:r>
        <w:instrText xml:space="preserve"> TOC \o "1-5" \h \z </w:instrText>
      </w:r>
      <w:r>
        <w:fldChar w:fldCharType="separate"/>
      </w:r>
      <w:r>
        <w:rPr>
          <w:color w:val="000000"/>
          <w:spacing w:val="0"/>
          <w:w w:val="100"/>
          <w:position w:val="0"/>
          <w:sz w:val="18"/>
          <w:szCs w:val="18"/>
        </w:rPr>
        <w:t>/王竹</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469</w:t>
      </w:r>
    </w:p>
    <w:p w14:paraId="0D5FD529">
      <w:pPr>
        <w:pStyle w:val="23"/>
        <w:keepNext w:val="0"/>
        <w:keepLines w:val="0"/>
        <w:widowControl w:val="0"/>
        <w:shd w:val="clear" w:color="auto" w:fill="auto"/>
        <w:bidi w:val="0"/>
        <w:spacing w:before="0" w:after="120" w:line="312" w:lineRule="exact"/>
        <w:ind w:left="880" w:right="0" w:firstLine="20"/>
        <w:jc w:val="left"/>
      </w:pPr>
      <w:r>
        <w:rPr>
          <w:color w:val="000000"/>
          <w:spacing w:val="0"/>
          <w:w w:val="100"/>
          <w:position w:val="0"/>
        </w:rPr>
        <w:t>张玉梅诉南京港华燃气有限公司产品生产者责任纠纷案丨《最高人民法院公报》</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31134211">
      <w:pPr>
        <w:pStyle w:val="23"/>
        <w:keepNext w:val="0"/>
        <w:keepLines w:val="0"/>
        <w:widowControl w:val="0"/>
        <w:shd w:val="clear" w:color="auto" w:fill="auto"/>
        <w:tabs>
          <w:tab w:val="left" w:pos="7794"/>
        </w:tabs>
        <w:bidi w:val="0"/>
        <w:spacing w:before="0" w:after="0" w:line="331"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096 </w:t>
      </w:r>
      <w:r>
        <w:rPr>
          <w:color w:val="000000"/>
          <w:spacing w:val="0"/>
          <w:w w:val="100"/>
          <w:position w:val="0"/>
          <w:sz w:val="18"/>
          <w:szCs w:val="18"/>
        </w:rPr>
        <w:t>惩罚性赔偿的适用规则/税兵</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474</w:t>
      </w:r>
    </w:p>
    <w:p w14:paraId="2E76F872">
      <w:pPr>
        <w:pStyle w:val="23"/>
        <w:keepNext w:val="0"/>
        <w:keepLines w:val="0"/>
        <w:widowControl w:val="0"/>
        <w:shd w:val="clear" w:color="auto" w:fill="auto"/>
        <w:bidi w:val="0"/>
        <w:spacing w:before="0" w:after="120" w:line="331" w:lineRule="exact"/>
        <w:ind w:left="880" w:right="0" w:firstLine="20"/>
        <w:jc w:val="both"/>
      </w:pPr>
      <w:r>
        <w:rPr>
          <w:color w:val="000000"/>
          <w:spacing w:val="0"/>
          <w:w w:val="100"/>
          <w:position w:val="0"/>
        </w:rPr>
        <w:t>孙银山诉南京欧尚超市有限公司江宁店买卖合同纠纷案丨最高人民法院第</w:t>
      </w:r>
      <w:r>
        <w:rPr>
          <w:rFonts w:ascii="Times New Roman" w:hAnsi="Times New Roman" w:eastAsia="Times New Roman" w:cs="Times New Roman"/>
          <w:color w:val="000000"/>
          <w:spacing w:val="0"/>
          <w:w w:val="100"/>
          <w:position w:val="0"/>
          <w:sz w:val="17"/>
          <w:szCs w:val="17"/>
        </w:rPr>
        <w:t>23</w:t>
      </w:r>
      <w:r>
        <w:rPr>
          <w:color w:val="000000"/>
          <w:spacing w:val="0"/>
          <w:w w:val="100"/>
          <w:position w:val="0"/>
        </w:rPr>
        <w:t>号指导 性案例</w:t>
      </w:r>
    </w:p>
    <w:p w14:paraId="445E550B">
      <w:pPr>
        <w:pStyle w:val="23"/>
        <w:keepNext w:val="0"/>
        <w:keepLines w:val="0"/>
        <w:widowControl w:val="0"/>
        <w:shd w:val="clear" w:color="auto" w:fill="auto"/>
        <w:tabs>
          <w:tab w:val="left" w:pos="7794"/>
        </w:tabs>
        <w:bidi w:val="0"/>
        <w:spacing w:before="0" w:after="0" w:line="329"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097 </w:t>
      </w:r>
      <w:r>
        <w:rPr>
          <w:color w:val="000000"/>
          <w:spacing w:val="0"/>
          <w:w w:val="100"/>
          <w:position w:val="0"/>
          <w:sz w:val="18"/>
          <w:szCs w:val="18"/>
        </w:rPr>
        <w:t>违反医疗知情同意规则的法律责任/梁神宝</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479</w:t>
      </w:r>
    </w:p>
    <w:p w14:paraId="6B9DFBDB">
      <w:pPr>
        <w:pStyle w:val="23"/>
        <w:keepNext w:val="0"/>
        <w:keepLines w:val="0"/>
        <w:widowControl w:val="0"/>
        <w:shd w:val="clear" w:color="auto" w:fill="auto"/>
        <w:bidi w:val="0"/>
        <w:spacing w:before="0" w:after="120" w:line="329" w:lineRule="exact"/>
        <w:ind w:left="880" w:right="0" w:firstLine="20"/>
        <w:jc w:val="left"/>
      </w:pPr>
      <w:r>
        <w:rPr>
          <w:color w:val="000000"/>
          <w:spacing w:val="0"/>
          <w:w w:val="100"/>
          <w:position w:val="0"/>
        </w:rPr>
        <w:t>陈某诉中国人民武装警察部队上海总队医院案丨上海市第一中级人民法院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沪 一中民终字第</w:t>
      </w:r>
      <w:r>
        <w:rPr>
          <w:rFonts w:ascii="Times New Roman" w:hAnsi="Times New Roman" w:eastAsia="Times New Roman" w:cs="Times New Roman"/>
          <w:color w:val="000000"/>
          <w:spacing w:val="0"/>
          <w:w w:val="100"/>
          <w:position w:val="0"/>
          <w:sz w:val="17"/>
          <w:szCs w:val="17"/>
        </w:rPr>
        <w:t>900</w:t>
      </w:r>
      <w:r>
        <w:rPr>
          <w:color w:val="000000"/>
          <w:spacing w:val="0"/>
          <w:w w:val="100"/>
          <w:position w:val="0"/>
        </w:rPr>
        <w:t>号民事判决书</w:t>
      </w:r>
    </w:p>
    <w:p w14:paraId="2634D78F">
      <w:pPr>
        <w:pStyle w:val="23"/>
        <w:keepNext w:val="0"/>
        <w:keepLines w:val="0"/>
        <w:widowControl w:val="0"/>
        <w:shd w:val="clear" w:color="auto" w:fill="auto"/>
        <w:tabs>
          <w:tab w:val="left" w:pos="866"/>
          <w:tab w:val="left" w:pos="7794"/>
        </w:tabs>
        <w:bidi w:val="0"/>
        <w:spacing w:before="0" w:after="0" w:line="329"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098</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18"/>
          <w:szCs w:val="18"/>
        </w:rPr>
        <w:t>延误治疗与侵权责任/林沮民</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484</w:t>
      </w:r>
    </w:p>
    <w:p w14:paraId="2F5CD9CA">
      <w:pPr>
        <w:pStyle w:val="23"/>
        <w:keepNext w:val="0"/>
        <w:keepLines w:val="0"/>
        <w:widowControl w:val="0"/>
        <w:shd w:val="clear" w:color="auto" w:fill="auto"/>
        <w:bidi w:val="0"/>
        <w:spacing w:before="0" w:after="0" w:line="329" w:lineRule="exact"/>
        <w:ind w:left="0" w:right="0" w:firstLine="880"/>
        <w:jc w:val="left"/>
      </w:pPr>
      <w:r>
        <w:rPr>
          <w:color w:val="000000"/>
          <w:spacing w:val="0"/>
          <w:w w:val="100"/>
          <w:position w:val="0"/>
        </w:rPr>
        <w:t>颜荷莲、程玉环诉周宜霞、吉林天药科技有限责任公司等侵权责任纠纷案丨《最高人民</w:t>
      </w:r>
    </w:p>
    <w:p w14:paraId="56EF08AD">
      <w:pPr>
        <w:pStyle w:val="23"/>
        <w:keepNext w:val="0"/>
        <w:keepLines w:val="0"/>
        <w:widowControl w:val="0"/>
        <w:shd w:val="clear" w:color="auto" w:fill="auto"/>
        <w:bidi w:val="0"/>
        <w:spacing w:before="0" w:after="120" w:line="329" w:lineRule="exact"/>
        <w:ind w:left="0" w:right="0" w:firstLine="880"/>
        <w:jc w:val="left"/>
      </w:pPr>
      <w:r>
        <w:rPr>
          <w:color w:val="000000"/>
          <w:spacing w:val="0"/>
          <w:w w:val="100"/>
          <w:position w:val="0"/>
        </w:rPr>
        <w:t>法院公报》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期（总第</w:t>
      </w:r>
      <w:r>
        <w:rPr>
          <w:rFonts w:ascii="Times New Roman" w:hAnsi="Times New Roman" w:eastAsia="Times New Roman" w:cs="Times New Roman"/>
          <w:color w:val="000000"/>
          <w:spacing w:val="0"/>
          <w:w w:val="100"/>
          <w:position w:val="0"/>
          <w:sz w:val="17"/>
          <w:szCs w:val="17"/>
        </w:rPr>
        <w:t>267</w:t>
      </w:r>
      <w:r>
        <w:rPr>
          <w:color w:val="000000"/>
          <w:spacing w:val="0"/>
          <w:w w:val="100"/>
          <w:position w:val="0"/>
        </w:rPr>
        <w:t>期）</w:t>
      </w:r>
    </w:p>
    <w:p w14:paraId="0F39ECA8">
      <w:pPr>
        <w:pStyle w:val="23"/>
        <w:keepNext w:val="0"/>
        <w:keepLines w:val="0"/>
        <w:widowControl w:val="0"/>
        <w:shd w:val="clear" w:color="auto" w:fill="auto"/>
        <w:tabs>
          <w:tab w:val="left" w:pos="7794"/>
        </w:tabs>
        <w:bidi w:val="0"/>
        <w:spacing w:before="0" w:after="120" w:line="329"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099 </w:t>
      </w:r>
      <w:r>
        <w:rPr>
          <w:color w:val="000000"/>
          <w:spacing w:val="0"/>
          <w:w w:val="100"/>
          <w:position w:val="0"/>
          <w:sz w:val="18"/>
          <w:szCs w:val="18"/>
        </w:rPr>
        <w:t>环境污染侵权中的因果关系证明/巩 固</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489</w:t>
      </w:r>
    </w:p>
    <w:p w14:paraId="26C28D13">
      <w:pPr>
        <w:pStyle w:val="23"/>
        <w:keepNext w:val="0"/>
        <w:keepLines w:val="0"/>
        <w:widowControl w:val="0"/>
        <w:shd w:val="clear" w:color="auto" w:fill="auto"/>
        <w:bidi w:val="0"/>
        <w:spacing w:before="0" w:after="120" w:line="240" w:lineRule="auto"/>
        <w:ind w:left="0" w:right="0" w:firstLine="880"/>
        <w:jc w:val="left"/>
      </w:pPr>
      <w:r>
        <w:rPr>
          <w:color w:val="000000"/>
          <w:spacing w:val="0"/>
          <w:w w:val="100"/>
          <w:position w:val="0"/>
        </w:rPr>
        <w:t>浙江省平湖师范农场特种养殖场诉嘉兴市步云染化厂等五企业水污染损害赔偿纠纷</w:t>
      </w:r>
    </w:p>
    <w:p w14:paraId="7F432D72">
      <w:pPr>
        <w:pStyle w:val="23"/>
        <w:keepNext w:val="0"/>
        <w:keepLines w:val="0"/>
        <w:widowControl w:val="0"/>
        <w:shd w:val="clear" w:color="auto" w:fill="auto"/>
        <w:bidi w:val="0"/>
        <w:spacing w:before="0" w:after="120" w:line="240" w:lineRule="auto"/>
        <w:ind w:left="0" w:right="0" w:firstLine="880"/>
        <w:jc w:val="both"/>
      </w:pPr>
      <w:r>
        <w:rPr>
          <w:color w:val="000000"/>
          <w:spacing w:val="0"/>
          <w:w w:val="100"/>
          <w:position w:val="0"/>
        </w:rPr>
        <w:t>案丨最高人民法院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民二提字第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号民事判决书</w:t>
      </w:r>
    </w:p>
    <w:p w14:paraId="1E757DA9">
      <w:pPr>
        <w:pStyle w:val="23"/>
        <w:keepNext w:val="0"/>
        <w:keepLines w:val="0"/>
        <w:widowControl w:val="0"/>
        <w:shd w:val="clear" w:color="auto" w:fill="auto"/>
        <w:tabs>
          <w:tab w:val="left" w:pos="7794"/>
        </w:tabs>
        <w:bidi w:val="0"/>
        <w:spacing w:before="0" w:after="0" w:line="329" w:lineRule="exact"/>
        <w:ind w:left="0" w:right="0" w:firstLine="280"/>
        <w:jc w:val="both"/>
        <w:rPr>
          <w:sz w:val="19"/>
          <w:szCs w:val="19"/>
        </w:rPr>
      </w:pPr>
      <w:r>
        <w:rPr>
          <w:rFonts w:ascii="Times New Roman" w:hAnsi="Times New Roman" w:eastAsia="Times New Roman" w:cs="Times New Roman"/>
          <w:color w:val="000000"/>
          <w:spacing w:val="0"/>
          <w:w w:val="100"/>
          <w:position w:val="0"/>
          <w:sz w:val="19"/>
          <w:szCs w:val="19"/>
        </w:rPr>
        <w:t xml:space="preserve">100 </w:t>
      </w:r>
      <w:r>
        <w:rPr>
          <w:color w:val="000000"/>
          <w:spacing w:val="0"/>
          <w:w w:val="100"/>
          <w:position w:val="0"/>
          <w:sz w:val="18"/>
          <w:szCs w:val="18"/>
        </w:rPr>
        <w:t>动物侵权责任/季若望</w:t>
      </w:r>
      <w:r>
        <w:rPr>
          <w:color w:val="000000"/>
          <w:spacing w:val="0"/>
          <w:w w:val="100"/>
          <w:position w:val="0"/>
          <w:sz w:val="18"/>
          <w:szCs w:val="18"/>
        </w:rPr>
        <w:tab/>
      </w:r>
      <w:r>
        <w:rPr>
          <w:rFonts w:ascii="Times New Roman" w:hAnsi="Times New Roman" w:eastAsia="Times New Roman" w:cs="Times New Roman"/>
          <w:color w:val="000000"/>
          <w:spacing w:val="0"/>
          <w:w w:val="100"/>
          <w:position w:val="0"/>
          <w:sz w:val="19"/>
          <w:szCs w:val="19"/>
        </w:rPr>
        <w:t>494</w:t>
      </w:r>
      <w:r>
        <w:fldChar w:fldCharType="end"/>
      </w:r>
    </w:p>
    <w:p w14:paraId="13B85718">
      <w:pPr>
        <w:pStyle w:val="17"/>
        <w:keepNext w:val="0"/>
        <w:keepLines w:val="0"/>
        <w:widowControl w:val="0"/>
        <w:shd w:val="clear" w:color="auto" w:fill="auto"/>
        <w:bidi w:val="0"/>
        <w:spacing w:before="0" w:after="0" w:line="329" w:lineRule="exact"/>
        <w:ind w:left="0" w:right="0" w:firstLine="880"/>
        <w:jc w:val="left"/>
      </w:pPr>
      <w:r>
        <w:rPr>
          <w:color w:val="000000"/>
          <w:spacing w:val="0"/>
          <w:w w:val="100"/>
          <w:position w:val="0"/>
        </w:rPr>
        <w:t>欧丽珍诉高燕饲养动物损害责任纠纷案丨《最高人民法院公报》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期（总第</w:t>
      </w:r>
    </w:p>
    <w:p w14:paraId="6F3C1F20">
      <w:pPr>
        <w:pStyle w:val="25"/>
        <w:keepNext w:val="0"/>
        <w:keepLines w:val="0"/>
        <w:widowControl w:val="0"/>
        <w:shd w:val="clear" w:color="auto" w:fill="auto"/>
        <w:bidi w:val="0"/>
        <w:spacing w:before="0"/>
        <w:ind w:left="0" w:right="0"/>
        <w:jc w:val="left"/>
        <w:rPr>
          <w:sz w:val="18"/>
          <w:szCs w:val="18"/>
        </w:rPr>
      </w:pPr>
      <w:r>
        <w:rPr>
          <w:rFonts w:ascii="Times New Roman" w:hAnsi="Times New Roman" w:eastAsia="Times New Roman" w:cs="Times New Roman"/>
          <w:color w:val="000000"/>
          <w:spacing w:val="0"/>
          <w:w w:val="100"/>
          <w:position w:val="0"/>
          <w:sz w:val="17"/>
          <w:szCs w:val="17"/>
          <w:lang w:val="zh-TW" w:eastAsia="zh-TW" w:bidi="zh-TW"/>
        </w:rPr>
        <w:t xml:space="preserve">276 </w:t>
      </w:r>
      <w:r>
        <w:rPr>
          <w:rFonts w:ascii="宋体" w:hAnsi="宋体" w:eastAsia="宋体" w:cs="宋体"/>
          <w:color w:val="000000"/>
          <w:spacing w:val="0"/>
          <w:w w:val="100"/>
          <w:position w:val="0"/>
          <w:sz w:val="18"/>
          <w:szCs w:val="18"/>
          <w:lang w:val="zh-TW" w:eastAsia="zh-TW" w:bidi="zh-TW"/>
        </w:rPr>
        <w:t>期）</w:t>
      </w:r>
    </w:p>
    <w:p w14:paraId="796604F2">
      <w:pPr>
        <w:pStyle w:val="17"/>
        <w:keepNext w:val="0"/>
        <w:keepLines w:val="0"/>
        <w:widowControl w:val="0"/>
        <w:shd w:val="clear" w:color="auto" w:fill="auto"/>
        <w:bidi w:val="0"/>
        <w:spacing w:before="0" w:after="120" w:line="240" w:lineRule="auto"/>
        <w:ind w:left="0" w:right="0" w:firstLine="880"/>
        <w:jc w:val="left"/>
        <w:sectPr>
          <w:headerReference r:id="rId21" w:type="default"/>
          <w:headerReference r:id="rId22" w:type="even"/>
          <w:footnotePr>
            <w:numFmt w:val="decimal"/>
          </w:footnotePr>
          <w:pgSz w:w="10099" w:h="14782"/>
          <w:pgMar w:top="1342" w:right="863" w:bottom="1282" w:left="952" w:header="0" w:footer="3" w:gutter="0"/>
          <w:pgNumType w:start="7"/>
          <w:cols w:space="720" w:num="1"/>
          <w:rtlGutter w:val="0"/>
          <w:docGrid w:linePitch="360" w:charSpace="0"/>
        </w:sectPr>
      </w:pPr>
      <w:r>
        <mc:AlternateContent>
          <mc:Choice Requires="wps">
            <w:drawing>
              <wp:anchor distT="0" distB="0" distL="114300" distR="114300" simplePos="0" relativeHeight="251660288" behindDoc="0" locked="0" layoutInCell="1" allowOverlap="1">
                <wp:simplePos x="0" y="0"/>
                <wp:positionH relativeFrom="page">
                  <wp:posOffset>5574030</wp:posOffset>
                </wp:positionH>
                <wp:positionV relativeFrom="paragraph">
                  <wp:posOffset>12700</wp:posOffset>
                </wp:positionV>
                <wp:extent cx="243840" cy="151130"/>
                <wp:effectExtent l="0" t="0" r="0" b="0"/>
                <wp:wrapSquare wrapText="left"/>
                <wp:docPr id="35" name="Shape 35"/>
                <wp:cNvGraphicFramePr/>
                <a:graphic xmlns:a="http://schemas.openxmlformats.org/drawingml/2006/main">
                  <a:graphicData uri="http://schemas.microsoft.com/office/word/2010/wordprocessingShape">
                    <wps:wsp>
                      <wps:cNvSpPr txBox="1"/>
                      <wps:spPr>
                        <a:xfrm>
                          <a:off x="0" y="0"/>
                          <a:ext cx="243840" cy="151130"/>
                        </a:xfrm>
                        <a:prstGeom prst="rect">
                          <a:avLst/>
                        </a:prstGeom>
                        <a:noFill/>
                      </wps:spPr>
                      <wps:txbx>
                        <w:txbxContent>
                          <w:p w14:paraId="360FA5D4">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rPr>
                              <w:t>499</w:t>
                            </w:r>
                          </w:p>
                        </w:txbxContent>
                      </wps:txbx>
                      <wps:bodyPr wrap="none" lIns="0" tIns="0" rIns="0" bIns="0">
                        <a:noAutofit/>
                      </wps:bodyPr>
                    </wps:wsp>
                  </a:graphicData>
                </a:graphic>
              </wp:anchor>
            </w:drawing>
          </mc:Choice>
          <mc:Fallback>
            <w:pict>
              <v:shape id="Shape 35" o:spid="_x0000_s1026" o:spt="202" type="#_x0000_t202" style="position:absolute;left:0pt;margin-left:438.9pt;margin-top:1pt;height:11.9pt;width:19.2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VsUNdUAAAAI&#10;AQAADwAAAAAAAAABACAAAAAiAAAAZHJzL2Rvd25yZXYueG1sUEsBAhQAFAAAAAgAh07iQFYdrDWt&#10;AQAAcQMAAA4AAAAAAAAAAQAgAAAAJAEAAGRycy9lMm9Eb2MueG1sUEsFBgAAAAAGAAYAWQEAAEMF&#10;AAAAAA==&#10;">
                <v:fill on="f" focussize="0,0"/>
                <v:stroke on="f"/>
                <v:imagedata o:title=""/>
                <o:lock v:ext="edit" aspectratio="f"/>
                <v:textbox inset="0mm,0mm,0mm,0mm">
                  <w:txbxContent>
                    <w:p w14:paraId="360FA5D4">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rPr>
                        <w:t>499</w:t>
                      </w:r>
                    </w:p>
                  </w:txbxContent>
                </v:textbox>
                <w10:wrap type="square" side="left"/>
              </v:shape>
            </w:pict>
          </mc:Fallback>
        </mc:AlternateContent>
      </w:r>
      <w:r>
        <w:rPr>
          <w:color w:val="000000"/>
          <w:spacing w:val="0"/>
          <w:w w:val="100"/>
          <w:position w:val="0"/>
        </w:rPr>
        <w:t>法律共同体的三重要约（代后记）</w:t>
      </w:r>
    </w:p>
    <w:p w14:paraId="018D5188">
      <w:pPr>
        <w:widowControl w:val="0"/>
        <w:spacing w:line="138" w:lineRule="exact"/>
        <w:rPr>
          <w:sz w:val="11"/>
          <w:szCs w:val="11"/>
        </w:rPr>
      </w:pPr>
    </w:p>
    <w:p w14:paraId="08E3B5CB">
      <w:pPr>
        <w:widowControl w:val="0"/>
        <w:spacing w:line="1" w:lineRule="exact"/>
        <w:sectPr>
          <w:headerReference r:id="rId23" w:type="default"/>
          <w:headerReference r:id="rId24" w:type="even"/>
          <w:footnotePr>
            <w:numFmt w:val="decimal"/>
          </w:footnotePr>
          <w:pgSz w:w="10099" w:h="14782"/>
          <w:pgMar w:top="1260" w:right="990" w:bottom="1134" w:left="1034" w:header="0" w:footer="3" w:gutter="0"/>
          <w:pgNumType w:start="17"/>
          <w:cols w:space="720" w:num="1"/>
          <w:rtlGutter w:val="0"/>
          <w:docGrid w:linePitch="360" w:charSpace="0"/>
        </w:sectPr>
      </w:pPr>
    </w:p>
    <w:p w14:paraId="4D4A9BC9">
      <w:pPr>
        <w:widowControl w:val="0"/>
        <w:spacing w:line="1" w:lineRule="exact"/>
      </w:pPr>
      <w:r>
        <mc:AlternateContent>
          <mc:Choice Requires="wps">
            <w:drawing>
              <wp:anchor distT="0" distB="77470" distL="0" distR="0" simplePos="0" relativeHeight="251660288" behindDoc="0" locked="0" layoutInCell="1" allowOverlap="1">
                <wp:simplePos x="0" y="0"/>
                <wp:positionH relativeFrom="page">
                  <wp:posOffset>731520</wp:posOffset>
                </wp:positionH>
                <wp:positionV relativeFrom="paragraph">
                  <wp:posOffset>0</wp:posOffset>
                </wp:positionV>
                <wp:extent cx="407035" cy="304800"/>
                <wp:effectExtent l="0" t="0" r="0" b="0"/>
                <wp:wrapTopAndBottom/>
                <wp:docPr id="37" name="Shape 37"/>
                <wp:cNvGraphicFramePr/>
                <a:graphic xmlns:a="http://schemas.openxmlformats.org/drawingml/2006/main">
                  <a:graphicData uri="http://schemas.microsoft.com/office/word/2010/wordprocessingShape">
                    <wps:wsp>
                      <wps:cNvSpPr txBox="1"/>
                      <wps:spPr>
                        <a:xfrm>
                          <a:off x="0" y="0"/>
                          <a:ext cx="407035" cy="304800"/>
                        </a:xfrm>
                        <a:prstGeom prst="rect">
                          <a:avLst/>
                        </a:prstGeom>
                        <a:noFill/>
                      </wps:spPr>
                      <wps:txbx>
                        <w:txbxContent>
                          <w:p w14:paraId="6AC69C88">
                            <w:pPr>
                              <w:pStyle w:val="27"/>
                              <w:keepNext/>
                              <w:keepLines/>
                              <w:widowControl w:val="0"/>
                              <w:shd w:val="clear" w:color="auto" w:fill="auto"/>
                              <w:bidi w:val="0"/>
                              <w:spacing w:before="0" w:after="0" w:line="240" w:lineRule="auto"/>
                              <w:ind w:left="0" w:right="0" w:firstLine="0"/>
                              <w:jc w:val="left"/>
                            </w:pPr>
                            <w:bookmarkStart w:id="207" w:name="bookmark6"/>
                            <w:bookmarkStart w:id="208" w:name="bookmark8"/>
                            <w:bookmarkStart w:id="209" w:name="bookmark7"/>
                            <w:r>
                              <w:rPr>
                                <w:rFonts w:ascii="Times New Roman" w:hAnsi="Times New Roman" w:eastAsia="Times New Roman" w:cs="Times New Roman"/>
                                <w:color w:val="000000"/>
                                <w:spacing w:val="0"/>
                                <w:w w:val="100"/>
                                <w:position w:val="0"/>
                              </w:rPr>
                              <w:t>001</w:t>
                            </w:r>
                            <w:bookmarkEnd w:id="207"/>
                            <w:bookmarkEnd w:id="208"/>
                            <w:bookmarkEnd w:id="209"/>
                          </w:p>
                        </w:txbxContent>
                      </wps:txbx>
                      <wps:bodyPr wrap="none" lIns="0" tIns="0" rIns="0" bIns="0">
                        <a:noAutofit/>
                      </wps:bodyPr>
                    </wps:wsp>
                  </a:graphicData>
                </a:graphic>
              </wp:anchor>
            </w:drawing>
          </mc:Choice>
          <mc:Fallback>
            <w:pict>
              <v:shape id="Shape 37" o:spid="_x0000_s1026" o:spt="202" type="#_x0000_t202" style="position:absolute;left:0pt;margin-left:57.6pt;margin-top:0pt;height:24pt;width:32.05pt;mso-position-horizontal-relative:page;mso-wrap-distance-bottom:6.1pt;mso-wrap-distance-top:0pt;mso-wrap-style:none;z-index:251660288;mso-width-relative:page;mso-height-relative:page;" filled="f" stroked="f" coordsize="21600,21600" o:gfxdata="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yH0qVdQAAAAH&#10;AQAADwAAAAAAAAABACAAAAAiAAAAZHJzL2Rvd25yZXYueG1sUEsBAhQAFAAAAAgAh07iQJ1b2fyu&#10;AQAAcQMAAA4AAAAAAAAAAQAgAAAAIwEAAGRycy9lMm9Eb2MueG1sUEsFBgAAAAAGAAYAWQEAAEMF&#10;AAAAAA==&#10;">
                <v:fill on="f" focussize="0,0"/>
                <v:stroke on="f"/>
                <v:imagedata o:title=""/>
                <o:lock v:ext="edit" aspectratio="f"/>
                <v:textbox inset="0mm,0mm,0mm,0mm">
                  <w:txbxContent>
                    <w:p w14:paraId="6AC69C88">
                      <w:pPr>
                        <w:pStyle w:val="27"/>
                        <w:keepNext/>
                        <w:keepLines/>
                        <w:widowControl w:val="0"/>
                        <w:shd w:val="clear" w:color="auto" w:fill="auto"/>
                        <w:bidi w:val="0"/>
                        <w:spacing w:before="0" w:after="0" w:line="240" w:lineRule="auto"/>
                        <w:ind w:left="0" w:right="0" w:firstLine="0"/>
                        <w:jc w:val="left"/>
                      </w:pPr>
                      <w:bookmarkStart w:id="207" w:name="bookmark6"/>
                      <w:bookmarkStart w:id="208" w:name="bookmark8"/>
                      <w:bookmarkStart w:id="209" w:name="bookmark7"/>
                      <w:r>
                        <w:rPr>
                          <w:rFonts w:ascii="Times New Roman" w:hAnsi="Times New Roman" w:eastAsia="Times New Roman" w:cs="Times New Roman"/>
                          <w:color w:val="000000"/>
                          <w:spacing w:val="0"/>
                          <w:w w:val="100"/>
                          <w:position w:val="0"/>
                        </w:rPr>
                        <w:t>001</w:t>
                      </w:r>
                      <w:bookmarkEnd w:id="207"/>
                      <w:bookmarkEnd w:id="208"/>
                      <w:bookmarkEnd w:id="209"/>
                    </w:p>
                  </w:txbxContent>
                </v:textbox>
                <w10:wrap type="topAndBottom"/>
              </v:shape>
            </w:pict>
          </mc:Fallback>
        </mc:AlternateContent>
      </w:r>
      <w:r>
        <mc:AlternateContent>
          <mc:Choice Requires="wps">
            <w:drawing>
              <wp:anchor distT="85090" distB="64135" distL="0" distR="0" simplePos="0" relativeHeight="251660288" behindDoc="0" locked="0" layoutInCell="1" allowOverlap="1">
                <wp:simplePos x="0" y="0"/>
                <wp:positionH relativeFrom="page">
                  <wp:posOffset>1304290</wp:posOffset>
                </wp:positionH>
                <wp:positionV relativeFrom="paragraph">
                  <wp:posOffset>85090</wp:posOffset>
                </wp:positionV>
                <wp:extent cx="2999105" cy="233045"/>
                <wp:effectExtent l="0" t="0" r="0" b="0"/>
                <wp:wrapTopAndBottom/>
                <wp:docPr id="39" name="Shape 39"/>
                <wp:cNvGraphicFramePr/>
                <a:graphic xmlns:a="http://schemas.openxmlformats.org/drawingml/2006/main">
                  <a:graphicData uri="http://schemas.microsoft.com/office/word/2010/wordprocessingShape">
                    <wps:wsp>
                      <wps:cNvSpPr txBox="1"/>
                      <wps:spPr>
                        <a:xfrm>
                          <a:off x="0" y="0"/>
                          <a:ext cx="2999105" cy="233045"/>
                        </a:xfrm>
                        <a:prstGeom prst="rect">
                          <a:avLst/>
                        </a:prstGeom>
                        <a:noFill/>
                      </wps:spPr>
                      <wps:txbx>
                        <w:txbxContent>
                          <w:p w14:paraId="4F84D536">
                            <w:pPr>
                              <w:pStyle w:val="15"/>
                              <w:keepNext/>
                              <w:keepLines/>
                              <w:widowControl w:val="0"/>
                              <w:shd w:val="clear" w:color="auto" w:fill="auto"/>
                              <w:bidi w:val="0"/>
                              <w:spacing w:before="0" w:after="0" w:line="240" w:lineRule="auto"/>
                              <w:ind w:left="0" w:right="0" w:firstLine="0"/>
                              <w:jc w:val="left"/>
                            </w:pPr>
                            <w:bookmarkStart w:id="210" w:name="bookmark10"/>
                            <w:bookmarkStart w:id="211" w:name="bookmark11"/>
                            <w:bookmarkStart w:id="212" w:name="bookmark9"/>
                            <w:r>
                              <w:rPr>
                                <w:color w:val="000000"/>
                                <w:spacing w:val="0"/>
                                <w:w w:val="100"/>
                                <w:position w:val="0"/>
                              </w:rPr>
                              <w:t>诚信原则在违法无效合同中的适用</w:t>
                            </w:r>
                            <w:bookmarkEnd w:id="210"/>
                            <w:bookmarkEnd w:id="211"/>
                            <w:bookmarkEnd w:id="212"/>
                          </w:p>
                        </w:txbxContent>
                      </wps:txbx>
                      <wps:bodyPr wrap="none" lIns="0" tIns="0" rIns="0" bIns="0">
                        <a:noAutofit/>
                      </wps:bodyPr>
                    </wps:wsp>
                  </a:graphicData>
                </a:graphic>
              </wp:anchor>
            </w:drawing>
          </mc:Choice>
          <mc:Fallback>
            <w:pict>
              <v:shape id="Shape 39" o:spid="_x0000_s1026" o:spt="202" type="#_x0000_t202" style="position:absolute;left:0pt;margin-left:102.7pt;margin-top:6.7pt;height:18.35pt;width:236.15pt;mso-position-horizontal-relative:page;mso-wrap-distance-bottom:5.05pt;mso-wrap-distance-top:6.7pt;mso-wrap-style:none;z-index:251660288;mso-width-relative:page;mso-height-relative:page;" filled="f" stroked="f" coordsize="21600,21600" o:gfxdata="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8EVD1gAA&#10;AAkBAAAPAAAAAAAAAAEAIAAAACIAAABkcnMvZG93bnJldi54bWxQSwECFAAUAAAACACHTuJA1uLu&#10;5q4BAAByAwAADgAAAAAAAAABACAAAAAlAQAAZHJzL2Uyb0RvYy54bWxQSwUGAAAAAAYABgBZAQAA&#10;RQUAAAAA&#10;">
                <v:fill on="f" focussize="0,0"/>
                <v:stroke on="f"/>
                <v:imagedata o:title=""/>
                <o:lock v:ext="edit" aspectratio="f"/>
                <v:textbox inset="0mm,0mm,0mm,0mm">
                  <w:txbxContent>
                    <w:p w14:paraId="4F84D536">
                      <w:pPr>
                        <w:pStyle w:val="15"/>
                        <w:keepNext/>
                        <w:keepLines/>
                        <w:widowControl w:val="0"/>
                        <w:shd w:val="clear" w:color="auto" w:fill="auto"/>
                        <w:bidi w:val="0"/>
                        <w:spacing w:before="0" w:after="0" w:line="240" w:lineRule="auto"/>
                        <w:ind w:left="0" w:right="0" w:firstLine="0"/>
                        <w:jc w:val="left"/>
                      </w:pPr>
                      <w:bookmarkStart w:id="210" w:name="bookmark10"/>
                      <w:bookmarkStart w:id="211" w:name="bookmark11"/>
                      <w:bookmarkStart w:id="212" w:name="bookmark9"/>
                      <w:r>
                        <w:rPr>
                          <w:color w:val="000000"/>
                          <w:spacing w:val="0"/>
                          <w:w w:val="100"/>
                          <w:position w:val="0"/>
                        </w:rPr>
                        <w:t>诚信原则在违法无效合同中的适用</w:t>
                      </w:r>
                      <w:bookmarkEnd w:id="210"/>
                      <w:bookmarkEnd w:id="211"/>
                      <w:bookmarkEnd w:id="212"/>
                    </w:p>
                  </w:txbxContent>
                </v:textbox>
                <w10:wrap type="topAndBottom"/>
              </v:shape>
            </w:pict>
          </mc:Fallback>
        </mc:AlternateContent>
      </w:r>
    </w:p>
    <w:p w14:paraId="07A284FF">
      <w:pPr>
        <w:pStyle w:val="17"/>
        <w:keepNext w:val="0"/>
        <w:keepLines w:val="0"/>
        <w:widowControl w:val="0"/>
        <w:shd w:val="clear" w:color="auto" w:fill="auto"/>
        <w:bidi w:val="0"/>
        <w:spacing w:before="0" w:after="100" w:line="240" w:lineRule="auto"/>
        <w:ind w:left="1040" w:right="0" w:firstLine="0"/>
        <w:jc w:val="both"/>
      </w:pPr>
      <w:r>
        <w:rPr>
          <w:color w:val="000000"/>
          <w:spacing w:val="0"/>
          <w:w w:val="100"/>
          <w:position w:val="0"/>
        </w:rPr>
        <w:t>新疆华诚安居房地产开发有限公司、中国铁建大桥工程局集团有限</w:t>
      </w:r>
    </w:p>
    <w:p w14:paraId="1127281F">
      <w:pPr>
        <w:pStyle w:val="17"/>
        <w:keepNext w:val="0"/>
        <w:keepLines w:val="0"/>
        <w:widowControl w:val="0"/>
        <w:shd w:val="clear" w:color="auto" w:fill="auto"/>
        <w:bidi w:val="0"/>
        <w:spacing w:before="0" w:after="100" w:line="240" w:lineRule="auto"/>
        <w:ind w:left="1040" w:right="0" w:firstLine="0"/>
        <w:jc w:val="both"/>
      </w:pPr>
      <w:r>
        <w:rPr>
          <w:color w:val="000000"/>
          <w:spacing w:val="0"/>
          <w:w w:val="100"/>
          <w:position w:val="0"/>
        </w:rPr>
        <w:t>公司建设工程施工合同纠纷案丨最高人民法院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最高法民</w:t>
      </w:r>
    </w:p>
    <w:p w14:paraId="463CBA63">
      <w:pPr>
        <w:pStyle w:val="17"/>
        <w:keepNext w:val="0"/>
        <w:keepLines w:val="0"/>
        <w:widowControl w:val="0"/>
        <w:shd w:val="clear" w:color="auto" w:fill="auto"/>
        <w:bidi w:val="0"/>
        <w:spacing w:before="0" w:after="420" w:line="240" w:lineRule="auto"/>
        <w:ind w:left="1040" w:right="0" w:firstLine="0"/>
        <w:jc w:val="both"/>
      </w:pPr>
      <w:r>
        <w:rPr>
          <w:color w:val="000000"/>
          <w:spacing w:val="0"/>
          <w:w w:val="100"/>
          <w:position w:val="0"/>
        </w:rPr>
        <w:t>终字</w:t>
      </w:r>
      <w:r>
        <w:rPr>
          <w:rFonts w:ascii="Times New Roman" w:hAnsi="Times New Roman" w:eastAsia="Times New Roman" w:cs="Times New Roman"/>
          <w:color w:val="000000"/>
          <w:spacing w:val="0"/>
          <w:w w:val="100"/>
          <w:position w:val="0"/>
          <w:sz w:val="19"/>
          <w:szCs w:val="19"/>
        </w:rPr>
        <w:t>347</w:t>
      </w:r>
      <w:r>
        <w:rPr>
          <w:color w:val="000000"/>
          <w:spacing w:val="0"/>
          <w:w w:val="100"/>
          <w:position w:val="0"/>
        </w:rPr>
        <w:t>号民事判决书</w:t>
      </w:r>
    </w:p>
    <w:p w14:paraId="496DF624">
      <w:pPr>
        <w:pStyle w:val="17"/>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于 飞中国政法大学民商经济法学院</w:t>
      </w:r>
    </w:p>
    <w:p w14:paraId="515B68D5">
      <w:pPr>
        <w:pStyle w:val="11"/>
        <w:keepNext w:val="0"/>
        <w:keepLines w:val="0"/>
        <w:widowControl w:val="0"/>
        <w:shd w:val="clear" w:color="auto" w:fill="auto"/>
        <w:bidi w:val="0"/>
        <w:spacing w:before="0" w:after="100" w:line="349" w:lineRule="exact"/>
        <w:ind w:left="0" w:right="0" w:firstLine="0"/>
        <w:jc w:val="left"/>
      </w:pPr>
      <w:r>
        <w:rPr>
          <w:color w:val="000000"/>
          <w:spacing w:val="0"/>
          <w:w w:val="100"/>
          <w:position w:val="0"/>
        </w:rPr>
        <w:t>■事实概要</w:t>
      </w:r>
    </w:p>
    <w:p w14:paraId="56CE72B0">
      <w:pPr>
        <w:pStyle w:val="17"/>
        <w:keepNext w:val="0"/>
        <w:keepLines w:val="0"/>
        <w:widowControl w:val="0"/>
        <w:shd w:val="clear" w:color="auto" w:fill="auto"/>
        <w:bidi w:val="0"/>
        <w:spacing w:before="0" w:after="0" w:line="344" w:lineRule="exact"/>
        <w:ind w:left="0" w:right="0" w:firstLine="44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 xml:space="preserve">日，新疆华诚安居房地产公司（以下简称华诚公司）与中铁十三局集团 有限公司（后改称“中国铁建大桥工程局集团有限公司”，以下简称中铁公司）签订《建筑施 工合作框架协议书》，约定了建筑施工内容、项目建筑施工总概算及履约保证金等内容。 </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日，中铁公司通过招投标取得该工程，并于</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日签订《建设工程施工合 同》。</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年,因华诚公司拖欠部分工程款，中铁公司诉至新疆维吾尔自治区高级人民法 院，请求解除《建设工程施工合同》,支付尚欠的工程款及逾期利息，并返还履约保证金及逾 期利息。一审法院作岀</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新民初</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号民事判决，支持了原告请求。</w:t>
      </w:r>
    </w:p>
    <w:p w14:paraId="51415043">
      <w:pPr>
        <w:pStyle w:val="17"/>
        <w:keepNext w:val="0"/>
        <w:keepLines w:val="0"/>
        <w:widowControl w:val="0"/>
        <w:shd w:val="clear" w:color="auto" w:fill="auto"/>
        <w:bidi w:val="0"/>
        <w:spacing w:before="0" w:after="360" w:line="349" w:lineRule="exact"/>
        <w:ind w:left="0" w:right="0" w:firstLine="440"/>
        <w:jc w:val="both"/>
      </w:pPr>
      <w:r>
        <w:rPr>
          <w:color w:val="000000"/>
          <w:spacing w:val="0"/>
          <w:w w:val="100"/>
          <w:position w:val="0"/>
        </w:rPr>
        <w:t xml:space="preserve">被告华诚公司上诉至最高人民法院，主张《建设工程施工合同》无效。理由是招投标程 序前,双方已就以其后应当通过招投标程序来确定的施工内容、范围、概算、工期、承包方式、 履约保证金及其退付、配合使中铁公司中标等实质性内容进行谈判,签订了《建筑施工合作 框架协议书》，并支付了 </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万元的履约保证金。双方的行为违反了《招标投标法》第</w:t>
      </w:r>
      <w:r>
        <w:rPr>
          <w:rFonts w:ascii="Times New Roman" w:hAnsi="Times New Roman" w:eastAsia="Times New Roman" w:cs="Times New Roman"/>
          <w:color w:val="000000"/>
          <w:spacing w:val="0"/>
          <w:w w:val="100"/>
          <w:position w:val="0"/>
          <w:sz w:val="19"/>
          <w:szCs w:val="19"/>
        </w:rPr>
        <w:t>43</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rPr>
        <w:t>53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条以及最高人民法院《关于审理建设工程施工合同纠纷案件适用法律问题的解释》 ［法释</w:t>
      </w:r>
      <w:r>
        <w:rPr>
          <w:rFonts w:ascii="Times New Roman" w:hAnsi="Times New Roman" w:eastAsia="Times New Roman" w:cs="Times New Roman"/>
          <w:color w:val="000000"/>
          <w:spacing w:val="0"/>
          <w:w w:val="100"/>
          <w:position w:val="0"/>
          <w:sz w:val="19"/>
          <w:szCs w:val="19"/>
        </w:rPr>
        <w:t>（2004）14</w:t>
      </w:r>
      <w:r>
        <w:rPr>
          <w:color w:val="000000"/>
          <w:spacing w:val="0"/>
          <w:w w:val="100"/>
          <w:position w:val="0"/>
        </w:rPr>
        <w:t>号］</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以下简称《建设工程施工合同司法解释一》）第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条的规定，涉案工程 中标无效，以此签订的《建设工程施工合同》亦无效。因合同无效的处理方式与合同有效的 处理方式截然不同，故请求改判或发回重审。</w:t>
      </w:r>
    </w:p>
    <w:p w14:paraId="11E03A9D">
      <w:pPr>
        <w:pStyle w:val="11"/>
        <w:keepNext w:val="0"/>
        <w:keepLines w:val="0"/>
        <w:widowControl w:val="0"/>
        <w:shd w:val="clear" w:color="auto" w:fill="auto"/>
        <w:bidi w:val="0"/>
        <w:spacing w:before="0" w:after="100" w:line="335" w:lineRule="exact"/>
        <w:ind w:left="0" w:right="0" w:firstLine="0"/>
        <w:jc w:val="left"/>
      </w:pPr>
      <w:r>
        <w:rPr>
          <w:color w:val="000000"/>
          <w:spacing w:val="0"/>
          <w:w w:val="100"/>
          <w:position w:val="0"/>
        </w:rPr>
        <w:t>■判决要旨</w:t>
      </w:r>
    </w:p>
    <w:p w14:paraId="40002718">
      <w:pPr>
        <w:pStyle w:val="17"/>
        <w:keepNext w:val="0"/>
        <w:keepLines w:val="0"/>
        <w:widowControl w:val="0"/>
        <w:shd w:val="clear" w:color="auto" w:fill="auto"/>
        <w:bidi w:val="0"/>
        <w:spacing w:before="0" w:after="0" w:line="335" w:lineRule="exact"/>
        <w:ind w:left="0" w:right="0" w:firstLine="420"/>
        <w:jc w:val="both"/>
      </w:pPr>
      <w:r>
        <w:rPr>
          <w:color w:val="000000"/>
          <w:spacing w:val="0"/>
          <w:w w:val="100"/>
          <w:position w:val="0"/>
        </w:rPr>
        <w:t>驳回上诉，维持原判。</w:t>
      </w:r>
    </w:p>
    <w:p w14:paraId="1CDEB68F">
      <w:pPr>
        <w:pStyle w:val="17"/>
        <w:keepNext w:val="0"/>
        <w:keepLines w:val="0"/>
        <w:widowControl w:val="0"/>
        <w:shd w:val="clear" w:color="auto" w:fill="auto"/>
        <w:bidi w:val="0"/>
        <w:spacing w:before="0" w:after="360" w:line="335" w:lineRule="exact"/>
        <w:ind w:left="0" w:right="0" w:firstLine="440"/>
        <w:jc w:val="both"/>
        <w:sectPr>
          <w:footnotePr>
            <w:numFmt w:val="decimal"/>
          </w:footnotePr>
          <w:type w:val="continuous"/>
          <w:pgSz w:w="10099" w:h="14782"/>
          <w:pgMar w:top="1260" w:right="990" w:bottom="1134" w:left="1034" w:header="832" w:footer="706" w:gutter="0"/>
          <w:cols w:space="720" w:num="1"/>
          <w:rtlGutter w:val="0"/>
          <w:docGrid w:linePitch="360" w:charSpace="0"/>
        </w:sectPr>
      </w:pPr>
      <w:r>
        <w:rPr>
          <w:color w:val="000000"/>
          <w:spacing w:val="0"/>
          <w:w w:val="100"/>
          <w:position w:val="0"/>
        </w:rPr>
        <w:t xml:space="preserve">判决书指岀，合同约定应当严守，诚信观念应当强化。华诚公司作为涉案建设工程的 招标人、甲方，主导签订了涉案《建设工程施工合同》，在合同相对方中铁公司按约履行合同 而其并未按约支付工程款,一审判决华诚公司承担相应责任后，华诚公司以其自身的招标 行为存在违法违规为由，于二审中主张合同无效,其行为不仅违反诚实信用基本原则，而且 不利于民事法律关系的稳定，属于不讲诚信、为追求自身利益最大化而置他人利益于不顾 </w:t>
      </w:r>
    </w:p>
    <w:p w14:paraId="2FAFB31F">
      <w:pPr>
        <w:pStyle w:val="17"/>
        <w:keepNext w:val="0"/>
        <w:keepLines w:val="0"/>
        <w:widowControl w:val="0"/>
        <w:shd w:val="clear" w:color="auto" w:fill="auto"/>
        <w:bidi w:val="0"/>
        <w:spacing w:before="0" w:after="360" w:line="335" w:lineRule="exact"/>
        <w:ind w:left="0" w:right="0" w:firstLine="0"/>
        <w:jc w:val="both"/>
      </w:pPr>
      <w:r>
        <w:rPr>
          <w:color w:val="000000"/>
          <w:spacing w:val="0"/>
          <w:w w:val="100"/>
          <w:position w:val="0"/>
        </w:rPr>
        <w:t>的恶意抗辩行为。合同无效制度设立的重要目的在于防止因为无效合同的履行给国家、社 会以及第三人利益带来损失,维护社会的法治秩序和公共道德。而本案中,华诚公司作为 违法行为人恶意主动请求确认合同无效,如支持其诉求，意味着体现双方真实意愿的合同 约定不仅对其没有约束力，甚至可能使其获得不正当的利益，这将违背合同无效制度设立 的宗旨，也将纵容违法行为人从事违法行为，使合同无效制度沦为违法行为人追求不正当 甚至非法利益的手段。综上所述,华诚公司在二审中主张涉案《建设工程施工合同》无效, 该主张有违诚信原则，故华诚公司关于其与中铁公司于招投标前就合同实质性内容进行谈 判的行为违反了《招标投标法》的规定，导致涉案《建设工程施工合同》无效的主张,缺乏事 实和法律依据，予以驳回。</w:t>
      </w:r>
    </w:p>
    <w:p w14:paraId="19B4893D">
      <w:pPr>
        <w:pStyle w:val="11"/>
        <w:keepNext w:val="0"/>
        <w:keepLines w:val="0"/>
        <w:widowControl w:val="0"/>
        <w:shd w:val="clear" w:color="auto" w:fill="auto"/>
        <w:bidi w:val="0"/>
        <w:spacing w:before="0" w:after="240" w:line="343" w:lineRule="exact"/>
        <w:ind w:left="0" w:right="0" w:firstLine="0"/>
        <w:jc w:val="both"/>
      </w:pPr>
      <w:r>
        <w:rPr>
          <w:color w:val="000000"/>
          <w:spacing w:val="0"/>
          <w:w w:val="100"/>
          <w:position w:val="0"/>
        </w:rPr>
        <w:t>■评析</w:t>
      </w:r>
    </w:p>
    <w:p w14:paraId="07E9D522">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相关规范</w:t>
      </w:r>
    </w:p>
    <w:p w14:paraId="0864C37D">
      <w:pPr>
        <w:pStyle w:val="17"/>
        <w:keepNext w:val="0"/>
        <w:keepLines w:val="0"/>
        <w:widowControl w:val="0"/>
        <w:numPr>
          <w:ilvl w:val="0"/>
          <w:numId w:val="1"/>
        </w:numPr>
        <w:shd w:val="clear" w:color="auto" w:fill="auto"/>
        <w:tabs>
          <w:tab w:val="left" w:pos="680"/>
        </w:tabs>
        <w:bidi w:val="0"/>
        <w:spacing w:before="0" w:after="0" w:line="346" w:lineRule="exact"/>
        <w:ind w:left="0" w:right="0" w:firstLine="420"/>
        <w:jc w:val="both"/>
      </w:pPr>
      <w:bookmarkStart w:id="6" w:name="bookmark12"/>
      <w:bookmarkEnd w:id="6"/>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条规定:</w:t>
      </w:r>
      <w:r>
        <w:rPr>
          <w:color w:val="000000"/>
          <w:spacing w:val="0"/>
          <w:w w:val="100"/>
          <w:position w:val="0"/>
          <w:lang w:val="zh-CN" w:eastAsia="zh-CN" w:bidi="zh-CN"/>
        </w:rPr>
        <w:t>“有下</w:t>
      </w:r>
      <w:r>
        <w:rPr>
          <w:color w:val="000000"/>
          <w:spacing w:val="0"/>
          <w:w w:val="100"/>
          <w:position w:val="0"/>
        </w:rPr>
        <w:t>列情形之一的，合同无效:……（五）违反法律、行政法 规的强制性规定。”（《民法总则》第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w:t>
      </w:r>
    </w:p>
    <w:p w14:paraId="0E6A904D">
      <w:pPr>
        <w:pStyle w:val="17"/>
        <w:keepNext w:val="0"/>
        <w:keepLines w:val="0"/>
        <w:widowControl w:val="0"/>
        <w:numPr>
          <w:ilvl w:val="0"/>
          <w:numId w:val="1"/>
        </w:numPr>
        <w:shd w:val="clear" w:color="auto" w:fill="auto"/>
        <w:tabs>
          <w:tab w:val="left" w:pos="680"/>
        </w:tabs>
        <w:bidi w:val="0"/>
        <w:spacing w:before="0" w:after="0" w:line="346" w:lineRule="exact"/>
        <w:ind w:left="0" w:right="0" w:firstLine="420"/>
        <w:jc w:val="both"/>
      </w:pPr>
      <w:bookmarkStart w:id="7" w:name="bookmark13"/>
      <w:bookmarkEnd w:id="7"/>
      <w:r>
        <w:rPr>
          <w:color w:val="000000"/>
          <w:spacing w:val="0"/>
          <w:w w:val="100"/>
          <w:position w:val="0"/>
        </w:rPr>
        <w:t>《建设工程施工合同司法解释一》第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条规定：“建设工程施工合同具有下列情形之 一的，应当根据合同法第五十二条第（五）项的规定，认定无效:</w:t>
      </w:r>
      <w:r>
        <w:rPr>
          <w:color w:val="000000"/>
          <w:spacing w:val="0"/>
          <w:w w:val="100"/>
          <w:position w:val="0"/>
          <w:lang w:val="zh-CN" w:eastAsia="zh-CN" w:bidi="zh-CN"/>
        </w:rPr>
        <w:t>……</w:t>
      </w:r>
      <w:r>
        <w:rPr>
          <w:color w:val="000000"/>
          <w:spacing w:val="0"/>
          <w:w w:val="100"/>
          <w:position w:val="0"/>
        </w:rPr>
        <w:t>（三）建设工程必须进行 招标而未招标或者中标无效的。”</w:t>
      </w:r>
    </w:p>
    <w:p w14:paraId="50A9F845">
      <w:pPr>
        <w:pStyle w:val="17"/>
        <w:keepNext w:val="0"/>
        <w:keepLines w:val="0"/>
        <w:widowControl w:val="0"/>
        <w:numPr>
          <w:ilvl w:val="0"/>
          <w:numId w:val="1"/>
        </w:numPr>
        <w:shd w:val="clear" w:color="auto" w:fill="auto"/>
        <w:tabs>
          <w:tab w:val="left" w:pos="685"/>
        </w:tabs>
        <w:bidi w:val="0"/>
        <w:spacing w:before="0" w:after="0" w:line="350" w:lineRule="exact"/>
        <w:ind w:left="0" w:right="0" w:firstLine="420"/>
        <w:jc w:val="both"/>
      </w:pPr>
      <w:bookmarkStart w:id="8" w:name="bookmark14"/>
      <w:bookmarkEnd w:id="8"/>
      <w:r>
        <w:rPr>
          <w:color w:val="000000"/>
          <w:spacing w:val="0"/>
          <w:w w:val="100"/>
          <w:position w:val="0"/>
        </w:rPr>
        <w:t>《招标投标法》第</w:t>
      </w:r>
      <w:r>
        <w:rPr>
          <w:rFonts w:ascii="Times New Roman" w:hAnsi="Times New Roman" w:eastAsia="Times New Roman" w:cs="Times New Roman"/>
          <w:color w:val="000000"/>
          <w:spacing w:val="0"/>
          <w:w w:val="100"/>
          <w:position w:val="0"/>
          <w:sz w:val="19"/>
          <w:szCs w:val="19"/>
        </w:rPr>
        <w:t>43</w:t>
      </w:r>
      <w:r>
        <w:rPr>
          <w:color w:val="000000"/>
          <w:spacing w:val="0"/>
          <w:w w:val="100"/>
          <w:position w:val="0"/>
        </w:rPr>
        <w:t>条规定:“在确定中标人前，招标人不得与投标人就投标价格、投 标方案等实质性内容进行谈判</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条规定:</w:t>
      </w:r>
      <w:r>
        <w:rPr>
          <w:color w:val="000000"/>
          <w:spacing w:val="0"/>
          <w:w w:val="100"/>
          <w:position w:val="0"/>
          <w:lang w:val="zh-CN" w:eastAsia="zh-CN" w:bidi="zh-CN"/>
        </w:rPr>
        <w:t>“依法</w:t>
      </w:r>
      <w:r>
        <w:rPr>
          <w:color w:val="000000"/>
          <w:spacing w:val="0"/>
          <w:w w:val="100"/>
          <w:position w:val="0"/>
        </w:rPr>
        <w:t>必须进行招标的项目，招标人违反本 法规定，与投标人就投标价格、投标方案等实质性内容进行谈判的，给予警告,对单位直接 负责的主管人员和其他直接责任人员依法给予处分。前款所列行为影响中标结果的，中标 无效。”</w:t>
      </w:r>
    </w:p>
    <w:p w14:paraId="655FD607">
      <w:pPr>
        <w:pStyle w:val="17"/>
        <w:keepNext w:val="0"/>
        <w:keepLines w:val="0"/>
        <w:widowControl w:val="0"/>
        <w:shd w:val="clear" w:color="auto" w:fill="auto"/>
        <w:bidi w:val="0"/>
        <w:spacing w:before="0" w:after="300" w:line="358" w:lineRule="exact"/>
        <w:ind w:left="0" w:right="0" w:firstLine="420"/>
        <w:jc w:val="both"/>
      </w:pPr>
      <w:r>
        <w:rPr>
          <w:color w:val="000000"/>
          <w:spacing w:val="0"/>
          <w:w w:val="100"/>
          <w:position w:val="0"/>
        </w:rPr>
        <w:t>综合而言，《招标投标法》第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条中的</w:t>
      </w:r>
      <w:r>
        <w:rPr>
          <w:color w:val="000000"/>
          <w:spacing w:val="0"/>
          <w:w w:val="100"/>
          <w:position w:val="0"/>
          <w:lang w:val="zh-CN" w:eastAsia="zh-CN" w:bidi="zh-CN"/>
        </w:rPr>
        <w:t>“中标</w:t>
      </w:r>
      <w:r>
        <w:rPr>
          <w:color w:val="000000"/>
          <w:spacing w:val="0"/>
          <w:w w:val="100"/>
          <w:position w:val="0"/>
        </w:rPr>
        <w:t>无效”，经由《建设工程施工合同司法解释一》 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条援引《合同法》第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项，导致建设工程施工合同无效。</w:t>
      </w:r>
    </w:p>
    <w:p w14:paraId="0D7D1C50">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14C6456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本案中，双方在招投标前进行了实质性谈判,并签订了《建筑施工合作框架协议书》，违 反了前引法律及司法解释规定。二审中，华诚公司主动提出合同因自己的违法行为应归于 无效，目的是规避应承担的付款义务,免除或者减轻一审判决确定由其承担的民事责任。</w:t>
      </w:r>
    </w:p>
    <w:p w14:paraId="127A3BC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此时，法院如果支持华诚公司的主张,将在事实上鼓励“不讲诚信、为追求自身利益最 大化而置他人利益于不顾的恶意抗辩行为</w:t>
      </w:r>
      <w:r>
        <w:rPr>
          <w:color w:val="000000"/>
          <w:spacing w:val="0"/>
          <w:w w:val="100"/>
          <w:position w:val="0"/>
          <w:lang w:val="zh-CN" w:eastAsia="zh-CN" w:bidi="zh-CN"/>
        </w:rPr>
        <w:t>”，并</w:t>
      </w:r>
      <w:r>
        <w:rPr>
          <w:color w:val="000000"/>
          <w:spacing w:val="0"/>
          <w:w w:val="100"/>
          <w:position w:val="0"/>
        </w:rPr>
        <w:t>且</w:t>
      </w:r>
      <w:r>
        <w:rPr>
          <w:color w:val="000000"/>
          <w:spacing w:val="0"/>
          <w:w w:val="100"/>
          <w:position w:val="0"/>
          <w:lang w:val="zh-CN" w:eastAsia="zh-CN" w:bidi="zh-CN"/>
        </w:rPr>
        <w:t>“违背</w:t>
      </w:r>
      <w:r>
        <w:rPr>
          <w:color w:val="000000"/>
          <w:spacing w:val="0"/>
          <w:w w:val="100"/>
          <w:position w:val="0"/>
        </w:rPr>
        <w:t xml:space="preserve">合同无效制度设立的宗旨”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而若不 支持华诚公司的主张，则将面对原《合同法》第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项、《建设工程施工合同司法解释一》 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条、《招标投标法》第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条共同编织成的无效规则之网，需要给岀一个不适用前述规则 的理由。</w:t>
      </w:r>
    </w:p>
    <w:p w14:paraId="5E08FC5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本判决中，法院认为，华诚公司以自己的违法行为为由主张合同无效，违背了诚信原 则，因此驳回了华诚公司的无效主张。也即法院是以一方当事人行为违反诚信原则为理 由，事实上排除了无效规则的适用结果。</w:t>
      </w:r>
    </w:p>
    <w:p w14:paraId="3A9D9C0F">
      <w:pPr>
        <w:pStyle w:val="17"/>
        <w:keepNext w:val="0"/>
        <w:keepLines w:val="0"/>
        <w:widowControl w:val="0"/>
        <w:shd w:val="clear" w:color="auto" w:fill="auto"/>
        <w:bidi w:val="0"/>
        <w:spacing w:before="0" w:after="180" w:line="338" w:lineRule="exact"/>
        <w:ind w:left="0" w:right="0" w:firstLine="440"/>
        <w:jc w:val="both"/>
      </w:pPr>
      <w:r>
        <w:rPr>
          <w:color w:val="000000"/>
          <w:spacing w:val="0"/>
          <w:w w:val="100"/>
          <w:position w:val="0"/>
        </w:rPr>
        <w:t>当具体规则的适用结果与诚信原则相悖时，究竟是具体规则优先,还是诚信原则优先? 这是诚信原则司法适用中的一个重要问题。本判决显示，诚信原则在个案中可以优先于具 体规则适用，其具有</w:t>
      </w:r>
      <w:r>
        <w:rPr>
          <w:color w:val="000000"/>
          <w:spacing w:val="0"/>
          <w:w w:val="100"/>
          <w:position w:val="0"/>
          <w:u w:val="single"/>
        </w:rPr>
        <w:t>纠正规则严重不</w:t>
      </w:r>
      <w:r>
        <w:rPr>
          <w:color w:val="000000"/>
          <w:spacing w:val="0"/>
          <w:w w:val="100"/>
          <w:position w:val="0"/>
        </w:rPr>
        <w:t>玉当</w:t>
      </w:r>
      <w:r>
        <w:rPr>
          <w:color w:val="000000"/>
          <w:spacing w:val="0"/>
          <w:w w:val="100"/>
          <w:position w:val="0"/>
          <w:lang w:val="zh-CN" w:eastAsia="zh-CN" w:bidi="zh-CN"/>
        </w:rPr>
        <w:t>的适用</w:t>
      </w:r>
      <w:r>
        <w:rPr>
          <w:color w:val="000000"/>
          <w:spacing w:val="0"/>
          <w:w w:val="100"/>
          <w:position w:val="0"/>
        </w:rPr>
        <w:t>结是的功能.此为本判决的意义。</w:t>
      </w:r>
    </w:p>
    <w:p w14:paraId="528CACFD">
      <w:pPr>
        <w:pStyle w:val="17"/>
        <w:keepNext w:val="0"/>
        <w:keepLines w:val="0"/>
        <w:widowControl w:val="0"/>
        <w:shd w:val="clear" w:color="auto" w:fill="auto"/>
        <w:bidi w:val="0"/>
        <w:spacing w:before="0" w:after="80" w:line="415"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OO</w:t>
      </w:r>
      <w:r>
        <w:rPr>
          <w:color w:val="000000"/>
          <w:spacing w:val="0"/>
          <w:w w:val="100"/>
          <w:position w:val="0"/>
        </w:rPr>
        <w:t>相关学理</w:t>
      </w:r>
    </w:p>
    <w:p w14:paraId="20A4573A">
      <w:pPr>
        <w:pStyle w:val="17"/>
        <w:keepNext w:val="0"/>
        <w:keepLines w:val="0"/>
        <w:widowControl w:val="0"/>
        <w:shd w:val="clear" w:color="auto" w:fill="auto"/>
        <w:bidi w:val="0"/>
        <w:spacing w:before="0" w:after="0" w:line="415" w:lineRule="auto"/>
        <w:ind w:left="0" w:right="0"/>
        <w:jc w:val="both"/>
      </w:pP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rPr>
        <w:t>.既有学说梳司</w:t>
      </w:r>
    </w:p>
    <w:p w14:paraId="1D8967B4">
      <w:pPr>
        <w:pStyle w:val="17"/>
        <w:keepNext w:val="0"/>
        <w:keepLines w:val="0"/>
        <w:widowControl w:val="0"/>
        <w:shd w:val="clear" w:color="auto" w:fill="auto"/>
        <w:bidi w:val="0"/>
        <w:spacing w:before="0" w:after="0" w:line="338" w:lineRule="exact"/>
        <w:ind w:left="0" w:right="0" w:firstLine="440"/>
        <w:jc w:val="both"/>
      </w:pPr>
      <w:r>
        <w:rPr>
          <w:color w:val="000000"/>
          <w:spacing w:val="0"/>
          <w:w w:val="100"/>
          <w:position w:val="0"/>
        </w:rPr>
        <w:t>诚信原则能否修正制定法规则或纠正制定法规则适用的不当结果，对此学界存在不同 意见。</w:t>
      </w:r>
    </w:p>
    <w:p w14:paraId="00210EC1">
      <w:pPr>
        <w:pStyle w:val="17"/>
        <w:keepNext w:val="0"/>
        <w:keepLines w:val="0"/>
        <w:widowControl w:val="0"/>
        <w:shd w:val="clear" w:color="auto" w:fill="auto"/>
        <w:bidi w:val="0"/>
        <w:spacing w:before="0" w:after="0" w:line="338" w:lineRule="exact"/>
        <w:ind w:left="0" w:right="0" w:firstLine="440"/>
        <w:jc w:val="both"/>
      </w:pPr>
      <w:r>
        <w:rPr>
          <w:color w:val="000000"/>
          <w:spacing w:val="0"/>
          <w:w w:val="100"/>
          <w:position w:val="0"/>
        </w:rPr>
        <w:t>肯定意见认为，基本原则具有“修正功能”，即</w:t>
      </w:r>
      <w:r>
        <w:rPr>
          <w:color w:val="000000"/>
          <w:spacing w:val="0"/>
          <w:w w:val="100"/>
          <w:position w:val="0"/>
          <w:lang w:val="zh-CN" w:eastAsia="zh-CN" w:bidi="zh-CN"/>
        </w:rPr>
        <w:t>“在个</w:t>
      </w:r>
      <w:r>
        <w:rPr>
          <w:color w:val="000000"/>
          <w:spacing w:val="0"/>
          <w:w w:val="100"/>
          <w:position w:val="0"/>
        </w:rPr>
        <w:t>案中,适用具体法规则在结果上违 反社会正义时，不适用该具体规则，而改用基本原则裁判</w:t>
      </w:r>
      <w:r>
        <w:rPr>
          <w:color w:val="000000"/>
          <w:spacing w:val="0"/>
          <w:w w:val="100"/>
          <w:position w:val="0"/>
          <w:lang w:val="zh-CN" w:eastAsia="zh-CN" w:bidi="zh-CN"/>
        </w:rPr>
        <w:t>”（韩</w:t>
      </w:r>
      <w:r>
        <w:rPr>
          <w:color w:val="000000"/>
          <w:spacing w:val="0"/>
          <w:w w:val="100"/>
          <w:position w:val="0"/>
        </w:rPr>
        <w:t xml:space="preserve">世远:《合同法总论》，法律出版社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61 ~63</w:t>
      </w:r>
      <w:r>
        <w:rPr>
          <w:color w:val="000000"/>
          <w:spacing w:val="0"/>
          <w:w w:val="100"/>
          <w:position w:val="0"/>
        </w:rPr>
        <w:t>页；魏振瀛主编：《民法》，北京大学出版社、高等教育出版社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页； 徐国栋:《民法基本原则解释》，北京大学出版社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260</w:t>
      </w:r>
      <w:r>
        <w:rPr>
          <w:color w:val="000000"/>
          <w:spacing w:val="0"/>
          <w:w w:val="100"/>
          <w:position w:val="0"/>
        </w:rPr>
        <w:t>页）。</w:t>
      </w:r>
    </w:p>
    <w:p w14:paraId="0CA8EB2F">
      <w:pPr>
        <w:pStyle w:val="17"/>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否定意见认为,“援用诚信原则结果，苟导致与法律规定相反的结论，亦不在被允许之 列，盖于此情形，苟亦被允许，则解释法律者,将可借适用诚信原则之美名，而为所欲为之解 释也”［杨仁寿：《法学方法论》（第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版），中国政法大学出版社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190</w:t>
      </w:r>
      <w:r>
        <w:rPr>
          <w:color w:val="000000"/>
          <w:spacing w:val="0"/>
          <w:w w:val="100"/>
          <w:position w:val="0"/>
        </w:rPr>
        <w:t>页］。</w:t>
      </w:r>
    </w:p>
    <w:p w14:paraId="15410720">
      <w:pPr>
        <w:pStyle w:val="17"/>
        <w:keepNext w:val="0"/>
        <w:keepLines w:val="0"/>
        <w:widowControl w:val="0"/>
        <w:shd w:val="clear" w:color="auto" w:fill="auto"/>
        <w:bidi w:val="0"/>
        <w:spacing w:before="0" w:after="80" w:line="338" w:lineRule="exact"/>
        <w:ind w:left="0" w:right="0" w:firstLine="440"/>
        <w:jc w:val="both"/>
      </w:pPr>
      <w:r>
        <w:rPr>
          <w:color w:val="000000"/>
          <w:spacing w:val="0"/>
          <w:w w:val="100"/>
          <w:position w:val="0"/>
        </w:rPr>
        <w:t>亦有学者持折中观点，认为理论上应持肯定说，但在我国目前的实践中,肯定说可能会 导致法官权力的滥用［李永军:《民法总论》（第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82</w:t>
      </w:r>
      <w:r>
        <w:rPr>
          <w:color w:val="000000"/>
          <w:spacing w:val="0"/>
          <w:w w:val="100"/>
          <w:position w:val="0"/>
        </w:rPr>
        <w:t>页］。</w:t>
      </w:r>
    </w:p>
    <w:p w14:paraId="66F2808F">
      <w:pPr>
        <w:pStyle w:val="17"/>
        <w:keepNext w:val="0"/>
        <w:keepLines w:val="0"/>
        <w:widowControl w:val="0"/>
        <w:numPr>
          <w:ilvl w:val="0"/>
          <w:numId w:val="2"/>
        </w:numPr>
        <w:shd w:val="clear" w:color="auto" w:fill="auto"/>
        <w:bidi w:val="0"/>
        <w:spacing w:before="0" w:after="0" w:line="415" w:lineRule="auto"/>
        <w:ind w:left="0" w:right="0"/>
        <w:jc w:val="both"/>
      </w:pPr>
      <w:bookmarkStart w:id="9" w:name="bookmark15"/>
      <w:bookmarkEnd w:id="9"/>
      <w:r>
        <w:rPr>
          <w:color w:val="000000"/>
          <w:spacing w:val="0"/>
          <w:w w:val="100"/>
          <w:position w:val="0"/>
        </w:rPr>
        <w:t>本文观点</w:t>
      </w:r>
    </w:p>
    <w:p w14:paraId="01832E3B">
      <w:pPr>
        <w:pStyle w:val="17"/>
        <w:keepNext w:val="0"/>
        <w:keepLines w:val="0"/>
        <w:widowControl w:val="0"/>
        <w:shd w:val="clear" w:color="auto" w:fill="auto"/>
        <w:bidi w:val="0"/>
        <w:spacing w:before="0" w:after="0" w:line="338" w:lineRule="exact"/>
        <w:ind w:left="0" w:right="0" w:firstLine="440"/>
        <w:jc w:val="both"/>
      </w:pPr>
      <w:r>
        <w:rPr>
          <w:color w:val="000000"/>
          <w:spacing w:val="0"/>
          <w:w w:val="100"/>
          <w:position w:val="0"/>
        </w:rPr>
        <w:t>本文认为肯定说更为合理。法律规则的一般性，决定了其仅能保障通常、多数情况下 的正义;但一定会有某些特殊、少数情形，规则适用将产生不正义的后果，导致法律走向正 义的反面。此即成文法的</w:t>
      </w:r>
      <w:r>
        <w:rPr>
          <w:color w:val="000000"/>
          <w:spacing w:val="0"/>
          <w:w w:val="100"/>
          <w:position w:val="0"/>
          <w:lang w:val="zh-CN" w:eastAsia="zh-CN" w:bidi="zh-CN"/>
        </w:rPr>
        <w:t>“不合</w:t>
      </w:r>
      <w:r>
        <w:rPr>
          <w:color w:val="000000"/>
          <w:spacing w:val="0"/>
          <w:w w:val="100"/>
          <w:position w:val="0"/>
        </w:rPr>
        <w:t>目的性”（徐国栋:《民法基本原则解释》，北京大学出版社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265</w:t>
      </w:r>
      <w:r>
        <w:rPr>
          <w:color w:val="000000"/>
          <w:spacing w:val="0"/>
          <w:w w:val="100"/>
          <w:position w:val="0"/>
        </w:rPr>
        <w:t>页）。然而，法律不允许少数人成为制度的牺牲品，在规则适用产生严重不正义结 果时,客观上需要一个纠正机制。诚信原则提供了这样一个纠正的工具。</w:t>
      </w:r>
    </w:p>
    <w:p w14:paraId="10FA4E51">
      <w:pPr>
        <w:pStyle w:val="17"/>
        <w:keepNext w:val="0"/>
        <w:keepLines w:val="0"/>
        <w:widowControl w:val="0"/>
        <w:shd w:val="clear" w:color="auto" w:fill="auto"/>
        <w:bidi w:val="0"/>
        <w:spacing w:before="0" w:after="180" w:line="338" w:lineRule="exact"/>
        <w:ind w:left="0" w:right="0" w:firstLine="440"/>
        <w:jc w:val="both"/>
      </w:pPr>
      <w:r>
        <w:rPr>
          <w:color w:val="000000"/>
          <w:spacing w:val="0"/>
          <w:w w:val="100"/>
          <w:position w:val="0"/>
        </w:rPr>
        <w:t>拉德布鲁赫公式指出，当制定法与正义的矛盾达到“不能容忍”的程度时，制定法须屈 服于正义（雷磊：《再访拉德布鲁赫公式》，载雷磊主编：《拉德布鲁赫公式》，中国政法大学出版社</w:t>
      </w:r>
      <w:r>
        <w:rPr>
          <w:rFonts w:ascii="Times New Roman" w:hAnsi="Times New Roman" w:eastAsia="Times New Roman" w:cs="Times New Roman"/>
          <w:color w:val="000000"/>
          <w:spacing w:val="0"/>
          <w:w w:val="100"/>
          <w:position w:val="0"/>
          <w:sz w:val="17"/>
          <w:szCs w:val="17"/>
        </w:rPr>
        <w:t xml:space="preserve">2015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147</w:t>
      </w:r>
      <w:r>
        <w:rPr>
          <w:color w:val="000000"/>
          <w:spacing w:val="0"/>
          <w:w w:val="100"/>
          <w:position w:val="0"/>
        </w:rPr>
        <w:t>页）。因此,真正的问题不在于表征正义的原则能否修正规则，而在于如何尽到 证明规则与正义的矛盾已经达到</w:t>
      </w:r>
      <w:r>
        <w:rPr>
          <w:color w:val="000000"/>
          <w:spacing w:val="0"/>
          <w:w w:val="100"/>
          <w:position w:val="0"/>
          <w:lang w:val="zh-CN" w:eastAsia="zh-CN" w:bidi="zh-CN"/>
        </w:rPr>
        <w:t>“不</w:t>
      </w:r>
      <w:r>
        <w:rPr>
          <w:color w:val="000000"/>
          <w:spacing w:val="0"/>
          <w:w w:val="100"/>
          <w:position w:val="0"/>
        </w:rPr>
        <w:t>能容忍”程度的论证义务。</w:t>
      </w:r>
    </w:p>
    <w:p w14:paraId="039FBB61">
      <w:pPr>
        <w:pStyle w:val="17"/>
        <w:keepNext w:val="0"/>
        <w:keepLines w:val="0"/>
        <w:widowControl w:val="0"/>
        <w:shd w:val="clear" w:color="auto" w:fill="auto"/>
        <w:bidi w:val="0"/>
        <w:spacing w:before="0" w:after="180" w:line="338" w:lineRule="exact"/>
        <w:ind w:left="0" w:right="0" w:firstLine="0"/>
        <w:jc w:val="both"/>
      </w:pPr>
      <w:r>
        <w:rPr>
          <w:color w:val="000000"/>
          <w:spacing w:val="0"/>
          <w:w w:val="100"/>
          <w:position w:val="0"/>
        </w:rPr>
        <w:t>困司法实践状况</w:t>
      </w:r>
    </w:p>
    <w:p w14:paraId="543BDECE">
      <w:pPr>
        <w:pStyle w:val="17"/>
        <w:keepNext w:val="0"/>
        <w:keepLines w:val="0"/>
        <w:widowControl w:val="0"/>
        <w:shd w:val="clear" w:color="auto" w:fill="auto"/>
        <w:bidi w:val="0"/>
        <w:spacing w:before="0" w:after="0" w:line="333" w:lineRule="exact"/>
        <w:ind w:left="0" w:right="0"/>
        <w:jc w:val="both"/>
      </w:pPr>
      <w:r>
        <w:rPr>
          <w:color w:val="000000"/>
          <w:spacing w:val="0"/>
          <w:w w:val="100"/>
          <w:position w:val="0"/>
        </w:rPr>
        <w:t>当下我国法院在违法无效规则与诚信原则发生冲突时，有以下几种做法：</w:t>
      </w:r>
    </w:p>
    <w:p w14:paraId="6188A3EF">
      <w:pPr>
        <w:pStyle w:val="17"/>
        <w:keepNext w:val="0"/>
        <w:keepLines w:val="0"/>
        <w:widowControl w:val="0"/>
        <w:numPr>
          <w:ilvl w:val="0"/>
          <w:numId w:val="3"/>
        </w:numPr>
        <w:shd w:val="clear" w:color="auto" w:fill="auto"/>
        <w:bidi w:val="0"/>
        <w:spacing w:before="0" w:after="0" w:line="333" w:lineRule="exact"/>
        <w:ind w:left="0" w:right="0" w:firstLine="440"/>
        <w:jc w:val="both"/>
      </w:pPr>
      <w:bookmarkStart w:id="10" w:name="bookmark16"/>
      <w:bookmarkEnd w:id="10"/>
      <w:r>
        <w:rPr>
          <w:color w:val="000000"/>
          <w:spacing w:val="0"/>
          <w:w w:val="100"/>
          <w:position w:val="0"/>
        </w:rPr>
        <w:t xml:space="preserve">严格适用规则，判定合同无效。例如，开发商签订商品房预售合同时未取得预售许可 证，后来房价大幅上涨，开发商以自己签订合同时未办理预售许可证为由主张合同无效。 法院以最高人民法院《关于审理商品房买卖合同纠纷案件适用法律若干问题的解释》［法释 </w:t>
      </w:r>
      <w:r>
        <w:rPr>
          <w:rFonts w:ascii="Times New Roman" w:hAnsi="Times New Roman" w:eastAsia="Times New Roman" w:cs="Times New Roman"/>
          <w:color w:val="000000"/>
          <w:spacing w:val="0"/>
          <w:w w:val="100"/>
          <w:position w:val="0"/>
          <w:sz w:val="17"/>
          <w:szCs w:val="17"/>
        </w:rPr>
        <w:t>（2003）7</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条为依据，支持开发商主张［河北省承德市中级人民法院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08</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 xml:space="preserve">2894 </w:t>
      </w:r>
      <w:r>
        <w:rPr>
          <w:color w:val="000000"/>
          <w:spacing w:val="0"/>
          <w:w w:val="100"/>
          <w:position w:val="0"/>
        </w:rPr>
        <w:t>号民事判决书］。</w:t>
      </w:r>
    </w:p>
    <w:p w14:paraId="4ECC7043">
      <w:pPr>
        <w:pStyle w:val="17"/>
        <w:keepNext w:val="0"/>
        <w:keepLines w:val="0"/>
        <w:widowControl w:val="0"/>
        <w:numPr>
          <w:ilvl w:val="0"/>
          <w:numId w:val="3"/>
        </w:numPr>
        <w:shd w:val="clear" w:color="auto" w:fill="auto"/>
        <w:tabs>
          <w:tab w:val="left" w:pos="690"/>
        </w:tabs>
        <w:bidi w:val="0"/>
        <w:spacing w:before="0" w:after="0" w:line="343" w:lineRule="exact"/>
        <w:ind w:left="0" w:right="0" w:firstLine="420"/>
        <w:jc w:val="both"/>
      </w:pPr>
      <w:bookmarkStart w:id="11" w:name="bookmark17"/>
      <w:bookmarkEnd w:id="11"/>
      <w:r>
        <w:rPr>
          <w:color w:val="000000"/>
          <w:spacing w:val="0"/>
          <w:w w:val="100"/>
          <w:position w:val="0"/>
        </w:rPr>
        <w:t xml:space="preserve">确认合同无效后，以诚信原则为由进行利益调节。例如,非集体经济组织成员购买集 体土地上的集资房,后因房价上涨，出卖人主张合同无效。法院虽仍基于《土地管理法》第 </w:t>
      </w:r>
      <w:r>
        <w:rPr>
          <w:rFonts w:ascii="Times New Roman" w:hAnsi="Times New Roman" w:eastAsia="Times New Roman" w:cs="Times New Roman"/>
          <w:color w:val="000000"/>
          <w:spacing w:val="0"/>
          <w:w w:val="100"/>
          <w:position w:val="0"/>
          <w:sz w:val="17"/>
          <w:szCs w:val="17"/>
        </w:rPr>
        <w:t>62</w:t>
      </w:r>
      <w:r>
        <w:rPr>
          <w:color w:val="000000"/>
          <w:spacing w:val="0"/>
          <w:w w:val="100"/>
          <w:position w:val="0"/>
        </w:rPr>
        <w:t>条等规定认定合同无效，但同时认为出卖人行为违背诚信原则，应承担买受人因房屋涨 价造成的差价损失的</w:t>
      </w:r>
      <w:r>
        <w:rPr>
          <w:rFonts w:ascii="Times New Roman" w:hAnsi="Times New Roman" w:eastAsia="Times New Roman" w:cs="Times New Roman"/>
          <w:color w:val="000000"/>
          <w:spacing w:val="0"/>
          <w:w w:val="100"/>
          <w:position w:val="0"/>
          <w:sz w:val="17"/>
          <w:szCs w:val="17"/>
        </w:rPr>
        <w:t xml:space="preserve">70% </w:t>
      </w:r>
      <w:r>
        <w:rPr>
          <w:color w:val="000000"/>
          <w:spacing w:val="0"/>
          <w:w w:val="100"/>
          <w:position w:val="0"/>
          <w:lang w:val="en-US" w:eastAsia="en-US" w:bidi="en-US"/>
        </w:rPr>
        <w:t>［</w:t>
      </w:r>
      <w:r>
        <w:rPr>
          <w:color w:val="000000"/>
          <w:spacing w:val="0"/>
          <w:w w:val="100"/>
          <w:position w:val="0"/>
        </w:rPr>
        <w:t>河北省石家庄市中级人民法院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8011</w:t>
      </w:r>
      <w:r>
        <w:rPr>
          <w:color w:val="000000"/>
          <w:spacing w:val="0"/>
          <w:w w:val="100"/>
          <w:position w:val="0"/>
        </w:rPr>
        <w:t>号民事判决 书］。</w:t>
      </w:r>
    </w:p>
    <w:p w14:paraId="5E326D2B">
      <w:pPr>
        <w:pStyle w:val="17"/>
        <w:keepNext w:val="0"/>
        <w:keepLines w:val="0"/>
        <w:widowControl w:val="0"/>
        <w:numPr>
          <w:ilvl w:val="0"/>
          <w:numId w:val="3"/>
        </w:numPr>
        <w:shd w:val="clear" w:color="auto" w:fill="auto"/>
        <w:tabs>
          <w:tab w:val="left" w:pos="685"/>
        </w:tabs>
        <w:bidi w:val="0"/>
        <w:spacing w:before="0" w:after="0" w:line="343" w:lineRule="exact"/>
        <w:ind w:left="0" w:right="0" w:firstLine="420"/>
        <w:jc w:val="both"/>
      </w:pPr>
      <w:bookmarkStart w:id="12" w:name="bookmark18"/>
      <w:bookmarkEnd w:id="12"/>
      <w:r>
        <w:rPr>
          <w:color w:val="000000"/>
          <w:spacing w:val="0"/>
          <w:w w:val="100"/>
          <w:position w:val="0"/>
        </w:rPr>
        <w:t>以违背诚信原则为由，驳回当事人的无效主张。例如，同样是开发商以自己未办理商 品房预售许可证为由主张合同无效，法院认为“原告在未取得房屋预售许可证的情况下销 售房屋并收取被告大部分购房款后，在案涉房屋已为现房、具备交付条件、房价大幅上涨的 情形下，拒绝继续履行协议、交付房屋而请求确认认购协议无效，明显违背诚实信用原则， 其行为属滥用诉权、构成恶意诉讼，本院对原告所述不予支持</w:t>
      </w:r>
      <w:r>
        <w:rPr>
          <w:color w:val="000000"/>
          <w:spacing w:val="0"/>
          <w:w w:val="100"/>
          <w:position w:val="0"/>
          <w:lang w:val="zh-CN" w:eastAsia="zh-CN" w:bidi="zh-CN"/>
        </w:rPr>
        <w:t>”［河</w:t>
      </w:r>
      <w:r>
        <w:rPr>
          <w:color w:val="000000"/>
          <w:spacing w:val="0"/>
          <w:w w:val="100"/>
          <w:position w:val="0"/>
        </w:rPr>
        <w:t>北省正定县人民法院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0123</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2593</w:t>
      </w:r>
      <w:r>
        <w:rPr>
          <w:color w:val="000000"/>
          <w:spacing w:val="0"/>
          <w:w w:val="100"/>
          <w:position w:val="0"/>
        </w:rPr>
        <w:t>号民事判决书］。</w:t>
      </w:r>
    </w:p>
    <w:p w14:paraId="3DE4A16B">
      <w:pPr>
        <w:pStyle w:val="17"/>
        <w:keepNext w:val="0"/>
        <w:keepLines w:val="0"/>
        <w:widowControl w:val="0"/>
        <w:numPr>
          <w:ilvl w:val="0"/>
          <w:numId w:val="3"/>
        </w:numPr>
        <w:shd w:val="clear" w:color="auto" w:fill="auto"/>
        <w:tabs>
          <w:tab w:val="left" w:pos="682"/>
        </w:tabs>
        <w:bidi w:val="0"/>
        <w:spacing w:before="0" w:after="0" w:line="343" w:lineRule="exact"/>
        <w:ind w:left="0" w:right="0" w:firstLine="420"/>
        <w:jc w:val="both"/>
      </w:pPr>
      <w:bookmarkStart w:id="13" w:name="bookmark19"/>
      <w:bookmarkEnd w:id="13"/>
      <w:r>
        <w:rPr>
          <w:color w:val="000000"/>
          <w:spacing w:val="0"/>
          <w:w w:val="100"/>
          <w:position w:val="0"/>
        </w:rPr>
        <w:t>无效合同按有效合同对待。例如，工程承包人以自己不具备建筑施工企业资质为由， 主张建设工程合同无效（《建设工程施工合同司法解释一》第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款）。法院首先认定 该合同为无效合同，然后指出主张无效一方违背诚信原则，</w:t>
      </w:r>
      <w:r>
        <w:rPr>
          <w:color w:val="000000"/>
          <w:spacing w:val="0"/>
          <w:w w:val="100"/>
          <w:position w:val="0"/>
          <w:lang w:val="zh-CN" w:eastAsia="zh-CN" w:bidi="zh-CN"/>
        </w:rPr>
        <w:t>“故本</w:t>
      </w:r>
      <w:r>
        <w:rPr>
          <w:color w:val="000000"/>
          <w:spacing w:val="0"/>
          <w:w w:val="100"/>
          <w:position w:val="0"/>
        </w:rPr>
        <w:t>院认为，无效合同应当按 有效合同的原则进行处理,即虽为无效合同但双方仍应按合同约定行使相应的权利，履行 相应的义务</w:t>
      </w:r>
      <w:r>
        <w:rPr>
          <w:color w:val="000000"/>
          <w:spacing w:val="0"/>
          <w:w w:val="100"/>
          <w:position w:val="0"/>
          <w:lang w:val="zh-CN" w:eastAsia="zh-CN" w:bidi="zh-CN"/>
        </w:rPr>
        <w:t>”［山</w:t>
      </w:r>
      <w:r>
        <w:rPr>
          <w:color w:val="000000"/>
          <w:spacing w:val="0"/>
          <w:w w:val="100"/>
          <w:position w:val="0"/>
        </w:rPr>
        <w:t>东省胶州市人民法院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胶民重字第</w:t>
      </w:r>
      <w:r>
        <w:rPr>
          <w:rFonts w:ascii="Times New Roman" w:hAnsi="Times New Roman" w:eastAsia="Times New Roman" w:cs="Times New Roman"/>
          <w:color w:val="000000"/>
          <w:spacing w:val="0"/>
          <w:w w:val="100"/>
          <w:position w:val="0"/>
          <w:sz w:val="17"/>
          <w:szCs w:val="17"/>
        </w:rPr>
        <w:t>14</w:t>
      </w:r>
      <w:r>
        <w:rPr>
          <w:color w:val="000000"/>
          <w:spacing w:val="0"/>
          <w:w w:val="100"/>
          <w:position w:val="0"/>
        </w:rPr>
        <w:t>号民事判决书］。</w:t>
      </w:r>
    </w:p>
    <w:p w14:paraId="6C5E4D1A">
      <w:pPr>
        <w:pStyle w:val="17"/>
        <w:keepNext w:val="0"/>
        <w:keepLines w:val="0"/>
        <w:widowControl w:val="0"/>
        <w:numPr>
          <w:ilvl w:val="0"/>
          <w:numId w:val="3"/>
        </w:numPr>
        <w:shd w:val="clear" w:color="auto" w:fill="auto"/>
        <w:tabs>
          <w:tab w:val="left" w:pos="685"/>
        </w:tabs>
        <w:bidi w:val="0"/>
        <w:spacing w:before="0" w:after="0" w:line="343" w:lineRule="exact"/>
        <w:ind w:left="0" w:right="0" w:firstLine="420"/>
        <w:jc w:val="both"/>
      </w:pPr>
      <w:bookmarkStart w:id="14" w:name="bookmark20"/>
      <w:bookmarkEnd w:id="14"/>
      <w:r>
        <w:rPr>
          <w:color w:val="000000"/>
          <w:spacing w:val="0"/>
          <w:w w:val="100"/>
          <w:position w:val="0"/>
        </w:rPr>
        <w:t>基于诚信原则修正无效规则，认定合同有效。例如，同为开发商以自己未办理商品房 预售许可证为由主张合同无效，法院指出开发商</w:t>
      </w:r>
      <w:r>
        <w:rPr>
          <w:color w:val="000000"/>
          <w:spacing w:val="0"/>
          <w:w w:val="100"/>
          <w:position w:val="0"/>
          <w:lang w:val="zh-CN" w:eastAsia="zh-CN" w:bidi="zh-CN"/>
        </w:rPr>
        <w:t>“主张</w:t>
      </w:r>
      <w:r>
        <w:rPr>
          <w:color w:val="000000"/>
          <w:spacing w:val="0"/>
          <w:w w:val="100"/>
          <w:position w:val="0"/>
        </w:rPr>
        <w:t>《商品房认购合同书》无效，使购房人 的商品房买卖合同目的落空，严重违反诚信原则。对于原告的诉讼请求，违反民法的基本 原则，故本院不予支持”</w:t>
      </w:r>
      <w:r>
        <w:rPr>
          <w:color w:val="000000"/>
          <w:spacing w:val="0"/>
          <w:w w:val="100"/>
          <w:position w:val="0"/>
          <w:lang w:val="zh-CN" w:eastAsia="zh-CN" w:bidi="zh-CN"/>
        </w:rPr>
        <w:t>，“合</w:t>
      </w:r>
      <w:r>
        <w:rPr>
          <w:color w:val="000000"/>
          <w:spacing w:val="0"/>
          <w:w w:val="100"/>
          <w:position w:val="0"/>
        </w:rPr>
        <w:t>同依法成立，合法有效,双方均应恪守</w:t>
      </w:r>
      <w:r>
        <w:rPr>
          <w:color w:val="000000"/>
          <w:spacing w:val="0"/>
          <w:w w:val="100"/>
          <w:position w:val="0"/>
          <w:lang w:val="zh-CN" w:eastAsia="zh-CN" w:bidi="zh-CN"/>
        </w:rPr>
        <w:t>”［内</w:t>
      </w:r>
      <w:r>
        <w:rPr>
          <w:color w:val="000000"/>
          <w:spacing w:val="0"/>
          <w:w w:val="100"/>
          <w:position w:val="0"/>
        </w:rPr>
        <w:t>蒙古自治区呼和浩特 市新城区人民法院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内</w:t>
      </w:r>
      <w:r>
        <w:rPr>
          <w:rFonts w:ascii="Times New Roman" w:hAnsi="Times New Roman" w:eastAsia="Times New Roman" w:cs="Times New Roman"/>
          <w:color w:val="000000"/>
          <w:spacing w:val="0"/>
          <w:w w:val="100"/>
          <w:position w:val="0"/>
          <w:sz w:val="17"/>
          <w:szCs w:val="17"/>
        </w:rPr>
        <w:t>0102</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4785</w:t>
      </w:r>
      <w:r>
        <w:rPr>
          <w:color w:val="000000"/>
          <w:spacing w:val="0"/>
          <w:w w:val="100"/>
          <w:position w:val="0"/>
        </w:rPr>
        <w:t>号民事判决书，同参西安市莲湖区人民法院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陕</w:t>
      </w:r>
      <w:r>
        <w:rPr>
          <w:rFonts w:ascii="Times New Roman" w:hAnsi="Times New Roman" w:eastAsia="Times New Roman" w:cs="Times New Roman"/>
          <w:color w:val="000000"/>
          <w:spacing w:val="0"/>
          <w:w w:val="100"/>
          <w:position w:val="0"/>
          <w:sz w:val="17"/>
          <w:szCs w:val="17"/>
        </w:rPr>
        <w:t xml:space="preserve">0104 </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2071</w:t>
      </w:r>
      <w:r>
        <w:rPr>
          <w:color w:val="000000"/>
          <w:spacing w:val="0"/>
          <w:w w:val="100"/>
          <w:position w:val="0"/>
        </w:rPr>
        <w:t>号民事判决书］。</w:t>
      </w:r>
    </w:p>
    <w:p w14:paraId="1033E10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最高人民法院在本案中显示出来的裁判思路,是以上</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种处理方法之第三种，即驳回背 信者的无效主张。对此应指出以下两点：</w:t>
      </w:r>
    </w:p>
    <w:p w14:paraId="7732581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第一，在法技术上，此种裁判方法所依据的实为诚信原则的子类型——</w:t>
      </w:r>
      <w:r>
        <w:rPr>
          <w:color w:val="000000"/>
          <w:spacing w:val="0"/>
          <w:w w:val="100"/>
          <w:position w:val="0"/>
          <w:lang w:val="zh-CN" w:eastAsia="zh-CN" w:bidi="zh-CN"/>
        </w:rPr>
        <w:t>“禁止</w:t>
      </w:r>
      <w:r>
        <w:rPr>
          <w:color w:val="000000"/>
          <w:spacing w:val="0"/>
          <w:w w:val="100"/>
          <w:position w:val="0"/>
        </w:rPr>
        <w:t>权利滥 用”。权利行使的正面要求是遵循诚信,反面要求是不得滥用权利。故禁止权利滥用实为 诚信原则核心适用领域（权利行使领域）的反向规定。违法者以自己违法为由，主张合同无 效，系一种违背诚信的权利滥用行为,导致其主张被否定。</w:t>
      </w:r>
    </w:p>
    <w:p w14:paraId="12E8B76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第二,在利益的实质衡量上,本判决书揭示出两个权衡的关键点:其一，若法院支持背 信者的主张，等于允许违法者拥有了选择合同效力的自由。一方当事人,尤其是优势方,可 以先做出某种能导致合同无效的违法行为，从而为自己留下选择余地。如本案判决书所 示</w:t>
      </w:r>
      <w:r>
        <w:rPr>
          <w:color w:val="000000"/>
          <w:spacing w:val="0"/>
          <w:w w:val="100"/>
          <w:position w:val="0"/>
          <w:lang w:val="zh-CN" w:eastAsia="zh-CN" w:bidi="zh-CN"/>
        </w:rPr>
        <w:t>，“在</w:t>
      </w:r>
      <w:r>
        <w:rPr>
          <w:color w:val="000000"/>
          <w:spacing w:val="0"/>
          <w:w w:val="100"/>
          <w:position w:val="0"/>
        </w:rPr>
        <w:t>招投标过程中，较承包人而言,发包人掌握一定主动权。本案中，华诚公司作为招标 人，明知其与铁建大桥工程局于招投标之前就合同实质性内容进行谈判的行为可能导致双 方其后签订的《建设工程施工合同》因违反《招标投标法》的相关规定而被认定为无效，仍然 积极追求或放任该法律后果的发生”。然后在合同履行中，违法者可以视该合同是否实际 于己有利，来决定是否主张无效。</w:t>
      </w:r>
      <w:r>
        <w:rPr>
          <w:color w:val="000000"/>
          <w:spacing w:val="0"/>
          <w:w w:val="100"/>
          <w:position w:val="0"/>
          <w:lang w:val="zh-CN" w:eastAsia="zh-CN" w:bidi="zh-CN"/>
        </w:rPr>
        <w:t>“华诚</w:t>
      </w:r>
      <w:r>
        <w:rPr>
          <w:color w:val="000000"/>
          <w:spacing w:val="0"/>
          <w:w w:val="100"/>
          <w:position w:val="0"/>
        </w:rPr>
        <w:t>房地产公司在本案二审中提出涉案《建设工程施工 合同》无效的上诉主张，是认为涉案《建设工程施工合同》有效将为其带来不利，或者所带来 的利益小于合同无效所带来的利益，其目的是规避应承担的付款义务,免除或者减轻一审 判决确定由其承担的民事责任</w:t>
      </w:r>
      <w:r>
        <w:rPr>
          <w:color w:val="000000"/>
          <w:spacing w:val="0"/>
          <w:w w:val="100"/>
          <w:position w:val="0"/>
          <w:lang w:val="zh-CN" w:eastAsia="zh-CN" w:bidi="zh-CN"/>
        </w:rPr>
        <w:t>。”这</w:t>
      </w:r>
      <w:r>
        <w:rPr>
          <w:color w:val="000000"/>
          <w:spacing w:val="0"/>
          <w:w w:val="100"/>
          <w:position w:val="0"/>
        </w:rPr>
        <w:t>种背信行为若不禁止，违法者会因自己的违法行为，获 得依其单方意思控制合同效力的巨大利益。其二,违背合同无效制度的目的。如判决书所 述</w:t>
      </w:r>
      <w:r>
        <w:rPr>
          <w:color w:val="000000"/>
          <w:spacing w:val="0"/>
          <w:w w:val="100"/>
          <w:position w:val="0"/>
          <w:lang w:val="zh-CN" w:eastAsia="zh-CN" w:bidi="zh-CN"/>
        </w:rPr>
        <w:t>，“合</w:t>
      </w:r>
      <w:r>
        <w:rPr>
          <w:color w:val="000000"/>
          <w:spacing w:val="0"/>
          <w:w w:val="100"/>
          <w:position w:val="0"/>
        </w:rPr>
        <w:t>同无效制度设立的重要目的，在于防止因为无效合同的履行给国家、社会以及第三 人利益带来损失，维护社会的法治秩序和公共道德”。若支持背信者的请求，则这种无效不 仅不能保护国家、社会及第三人利益，不能惩罚违法者,不能维护法治秩序与公共道德，反 而会</w:t>
      </w:r>
      <w:r>
        <w:rPr>
          <w:color w:val="000000"/>
          <w:spacing w:val="0"/>
          <w:w w:val="100"/>
          <w:position w:val="0"/>
          <w:lang w:val="zh-CN" w:eastAsia="zh-CN" w:bidi="zh-CN"/>
        </w:rPr>
        <w:t>“纵</w:t>
      </w:r>
      <w:r>
        <w:rPr>
          <w:color w:val="000000"/>
          <w:spacing w:val="0"/>
          <w:w w:val="100"/>
          <w:position w:val="0"/>
        </w:rPr>
        <w:t>容违法行为人从事违法行为，使合同无效制度沦为违法行为人追求不正当甚至非 法利益的手段”。</w:t>
      </w:r>
    </w:p>
    <w:p w14:paraId="3AFFBC5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可以说，以上两个权衡要点促使最高人民法院认为，本案中无效规则适用的结果与正 义之间的矛盾已经达到了</w:t>
      </w:r>
      <w:r>
        <w:rPr>
          <w:color w:val="000000"/>
          <w:spacing w:val="0"/>
          <w:w w:val="100"/>
          <w:position w:val="0"/>
          <w:lang w:val="zh-CN" w:eastAsia="zh-CN" w:bidi="zh-CN"/>
        </w:rPr>
        <w:t>“无</w:t>
      </w:r>
      <w:r>
        <w:rPr>
          <w:color w:val="000000"/>
          <w:spacing w:val="0"/>
          <w:w w:val="100"/>
          <w:position w:val="0"/>
        </w:rPr>
        <w:t>法容忍</w:t>
      </w:r>
      <w:r>
        <w:rPr>
          <w:color w:val="000000"/>
          <w:spacing w:val="0"/>
          <w:w w:val="100"/>
          <w:position w:val="0"/>
          <w:lang w:val="zh-CN" w:eastAsia="zh-CN" w:bidi="zh-CN"/>
        </w:rPr>
        <w:t>”的</w:t>
      </w:r>
      <w:r>
        <w:rPr>
          <w:color w:val="000000"/>
          <w:spacing w:val="0"/>
          <w:w w:val="100"/>
          <w:position w:val="0"/>
        </w:rPr>
        <w:t xml:space="preserve">程度。故规则在此应当向表征正义的诚信原则让 </w:t>
      </w:r>
      <w:r>
        <w:rPr>
          <w:color w:val="000000"/>
          <w:spacing w:val="0"/>
          <w:w w:val="100"/>
          <w:position w:val="0"/>
          <w:lang w:val="zh-CN" w:eastAsia="zh-CN" w:bidi="zh-CN"/>
        </w:rPr>
        <w:t>步。</w:t>
      </w:r>
    </w:p>
    <w:p w14:paraId="7041A2AD">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有学者认为，可以将“主张无效一方之相对方的利益</w:t>
      </w:r>
      <w:r>
        <w:rPr>
          <w:color w:val="000000"/>
          <w:spacing w:val="0"/>
          <w:w w:val="100"/>
          <w:position w:val="0"/>
          <w:lang w:val="zh-CN" w:eastAsia="zh-CN" w:bidi="zh-CN"/>
        </w:rPr>
        <w:t>”“主</w:t>
      </w:r>
      <w:r>
        <w:rPr>
          <w:color w:val="000000"/>
          <w:spacing w:val="0"/>
          <w:w w:val="100"/>
          <w:position w:val="0"/>
        </w:rPr>
        <w:t>张无效一方之利益</w:t>
      </w:r>
      <w:r>
        <w:rPr>
          <w:color w:val="000000"/>
          <w:spacing w:val="0"/>
          <w:w w:val="100"/>
          <w:position w:val="0"/>
          <w:lang w:val="zh-CN" w:eastAsia="zh-CN" w:bidi="zh-CN"/>
        </w:rPr>
        <w:t>”“法</w:t>
      </w:r>
      <w:r>
        <w:rPr>
          <w:color w:val="000000"/>
          <w:spacing w:val="0"/>
          <w:w w:val="100"/>
          <w:position w:val="0"/>
        </w:rPr>
        <w:t>律禁 令的规范目的</w:t>
      </w:r>
      <w:r>
        <w:rPr>
          <w:color w:val="000000"/>
          <w:spacing w:val="0"/>
          <w:w w:val="100"/>
          <w:position w:val="0"/>
          <w:lang w:val="zh-CN" w:eastAsia="zh-CN" w:bidi="zh-CN"/>
        </w:rPr>
        <w:t>”“社</w:t>
      </w:r>
      <w:r>
        <w:rPr>
          <w:color w:val="000000"/>
          <w:spacing w:val="0"/>
          <w:w w:val="100"/>
          <w:position w:val="0"/>
        </w:rPr>
        <w:t>会公共利益</w:t>
      </w:r>
      <w:r>
        <w:rPr>
          <w:color w:val="000000"/>
          <w:spacing w:val="0"/>
          <w:w w:val="100"/>
          <w:position w:val="0"/>
          <w:lang w:val="zh-CN" w:eastAsia="zh-CN" w:bidi="zh-CN"/>
        </w:rPr>
        <w:t>”四个</w:t>
      </w:r>
      <w:r>
        <w:rPr>
          <w:color w:val="000000"/>
          <w:spacing w:val="0"/>
          <w:w w:val="100"/>
          <w:position w:val="0"/>
        </w:rPr>
        <w:t>因素纳入考量，进行综合权衡（夏昊暗:《诚信原则在</w:t>
      </w:r>
      <w:r>
        <w:rPr>
          <w:color w:val="000000"/>
          <w:spacing w:val="0"/>
          <w:w w:val="100"/>
          <w:position w:val="0"/>
          <w:lang w:val="zh-CN" w:eastAsia="zh-CN" w:bidi="zh-CN"/>
        </w:rPr>
        <w:t xml:space="preserve">“借 </w:t>
      </w:r>
      <w:r>
        <w:rPr>
          <w:color w:val="000000"/>
          <w:spacing w:val="0"/>
          <w:w w:val="100"/>
          <w:position w:val="0"/>
        </w:rPr>
        <w:t>违法无效之名毁约</w:t>
      </w:r>
      <w:r>
        <w:rPr>
          <w:color w:val="000000"/>
          <w:spacing w:val="0"/>
          <w:w w:val="100"/>
          <w:position w:val="0"/>
          <w:lang w:val="zh-CN" w:eastAsia="zh-CN" w:bidi="zh-CN"/>
        </w:rPr>
        <w:t>”案</w:t>
      </w:r>
      <w:r>
        <w:rPr>
          <w:color w:val="000000"/>
          <w:spacing w:val="0"/>
          <w:w w:val="100"/>
          <w:position w:val="0"/>
        </w:rPr>
        <w:t>型中的适用》，载《法学》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30136387">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H</w:t>
      </w:r>
      <w:r>
        <w:rPr>
          <w:color w:val="000000"/>
          <w:spacing w:val="0"/>
          <w:w w:val="100"/>
          <w:position w:val="0"/>
        </w:rPr>
        <w:t>本案遗留的问题</w:t>
      </w:r>
    </w:p>
    <w:p w14:paraId="621182F9">
      <w:pPr>
        <w:pStyle w:val="17"/>
        <w:keepNext w:val="0"/>
        <w:keepLines w:val="0"/>
        <w:widowControl w:val="0"/>
        <w:shd w:val="clear" w:color="auto" w:fill="auto"/>
        <w:bidi w:val="0"/>
        <w:spacing w:before="0" w:after="0" w:line="329" w:lineRule="exact"/>
        <w:ind w:left="0" w:right="0" w:firstLine="420"/>
        <w:jc w:val="both"/>
      </w:pPr>
      <w:r>
        <w:rPr>
          <w:color w:val="000000"/>
          <w:spacing w:val="0"/>
          <w:w w:val="100"/>
          <w:position w:val="0"/>
        </w:rPr>
        <w:t>《招标投标法》第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条禁止招投标双方事先进行实质性谈判，并规定“前款所列行为影 响中标结果的，中标无效”。也即从法技术上讲，双方事先实质性谈判引起的中标无效，还 需要具备一个</w:t>
      </w:r>
      <w:r>
        <w:rPr>
          <w:color w:val="000000"/>
          <w:spacing w:val="0"/>
          <w:w w:val="100"/>
          <w:position w:val="0"/>
          <w:lang w:val="zh-CN" w:eastAsia="zh-CN" w:bidi="zh-CN"/>
        </w:rPr>
        <w:t>“影响</w:t>
      </w:r>
      <w:r>
        <w:rPr>
          <w:color w:val="000000"/>
          <w:spacing w:val="0"/>
          <w:w w:val="100"/>
          <w:position w:val="0"/>
        </w:rPr>
        <w:t>中标结果”的要件。</w:t>
      </w:r>
    </w:p>
    <w:p w14:paraId="7ED834AB">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本案判决书指出：</w:t>
      </w:r>
      <w:r>
        <w:rPr>
          <w:color w:val="000000"/>
          <w:spacing w:val="0"/>
          <w:w w:val="100"/>
          <w:position w:val="0"/>
          <w:lang w:val="zh-CN" w:eastAsia="zh-CN" w:bidi="zh-CN"/>
        </w:rPr>
        <w:t>“华诚</w:t>
      </w:r>
      <w:r>
        <w:rPr>
          <w:color w:val="000000"/>
          <w:spacing w:val="0"/>
          <w:w w:val="100"/>
          <w:position w:val="0"/>
        </w:rPr>
        <w:t>公司虽称其自身违反《招标投标法》的规定致使中标无效，但该 违法违规行为是否影响了中标结果，华诚公司未予以证明</w:t>
      </w:r>
      <w:r>
        <w:rPr>
          <w:color w:val="000000"/>
          <w:spacing w:val="0"/>
          <w:w w:val="100"/>
          <w:position w:val="0"/>
          <w:lang w:val="zh-CN" w:eastAsia="zh-CN" w:bidi="zh-CN"/>
        </w:rPr>
        <w:t>。”从</w:t>
      </w:r>
      <w:r>
        <w:rPr>
          <w:color w:val="000000"/>
          <w:spacing w:val="0"/>
          <w:w w:val="100"/>
          <w:position w:val="0"/>
        </w:rPr>
        <w:t>这段话来看，法院认为</w:t>
      </w:r>
      <w:r>
        <w:rPr>
          <w:color w:val="000000"/>
          <w:spacing w:val="0"/>
          <w:w w:val="100"/>
          <w:position w:val="0"/>
          <w:lang w:val="zh-CN" w:eastAsia="zh-CN" w:bidi="zh-CN"/>
        </w:rPr>
        <w:t xml:space="preserve">“影响 </w:t>
      </w:r>
      <w:r>
        <w:rPr>
          <w:color w:val="000000"/>
          <w:spacing w:val="0"/>
          <w:w w:val="100"/>
          <w:position w:val="0"/>
        </w:rPr>
        <w:t>中标结果”的要件在本案中并不具备。</w:t>
      </w:r>
    </w:p>
    <w:p w14:paraId="1F5AE8A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此处存在一个明显的冲突。如果</w:t>
      </w:r>
      <w:r>
        <w:rPr>
          <w:color w:val="000000"/>
          <w:spacing w:val="0"/>
          <w:w w:val="100"/>
          <w:position w:val="0"/>
          <w:lang w:val="zh-CN" w:eastAsia="zh-CN" w:bidi="zh-CN"/>
        </w:rPr>
        <w:t>“影响</w:t>
      </w:r>
      <w:r>
        <w:rPr>
          <w:color w:val="000000"/>
          <w:spacing w:val="0"/>
          <w:w w:val="100"/>
          <w:position w:val="0"/>
        </w:rPr>
        <w:t>中标结果”这一要件不具备，则直接依构成要件 不满足就可以确定该无效规则不适用;这与无效规则虽应适用,但须被诚信原则纠正，完全 是两个问题。换言之，当适用规则与适用原则能得出同样结果时,本就不需要原则出场;否 则，就有</w:t>
      </w:r>
      <w:r>
        <w:rPr>
          <w:color w:val="000000"/>
          <w:spacing w:val="0"/>
          <w:w w:val="100"/>
          <w:position w:val="0"/>
          <w:lang w:val="zh-CN" w:eastAsia="zh-CN" w:bidi="zh-CN"/>
        </w:rPr>
        <w:t>“向一</w:t>
      </w:r>
      <w:r>
        <w:rPr>
          <w:color w:val="000000"/>
          <w:spacing w:val="0"/>
          <w:w w:val="100"/>
          <w:position w:val="0"/>
        </w:rPr>
        <w:t>般条款逃避</w:t>
      </w:r>
      <w:r>
        <w:rPr>
          <w:color w:val="000000"/>
          <w:spacing w:val="0"/>
          <w:w w:val="100"/>
          <w:position w:val="0"/>
          <w:lang w:val="zh-CN" w:eastAsia="zh-CN" w:bidi="zh-CN"/>
        </w:rPr>
        <w:t>”之嫌</w:t>
      </w:r>
      <w:r>
        <w:rPr>
          <w:color w:val="000000"/>
          <w:spacing w:val="0"/>
          <w:w w:val="100"/>
          <w:position w:val="0"/>
        </w:rPr>
        <w:t>（梁慧星:《民法解释学》，法律出版社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313 ~ 314</w:t>
      </w:r>
      <w:r>
        <w:rPr>
          <w:color w:val="000000"/>
          <w:spacing w:val="0"/>
          <w:w w:val="100"/>
          <w:position w:val="0"/>
        </w:rPr>
        <w:t>页）。</w:t>
      </w:r>
    </w:p>
    <w:p w14:paraId="2F83B6D7">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就一般社会经验及常理而言，若招投标双方事先进行了实质性谈判并签订了框架协 议,最终也是该事先协商的投标者中标,此时再说实质性谈判没有影响中标结果，则比较勉 强。</w:t>
      </w:r>
    </w:p>
    <w:p w14:paraId="727E6B6F">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裁判者的顾虑，可能并不在于本案判决结果是否合乎实质正义，而在于以原则修正规 则可能会带来法的安定性的破坏。因此，即使勉强，法院也要在构成要件上捎带一击，以尽 量维持法律适用的形式理性。同时,法院对依构成要件解决本案并不十分自信，因此才会 连篇累牍地论证诚信原则及相关利益衡量，并最终援引原《民法总则》第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条、《民事诉讼 法》第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款这两个诚信条款，驳回了背信者的主张。</w:t>
      </w:r>
    </w:p>
    <w:p w14:paraId="655BE62B">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因此，本案遗留的问题是，若实践中出现司法者无法向构成要件遁逃的案件时,如前引 一些地方法院判决的情形,最高人民法院是否仍然坚持诚信原则可以修正规则或规则适用 结果的立场,还有待进一步的发展与观察。</w:t>
      </w:r>
    </w:p>
    <w:p w14:paraId="1522E7B0">
      <w:pPr>
        <w:pStyle w:val="11"/>
        <w:keepNext w:val="0"/>
        <w:keepLines w:val="0"/>
        <w:widowControl w:val="0"/>
        <w:shd w:val="clear" w:color="auto" w:fill="auto"/>
        <w:bidi w:val="0"/>
        <w:spacing w:before="0" w:after="40"/>
        <w:ind w:left="0" w:right="0" w:firstLine="0"/>
        <w:jc w:val="left"/>
      </w:pPr>
      <w:r>
        <w:rPr>
          <w:color w:val="000000"/>
          <w:spacing w:val="0"/>
          <w:w w:val="100"/>
          <w:position w:val="0"/>
        </w:rPr>
        <w:t>回参考文献</w:t>
      </w:r>
    </w:p>
    <w:p w14:paraId="1771221A">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6D7E642C">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魏振瀛主编:《民法》（第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版），北京大学出版社、高等教育出版社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485891C6">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徐国栋:《民法基本原则解释》，北京大学出版社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673ABCDD">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杨仁寿:《法学方法论》（第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版），中国政法大学出版社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28195E00">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李永军:《民法总论》（第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1CA95510">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雷磊:《再访拉德布鲁赫公式》，载雷磊主编:《拉德布鲁赫公式》，中国政法大学出版社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243938CE">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夏昊睑:《诚信原则在</w:t>
      </w:r>
      <w:r>
        <w:rPr>
          <w:color w:val="000000"/>
          <w:spacing w:val="0"/>
          <w:w w:val="100"/>
          <w:position w:val="0"/>
          <w:lang w:val="zh-CN" w:eastAsia="zh-CN" w:bidi="zh-CN"/>
        </w:rPr>
        <w:t>“借违</w:t>
      </w:r>
      <w:r>
        <w:rPr>
          <w:color w:val="000000"/>
          <w:spacing w:val="0"/>
          <w:w w:val="100"/>
          <w:position w:val="0"/>
        </w:rPr>
        <w:t>法无效之名毁约”案型中的适用》，载《法学》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15C150D">
      <w:pPr>
        <w:pStyle w:val="17"/>
        <w:keepNext w:val="0"/>
        <w:keepLines w:val="0"/>
        <w:widowControl w:val="0"/>
        <w:shd w:val="clear" w:color="auto" w:fill="auto"/>
        <w:bidi w:val="0"/>
        <w:spacing w:before="0" w:after="200" w:line="340" w:lineRule="exact"/>
        <w:ind w:left="0" w:right="0" w:firstLine="0"/>
        <w:jc w:val="left"/>
        <w:sectPr>
          <w:headerReference r:id="rId25" w:type="default"/>
          <w:headerReference r:id="rId26" w:type="even"/>
          <w:footnotePr>
            <w:numFmt w:val="decimal"/>
          </w:footnotePr>
          <w:pgSz w:w="10099" w:h="14782"/>
          <w:pgMar w:top="1260" w:right="990" w:bottom="1134" w:left="1034" w:header="0" w:footer="3" w:gutter="0"/>
          <w:pgNumType w:start="2"/>
          <w:cols w:space="720" w:num="1"/>
          <w:rtlGutter w:val="0"/>
          <w:docGrid w:linePitch="360" w:charSpace="0"/>
        </w:sectPr>
      </w:pPr>
      <w:r>
        <w:rPr>
          <w:color w:val="000000"/>
          <w:spacing w:val="0"/>
          <w:w w:val="100"/>
          <w:position w:val="0"/>
        </w:rPr>
        <w:t>梁慧星：《民法解释学》，法律出版社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7EE549B7">
      <w:pPr>
        <w:widowControl w:val="0"/>
        <w:spacing w:line="65" w:lineRule="exact"/>
        <w:rPr>
          <w:sz w:val="5"/>
          <w:szCs w:val="5"/>
        </w:rPr>
      </w:pPr>
    </w:p>
    <w:p w14:paraId="435DD464">
      <w:pPr>
        <w:widowControl w:val="0"/>
        <w:spacing w:line="1" w:lineRule="exact"/>
        <w:sectPr>
          <w:headerReference r:id="rId27" w:type="default"/>
          <w:headerReference r:id="rId28" w:type="even"/>
          <w:footnotePr>
            <w:numFmt w:val="decimal"/>
          </w:footnotePr>
          <w:pgSz w:w="10099" w:h="14782"/>
          <w:pgMar w:top="1283" w:right="1023" w:bottom="1009" w:left="992" w:header="0" w:footer="3" w:gutter="0"/>
          <w:pgNumType w:start="23"/>
          <w:cols w:space="720" w:num="1"/>
          <w:rtlGutter w:val="0"/>
          <w:docGrid w:linePitch="360" w:charSpace="0"/>
        </w:sectPr>
      </w:pPr>
    </w:p>
    <w:p w14:paraId="007B1D3C">
      <w:pPr>
        <w:widowControl w:val="0"/>
        <w:spacing w:line="1" w:lineRule="exact"/>
      </w:pPr>
      <w:r>
        <w:drawing>
          <wp:anchor distT="0" distB="12700" distL="114300" distR="3042920" simplePos="0" relativeHeight="251660288" behindDoc="0" locked="0" layoutInCell="1" allowOverlap="1">
            <wp:simplePos x="0" y="0"/>
            <wp:positionH relativeFrom="page">
              <wp:posOffset>678180</wp:posOffset>
            </wp:positionH>
            <wp:positionV relativeFrom="paragraph">
              <wp:posOffset>12700</wp:posOffset>
            </wp:positionV>
            <wp:extent cx="481330" cy="414655"/>
            <wp:effectExtent l="0" t="0" r="1270" b="4445"/>
            <wp:wrapTopAndBottom/>
            <wp:docPr id="45" name="Shape 45"/>
            <wp:cNvGraphicFramePr/>
            <a:graphic xmlns:a="http://schemas.openxmlformats.org/drawingml/2006/main">
              <a:graphicData uri="http://schemas.openxmlformats.org/drawingml/2006/picture">
                <pic:pic xmlns:pic="http://schemas.openxmlformats.org/drawingml/2006/picture">
                  <pic:nvPicPr>
                    <pic:cNvPr id="45" name="Shape 45"/>
                    <pic:cNvPicPr/>
                  </pic:nvPicPr>
                  <pic:blipFill>
                    <a:blip r:embed="rId594"/>
                    <a:stretch>
                      <a:fillRect/>
                    </a:stretch>
                  </pic:blipFill>
                  <pic:spPr>
                    <a:xfrm>
                      <a:off x="0" y="0"/>
                      <a:ext cx="481330" cy="414655"/>
                    </a:xfrm>
                    <a:prstGeom prst="rect">
                      <a:avLst/>
                    </a:prstGeom>
                  </pic:spPr>
                </pic:pic>
              </a:graphicData>
            </a:graphic>
          </wp:anchor>
        </w:drawing>
      </w:r>
      <w:r>
        <mc:AlternateContent>
          <mc:Choice Requires="wps">
            <w:drawing>
              <wp:anchor distT="128905" distB="48260" distL="726440" distR="114300" simplePos="0" relativeHeight="251660288" behindDoc="0" locked="0" layoutInCell="1" allowOverlap="1">
                <wp:simplePos x="0" y="0"/>
                <wp:positionH relativeFrom="page">
                  <wp:posOffset>1290320</wp:posOffset>
                </wp:positionH>
                <wp:positionV relativeFrom="paragraph">
                  <wp:posOffset>141605</wp:posOffset>
                </wp:positionV>
                <wp:extent cx="2795905" cy="249555"/>
                <wp:effectExtent l="0" t="0" r="0" b="0"/>
                <wp:wrapTopAndBottom/>
                <wp:docPr id="47" name="Shape 47"/>
                <wp:cNvGraphicFramePr/>
                <a:graphic xmlns:a="http://schemas.openxmlformats.org/drawingml/2006/main">
                  <a:graphicData uri="http://schemas.microsoft.com/office/word/2010/wordprocessingShape">
                    <wps:wsp>
                      <wps:cNvSpPr txBox="1"/>
                      <wps:spPr>
                        <a:xfrm>
                          <a:off x="0" y="0"/>
                          <a:ext cx="2795905" cy="249555"/>
                        </a:xfrm>
                        <a:prstGeom prst="rect">
                          <a:avLst/>
                        </a:prstGeom>
                        <a:noFill/>
                      </wps:spPr>
                      <wps:txbx>
                        <w:txbxContent>
                          <w:p w14:paraId="550713FA">
                            <w:pPr>
                              <w:pStyle w:val="15"/>
                              <w:keepNext/>
                              <w:keepLines/>
                              <w:widowControl w:val="0"/>
                              <w:shd w:val="clear" w:color="auto" w:fill="auto"/>
                              <w:bidi w:val="0"/>
                              <w:spacing w:before="0" w:after="0" w:line="240" w:lineRule="auto"/>
                              <w:ind w:left="0" w:right="0" w:firstLine="0"/>
                              <w:jc w:val="left"/>
                            </w:pPr>
                            <w:bookmarkStart w:id="213" w:name="bookmark21"/>
                            <w:bookmarkStart w:id="214" w:name="bookmark22"/>
                            <w:bookmarkStart w:id="215" w:name="bookmark23"/>
                            <w:r>
                              <w:rPr>
                                <w:color w:val="000000"/>
                                <w:spacing w:val="0"/>
                                <w:w w:val="100"/>
                                <w:position w:val="0"/>
                              </w:rPr>
                              <w:t>公序良俗原则与法律行为的效力</w:t>
                            </w:r>
                            <w:bookmarkEnd w:id="213"/>
                            <w:bookmarkEnd w:id="214"/>
                            <w:bookmarkEnd w:id="215"/>
                          </w:p>
                        </w:txbxContent>
                      </wps:txbx>
                      <wps:bodyPr wrap="none" lIns="0" tIns="0" rIns="0" bIns="0">
                        <a:noAutofit/>
                      </wps:bodyPr>
                    </wps:wsp>
                  </a:graphicData>
                </a:graphic>
              </wp:anchor>
            </w:drawing>
          </mc:Choice>
          <mc:Fallback>
            <w:pict>
              <v:shape id="Shape 47" o:spid="_x0000_s1026" o:spt="202" type="#_x0000_t202" style="position:absolute;left:0pt;margin-left:101.6pt;margin-top:11.15pt;height:19.65pt;width:220.15pt;mso-position-horizontal-relative:page;mso-wrap-distance-bottom:3.8pt;mso-wrap-distance-top:10.15pt;mso-wrap-style:none;z-index:251660288;mso-width-relative:page;mso-height-relative:page;" filled="f" stroked="f" coordsize="21600,21600" o:gfxdata="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jMLe9YA&#10;AAAJAQAADwAAAAAAAAABACAAAAAiAAAAZHJzL2Rvd25yZXYueG1sUEsBAhQAFAAAAAgAh07iQKCw&#10;RSuvAQAAcgMAAA4AAAAAAAAAAQAgAAAAJQEAAGRycy9lMm9Eb2MueG1sUEsFBgAAAAAGAAYAWQEA&#10;AEYFAAAAAA==&#10;">
                <v:fill on="f" focussize="0,0"/>
                <v:stroke on="f"/>
                <v:imagedata o:title=""/>
                <o:lock v:ext="edit" aspectratio="f"/>
                <v:textbox inset="0mm,0mm,0mm,0mm">
                  <w:txbxContent>
                    <w:p w14:paraId="550713FA">
                      <w:pPr>
                        <w:pStyle w:val="15"/>
                        <w:keepNext/>
                        <w:keepLines/>
                        <w:widowControl w:val="0"/>
                        <w:shd w:val="clear" w:color="auto" w:fill="auto"/>
                        <w:bidi w:val="0"/>
                        <w:spacing w:before="0" w:after="0" w:line="240" w:lineRule="auto"/>
                        <w:ind w:left="0" w:right="0" w:firstLine="0"/>
                        <w:jc w:val="left"/>
                      </w:pPr>
                      <w:bookmarkStart w:id="213" w:name="bookmark21"/>
                      <w:bookmarkStart w:id="214" w:name="bookmark22"/>
                      <w:bookmarkStart w:id="215" w:name="bookmark23"/>
                      <w:r>
                        <w:rPr>
                          <w:color w:val="000000"/>
                          <w:spacing w:val="0"/>
                          <w:w w:val="100"/>
                          <w:position w:val="0"/>
                        </w:rPr>
                        <w:t>公序良俗原则与法律行为的效力</w:t>
                      </w:r>
                      <w:bookmarkEnd w:id="213"/>
                      <w:bookmarkEnd w:id="214"/>
                      <w:bookmarkEnd w:id="215"/>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5087620</wp:posOffset>
            </wp:positionH>
            <wp:positionV relativeFrom="paragraph">
              <wp:posOffset>410845</wp:posOffset>
            </wp:positionV>
            <wp:extent cx="579120" cy="530225"/>
            <wp:effectExtent l="0" t="0" r="5080" b="3175"/>
            <wp:wrapSquare wrapText="left"/>
            <wp:docPr id="49" name="Shape 49"/>
            <wp:cNvGraphicFramePr/>
            <a:graphic xmlns:a="http://schemas.openxmlformats.org/drawingml/2006/main">
              <a:graphicData uri="http://schemas.openxmlformats.org/drawingml/2006/picture">
                <pic:pic xmlns:pic="http://schemas.openxmlformats.org/drawingml/2006/picture">
                  <pic:nvPicPr>
                    <pic:cNvPr id="49" name="Shape 49"/>
                    <pic:cNvPicPr/>
                  </pic:nvPicPr>
                  <pic:blipFill>
                    <a:blip r:embed="rId595"/>
                    <a:stretch>
                      <a:fillRect/>
                    </a:stretch>
                  </pic:blipFill>
                  <pic:spPr>
                    <a:xfrm>
                      <a:off x="0" y="0"/>
                      <a:ext cx="579120" cy="530225"/>
                    </a:xfrm>
                    <a:prstGeom prst="rect">
                      <a:avLst/>
                    </a:prstGeom>
                  </pic:spPr>
                </pic:pic>
              </a:graphicData>
            </a:graphic>
          </wp:anchor>
        </w:drawing>
      </w:r>
    </w:p>
    <w:p w14:paraId="1D9A95B3">
      <w:pPr>
        <w:pStyle w:val="17"/>
        <w:keepNext w:val="0"/>
        <w:keepLines w:val="0"/>
        <w:widowControl w:val="0"/>
        <w:shd w:val="clear" w:color="auto" w:fill="auto"/>
        <w:bidi w:val="0"/>
        <w:spacing w:before="0" w:after="0" w:line="240" w:lineRule="auto"/>
        <w:ind w:left="0" w:right="0" w:firstLine="1000"/>
        <w:jc w:val="both"/>
      </w:pPr>
      <w:r>
        <w:rPr>
          <w:color w:val="000000"/>
          <w:spacing w:val="0"/>
          <w:w w:val="100"/>
          <w:position w:val="0"/>
        </w:rPr>
        <w:t>张学英与蒋伦芳遗赠纠纷案（泸州遗赠案）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四川省泸州市</w:t>
      </w:r>
    </w:p>
    <w:p w14:paraId="7C09F8B4">
      <w:pPr>
        <w:pStyle w:val="17"/>
        <w:keepNext w:val="0"/>
        <w:keepLines w:val="0"/>
        <w:widowControl w:val="0"/>
        <w:shd w:val="clear" w:color="auto" w:fill="auto"/>
        <w:bidi w:val="0"/>
        <w:spacing w:before="0" w:after="420" w:line="240" w:lineRule="auto"/>
        <w:ind w:left="0" w:right="0" w:firstLine="1000"/>
        <w:jc w:val="left"/>
      </w:pPr>
      <w:r>
        <w:rPr>
          <w:rFonts w:ascii="Times New Roman" w:hAnsi="Times New Roman" w:eastAsia="Times New Roman" w:cs="Times New Roman"/>
          <w:color w:val="000000"/>
          <w:spacing w:val="0"/>
          <w:w w:val="100"/>
          <w:position w:val="0"/>
          <w:sz w:val="19"/>
          <w:szCs w:val="19"/>
        </w:rPr>
        <w:t>（20）1）</w:t>
      </w:r>
      <w:r>
        <w:rPr>
          <w:color w:val="000000"/>
          <w:spacing w:val="0"/>
          <w:w w:val="100"/>
          <w:position w:val="0"/>
        </w:rPr>
        <w:t>纳溪民初字第</w:t>
      </w:r>
      <w:r>
        <w:rPr>
          <w:rFonts w:ascii="Times New Roman" w:hAnsi="Times New Roman" w:eastAsia="Times New Roman" w:cs="Times New Roman"/>
          <w:color w:val="000000"/>
          <w:spacing w:val="0"/>
          <w:w w:val="100"/>
          <w:position w:val="0"/>
          <w:sz w:val="19"/>
          <w:szCs w:val="19"/>
        </w:rPr>
        <w:t>561</w:t>
      </w:r>
      <w:r>
        <w:rPr>
          <w:color w:val="000000"/>
          <w:spacing w:val="0"/>
          <w:w w:val="100"/>
          <w:position w:val="0"/>
        </w:rPr>
        <w:t>号民事判决书</w:t>
      </w:r>
      <w:r>
        <w:rPr>
          <w:color w:val="000000"/>
          <w:spacing w:val="0"/>
          <w:w w:val="100"/>
          <w:position w:val="0"/>
        </w:rPr>
        <w:footnoteReference w:id="0"/>
      </w:r>
    </w:p>
    <w:p w14:paraId="0E0D3039">
      <w:pPr>
        <w:pStyle w:val="17"/>
        <w:keepNext w:val="0"/>
        <w:keepLines w:val="0"/>
        <w:widowControl w:val="0"/>
        <w:shd w:val="clear" w:color="auto" w:fill="auto"/>
        <w:bidi w:val="0"/>
        <w:spacing w:before="0" w:after="1360" w:line="240" w:lineRule="auto"/>
        <w:ind w:left="0" w:right="0" w:firstLine="0"/>
        <w:jc w:val="right"/>
      </w:pPr>
      <w:r>
        <w:rPr>
          <w:color w:val="000000"/>
          <w:spacing w:val="0"/>
          <w:w w:val="100"/>
          <w:position w:val="0"/>
        </w:rPr>
        <w:t>叶增胜 浙江理工大学法政学院</w:t>
      </w:r>
    </w:p>
    <w:p w14:paraId="58D28FFB">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rPr>
        <w:t>.事实概要</w:t>
      </w:r>
    </w:p>
    <w:p w14:paraId="0785A345">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被告蒋伦芳与遗赠人黄永彬系夫妻关系,因婚后未生育，收养一子黄勇。</w:t>
      </w:r>
      <w:r>
        <w:rPr>
          <w:rFonts w:ascii="Times New Roman" w:hAnsi="Times New Roman" w:eastAsia="Times New Roman" w:cs="Times New Roman"/>
          <w:color w:val="000000"/>
          <w:spacing w:val="0"/>
          <w:w w:val="100"/>
          <w:position w:val="0"/>
          <w:sz w:val="19"/>
          <w:szCs w:val="19"/>
        </w:rPr>
        <w:t>1990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 蒋伦芳继承父母遗产取得泸州市市中区顺城街</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号房屋所有权。</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年，该房被拆迁，拆 迁单位将位于泸州市江阳区新马路</w:t>
      </w:r>
      <w:r>
        <w:rPr>
          <w:rFonts w:ascii="Times New Roman" w:hAnsi="Times New Roman" w:eastAsia="Times New Roman" w:cs="Times New Roman"/>
          <w:color w:val="000000"/>
          <w:spacing w:val="0"/>
          <w:w w:val="100"/>
          <w:position w:val="0"/>
          <w:sz w:val="19"/>
          <w:szCs w:val="19"/>
          <w:lang w:val="en-US" w:eastAsia="en-US" w:bidi="en-US"/>
        </w:rPr>
        <w:t>6—</w:t>
      </w:r>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lang w:val="en-US" w:eastAsia="en-US" w:bidi="en-US"/>
        </w:rPr>
        <w:t>-8 —2</w:t>
      </w:r>
      <w:r>
        <w:rPr>
          <w:color w:val="000000"/>
          <w:spacing w:val="0"/>
          <w:w w:val="100"/>
          <w:position w:val="0"/>
        </w:rPr>
        <w:t>号的</w:t>
      </w:r>
      <w:r>
        <w:rPr>
          <w:rFonts w:ascii="Times New Roman" w:hAnsi="Times New Roman" w:eastAsia="Times New Roman" w:cs="Times New Roman"/>
          <w:color w:val="000000"/>
          <w:spacing w:val="0"/>
          <w:w w:val="100"/>
          <w:position w:val="0"/>
          <w:sz w:val="19"/>
          <w:szCs w:val="19"/>
          <w:lang w:val="en-US" w:eastAsia="en-US" w:bidi="en-US"/>
        </w:rPr>
        <w:t>77.2</w:t>
      </w:r>
      <w:r>
        <w:rPr>
          <w:color w:val="000000"/>
          <w:spacing w:val="0"/>
          <w:w w:val="100"/>
          <w:position w:val="0"/>
        </w:rPr>
        <w:t>平方米住房一套作为还房安置给 蒋伦芳，并以其名义办理了房屋产权手续。</w:t>
      </w:r>
      <w:r>
        <w:rPr>
          <w:rFonts w:ascii="Times New Roman" w:hAnsi="Times New Roman" w:eastAsia="Times New Roman" w:cs="Times New Roman"/>
          <w:color w:val="000000"/>
          <w:spacing w:val="0"/>
          <w:w w:val="100"/>
          <w:position w:val="0"/>
          <w:sz w:val="19"/>
          <w:szCs w:val="19"/>
        </w:rPr>
        <w:t>1996</w:t>
      </w:r>
      <w:r>
        <w:rPr>
          <w:color w:val="000000"/>
          <w:spacing w:val="0"/>
          <w:w w:val="100"/>
          <w:position w:val="0"/>
        </w:rPr>
        <w:t>年，黄永彬与原告张学英相识后便在外租 房同居生活。</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月，黄永彬与蒋伦芳将继承所得的房产以</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万元的价格卖与他人， 并将其中的</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万元赠与儿子黄勇。</w:t>
      </w:r>
    </w:p>
    <w:p w14:paraId="7FDA72FF">
      <w:pPr>
        <w:pStyle w:val="17"/>
        <w:keepNext w:val="0"/>
        <w:keepLines w:val="0"/>
        <w:widowControl w:val="0"/>
        <w:shd w:val="clear" w:color="auto" w:fill="auto"/>
        <w:bidi w:val="0"/>
        <w:spacing w:before="0" w:after="340" w:line="339" w:lineRule="exact"/>
        <w:ind w:left="0" w:right="0" w:firstLine="420"/>
        <w:jc w:val="both"/>
      </w:pP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年初，黄永彬因患肝癌住院,其间一直由蒋伦芳及其家属护理。</w:t>
      </w:r>
      <w:r>
        <w:rPr>
          <w:rFonts w:ascii="Times New Roman" w:hAnsi="Times New Roman" w:eastAsia="Times New Roman" w:cs="Times New Roman"/>
          <w:color w:val="000000"/>
          <w:spacing w:val="0"/>
          <w:w w:val="100"/>
          <w:position w:val="0"/>
          <w:sz w:val="19"/>
          <w:szCs w:val="19"/>
          <w:lang w:val="zh-CN" w:eastAsia="zh-CN" w:bidi="zh-CN"/>
        </w:rPr>
        <w:t>2</w:t>
      </w:r>
      <w:r>
        <w:rPr>
          <w:color w:val="000000"/>
          <w:spacing w:val="0"/>
          <w:w w:val="100"/>
          <w:position w:val="0"/>
          <w:lang w:val="zh-CN" w:eastAsia="zh-CN" w:bidi="zh-CN"/>
        </w:rPr>
        <w:t>皿</w:t>
      </w:r>
      <w:r>
        <w:rPr>
          <w:rFonts w:ascii="Times New Roman" w:hAnsi="Times New Roman" w:eastAsia="Times New Roman" w:cs="Times New Roman"/>
          <w:color w:val="000000"/>
          <w:spacing w:val="0"/>
          <w:w w:val="100"/>
          <w:position w:val="0"/>
          <w:sz w:val="19"/>
          <w:szCs w:val="19"/>
          <w:lang w:val="zh-CN" w:eastAsia="zh-CN" w:bidi="zh-CN"/>
        </w:rPr>
        <w:t>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20 </w:t>
      </w:r>
      <w:r>
        <w:rPr>
          <w:color w:val="000000"/>
          <w:spacing w:val="0"/>
          <w:w w:val="100"/>
          <w:position w:val="0"/>
        </w:rPr>
        <w:t>日，黄永彬立下书面遗嘱，将其所得的住房公积金、住房补贴金、抚恤金，以及岀售房屋的一 半价款</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万元及所用的手机一部赠与张学英，泸州市纳溪区公证处对该遗嘱出具了</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2001） </w:t>
      </w:r>
      <w:r>
        <w:rPr>
          <w:color w:val="000000"/>
          <w:spacing w:val="0"/>
          <w:w w:val="100"/>
          <w:position w:val="0"/>
        </w:rPr>
        <w:t>泸纳证字第</w:t>
      </w:r>
      <w:r>
        <w:rPr>
          <w:rFonts w:ascii="Times New Roman" w:hAnsi="Times New Roman" w:eastAsia="Times New Roman" w:cs="Times New Roman"/>
          <w:color w:val="000000"/>
          <w:spacing w:val="0"/>
          <w:w w:val="100"/>
          <w:position w:val="0"/>
          <w:sz w:val="19"/>
          <w:szCs w:val="19"/>
        </w:rPr>
        <w:t>148</w:t>
      </w:r>
      <w:r>
        <w:rPr>
          <w:color w:val="000000"/>
          <w:spacing w:val="0"/>
          <w:w w:val="100"/>
          <w:position w:val="0"/>
        </w:rPr>
        <w:t>号公证书。同月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日，黄永彬去世。张学英即持遗嘱要求蒋伦芳交付遗赠 财产，双方发生纠纷。</w:t>
      </w:r>
    </w:p>
    <w:p w14:paraId="283A10C6">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rPr>
        <w:t>■判决要旨</w:t>
      </w:r>
    </w:p>
    <w:p w14:paraId="49BFA127">
      <w:pPr>
        <w:pStyle w:val="17"/>
        <w:keepNext w:val="0"/>
        <w:keepLines w:val="0"/>
        <w:widowControl w:val="0"/>
        <w:shd w:val="clear" w:color="auto" w:fill="auto"/>
        <w:bidi w:val="0"/>
        <w:spacing w:before="0" w:after="0" w:line="337" w:lineRule="exact"/>
        <w:ind w:left="0" w:right="0" w:firstLine="380"/>
        <w:jc w:val="both"/>
      </w:pPr>
      <w:r>
        <w:rPr>
          <w:color w:val="000000"/>
          <w:spacing w:val="0"/>
          <w:w w:val="100"/>
          <w:position w:val="0"/>
        </w:rPr>
        <w:t>驳回原告的诉讼请求。</w:t>
      </w:r>
    </w:p>
    <w:p w14:paraId="7FD7265E">
      <w:pPr>
        <w:pStyle w:val="17"/>
        <w:keepNext w:val="0"/>
        <w:keepLines w:val="0"/>
        <w:widowControl w:val="0"/>
        <w:shd w:val="clear" w:color="auto" w:fill="auto"/>
        <w:bidi w:val="0"/>
        <w:spacing w:before="0" w:after="380" w:line="337" w:lineRule="exact"/>
        <w:ind w:left="0" w:right="0" w:firstLine="420"/>
        <w:jc w:val="both"/>
        <w:sectPr>
          <w:footnotePr>
            <w:numFmt w:val="chicago"/>
          </w:footnotePr>
          <w:type w:val="continuous"/>
          <w:pgSz w:w="10099" w:h="14782"/>
          <w:pgMar w:top="1283" w:right="1023" w:bottom="1009" w:left="992" w:header="855" w:footer="581" w:gutter="0"/>
          <w:cols w:space="720" w:num="1"/>
          <w:rtlGutter w:val="0"/>
          <w:docGrid w:linePitch="360" w:charSpace="0"/>
        </w:sectPr>
      </w:pPr>
      <w:r>
        <w:rPr>
          <w:color w:val="000000"/>
          <w:spacing w:val="0"/>
          <w:w w:val="100"/>
          <w:position w:val="0"/>
        </w:rPr>
        <w:t>遗赠人黄永彬基于与原告张学英的非法同居关系而将财产赠与原告的遗嘱，虽然是其 真实的意思表示且形式上合法，但其行使遗赠权违反了法律的规定。根据《民法通则》第</w:t>
      </w:r>
      <w:r>
        <w:rPr>
          <w:rFonts w:ascii="Times New Roman" w:hAnsi="Times New Roman" w:eastAsia="Times New Roman" w:cs="Times New Roman"/>
          <w:color w:val="000000"/>
          <w:spacing w:val="0"/>
          <w:w w:val="100"/>
          <w:position w:val="0"/>
          <w:sz w:val="19"/>
          <w:szCs w:val="19"/>
        </w:rPr>
        <w:t xml:space="preserve">7 </w:t>
      </w:r>
      <w:r>
        <w:rPr>
          <w:color w:val="000000"/>
          <w:spacing w:val="0"/>
          <w:w w:val="100"/>
          <w:position w:val="0"/>
        </w:rPr>
        <w:t>条的规定，民事行为不得违反公共秩序和社会公德，违反者其行为无效。根据《婚姻法》第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条规定的一夫一妻的婚姻制度和第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条禁止有配偶者与他人同居以及第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条夫妻应当互相 忠实、互相尊重的法律规定,遗赠人黄永彬基于与原告张学英有非法同居关系而立下遗嘱, 将其遗产和属被告所有的财产赠与原告张学英，是一种违反公共秩序、社会公德和违反法 律的行为。遗赠人黄永彬无视法律规定，违反社会公德，漠视其结发夫妻的忠实与扶助，侵 犯了蒋伦芳的合法权益,对蒋伦芳造成精神上的损害，在分割处理夫妻共同财产时,本应对 </w:t>
      </w:r>
    </w:p>
    <w:p w14:paraId="55BFC37A">
      <w:pPr>
        <w:pStyle w:val="17"/>
        <w:keepNext w:val="0"/>
        <w:keepLines w:val="0"/>
        <w:widowControl w:val="0"/>
        <w:shd w:val="clear" w:color="auto" w:fill="auto"/>
        <w:bidi w:val="0"/>
        <w:spacing w:before="0" w:after="380" w:line="337" w:lineRule="exact"/>
        <w:ind w:left="0" w:right="0" w:firstLine="0"/>
        <w:jc w:val="both"/>
      </w:pPr>
      <w:r>
        <w:rPr>
          <w:color w:val="000000"/>
          <w:spacing w:val="0"/>
          <w:w w:val="100"/>
          <w:position w:val="0"/>
        </w:rPr>
        <w:t>蒋伦芳进行损害赔偿，但将财产赠与其非法同居的原告张学英，实质上损害了被告蒋伦芳 依法享有的合法的财产继承权，违反了公序良俗，破坏了社会风气。</w:t>
      </w:r>
    </w:p>
    <w:p w14:paraId="268006C6">
      <w:pPr>
        <w:pStyle w:val="11"/>
        <w:keepNext w:val="0"/>
        <w:keepLines w:val="0"/>
        <w:widowControl w:val="0"/>
        <w:shd w:val="clear" w:color="auto" w:fill="auto"/>
        <w:bidi w:val="0"/>
        <w:spacing w:before="0" w:after="260" w:line="343" w:lineRule="exact"/>
        <w:ind w:left="0" w:right="0" w:firstLine="0"/>
        <w:jc w:val="left"/>
      </w:pPr>
      <w:r>
        <w:rPr>
          <w:color w:val="000000"/>
          <w:spacing w:val="0"/>
          <w:w w:val="100"/>
          <w:position w:val="0"/>
        </w:rPr>
        <w:t>■评析</w:t>
      </w:r>
    </w:p>
    <w:p w14:paraId="3E3D9E2D">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189B2BCF">
      <w:pPr>
        <w:pStyle w:val="17"/>
        <w:keepNext w:val="0"/>
        <w:keepLines w:val="0"/>
        <w:widowControl w:val="0"/>
        <w:shd w:val="clear" w:color="auto" w:fill="auto"/>
        <w:bidi w:val="0"/>
        <w:spacing w:before="0" w:after="260" w:line="346" w:lineRule="exact"/>
        <w:ind w:left="0" w:right="0" w:firstLine="420"/>
        <w:jc w:val="both"/>
      </w:pPr>
      <w:r>
        <w:rPr>
          <w:color w:val="000000"/>
          <w:spacing w:val="0"/>
          <w:w w:val="100"/>
          <w:position w:val="0"/>
        </w:rPr>
        <w:t>本案被告主张因遗赠人生前与原告长期非法同居，其所立遗赠属于违反社会公德的无 效遗赠行为。法院对此予以肯定，其认为该遗嘱虽为真实的意思表示且形式合法，但因其 违反公序良俗而属于无效的法律行为。本判决首次通过公序良俗原则的适用来否定法律 行为的效力，被称为“中国公序良俗第一案</w:t>
      </w:r>
      <w:r>
        <w:rPr>
          <w:color w:val="000000"/>
          <w:spacing w:val="0"/>
          <w:w w:val="100"/>
          <w:position w:val="0"/>
          <w:lang w:val="zh-CN" w:eastAsia="zh-CN" w:bidi="zh-CN"/>
        </w:rPr>
        <w:t>”，对</w:t>
      </w:r>
      <w:r>
        <w:rPr>
          <w:color w:val="000000"/>
          <w:spacing w:val="0"/>
          <w:w w:val="100"/>
          <w:position w:val="0"/>
        </w:rPr>
        <w:t>公序良俗原则在具体个案中的适用有着重 要的开拓意义。</w:t>
      </w:r>
    </w:p>
    <w:p w14:paraId="09BC7A17">
      <w:pPr>
        <w:pStyle w:val="17"/>
        <w:keepNext w:val="0"/>
        <w:keepLines w:val="0"/>
        <w:widowControl w:val="0"/>
        <w:shd w:val="clear" w:color="auto" w:fill="auto"/>
        <w:bidi w:val="0"/>
        <w:spacing w:before="0" w:after="4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规范及学理</w:t>
      </w:r>
    </w:p>
    <w:p w14:paraId="50555F4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长期以来，我国民事法律中并没有</w:t>
      </w:r>
      <w:r>
        <w:rPr>
          <w:color w:val="000000"/>
          <w:spacing w:val="0"/>
          <w:w w:val="100"/>
          <w:position w:val="0"/>
          <w:lang w:val="zh-CN" w:eastAsia="zh-CN" w:bidi="zh-CN"/>
        </w:rPr>
        <w:t>“公序</w:t>
      </w:r>
      <w:r>
        <w:rPr>
          <w:color w:val="000000"/>
          <w:spacing w:val="0"/>
          <w:w w:val="100"/>
          <w:position w:val="0"/>
        </w:rPr>
        <w:t>良俗”的概念，而通常使用社会公共利益和社 会公德的概念，其中</w:t>
      </w:r>
      <w:r>
        <w:rPr>
          <w:color w:val="000000"/>
          <w:spacing w:val="0"/>
          <w:w w:val="100"/>
          <w:position w:val="0"/>
          <w:lang w:val="zh-CN" w:eastAsia="zh-CN" w:bidi="zh-CN"/>
        </w:rPr>
        <w:t>“社</w:t>
      </w:r>
      <w:r>
        <w:rPr>
          <w:color w:val="000000"/>
          <w:spacing w:val="0"/>
          <w:w w:val="100"/>
          <w:position w:val="0"/>
        </w:rPr>
        <w:t>会公共利益</w:t>
      </w:r>
      <w:r>
        <w:rPr>
          <w:color w:val="000000"/>
          <w:spacing w:val="0"/>
          <w:w w:val="100"/>
          <w:position w:val="0"/>
          <w:lang w:val="zh-CN" w:eastAsia="zh-CN" w:bidi="zh-CN"/>
        </w:rPr>
        <w:t>”大致</w:t>
      </w:r>
      <w:r>
        <w:rPr>
          <w:color w:val="000000"/>
          <w:spacing w:val="0"/>
          <w:w w:val="100"/>
          <w:position w:val="0"/>
        </w:rPr>
        <w:t>相当于</w:t>
      </w:r>
      <w:r>
        <w:rPr>
          <w:color w:val="000000"/>
          <w:spacing w:val="0"/>
          <w:w w:val="100"/>
          <w:position w:val="0"/>
          <w:lang w:val="zh-CN" w:eastAsia="zh-CN" w:bidi="zh-CN"/>
        </w:rPr>
        <w:t>“公共</w:t>
      </w:r>
      <w:r>
        <w:rPr>
          <w:color w:val="000000"/>
          <w:spacing w:val="0"/>
          <w:w w:val="100"/>
          <w:position w:val="0"/>
        </w:rPr>
        <w:t>秩序”</w:t>
      </w:r>
      <w:r>
        <w:rPr>
          <w:color w:val="000000"/>
          <w:spacing w:val="0"/>
          <w:w w:val="100"/>
          <w:position w:val="0"/>
          <w:lang w:val="zh-CN" w:eastAsia="zh-CN" w:bidi="zh-CN"/>
        </w:rPr>
        <w:t>，“社</w:t>
      </w:r>
      <w:r>
        <w:rPr>
          <w:color w:val="000000"/>
          <w:spacing w:val="0"/>
          <w:w w:val="100"/>
          <w:position w:val="0"/>
        </w:rPr>
        <w:t>会公德</w:t>
      </w:r>
      <w:r>
        <w:rPr>
          <w:color w:val="000000"/>
          <w:spacing w:val="0"/>
          <w:w w:val="100"/>
          <w:position w:val="0"/>
          <w:lang w:val="zh-CN" w:eastAsia="zh-CN" w:bidi="zh-CN"/>
        </w:rPr>
        <w:t>”大致</w:t>
      </w:r>
      <w:r>
        <w:rPr>
          <w:color w:val="000000"/>
          <w:spacing w:val="0"/>
          <w:w w:val="100"/>
          <w:position w:val="0"/>
        </w:rPr>
        <w:t>相当于</w:t>
      </w:r>
      <w:r>
        <w:rPr>
          <w:color w:val="000000"/>
          <w:spacing w:val="0"/>
          <w:w w:val="100"/>
          <w:position w:val="0"/>
          <w:lang w:val="zh-CN" w:eastAsia="zh-CN" w:bidi="zh-CN"/>
        </w:rPr>
        <w:t xml:space="preserve">“善 </w:t>
      </w:r>
      <w:r>
        <w:rPr>
          <w:color w:val="000000"/>
          <w:spacing w:val="0"/>
          <w:w w:val="100"/>
          <w:position w:val="0"/>
        </w:rPr>
        <w:t xml:space="preserve">良风俗”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不过在实际使用时</w:t>
      </w:r>
      <w:r>
        <w:rPr>
          <w:color w:val="000000"/>
          <w:spacing w:val="0"/>
          <w:w w:val="100"/>
          <w:position w:val="0"/>
          <w:lang w:val="zh-CN" w:eastAsia="zh-CN" w:bidi="zh-CN"/>
        </w:rPr>
        <w:t>，“社</w:t>
      </w:r>
      <w:r>
        <w:rPr>
          <w:color w:val="000000"/>
          <w:spacing w:val="0"/>
          <w:w w:val="100"/>
          <w:position w:val="0"/>
        </w:rPr>
        <w:t>会公共利益</w:t>
      </w:r>
      <w:r>
        <w:rPr>
          <w:color w:val="000000"/>
          <w:spacing w:val="0"/>
          <w:w w:val="100"/>
          <w:position w:val="0"/>
          <w:lang w:val="zh-CN" w:eastAsia="zh-CN" w:bidi="zh-CN"/>
        </w:rPr>
        <w:t>”与“公</w:t>
      </w:r>
      <w:r>
        <w:rPr>
          <w:color w:val="000000"/>
          <w:spacing w:val="0"/>
          <w:w w:val="100"/>
          <w:position w:val="0"/>
        </w:rPr>
        <w:t>共秩序”、“社会公德”与</w:t>
      </w:r>
      <w:r>
        <w:rPr>
          <w:color w:val="000000"/>
          <w:spacing w:val="0"/>
          <w:w w:val="100"/>
          <w:position w:val="0"/>
          <w:lang w:val="zh-CN" w:eastAsia="zh-CN" w:bidi="zh-CN"/>
        </w:rPr>
        <w:t>“善</w:t>
      </w:r>
      <w:r>
        <w:rPr>
          <w:color w:val="000000"/>
          <w:spacing w:val="0"/>
          <w:w w:val="100"/>
          <w:position w:val="0"/>
        </w:rPr>
        <w:t>良风俗” 之间并非严格对应，前述概念常交替使用,从未得到明确区分。因此,也可以单独将</w:t>
      </w:r>
      <w:r>
        <w:rPr>
          <w:color w:val="000000"/>
          <w:spacing w:val="0"/>
          <w:w w:val="100"/>
          <w:position w:val="0"/>
          <w:lang w:val="zh-CN" w:eastAsia="zh-CN" w:bidi="zh-CN"/>
        </w:rPr>
        <w:t xml:space="preserve">“社会 </w:t>
      </w:r>
      <w:r>
        <w:rPr>
          <w:color w:val="000000"/>
          <w:spacing w:val="0"/>
          <w:w w:val="100"/>
          <w:position w:val="0"/>
        </w:rPr>
        <w:t>公共利益</w:t>
      </w:r>
      <w:r>
        <w:rPr>
          <w:color w:val="000000"/>
          <w:spacing w:val="0"/>
          <w:w w:val="100"/>
          <w:position w:val="0"/>
          <w:lang w:val="zh-CN" w:eastAsia="zh-CN" w:bidi="zh-CN"/>
        </w:rPr>
        <w:t>”或“社</w:t>
      </w:r>
      <w:r>
        <w:rPr>
          <w:color w:val="000000"/>
          <w:spacing w:val="0"/>
          <w:w w:val="100"/>
          <w:position w:val="0"/>
        </w:rPr>
        <w:t>会公德</w:t>
      </w:r>
      <w:r>
        <w:rPr>
          <w:color w:val="000000"/>
          <w:spacing w:val="0"/>
          <w:w w:val="100"/>
          <w:position w:val="0"/>
          <w:lang w:val="zh-CN" w:eastAsia="zh-CN" w:bidi="zh-CN"/>
        </w:rPr>
        <w:t>”任一</w:t>
      </w:r>
      <w:r>
        <w:rPr>
          <w:color w:val="000000"/>
          <w:spacing w:val="0"/>
          <w:w w:val="100"/>
          <w:position w:val="0"/>
        </w:rPr>
        <w:t>概念对应于</w:t>
      </w:r>
      <w:r>
        <w:rPr>
          <w:color w:val="000000"/>
          <w:spacing w:val="0"/>
          <w:w w:val="100"/>
          <w:position w:val="0"/>
          <w:lang w:val="zh-CN" w:eastAsia="zh-CN" w:bidi="zh-CN"/>
        </w:rPr>
        <w:t>“公</w:t>
      </w:r>
      <w:r>
        <w:rPr>
          <w:color w:val="000000"/>
          <w:spacing w:val="0"/>
          <w:w w:val="100"/>
          <w:position w:val="0"/>
        </w:rPr>
        <w:t>序良俗</w:t>
      </w:r>
      <w:r>
        <w:rPr>
          <w:color w:val="000000"/>
          <w:spacing w:val="0"/>
          <w:w w:val="100"/>
          <w:position w:val="0"/>
          <w:lang w:val="zh-CN" w:eastAsia="zh-CN" w:bidi="zh-CN"/>
        </w:rPr>
        <w:t>”［朱</w:t>
      </w:r>
      <w:r>
        <w:rPr>
          <w:color w:val="000000"/>
          <w:spacing w:val="0"/>
          <w:w w:val="100"/>
          <w:position w:val="0"/>
        </w:rPr>
        <w:t>庆育:《民法总论》（第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版），北京大学 出版社</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301</w:t>
      </w:r>
      <w:r>
        <w:rPr>
          <w:color w:val="000000"/>
          <w:spacing w:val="0"/>
          <w:w w:val="100"/>
          <w:position w:val="0"/>
        </w:rPr>
        <w:t>页］。原《民法通则》第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条规定:“民事活动应当尊重社会公德，不得 损害社会公共利益，破坏国家经济计划，扰乱社会经济秩序</w:t>
      </w:r>
      <w:r>
        <w:rPr>
          <w:color w:val="000000"/>
          <w:spacing w:val="0"/>
          <w:w w:val="100"/>
          <w:position w:val="0"/>
          <w:lang w:val="zh-CN" w:eastAsia="zh-CN" w:bidi="zh-CN"/>
        </w:rPr>
        <w:t>。”原</w:t>
      </w:r>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条规定:“当 事人订立、履行合同,应当遵守法律、行政法规,尊重社会公德，不得扰乱社会经济秩序,损害 社会公共利益</w:t>
      </w:r>
      <w:r>
        <w:rPr>
          <w:color w:val="000000"/>
          <w:spacing w:val="0"/>
          <w:w w:val="100"/>
          <w:position w:val="0"/>
          <w:lang w:val="zh-CN" w:eastAsia="zh-CN" w:bidi="zh-CN"/>
        </w:rPr>
        <w:t>。”原</w:t>
      </w:r>
      <w:r>
        <w:rPr>
          <w:color w:val="000000"/>
          <w:spacing w:val="0"/>
          <w:w w:val="100"/>
          <w:position w:val="0"/>
        </w:rPr>
        <w:t>《物权法》第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条规定:</w:t>
      </w:r>
      <w:r>
        <w:rPr>
          <w:color w:val="000000"/>
          <w:spacing w:val="0"/>
          <w:w w:val="100"/>
          <w:position w:val="0"/>
          <w:lang w:val="zh-CN" w:eastAsia="zh-CN" w:bidi="zh-CN"/>
        </w:rPr>
        <w:t>“物权</w:t>
      </w:r>
      <w:r>
        <w:rPr>
          <w:color w:val="000000"/>
          <w:spacing w:val="0"/>
          <w:w w:val="100"/>
          <w:position w:val="0"/>
        </w:rPr>
        <w:t>的取得和行使，应当遵守法律，尊重社会公 德,不得损害公共利益和他人合法权益</w:t>
      </w:r>
      <w:r>
        <w:rPr>
          <w:color w:val="000000"/>
          <w:spacing w:val="0"/>
          <w:w w:val="100"/>
          <w:position w:val="0"/>
          <w:lang w:val="zh-CN" w:eastAsia="zh-CN" w:bidi="zh-CN"/>
        </w:rPr>
        <w:t>。”法</w:t>
      </w:r>
      <w:r>
        <w:rPr>
          <w:color w:val="000000"/>
          <w:spacing w:val="0"/>
          <w:w w:val="100"/>
          <w:position w:val="0"/>
        </w:rPr>
        <w:t>律行为作为最重要的</w:t>
      </w:r>
      <w:r>
        <w:rPr>
          <w:color w:val="000000"/>
          <w:spacing w:val="0"/>
          <w:w w:val="100"/>
          <w:position w:val="0"/>
          <w:lang w:val="zh-CN" w:eastAsia="zh-CN" w:bidi="zh-CN"/>
        </w:rPr>
        <w:t>“民事</w:t>
      </w:r>
      <w:r>
        <w:rPr>
          <w:color w:val="000000"/>
          <w:spacing w:val="0"/>
          <w:w w:val="100"/>
          <w:position w:val="0"/>
        </w:rPr>
        <w:t>活动”，其效力因此 受到社会公共利益的控制。原《民法通则》第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项把“不违反社会公共利益</w:t>
      </w:r>
      <w:r>
        <w:rPr>
          <w:color w:val="000000"/>
          <w:spacing w:val="0"/>
          <w:w w:val="100"/>
          <w:position w:val="0"/>
          <w:lang w:val="zh-CN" w:eastAsia="zh-CN" w:bidi="zh-CN"/>
        </w:rPr>
        <w:t>”作为 “民</w:t>
      </w:r>
      <w:r>
        <w:rPr>
          <w:color w:val="000000"/>
          <w:spacing w:val="0"/>
          <w:w w:val="100"/>
          <w:position w:val="0"/>
        </w:rPr>
        <w:t>事法律行为</w:t>
      </w:r>
      <w:r>
        <w:rPr>
          <w:color w:val="000000"/>
          <w:spacing w:val="0"/>
          <w:w w:val="100"/>
          <w:position w:val="0"/>
          <w:lang w:val="zh-CN" w:eastAsia="zh-CN" w:bidi="zh-CN"/>
        </w:rPr>
        <w:t>”消极</w:t>
      </w:r>
      <w:r>
        <w:rPr>
          <w:color w:val="000000"/>
          <w:spacing w:val="0"/>
          <w:w w:val="100"/>
          <w:position w:val="0"/>
        </w:rPr>
        <w:t>要件予以规定，又通过第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项将“违反社会公共利益” 的“民事行为</w:t>
      </w:r>
      <w:r>
        <w:rPr>
          <w:color w:val="000000"/>
          <w:spacing w:val="0"/>
          <w:w w:val="100"/>
          <w:position w:val="0"/>
          <w:lang w:val="zh-CN" w:eastAsia="zh-CN" w:bidi="zh-CN"/>
        </w:rPr>
        <w:t>”归诸</w:t>
      </w:r>
      <w:r>
        <w:rPr>
          <w:color w:val="000000"/>
          <w:spacing w:val="0"/>
          <w:w w:val="100"/>
          <w:position w:val="0"/>
        </w:rPr>
        <w:t>无效。原《合同法》第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项同其规定。及至原《民法总贝</w:t>
      </w:r>
      <w:r>
        <w:rPr>
          <w:rFonts w:ascii="Times New Roman" w:hAnsi="Times New Roman" w:eastAsia="Times New Roman" w:cs="Times New Roman"/>
          <w:color w:val="000000"/>
          <w:spacing w:val="0"/>
          <w:w w:val="100"/>
          <w:position w:val="0"/>
          <w:sz w:val="19"/>
          <w:szCs w:val="19"/>
          <w:lang w:val="en-US" w:eastAsia="en-US" w:bidi="en-US"/>
        </w:rPr>
        <w:t>IJ</w:t>
      </w:r>
      <w:r>
        <w:rPr>
          <w:color w:val="000000"/>
          <w:spacing w:val="0"/>
          <w:w w:val="100"/>
          <w:position w:val="0"/>
          <w:lang w:val="en-US" w:eastAsia="en-US" w:bidi="en-US"/>
        </w:rPr>
        <w:t>》</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 （《民法典》第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条）规定:</w:t>
      </w:r>
      <w:r>
        <w:rPr>
          <w:color w:val="000000"/>
          <w:spacing w:val="0"/>
          <w:w w:val="100"/>
          <w:position w:val="0"/>
          <w:lang w:val="zh-CN" w:eastAsia="zh-CN" w:bidi="zh-CN"/>
        </w:rPr>
        <w:t>“民事</w:t>
      </w:r>
      <w:r>
        <w:rPr>
          <w:color w:val="000000"/>
          <w:spacing w:val="0"/>
          <w:w w:val="100"/>
          <w:position w:val="0"/>
        </w:rPr>
        <w:t>主体从事民事活动,不得违反法律,不得违背公序良俗</w:t>
      </w:r>
      <w:r>
        <w:rPr>
          <w:color w:val="000000"/>
          <w:spacing w:val="0"/>
          <w:w w:val="100"/>
          <w:position w:val="0"/>
          <w:lang w:val="zh-CN" w:eastAsia="zh-CN" w:bidi="zh-CN"/>
        </w:rPr>
        <w:t xml:space="preserve">。”这 </w:t>
      </w:r>
      <w:r>
        <w:rPr>
          <w:color w:val="000000"/>
          <w:spacing w:val="0"/>
          <w:w w:val="100"/>
          <w:position w:val="0"/>
        </w:rPr>
        <w:t>是我国法律中首次正式使用</w:t>
      </w:r>
      <w:r>
        <w:rPr>
          <w:color w:val="000000"/>
          <w:spacing w:val="0"/>
          <w:w w:val="100"/>
          <w:position w:val="0"/>
          <w:lang w:val="zh-CN" w:eastAsia="zh-CN" w:bidi="zh-CN"/>
        </w:rPr>
        <w:t>“公</w:t>
      </w:r>
      <w:r>
        <w:rPr>
          <w:color w:val="000000"/>
          <w:spacing w:val="0"/>
          <w:w w:val="100"/>
          <w:position w:val="0"/>
        </w:rPr>
        <w:t>序良俗</w:t>
      </w:r>
      <w:r>
        <w:rPr>
          <w:color w:val="000000"/>
          <w:spacing w:val="0"/>
          <w:w w:val="100"/>
          <w:position w:val="0"/>
          <w:lang w:val="zh-CN" w:eastAsia="zh-CN" w:bidi="zh-CN"/>
        </w:rPr>
        <w:t>”这一</w:t>
      </w:r>
      <w:r>
        <w:rPr>
          <w:color w:val="000000"/>
          <w:spacing w:val="0"/>
          <w:w w:val="100"/>
          <w:position w:val="0"/>
        </w:rPr>
        <w:t>概念。作为法律，原《民法总则》正式使用了公 序良俗概念，是我国民法进一步科学化的重要标志（李宇：《民法总则要义：规范释论与判解集 注》，法律出版社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47</w:t>
      </w:r>
      <w:r>
        <w:rPr>
          <w:color w:val="000000"/>
          <w:spacing w:val="0"/>
          <w:w w:val="100"/>
          <w:position w:val="0"/>
        </w:rPr>
        <w:t>页）。延续通过社会公共利益控制法律行为效力的思路，原 《民法总则》第</w:t>
      </w:r>
      <w:r>
        <w:rPr>
          <w:rFonts w:ascii="Times New Roman" w:hAnsi="Times New Roman" w:eastAsia="Times New Roman" w:cs="Times New Roman"/>
          <w:color w:val="000000"/>
          <w:spacing w:val="0"/>
          <w:w w:val="100"/>
          <w:position w:val="0"/>
          <w:sz w:val="19"/>
          <w:szCs w:val="19"/>
        </w:rPr>
        <w:t>143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143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项）将不违背公序良俗作为民事法律行为的 有效要件,并在第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“违</w:t>
      </w:r>
      <w:r>
        <w:rPr>
          <w:color w:val="000000"/>
          <w:spacing w:val="0"/>
          <w:w w:val="100"/>
          <w:position w:val="0"/>
        </w:rPr>
        <w:t>背公序良俗的民事法 律行为无效”。</w:t>
      </w:r>
    </w:p>
    <w:p w14:paraId="484BF11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维系社会共同体以尊重必要的强制秩序为前提，该强制秩序不得为任何个别意志所改 变，处于自治领域之外。因此，如果法律行为与强制秩序相抵触，行为的效力则可能出现瑕 疵。法律之所以规定法律行为违背公序良俗无效，正是有基于此。当然，法律也可以通过具 体的规则一一列举出被禁止的行为。但是私人交往的复杂程度远较立法者的理性为甚，立 法者永远不可能将所有交往惯例巨细无遗地加以规定，更不可能预见交往中的新禁忌［朱庆 育:《民法总论》（第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294</w:t>
      </w:r>
      <w:r>
        <w:rPr>
          <w:color w:val="000000"/>
          <w:spacing w:val="0"/>
          <w:w w:val="100"/>
          <w:position w:val="0"/>
        </w:rPr>
        <w:t>页］。因此，在规则的具体列举之外 辅以抽象的原则就成为必然选择。公序良俗作为不确定的法律概念，会带来适用上的困 境，亦即公序良俗原则应当在何种程度上实现对法律行为效力的控制。</w:t>
      </w:r>
    </w:p>
    <w:p w14:paraId="3A12AD62">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在此问题上,学者的意见并不一致。有的认为违反公序良俗属于法律行为标的不妥 当;有的认为是法律行为内容不得违反法律或者社会公共利益;有的认为对于法律行为是 否违反社会公共利益，应当从目的、标的、条件和社会效果的角度考察;还有的认为应当从 目的、标的、条件和方式四个方面考察（田士永:《法律行为违背善良风俗中意思要素的分析——从 泸州遗赠案开始》，载《法哲学与法社会学论丛》</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期）。本案涉及更多的则是法律行为在 行为动机违反公序良俗情形的效力问题。法律行为的基本要素是意思表示，其中的意思要 素可以分为行为意思、表示意识、效果意思三个部分。本案中所涉及的遗嘱，其行为意思、表 示意识显然都不存在问题;其效果意思仅在于遗产管理人有义务将特定遗产移转给受遗赠 人，也不存在违背公序良俗的问题。遗赠人与受遗赠人之间的同居关系，并不属于遗赠行 为本身，而属于遗赠的行为动机。</w:t>
      </w:r>
    </w:p>
    <w:p w14:paraId="6A6C723B">
      <w:pPr>
        <w:pStyle w:val="17"/>
        <w:keepNext w:val="0"/>
        <w:keepLines w:val="0"/>
        <w:widowControl w:val="0"/>
        <w:shd w:val="clear" w:color="auto" w:fill="auto"/>
        <w:bidi w:val="0"/>
        <w:spacing w:before="0" w:after="160" w:line="343" w:lineRule="exact"/>
        <w:ind w:left="0" w:right="0" w:firstLine="440"/>
        <w:jc w:val="both"/>
      </w:pPr>
      <w:r>
        <w:rPr>
          <w:color w:val="000000"/>
          <w:spacing w:val="0"/>
          <w:w w:val="100"/>
          <w:position w:val="0"/>
        </w:rPr>
        <w:t>针对将动机作为法律行为违背公序良俗与否的判断标准的观点，颇具争议。反对者提 出了较为有力的反驳（田士永:《法律行为违背善良风俗中意思要素的分析——从泸州遗赠案开始》， 载《法哲学与法社会学论丛》</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期）。其认为，法律行为的功能在于通过意思表示为当 事人设立、变更、终止权利义务关系，实现私人自治的基本要求;为实现私人自治的要求，适 当限制善良风俗对法律行为效力的影响，并无不妥。从现代社会不应限制思想自由的角度 来说,法律行为也不应考虑动机对法律行为效力的影响，而是应当通过法律行为之外的其 他途径实现保障公序良俗的效果，如通过道德谴责、行政处罚或者刑罚让行为人承担不利 后果。在个案中，如果动机没有通过某种途径进入法律行为之中，如成为法律行为的内容， 就不应该成为法律行为需要考虑的要素，当事人的意思要素违背公序良俗，也许应受到道 德谴责，却与法律行为无关。至于动机已经表现于外，是否影响法律行为,则有不同见解。 客观说认为，若以动机为条件，则动机已经成为法律行为的内容，应当视其内容违背公序良 俗与否进行判断;主观说则认为已表示的动机以及未表示而相对人已知的动机，均属于判 断内容违背公序良俗与否的标准;折中说认为只有已表示的动机才是判断内容违背公序良 俗与否的标准。从保护思想自由的角度，折中说较为合适。此外，如果动机影响法律行为的 效力,交易安全的保护与阻止违法目的实现就需要妥善地兼顾</w:t>
      </w:r>
    </w:p>
    <w:p w14:paraId="2EE2D96B">
      <w:pPr>
        <w:pStyle w:val="17"/>
        <w:keepNext w:val="0"/>
        <w:keepLines w:val="0"/>
        <w:widowControl w:val="0"/>
        <w:shd w:val="clear" w:color="auto" w:fill="auto"/>
        <w:bidi w:val="0"/>
        <w:spacing w:before="0" w:after="160" w:line="343" w:lineRule="exact"/>
        <w:ind w:left="0" w:right="0" w:firstLine="0"/>
        <w:jc w:val="left"/>
      </w:pPr>
      <w:r>
        <w:rPr>
          <w:color w:val="000000"/>
          <w:spacing w:val="0"/>
          <w:w w:val="100"/>
          <w:position w:val="0"/>
        </w:rPr>
        <w:t>国既往司法实践状况</w:t>
      </w:r>
    </w:p>
    <w:p w14:paraId="2E3A042A">
      <w:pPr>
        <w:pStyle w:val="17"/>
        <w:keepNext w:val="0"/>
        <w:keepLines w:val="0"/>
        <w:widowControl w:val="0"/>
        <w:shd w:val="clear" w:color="auto" w:fill="auto"/>
        <w:bidi w:val="0"/>
        <w:spacing w:before="0" w:after="0" w:line="344" w:lineRule="exact"/>
        <w:ind w:left="0" w:right="0" w:firstLine="440"/>
        <w:jc w:val="both"/>
      </w:pPr>
      <w:r>
        <w:rPr>
          <w:color w:val="000000"/>
          <w:spacing w:val="0"/>
          <w:w w:val="100"/>
          <w:position w:val="0"/>
        </w:rPr>
        <w:t>在司法实践中，法官适用公序良俗原则作为裁判依据的现象并木鲜见</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稍关啊洌涉 及民法的各个领域:有对民事法律行为效力的判断，如一般合同和涉及婚姻、继承等身份关 系的合同、遗嘱等单方民事法律行为及劳动合同等效力的判断;有涉及对是否构成侵权的 判断,如判断是否侵害物权、人身权等;有涉及对物权请求权是否存在的判断等（蔡唱：《公序 良俗在我国的司法适用研究》，载《中国法学》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期）。总体而言，司法实践中公序良俗主 要的适用领域还是对民事法律行为效力的控制。其中最为典型的是两类案件:第一类是请 托纠纷。请托事务包括</w:t>
      </w:r>
      <w:r>
        <w:rPr>
          <w:color w:val="000000"/>
          <w:spacing w:val="0"/>
          <w:w w:val="100"/>
          <w:position w:val="0"/>
          <w:lang w:val="zh-CN" w:eastAsia="zh-CN" w:bidi="zh-CN"/>
        </w:rPr>
        <w:t>“为受</w:t>
      </w:r>
      <w:r>
        <w:rPr>
          <w:color w:val="000000"/>
          <w:spacing w:val="0"/>
          <w:w w:val="100"/>
          <w:position w:val="0"/>
        </w:rPr>
        <w:t>托人找关系解决就业</w:t>
      </w:r>
      <w:r>
        <w:rPr>
          <w:color w:val="000000"/>
          <w:spacing w:val="0"/>
          <w:w w:val="100"/>
          <w:position w:val="0"/>
          <w:lang w:val="zh-CN" w:eastAsia="zh-CN" w:bidi="zh-CN"/>
        </w:rPr>
        <w:t>”“找</w:t>
      </w:r>
      <w:r>
        <w:rPr>
          <w:color w:val="000000"/>
          <w:spacing w:val="0"/>
          <w:w w:val="100"/>
          <w:position w:val="0"/>
        </w:rPr>
        <w:t>关系打赢官司</w:t>
      </w:r>
      <w:r>
        <w:rPr>
          <w:color w:val="000000"/>
          <w:spacing w:val="0"/>
          <w:w w:val="100"/>
          <w:position w:val="0"/>
          <w:lang w:val="zh-CN" w:eastAsia="zh-CN" w:bidi="zh-CN"/>
        </w:rPr>
        <w:t>”等。</w:t>
      </w:r>
      <w:r>
        <w:rPr>
          <w:color w:val="000000"/>
          <w:spacing w:val="0"/>
          <w:w w:val="100"/>
          <w:position w:val="0"/>
        </w:rPr>
        <w:t>就该类案件而 言，在具体诉由上当事人作出了两种选择:一是直接以不当得利为依据请求返还请托费用； 二是以双方形成的所谓“合同关系</w:t>
      </w:r>
      <w:r>
        <w:rPr>
          <w:color w:val="000000"/>
          <w:spacing w:val="0"/>
          <w:w w:val="100"/>
          <w:position w:val="0"/>
          <w:lang w:val="zh-CN" w:eastAsia="zh-CN" w:bidi="zh-CN"/>
        </w:rPr>
        <w:t>”为基</w:t>
      </w:r>
      <w:r>
        <w:rPr>
          <w:color w:val="000000"/>
          <w:spacing w:val="0"/>
          <w:w w:val="100"/>
          <w:position w:val="0"/>
        </w:rPr>
        <w:t>础请求返还请托费用，但在合同性质上，有的认为 是委托合同,有的认为是居间合同，亦有人认为是服务合同。在</w:t>
      </w:r>
      <w:r>
        <w:rPr>
          <w:color w:val="000000"/>
          <w:spacing w:val="0"/>
          <w:w w:val="100"/>
          <w:position w:val="0"/>
          <w:lang w:val="zh-CN" w:eastAsia="zh-CN" w:bidi="zh-CN"/>
        </w:rPr>
        <w:t>“段玉</w:t>
      </w:r>
      <w:r>
        <w:rPr>
          <w:color w:val="000000"/>
          <w:spacing w:val="0"/>
          <w:w w:val="100"/>
          <w:position w:val="0"/>
        </w:rPr>
        <w:t>龙诉陈琳不当得利纠 纷案</w:t>
      </w:r>
      <w:r>
        <w:rPr>
          <w:color w:val="000000"/>
          <w:spacing w:val="0"/>
          <w:w w:val="100"/>
          <w:position w:val="0"/>
          <w:lang w:val="zh-CN" w:eastAsia="zh-CN" w:bidi="zh-CN"/>
        </w:rPr>
        <w:t>”［四</w:t>
      </w:r>
      <w:r>
        <w:rPr>
          <w:color w:val="000000"/>
          <w:spacing w:val="0"/>
          <w:w w:val="100"/>
          <w:position w:val="0"/>
        </w:rPr>
        <w:t>川省遂宁市船山区人民法院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船山民初字第</w:t>
      </w:r>
      <w:r>
        <w:rPr>
          <w:rFonts w:ascii="Times New Roman" w:hAnsi="Times New Roman" w:eastAsia="Times New Roman" w:cs="Times New Roman"/>
          <w:color w:val="000000"/>
          <w:spacing w:val="0"/>
          <w:w w:val="100"/>
          <w:position w:val="0"/>
          <w:sz w:val="17"/>
          <w:szCs w:val="17"/>
        </w:rPr>
        <w:t>368</w:t>
      </w:r>
      <w:r>
        <w:rPr>
          <w:color w:val="000000"/>
          <w:spacing w:val="0"/>
          <w:w w:val="100"/>
          <w:position w:val="0"/>
        </w:rPr>
        <w:t>号民事判决书］中，法院认为原告醉 酒驾驶机动车，依法应当承担相应的刑事责任和行政责任，被人民法院判处刑罚和被公安 机关吊销机动车驾驶证，不会因为请托被告而予以免除，原告与被告之间发生的请托“办 事</w:t>
      </w:r>
      <w:r>
        <w:rPr>
          <w:color w:val="000000"/>
          <w:spacing w:val="0"/>
          <w:w w:val="100"/>
          <w:position w:val="0"/>
          <w:lang w:val="zh-CN" w:eastAsia="zh-CN" w:bidi="zh-CN"/>
        </w:rPr>
        <w:t>”行为</w:t>
      </w:r>
      <w:r>
        <w:rPr>
          <w:color w:val="000000"/>
          <w:spacing w:val="0"/>
          <w:w w:val="100"/>
          <w:position w:val="0"/>
        </w:rPr>
        <w:t>，违反了民法基本原则中的公序良俗原则，被告取得原告的款项没有合法的依据, 构成不当得利。在“高丙与严汉轩居间合同纠纷案</w:t>
      </w:r>
      <w:r>
        <w:rPr>
          <w:color w:val="000000"/>
          <w:spacing w:val="0"/>
          <w:w w:val="100"/>
          <w:position w:val="0"/>
          <w:lang w:val="zh-CN" w:eastAsia="zh-CN" w:bidi="zh-CN"/>
        </w:rPr>
        <w:t>”［江</w:t>
      </w:r>
      <w:r>
        <w:rPr>
          <w:color w:val="000000"/>
          <w:spacing w:val="0"/>
          <w:w w:val="100"/>
          <w:position w:val="0"/>
        </w:rPr>
        <w:t>苏省淮安市清河区人民法院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河民 初字第</w:t>
      </w:r>
      <w:r>
        <w:rPr>
          <w:rFonts w:ascii="Times New Roman" w:hAnsi="Times New Roman" w:eastAsia="Times New Roman" w:cs="Times New Roman"/>
          <w:color w:val="000000"/>
          <w:spacing w:val="0"/>
          <w:w w:val="100"/>
          <w:position w:val="0"/>
          <w:sz w:val="17"/>
          <w:szCs w:val="17"/>
        </w:rPr>
        <w:t>5318</w:t>
      </w:r>
      <w:r>
        <w:rPr>
          <w:color w:val="000000"/>
          <w:spacing w:val="0"/>
          <w:w w:val="100"/>
          <w:position w:val="0"/>
        </w:rPr>
        <w:t>号民事判决书］中，法院认为原告委托被告通过金钱给付的不正当渠道为高同办 理入学事宜,此委托行为侵犯了其他同期考生的平等招录权利，有违公序良俗原则和社会 公共利益;双方签订的协议违反国家教育管理制度,为法律所禁止，属于无效协议。</w:t>
      </w:r>
    </w:p>
    <w:p w14:paraId="069E976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第二类为运用公序良俗原则判断存在婚外同居或不正当关系当事人之间的民事法律 行为的效力,包括当事人之间以赠与合同、欠条、承诺书等方式，约定一方赠与对方财产的 情形。在“谢巧英与黄芳林、刘香平民间借贷纠纷案</w:t>
      </w:r>
      <w:r>
        <w:rPr>
          <w:color w:val="000000"/>
          <w:spacing w:val="0"/>
          <w:w w:val="100"/>
          <w:position w:val="0"/>
          <w:lang w:val="zh-CN" w:eastAsia="zh-CN" w:bidi="zh-CN"/>
        </w:rPr>
        <w:t>”［湖</w:t>
      </w:r>
      <w:r>
        <w:rPr>
          <w:color w:val="000000"/>
          <w:spacing w:val="0"/>
          <w:w w:val="100"/>
          <w:position w:val="0"/>
        </w:rPr>
        <w:t>南省资兴市人民法院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资民二初 字第</w:t>
      </w:r>
      <w:r>
        <w:rPr>
          <w:rFonts w:ascii="Times New Roman" w:hAnsi="Times New Roman" w:eastAsia="Times New Roman" w:cs="Times New Roman"/>
          <w:color w:val="000000"/>
          <w:spacing w:val="0"/>
          <w:w w:val="100"/>
          <w:position w:val="0"/>
          <w:sz w:val="17"/>
          <w:szCs w:val="17"/>
        </w:rPr>
        <w:t>56</w:t>
      </w:r>
      <w:r>
        <w:rPr>
          <w:color w:val="000000"/>
          <w:spacing w:val="0"/>
          <w:w w:val="100"/>
          <w:position w:val="0"/>
        </w:rPr>
        <w:t xml:space="preserve">号民事判决书］中,法院认为合法的民间借贷关系受法律保护，被告黄芳林在与原告谢 巧英非法同居生活期间，为了长期与原告谢巧英保持不正当男女关系，先后两次出具一张 </w:t>
      </w:r>
      <w:r>
        <w:rPr>
          <w:rFonts w:ascii="Times New Roman" w:hAnsi="Times New Roman" w:eastAsia="Times New Roman" w:cs="Times New Roman"/>
          <w:color w:val="000000"/>
          <w:spacing w:val="0"/>
          <w:w w:val="100"/>
          <w:position w:val="0"/>
          <w:sz w:val="17"/>
          <w:szCs w:val="17"/>
        </w:rPr>
        <w:t>100, 000</w:t>
      </w:r>
      <w:r>
        <w:rPr>
          <w:color w:val="000000"/>
          <w:spacing w:val="0"/>
          <w:w w:val="100"/>
          <w:position w:val="0"/>
        </w:rPr>
        <w:t>元的借条给原告谢巧英，由此形成的债权债务关系有悖社会公德，且原告谢巧英除 了借条外,没有其他有效证据佐证该债务的实际发生,因此对原告的诉讼请求不予支持。</w:t>
      </w:r>
    </w:p>
    <w:p w14:paraId="429FB4F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此外，既有判例在公序良俗原则的适用上呈现一定误区和偏差:一是在法律规范对案 件争议有明确规定时，有些裁判者径直适用公序良俗原则判决，以公序良俗原则取代具体 的法律规范，从而陷入向一般条款逃逸的误区，造成具体法律规范被闲置的局面;二是仅仅 将公序良俗原则作为增强法院判决说服力的工具，判决实际上是适用具体法律规范的结 果，公序良俗原则只是对该具体法律规范的道德性评价,即使不适用也会得出同样的结论; 三是将公序良俗原则作为诚实信用原则等其他民法基本原则的替代形式,这种做法混淆了 民法基本原则之间的适用界限。要避免前述适用上的误区和偏差，首先是要认清公序良俗 原则的适用条件。公序良俗原则的适用前提是存在法律漏洞或法律规范之间存在冲突，公 序良俗原则不能作为单纯的证成或增强法院依据具体规范所作判决说服力的工具;在立法 已有具体明确的法律规范时，应首先使用具体规范，而不能直接适用公序良俗原则，以避免 向一般条款逃逸（李岩:《公序良俗原则的司法乱象与本相一兼论公序良俗原则适用的类型化》，载 《法学》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期）。其次是要厘清公序良俗原则与其他民法基本原则之间的界限。公 序良俗原则与诚实信用原则在审查对象、适用范围是否以</w:t>
      </w:r>
      <w:r>
        <w:rPr>
          <w:color w:val="000000"/>
          <w:spacing w:val="0"/>
          <w:w w:val="100"/>
          <w:position w:val="0"/>
          <w:lang w:val="zh-CN" w:eastAsia="zh-CN" w:bidi="zh-CN"/>
        </w:rPr>
        <w:t>“特别</w:t>
      </w:r>
      <w:r>
        <w:rPr>
          <w:color w:val="000000"/>
          <w:spacing w:val="0"/>
          <w:w w:val="100"/>
          <w:position w:val="0"/>
        </w:rPr>
        <w:t>关联”为前提、保护对象是 否及于第三人及公众、标准设立的高低、反社会性的强弱方面存在区别（于飞:《公序良俗原则 与诚实信用原则的区分》，载《中国社会科学》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3BFA7771">
      <w:pPr>
        <w:pStyle w:val="17"/>
        <w:keepNext w:val="0"/>
        <w:keepLines w:val="0"/>
        <w:widowControl w:val="0"/>
        <w:shd w:val="clear" w:color="auto" w:fill="auto"/>
        <w:bidi w:val="0"/>
        <w:spacing w:before="0" w:after="140" w:line="33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本判决的参考意义及将来的课题</w:t>
      </w:r>
    </w:p>
    <w:p w14:paraId="125BBACD">
      <w:pPr>
        <w:pStyle w:val="17"/>
        <w:keepNext w:val="0"/>
        <w:keepLines w:val="0"/>
        <w:widowControl w:val="0"/>
        <w:shd w:val="clear" w:color="auto" w:fill="auto"/>
        <w:bidi w:val="0"/>
        <w:spacing w:before="0" w:after="360" w:line="338" w:lineRule="exact"/>
        <w:ind w:left="0" w:right="0"/>
        <w:jc w:val="both"/>
      </w:pPr>
      <w:r>
        <w:rPr>
          <w:color w:val="000000"/>
          <w:spacing w:val="0"/>
          <w:w w:val="100"/>
          <w:position w:val="0"/>
        </w:rPr>
        <w:t>本判决通过适用公序良俗原则来控制法律行为的效力，被称为</w:t>
      </w:r>
      <w:r>
        <w:rPr>
          <w:color w:val="000000"/>
          <w:spacing w:val="0"/>
          <w:w w:val="100"/>
          <w:position w:val="0"/>
          <w:lang w:val="zh-CN" w:eastAsia="zh-CN" w:bidi="zh-CN"/>
        </w:rPr>
        <w:t>“中国</w:t>
      </w:r>
      <w:r>
        <w:rPr>
          <w:color w:val="000000"/>
          <w:spacing w:val="0"/>
          <w:w w:val="100"/>
          <w:position w:val="0"/>
        </w:rPr>
        <w:t>公序良俗第一 案</w:t>
      </w:r>
      <w:r>
        <w:rPr>
          <w:color w:val="000000"/>
          <w:spacing w:val="0"/>
          <w:w w:val="100"/>
          <w:position w:val="0"/>
          <w:lang w:val="zh-CN" w:eastAsia="zh-CN" w:bidi="zh-CN"/>
        </w:rPr>
        <w:t>”，产</w:t>
      </w:r>
      <w:r>
        <w:rPr>
          <w:color w:val="000000"/>
          <w:spacing w:val="0"/>
          <w:w w:val="100"/>
          <w:position w:val="0"/>
        </w:rPr>
        <w:t>生了较大的社会影响，对公序良俗原则在司法实践中的适用具有重要的开拓意义。 但公序良俗作为抽象的法律原则,是具体规则的补充,这也就意味着其中并无明确的构成 要件可供把握，判断时需要结合具体的主客观情境进行综合考量，因此司法判例的类型化 是必不可少的步骤,这也是将来需要做的功课。</w:t>
      </w:r>
    </w:p>
    <w:p w14:paraId="08AA91D3">
      <w:pPr>
        <w:pStyle w:val="11"/>
        <w:keepNext w:val="0"/>
        <w:keepLines w:val="0"/>
        <w:widowControl w:val="0"/>
        <w:shd w:val="clear" w:color="auto" w:fill="auto"/>
        <w:bidi w:val="0"/>
        <w:spacing w:before="0" w:after="0" w:line="338" w:lineRule="exact"/>
        <w:ind w:left="0" w:right="0" w:firstLine="0"/>
        <w:jc w:val="left"/>
      </w:pPr>
      <w:r>
        <w:rPr>
          <w:i/>
          <w:iCs/>
          <w:color w:val="000000"/>
          <w:spacing w:val="0"/>
          <w:w w:val="100"/>
          <w:position w:val="0"/>
        </w:rPr>
        <w:t>回</w:t>
      </w:r>
      <w:r>
        <w:rPr>
          <w:color w:val="000000"/>
          <w:spacing w:val="0"/>
          <w:w w:val="100"/>
          <w:position w:val="0"/>
        </w:rPr>
        <w:t>参考文献</w:t>
      </w:r>
    </w:p>
    <w:p w14:paraId="7A269464">
      <w:pPr>
        <w:pStyle w:val="17"/>
        <w:keepNext w:val="0"/>
        <w:keepLines w:val="0"/>
        <w:widowControl w:val="0"/>
        <w:shd w:val="clear" w:color="auto" w:fill="auto"/>
        <w:bidi w:val="0"/>
        <w:spacing w:before="0" w:after="0" w:line="338" w:lineRule="exact"/>
        <w:ind w:left="0" w:right="0" w:firstLine="0"/>
        <w:jc w:val="left"/>
      </w:pPr>
      <w:r>
        <w:rPr>
          <w:color w:val="000000"/>
          <w:spacing w:val="0"/>
          <w:w w:val="100"/>
          <w:position w:val="0"/>
        </w:rPr>
        <w:t>朱庆育：《民法总论》（第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35FD62C">
      <w:pPr>
        <w:pStyle w:val="17"/>
        <w:keepNext w:val="0"/>
        <w:keepLines w:val="0"/>
        <w:widowControl w:val="0"/>
        <w:shd w:val="clear" w:color="auto" w:fill="auto"/>
        <w:bidi w:val="0"/>
        <w:spacing w:before="0" w:after="0" w:line="338" w:lineRule="exact"/>
        <w:ind w:left="0" w:right="0" w:firstLine="0"/>
        <w:jc w:val="left"/>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C11137D">
      <w:pPr>
        <w:pStyle w:val="17"/>
        <w:keepNext w:val="0"/>
        <w:keepLines w:val="0"/>
        <w:widowControl w:val="0"/>
        <w:shd w:val="clear" w:color="auto" w:fill="auto"/>
        <w:bidi w:val="0"/>
        <w:spacing w:before="0" w:after="0" w:line="305" w:lineRule="exact"/>
        <w:ind w:left="200" w:right="0" w:hanging="200"/>
        <w:jc w:val="both"/>
      </w:pPr>
      <w:r>
        <w:rPr>
          <w:color w:val="000000"/>
          <w:spacing w:val="0"/>
          <w:w w:val="100"/>
          <w:position w:val="0"/>
        </w:rPr>
        <w:t>田士永:《法律行为违背善良风俗中意思要素的分析——从泸州遗赠案开始》，载《法哲学与法社会学论 丛》</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1A87883">
      <w:pPr>
        <w:pStyle w:val="17"/>
        <w:keepNext w:val="0"/>
        <w:keepLines w:val="0"/>
        <w:widowControl w:val="0"/>
        <w:shd w:val="clear" w:color="auto" w:fill="auto"/>
        <w:bidi w:val="0"/>
        <w:spacing w:before="0" w:after="0" w:line="305" w:lineRule="exact"/>
        <w:ind w:left="0" w:right="0" w:firstLine="0"/>
        <w:jc w:val="left"/>
      </w:pPr>
      <w:r>
        <w:rPr>
          <w:color w:val="000000"/>
          <w:spacing w:val="0"/>
          <w:w w:val="100"/>
          <w:position w:val="0"/>
        </w:rPr>
        <w:t>蔡唱：《公序良俗在我国的司法适用研究》，载《中国法学》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453B7DD8">
      <w:pPr>
        <w:pStyle w:val="17"/>
        <w:keepNext w:val="0"/>
        <w:keepLines w:val="0"/>
        <w:widowControl w:val="0"/>
        <w:shd w:val="clear" w:color="auto" w:fill="auto"/>
        <w:bidi w:val="0"/>
        <w:spacing w:before="0" w:after="60" w:line="341" w:lineRule="exact"/>
        <w:ind w:left="200" w:right="0" w:hanging="200"/>
        <w:jc w:val="both"/>
      </w:pPr>
      <w:r>
        <w:rPr>
          <w:color w:val="000000"/>
          <w:spacing w:val="0"/>
          <w:w w:val="100"/>
          <w:position w:val="0"/>
        </w:rPr>
        <w:t>李岩:《公序良俗原则的司法乱象与本相一兼论公序良俗原则适用的类型化》，载《法学》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11 </w:t>
      </w:r>
      <w:r>
        <w:rPr>
          <w:color w:val="000000"/>
          <w:spacing w:val="0"/>
          <w:w w:val="100"/>
          <w:position w:val="0"/>
        </w:rPr>
        <w:t>期。</w:t>
      </w:r>
    </w:p>
    <w:p w14:paraId="09CACBE5">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于飞：《公序良俗原则与诚实信用原则的区分》，载《中国社会科学》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333AA9D5">
      <w:pPr>
        <w:pStyle w:val="17"/>
        <w:keepNext w:val="0"/>
        <w:keepLines w:val="0"/>
        <w:widowControl w:val="0"/>
        <w:shd w:val="clear" w:color="auto" w:fill="auto"/>
        <w:bidi w:val="0"/>
        <w:spacing w:before="0" w:after="40" w:line="338" w:lineRule="exact"/>
        <w:ind w:left="0" w:right="0" w:firstLine="0"/>
        <w:jc w:val="left"/>
        <w:sectPr>
          <w:headerReference r:id="rId29" w:type="default"/>
          <w:headerReference r:id="rId30" w:type="even"/>
          <w:footnotePr>
            <w:numFmt w:val="chicago"/>
          </w:footnotePr>
          <w:pgSz w:w="10099" w:h="14782"/>
          <w:pgMar w:top="1283" w:right="1023" w:bottom="1009" w:left="992" w:header="0" w:footer="3" w:gutter="0"/>
          <w:pgNumType w:start="8"/>
          <w:cols w:space="720" w:num="1"/>
          <w:rtlGutter w:val="0"/>
          <w:docGrid w:linePitch="360" w:charSpace="0"/>
        </w:sectPr>
      </w:pPr>
      <w:r>
        <w:rPr>
          <w:color w:val="000000"/>
          <w:spacing w:val="0"/>
          <w:w w:val="100"/>
          <w:position w:val="0"/>
        </w:rPr>
        <w:t>戴孟勇：《法律行为与公序良俗》，载《法学家》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B9389B0">
      <w:pPr>
        <w:widowControl w:val="0"/>
        <w:spacing w:line="106" w:lineRule="exact"/>
        <w:rPr>
          <w:sz w:val="8"/>
          <w:szCs w:val="8"/>
        </w:rPr>
      </w:pPr>
    </w:p>
    <w:p w14:paraId="76CF386D">
      <w:pPr>
        <w:widowControl w:val="0"/>
        <w:spacing w:line="1" w:lineRule="exact"/>
        <w:sectPr>
          <w:headerReference r:id="rId31" w:type="default"/>
          <w:headerReference r:id="rId32" w:type="even"/>
          <w:footnotePr>
            <w:numFmt w:val="chicago"/>
          </w:footnotePr>
          <w:pgSz w:w="10099" w:h="14782"/>
          <w:pgMar w:top="1304" w:right="1024" w:bottom="1107" w:left="1045" w:header="0" w:footer="3" w:gutter="0"/>
          <w:pgNumType w:start="28"/>
          <w:cols w:space="720" w:num="1"/>
          <w:rtlGutter w:val="0"/>
          <w:docGrid w:linePitch="360" w:charSpace="0"/>
        </w:sectPr>
      </w:pPr>
    </w:p>
    <w:p w14:paraId="2C892D32">
      <w:pPr>
        <w:widowControl w:val="0"/>
        <w:spacing w:line="1" w:lineRule="exact"/>
      </w:pPr>
      <w:r>
        <mc:AlternateContent>
          <mc:Choice Requires="wps">
            <w:drawing>
              <wp:anchor distT="0" distB="10795" distL="0" distR="0" simplePos="0" relativeHeight="251660288" behindDoc="0" locked="0" layoutInCell="1" allowOverlap="1">
                <wp:simplePos x="0" y="0"/>
                <wp:positionH relativeFrom="page">
                  <wp:posOffset>754380</wp:posOffset>
                </wp:positionH>
                <wp:positionV relativeFrom="paragraph">
                  <wp:posOffset>0</wp:posOffset>
                </wp:positionV>
                <wp:extent cx="448310" cy="304800"/>
                <wp:effectExtent l="0" t="0" r="0" b="0"/>
                <wp:wrapTopAndBottom/>
                <wp:docPr id="55" name="Shape 55"/>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1439832C">
                            <w:pPr>
                              <w:pStyle w:val="27"/>
                              <w:keepNext/>
                              <w:keepLines/>
                              <w:widowControl w:val="0"/>
                              <w:shd w:val="clear" w:color="auto" w:fill="auto"/>
                              <w:bidi w:val="0"/>
                              <w:spacing w:before="0" w:after="0" w:line="240" w:lineRule="auto"/>
                              <w:ind w:left="0" w:right="0" w:firstLine="0"/>
                              <w:jc w:val="left"/>
                            </w:pPr>
                            <w:bookmarkStart w:id="216" w:name="bookmark26"/>
                            <w:bookmarkStart w:id="217" w:name="bookmark24"/>
                            <w:bookmarkStart w:id="218" w:name="bookmark25"/>
                            <w:r>
                              <w:rPr>
                                <w:rFonts w:ascii="Times New Roman" w:hAnsi="Times New Roman" w:eastAsia="Times New Roman" w:cs="Times New Roman"/>
                                <w:color w:val="000000"/>
                                <w:spacing w:val="0"/>
                                <w:w w:val="100"/>
                                <w:position w:val="0"/>
                                <w:lang w:val="zh-TW" w:eastAsia="zh-TW" w:bidi="zh-TW"/>
                              </w:rPr>
                              <w:t>003</w:t>
                            </w:r>
                            <w:bookmarkEnd w:id="216"/>
                            <w:bookmarkEnd w:id="217"/>
                            <w:bookmarkEnd w:id="218"/>
                          </w:p>
                        </w:txbxContent>
                      </wps:txbx>
                      <wps:bodyPr wrap="none" lIns="0" tIns="0" rIns="0" bIns="0">
                        <a:noAutofit/>
                      </wps:bodyPr>
                    </wps:wsp>
                  </a:graphicData>
                </a:graphic>
              </wp:anchor>
            </w:drawing>
          </mc:Choice>
          <mc:Fallback>
            <w:pict>
              <v:shape id="Shape 55" o:spid="_x0000_s1026" o:spt="202" type="#_x0000_t202" style="position:absolute;left:0pt;margin-left:59.4pt;margin-top:0pt;height:24pt;width:35.3pt;mso-position-horizontal-relative:page;mso-wrap-distance-bottom:0.85pt;mso-wrap-distance-top:0pt;mso-wrap-style:none;z-index:251660288;mso-width-relative:page;mso-height-relative:page;" filled="f" stroked="f" coordsize="21600,21600" o:gfxdata="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Za/Z7TAAAABwEA&#10;AA8AAAAAAAAAAQAgAAAAIgAAAGRycy9kb3ducmV2LnhtbFBLAQIUABQAAAAIAIdO4kBvenXQrQEA&#10;AHEDAAAOAAAAAAAAAAEAIAAAACIBAABkcnMvZTJvRG9jLnhtbFBLBQYAAAAABgAGAFkBAABBBQAA&#10;AAA=&#10;">
                <v:fill on="f" focussize="0,0"/>
                <v:stroke on="f"/>
                <v:imagedata o:title=""/>
                <o:lock v:ext="edit" aspectratio="f"/>
                <v:textbox inset="0mm,0mm,0mm,0mm">
                  <w:txbxContent>
                    <w:p w14:paraId="1439832C">
                      <w:pPr>
                        <w:pStyle w:val="27"/>
                        <w:keepNext/>
                        <w:keepLines/>
                        <w:widowControl w:val="0"/>
                        <w:shd w:val="clear" w:color="auto" w:fill="auto"/>
                        <w:bidi w:val="0"/>
                        <w:spacing w:before="0" w:after="0" w:line="240" w:lineRule="auto"/>
                        <w:ind w:left="0" w:right="0" w:firstLine="0"/>
                        <w:jc w:val="left"/>
                      </w:pPr>
                      <w:bookmarkStart w:id="216" w:name="bookmark26"/>
                      <w:bookmarkStart w:id="217" w:name="bookmark24"/>
                      <w:bookmarkStart w:id="218" w:name="bookmark25"/>
                      <w:r>
                        <w:rPr>
                          <w:rFonts w:ascii="Times New Roman" w:hAnsi="Times New Roman" w:eastAsia="Times New Roman" w:cs="Times New Roman"/>
                          <w:color w:val="000000"/>
                          <w:spacing w:val="0"/>
                          <w:w w:val="100"/>
                          <w:position w:val="0"/>
                          <w:lang w:val="zh-TW" w:eastAsia="zh-TW" w:bidi="zh-TW"/>
                        </w:rPr>
                        <w:t>003</w:t>
                      </w:r>
                      <w:bookmarkEnd w:id="216"/>
                      <w:bookmarkEnd w:id="217"/>
                      <w:bookmarkEnd w:id="218"/>
                    </w:p>
                  </w:txbxContent>
                </v:textbox>
                <w10:wrap type="topAndBottom"/>
              </v:shape>
            </w:pict>
          </mc:Fallback>
        </mc:AlternateContent>
      </w:r>
      <w:r>
        <mc:AlternateContent>
          <mc:Choice Requires="wps">
            <w:drawing>
              <wp:anchor distT="80645" distB="0" distL="0" distR="0" simplePos="0" relativeHeight="251660288" behindDoc="0" locked="0" layoutInCell="1" allowOverlap="1">
                <wp:simplePos x="0" y="0"/>
                <wp:positionH relativeFrom="page">
                  <wp:posOffset>1330325</wp:posOffset>
                </wp:positionH>
                <wp:positionV relativeFrom="paragraph">
                  <wp:posOffset>80645</wp:posOffset>
                </wp:positionV>
                <wp:extent cx="1819910" cy="234950"/>
                <wp:effectExtent l="0" t="0" r="0" b="0"/>
                <wp:wrapTopAndBottom/>
                <wp:docPr id="57" name="Shape 57"/>
                <wp:cNvGraphicFramePr/>
                <a:graphic xmlns:a="http://schemas.openxmlformats.org/drawingml/2006/main">
                  <a:graphicData uri="http://schemas.microsoft.com/office/word/2010/wordprocessingShape">
                    <wps:wsp>
                      <wps:cNvSpPr txBox="1"/>
                      <wps:spPr>
                        <a:xfrm>
                          <a:off x="0" y="0"/>
                          <a:ext cx="1819910" cy="234950"/>
                        </a:xfrm>
                        <a:prstGeom prst="rect">
                          <a:avLst/>
                        </a:prstGeom>
                        <a:noFill/>
                      </wps:spPr>
                      <wps:txbx>
                        <w:txbxContent>
                          <w:p w14:paraId="4A3809CC">
                            <w:pPr>
                              <w:pStyle w:val="15"/>
                              <w:keepNext/>
                              <w:keepLines/>
                              <w:widowControl w:val="0"/>
                              <w:shd w:val="clear" w:color="auto" w:fill="auto"/>
                              <w:bidi w:val="0"/>
                              <w:spacing w:before="0" w:after="0" w:line="240" w:lineRule="auto"/>
                              <w:ind w:left="0" w:right="0" w:firstLine="0"/>
                              <w:jc w:val="left"/>
                            </w:pPr>
                            <w:bookmarkStart w:id="219" w:name="bookmark28"/>
                            <w:bookmarkStart w:id="220" w:name="bookmark29"/>
                            <w:bookmarkStart w:id="221" w:name="bookmark27"/>
                            <w:r>
                              <w:rPr>
                                <w:color w:val="000000"/>
                                <w:spacing w:val="0"/>
                                <w:w w:val="100"/>
                                <w:position w:val="0"/>
                              </w:rPr>
                              <w:t>宪法权利的民法效力</w:t>
                            </w:r>
                            <w:bookmarkEnd w:id="219"/>
                            <w:bookmarkEnd w:id="220"/>
                            <w:bookmarkEnd w:id="221"/>
                          </w:p>
                        </w:txbxContent>
                      </wps:txbx>
                      <wps:bodyPr wrap="none" lIns="0" tIns="0" rIns="0" bIns="0">
                        <a:noAutofit/>
                      </wps:bodyPr>
                    </wps:wsp>
                  </a:graphicData>
                </a:graphic>
              </wp:anchor>
            </w:drawing>
          </mc:Choice>
          <mc:Fallback>
            <w:pict>
              <v:shape id="Shape 57" o:spid="_x0000_s1026" o:spt="202" type="#_x0000_t202" style="position:absolute;left:0pt;margin-left:104.75pt;margin-top:6.35pt;height:18.5pt;width:143.3pt;mso-position-horizontal-relative:page;mso-wrap-distance-bottom:0pt;mso-wrap-distance-top:6.35pt;mso-wrap-style:none;z-index:251660288;mso-width-relative:page;mso-height-relative:page;" filled="f" stroked="f" coordsize="21600,21600" o:gfxdata="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aSHpy1gAA&#10;AAkBAAAPAAAAAAAAAAEAIAAAACIAAABkcnMvZG93bnJldi54bWxQSwECFAAUAAAACACHTuJAznub&#10;Vq4BAAByAwAADgAAAAAAAAABACAAAAAlAQAAZHJzL2Uyb0RvYy54bWxQSwUGAAAAAAYABgBZAQAA&#10;RQUAAAAA&#10;">
                <v:fill on="f" focussize="0,0"/>
                <v:stroke on="f"/>
                <v:imagedata o:title=""/>
                <o:lock v:ext="edit" aspectratio="f"/>
                <v:textbox inset="0mm,0mm,0mm,0mm">
                  <w:txbxContent>
                    <w:p w14:paraId="4A3809CC">
                      <w:pPr>
                        <w:pStyle w:val="15"/>
                        <w:keepNext/>
                        <w:keepLines/>
                        <w:widowControl w:val="0"/>
                        <w:shd w:val="clear" w:color="auto" w:fill="auto"/>
                        <w:bidi w:val="0"/>
                        <w:spacing w:before="0" w:after="0" w:line="240" w:lineRule="auto"/>
                        <w:ind w:left="0" w:right="0" w:firstLine="0"/>
                        <w:jc w:val="left"/>
                      </w:pPr>
                      <w:bookmarkStart w:id="219" w:name="bookmark28"/>
                      <w:bookmarkStart w:id="220" w:name="bookmark29"/>
                      <w:bookmarkStart w:id="221" w:name="bookmark27"/>
                      <w:r>
                        <w:rPr>
                          <w:color w:val="000000"/>
                          <w:spacing w:val="0"/>
                          <w:w w:val="100"/>
                          <w:position w:val="0"/>
                        </w:rPr>
                        <w:t>宪法权利的民法效力</w:t>
                      </w:r>
                      <w:bookmarkEnd w:id="219"/>
                      <w:bookmarkEnd w:id="220"/>
                      <w:bookmarkEnd w:id="221"/>
                    </w:p>
                  </w:txbxContent>
                </v:textbox>
                <w10:wrap type="topAndBottom"/>
              </v:shape>
            </w:pict>
          </mc:Fallback>
        </mc:AlternateContent>
      </w:r>
    </w:p>
    <w:p w14:paraId="49942DA1">
      <w:pPr>
        <w:pStyle w:val="17"/>
        <w:keepNext w:val="0"/>
        <w:keepLines w:val="0"/>
        <w:widowControl w:val="0"/>
        <w:shd w:val="clear" w:color="auto" w:fill="auto"/>
        <w:bidi w:val="0"/>
        <w:spacing w:before="0" w:after="120" w:line="331" w:lineRule="exact"/>
        <w:ind w:left="980" w:right="0" w:firstLine="20"/>
        <w:jc w:val="both"/>
      </w:pPr>
      <w:r>
        <w:rPr>
          <w:color w:val="000000"/>
          <w:spacing w:val="0"/>
          <w:w w:val="100"/>
          <w:position w:val="0"/>
        </w:rPr>
        <w:t>齐玉苓诉陈晓琪等以侵犯姓名权的手段侵犯宪法保护的公民受教；誕瓯］ 育的基本权利纠纷案丨山东省高级人民法院</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鲁民终字第</w:t>
      </w:r>
    </w:p>
    <w:p w14:paraId="0A377FA1">
      <w:pPr>
        <w:pStyle w:val="17"/>
        <w:keepNext w:val="0"/>
        <w:keepLines w:val="0"/>
        <w:widowControl w:val="0"/>
        <w:shd w:val="clear" w:color="auto" w:fill="auto"/>
        <w:bidi w:val="0"/>
        <w:spacing w:before="0" w:after="260" w:line="360" w:lineRule="auto"/>
        <w:ind w:left="0" w:right="0" w:firstLine="980"/>
        <w:jc w:val="both"/>
      </w:pPr>
      <w:r>
        <w:rPr>
          <w:rFonts w:ascii="Times New Roman" w:hAnsi="Times New Roman" w:eastAsia="Times New Roman" w:cs="Times New Roman"/>
          <w:color w:val="000000"/>
          <w:spacing w:val="0"/>
          <w:w w:val="100"/>
          <w:position w:val="0"/>
          <w:sz w:val="19"/>
          <w:szCs w:val="19"/>
        </w:rPr>
        <w:t>258</w:t>
      </w:r>
      <w:r>
        <w:rPr>
          <w:color w:val="000000"/>
          <w:spacing w:val="0"/>
          <w:w w:val="100"/>
          <w:position w:val="0"/>
        </w:rPr>
        <w:t>号民事判决书</w:t>
      </w:r>
    </w:p>
    <w:p w14:paraId="66951208">
      <w:pPr>
        <w:pStyle w:val="17"/>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王冠玺浙江大学光华法学院</w:t>
      </w:r>
    </w:p>
    <w:p w14:paraId="5D91D178">
      <w:pPr>
        <w:pStyle w:val="11"/>
        <w:keepNext w:val="0"/>
        <w:keepLines w:val="0"/>
        <w:widowControl w:val="0"/>
        <w:shd w:val="clear" w:color="auto" w:fill="auto"/>
        <w:bidi w:val="0"/>
        <w:spacing w:before="0" w:after="60" w:line="339"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0A5402A4">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1990</w:t>
      </w:r>
      <w:r>
        <w:rPr>
          <w:color w:val="000000"/>
          <w:spacing w:val="0"/>
          <w:w w:val="100"/>
          <w:position w:val="0"/>
        </w:rPr>
        <w:t>年,山东省滕州市鲍沟镇圈里村齐玉苓</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岁）参加初级中等教育毕业考试并通 过，随后参加第二阶段初级中等教育升学考试,成绩为</w:t>
      </w:r>
      <w:r>
        <w:rPr>
          <w:rFonts w:ascii="Times New Roman" w:hAnsi="Times New Roman" w:eastAsia="Times New Roman" w:cs="Times New Roman"/>
          <w:color w:val="000000"/>
          <w:spacing w:val="0"/>
          <w:w w:val="100"/>
          <w:position w:val="0"/>
          <w:sz w:val="19"/>
          <w:szCs w:val="19"/>
        </w:rPr>
        <w:t>441</w:t>
      </w:r>
      <w:r>
        <w:rPr>
          <w:color w:val="000000"/>
          <w:spacing w:val="0"/>
          <w:w w:val="100"/>
          <w:position w:val="0"/>
        </w:rPr>
        <w:t>分，被山东省济宁商业学校（以 下简称济宁商校）财会班录取。同村陈晓琪</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岁）因未通过第一阶段的测试，故无法参加 第二阶段测试，陈晓琪之父陈克政为村支部书记，与滕州八中、济宁商校和山东省滕州市教 育委员会（以下简称滕州教委）的行政人员串通，使陈晓琪顶替齐玉苓的身份就读济宁商 校，并将齐玉苓作落榜处理;由于齐玉苓家境贫穷，只能直接就业。</w:t>
      </w:r>
    </w:p>
    <w:p w14:paraId="7BCADA93">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1993</w:t>
      </w:r>
      <w:r>
        <w:rPr>
          <w:color w:val="000000"/>
          <w:spacing w:val="0"/>
          <w:w w:val="100"/>
          <w:position w:val="0"/>
        </w:rPr>
        <w:t xml:space="preserve">年，陈晓琪从济宁商校毕业，被分配到中国人民银行西门口储蓄所工作。齐玉苓 则是筹借了 </w:t>
      </w:r>
      <w:r>
        <w:rPr>
          <w:rFonts w:ascii="Times New Roman" w:hAnsi="Times New Roman" w:eastAsia="Times New Roman" w:cs="Times New Roman"/>
          <w:color w:val="000000"/>
          <w:spacing w:val="0"/>
          <w:w w:val="100"/>
          <w:position w:val="0"/>
          <w:sz w:val="19"/>
          <w:szCs w:val="19"/>
        </w:rPr>
        <w:t>6000</w:t>
      </w:r>
      <w:r>
        <w:rPr>
          <w:color w:val="000000"/>
          <w:spacing w:val="0"/>
          <w:w w:val="100"/>
          <w:position w:val="0"/>
        </w:rPr>
        <w:t>多元购买户口，至邹城技工学校学习。</w:t>
      </w:r>
      <w:r>
        <w:rPr>
          <w:rFonts w:ascii="Times New Roman" w:hAnsi="Times New Roman" w:eastAsia="Times New Roman" w:cs="Times New Roman"/>
          <w:color w:val="000000"/>
          <w:spacing w:val="0"/>
          <w:w w:val="100"/>
          <w:position w:val="0"/>
          <w:sz w:val="19"/>
          <w:szCs w:val="19"/>
        </w:rPr>
        <w:t>1996</w:t>
      </w:r>
      <w:r>
        <w:rPr>
          <w:color w:val="000000"/>
          <w:spacing w:val="0"/>
          <w:w w:val="100"/>
          <w:position w:val="0"/>
        </w:rPr>
        <w:t>年，齐玉苓从邹城技工学校结 业,被分配到山东省鲁南铁合金总厂担任工人，随后因工厂减员分流被迫下岗。</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年，齐 玉苓突然接到来自中国人民银行滕州支行行员拜访，庆贺弄瓦之喜。齐玉苓惊觉有异，跟 随该部人员来到滕州支行,发现储蓄所主任名牌上印的是自己的名字，但照片上却是陈晓 琪。</w:t>
      </w:r>
    </w:p>
    <w:p w14:paraId="5D051A5B">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齐玉苓得知真相后，找到陈晓琪父亲陈克政理论,陈克政除了意欲说服齐玉苓其乃是 自愿放弃受教育权外,并给了齐玉苓</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元人民币要她封口；齐玉苓不愿妥协，随后陈克政 派人到齐家进行暴力骚扰。</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日，齐玉苓向山东省枣庄市中级人民法院状告 陈晓琪等人，诉称:由于各被告共同弄虚作假，促成被告陈晓琪冒用原告的姓名进入济宁商 校学习，致使原告的姓名权、受教育权以及其他相关权益被侵犯。请求法院判令被告停止 侵害、赔礼道歉,并赔偿原告经济损失</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万元，精神损失</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万元。</w:t>
      </w:r>
    </w:p>
    <w:p w14:paraId="06B4EEC3">
      <w:pPr>
        <w:pStyle w:val="17"/>
        <w:keepNext w:val="0"/>
        <w:keepLines w:val="0"/>
        <w:widowControl w:val="0"/>
        <w:shd w:val="clear" w:color="auto" w:fill="auto"/>
        <w:bidi w:val="0"/>
        <w:spacing w:before="0" w:after="120" w:line="339" w:lineRule="exact"/>
        <w:ind w:left="0" w:right="0" w:firstLine="420"/>
        <w:jc w:val="both"/>
        <w:sectPr>
          <w:footnotePr>
            <w:numFmt w:val="chicago"/>
          </w:footnotePr>
          <w:type w:val="continuous"/>
          <w:pgSz w:w="10099" w:h="14782"/>
          <w:pgMar w:top="1304" w:right="1024" w:bottom="1107" w:left="1045" w:header="876" w:footer="679" w:gutter="0"/>
          <w:cols w:space="720" w:num="1"/>
          <w:rtlGutter w:val="0"/>
          <w:docGrid w:linePitch="360" w:charSpace="0"/>
        </w:sectPr>
      </w:pPr>
      <w:r>
        <w:rPr>
          <w:color w:val="000000"/>
          <w:spacing w:val="0"/>
          <w:w w:val="100"/>
          <w:position w:val="0"/>
        </w:rPr>
        <w:t>山东省枣庄市中级人民法院判决被告陈晓琪停止对原告齐玉苓姓名权的侵害;被告陈 晓琪、陈克政、济宁商校、滕州八中、滕州教委向原告齐玉苓赔礼道歉;原告齐玉苓支付的律 师代理费</w:t>
      </w:r>
      <w:r>
        <w:rPr>
          <w:rFonts w:ascii="Times New Roman" w:hAnsi="Times New Roman" w:eastAsia="Times New Roman" w:cs="Times New Roman"/>
          <w:color w:val="000000"/>
          <w:spacing w:val="0"/>
          <w:w w:val="100"/>
          <w:position w:val="0"/>
          <w:sz w:val="19"/>
          <w:szCs w:val="19"/>
        </w:rPr>
        <w:t>825</w:t>
      </w:r>
      <w:r>
        <w:rPr>
          <w:color w:val="000000"/>
          <w:spacing w:val="0"/>
          <w:w w:val="100"/>
          <w:position w:val="0"/>
        </w:rPr>
        <w:t>元，由被告陈晓琪负担，被告陈克政、济宁商校、滕州八中、滕州教委对此负连 带责任;原告齐玉苓的精神损失费</w:t>
      </w:r>
      <w:r>
        <w:rPr>
          <w:rFonts w:ascii="Times New Roman" w:hAnsi="Times New Roman" w:eastAsia="Times New Roman" w:cs="Times New Roman"/>
          <w:color w:val="000000"/>
          <w:spacing w:val="0"/>
          <w:w w:val="100"/>
          <w:position w:val="0"/>
          <w:sz w:val="19"/>
          <w:szCs w:val="19"/>
        </w:rPr>
        <w:t>35,000</w:t>
      </w:r>
      <w:r>
        <w:rPr>
          <w:color w:val="000000"/>
          <w:spacing w:val="0"/>
          <w:w w:val="100"/>
          <w:position w:val="0"/>
        </w:rPr>
        <w:t>元，由被告陈晓琪、陈克政各负担</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元,济宁商 校负担</w:t>
      </w:r>
      <w:r>
        <w:rPr>
          <w:rFonts w:ascii="Times New Roman" w:hAnsi="Times New Roman" w:eastAsia="Times New Roman" w:cs="Times New Roman"/>
          <w:color w:val="000000"/>
          <w:spacing w:val="0"/>
          <w:w w:val="100"/>
          <w:position w:val="0"/>
          <w:sz w:val="19"/>
          <w:szCs w:val="19"/>
        </w:rPr>
        <w:t>15,000</w:t>
      </w:r>
      <w:r>
        <w:rPr>
          <w:color w:val="000000"/>
          <w:spacing w:val="0"/>
          <w:w w:val="100"/>
          <w:position w:val="0"/>
        </w:rPr>
        <w:t>元,滕州八中负担</w:t>
      </w:r>
      <w:r>
        <w:rPr>
          <w:rFonts w:ascii="Times New Roman" w:hAnsi="Times New Roman" w:eastAsia="Times New Roman" w:cs="Times New Roman"/>
          <w:color w:val="000000"/>
          <w:spacing w:val="0"/>
          <w:w w:val="100"/>
          <w:position w:val="0"/>
          <w:sz w:val="19"/>
          <w:szCs w:val="19"/>
        </w:rPr>
        <w:t>6000</w:t>
      </w:r>
      <w:r>
        <w:rPr>
          <w:color w:val="000000"/>
          <w:spacing w:val="0"/>
          <w:w w:val="100"/>
          <w:position w:val="0"/>
        </w:rPr>
        <w:t>元,滕州教委负担</w:t>
      </w:r>
      <w:r>
        <w:rPr>
          <w:rFonts w:ascii="Times New Roman" w:hAnsi="Times New Roman" w:eastAsia="Times New Roman" w:cs="Times New Roman"/>
          <w:color w:val="000000"/>
          <w:spacing w:val="0"/>
          <w:w w:val="100"/>
          <w:position w:val="0"/>
          <w:sz w:val="19"/>
          <w:szCs w:val="19"/>
        </w:rPr>
        <w:t>4000</w:t>
      </w:r>
      <w:r>
        <w:rPr>
          <w:color w:val="000000"/>
          <w:spacing w:val="0"/>
          <w:w w:val="100"/>
          <w:position w:val="0"/>
        </w:rPr>
        <w:t>元;驳回齐玉苓的其他诉讼请 求。双方均不服一审判决，齐玉苓向山东省高级人民法院提起上诉。</w:t>
      </w:r>
    </w:p>
    <w:p w14:paraId="3B5CC04F">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51AA370A">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年，山东省高级人民法院报请最高人民法院进行解释；同年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日，最高人民 法院发出《关于以侵犯姓名权的手段侵犯宪法保护的公民受教育的基本权利是否应承担民 事责任的批复》［法释</w:t>
      </w:r>
      <w:r>
        <w:rPr>
          <w:rFonts w:ascii="Times New Roman" w:hAnsi="Times New Roman" w:eastAsia="Times New Roman" w:cs="Times New Roman"/>
          <w:color w:val="000000"/>
          <w:spacing w:val="0"/>
          <w:w w:val="100"/>
          <w:position w:val="0"/>
          <w:sz w:val="19"/>
          <w:szCs w:val="19"/>
        </w:rPr>
        <w:t>（2001）25</w:t>
      </w:r>
      <w:r>
        <w:rPr>
          <w:color w:val="000000"/>
          <w:spacing w:val="0"/>
          <w:w w:val="100"/>
          <w:position w:val="0"/>
        </w:rPr>
        <w:t xml:space="preserve">号］（已失效），对此作出答复:“山东省高级人民法院:你院 </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鲁民终字第</w:t>
      </w:r>
      <w:r>
        <w:rPr>
          <w:rFonts w:ascii="Times New Roman" w:hAnsi="Times New Roman" w:eastAsia="Times New Roman" w:cs="Times New Roman"/>
          <w:color w:val="000000"/>
          <w:spacing w:val="0"/>
          <w:w w:val="100"/>
          <w:position w:val="0"/>
          <w:sz w:val="19"/>
          <w:szCs w:val="19"/>
        </w:rPr>
        <w:t>258</w:t>
      </w:r>
      <w:r>
        <w:rPr>
          <w:color w:val="000000"/>
          <w:spacing w:val="0"/>
          <w:w w:val="100"/>
          <w:position w:val="0"/>
        </w:rPr>
        <w:t>号《关于齐玉苓与陈晓琪、陈克政、山东省济宁市商业学校、山东省 滕州市第八中学、山东省滕州市教育委员会姓名权纠纷一案的请示》收悉。经研究，我们认 为,根据本案事实,陈晓琪等以侵犯姓名权的手段，侵犯了齐玉苓依据宪法规定所享有的受 教育的基本权利，并造成了具体的损害后果，应承担相应的民事责任。”</w:t>
      </w:r>
    </w:p>
    <w:p w14:paraId="65490BA5">
      <w:pPr>
        <w:pStyle w:val="17"/>
        <w:keepNext w:val="0"/>
        <w:keepLines w:val="0"/>
        <w:widowControl w:val="0"/>
        <w:shd w:val="clear" w:color="auto" w:fill="auto"/>
        <w:bidi w:val="0"/>
        <w:spacing w:before="0" w:after="360" w:line="342" w:lineRule="exact"/>
        <w:ind w:left="0" w:right="0" w:firstLine="420"/>
        <w:jc w:val="both"/>
      </w:pP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日，山东省高级人民法院引用《宪法》第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rPr>
        <w:t>条和最高人民法院的批复， 作出最终判决:被上诉人陈晓琪、陈克政赔偿齐玉苓因受教育的权利被侵犯造成的直接经 济损失</w:t>
      </w:r>
      <w:r>
        <w:rPr>
          <w:rFonts w:ascii="Times New Roman" w:hAnsi="Times New Roman" w:eastAsia="Times New Roman" w:cs="Times New Roman"/>
          <w:color w:val="000000"/>
          <w:spacing w:val="0"/>
          <w:w w:val="100"/>
          <w:position w:val="0"/>
          <w:sz w:val="19"/>
          <w:szCs w:val="19"/>
        </w:rPr>
        <w:t>7000</w:t>
      </w:r>
      <w:r>
        <w:rPr>
          <w:color w:val="000000"/>
          <w:spacing w:val="0"/>
          <w:w w:val="100"/>
          <w:position w:val="0"/>
        </w:rPr>
        <w:t>元，被上诉人济宁商校、滕州八中、滕州教委承担连带赔偿责任;被上诉人陈晓 琪、陈克政赔偿齐玉苓因受教育的权利被侵犯造成的间接经济损失（按陈晓琪以齐玉苓名 义领取的工资扣除最低生活保障费后计算</w:t>
      </w:r>
      <w:r>
        <w:rPr>
          <w:rFonts w:ascii="Times New Roman" w:hAnsi="Times New Roman" w:eastAsia="Times New Roman" w:cs="Times New Roman"/>
          <w:color w:val="000000"/>
          <w:spacing w:val="0"/>
          <w:w w:val="100"/>
          <w:position w:val="0"/>
          <w:sz w:val="19"/>
          <w:szCs w:val="19"/>
        </w:rPr>
        <w:t>）41,045</w:t>
      </w:r>
      <w:r>
        <w:rPr>
          <w:color w:val="000000"/>
          <w:spacing w:val="0"/>
          <w:w w:val="100"/>
          <w:position w:val="0"/>
        </w:rPr>
        <w:t>元，被上诉人济宁商校、滕州八中、滕州 教委承担连带赔偿责任;被上诉人陈晓琪、陈克政、济宁商校、滕州八中、滕州教委赔偿齐玉 苓精神损害费</w:t>
      </w:r>
      <w:r>
        <w:rPr>
          <w:rFonts w:ascii="Times New Roman" w:hAnsi="Times New Roman" w:eastAsia="Times New Roman" w:cs="Times New Roman"/>
          <w:color w:val="000000"/>
          <w:spacing w:val="0"/>
          <w:w w:val="100"/>
          <w:position w:val="0"/>
          <w:sz w:val="19"/>
          <w:szCs w:val="19"/>
        </w:rPr>
        <w:t>50,000</w:t>
      </w:r>
      <w:r>
        <w:rPr>
          <w:color w:val="000000"/>
          <w:spacing w:val="0"/>
          <w:w w:val="100"/>
          <w:position w:val="0"/>
        </w:rPr>
        <w:t>元。</w:t>
      </w:r>
    </w:p>
    <w:p w14:paraId="09E1F55F">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rPr>
        <w:t>■评析</w:t>
      </w:r>
    </w:p>
    <w:p w14:paraId="09083ADF">
      <w:pPr>
        <w:pStyle w:val="17"/>
        <w:keepNext w:val="0"/>
        <w:keepLines w:val="0"/>
        <w:widowControl w:val="0"/>
        <w:shd w:val="clear" w:color="auto" w:fill="auto"/>
        <w:bidi w:val="0"/>
        <w:spacing w:before="0" w:after="10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4EA1B69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有关齐玉苓一案的司法解释被法学界称为</w:t>
      </w:r>
      <w:r>
        <w:rPr>
          <w:color w:val="000000"/>
          <w:spacing w:val="0"/>
          <w:w w:val="100"/>
          <w:position w:val="0"/>
          <w:lang w:val="zh-CN" w:eastAsia="zh-CN" w:bidi="zh-CN"/>
        </w:rPr>
        <w:t>“宪</w:t>
      </w:r>
      <w:r>
        <w:rPr>
          <w:color w:val="000000"/>
          <w:spacing w:val="0"/>
          <w:w w:val="100"/>
          <w:position w:val="0"/>
        </w:rPr>
        <w:t>法司法化第一案”；此后,宪法权利诉讼 风起云涌</w:t>
      </w:r>
      <w:r>
        <w:rPr>
          <w:color w:val="000000"/>
          <w:spacing w:val="0"/>
          <w:w w:val="100"/>
          <w:position w:val="0"/>
          <w:lang w:val="zh-CN" w:eastAsia="zh-CN" w:bidi="zh-CN"/>
        </w:rPr>
        <w:t>，“三</w:t>
      </w:r>
      <w:r>
        <w:rPr>
          <w:color w:val="000000"/>
          <w:spacing w:val="0"/>
          <w:w w:val="100"/>
          <w:position w:val="0"/>
        </w:rPr>
        <w:t>名高中生诉教育部高考分数线不统一案</w:t>
      </w:r>
      <w:r>
        <w:rPr>
          <w:color w:val="000000"/>
          <w:spacing w:val="0"/>
          <w:w w:val="100"/>
          <w:position w:val="0"/>
          <w:lang w:val="zh-CN" w:eastAsia="zh-CN" w:bidi="zh-CN"/>
        </w:rPr>
        <w:t>”“蒋</w:t>
      </w:r>
      <w:r>
        <w:rPr>
          <w:color w:val="000000"/>
          <w:spacing w:val="0"/>
          <w:w w:val="100"/>
          <w:position w:val="0"/>
        </w:rPr>
        <w:t>韬诉银行招工身高歧视案</w:t>
      </w:r>
      <w:r>
        <w:rPr>
          <w:color w:val="000000"/>
          <w:spacing w:val="0"/>
          <w:w w:val="100"/>
          <w:position w:val="0"/>
          <w:lang w:val="zh-CN" w:eastAsia="zh-CN" w:bidi="zh-CN"/>
        </w:rPr>
        <w:t xml:space="preserve">”“周 </w:t>
      </w:r>
      <w:r>
        <w:rPr>
          <w:color w:val="000000"/>
          <w:spacing w:val="0"/>
          <w:w w:val="100"/>
          <w:position w:val="0"/>
        </w:rPr>
        <w:t>香华诉男女退休年龄不同案</w:t>
      </w:r>
      <w:r>
        <w:rPr>
          <w:color w:val="000000"/>
          <w:spacing w:val="0"/>
          <w:w w:val="100"/>
          <w:position w:val="0"/>
          <w:lang w:val="zh-CN" w:eastAsia="zh-CN" w:bidi="zh-CN"/>
        </w:rPr>
        <w:t>”等案</w:t>
      </w:r>
      <w:r>
        <w:rPr>
          <w:color w:val="000000"/>
          <w:spacing w:val="0"/>
          <w:w w:val="100"/>
          <w:position w:val="0"/>
        </w:rPr>
        <w:t>，均为依据宪法规定的平等权提起的诉讼。</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 广州市黄埔区人民法院援用宪法中公民享有人身自由权、居住自由权的规定，裁定广州市 三水食品有限公司</w:t>
      </w:r>
      <w:r>
        <w:rPr>
          <w:color w:val="000000"/>
          <w:spacing w:val="0"/>
          <w:w w:val="100"/>
          <w:position w:val="0"/>
          <w:lang w:val="zh-CN" w:eastAsia="zh-CN" w:bidi="zh-CN"/>
        </w:rPr>
        <w:t>“禁</w:t>
      </w:r>
      <w:r>
        <w:rPr>
          <w:color w:val="000000"/>
          <w:spacing w:val="0"/>
          <w:w w:val="100"/>
          <w:position w:val="0"/>
        </w:rPr>
        <w:t>止员工擅自在外住宿</w:t>
      </w:r>
      <w:r>
        <w:rPr>
          <w:color w:val="000000"/>
          <w:spacing w:val="0"/>
          <w:w w:val="100"/>
          <w:position w:val="0"/>
          <w:lang w:val="zh-CN" w:eastAsia="zh-CN" w:bidi="zh-CN"/>
        </w:rPr>
        <w:t>”的规</w:t>
      </w:r>
      <w:r>
        <w:rPr>
          <w:color w:val="000000"/>
          <w:spacing w:val="0"/>
          <w:w w:val="100"/>
          <w:position w:val="0"/>
        </w:rPr>
        <w:t>定违宪［广州市黄埔区人民法院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黄发 行初第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号行政判决书］。</w:t>
      </w:r>
    </w:p>
    <w:p w14:paraId="7235AED1">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最高人民法院民事审判第一庭法官表示,齐玉苓案</w:t>
      </w:r>
      <w:r>
        <w:rPr>
          <w:color w:val="000000"/>
          <w:spacing w:val="0"/>
          <w:w w:val="100"/>
          <w:position w:val="0"/>
          <w:lang w:val="zh-CN" w:eastAsia="zh-CN" w:bidi="zh-CN"/>
        </w:rPr>
        <w:t>“开创</w:t>
      </w:r>
      <w:r>
        <w:rPr>
          <w:color w:val="000000"/>
          <w:spacing w:val="0"/>
          <w:w w:val="100"/>
          <w:position w:val="0"/>
        </w:rPr>
        <w:t>了法院保护公民依照宪法规 定享有的基本权利之先河”</w:t>
      </w:r>
      <w:r>
        <w:rPr>
          <w:color w:val="000000"/>
          <w:spacing w:val="0"/>
          <w:w w:val="100"/>
          <w:position w:val="0"/>
          <w:lang w:val="zh-CN" w:eastAsia="zh-CN" w:bidi="zh-CN"/>
        </w:rPr>
        <w:t>，“创</w:t>
      </w:r>
      <w:r>
        <w:rPr>
          <w:color w:val="000000"/>
          <w:spacing w:val="0"/>
          <w:w w:val="100"/>
          <w:position w:val="0"/>
        </w:rPr>
        <w:t>造了宪法司法化的先例”；我国公民依照宪法规定享有的基 本权利有相当一部分在司法实践中长期处于</w:t>
      </w:r>
      <w:r>
        <w:rPr>
          <w:color w:val="000000"/>
          <w:spacing w:val="0"/>
          <w:w w:val="100"/>
          <w:position w:val="0"/>
          <w:lang w:val="zh-CN" w:eastAsia="zh-CN" w:bidi="zh-CN"/>
        </w:rPr>
        <w:t>“睡眠”或“</w:t>
      </w:r>
      <w:r>
        <w:rPr>
          <w:color w:val="000000"/>
          <w:spacing w:val="0"/>
          <w:w w:val="100"/>
          <w:position w:val="0"/>
        </w:rPr>
        <w:t>半睡眠</w:t>
      </w:r>
      <w:r>
        <w:rPr>
          <w:color w:val="000000"/>
          <w:spacing w:val="0"/>
          <w:w w:val="100"/>
          <w:position w:val="0"/>
          <w:lang w:val="zh-CN" w:eastAsia="zh-CN" w:bidi="zh-CN"/>
        </w:rPr>
        <w:t>”状态</w:t>
      </w:r>
      <w:r>
        <w:rPr>
          <w:color w:val="000000"/>
          <w:spacing w:val="0"/>
          <w:w w:val="100"/>
          <w:position w:val="0"/>
        </w:rPr>
        <w:t xml:space="preserve">，该批复首次打破了 </w:t>
      </w:r>
      <w:r>
        <w:rPr>
          <w:color w:val="000000"/>
          <w:spacing w:val="0"/>
          <w:w w:val="100"/>
          <w:position w:val="0"/>
          <w:lang w:val="zh-CN" w:eastAsia="zh-CN" w:bidi="zh-CN"/>
        </w:rPr>
        <w:t>“沉</w:t>
      </w:r>
      <w:r>
        <w:rPr>
          <w:color w:val="000000"/>
          <w:spacing w:val="0"/>
          <w:w w:val="100"/>
          <w:position w:val="0"/>
        </w:rPr>
        <w:t>默”</w:t>
      </w:r>
      <w:r>
        <w:rPr>
          <w:color w:val="000000"/>
          <w:spacing w:val="0"/>
          <w:w w:val="100"/>
          <w:position w:val="0"/>
          <w:lang w:val="zh-CN" w:eastAsia="zh-CN" w:bidi="zh-CN"/>
        </w:rPr>
        <w:t>，“我</w:t>
      </w:r>
      <w:r>
        <w:rPr>
          <w:color w:val="000000"/>
          <w:spacing w:val="0"/>
          <w:w w:val="100"/>
          <w:position w:val="0"/>
        </w:rPr>
        <w:t>国宪法司法化可以参考美国的模式，由普通法院审理宪法权利纠纷</w:t>
      </w:r>
      <w:r>
        <w:rPr>
          <w:color w:val="000000"/>
          <w:spacing w:val="0"/>
          <w:w w:val="100"/>
          <w:position w:val="0"/>
          <w:lang w:val="zh-CN" w:eastAsia="zh-CN" w:bidi="zh-CN"/>
        </w:rPr>
        <w:t>”等。</w:t>
      </w:r>
    </w:p>
    <w:p w14:paraId="3474233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学者廉希圣则认为，法释</w:t>
      </w:r>
      <w:r>
        <w:rPr>
          <w:rFonts w:ascii="Times New Roman" w:hAnsi="Times New Roman" w:eastAsia="Times New Roman" w:cs="Times New Roman"/>
          <w:color w:val="000000"/>
          <w:spacing w:val="0"/>
          <w:w w:val="100"/>
          <w:position w:val="0"/>
          <w:sz w:val="19"/>
          <w:szCs w:val="19"/>
        </w:rPr>
        <w:t>（2001）25</w:t>
      </w:r>
      <w:r>
        <w:rPr>
          <w:color w:val="000000"/>
          <w:spacing w:val="0"/>
          <w:w w:val="100"/>
          <w:position w:val="0"/>
        </w:rPr>
        <w:t>号司法解释使法院拥有对宪法的解释权，而且还能 监督人大对宪法的实施，与议会至上的人民代表大会制相矛盾。根据中国的宪政体制，全 国人民代表大会及全国人大常委会为国家宪法解释机关，最高人民法院由全国人大产生、 对全国人大负责。学者周道鸾亦认为,考虑到我国的现行体制，最高人民法院无权对涉及 宪法的问题作出解释，所以该司法解释应停止适用。</w:t>
      </w:r>
    </w:p>
    <w:p w14:paraId="71252734">
      <w:pPr>
        <w:pStyle w:val="17"/>
        <w:keepNext w:val="0"/>
        <w:keepLines w:val="0"/>
        <w:widowControl w:val="0"/>
        <w:shd w:val="clear" w:color="auto" w:fill="auto"/>
        <w:bidi w:val="0"/>
        <w:spacing w:before="0" w:after="280" w:line="365" w:lineRule="exact"/>
        <w:ind w:left="0" w:right="0" w:firstLine="420"/>
        <w:jc w:val="both"/>
        <w:rPr>
          <w:sz w:val="19"/>
          <w:szCs w:val="19"/>
        </w:rPr>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sz w:val="18"/>
          <w:szCs w:val="18"/>
        </w:rPr>
        <w:t>年，最高人民法院审判委员会通过《关于废止</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sz w:val="18"/>
          <w:szCs w:val="18"/>
        </w:rPr>
        <w:t>年底以前发布的有关司法解释 （第七批）的决定》，废止《关于以侵犯姓名权的手段侵犯宪法保护的公民受教育的基本权利 是否应承担民事责任的批复》［法释</w:t>
      </w:r>
      <w:r>
        <w:rPr>
          <w:rFonts w:ascii="Times New Roman" w:hAnsi="Times New Roman" w:eastAsia="Times New Roman" w:cs="Times New Roman"/>
          <w:color w:val="000000"/>
          <w:spacing w:val="0"/>
          <w:w w:val="100"/>
          <w:position w:val="0"/>
          <w:sz w:val="19"/>
          <w:szCs w:val="19"/>
        </w:rPr>
        <w:t>（2001）25</w:t>
      </w:r>
      <w:r>
        <w:rPr>
          <w:color w:val="000000"/>
          <w:spacing w:val="0"/>
          <w:w w:val="100"/>
          <w:position w:val="0"/>
          <w:sz w:val="18"/>
          <w:szCs w:val="18"/>
        </w:rPr>
        <w:t>号］</w:t>
      </w:r>
      <w:r>
        <w:rPr>
          <w:rFonts w:ascii="Times New Roman" w:hAnsi="Times New Roman" w:eastAsia="Times New Roman" w:cs="Times New Roman"/>
          <w:color w:val="000000"/>
          <w:spacing w:val="0"/>
          <w:w w:val="100"/>
          <w:position w:val="0"/>
          <w:sz w:val="19"/>
          <w:szCs w:val="19"/>
          <w:lang w:val="en-US" w:eastAsia="en-US" w:bidi="en-US"/>
        </w:rPr>
        <w:t>o</w:t>
      </w:r>
    </w:p>
    <w:p w14:paraId="0361143A">
      <w:pPr>
        <w:pStyle w:val="17"/>
        <w:keepNext w:val="0"/>
        <w:keepLines w:val="0"/>
        <w:widowControl w:val="0"/>
        <w:shd w:val="clear" w:color="auto" w:fill="auto"/>
        <w:bidi w:val="0"/>
        <w:spacing w:before="0" w:after="0" w:line="422"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宪法基本权利的性质与功能</w:t>
      </w:r>
    </w:p>
    <w:p w14:paraId="5AF7D589">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宪法所保障的人民权利,称为基本权利，齐玉苓案即涉及基本权利之性质与功能的讨 论。</w:t>
      </w:r>
    </w:p>
    <w:p w14:paraId="2991F619">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.基本权利具有双重性质</w:t>
      </w:r>
    </w:p>
    <w:p w14:paraId="7798A559">
      <w:pPr>
        <w:pStyle w:val="17"/>
        <w:keepNext w:val="0"/>
        <w:keepLines w:val="0"/>
        <w:widowControl w:val="0"/>
        <w:shd w:val="clear" w:color="auto" w:fill="auto"/>
        <w:tabs>
          <w:tab w:val="left" w:pos="841"/>
        </w:tabs>
        <w:bidi w:val="0"/>
        <w:spacing w:before="0" w:after="0" w:line="343" w:lineRule="exact"/>
        <w:ind w:left="0" w:right="0" w:firstLine="420"/>
        <w:jc w:val="both"/>
      </w:pPr>
      <w:bookmarkStart w:id="15" w:name="bookmark30"/>
      <w:r>
        <w:rPr>
          <w:rFonts w:ascii="Times New Roman" w:hAnsi="Times New Roman" w:eastAsia="Times New Roman" w:cs="Times New Roman"/>
          <w:color w:val="000000"/>
          <w:spacing w:val="0"/>
          <w:w w:val="100"/>
          <w:position w:val="0"/>
          <w:sz w:val="19"/>
          <w:szCs w:val="19"/>
        </w:rPr>
        <w:t>（</w:t>
      </w:r>
      <w:bookmarkEnd w:id="15"/>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防御权（主观权利），即人民享有不受公权力（立法、行政、司法）侵害的自由空间， 于其基本权利遭受侵害时，得依法定程序请求释宪,宣告相关法律（司法解释）、命令等无 效。</w:t>
      </w:r>
    </w:p>
    <w:p w14:paraId="0FFEA254">
      <w:pPr>
        <w:pStyle w:val="17"/>
        <w:keepNext w:val="0"/>
        <w:keepLines w:val="0"/>
        <w:widowControl w:val="0"/>
        <w:shd w:val="clear" w:color="auto" w:fill="auto"/>
        <w:tabs>
          <w:tab w:val="left" w:pos="846"/>
        </w:tabs>
        <w:bidi w:val="0"/>
        <w:spacing w:before="0" w:after="120" w:line="343" w:lineRule="exact"/>
        <w:ind w:left="0" w:right="0" w:firstLine="420"/>
        <w:jc w:val="both"/>
      </w:pPr>
      <w:bookmarkStart w:id="16" w:name="bookmark31"/>
      <w:r>
        <w:rPr>
          <w:rFonts w:ascii="Times New Roman" w:hAnsi="Times New Roman" w:eastAsia="Times New Roman" w:cs="Times New Roman"/>
          <w:color w:val="000000"/>
          <w:spacing w:val="0"/>
          <w:w w:val="100"/>
          <w:position w:val="0"/>
          <w:sz w:val="19"/>
          <w:szCs w:val="19"/>
        </w:rPr>
        <w:t>（</w:t>
      </w:r>
      <w:bookmarkEnd w:id="16"/>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客观规范，即政府负有在立法、行政、司法上釆取必要措施，以保护基本权利的义 务。基本权利的客观价值体系，应当扩散于整个法秩序，就民法而言，其方法有两种:其一, 应对民法条文作符合基本权利的解释;其二，使基本权利得经由民法的</w:t>
      </w:r>
      <w:r>
        <w:rPr>
          <w:color w:val="000000"/>
          <w:spacing w:val="0"/>
          <w:w w:val="100"/>
          <w:position w:val="0"/>
          <w:lang w:val="zh-CN" w:eastAsia="zh-CN" w:bidi="zh-CN"/>
        </w:rPr>
        <w:t>“概</w:t>
      </w:r>
      <w:r>
        <w:rPr>
          <w:color w:val="000000"/>
          <w:spacing w:val="0"/>
          <w:w w:val="100"/>
          <w:position w:val="0"/>
        </w:rPr>
        <w:t>括规定</w:t>
      </w:r>
      <w:r>
        <w:rPr>
          <w:color w:val="000000"/>
          <w:spacing w:val="0"/>
          <w:w w:val="100"/>
          <w:position w:val="0"/>
          <w:lang w:val="zh-CN" w:eastAsia="zh-CN" w:bidi="zh-CN"/>
        </w:rPr>
        <w:t>”，适</w:t>
      </w:r>
      <w:r>
        <w:rPr>
          <w:color w:val="000000"/>
          <w:spacing w:val="0"/>
          <w:w w:val="100"/>
          <w:position w:val="0"/>
        </w:rPr>
        <w:t>用于 私人关系（包括合同、侵权行为、物权及亲属关系等）而具有所谓的间接第三人效力。</w:t>
      </w:r>
    </w:p>
    <w:p w14:paraId="50863B4C">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基本权利的第三人效力</w:t>
      </w:r>
    </w:p>
    <w:p w14:paraId="4A44D5E7">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本案涉及宪法中的基本权利保障问题。传统上，基本权利被认为是用以对抗国家的工 具，并不接受对私人主张基本权利的功能，此即不适用说;此说从古典基本权理论出发，认 为基本权关系仅涉及人民与国家机关间之公法关系，民事关系应依民事法规处理,不应紊 乱公私法体系的功能。然而,随着基本权利由主观走向客观化，基本权利逐步发展出客观 价值秩序面向后，不适用说已有违现代国家</w:t>
      </w:r>
      <w:r>
        <w:rPr>
          <w:color w:val="000000"/>
          <w:spacing w:val="0"/>
          <w:w w:val="100"/>
          <w:position w:val="0"/>
          <w:lang w:val="zh-CN" w:eastAsia="zh-CN" w:bidi="zh-CN"/>
        </w:rPr>
        <w:t>“保</w:t>
      </w:r>
      <w:r>
        <w:rPr>
          <w:color w:val="000000"/>
          <w:spacing w:val="0"/>
          <w:w w:val="100"/>
          <w:position w:val="0"/>
        </w:rPr>
        <w:t>护义务”</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Schutzpflichtii</w:t>
      </w:r>
      <w:r>
        <w:rPr>
          <w:color w:val="000000"/>
          <w:spacing w:val="0"/>
          <w:w w:val="100"/>
          <w:position w:val="0"/>
        </w:rPr>
        <w:t>）之概念;故此，于今 之学说与实务见解,一般均承认基本权利有第三人效力。于此，真正重要的问题，乃宪法基 本权利之规定应如何进入私法领域？此即所谓基本权利的第三人效力，亦即基本权利在私 法中所发生的</w:t>
      </w:r>
      <w:r>
        <w:rPr>
          <w:color w:val="000000"/>
          <w:spacing w:val="0"/>
          <w:w w:val="100"/>
          <w:position w:val="0"/>
          <w:lang w:val="zh-CN" w:eastAsia="zh-CN" w:bidi="zh-CN"/>
        </w:rPr>
        <w:t>“放</w:t>
      </w:r>
      <w:r>
        <w:rPr>
          <w:color w:val="000000"/>
          <w:spacing w:val="0"/>
          <w:w w:val="100"/>
          <w:position w:val="0"/>
        </w:rPr>
        <w:t>射效力</w:t>
      </w:r>
      <w:r>
        <w:rPr>
          <w:color w:val="000000"/>
          <w:spacing w:val="0"/>
          <w:w w:val="100"/>
          <w:position w:val="0"/>
          <w:vertAlign w:val="superscript"/>
          <w:lang w:val="en-US" w:eastAsia="en-US" w:bidi="en-US"/>
        </w:rPr>
        <w:t>v</w:t>
      </w:r>
      <w:r>
        <w:rPr>
          <w:color w:val="000000"/>
          <w:spacing w:val="0"/>
          <w:w w:val="100"/>
          <w:position w:val="0"/>
          <w:lang w:val="en-US" w:eastAsia="en-US" w:bidi="en-US"/>
        </w:rPr>
        <w:t xml:space="preserve"> </w:t>
      </w:r>
      <w:r>
        <w:rPr>
          <w:color w:val="000000"/>
          <w:spacing w:val="0"/>
          <w:w w:val="100"/>
          <w:position w:val="0"/>
        </w:rPr>
        <w:t>（</w:t>
      </w:r>
      <w:r>
        <w:rPr>
          <w:rFonts w:ascii="Times New Roman" w:hAnsi="Times New Roman" w:eastAsia="Times New Roman" w:cs="Times New Roman"/>
          <w:color w:val="000000"/>
          <w:spacing w:val="0"/>
          <w:w w:val="100"/>
          <w:position w:val="0"/>
          <w:sz w:val="19"/>
          <w:szCs w:val="19"/>
          <w:lang w:val="en-US" w:eastAsia="en-US" w:bidi="en-US"/>
        </w:rPr>
        <w:t>Ausstrahlungswirkung</w:t>
      </w:r>
      <w:r>
        <w:rPr>
          <w:color w:val="000000"/>
          <w:spacing w:val="0"/>
          <w:w w:val="100"/>
          <w:position w:val="0"/>
        </w:rPr>
        <w:t xml:space="preserve">） </w:t>
      </w:r>
      <w:r>
        <w:rPr>
          <w:color w:val="000000"/>
          <w:spacing w:val="0"/>
          <w:w w:val="100"/>
          <w:position w:val="0"/>
          <w:vertAlign w:val="subscript"/>
          <w:lang w:val="en-US" w:eastAsia="en-US" w:bidi="en-US"/>
        </w:rPr>
        <w:t>o</w:t>
      </w:r>
      <w:r>
        <w:rPr>
          <w:color w:val="000000"/>
          <w:spacing w:val="0"/>
          <w:w w:val="100"/>
          <w:position w:val="0"/>
        </w:rPr>
        <w:t>有争议者系此种基本权利的第三人效 力究为</w:t>
      </w:r>
      <w:r>
        <w:rPr>
          <w:color w:val="000000"/>
          <w:spacing w:val="0"/>
          <w:w w:val="100"/>
          <w:position w:val="0"/>
          <w:lang w:val="zh-CN" w:eastAsia="zh-CN" w:bidi="zh-CN"/>
        </w:rPr>
        <w:t>“直</w:t>
      </w:r>
      <w:r>
        <w:rPr>
          <w:color w:val="000000"/>
          <w:spacing w:val="0"/>
          <w:w w:val="100"/>
          <w:position w:val="0"/>
        </w:rPr>
        <w:t>接效力”抑或“间接效力” ？</w:t>
      </w:r>
    </w:p>
    <w:p w14:paraId="501E8149">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直接效力说</w:t>
      </w:r>
    </w:p>
    <w:p w14:paraId="02DDB3E2">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直接效力说认为,基本权在本质上具有客观价值秩序的功能，可以将其价值放射至所 有的法领域，其中自然也包含了私法的领域,且在目前私经济蓬勃发展的情境下，私人之间 的实力差距已经拉大，不平等的情形日趋严重，为了完善基本权利的保障，应该将基本权利 条款直接适用在私法领域中，人民在遭遇其他私人侵害基本权利时,可以直接援引宪法基 本权利条款以资救济。换言之，法院在审判民事案件时,得直接引用宪法基本权利的规定, 不必通过民事法律，使基本权利得在民事个案中获得实现。例如，在侵权行为方面,若可由 基本权利规定衍生出私法权利（如德国法上的一般人格权），则被害人得直接依民法关于侵 权行为的规定（《德国民法典》第</w:t>
      </w:r>
      <w:r>
        <w:rPr>
          <w:rFonts w:ascii="Times New Roman" w:hAnsi="Times New Roman" w:eastAsia="Times New Roman" w:cs="Times New Roman"/>
          <w:color w:val="000000"/>
          <w:spacing w:val="0"/>
          <w:w w:val="100"/>
          <w:position w:val="0"/>
          <w:sz w:val="17"/>
          <w:szCs w:val="17"/>
        </w:rPr>
        <w:t>823</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项：</w:t>
      </w:r>
      <w:r>
        <w:rPr>
          <w:color w:val="000000"/>
          <w:spacing w:val="0"/>
          <w:w w:val="100"/>
          <w:position w:val="0"/>
          <w:lang w:val="zh-CN" w:eastAsia="zh-CN" w:bidi="zh-CN"/>
        </w:rPr>
        <w:t>“因</w:t>
      </w:r>
      <w:r>
        <w:rPr>
          <w:color w:val="000000"/>
          <w:spacing w:val="0"/>
          <w:w w:val="100"/>
          <w:position w:val="0"/>
        </w:rPr>
        <w:t>故意或过失，不法侵害他人之生命、身体、健康、所 有权或其他权利者,对所生之损害应负赔偿责任。”）请求损害赔偿。应予说明者系，德国系以宪 法（基本法）为依据,创设出一般人格权;当行为人侵害被害人的一般人格权时,即为侵害被 害人之基本权，被害人得以该基本权所创设出的民事法律规范为请求权基础，向行为人主 张损害赔偿，此即基本权对第三人发生直接效力。我国宪法并无类似德国基本法之规定， 但曾有过近似的司法解释,但更为直接;该司法解释（已废止）肯定被害人得于民事诉讼中， 直接以有关宪法保护基本权之规定为请求权规范基础，向被害人主张损害赔偿。</w:t>
      </w:r>
    </w:p>
    <w:p w14:paraId="1D2626EE">
      <w:pPr>
        <w:pStyle w:val="17"/>
        <w:keepNext w:val="0"/>
        <w:keepLines w:val="0"/>
        <w:widowControl w:val="0"/>
        <w:shd w:val="clear" w:color="auto" w:fill="auto"/>
        <w:bidi w:val="0"/>
        <w:spacing w:before="0" w:after="0" w:line="379" w:lineRule="auto"/>
        <w:ind w:left="0" w:right="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间接效力说</w:t>
      </w:r>
    </w:p>
    <w:p w14:paraId="7F96D562">
      <w:pPr>
        <w:pStyle w:val="17"/>
        <w:keepNext w:val="0"/>
        <w:keepLines w:val="0"/>
        <w:widowControl w:val="0"/>
        <w:shd w:val="clear" w:color="auto" w:fill="auto"/>
        <w:bidi w:val="0"/>
        <w:spacing w:before="0" w:after="140" w:line="344" w:lineRule="exact"/>
        <w:ind w:left="0" w:right="0" w:firstLine="420"/>
        <w:jc w:val="both"/>
      </w:pPr>
      <w:r>
        <w:rPr>
          <w:color w:val="000000"/>
          <w:spacing w:val="0"/>
          <w:w w:val="100"/>
          <w:position w:val="0"/>
        </w:rPr>
        <w:t>基本权利拘束的对象仍为国家,故不能直接适用于私法领域，但是,基于基本权利客观 价值秩序的面向，私法的解释和适用也应该将这种客观价值秩序灌注于其中，因而，司法机 关应该透过民法中的概括条款或不确定概念，纳入宪法基本权利的精神。基本权利的精神 也就通过这样的解释方式，间接地适用于私法关系。换言之，基本权利须通过民法的概括 条款（如原《民法总则》第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w:t>
      </w:r>
      <w:r>
        <w:rPr>
          <w:color w:val="000000"/>
          <w:spacing w:val="0"/>
          <w:w w:val="100"/>
          <w:position w:val="0"/>
          <w:lang w:val="zh-CN" w:eastAsia="zh-CN" w:bidi="zh-CN"/>
        </w:rPr>
        <w:t>“民事</w:t>
      </w:r>
      <w:r>
        <w:rPr>
          <w:color w:val="000000"/>
          <w:spacing w:val="0"/>
          <w:w w:val="100"/>
          <w:position w:val="0"/>
        </w:rPr>
        <w:t>主体从事活动，应当遵循诚信原则凍持诚实,恪守承 诺。”）（《民法典》第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条），或不确定法律概念［如原《民法总则》第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 xml:space="preserve">条）: </w:t>
      </w:r>
      <w:r>
        <w:rPr>
          <w:color w:val="000000"/>
          <w:spacing w:val="0"/>
          <w:w w:val="100"/>
          <w:position w:val="0"/>
          <w:lang w:val="zh-CN" w:eastAsia="zh-CN" w:bidi="zh-CN"/>
        </w:rPr>
        <w:t>“民事</w:t>
      </w:r>
      <w:r>
        <w:rPr>
          <w:color w:val="000000"/>
          <w:spacing w:val="0"/>
          <w:w w:val="100"/>
          <w:position w:val="0"/>
        </w:rPr>
        <w:t>主体从事民事活动,不得违反法律，不得违背公序良俗。”］实践之。</w:t>
      </w:r>
    </w:p>
    <w:p w14:paraId="7A743AE2">
      <w:pPr>
        <w:pStyle w:val="17"/>
        <w:keepNext w:val="0"/>
        <w:keepLines w:val="0"/>
        <w:widowControl w:val="0"/>
        <w:shd w:val="clear" w:color="auto" w:fill="auto"/>
        <w:bidi w:val="0"/>
        <w:spacing w:before="0" w:after="140" w:line="344" w:lineRule="exact"/>
        <w:ind w:left="0" w:right="0" w:firstLine="0"/>
        <w:jc w:val="both"/>
      </w:pPr>
      <w:r>
        <w:rPr>
          <w:color w:val="000000"/>
          <w:spacing w:val="0"/>
          <w:w w:val="100"/>
          <w:position w:val="0"/>
        </w:rPr>
        <w:t>回既往司法实践状况</w:t>
      </w:r>
    </w:p>
    <w:p w14:paraId="1B3514F8">
      <w:pPr>
        <w:pStyle w:val="17"/>
        <w:keepNext w:val="0"/>
        <w:keepLines w:val="0"/>
        <w:widowControl w:val="0"/>
        <w:shd w:val="clear" w:color="auto" w:fill="auto"/>
        <w:bidi w:val="0"/>
        <w:spacing w:before="0" w:after="300" w:line="345" w:lineRule="exact"/>
        <w:ind w:left="0" w:right="0" w:firstLine="420"/>
        <w:jc w:val="both"/>
      </w:pPr>
      <w:r>
        <w:rPr>
          <w:color w:val="000000"/>
          <w:spacing w:val="0"/>
          <w:w w:val="100"/>
          <w:position w:val="0"/>
        </w:rPr>
        <w:t>最高人民法院于</w:t>
      </w:r>
      <w:r>
        <w:rPr>
          <w:rFonts w:ascii="Times New Roman" w:hAnsi="Times New Roman" w:eastAsia="Times New Roman" w:cs="Times New Roman"/>
          <w:color w:val="000000"/>
          <w:spacing w:val="0"/>
          <w:w w:val="100"/>
          <w:position w:val="0"/>
          <w:sz w:val="19"/>
          <w:szCs w:val="19"/>
        </w:rPr>
        <w:t>1988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日就天津市高级人民法院请示“关于雇工合同’工伤 概不负责任'应如何认定其效力的问题</w:t>
      </w:r>
      <w:r>
        <w:rPr>
          <w:color w:val="000000"/>
          <w:spacing w:val="0"/>
          <w:w w:val="100"/>
          <w:position w:val="0"/>
          <w:lang w:val="zh-CN" w:eastAsia="zh-CN" w:bidi="zh-CN"/>
        </w:rPr>
        <w:t>”所作</w:t>
      </w:r>
      <w:r>
        <w:rPr>
          <w:color w:val="000000"/>
          <w:spacing w:val="0"/>
          <w:w w:val="100"/>
          <w:position w:val="0"/>
        </w:rPr>
        <w:t>《关于雇工合同“工伤概不负责”是否有效的批 复》［（</w:t>
      </w: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民他字第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号］中，同时包含了对于宪法的直接引用与间接引用。该批复认为， </w:t>
      </w:r>
      <w:r>
        <w:rPr>
          <w:color w:val="000000"/>
          <w:spacing w:val="0"/>
          <w:w w:val="100"/>
          <w:position w:val="0"/>
          <w:lang w:val="zh-CN" w:eastAsia="zh-CN" w:bidi="zh-CN"/>
        </w:rPr>
        <w:t>“对劳</w:t>
      </w:r>
      <w:r>
        <w:rPr>
          <w:color w:val="000000"/>
          <w:spacing w:val="0"/>
          <w:w w:val="100"/>
          <w:position w:val="0"/>
        </w:rPr>
        <w:t>动者实行劳动保护,在我国宪法中已有明文规定</w:t>
      </w:r>
      <w:r>
        <w:rPr>
          <w:color w:val="000000"/>
          <w:spacing w:val="0"/>
          <w:w w:val="100"/>
          <w:position w:val="0"/>
          <w:lang w:val="zh-CN" w:eastAsia="zh-CN" w:bidi="zh-CN"/>
        </w:rPr>
        <w:t>”，这</w:t>
      </w:r>
      <w:r>
        <w:rPr>
          <w:color w:val="000000"/>
          <w:spacing w:val="0"/>
          <w:w w:val="100"/>
          <w:position w:val="0"/>
        </w:rPr>
        <w:t>是劳动者所享有的权利,受国家 法律保护,任何个人和组织都不得任意侵犯，雇主在招工登记表中注明</w:t>
      </w:r>
      <w:r>
        <w:rPr>
          <w:color w:val="000000"/>
          <w:spacing w:val="0"/>
          <w:w w:val="100"/>
          <w:position w:val="0"/>
          <w:lang w:val="zh-CN" w:eastAsia="zh-CN" w:bidi="zh-CN"/>
        </w:rPr>
        <w:t>“工</w:t>
      </w:r>
      <w:r>
        <w:rPr>
          <w:color w:val="000000"/>
          <w:spacing w:val="0"/>
          <w:w w:val="100"/>
          <w:position w:val="0"/>
        </w:rPr>
        <w:t>伤概不负责任”， “这种行为既不符合宪法和有关法律的规定,也严重违反了社会主义公德,应属于无效的民 事行为”。对于该约定，除了可以依据相关劳动保护法规，以及《宪法》第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rPr>
        <w:t>条（中华人民共 和国公民有劳动的权利和义务。国家通过各种途径，创造劳动就业条件，加强劳动保护，改 善劳动条件，并在发展生产的基础上,提高劳动报酬和福利待遇）所规定的加强劳动保护的 精神确认其无效外，亦可依据《民法典》第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条关于民事活动应当尊重社会公德之规定，认 定其为无效。</w:t>
      </w:r>
    </w:p>
    <w:p w14:paraId="5BE6B711">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6259CE54">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参酌学者与德国联邦法院的见解;美子塞苯菽莉対耘入法律羌系的效力，应采间接效 力说,其理由有三点:第一，宪法并无法律行为违反宪法者无效的规定。第二,基本权利的主 要功能系为防御国家行为对人民的侵害,而非规范私人间的法律关系，比例原则的适用将 使法律行为受到严格的审查，不利于私法自治。第三,经由私法上概括条款的适用一方面 足可实现宪法基本权利的价值体系；另一方面亦能在法律体系及逻辑上保障私法的自主 性,使私法在其完整体系之内解决问题，并维持法律整体秩序的一致性。</w:t>
      </w:r>
    </w:p>
    <w:p w14:paraId="1CCBE988">
      <w:pPr>
        <w:pStyle w:val="17"/>
        <w:keepNext w:val="0"/>
        <w:keepLines w:val="0"/>
        <w:widowControl w:val="0"/>
        <w:shd w:val="clear" w:color="auto" w:fill="auto"/>
        <w:bidi w:val="0"/>
        <w:spacing w:before="0" w:after="140" w:line="340" w:lineRule="exact"/>
        <w:ind w:left="0" w:right="0" w:firstLine="420"/>
        <w:jc w:val="both"/>
      </w:pPr>
      <w:r>
        <w:rPr>
          <w:color w:val="000000"/>
          <w:spacing w:val="0"/>
          <w:w w:val="100"/>
          <w:position w:val="0"/>
        </w:rPr>
        <w:t>退一步言，如果采基本权利对第三人的直接效力说，法院可以直接引用宪法基本权利 条款作为判决之依据;但如以德国为例，因宪法并未就侵害他人（法人）得主张精神损害赔 偿作出明文规定，法院仍须通过一般侵权行为法中的侵害他人</w:t>
      </w:r>
      <w:r>
        <w:rPr>
          <w:color w:val="000000"/>
          <w:spacing w:val="0"/>
          <w:w w:val="100"/>
          <w:position w:val="0"/>
          <w:lang w:val="zh-CN" w:eastAsia="zh-CN" w:bidi="zh-CN"/>
        </w:rPr>
        <w:t>“权利”（此</w:t>
      </w:r>
      <w:r>
        <w:rPr>
          <w:color w:val="000000"/>
          <w:spacing w:val="0"/>
          <w:w w:val="100"/>
          <w:position w:val="0"/>
        </w:rPr>
        <w:t>系因基本权利规定 而衍生出之私法权利）之规定，或</w:t>
      </w:r>
      <w:r>
        <w:rPr>
          <w:color w:val="000000"/>
          <w:spacing w:val="0"/>
          <w:w w:val="100"/>
          <w:position w:val="0"/>
          <w:lang w:val="zh-CN" w:eastAsia="zh-CN" w:bidi="zh-CN"/>
        </w:rPr>
        <w:t>“违反</w:t>
      </w:r>
      <w:r>
        <w:rPr>
          <w:color w:val="000000"/>
          <w:spacing w:val="0"/>
          <w:w w:val="100"/>
          <w:position w:val="0"/>
        </w:rPr>
        <w:t>保护他人之法律规定</w:t>
      </w:r>
      <w:r>
        <w:rPr>
          <w:color w:val="000000"/>
          <w:spacing w:val="0"/>
          <w:w w:val="100"/>
          <w:position w:val="0"/>
          <w:lang w:val="zh-CN" w:eastAsia="zh-CN" w:bidi="zh-CN"/>
        </w:rPr>
        <w:t>”（此</w:t>
      </w:r>
      <w:r>
        <w:rPr>
          <w:color w:val="000000"/>
          <w:spacing w:val="0"/>
          <w:w w:val="100"/>
          <w:position w:val="0"/>
        </w:rPr>
        <w:t>之所指保护他人法律，系指相应 得以解释为保障法人基本权利的宪法条文）等转介条款的设计以实践救济。</w:t>
      </w:r>
    </w:p>
    <w:p w14:paraId="751ED5F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如果采基本权利对第三人的间接效力说，因基本权利必须通过民法的概括条款，或不 确定法律概念来实现救济,在侵权行为立法技术无虞之前提下，一般侵权行为类型的设计 包涵了不确定法律概念</w:t>
      </w:r>
      <w:r>
        <w:rPr>
          <w:color w:val="000000"/>
          <w:spacing w:val="0"/>
          <w:w w:val="100"/>
          <w:position w:val="0"/>
          <w:lang w:val="zh-CN" w:eastAsia="zh-CN" w:bidi="zh-CN"/>
        </w:rPr>
        <w:t>（“违</w:t>
      </w:r>
      <w:r>
        <w:rPr>
          <w:color w:val="000000"/>
          <w:spacing w:val="0"/>
          <w:w w:val="100"/>
          <w:position w:val="0"/>
        </w:rPr>
        <w:t>反善良风俗”），故可视侵权行为态样的不同，一类侵权行为通 过解释与论证而直接适用该一般侵权法条文;另一类侵权行为则须先通过其他概括条款, 再适用一般侵权行为类型之转介条款，使该条文（概括条款）成为一般侵权行为“违反保护 他人法律之规定”类型中所指之保护他人之法律（非属宪法条文）后辗转获得救济。在同时 符合几种条件的案例中,则有竞合发生。</w:t>
      </w:r>
    </w:p>
    <w:p w14:paraId="1FF5AD8F">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最高人民法院先后作岀的两个司法解释:《关于雇工合同“工伤概不负责任</w:t>
      </w:r>
      <w:r>
        <w:rPr>
          <w:color w:val="000000"/>
          <w:spacing w:val="0"/>
          <w:w w:val="100"/>
          <w:position w:val="0"/>
          <w:lang w:val="zh-CN" w:eastAsia="zh-CN" w:bidi="zh-CN"/>
        </w:rPr>
        <w:t>”是</w:t>
      </w:r>
      <w:r>
        <w:rPr>
          <w:color w:val="000000"/>
          <w:spacing w:val="0"/>
          <w:w w:val="100"/>
          <w:position w:val="0"/>
        </w:rPr>
        <w:t>否有效 的批复</w:t>
      </w:r>
      <w:r>
        <w:rPr>
          <w:rFonts w:ascii="Times New Roman" w:hAnsi="Times New Roman" w:eastAsia="Times New Roman" w:cs="Times New Roman"/>
          <w:color w:val="000000"/>
          <w:spacing w:val="0"/>
          <w:w w:val="100"/>
          <w:position w:val="0"/>
          <w:sz w:val="19"/>
          <w:szCs w:val="19"/>
          <w:lang w:val="en-US" w:eastAsia="en-US" w:bidi="en-US"/>
        </w:rPr>
        <w:t>＞［（88）</w:t>
      </w:r>
      <w:r>
        <w:rPr>
          <w:color w:val="000000"/>
          <w:spacing w:val="0"/>
          <w:w w:val="100"/>
          <w:position w:val="0"/>
        </w:rPr>
        <w:t>民他字第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号］、《关于以侵犯姓名权的手段侵犯宪法保护的公民受教育的基 本权利是否应承担民事责任的批复》［法释</w:t>
      </w:r>
      <w:r>
        <w:rPr>
          <w:rFonts w:ascii="Times New Roman" w:hAnsi="Times New Roman" w:eastAsia="Times New Roman" w:cs="Times New Roman"/>
          <w:color w:val="000000"/>
          <w:spacing w:val="0"/>
          <w:w w:val="100"/>
          <w:position w:val="0"/>
          <w:sz w:val="19"/>
          <w:szCs w:val="19"/>
        </w:rPr>
        <w:t>（2001）25</w:t>
      </w:r>
      <w:r>
        <w:rPr>
          <w:color w:val="000000"/>
          <w:spacing w:val="0"/>
          <w:w w:val="100"/>
          <w:position w:val="0"/>
        </w:rPr>
        <w:t>号］,确有相当的宪法意义，甚值重视; 唯最高人民法院解释宪法，同时直接引用于司法解释之中，并未形成惯例;此外，最高人民 法院亦从未依据宪法进行违宪审查;当然依据宪法规定,此非属最高人民法院权力。</w:t>
      </w:r>
    </w:p>
    <w:p w14:paraId="5A84D6BE">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实际上，最高人民法院有关齐玉苓一案的宪法引用存在一些问题，陈晓琪以侵害齐玉 苓姓名权的手段，侵害齐玉苓的受教育权;陈晓琪真正侵害的乃是齐玉苓的一般人格权，其 系源于宪法对人格尊严的保护（《宪法》第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w:t>
      </w:r>
      <w:r>
        <w:rPr>
          <w:color w:val="000000"/>
          <w:spacing w:val="0"/>
          <w:w w:val="100"/>
          <w:position w:val="0"/>
          <w:lang w:val="zh-CN" w:eastAsia="zh-CN" w:bidi="zh-CN"/>
        </w:rPr>
        <w:t>“中华</w:t>
      </w:r>
      <w:r>
        <w:rPr>
          <w:color w:val="000000"/>
          <w:spacing w:val="0"/>
          <w:w w:val="100"/>
          <w:position w:val="0"/>
        </w:rPr>
        <w:t>人民共和国公民的人格尊严不受侵 犯。禁止用任何方法对公民进行侮辱、诽谤和诬告陷害。”），陈晓琪之不法行为影响了齐玉 苓人格的自由发展。</w:t>
      </w:r>
    </w:p>
    <w:p w14:paraId="51809ECD">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人民之私权甚为重要，我国应将人民私权之保障，提升至宪法层次;唯基本权之重要性 有所区别，存在位序差异;本案所延伸出的重要问题，在于欧美各国之基本权位序,未见得 与中国社会一致，中国当建构出具有中国特色的基本权位序。有关这一方面的研究，必须 精致地结合社会学、人类学、心理学等领域的研究方法与研究成果,才有可能有所建树。此 研究难度甚大，唯其乃中国迈向法治社会的必由之路。民法与宪法的关系极为密切，建构 出一个与中国社会特色相符的宪政秩序与宪政惯例,对中国民法的发展与实践有重大意 义。</w:t>
      </w:r>
    </w:p>
    <w:p w14:paraId="627B308F">
      <w:pPr>
        <w:pStyle w:val="11"/>
        <w:keepNext w:val="0"/>
        <w:keepLines w:val="0"/>
        <w:widowControl w:val="0"/>
        <w:shd w:val="clear" w:color="auto" w:fill="auto"/>
        <w:bidi w:val="0"/>
        <w:spacing w:before="0" w:after="80" w:line="340" w:lineRule="exact"/>
        <w:ind w:left="0" w:right="0" w:firstLine="0"/>
        <w:jc w:val="both"/>
      </w:pPr>
      <w:r>
        <w:rPr>
          <w:color w:val="000000"/>
          <w:spacing w:val="0"/>
          <w:w w:val="100"/>
          <w:position w:val="0"/>
        </w:rPr>
        <w:t>回参考文献</w:t>
      </w:r>
    </w:p>
    <w:p w14:paraId="576899CC">
      <w:pPr>
        <w:pStyle w:val="17"/>
        <w:keepNext w:val="0"/>
        <w:keepLines w:val="0"/>
        <w:widowControl w:val="0"/>
        <w:shd w:val="clear" w:color="auto" w:fill="auto"/>
        <w:bidi w:val="0"/>
        <w:spacing w:before="0" w:after="0" w:line="295" w:lineRule="exact"/>
        <w:ind w:left="180" w:right="0" w:hanging="180"/>
        <w:jc w:val="both"/>
      </w:pPr>
      <w:r>
        <w:rPr>
          <w:color w:val="000000"/>
          <w:spacing w:val="0"/>
          <w:w w:val="100"/>
          <w:position w:val="0"/>
        </w:rPr>
        <w:t xml:space="preserve">王泽鉴:《宪法基本权利与私法》，载《司法院大法官释宪五十周年论文集》，台北，司法周刊杂志出版社 </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年版。</w:t>
      </w:r>
    </w:p>
    <w:p w14:paraId="6AF7E28D">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王泽鉴:《民法总则》，北京大学出版社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6BA74C8C">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苏永钦主编:《走入新世纪的私法自治》，台北，元照出版有限公司</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年版。</w:t>
      </w:r>
    </w:p>
    <w:p w14:paraId="012517E8">
      <w:pPr>
        <w:pStyle w:val="17"/>
        <w:keepNext w:val="0"/>
        <w:keepLines w:val="0"/>
        <w:widowControl w:val="0"/>
        <w:shd w:val="clear" w:color="auto" w:fill="auto"/>
        <w:bidi w:val="0"/>
        <w:spacing w:before="0" w:after="220" w:line="340" w:lineRule="exact"/>
        <w:ind w:left="0" w:right="0" w:firstLine="0"/>
        <w:jc w:val="left"/>
        <w:sectPr>
          <w:headerReference r:id="rId33" w:type="default"/>
          <w:headerReference r:id="rId34" w:type="even"/>
          <w:footnotePr>
            <w:numFmt w:val="chicago"/>
          </w:footnotePr>
          <w:pgSz w:w="10099" w:h="14782"/>
          <w:pgMar w:top="1304" w:right="1024" w:bottom="1107" w:left="1045" w:header="0" w:footer="3" w:gutter="0"/>
          <w:pgNumType w:start="13"/>
          <w:cols w:space="720" w:num="1"/>
          <w:rtlGutter w:val="0"/>
          <w:docGrid w:linePitch="360" w:charSpace="0"/>
        </w:sectPr>
      </w:pPr>
      <w:r>
        <w:rPr>
          <w:color w:val="000000"/>
          <w:spacing w:val="0"/>
          <w:w w:val="100"/>
          <w:position w:val="0"/>
        </w:rPr>
        <w:t>王利明：《民法总则研究》，中国人民大学出版社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15CC0268">
      <w:pPr>
        <w:pStyle w:val="15"/>
        <w:keepNext/>
        <w:keepLines/>
        <w:widowControl w:val="0"/>
        <w:shd w:val="clear" w:color="auto" w:fill="auto"/>
        <w:bidi w:val="0"/>
        <w:spacing w:before="0" w:after="24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728345</wp:posOffset>
                </wp:positionH>
                <wp:positionV relativeFrom="margin">
                  <wp:posOffset>109220</wp:posOffset>
                </wp:positionV>
                <wp:extent cx="445135" cy="304800"/>
                <wp:effectExtent l="0" t="0" r="0" b="0"/>
                <wp:wrapSquare wrapText="right"/>
                <wp:docPr id="63" name="Shape 63"/>
                <wp:cNvGraphicFramePr/>
                <a:graphic xmlns:a="http://schemas.openxmlformats.org/drawingml/2006/main">
                  <a:graphicData uri="http://schemas.microsoft.com/office/word/2010/wordprocessingShape">
                    <wps:wsp>
                      <wps:cNvSpPr txBox="1"/>
                      <wps:spPr>
                        <a:xfrm>
                          <a:off x="0" y="0"/>
                          <a:ext cx="445135" cy="304800"/>
                        </a:xfrm>
                        <a:prstGeom prst="rect">
                          <a:avLst/>
                        </a:prstGeom>
                        <a:noFill/>
                      </wps:spPr>
                      <wps:txbx>
                        <w:txbxContent>
                          <w:p w14:paraId="4A1ED740">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004</w:t>
                            </w:r>
                          </w:p>
                        </w:txbxContent>
                      </wps:txbx>
                      <wps:bodyPr wrap="none" lIns="0" tIns="0" rIns="0" bIns="0">
                        <a:noAutofit/>
                      </wps:bodyPr>
                    </wps:wsp>
                  </a:graphicData>
                </a:graphic>
              </wp:anchor>
            </w:drawing>
          </mc:Choice>
          <mc:Fallback>
            <w:pict>
              <v:shape id="Shape 63" o:spid="_x0000_s1026" o:spt="202" type="#_x0000_t202" style="position:absolute;left:0pt;margin-left:57.35pt;margin-top:8.6pt;height:24pt;width:35.05pt;mso-position-horizontal-relative:page;mso-position-vertical-relative:margin;mso-wrap-distance-bottom:0pt;mso-wrap-distance-left:9pt;mso-wrap-distance-right:9pt;mso-wrap-distance-top:0pt;mso-wrap-style:none;z-index:251660288;mso-width-relative:page;mso-height-relative:page;" filled="f" stroked="f" coordsize="21600,21600" o:gfxdata="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mRqfXVAAAA&#10;CQEAAA8AAAAAAAAAAQAgAAAAIgAAAGRycy9kb3ducmV2LnhtbFBLAQIUABQAAAAIAIdO4kD7J3ID&#10;rgEAAHEDAAAOAAAAAAAAAAEAIAAAACQBAABkcnMvZTJvRG9jLnhtbFBLBQYAAAAABgAGAFkBAABE&#10;BQAAAAA=&#10;">
                <v:fill on="f" focussize="0,0"/>
                <v:stroke on="f"/>
                <v:imagedata o:title=""/>
                <o:lock v:ext="edit" aspectratio="f"/>
                <v:textbox inset="0mm,0mm,0mm,0mm">
                  <w:txbxContent>
                    <w:p w14:paraId="4A1ED740">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004</w:t>
                      </w:r>
                    </w:p>
                  </w:txbxContent>
                </v:textbox>
                <w10:wrap type="square" side="right"/>
              </v:shape>
            </w:pict>
          </mc:Fallback>
        </mc:AlternateContent>
      </w:r>
      <w:bookmarkStart w:id="17" w:name="bookmark32"/>
      <w:bookmarkStart w:id="18" w:name="bookmark33"/>
      <w:bookmarkStart w:id="19" w:name="bookmark34"/>
      <w:r>
        <w:rPr>
          <w:color w:val="000000"/>
          <w:spacing w:val="0"/>
          <w:w w:val="100"/>
          <w:position w:val="0"/>
        </w:rPr>
        <w:t>习惯作为法源的适用</w:t>
      </w:r>
      <w:bookmarkEnd w:id="17"/>
      <w:bookmarkEnd w:id="18"/>
      <w:bookmarkEnd w:id="19"/>
    </w:p>
    <w:p w14:paraId="03AB2A7E">
      <w:pPr>
        <w:pStyle w:val="17"/>
        <w:keepNext w:val="0"/>
        <w:keepLines w:val="0"/>
        <w:widowControl w:val="0"/>
        <w:shd w:val="clear" w:color="auto" w:fill="auto"/>
        <w:bidi w:val="0"/>
        <w:spacing w:before="0" w:after="100" w:line="240" w:lineRule="auto"/>
        <w:ind w:left="1020" w:right="0" w:firstLine="0"/>
        <w:jc w:val="both"/>
      </w:pPr>
      <w:r>
        <w:rPr>
          <w:color w:val="000000"/>
          <w:spacing w:val="0"/>
          <w:w w:val="100"/>
          <w:position w:val="0"/>
        </w:rPr>
        <w:t>石坊昌诉石忠雪顶盆过继案丨青岛市李沧区人民法院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師</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李民初字</w:t>
      </w:r>
      <w:r>
        <w:rPr>
          <w:rFonts w:ascii="Times New Roman" w:hAnsi="Times New Roman" w:eastAsia="Times New Roman" w:cs="Times New Roman"/>
          <w:color w:val="000000"/>
          <w:spacing w:val="0"/>
          <w:w w:val="100"/>
          <w:position w:val="0"/>
          <w:sz w:val="19"/>
          <w:szCs w:val="19"/>
        </w:rPr>
        <w:t>3460</w:t>
      </w:r>
      <w:r>
        <w:rPr>
          <w:color w:val="000000"/>
          <w:spacing w:val="0"/>
          <w:w w:val="100"/>
          <w:position w:val="0"/>
        </w:rPr>
        <w:t>号</w:t>
      </w:r>
    </w:p>
    <w:p w14:paraId="19668899">
      <w:pPr>
        <w:pStyle w:val="17"/>
        <w:keepNext w:val="0"/>
        <w:keepLines w:val="0"/>
        <w:widowControl w:val="0"/>
        <w:shd w:val="clear" w:color="auto" w:fill="auto"/>
        <w:bidi w:val="0"/>
        <w:spacing w:before="0" w:after="2040" w:line="240" w:lineRule="auto"/>
        <w:ind w:left="1020" w:right="0" w:firstLine="0"/>
        <w:jc w:val="both"/>
      </w:pPr>
      <w:r>
        <w:rPr>
          <w:color w:val="000000"/>
          <w:spacing w:val="0"/>
          <w:w w:val="100"/>
          <w:position w:val="0"/>
        </w:rPr>
        <w:t>民事判决书；青岛市中级人民法院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師</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青民一终字</w:t>
      </w:r>
      <w:r>
        <w:rPr>
          <w:rFonts w:ascii="Times New Roman" w:hAnsi="Times New Roman" w:eastAsia="Times New Roman" w:cs="Times New Roman"/>
          <w:color w:val="000000"/>
          <w:spacing w:val="0"/>
          <w:w w:val="100"/>
          <w:position w:val="0"/>
          <w:sz w:val="19"/>
          <w:szCs w:val="19"/>
        </w:rPr>
        <w:t>206</w:t>
      </w:r>
      <w:r>
        <w:rPr>
          <w:color w:val="000000"/>
          <w:spacing w:val="0"/>
          <w:w w:val="100"/>
          <w:position w:val="0"/>
        </w:rPr>
        <w:t>号民事判</w:t>
      </w:r>
    </w:p>
    <w:p w14:paraId="05407CBC">
      <w:pPr>
        <w:pStyle w:val="11"/>
        <w:keepNext w:val="0"/>
        <w:keepLines w:val="0"/>
        <w:widowControl w:val="0"/>
        <w:shd w:val="clear" w:color="auto" w:fill="auto"/>
        <w:bidi w:val="0"/>
        <w:spacing w:before="0" w:after="10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III</w:t>
      </w:r>
      <w:r>
        <w:rPr>
          <w:color w:val="000000"/>
          <w:spacing w:val="0"/>
          <w:w w:val="100"/>
          <w:position w:val="0"/>
        </w:rPr>
        <w:t>事实概要</w:t>
      </w:r>
    </w:p>
    <w:p w14:paraId="2AF3F361">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1997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日，青岛市李沧区石家村居民石君昌病逝,因其妻子儿女已先相继因病 去世,父母和另外两个哥哥也都已经过世，故家族中的老人只能在其近亲属里找个后辈来 为其</w:t>
      </w:r>
      <w:r>
        <w:rPr>
          <w:color w:val="000000"/>
          <w:spacing w:val="0"/>
          <w:w w:val="100"/>
          <w:position w:val="0"/>
          <w:lang w:val="zh-CN" w:eastAsia="zh-CN" w:bidi="zh-CN"/>
        </w:rPr>
        <w:t>“顶盆</w:t>
      </w:r>
      <w:r>
        <w:rPr>
          <w:color w:val="000000"/>
          <w:spacing w:val="0"/>
          <w:w w:val="100"/>
          <w:position w:val="0"/>
        </w:rPr>
        <w:t>发丧”。按照习俗，若找不到人</w:t>
      </w:r>
      <w:r>
        <w:rPr>
          <w:color w:val="000000"/>
          <w:spacing w:val="0"/>
          <w:w w:val="100"/>
          <w:position w:val="0"/>
          <w:lang w:val="zh-CN" w:eastAsia="zh-CN" w:bidi="zh-CN"/>
        </w:rPr>
        <w:t>“顶盆”，死</w:t>
      </w:r>
      <w:r>
        <w:rPr>
          <w:color w:val="000000"/>
          <w:spacing w:val="0"/>
          <w:w w:val="100"/>
          <w:position w:val="0"/>
        </w:rPr>
        <w:t>者就不能发丧。“顶盆”的本家后辈等 于过继给了死者，死者的所有家产均归其继承。起初欲找死者三哥石坊昌之子为其完成顶 盆一事,但其两子均不愿意。后经协商,石君昌的侄子即二哥之子石忠雪最终被选定且同 意“顶盆”。死者入土为安后，石忠雪一家住进了石君昌的房子，并在那里完成婚事，且于每 年祭日拜祭石君昌。入住后</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年内没有第三人提及房屋产权的归属，也没有发生任何争执。 但当房屋拆迁时，按照拆迁标准,该房可以领取</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余万元拆迁款。此时，石君昌三哥石坊昌 拿出了一份</w:t>
      </w:r>
      <w:r>
        <w:rPr>
          <w:rFonts w:ascii="Times New Roman" w:hAnsi="Times New Roman" w:eastAsia="Times New Roman" w:cs="Times New Roman"/>
          <w:color w:val="000000"/>
          <w:spacing w:val="0"/>
          <w:w w:val="100"/>
          <w:position w:val="0"/>
          <w:sz w:val="19"/>
          <w:szCs w:val="19"/>
        </w:rPr>
        <w:t>1997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月石君昌赠与其房子的公证书，主张石君昌病逝之前已将该房子过户 给他。石坊昌说，当时是看到侄子石忠雪结婚后一直没钱盖新房，于是他把房子借给石忠 雪一家暂住。石坊昌认为,他是法律上遗产的唯一继承人。</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月，石坊昌以非法侵 占为由向青岛市李沧区人民法院起诉，将石忠雪告上法庭，请求依法确认自己和石君昌之 间的赠与合同有效,并判令被告立即腾出房屋。在诉讼中，石忠雪提出了自己“顶盆</w:t>
      </w:r>
      <w:r>
        <w:rPr>
          <w:color w:val="000000"/>
          <w:spacing w:val="0"/>
          <w:w w:val="100"/>
          <w:position w:val="0"/>
          <w:lang w:val="zh-CN" w:eastAsia="zh-CN" w:bidi="zh-CN"/>
        </w:rPr>
        <w:t xml:space="preserve">”过继 </w:t>
      </w:r>
      <w:r>
        <w:rPr>
          <w:color w:val="000000"/>
          <w:spacing w:val="0"/>
          <w:w w:val="100"/>
          <w:position w:val="0"/>
        </w:rPr>
        <w:t>的事实，但这个说法被石坊昌一 口否认，石坊昌认为“顶盆</w:t>
      </w:r>
      <w:r>
        <w:rPr>
          <w:color w:val="000000"/>
          <w:spacing w:val="0"/>
          <w:w w:val="100"/>
          <w:position w:val="0"/>
          <w:lang w:val="zh-CN" w:eastAsia="zh-CN" w:bidi="zh-CN"/>
        </w:rPr>
        <w:t>”不</w:t>
      </w:r>
      <w:r>
        <w:rPr>
          <w:color w:val="000000"/>
          <w:spacing w:val="0"/>
          <w:w w:val="100"/>
          <w:position w:val="0"/>
        </w:rPr>
        <w:t>能作为继子。</w:t>
      </w:r>
    </w:p>
    <w:p w14:paraId="07EC495A">
      <w:pPr>
        <w:pStyle w:val="11"/>
        <w:keepNext w:val="0"/>
        <w:keepLines w:val="0"/>
        <w:widowControl w:val="0"/>
        <w:shd w:val="clear" w:color="auto" w:fill="auto"/>
        <w:bidi w:val="0"/>
        <w:spacing w:before="0" w:after="100" w:line="344" w:lineRule="exact"/>
        <w:ind w:left="0" w:right="0" w:firstLine="0"/>
        <w:jc w:val="left"/>
      </w:pPr>
      <w:r>
        <w:rPr>
          <w:color w:val="000000"/>
          <w:spacing w:val="0"/>
          <w:w w:val="100"/>
          <w:position w:val="0"/>
        </w:rPr>
        <w:t>•判决要旨</w:t>
      </w:r>
    </w:p>
    <w:p w14:paraId="59671E39">
      <w:pPr>
        <w:pStyle w:val="17"/>
        <w:keepNext w:val="0"/>
        <w:keepLines w:val="0"/>
        <w:widowControl w:val="0"/>
        <w:shd w:val="clear" w:color="auto" w:fill="auto"/>
        <w:bidi w:val="0"/>
        <w:spacing w:before="0" w:after="0" w:line="344" w:lineRule="exact"/>
        <w:ind w:left="0" w:right="0" w:firstLine="380"/>
        <w:jc w:val="both"/>
      </w:pPr>
      <w:r>
        <w:rPr>
          <w:color w:val="000000"/>
          <w:spacing w:val="0"/>
          <w:w w:val="100"/>
          <w:position w:val="0"/>
        </w:rPr>
        <w:t>驳回上诉，维持原判。</w:t>
      </w:r>
    </w:p>
    <w:p w14:paraId="11957E7D">
      <w:pPr>
        <w:pStyle w:val="17"/>
        <w:keepNext w:val="0"/>
        <w:keepLines w:val="0"/>
        <w:widowControl w:val="0"/>
        <w:shd w:val="clear" w:color="auto" w:fill="auto"/>
        <w:bidi w:val="0"/>
        <w:spacing w:before="0" w:after="380" w:line="346" w:lineRule="exact"/>
        <w:ind w:left="0" w:right="0" w:firstLine="420"/>
        <w:jc w:val="both"/>
        <w:sectPr>
          <w:headerReference r:id="rId35" w:type="default"/>
          <w:headerReference r:id="rId36" w:type="even"/>
          <w:footnotePr>
            <w:numFmt w:val="chicago"/>
          </w:footnotePr>
          <w:pgSz w:w="10099" w:h="14782"/>
          <w:pgMar w:top="1304" w:right="1024" w:bottom="1107" w:left="1045" w:header="876" w:footer="679" w:gutter="0"/>
          <w:pgNumType w:start="33"/>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師</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月，区法院作出一审判决:驳回原告石坊昌的诉讼请求。法院经审理认为， 本案中赠与合同的权利义务相对人仅为石坊昌与石君昌，原告以确认该赠与合同有效作为 诉讼请求,其起诉的对方当事人应为石君昌。因此，原告以此起诉石忠雪于法无据,本院不 予支持。被告石忠雪是因农村习俗,为死者石君昌戴孝发丧而得以入住其遗留的房屋，至 今已达</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年之久;原告在死者去世之前已持有这份公证书，但从未向被告主张过该项权利， 说明他是知道</w:t>
      </w:r>
      <w:r>
        <w:rPr>
          <w:color w:val="000000"/>
          <w:spacing w:val="0"/>
          <w:w w:val="100"/>
          <w:position w:val="0"/>
          <w:lang w:val="zh-CN" w:eastAsia="zh-CN" w:bidi="zh-CN"/>
        </w:rPr>
        <w:t>“顶盆</w:t>
      </w:r>
      <w:r>
        <w:rPr>
          <w:color w:val="000000"/>
          <w:spacing w:val="0"/>
          <w:w w:val="100"/>
          <w:position w:val="0"/>
        </w:rPr>
        <w:t>”发丧的事实的，因此被告并未非法侵占上述房屋</w:t>
      </w:r>
      <w:r>
        <w:rPr>
          <w:color w:val="000000"/>
          <w:spacing w:val="0"/>
          <w:w w:val="100"/>
          <w:position w:val="0"/>
          <w:lang w:val="zh-CN" w:eastAsia="zh-CN" w:bidi="zh-CN"/>
        </w:rPr>
        <w:t>。“顶</w:t>
      </w:r>
      <w:r>
        <w:rPr>
          <w:color w:val="000000"/>
          <w:spacing w:val="0"/>
          <w:w w:val="100"/>
          <w:position w:val="0"/>
        </w:rPr>
        <w:t xml:space="preserve">盆”发丧虽然是 一种民间风俗，但并不违反法律的强制性规定，所以法律不应强制地去干涉它。因此，原告 </w:t>
      </w:r>
    </w:p>
    <w:p w14:paraId="0136B03C">
      <w:pPr>
        <w:pStyle w:val="17"/>
        <w:keepNext w:val="0"/>
        <w:keepLines w:val="0"/>
        <w:widowControl w:val="0"/>
        <w:shd w:val="clear" w:color="auto" w:fill="auto"/>
        <w:bidi w:val="0"/>
        <w:spacing w:before="0" w:after="380" w:line="346" w:lineRule="exact"/>
        <w:ind w:left="0" w:right="0" w:firstLine="0"/>
        <w:jc w:val="both"/>
      </w:pPr>
      <w:r>
        <w:rPr>
          <w:color w:val="000000"/>
          <w:spacing w:val="0"/>
          <w:w w:val="100"/>
          <w:position w:val="0"/>
        </w:rPr>
        <w:t xml:space="preserve">提出被告立即腾房的诉讼请求法院不予支持。一审判决之后，原告石坊昌不服，提出上诉。 </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月，青岛市中级人民法院对本案作出终审判决:维持原判。</w:t>
      </w:r>
    </w:p>
    <w:p w14:paraId="1A0EC40A">
      <w:pPr>
        <w:pStyle w:val="11"/>
        <w:keepNext w:val="0"/>
        <w:keepLines w:val="0"/>
        <w:widowControl w:val="0"/>
        <w:shd w:val="clear" w:color="auto" w:fill="auto"/>
        <w:bidi w:val="0"/>
        <w:spacing w:before="0" w:after="280" w:line="343" w:lineRule="exact"/>
        <w:ind w:left="0" w:right="0" w:firstLine="0"/>
        <w:jc w:val="both"/>
      </w:pPr>
      <w:r>
        <w:rPr>
          <w:color w:val="000000"/>
          <w:spacing w:val="0"/>
          <w:w w:val="100"/>
          <w:position w:val="0"/>
        </w:rPr>
        <w:t>■评析</w:t>
      </w:r>
    </w:p>
    <w:p w14:paraId="4FC35CFF">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原告石坊昌对死者石君昌的财产是否享有继承权</w:t>
      </w:r>
    </w:p>
    <w:p w14:paraId="3695D001">
      <w:pPr>
        <w:pStyle w:val="17"/>
        <w:keepNext w:val="0"/>
        <w:keepLines w:val="0"/>
        <w:widowControl w:val="0"/>
        <w:shd w:val="clear" w:color="auto" w:fill="auto"/>
        <w:bidi w:val="0"/>
        <w:spacing w:before="0" w:after="0" w:line="336" w:lineRule="exact"/>
        <w:ind w:left="0" w:right="0" w:firstLine="440"/>
        <w:jc w:val="both"/>
      </w:pPr>
      <w:r>
        <w:rPr>
          <w:color w:val="000000"/>
          <w:spacing w:val="0"/>
          <w:w w:val="100"/>
          <w:position w:val="0"/>
        </w:rPr>
        <w:t>石君昌病逝时，其父母子女以及配偶都已过世。依据原《继承法》第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 （《民法典》第</w:t>
      </w:r>
      <w:r>
        <w:rPr>
          <w:rFonts w:ascii="Times New Roman" w:hAnsi="Times New Roman" w:eastAsia="Times New Roman" w:cs="Times New Roman"/>
          <w:color w:val="000000"/>
          <w:spacing w:val="0"/>
          <w:w w:val="100"/>
          <w:position w:val="0"/>
          <w:sz w:val="19"/>
          <w:szCs w:val="19"/>
        </w:rPr>
        <w:t>1127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w:t>
      </w:r>
      <w:r>
        <w:rPr>
          <w:color w:val="000000"/>
          <w:spacing w:val="0"/>
          <w:w w:val="100"/>
          <w:position w:val="0"/>
          <w:lang w:val="zh-CN" w:eastAsia="zh-CN" w:bidi="zh-CN"/>
        </w:rPr>
        <w:t>，“遗</w:t>
      </w:r>
      <w:r>
        <w:rPr>
          <w:color w:val="000000"/>
          <w:spacing w:val="0"/>
          <w:w w:val="100"/>
          <w:position w:val="0"/>
        </w:rPr>
        <w:t>产按照下列顺序继承：（一）第一顺序:配偶、子 女、父母;（二）第二顺序:兄弟姐妹、祖父母、外祖父母。继承开始后，由第一顺序继承人继 承，第二顺序继承人不继承。没有第一顺序继承人继承的，由第二顺序继承人继承</w:t>
      </w:r>
      <w:r>
        <w:rPr>
          <w:color w:val="000000"/>
          <w:spacing w:val="0"/>
          <w:w w:val="100"/>
          <w:position w:val="0"/>
          <w:lang w:val="zh-CN" w:eastAsia="zh-CN" w:bidi="zh-CN"/>
        </w:rPr>
        <w:t>。”因</w:t>
      </w:r>
      <w:r>
        <w:rPr>
          <w:color w:val="000000"/>
          <w:spacing w:val="0"/>
          <w:w w:val="100"/>
          <w:position w:val="0"/>
        </w:rPr>
        <w:t>此， 石君昌没有第一顺位继承人。</w:t>
      </w:r>
    </w:p>
    <w:p w14:paraId="3EA1C574">
      <w:pPr>
        <w:pStyle w:val="17"/>
        <w:keepNext w:val="0"/>
        <w:keepLines w:val="0"/>
        <w:widowControl w:val="0"/>
        <w:shd w:val="clear" w:color="auto" w:fill="auto"/>
        <w:bidi w:val="0"/>
        <w:spacing w:before="0" w:after="280" w:line="356" w:lineRule="exact"/>
        <w:ind w:left="0" w:right="0" w:firstLine="440"/>
        <w:jc w:val="both"/>
      </w:pPr>
      <w:r>
        <w:rPr>
          <w:color w:val="000000"/>
          <w:spacing w:val="0"/>
          <w:w w:val="100"/>
          <w:position w:val="0"/>
        </w:rPr>
        <w:t>由案件事实概况可知，石君昌有三位兄长，大哥与二哥也已经先于石君昌去世,唯一的 兄弟姐妹只剩下三哥石坊昌。因此,石坊昌根据原《继承法》第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款（《民法典》第 </w:t>
      </w:r>
      <w:r>
        <w:rPr>
          <w:rFonts w:ascii="Times New Roman" w:hAnsi="Times New Roman" w:eastAsia="Times New Roman" w:cs="Times New Roman"/>
          <w:color w:val="000000"/>
          <w:spacing w:val="0"/>
          <w:w w:val="100"/>
          <w:position w:val="0"/>
          <w:sz w:val="19"/>
          <w:szCs w:val="19"/>
        </w:rPr>
        <w:t>1127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款）的规定，作为石君昌唯一的第二顺位继承人，有权继承石君昌的遗产。</w:t>
      </w:r>
    </w:p>
    <w:p w14:paraId="7D95ACB4">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原告石坊昌是否放弃继承权</w:t>
      </w:r>
    </w:p>
    <w:p w14:paraId="5444E6F0">
      <w:pPr>
        <w:pStyle w:val="17"/>
        <w:keepNext w:val="0"/>
        <w:keepLines w:val="0"/>
        <w:widowControl w:val="0"/>
        <w:shd w:val="clear" w:color="auto" w:fill="auto"/>
        <w:bidi w:val="0"/>
        <w:spacing w:before="0" w:after="280" w:line="347" w:lineRule="exact"/>
        <w:ind w:left="0" w:right="0" w:firstLine="440"/>
        <w:jc w:val="both"/>
      </w:pPr>
      <w:r>
        <w:rPr>
          <w:color w:val="000000"/>
          <w:spacing w:val="0"/>
          <w:w w:val="100"/>
          <w:position w:val="0"/>
        </w:rPr>
        <w:t>《继承法》第</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1124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“继承</w:t>
      </w:r>
      <w:r>
        <w:rPr>
          <w:color w:val="000000"/>
          <w:spacing w:val="0"/>
          <w:w w:val="100"/>
          <w:position w:val="0"/>
        </w:rPr>
        <w:t>开始后，继承人放弃 继承的，应当在遗产处理前，作出放弃继承的表示。没有表示的，视为接受继承</w:t>
      </w:r>
      <w:r>
        <w:rPr>
          <w:color w:val="000000"/>
          <w:spacing w:val="0"/>
          <w:w w:val="100"/>
          <w:position w:val="0"/>
          <w:lang w:val="zh-CN" w:eastAsia="zh-CN" w:bidi="zh-CN"/>
        </w:rPr>
        <w:t>。”由</w:t>
      </w:r>
      <w:r>
        <w:rPr>
          <w:color w:val="000000"/>
          <w:spacing w:val="0"/>
          <w:w w:val="100"/>
          <w:position w:val="0"/>
        </w:rPr>
        <w:t>此可 知,放弃需于继承开始后、遗产分割前作出，是对继承既得权的处分。有观点认为，从石坊昌 在石君昌死后对弟弟的后事不管不问这一行为中，可以推出他并未履行其作为法定继承人 对被继承人应尽的义务，在事实上已经放弃了法定继承权。但根据最高人民法院《关于贯 彻执行〈中华人民共和国继承法〉若干问题的意见》［法（民）发</w:t>
      </w:r>
      <w:r>
        <w:rPr>
          <w:rFonts w:ascii="Times New Roman" w:hAnsi="Times New Roman" w:eastAsia="Times New Roman" w:cs="Times New Roman"/>
          <w:color w:val="000000"/>
          <w:spacing w:val="0"/>
          <w:w w:val="100"/>
          <w:position w:val="0"/>
          <w:sz w:val="19"/>
          <w:szCs w:val="19"/>
        </w:rPr>
        <w:t>（1985）22</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47</w:t>
      </w:r>
      <w:r>
        <w:rPr>
          <w:color w:val="000000"/>
          <w:spacing w:val="0"/>
          <w:w w:val="100"/>
          <w:position w:val="0"/>
        </w:rPr>
        <w:t>条的规 定，放弃继承的意思表示应当采取书面形式或有充分证据证明的口头形式作出，而不能通 过行为这一默示形式作出。综上所述，原告石坊昌并未放弃继承权。</w:t>
      </w:r>
    </w:p>
    <w:p w14:paraId="16B99A91">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被告石忠雪对死者石君昌的财产是否享有国家法层面的继承权</w:t>
      </w:r>
    </w:p>
    <w:p w14:paraId="70452EC2">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我国现行法并未承认宗袂继承，原《继承法》的规范对象限于财产继承关系，且立嗣传 统与现代法上的收养是目的性质完全不同的制度。根据原《婚姻法》第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款（《民法 典》第</w:t>
      </w:r>
      <w:r>
        <w:rPr>
          <w:rFonts w:ascii="Times New Roman" w:hAnsi="Times New Roman" w:eastAsia="Times New Roman" w:cs="Times New Roman"/>
          <w:color w:val="000000"/>
          <w:spacing w:val="0"/>
          <w:w w:val="100"/>
          <w:position w:val="0"/>
          <w:sz w:val="19"/>
          <w:szCs w:val="19"/>
        </w:rPr>
        <w:t>1127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w:t>
      </w:r>
      <w:r>
        <w:rPr>
          <w:color w:val="000000"/>
          <w:spacing w:val="0"/>
          <w:w w:val="100"/>
          <w:position w:val="0"/>
          <w:lang w:val="zh-CN" w:eastAsia="zh-CN" w:bidi="zh-CN"/>
        </w:rPr>
        <w:t>，“本</w:t>
      </w:r>
      <w:r>
        <w:rPr>
          <w:color w:val="000000"/>
          <w:spacing w:val="0"/>
          <w:w w:val="100"/>
          <w:position w:val="0"/>
        </w:rPr>
        <w:t xml:space="preserve">法所说的子女，包括婚生子女、非婚生子女、养子女和有扶 养关系的继子女”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最高人民法院《关于贯彻执行民事政策法律若干问题的意见》</w:t>
      </w:r>
      <w:r>
        <w:rPr>
          <w:color w:val="000000"/>
          <w:spacing w:val="0"/>
          <w:w w:val="100"/>
          <w:position w:val="0"/>
          <w:lang w:val="en-US" w:eastAsia="en-US" w:bidi="en-US"/>
        </w:rPr>
        <w:t>［</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 xml:space="preserve">1984） </w:t>
      </w:r>
      <w:r>
        <w:rPr>
          <w:color w:val="000000"/>
          <w:spacing w:val="0"/>
          <w:w w:val="100"/>
          <w:position w:val="0"/>
        </w:rPr>
        <w:t>法办字第</w:t>
      </w:r>
      <w:r>
        <w:rPr>
          <w:rFonts w:ascii="Times New Roman" w:hAnsi="Times New Roman" w:eastAsia="Times New Roman" w:cs="Times New Roman"/>
          <w:color w:val="000000"/>
          <w:spacing w:val="0"/>
          <w:w w:val="100"/>
          <w:position w:val="0"/>
          <w:sz w:val="19"/>
          <w:szCs w:val="19"/>
        </w:rPr>
        <w:t>112</w:t>
      </w:r>
      <w:r>
        <w:rPr>
          <w:color w:val="000000"/>
          <w:spacing w:val="0"/>
          <w:w w:val="100"/>
          <w:position w:val="0"/>
        </w:rPr>
        <w:t>号］（已失效）第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条曾规定,</w:t>
      </w:r>
      <w:r>
        <w:rPr>
          <w:color w:val="000000"/>
          <w:spacing w:val="0"/>
          <w:w w:val="100"/>
          <w:position w:val="0"/>
          <w:lang w:val="zh-CN" w:eastAsia="zh-CN" w:bidi="zh-CN"/>
        </w:rPr>
        <w:t>“，过</w:t>
      </w:r>
      <w:r>
        <w:rPr>
          <w:color w:val="000000"/>
          <w:spacing w:val="0"/>
          <w:w w:val="100"/>
          <w:position w:val="0"/>
        </w:rPr>
        <w:t>继，子女与</w:t>
      </w:r>
      <w:r>
        <w:rPr>
          <w:color w:val="000000"/>
          <w:spacing w:val="0"/>
          <w:w w:val="100"/>
          <w:position w:val="0"/>
          <w:vertAlign w:val="superscript"/>
        </w:rPr>
        <w:t>4</w:t>
      </w:r>
      <w:r>
        <w:rPr>
          <w:color w:val="000000"/>
          <w:spacing w:val="0"/>
          <w:w w:val="100"/>
          <w:position w:val="0"/>
        </w:rPr>
        <w:t>过继，父母形成扶养关系的, 即为养子女,互有继承权;如系封建性的’过继’、’立嗣’，没有形成扶养关系的，不能享有继 承权”。因此,国家法层面并未明确承认只是打幡送葬而未曾共同生活、毫无抚养关系的嗣 子享有继承权。</w:t>
      </w:r>
    </w:p>
    <w:p w14:paraId="01D0DE52">
      <w:pPr>
        <w:pStyle w:val="17"/>
        <w:keepNext w:val="0"/>
        <w:keepLines w:val="0"/>
        <w:widowControl w:val="0"/>
        <w:shd w:val="clear" w:color="auto" w:fill="auto"/>
        <w:bidi w:val="0"/>
        <w:spacing w:before="0" w:after="280" w:line="343" w:lineRule="exact"/>
        <w:ind w:left="0" w:right="0" w:firstLine="440"/>
        <w:jc w:val="both"/>
        <w:sectPr>
          <w:headerReference r:id="rId37" w:type="default"/>
          <w:headerReference r:id="rId38" w:type="even"/>
          <w:footnotePr>
            <w:numFmt w:val="chicago"/>
          </w:footnotePr>
          <w:pgSz w:w="10099" w:h="14782"/>
          <w:pgMar w:top="1304" w:right="1024" w:bottom="1107" w:left="1045" w:header="0" w:footer="679" w:gutter="0"/>
          <w:pgNumType w:start="18"/>
          <w:cols w:space="720" w:num="1"/>
          <w:rtlGutter w:val="0"/>
          <w:docGrid w:linePitch="360" w:charSpace="0"/>
        </w:sectPr>
      </w:pPr>
      <w:r>
        <w:rPr>
          <w:color w:val="000000"/>
          <w:spacing w:val="0"/>
          <w:w w:val="100"/>
          <w:position w:val="0"/>
        </w:rPr>
        <w:t>综上所述,被告石忠雪在</w:t>
      </w:r>
      <w:r>
        <w:rPr>
          <w:color w:val="000000"/>
          <w:spacing w:val="0"/>
          <w:w w:val="100"/>
          <w:position w:val="0"/>
          <w:lang w:val="zh-CN" w:eastAsia="zh-CN" w:bidi="zh-CN"/>
        </w:rPr>
        <w:t>“顶盆”过</w:t>
      </w:r>
      <w:r>
        <w:rPr>
          <w:color w:val="000000"/>
          <w:spacing w:val="0"/>
          <w:w w:val="100"/>
          <w:position w:val="0"/>
        </w:rPr>
        <w:t xml:space="preserve">继之前,没有与石君昌形成扶养关系,他们之间不是 继父与继子关系。因此,石忠雪不是石君昌继承法意义上的法定继承人。另外，他也不属于 </w:t>
      </w:r>
    </w:p>
    <w:p w14:paraId="0F033FAC">
      <w:pPr>
        <w:pStyle w:val="17"/>
        <w:keepNext w:val="0"/>
        <w:keepLines w:val="0"/>
        <w:widowControl w:val="0"/>
        <w:shd w:val="clear" w:color="auto" w:fill="auto"/>
        <w:bidi w:val="0"/>
        <w:spacing w:before="0" w:after="280" w:line="343" w:lineRule="exact"/>
        <w:ind w:left="0" w:right="0" w:firstLine="0"/>
        <w:jc w:val="both"/>
      </w:pPr>
      <w:r>
        <w:rPr>
          <w:color w:val="000000"/>
          <w:spacing w:val="0"/>
          <w:w w:val="100"/>
          <w:position w:val="0"/>
        </w:rPr>
        <w:t>继承法上的受遗赠人、受抚养人、遗嘱受让人等类型。</w:t>
      </w:r>
    </w:p>
    <w:p w14:paraId="2AEBB06E">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被告石忠雪是否依习惯而享有继承权</w:t>
      </w:r>
    </w:p>
    <w:p w14:paraId="37ECB31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lang w:val="zh-CN" w:eastAsia="zh-CN" w:bidi="zh-CN"/>
        </w:rPr>
        <w:t>“顶</w:t>
      </w:r>
      <w:r>
        <w:rPr>
          <w:color w:val="000000"/>
          <w:spacing w:val="0"/>
          <w:w w:val="100"/>
          <w:position w:val="0"/>
        </w:rPr>
        <w:t>盆发丧</w:t>
      </w:r>
      <w:r>
        <w:rPr>
          <w:color w:val="000000"/>
          <w:spacing w:val="0"/>
          <w:w w:val="100"/>
          <w:position w:val="0"/>
          <w:lang w:val="zh-CN" w:eastAsia="zh-CN" w:bidi="zh-CN"/>
        </w:rPr>
        <w:t>”与“顶盆</w:t>
      </w:r>
      <w:r>
        <w:rPr>
          <w:color w:val="000000"/>
          <w:spacing w:val="0"/>
          <w:w w:val="100"/>
          <w:position w:val="0"/>
        </w:rPr>
        <w:t>过继”的民间习俗在我国农村源远流长。</w:t>
      </w:r>
      <w:r>
        <w:rPr>
          <w:color w:val="000000"/>
          <w:spacing w:val="0"/>
          <w:w w:val="100"/>
          <w:position w:val="0"/>
          <w:lang w:val="zh-CN" w:eastAsia="zh-CN" w:bidi="zh-CN"/>
        </w:rPr>
        <w:t>“摔</w:t>
      </w:r>
      <w:r>
        <w:rPr>
          <w:color w:val="000000"/>
          <w:spacing w:val="0"/>
          <w:w w:val="100"/>
          <w:position w:val="0"/>
        </w:rPr>
        <w:t>盆儿</w:t>
      </w:r>
      <w:r>
        <w:rPr>
          <w:color w:val="000000"/>
          <w:spacing w:val="0"/>
          <w:w w:val="100"/>
          <w:position w:val="0"/>
          <w:lang w:val="zh-CN" w:eastAsia="zh-CN" w:bidi="zh-CN"/>
        </w:rPr>
        <w:t>”风俗</w:t>
      </w:r>
      <w:r>
        <w:rPr>
          <w:color w:val="000000"/>
          <w:spacing w:val="0"/>
          <w:w w:val="100"/>
          <w:position w:val="0"/>
        </w:rPr>
        <w:t>，指老人 去世之后，在出殡时要由家里的长子把烧纸钱的火盆顶在头上，然后摔碎。如果去世的老 人没有子女的话,一般要在叔伯兄弟的孩子中找出一个人作为嗣子，由他来摔盆儿,这个风 俗因而也叫“顶盆过继”。通常情形，摔盆、顶盆之子侄纵使最后未经宗族指立为嗣，亦能分 得若干户绝财产。因此，争继者竞相顶盆、摔盆及打幡等事时有发生。</w:t>
      </w:r>
    </w:p>
    <w:p w14:paraId="0618FDA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顶盆发丧这一风俗习惯涉及了</w:t>
      </w:r>
      <w:r>
        <w:rPr>
          <w:color w:val="000000"/>
          <w:spacing w:val="0"/>
          <w:w w:val="100"/>
          <w:position w:val="0"/>
          <w:lang w:val="zh-CN" w:eastAsia="zh-CN" w:bidi="zh-CN"/>
        </w:rPr>
        <w:t>“丧礼”这</w:t>
      </w:r>
      <w:r>
        <w:rPr>
          <w:color w:val="000000"/>
          <w:spacing w:val="0"/>
          <w:w w:val="100"/>
          <w:position w:val="0"/>
        </w:rPr>
        <w:t>一中国传统文化的重要领域，在古人的人生观 中，死后有人为之主丧、主祭似乎是非常重要的人生关怀，一方面说明后继有人，另一方面 也能保证死后仍有所享。顶盆过继则关联“宗桃继承</w:t>
      </w:r>
      <w:r>
        <w:rPr>
          <w:color w:val="000000"/>
          <w:spacing w:val="0"/>
          <w:w w:val="100"/>
          <w:position w:val="0"/>
          <w:lang w:val="zh-CN" w:eastAsia="zh-CN" w:bidi="zh-CN"/>
        </w:rPr>
        <w:t>”这</w:t>
      </w:r>
      <w:r>
        <w:rPr>
          <w:color w:val="000000"/>
          <w:spacing w:val="0"/>
          <w:w w:val="100"/>
          <w:position w:val="0"/>
        </w:rPr>
        <w:t>一古代宗法制度的核心内容，秦以 后封建制瓦解，宗法原则转化为宗就继承存在，集祭祀继承、身份继承与财产继承为一体。 宗桃继承的原则是，有子立嫡，无子立嗣。顶盆过继的风俗习惯背后正是宗桃继承中的立 嗣制度。所谓立嗣，是指当事人在没有符合立嫡条件的亲生子孙时，择立继承人以延续香 火。立嗣以近亲过继作为续绝手段，是防止户绝的一种补救办法。</w:t>
      </w:r>
    </w:p>
    <w:p w14:paraId="4D925EF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立嗣十分讲究次序</w:t>
      </w:r>
      <w:r>
        <w:rPr>
          <w:color w:val="000000"/>
          <w:spacing w:val="0"/>
          <w:w w:val="100"/>
          <w:position w:val="0"/>
          <w:lang w:val="zh-CN" w:eastAsia="zh-CN" w:bidi="zh-CN"/>
        </w:rPr>
        <w:t>，“凡</w:t>
      </w:r>
      <w:r>
        <w:rPr>
          <w:color w:val="000000"/>
          <w:spacing w:val="0"/>
          <w:w w:val="100"/>
          <w:position w:val="0"/>
        </w:rPr>
        <w:t>子孙无嗣者，以亲兄弟次子承继。若亲兄弟无可继者,于堂兄 弟之子继之。由亲及疏，以次而继，不许变乱宗法”。由此可知，立嗣对象为同宗近支卑亲 属，由近而远，辈分相当，异姓不得立嗣。立嗣既包括被继承人生前择定继承人，也包括立继 以及命继，前者指被继承人死后由其寡妻为其择立继承人，后者指夫妻都已死亡时，由丈夫 的近亲尊长为之择立继承人。本案中的顶盆过继就属于命继行为。在传统中国，立嗣关系 一经成立,嗣子就取得了被继承人的宗桃继承权及其家庭财产权，同时承担相应义务,与被 继承人的亲生子孙无异。</w:t>
      </w:r>
    </w:p>
    <w:p w14:paraId="16CE44C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条规定:“处理民事纠纷，应当依照法律;法律没有规定的，可以适用习 惯，但是不得违背公序良俗</w:t>
      </w:r>
      <w:r>
        <w:rPr>
          <w:color w:val="000000"/>
          <w:spacing w:val="0"/>
          <w:w w:val="100"/>
          <w:position w:val="0"/>
          <w:lang w:val="zh-CN" w:eastAsia="zh-CN" w:bidi="zh-CN"/>
        </w:rPr>
        <w:t>。”作</w:t>
      </w:r>
      <w:r>
        <w:rPr>
          <w:color w:val="000000"/>
          <w:spacing w:val="0"/>
          <w:w w:val="100"/>
          <w:position w:val="0"/>
        </w:rPr>
        <w:t>为我国《民法典》中的</w:t>
      </w:r>
      <w:r>
        <w:rPr>
          <w:color w:val="000000"/>
          <w:spacing w:val="0"/>
          <w:w w:val="100"/>
          <w:position w:val="0"/>
          <w:lang w:val="zh-CN" w:eastAsia="zh-CN" w:bidi="zh-CN"/>
        </w:rPr>
        <w:t>“法</w:t>
      </w:r>
      <w:r>
        <w:rPr>
          <w:color w:val="000000"/>
          <w:spacing w:val="0"/>
          <w:w w:val="100"/>
          <w:position w:val="0"/>
        </w:rPr>
        <w:t>源条款</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条的核心价值突出 表现为将习惯从过去《合同法》《物权法》等部门法中的零散规定，上升为总则中的一般性法 源，这是我国民法典开放性的重要体现,对于中国这样具有深厚文化底蕴和历史传统的国 家,确实具有重要意义。习惯是某群体或社会的低限度共识，共识的实现源于其内容的可 遵守性。作为内生于社会的自控型秩序,人们遵守习惯，并非因习惯具有外在的法律约束 力和强制力，而是基于社会的合作与交往，习惯能自我维持和扩展，甚至内化为自觉遵守的 行为准则。</w:t>
      </w:r>
    </w:p>
    <w:p w14:paraId="2CDE0209">
      <w:pPr>
        <w:pStyle w:val="17"/>
        <w:keepNext w:val="0"/>
        <w:keepLines w:val="0"/>
        <w:widowControl w:val="0"/>
        <w:shd w:val="clear" w:color="auto" w:fill="auto"/>
        <w:bidi w:val="0"/>
        <w:spacing w:before="0" w:after="0" w:line="343" w:lineRule="exact"/>
        <w:ind w:left="0" w:right="0" w:firstLine="420"/>
        <w:jc w:val="both"/>
        <w:rPr>
          <w:sz w:val="19"/>
          <w:szCs w:val="19"/>
        </w:rPr>
      </w:pPr>
      <w:r>
        <w:rPr>
          <w:color w:val="000000"/>
          <w:spacing w:val="0"/>
          <w:w w:val="100"/>
          <w:position w:val="0"/>
          <w:sz w:val="18"/>
          <w:szCs w:val="18"/>
        </w:rPr>
        <w:t>习惯要成为裁判依据，须经合法性判断，即不得违反法律的强制性规定和公序良俗。 《民法总则》第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sz w:val="18"/>
          <w:szCs w:val="18"/>
        </w:rPr>
        <w:t>条）明文规定，习惯不能违反公序良俗。强制性规范与 公序良俗具有</w:t>
      </w:r>
      <w:r>
        <w:rPr>
          <w:color w:val="000000"/>
          <w:spacing w:val="0"/>
          <w:w w:val="100"/>
          <w:position w:val="0"/>
          <w:sz w:val="18"/>
          <w:szCs w:val="18"/>
          <w:lang w:val="zh-CN" w:eastAsia="zh-CN" w:bidi="zh-CN"/>
        </w:rPr>
        <w:t>“不</w:t>
      </w:r>
      <w:r>
        <w:rPr>
          <w:color w:val="000000"/>
          <w:spacing w:val="0"/>
          <w:w w:val="100"/>
          <w:position w:val="0"/>
          <w:sz w:val="18"/>
          <w:szCs w:val="18"/>
        </w:rPr>
        <w:t xml:space="preserve">可推翻的规范拘束力”，必须在所有案件的审判中得以适用,这也是满足 </w:t>
      </w:r>
      <w:r>
        <w:rPr>
          <w:color w:val="000000"/>
          <w:spacing w:val="0"/>
          <w:w w:val="100"/>
          <w:position w:val="0"/>
          <w:sz w:val="18"/>
          <w:szCs w:val="18"/>
          <w:lang w:val="zh-CN" w:eastAsia="zh-CN" w:bidi="zh-CN"/>
        </w:rPr>
        <w:t>“依法</w:t>
      </w:r>
      <w:r>
        <w:rPr>
          <w:color w:val="000000"/>
          <w:spacing w:val="0"/>
          <w:w w:val="100"/>
          <w:position w:val="0"/>
          <w:sz w:val="18"/>
          <w:szCs w:val="18"/>
        </w:rPr>
        <w:t xml:space="preserve">裁判”的必要条件。公序良俗从民族共同的道德感中抽象而成，可以将其看作全社会 范围内所形成的普遍共识，是一种通行于全社会范围的“习惯法” </w:t>
      </w:r>
      <w:r>
        <w:rPr>
          <w:rFonts w:ascii="Times New Roman" w:hAnsi="Times New Roman" w:eastAsia="Times New Roman" w:cs="Times New Roman"/>
          <w:color w:val="000000"/>
          <w:spacing w:val="0"/>
          <w:w w:val="100"/>
          <w:position w:val="0"/>
          <w:sz w:val="19"/>
          <w:szCs w:val="19"/>
          <w:lang w:val="en-US" w:eastAsia="en-US" w:bidi="en-US"/>
        </w:rPr>
        <w:t>O</w:t>
      </w:r>
    </w:p>
    <w:p w14:paraId="27223A94">
      <w:pPr>
        <w:pStyle w:val="17"/>
        <w:keepNext w:val="0"/>
        <w:keepLines w:val="0"/>
        <w:widowControl w:val="0"/>
        <w:shd w:val="clear" w:color="auto" w:fill="auto"/>
        <w:bidi w:val="0"/>
        <w:spacing w:before="0" w:after="0" w:line="343" w:lineRule="exact"/>
        <w:ind w:left="0" w:right="0" w:firstLine="420"/>
        <w:jc w:val="both"/>
        <w:sectPr>
          <w:headerReference r:id="rId39" w:type="default"/>
          <w:headerReference r:id="rId40" w:type="even"/>
          <w:footnotePr>
            <w:numFmt w:val="chicago"/>
          </w:footnotePr>
          <w:pgSz w:w="10099" w:h="14782"/>
          <w:pgMar w:top="1304" w:right="1024" w:bottom="1107" w:left="1045" w:header="0" w:footer="679" w:gutter="0"/>
          <w:pgNumType w:start="35"/>
          <w:cols w:space="720" w:num="1"/>
          <w:rtlGutter w:val="0"/>
          <w:docGrid w:linePitch="360" w:charSpace="0"/>
        </w:sectPr>
      </w:pPr>
      <w:r>
        <w:rPr>
          <w:color w:val="000000"/>
          <w:spacing w:val="0"/>
          <w:w w:val="100"/>
          <w:position w:val="0"/>
          <w:lang w:val="zh-CN" w:eastAsia="zh-CN" w:bidi="zh-CN"/>
        </w:rPr>
        <w:t>“顶</w:t>
      </w:r>
      <w:r>
        <w:rPr>
          <w:color w:val="000000"/>
          <w:spacing w:val="0"/>
          <w:w w:val="100"/>
          <w:position w:val="0"/>
        </w:rPr>
        <w:t>盆过继</w:t>
      </w:r>
      <w:r>
        <w:rPr>
          <w:color w:val="000000"/>
          <w:spacing w:val="0"/>
          <w:w w:val="100"/>
          <w:position w:val="0"/>
          <w:lang w:val="zh-CN" w:eastAsia="zh-CN" w:bidi="zh-CN"/>
        </w:rPr>
        <w:t>”在习</w:t>
      </w:r>
      <w:r>
        <w:rPr>
          <w:color w:val="000000"/>
          <w:spacing w:val="0"/>
          <w:w w:val="100"/>
          <w:position w:val="0"/>
        </w:rPr>
        <w:t xml:space="preserve">惯法层面具有两层意义:一是顶盆，即为逝者发丧;二是过继,继承逝 </w:t>
      </w:r>
    </w:p>
    <w:p w14:paraId="7B017B60">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者的宗桃、财产。在我国传统法制体系中，一般属于</w:t>
      </w:r>
      <w:r>
        <w:rPr>
          <w:color w:val="000000"/>
          <w:spacing w:val="0"/>
          <w:w w:val="100"/>
          <w:position w:val="0"/>
          <w:lang w:val="zh-CN" w:eastAsia="zh-CN" w:bidi="zh-CN"/>
        </w:rPr>
        <w:t>“户律”的“户绝”条</w:t>
      </w:r>
      <w:r>
        <w:rPr>
          <w:color w:val="000000"/>
          <w:spacing w:val="0"/>
          <w:w w:val="100"/>
          <w:position w:val="0"/>
        </w:rPr>
        <w:t>内容,具有身份法意 义。但是在现代社会中，则主要发生财产继承的效果。这一习惯为本案提供的规则为:石君 昌的父母、妻子、儿女皆已先于其去世，在其他侄子不愿</w:t>
      </w:r>
      <w:r>
        <w:rPr>
          <w:color w:val="000000"/>
          <w:spacing w:val="0"/>
          <w:w w:val="100"/>
          <w:position w:val="0"/>
          <w:lang w:val="zh-CN" w:eastAsia="zh-CN" w:bidi="zh-CN"/>
        </w:rPr>
        <w:t>“顶盆”的</w:t>
      </w:r>
      <w:r>
        <w:rPr>
          <w:color w:val="000000"/>
          <w:spacing w:val="0"/>
          <w:w w:val="100"/>
          <w:position w:val="0"/>
        </w:rPr>
        <w:t>情况下，石忠雪可以通过 为其</w:t>
      </w:r>
      <w:r>
        <w:rPr>
          <w:color w:val="000000"/>
          <w:spacing w:val="0"/>
          <w:w w:val="100"/>
          <w:position w:val="0"/>
          <w:lang w:val="zh-CN" w:eastAsia="zh-CN" w:bidi="zh-CN"/>
        </w:rPr>
        <w:t>“顶</w:t>
      </w:r>
      <w:r>
        <w:rPr>
          <w:color w:val="000000"/>
          <w:spacing w:val="0"/>
          <w:w w:val="100"/>
          <w:position w:val="0"/>
        </w:rPr>
        <w:t>盆发丧</w:t>
      </w:r>
      <w:r>
        <w:rPr>
          <w:color w:val="000000"/>
          <w:spacing w:val="0"/>
          <w:w w:val="100"/>
          <w:position w:val="0"/>
          <w:lang w:val="zh-CN" w:eastAsia="zh-CN" w:bidi="zh-CN"/>
        </w:rPr>
        <w:t>”、料</w:t>
      </w:r>
      <w:r>
        <w:rPr>
          <w:color w:val="000000"/>
          <w:spacing w:val="0"/>
          <w:w w:val="100"/>
          <w:position w:val="0"/>
        </w:rPr>
        <w:t>理后事，成为其</w:t>
      </w:r>
      <w:r>
        <w:rPr>
          <w:color w:val="000000"/>
          <w:spacing w:val="0"/>
          <w:w w:val="100"/>
          <w:position w:val="0"/>
          <w:lang w:val="zh-CN" w:eastAsia="zh-CN" w:bidi="zh-CN"/>
        </w:rPr>
        <w:t>“继子”，继</w:t>
      </w:r>
      <w:r>
        <w:rPr>
          <w:color w:val="000000"/>
          <w:spacing w:val="0"/>
          <w:w w:val="100"/>
          <w:position w:val="0"/>
        </w:rPr>
        <w:t>承其财产。就这一角度而言,有学者把本案 誉为</w:t>
      </w:r>
      <w:r>
        <w:rPr>
          <w:color w:val="000000"/>
          <w:spacing w:val="0"/>
          <w:w w:val="100"/>
          <w:position w:val="0"/>
          <w:lang w:val="zh-CN" w:eastAsia="zh-CN" w:bidi="zh-CN"/>
        </w:rPr>
        <w:t>“民间</w:t>
      </w:r>
      <w:r>
        <w:rPr>
          <w:color w:val="000000"/>
          <w:spacing w:val="0"/>
          <w:w w:val="100"/>
          <w:position w:val="0"/>
        </w:rPr>
        <w:t>法第一案”。</w:t>
      </w:r>
    </w:p>
    <w:p w14:paraId="363E8434">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值得探讨的是</w:t>
      </w:r>
      <w:r>
        <w:rPr>
          <w:color w:val="000000"/>
          <w:spacing w:val="0"/>
          <w:w w:val="100"/>
          <w:position w:val="0"/>
          <w:lang w:val="zh-CN" w:eastAsia="zh-CN" w:bidi="zh-CN"/>
        </w:rPr>
        <w:t>，“顶</w:t>
      </w:r>
      <w:r>
        <w:rPr>
          <w:color w:val="000000"/>
          <w:spacing w:val="0"/>
          <w:w w:val="100"/>
          <w:position w:val="0"/>
        </w:rPr>
        <w:t>盆过继</w:t>
      </w:r>
      <w:r>
        <w:rPr>
          <w:color w:val="000000"/>
          <w:spacing w:val="0"/>
          <w:w w:val="100"/>
          <w:position w:val="0"/>
          <w:lang w:val="zh-CN" w:eastAsia="zh-CN" w:bidi="zh-CN"/>
        </w:rPr>
        <w:t>”这一</w:t>
      </w:r>
      <w:r>
        <w:rPr>
          <w:color w:val="000000"/>
          <w:spacing w:val="0"/>
          <w:w w:val="100"/>
          <w:position w:val="0"/>
        </w:rPr>
        <w:t>习惯在现代法规范层面的法律效果，是让嗣子或继子 获得正式的法定继承人地位，再按《继承法》第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1127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款）的继承顺位进行法定继承;还是认为习惯作为法源的效力最多赋予嗣子或继子继承权, 却不足以剥夺其他法定继承人依法律所享有的继承权,嗣子或继子仅仅可以作为共同继承 人参与到其他继承人如配偶或兄弟姐妹的继承过程中。本案若依前者强效果方案,则石君 昌与石忠雪之间形成父母子女关系，石忠雪成为唯一的第一顺位继承人，此时作为第二顺 位的石坊昌无法继承遗产;若依后者弱效果方案，则石忠雪作为继承人与石坊昌构成共同 继承关系,两人处于同一顺位。</w:t>
      </w:r>
    </w:p>
    <w:p w14:paraId="48A5A74A">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笔者认为,从立嗣这一传统制度的目的观察,是在没有亲生子孙的前提下，择立继承人 以取得被继承人的继承权及其家庭财产权，同时承担相应义务，与被继承人的亲生子孙无 异。因此，对应于现行继承法规范层面,应将嗣子或继子与享有继承权的亲生子女或养子 女同等对待,并不要求相互之间形成扶养关系。或者说，立嗣本身并不包含扶养功能。因 此，笔者赞同</w:t>
      </w:r>
      <w:r>
        <w:rPr>
          <w:color w:val="000000"/>
          <w:spacing w:val="0"/>
          <w:w w:val="100"/>
          <w:position w:val="0"/>
          <w:lang w:val="zh-CN" w:eastAsia="zh-CN" w:bidi="zh-CN"/>
        </w:rPr>
        <w:t>“顶</w:t>
      </w:r>
      <w:r>
        <w:rPr>
          <w:color w:val="000000"/>
          <w:spacing w:val="0"/>
          <w:w w:val="100"/>
          <w:position w:val="0"/>
        </w:rPr>
        <w:t>盆过继</w:t>
      </w:r>
      <w:r>
        <w:rPr>
          <w:color w:val="000000"/>
          <w:spacing w:val="0"/>
          <w:w w:val="100"/>
          <w:position w:val="0"/>
          <w:lang w:val="zh-CN" w:eastAsia="zh-CN" w:bidi="zh-CN"/>
        </w:rPr>
        <w:t>”习惯</w:t>
      </w:r>
      <w:r>
        <w:rPr>
          <w:color w:val="000000"/>
          <w:spacing w:val="0"/>
          <w:w w:val="100"/>
          <w:position w:val="0"/>
        </w:rPr>
        <w:t>应产生强效力，即石忠雪成为第一顺位继承人，由此，作为第 二顺位继承人的石坊昌便无法依继承人身份获得遗产。</w:t>
      </w:r>
    </w:p>
    <w:p w14:paraId="1A64904B">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此外，习惯的适用不能违反强制性规范与公序良俗。本案中，石忠雪这种</w:t>
      </w:r>
      <w:r>
        <w:rPr>
          <w:color w:val="000000"/>
          <w:spacing w:val="0"/>
          <w:w w:val="100"/>
          <w:position w:val="0"/>
          <w:lang w:val="zh-CN" w:eastAsia="zh-CN" w:bidi="zh-CN"/>
        </w:rPr>
        <w:t>“顶盆</w:t>
      </w:r>
      <w:r>
        <w:rPr>
          <w:color w:val="000000"/>
          <w:spacing w:val="0"/>
          <w:w w:val="100"/>
          <w:position w:val="0"/>
        </w:rPr>
        <w:t>过继” 行为并非旨在宣扬封建迷信，国家制定法亦未明令禁止,不违反法律的强制性规定。</w:t>
      </w:r>
      <w:r>
        <w:rPr>
          <w:color w:val="000000"/>
          <w:spacing w:val="0"/>
          <w:w w:val="100"/>
          <w:position w:val="0"/>
          <w:lang w:val="zh-CN" w:eastAsia="zh-CN" w:bidi="zh-CN"/>
        </w:rPr>
        <w:t xml:space="preserve">“顶盆 </w:t>
      </w:r>
      <w:r>
        <w:rPr>
          <w:color w:val="000000"/>
          <w:spacing w:val="0"/>
          <w:w w:val="100"/>
          <w:position w:val="0"/>
        </w:rPr>
        <w:t>过继</w:t>
      </w:r>
      <w:r>
        <w:rPr>
          <w:color w:val="000000"/>
          <w:spacing w:val="0"/>
          <w:w w:val="100"/>
          <w:position w:val="0"/>
          <w:lang w:val="zh-CN" w:eastAsia="zh-CN" w:bidi="zh-CN"/>
        </w:rPr>
        <w:t>”这</w:t>
      </w:r>
      <w:r>
        <w:rPr>
          <w:color w:val="000000"/>
          <w:spacing w:val="0"/>
          <w:w w:val="100"/>
          <w:position w:val="0"/>
        </w:rPr>
        <w:t>一习惯也不违背公序良俗,其更深的文化内涵是</w:t>
      </w:r>
      <w:r>
        <w:rPr>
          <w:color w:val="000000"/>
          <w:spacing w:val="0"/>
          <w:w w:val="100"/>
          <w:position w:val="0"/>
          <w:lang w:val="zh-CN" w:eastAsia="zh-CN" w:bidi="zh-CN"/>
        </w:rPr>
        <w:t>“慎终</w:t>
      </w:r>
      <w:r>
        <w:rPr>
          <w:color w:val="000000"/>
          <w:spacing w:val="0"/>
          <w:w w:val="100"/>
          <w:position w:val="0"/>
        </w:rPr>
        <w:t>追远”的价值追求。由同宗 晚辈</w:t>
      </w:r>
      <w:r>
        <w:rPr>
          <w:color w:val="000000"/>
          <w:spacing w:val="0"/>
          <w:w w:val="100"/>
          <w:position w:val="0"/>
          <w:lang w:val="zh-CN" w:eastAsia="zh-CN" w:bidi="zh-CN"/>
        </w:rPr>
        <w:t>“顶盆”过</w:t>
      </w:r>
      <w:r>
        <w:rPr>
          <w:color w:val="000000"/>
          <w:spacing w:val="0"/>
          <w:w w:val="100"/>
          <w:position w:val="0"/>
        </w:rPr>
        <w:t>继而继承财产，一方面体现</w:t>
      </w:r>
      <w:r>
        <w:rPr>
          <w:color w:val="000000"/>
          <w:spacing w:val="0"/>
          <w:w w:val="100"/>
          <w:position w:val="0"/>
          <w:lang w:val="zh-CN" w:eastAsia="zh-CN" w:bidi="zh-CN"/>
        </w:rPr>
        <w:t>“慎终”的</w:t>
      </w:r>
      <w:r>
        <w:rPr>
          <w:color w:val="000000"/>
          <w:spacing w:val="0"/>
          <w:w w:val="100"/>
          <w:position w:val="0"/>
        </w:rPr>
        <w:t>观念,使被继承人身后有所托付,得享祭 祀;另一方面也保证被继承人的财产不至失散，有助于继承人的生活改善，既具有文化价 值，又具有社会意义。石君昌仅有的一处房产，因一家四口先后全染重病身亡而被视为</w:t>
      </w:r>
      <w:r>
        <w:rPr>
          <w:color w:val="000000"/>
          <w:spacing w:val="0"/>
          <w:w w:val="100"/>
          <w:position w:val="0"/>
          <w:lang w:val="zh-CN" w:eastAsia="zh-CN" w:bidi="zh-CN"/>
        </w:rPr>
        <w:t xml:space="preserve">“凶 </w:t>
      </w:r>
      <w:r>
        <w:rPr>
          <w:color w:val="000000"/>
          <w:spacing w:val="0"/>
          <w:w w:val="100"/>
          <w:position w:val="0"/>
        </w:rPr>
        <w:t>宅”，包括原告石坊昌两个儿子在内的其他侄辈皆因此拒绝</w:t>
      </w:r>
      <w:r>
        <w:rPr>
          <w:color w:val="000000"/>
          <w:spacing w:val="0"/>
          <w:w w:val="100"/>
          <w:position w:val="0"/>
          <w:lang w:val="zh-CN" w:eastAsia="zh-CN" w:bidi="zh-CN"/>
        </w:rPr>
        <w:t>“顶盆”，而</w:t>
      </w:r>
      <w:r>
        <w:rPr>
          <w:color w:val="000000"/>
          <w:spacing w:val="0"/>
          <w:w w:val="100"/>
          <w:position w:val="0"/>
        </w:rPr>
        <w:t>对石君昌的后事不管 不问。唯有石忠雪“眼看四叔的灵柩停放在家中已经多日，想起四叔一家平日里对自己的 关照，再加上自己眼下还没有自己的房子”，答应顶盆。依照传统礼法，他的行为符合天理、 国法、人情。</w:t>
      </w:r>
      <w:r>
        <w:rPr>
          <w:color w:val="000000"/>
          <w:spacing w:val="0"/>
          <w:w w:val="100"/>
          <w:position w:val="0"/>
          <w:lang w:val="zh-CN" w:eastAsia="zh-CN" w:bidi="zh-CN"/>
        </w:rPr>
        <w:t>“石</w:t>
      </w:r>
      <w:r>
        <w:rPr>
          <w:color w:val="000000"/>
          <w:spacing w:val="0"/>
          <w:w w:val="100"/>
          <w:position w:val="0"/>
        </w:rPr>
        <w:t>君昌终于入土为安，石忠雪为四叔石君昌顶盆发丧一时间也在村里被传为 佳话。</w:t>
      </w:r>
      <w:r>
        <w:rPr>
          <w:color w:val="000000"/>
          <w:spacing w:val="0"/>
          <w:w w:val="100"/>
          <w:position w:val="0"/>
          <w:lang w:val="zh-CN" w:eastAsia="zh-CN" w:bidi="zh-CN"/>
        </w:rPr>
        <w:t>”可见，“顶</w:t>
      </w:r>
      <w:r>
        <w:rPr>
          <w:color w:val="000000"/>
          <w:spacing w:val="0"/>
          <w:w w:val="100"/>
          <w:position w:val="0"/>
        </w:rPr>
        <w:t>盆过继”非但不违背公序良俗原则,反而与之相符。</w:t>
      </w:r>
    </w:p>
    <w:p w14:paraId="045F0145">
      <w:pPr>
        <w:pStyle w:val="17"/>
        <w:keepNext w:val="0"/>
        <w:keepLines w:val="0"/>
        <w:widowControl w:val="0"/>
        <w:shd w:val="clear" w:color="auto" w:fill="auto"/>
        <w:bidi w:val="0"/>
        <w:spacing w:before="0" w:after="0" w:line="342" w:lineRule="exact"/>
        <w:ind w:left="0" w:right="0"/>
        <w:jc w:val="both"/>
        <w:sectPr>
          <w:headerReference r:id="rId41" w:type="default"/>
          <w:headerReference r:id="rId42" w:type="even"/>
          <w:footnotePr>
            <w:numFmt w:val="chicago"/>
          </w:footnotePr>
          <w:pgSz w:w="10099" w:h="14782"/>
          <w:pgMar w:top="1304" w:right="1024" w:bottom="1107" w:left="1045" w:header="0" w:footer="679" w:gutter="0"/>
          <w:pgNumType w:start="20"/>
          <w:cols w:space="720" w:num="1"/>
          <w:rtlGutter w:val="0"/>
          <w:docGrid w:linePitch="360" w:charSpace="0"/>
        </w:sectPr>
      </w:pPr>
      <w:r>
        <w:rPr>
          <w:color w:val="000000"/>
          <w:spacing w:val="0"/>
          <w:w w:val="100"/>
          <w:position w:val="0"/>
        </w:rPr>
        <w:t>综上所述，被告石忠雪以顶盆过继方式继承石君昌遗留的房产，构成《民法总则》第</w:t>
      </w:r>
      <w:r>
        <w:rPr>
          <w:rFonts w:ascii="Times New Roman" w:hAnsi="Times New Roman" w:eastAsia="Times New Roman" w:cs="Times New Roman"/>
          <w:color w:val="000000"/>
          <w:spacing w:val="0"/>
          <w:w w:val="100"/>
          <w:position w:val="0"/>
          <w:sz w:val="19"/>
          <w:szCs w:val="19"/>
        </w:rPr>
        <w:t xml:space="preserve">10 </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条）规定的</w:t>
      </w:r>
      <w:r>
        <w:rPr>
          <w:color w:val="000000"/>
          <w:spacing w:val="0"/>
          <w:w w:val="100"/>
          <w:position w:val="0"/>
          <w:lang w:val="zh-CN" w:eastAsia="zh-CN" w:bidi="zh-CN"/>
        </w:rPr>
        <w:t>“习惯”，且</w:t>
      </w:r>
      <w:r>
        <w:rPr>
          <w:color w:val="000000"/>
          <w:spacing w:val="0"/>
          <w:w w:val="100"/>
          <w:position w:val="0"/>
        </w:rPr>
        <w:t>不违反强制性规范与公序良俗。因此，应认定石忠 雪依习惯成为第一顺位继承人，此时作为第二顺位的石坊昌无法继承遗产,原告石坊昌不 可以要求被告石忠雪交还房屋，被告石忠雪依照《物权法》第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230</w:t>
      </w:r>
      <w:r>
        <w:rPr>
          <w:color w:val="000000"/>
          <w:spacing w:val="0"/>
          <w:w w:val="100"/>
          <w:position w:val="0"/>
        </w:rPr>
        <w:t>条）的 规定，在继承开始之时直接取得房屋所有权。作为非依法律行为发生的物权变动，是否在 不动产登记簿上变更登记不影响所有权的移转。</w:t>
      </w:r>
    </w:p>
    <w:p w14:paraId="194DCB86">
      <w:pPr>
        <w:pStyle w:val="17"/>
        <w:keepNext w:val="0"/>
        <w:keepLines w:val="0"/>
        <w:widowControl w:val="0"/>
        <w:shd w:val="clear" w:color="auto" w:fill="auto"/>
        <w:bidi w:val="0"/>
        <w:spacing w:before="0" w:after="140" w:line="344"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原告石坊昌是否可以主张依赠与合同获得房屋</w:t>
      </w:r>
    </w:p>
    <w:p w14:paraId="0AC1DDAE">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本案审理过程中，原告石坊昌主张石君昌在生前与其订立案涉房屋的赠与合同并进行 了公证，但由于赠与合同的相对人为石君昌而非石忠雪，法院并未支持他的诉请。无论石 君昌将房屋</w:t>
      </w:r>
      <w:r>
        <w:rPr>
          <w:color w:val="000000"/>
          <w:spacing w:val="0"/>
          <w:w w:val="100"/>
          <w:position w:val="0"/>
          <w:lang w:val="zh-CN" w:eastAsia="zh-CN" w:bidi="zh-CN"/>
        </w:rPr>
        <w:t>“赠与”石</w:t>
      </w:r>
      <w:r>
        <w:rPr>
          <w:color w:val="000000"/>
          <w:spacing w:val="0"/>
          <w:w w:val="100"/>
          <w:position w:val="0"/>
        </w:rPr>
        <w:t>坊昌的经济目的为何，在法律上，只要不违反强制性规范及公序良俗、 未被认定存在通谋虚伪或恶意串通损害第三人利益等瑕疵事由，该赠与合同经公证以后成 立并生效。但该赠与合同在石君昌生前并未履行，因此房屋所有权没有发生移转。</w:t>
      </w:r>
    </w:p>
    <w:p w14:paraId="04120DD8">
      <w:pPr>
        <w:pStyle w:val="17"/>
        <w:keepNext w:val="0"/>
        <w:keepLines w:val="0"/>
        <w:widowControl w:val="0"/>
        <w:shd w:val="clear" w:color="auto" w:fill="auto"/>
        <w:bidi w:val="0"/>
        <w:spacing w:before="0" w:after="340" w:line="344" w:lineRule="exact"/>
        <w:ind w:left="0" w:right="0"/>
        <w:jc w:val="both"/>
      </w:pPr>
      <w:r>
        <w:rPr>
          <w:color w:val="000000"/>
          <w:spacing w:val="0"/>
          <w:w w:val="100"/>
          <w:position w:val="0"/>
        </w:rPr>
        <w:t>依《民法总则》第</w:t>
      </w:r>
      <w:r>
        <w:rPr>
          <w:rFonts w:ascii="Times New Roman" w:hAnsi="Times New Roman" w:eastAsia="Times New Roman" w:cs="Times New Roman"/>
          <w:color w:val="000000"/>
          <w:spacing w:val="0"/>
          <w:w w:val="100"/>
          <w:position w:val="0"/>
          <w:sz w:val="19"/>
          <w:szCs w:val="19"/>
        </w:rPr>
        <w:t>188</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188</w:t>
      </w:r>
      <w:r>
        <w:rPr>
          <w:color w:val="000000"/>
          <w:spacing w:val="0"/>
          <w:w w:val="100"/>
          <w:position w:val="0"/>
        </w:rPr>
        <w:t>条）规定,普通诉讼时效期间为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年，自权利 人知道或者应当知道权利受到损害以及义务人之日起计算。石忠雪</w:t>
      </w:r>
      <w:r>
        <w:rPr>
          <w:color w:val="000000"/>
          <w:spacing w:val="0"/>
          <w:w w:val="100"/>
          <w:position w:val="0"/>
          <w:lang w:val="zh-CN" w:eastAsia="zh-CN" w:bidi="zh-CN"/>
        </w:rPr>
        <w:t>“顶盆”发</w:t>
      </w:r>
      <w:r>
        <w:rPr>
          <w:color w:val="000000"/>
          <w:spacing w:val="0"/>
          <w:w w:val="100"/>
          <w:position w:val="0"/>
        </w:rPr>
        <w:t>丧取得全村 人的赞扬和认可，原告石坊昌对于石忠雪一家迁入石君昌房屋的行为持默认的态度，至少 也是知情的。因此</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年之后，其基于赠与合同所享有的交付受赠房屋请求权已经罹于时 效。依《民法总则》第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条）的规定，被告石忠雪主张罹于时效抗辩即 可。</w:t>
      </w:r>
    </w:p>
    <w:p w14:paraId="04AAF8EB">
      <w:pPr>
        <w:pStyle w:val="11"/>
        <w:keepNext w:val="0"/>
        <w:keepLines w:val="0"/>
        <w:widowControl w:val="0"/>
        <w:shd w:val="clear" w:color="auto" w:fill="auto"/>
        <w:bidi w:val="0"/>
        <w:spacing w:before="0" w:after="40" w:line="344" w:lineRule="exact"/>
        <w:ind w:left="0" w:right="0" w:firstLine="0"/>
        <w:jc w:val="both"/>
      </w:pPr>
      <w:r>
        <w:rPr>
          <w:i/>
          <w:iCs/>
          <w:color w:val="000000"/>
          <w:spacing w:val="0"/>
          <w:w w:val="100"/>
          <w:position w:val="0"/>
        </w:rPr>
        <w:t>回</w:t>
      </w:r>
      <w:r>
        <w:rPr>
          <w:color w:val="000000"/>
          <w:spacing w:val="0"/>
          <w:w w:val="100"/>
          <w:position w:val="0"/>
        </w:rPr>
        <w:t>参考文献</w:t>
      </w:r>
    </w:p>
    <w:p w14:paraId="1DD3AB63">
      <w:pPr>
        <w:pStyle w:val="17"/>
        <w:keepNext w:val="0"/>
        <w:keepLines w:val="0"/>
        <w:widowControl w:val="0"/>
        <w:shd w:val="clear" w:color="auto" w:fill="auto"/>
        <w:bidi w:val="0"/>
        <w:spacing w:before="0" w:after="0" w:line="327" w:lineRule="exact"/>
        <w:ind w:left="0" w:right="0" w:firstLine="0"/>
        <w:jc w:val="left"/>
      </w:pPr>
      <w:r>
        <w:rPr>
          <w:color w:val="000000"/>
          <w:spacing w:val="0"/>
          <w:w w:val="100"/>
          <w:position w:val="0"/>
        </w:rPr>
        <w:t>石宏主编:《中华人民共和国民法总则条文说明、立法理由及相关规定》，北京大学出版社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 彭诚信、陈吉栋:《论民法总则第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条中的习惯</w:t>
      </w:r>
      <w:r>
        <w:rPr>
          <w:color w:val="000000"/>
          <w:spacing w:val="0"/>
          <w:w w:val="100"/>
          <w:position w:val="0"/>
          <w:lang w:val="en-US" w:eastAsia="en-US" w:bidi="en-US"/>
        </w:rPr>
        <w:t>一一</w:t>
      </w:r>
      <w:r>
        <w:rPr>
          <w:color w:val="000000"/>
          <w:spacing w:val="0"/>
          <w:w w:val="100"/>
          <w:position w:val="0"/>
        </w:rPr>
        <w:t>以</w:t>
      </w:r>
      <w:r>
        <w:rPr>
          <w:color w:val="000000"/>
          <w:spacing w:val="0"/>
          <w:w w:val="100"/>
          <w:position w:val="0"/>
          <w:lang w:val="zh-CN" w:eastAsia="zh-CN" w:bidi="zh-CN"/>
        </w:rPr>
        <w:t>“顶盆</w:t>
      </w:r>
      <w:r>
        <w:rPr>
          <w:color w:val="000000"/>
          <w:spacing w:val="0"/>
          <w:w w:val="100"/>
          <w:position w:val="0"/>
        </w:rPr>
        <w:t>过继案</w:t>
      </w:r>
      <w:r>
        <w:rPr>
          <w:color w:val="000000"/>
          <w:spacing w:val="0"/>
          <w:w w:val="100"/>
          <w:position w:val="0"/>
          <w:lang w:val="zh-CN" w:eastAsia="zh-CN" w:bidi="zh-CN"/>
        </w:rPr>
        <w:t>”切</w:t>
      </w:r>
      <w:r>
        <w:rPr>
          <w:color w:val="000000"/>
          <w:spacing w:val="0"/>
          <w:w w:val="100"/>
          <w:position w:val="0"/>
        </w:rPr>
        <w:t xml:space="preserve">入》，载《华东政法大学学报》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23D444A5">
      <w:pPr>
        <w:pStyle w:val="17"/>
        <w:keepNext w:val="0"/>
        <w:keepLines w:val="0"/>
        <w:widowControl w:val="0"/>
        <w:shd w:val="clear" w:color="auto" w:fill="auto"/>
        <w:bidi w:val="0"/>
        <w:spacing w:before="0" w:after="0" w:line="327" w:lineRule="exact"/>
        <w:ind w:left="180" w:right="0" w:hanging="180"/>
        <w:jc w:val="both"/>
      </w:pPr>
      <w:r>
        <w:rPr>
          <w:color w:val="000000"/>
          <w:spacing w:val="0"/>
          <w:w w:val="100"/>
          <w:position w:val="0"/>
        </w:rPr>
        <w:t>姜福东:《法官如何对待民间规范？——</w:t>
      </w:r>
      <w:r>
        <w:rPr>
          <w:color w:val="000000"/>
          <w:spacing w:val="0"/>
          <w:w w:val="100"/>
          <w:position w:val="0"/>
          <w:lang w:val="zh-CN" w:eastAsia="zh-CN" w:bidi="zh-CN"/>
        </w:rPr>
        <w:t>“顶盆</w:t>
      </w:r>
      <w:r>
        <w:rPr>
          <w:color w:val="000000"/>
          <w:spacing w:val="0"/>
          <w:w w:val="100"/>
          <w:position w:val="0"/>
        </w:rPr>
        <w:t>过继案</w:t>
      </w:r>
      <w:r>
        <w:rPr>
          <w:color w:val="000000"/>
          <w:spacing w:val="0"/>
          <w:w w:val="100"/>
          <w:position w:val="0"/>
          <w:lang w:val="zh-CN" w:eastAsia="zh-CN" w:bidi="zh-CN"/>
        </w:rPr>
        <w:t>”的</w:t>
      </w:r>
      <w:r>
        <w:rPr>
          <w:color w:val="000000"/>
          <w:spacing w:val="0"/>
          <w:w w:val="100"/>
          <w:position w:val="0"/>
        </w:rPr>
        <w:t>法理解读》，载《甘肃政法学院学报》</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8466236">
      <w:pPr>
        <w:pStyle w:val="25"/>
        <w:keepNext w:val="0"/>
        <w:keepLines w:val="0"/>
        <w:widowControl w:val="0"/>
        <w:shd w:val="clear" w:color="auto" w:fill="auto"/>
        <w:bidi w:val="0"/>
        <w:spacing w:before="0" w:after="140"/>
        <w:ind w:left="180" w:right="0" w:hanging="180"/>
        <w:jc w:val="both"/>
        <w:rPr>
          <w:sz w:val="18"/>
          <w:szCs w:val="18"/>
        </w:rPr>
        <w:sectPr>
          <w:headerReference r:id="rId43" w:type="default"/>
          <w:headerReference r:id="rId44" w:type="even"/>
          <w:footnotePr>
            <w:numFmt w:val="chicago"/>
          </w:footnotePr>
          <w:pgSz w:w="10099" w:h="14782"/>
          <w:pgMar w:top="1304" w:right="1024" w:bottom="1107" w:left="1045" w:header="0" w:footer="679" w:gutter="0"/>
          <w:pgNumType w:start="37"/>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《八年前的公证书》，载央视网：</w:t>
      </w:r>
      <w:r>
        <w:rPr>
          <w:rFonts w:ascii="Times New Roman" w:hAnsi="Times New Roman" w:eastAsia="Times New Roman" w:cs="Times New Roman"/>
          <w:color w:val="000000"/>
          <w:spacing w:val="0"/>
          <w:w w:val="100"/>
          <w:position w:val="0"/>
          <w:sz w:val="17"/>
          <w:szCs w:val="17"/>
          <w:lang w:val="en-US" w:eastAsia="en-US" w:bidi="en-US"/>
        </w:rPr>
        <w:t>http</w:t>
      </w:r>
      <w:r>
        <w:rPr>
          <w:rFonts w:ascii="宋体" w:hAnsi="宋体" w:eastAsia="宋体" w:cs="宋体"/>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 xml:space="preserve">//www. cctv. com/program/jjyf/20060417/101904. shtml,2020 </w:t>
      </w:r>
      <w:r>
        <w:rPr>
          <w:rFonts w:ascii="宋体" w:hAnsi="宋体" w:eastAsia="宋体" w:cs="宋体"/>
          <w:color w:val="000000"/>
          <w:spacing w:val="0"/>
          <w:w w:val="100"/>
          <w:position w:val="0"/>
          <w:sz w:val="18"/>
          <w:szCs w:val="18"/>
          <w:lang w:val="zh-TW" w:eastAsia="zh-TW" w:bidi="zh-TW"/>
        </w:rPr>
        <w:t xml:space="preserve">年 </w:t>
      </w:r>
      <w:r>
        <w:rPr>
          <w:rFonts w:ascii="Times New Roman" w:hAnsi="Times New Roman" w:eastAsia="Times New Roman" w:cs="Times New Roman"/>
          <w:color w:val="000000"/>
          <w:spacing w:val="0"/>
          <w:w w:val="100"/>
          <w:position w:val="0"/>
          <w:sz w:val="17"/>
          <w:szCs w:val="17"/>
          <w:lang w:val="en-US" w:eastAsia="en-US" w:bidi="en-US"/>
        </w:rPr>
        <w:t xml:space="preserve">4 </w:t>
      </w:r>
      <w:r>
        <w:rPr>
          <w:rFonts w:ascii="宋体" w:hAnsi="宋体" w:eastAsia="宋体" w:cs="宋体"/>
          <w:color w:val="000000"/>
          <w:spacing w:val="0"/>
          <w:w w:val="100"/>
          <w:position w:val="0"/>
          <w:sz w:val="18"/>
          <w:szCs w:val="18"/>
          <w:lang w:val="zh-TW" w:eastAsia="zh-TW" w:bidi="zh-TW"/>
        </w:rPr>
        <w:t>月</w:t>
      </w:r>
      <w:r>
        <w:rPr>
          <w:rFonts w:ascii="Times New Roman" w:hAnsi="Times New Roman" w:eastAsia="Times New Roman" w:cs="Times New Roman"/>
          <w:color w:val="000000"/>
          <w:spacing w:val="0"/>
          <w:w w:val="100"/>
          <w:position w:val="0"/>
          <w:sz w:val="17"/>
          <w:szCs w:val="17"/>
          <w:lang w:val="en-US" w:eastAsia="en-US" w:bidi="en-US"/>
        </w:rPr>
        <w:t>18</w:t>
      </w:r>
      <w:r>
        <w:rPr>
          <w:rFonts w:ascii="宋体" w:hAnsi="宋体" w:eastAsia="宋体" w:cs="宋体"/>
          <w:color w:val="000000"/>
          <w:spacing w:val="0"/>
          <w:w w:val="100"/>
          <w:position w:val="0"/>
          <w:sz w:val="18"/>
          <w:szCs w:val="18"/>
          <w:lang w:val="zh-TW" w:eastAsia="zh-TW" w:bidi="zh-TW"/>
        </w:rPr>
        <w:t>日最后访问。</w:t>
      </w:r>
    </w:p>
    <w:p w14:paraId="4D686348">
      <w:pPr>
        <w:widowControl w:val="0"/>
        <w:spacing w:line="165" w:lineRule="exact"/>
        <w:rPr>
          <w:sz w:val="13"/>
          <w:szCs w:val="13"/>
        </w:rPr>
      </w:pPr>
    </w:p>
    <w:p w14:paraId="4EBEC5E7">
      <w:pPr>
        <w:widowControl w:val="0"/>
        <w:spacing w:line="1" w:lineRule="exact"/>
        <w:sectPr>
          <w:headerReference r:id="rId45" w:type="default"/>
          <w:headerReference r:id="rId46" w:type="even"/>
          <w:footnotePr>
            <w:numFmt w:val="chicago"/>
          </w:footnotePr>
          <w:pgSz w:w="10099" w:h="14782"/>
          <w:pgMar w:top="1322" w:right="991" w:bottom="1093" w:left="1112" w:header="0" w:footer="3" w:gutter="0"/>
          <w:cols w:space="720" w:num="1"/>
          <w:rtlGutter w:val="0"/>
          <w:docGrid w:linePitch="360" w:charSpace="0"/>
        </w:sectPr>
      </w:pPr>
    </w:p>
    <w:p w14:paraId="33F26E4B">
      <w:pPr>
        <w:widowControl w:val="0"/>
        <w:spacing w:line="1" w:lineRule="exact"/>
      </w:pPr>
      <w:r>
        <mc:AlternateContent>
          <mc:Choice Requires="wps">
            <w:drawing>
              <wp:anchor distT="0" distB="19050" distL="0" distR="0" simplePos="0" relativeHeight="251660288" behindDoc="0" locked="0" layoutInCell="1" allowOverlap="1">
                <wp:simplePos x="0" y="0"/>
                <wp:positionH relativeFrom="page">
                  <wp:posOffset>770890</wp:posOffset>
                </wp:positionH>
                <wp:positionV relativeFrom="paragraph">
                  <wp:posOffset>0</wp:posOffset>
                </wp:positionV>
                <wp:extent cx="445135" cy="304800"/>
                <wp:effectExtent l="0" t="0" r="0" b="0"/>
                <wp:wrapTopAndBottom/>
                <wp:docPr id="81" name="Shape 81"/>
                <wp:cNvGraphicFramePr/>
                <a:graphic xmlns:a="http://schemas.openxmlformats.org/drawingml/2006/main">
                  <a:graphicData uri="http://schemas.microsoft.com/office/word/2010/wordprocessingShape">
                    <wps:wsp>
                      <wps:cNvSpPr txBox="1"/>
                      <wps:spPr>
                        <a:xfrm>
                          <a:off x="0" y="0"/>
                          <a:ext cx="445135" cy="304800"/>
                        </a:xfrm>
                        <a:prstGeom prst="rect">
                          <a:avLst/>
                        </a:prstGeom>
                        <a:noFill/>
                      </wps:spPr>
                      <wps:txbx>
                        <w:txbxContent>
                          <w:p w14:paraId="3D548033">
                            <w:pPr>
                              <w:pStyle w:val="27"/>
                              <w:keepNext/>
                              <w:keepLines/>
                              <w:widowControl w:val="0"/>
                              <w:shd w:val="clear" w:color="auto" w:fill="auto"/>
                              <w:bidi w:val="0"/>
                              <w:spacing w:before="0" w:after="0" w:line="240" w:lineRule="auto"/>
                              <w:ind w:left="0" w:right="0" w:firstLine="0"/>
                              <w:jc w:val="both"/>
                            </w:pPr>
                            <w:bookmarkStart w:id="222" w:name="bookmark35"/>
                            <w:bookmarkStart w:id="223" w:name="bookmark36"/>
                            <w:bookmarkStart w:id="224" w:name="bookmark37"/>
                            <w:r>
                              <w:rPr>
                                <w:rFonts w:ascii="Times New Roman" w:hAnsi="Times New Roman" w:eastAsia="Times New Roman" w:cs="Times New Roman"/>
                                <w:color w:val="000000"/>
                                <w:spacing w:val="0"/>
                                <w:w w:val="100"/>
                                <w:position w:val="0"/>
                              </w:rPr>
                              <w:t>005</w:t>
                            </w:r>
                            <w:bookmarkEnd w:id="222"/>
                            <w:bookmarkEnd w:id="223"/>
                            <w:bookmarkEnd w:id="224"/>
                          </w:p>
                        </w:txbxContent>
                      </wps:txbx>
                      <wps:bodyPr wrap="none" lIns="0" tIns="0" rIns="0" bIns="0">
                        <a:noAutofit/>
                      </wps:bodyPr>
                    </wps:wsp>
                  </a:graphicData>
                </a:graphic>
              </wp:anchor>
            </w:drawing>
          </mc:Choice>
          <mc:Fallback>
            <w:pict>
              <v:shape id="Shape 81" o:spid="_x0000_s1026" o:spt="202" type="#_x0000_t202" style="position:absolute;left:0pt;margin-left:60.7pt;margin-top:0pt;height:24pt;width:35.05pt;mso-position-horizontal-relative:page;mso-wrap-distance-bottom:1.5pt;mso-wrap-distance-top:0pt;mso-wrap-style:none;z-index:251660288;mso-width-relative:page;mso-height-relative:page;" filled="f" stroked="f" coordsize="21600,21600" o:gfxdata="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xXlAS0wAAAAcB&#10;AAAPAAAAAAAAAAEAIAAAACIAAABkcnMvZG93bnJldi54bWxQSwECFAAUAAAACACHTuJAfPmksK4B&#10;AABxAwAADgAAAAAAAAABACAAAAAiAQAAZHJzL2Uyb0RvYy54bWxQSwUGAAAAAAYABgBZAQAAQgUA&#10;AAAA&#10;">
                <v:fill on="f" focussize="0,0"/>
                <v:stroke on="f"/>
                <v:imagedata o:title=""/>
                <o:lock v:ext="edit" aspectratio="f"/>
                <v:textbox inset="0mm,0mm,0mm,0mm">
                  <w:txbxContent>
                    <w:p w14:paraId="3D548033">
                      <w:pPr>
                        <w:pStyle w:val="27"/>
                        <w:keepNext/>
                        <w:keepLines/>
                        <w:widowControl w:val="0"/>
                        <w:shd w:val="clear" w:color="auto" w:fill="auto"/>
                        <w:bidi w:val="0"/>
                        <w:spacing w:before="0" w:after="0" w:line="240" w:lineRule="auto"/>
                        <w:ind w:left="0" w:right="0" w:firstLine="0"/>
                        <w:jc w:val="both"/>
                      </w:pPr>
                      <w:bookmarkStart w:id="222" w:name="bookmark35"/>
                      <w:bookmarkStart w:id="223" w:name="bookmark36"/>
                      <w:bookmarkStart w:id="224" w:name="bookmark37"/>
                      <w:r>
                        <w:rPr>
                          <w:rFonts w:ascii="Times New Roman" w:hAnsi="Times New Roman" w:eastAsia="Times New Roman" w:cs="Times New Roman"/>
                          <w:color w:val="000000"/>
                          <w:spacing w:val="0"/>
                          <w:w w:val="100"/>
                          <w:position w:val="0"/>
                        </w:rPr>
                        <w:t>005</w:t>
                      </w:r>
                      <w:bookmarkEnd w:id="222"/>
                      <w:bookmarkEnd w:id="223"/>
                      <w:bookmarkEnd w:id="224"/>
                    </w:p>
                  </w:txbxContent>
                </v:textbox>
                <w10:wrap type="topAndBottom"/>
              </v:shape>
            </w:pict>
          </mc:Fallback>
        </mc:AlternateContent>
      </w:r>
      <w:r>
        <mc:AlternateContent>
          <mc:Choice Requires="wps">
            <w:drawing>
              <wp:anchor distT="77470" distB="13335" distL="0" distR="0" simplePos="0" relativeHeight="251660288" behindDoc="0" locked="0" layoutInCell="1" allowOverlap="1">
                <wp:simplePos x="0" y="0"/>
                <wp:positionH relativeFrom="page">
                  <wp:posOffset>1343660</wp:posOffset>
                </wp:positionH>
                <wp:positionV relativeFrom="paragraph">
                  <wp:posOffset>77470</wp:posOffset>
                </wp:positionV>
                <wp:extent cx="3021965" cy="233045"/>
                <wp:effectExtent l="0" t="0" r="0" b="0"/>
                <wp:wrapTopAndBottom/>
                <wp:docPr id="83" name="Shape 83"/>
                <wp:cNvGraphicFramePr/>
                <a:graphic xmlns:a="http://schemas.openxmlformats.org/drawingml/2006/main">
                  <a:graphicData uri="http://schemas.microsoft.com/office/word/2010/wordprocessingShape">
                    <wps:wsp>
                      <wps:cNvSpPr txBox="1"/>
                      <wps:spPr>
                        <a:xfrm>
                          <a:off x="0" y="0"/>
                          <a:ext cx="3021965" cy="233045"/>
                        </a:xfrm>
                        <a:prstGeom prst="rect">
                          <a:avLst/>
                        </a:prstGeom>
                        <a:noFill/>
                      </wps:spPr>
                      <wps:txbx>
                        <w:txbxContent>
                          <w:p w14:paraId="0E14FEFD">
                            <w:pPr>
                              <w:pStyle w:val="15"/>
                              <w:keepNext/>
                              <w:keepLines/>
                              <w:widowControl w:val="0"/>
                              <w:shd w:val="clear" w:color="auto" w:fill="auto"/>
                              <w:bidi w:val="0"/>
                              <w:spacing w:before="0" w:after="0" w:line="240" w:lineRule="auto"/>
                              <w:ind w:left="0" w:right="0" w:firstLine="0"/>
                              <w:jc w:val="left"/>
                            </w:pPr>
                            <w:bookmarkStart w:id="225" w:name="bookmark40"/>
                            <w:bookmarkStart w:id="226" w:name="bookmark38"/>
                            <w:bookmarkStart w:id="227" w:name="bookmark39"/>
                            <w:r>
                              <w:rPr>
                                <w:color w:val="000000"/>
                                <w:spacing w:val="0"/>
                                <w:w w:val="100"/>
                                <w:position w:val="0"/>
                              </w:rPr>
                              <w:t>异质人工授精所生子女的法律地位</w:t>
                            </w:r>
                            <w:bookmarkEnd w:id="225"/>
                            <w:bookmarkEnd w:id="226"/>
                            <w:bookmarkEnd w:id="227"/>
                          </w:p>
                        </w:txbxContent>
                      </wps:txbx>
                      <wps:bodyPr wrap="none" lIns="0" tIns="0" rIns="0" bIns="0">
                        <a:noAutofit/>
                      </wps:bodyPr>
                    </wps:wsp>
                  </a:graphicData>
                </a:graphic>
              </wp:anchor>
            </w:drawing>
          </mc:Choice>
          <mc:Fallback>
            <w:pict>
              <v:shape id="Shape 83" o:spid="_x0000_s1026" o:spt="202" type="#_x0000_t202" style="position:absolute;left:0pt;margin-left:105.8pt;margin-top:6.1pt;height:18.35pt;width:237.95pt;mso-position-horizontal-relative:page;mso-wrap-distance-bottom:1.05pt;mso-wrap-distance-top:6.1pt;mso-wrap-style:none;z-index:251660288;mso-width-relative:page;mso-height-relative:page;" filled="f" stroked="f" coordsize="21600,21600" o:gfxdata="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24iVI1gAA&#10;AAkBAAAPAAAAAAAAAAEAIAAAACIAAABkcnMvZG93bnJldi54bWxQSwECFAAUAAAACACHTuJAjyy7&#10;pK4BAAByAwAADgAAAAAAAAABACAAAAAlAQAAZHJzL2Uyb0RvYy54bWxQSwUGAAAAAAYABgBZAQAA&#10;RQUAAAAA&#10;">
                <v:fill on="f" focussize="0,0"/>
                <v:stroke on="f"/>
                <v:imagedata o:title=""/>
                <o:lock v:ext="edit" aspectratio="f"/>
                <v:textbox inset="0mm,0mm,0mm,0mm">
                  <w:txbxContent>
                    <w:p w14:paraId="0E14FEFD">
                      <w:pPr>
                        <w:pStyle w:val="15"/>
                        <w:keepNext/>
                        <w:keepLines/>
                        <w:widowControl w:val="0"/>
                        <w:shd w:val="clear" w:color="auto" w:fill="auto"/>
                        <w:bidi w:val="0"/>
                        <w:spacing w:before="0" w:after="0" w:line="240" w:lineRule="auto"/>
                        <w:ind w:left="0" w:right="0" w:firstLine="0"/>
                        <w:jc w:val="left"/>
                      </w:pPr>
                      <w:bookmarkStart w:id="225" w:name="bookmark40"/>
                      <w:bookmarkStart w:id="226" w:name="bookmark38"/>
                      <w:bookmarkStart w:id="227" w:name="bookmark39"/>
                      <w:r>
                        <w:rPr>
                          <w:color w:val="000000"/>
                          <w:spacing w:val="0"/>
                          <w:w w:val="100"/>
                          <w:position w:val="0"/>
                        </w:rPr>
                        <w:t>异质人工授精所生子女的法律地位</w:t>
                      </w:r>
                      <w:bookmarkEnd w:id="225"/>
                      <w:bookmarkEnd w:id="226"/>
                      <w:bookmarkEnd w:id="227"/>
                    </w:p>
                  </w:txbxContent>
                </v:textbox>
                <w10:wrap type="topAndBottom"/>
              </v:shape>
            </w:pict>
          </mc:Fallback>
        </mc:AlternateContent>
      </w:r>
    </w:p>
    <w:p w14:paraId="6671C758">
      <w:pPr>
        <w:pStyle w:val="15"/>
        <w:keepNext/>
        <w:keepLines/>
        <w:widowControl w:val="0"/>
        <w:shd w:val="clear" w:color="auto" w:fill="auto"/>
        <w:bidi w:val="0"/>
        <w:spacing w:before="0" w:after="100" w:line="240" w:lineRule="auto"/>
        <w:ind w:left="0" w:right="0" w:firstLine="1000"/>
        <w:jc w:val="left"/>
      </w:pPr>
      <w:r>
        <w:drawing>
          <wp:anchor distT="0" distB="0" distL="114300" distR="114300" simplePos="0" relativeHeight="251660288" behindDoc="0" locked="0" layoutInCell="1" allowOverlap="1">
            <wp:simplePos x="0" y="0"/>
            <wp:positionH relativeFrom="page">
              <wp:posOffset>5141595</wp:posOffset>
            </wp:positionH>
            <wp:positionV relativeFrom="paragraph">
              <wp:posOffset>38100</wp:posOffset>
            </wp:positionV>
            <wp:extent cx="609600" cy="615950"/>
            <wp:effectExtent l="0" t="0" r="0" b="6350"/>
            <wp:wrapSquare wrapText="left"/>
            <wp:docPr id="85" name="Shape 85"/>
            <wp:cNvGraphicFramePr/>
            <a:graphic xmlns:a="http://schemas.openxmlformats.org/drawingml/2006/main">
              <a:graphicData uri="http://schemas.openxmlformats.org/drawingml/2006/picture">
                <pic:pic xmlns:pic="http://schemas.openxmlformats.org/drawingml/2006/picture">
                  <pic:nvPicPr>
                    <pic:cNvPr id="85" name="Shape 85"/>
                    <pic:cNvPicPr/>
                  </pic:nvPicPr>
                  <pic:blipFill>
                    <a:blip r:embed="rId596"/>
                    <a:stretch>
                      <a:fillRect/>
                    </a:stretch>
                  </pic:blipFill>
                  <pic:spPr>
                    <a:xfrm>
                      <a:off x="0" y="0"/>
                      <a:ext cx="609600" cy="615950"/>
                    </a:xfrm>
                    <a:prstGeom prst="rect">
                      <a:avLst/>
                    </a:prstGeom>
                  </pic:spPr>
                </pic:pic>
              </a:graphicData>
            </a:graphic>
          </wp:anchor>
        </w:drawing>
      </w:r>
      <w:bookmarkStart w:id="20" w:name="bookmark41"/>
      <w:bookmarkStart w:id="21" w:name="bookmark42"/>
      <w:bookmarkStart w:id="22" w:name="bookmark43"/>
      <w:r>
        <w:rPr>
          <w:color w:val="000000"/>
          <w:spacing w:val="0"/>
          <w:w w:val="100"/>
          <w:position w:val="0"/>
        </w:rPr>
        <w:t>及胎儿继承权保护</w:t>
      </w:r>
      <w:bookmarkEnd w:id="20"/>
      <w:bookmarkEnd w:id="21"/>
      <w:bookmarkEnd w:id="22"/>
    </w:p>
    <w:p w14:paraId="692851BA">
      <w:pPr>
        <w:pStyle w:val="17"/>
        <w:keepNext w:val="0"/>
        <w:keepLines w:val="0"/>
        <w:widowControl w:val="0"/>
        <w:shd w:val="clear" w:color="auto" w:fill="auto"/>
        <w:bidi w:val="0"/>
        <w:spacing w:before="0" w:after="100" w:line="240" w:lineRule="auto"/>
        <w:ind w:left="0" w:right="0" w:firstLine="1000"/>
        <w:jc w:val="left"/>
        <w:rPr>
          <w:sz w:val="19"/>
          <w:szCs w:val="19"/>
        </w:rPr>
      </w:pPr>
      <w:r>
        <w:rPr>
          <w:color w:val="000000"/>
          <w:spacing w:val="0"/>
          <w:w w:val="100"/>
          <w:position w:val="0"/>
          <w:sz w:val="18"/>
          <w:szCs w:val="18"/>
        </w:rPr>
        <w:t>李某、郭某阳诉郭某和、童某某继承纠纷案丨最高人民法院第</w:t>
      </w:r>
      <w:r>
        <w:rPr>
          <w:rFonts w:ascii="Times New Roman" w:hAnsi="Times New Roman" w:eastAsia="Times New Roman" w:cs="Times New Roman"/>
          <w:color w:val="000000"/>
          <w:spacing w:val="0"/>
          <w:w w:val="100"/>
          <w:position w:val="0"/>
          <w:sz w:val="19"/>
          <w:szCs w:val="19"/>
        </w:rPr>
        <w:t>50</w:t>
      </w:r>
    </w:p>
    <w:p w14:paraId="4ACCE93E">
      <w:pPr>
        <w:pStyle w:val="17"/>
        <w:keepNext w:val="0"/>
        <w:keepLines w:val="0"/>
        <w:widowControl w:val="0"/>
        <w:shd w:val="clear" w:color="auto" w:fill="auto"/>
        <w:bidi w:val="0"/>
        <w:spacing w:before="0" w:after="360" w:line="240" w:lineRule="auto"/>
        <w:ind w:left="0" w:right="0" w:firstLine="1000"/>
        <w:jc w:val="both"/>
      </w:pPr>
      <w:r>
        <w:rPr>
          <w:color w:val="000000"/>
          <w:spacing w:val="0"/>
          <w:w w:val="100"/>
          <w:position w:val="0"/>
        </w:rPr>
        <w:t>号指导性案例</w:t>
      </w:r>
    </w:p>
    <w:p w14:paraId="0AD9DAFB">
      <w:pPr>
        <w:pStyle w:val="29"/>
        <w:keepNext w:val="0"/>
        <w:keepLines w:val="0"/>
        <w:widowControl w:val="0"/>
        <w:shd w:val="clear" w:color="auto" w:fill="auto"/>
        <w:bidi w:val="0"/>
        <w:spacing w:before="0" w:after="1380" w:line="240" w:lineRule="auto"/>
        <w:ind w:left="0" w:right="0" w:firstLine="0"/>
        <w:jc w:val="right"/>
        <w:rPr>
          <w:sz w:val="11"/>
          <w:szCs w:val="11"/>
        </w:rPr>
      </w:pPr>
      <w:r>
        <w:rPr>
          <w:color w:val="000000"/>
          <w:spacing w:val="0"/>
          <w:w w:val="100"/>
          <w:position w:val="0"/>
          <w:sz w:val="18"/>
          <w:szCs w:val="18"/>
        </w:rPr>
        <w:t>张玉东</w:t>
      </w:r>
      <w:r>
        <w:rPr>
          <w:color w:val="000000"/>
          <w:spacing w:val="0"/>
          <w:w w:val="100"/>
          <w:position w:val="0"/>
          <w:sz w:val="11"/>
          <w:szCs w:val="11"/>
        </w:rPr>
        <w:t>烟台大学法学院</w:t>
      </w:r>
    </w:p>
    <w:p w14:paraId="73A50D5B">
      <w:pPr>
        <w:pStyle w:val="11"/>
        <w:keepNext w:val="0"/>
        <w:keepLines w:val="0"/>
        <w:widowControl w:val="0"/>
        <w:shd w:val="clear" w:color="auto" w:fill="auto"/>
        <w:bidi w:val="0"/>
        <w:spacing w:before="0" w:after="100" w:line="339"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6DB3DD7C">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日，原告李某与郭某顺登记结婚。</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年,郭某顺以自己的名义购买了 涉案建筑面积为</w:t>
      </w:r>
      <w:r>
        <w:rPr>
          <w:rFonts w:ascii="Times New Roman" w:hAnsi="Times New Roman" w:eastAsia="Times New Roman" w:cs="Times New Roman"/>
          <w:color w:val="000000"/>
          <w:spacing w:val="0"/>
          <w:w w:val="100"/>
          <w:position w:val="0"/>
          <w:sz w:val="19"/>
          <w:szCs w:val="19"/>
          <w:lang w:val="en-US" w:eastAsia="en-US" w:bidi="en-US"/>
        </w:rPr>
        <w:t>45.</w:t>
      </w:r>
      <w:r>
        <w:rPr>
          <w:rFonts w:ascii="Times New Roman" w:hAnsi="Times New Roman" w:eastAsia="Times New Roman" w:cs="Times New Roman"/>
          <w:color w:val="000000"/>
          <w:spacing w:val="0"/>
          <w:w w:val="100"/>
          <w:position w:val="0"/>
          <w:sz w:val="19"/>
          <w:szCs w:val="19"/>
        </w:rPr>
        <w:t>08</w:t>
      </w:r>
      <w:r>
        <w:rPr>
          <w:color w:val="000000"/>
          <w:spacing w:val="0"/>
          <w:w w:val="100"/>
          <w:position w:val="0"/>
        </w:rPr>
        <w:t>平方米的</w:t>
      </w:r>
      <w:r>
        <w:rPr>
          <w:rFonts w:ascii="Times New Roman" w:hAnsi="Times New Roman" w:eastAsia="Times New Roman" w:cs="Times New Roman"/>
          <w:color w:val="000000"/>
          <w:spacing w:val="0"/>
          <w:w w:val="100"/>
          <w:position w:val="0"/>
          <w:sz w:val="19"/>
          <w:szCs w:val="19"/>
        </w:rPr>
        <w:t>306</w:t>
      </w:r>
      <w:r>
        <w:rPr>
          <w:color w:val="000000"/>
          <w:spacing w:val="0"/>
          <w:w w:val="100"/>
          <w:position w:val="0"/>
        </w:rPr>
        <w:t>室房屋，并办理了房屋产权登记。</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 李某和郭某顺共同与南京军区南京总医院生殖遗传中心签订了人工授精协议书，对李某实 施了人工授精，后李某怀孕。</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月，郭某顺因病住院，其在得知自己患了癌症后，向 李某表示不要这个孩子，但李某不同意人工流产，坚持要生下孩子。</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日，郭某顺在医 院立下自书遗嘱，在遗嘱中声明他不要这个人工授精生下的孩子，并将</w:t>
      </w:r>
      <w:r>
        <w:rPr>
          <w:rFonts w:ascii="Times New Roman" w:hAnsi="Times New Roman" w:eastAsia="Times New Roman" w:cs="Times New Roman"/>
          <w:color w:val="000000"/>
          <w:spacing w:val="0"/>
          <w:w w:val="100"/>
          <w:position w:val="0"/>
          <w:sz w:val="19"/>
          <w:szCs w:val="19"/>
        </w:rPr>
        <w:t>306</w:t>
      </w:r>
      <w:r>
        <w:rPr>
          <w:color w:val="000000"/>
          <w:spacing w:val="0"/>
          <w:w w:val="100"/>
          <w:position w:val="0"/>
        </w:rPr>
        <w:t>室房屋赠与其父 母郭某和、童某某。郭某顺于</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日病故。李某于当年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日产下一子，取名郭某 阳。原告李某无业,每月领取最低生活保障金，另有不固定的打工收入，并持有夫妻关系存 续期间的共同存款</w:t>
      </w:r>
      <w:r>
        <w:rPr>
          <w:rFonts w:ascii="Times New Roman" w:hAnsi="Times New Roman" w:eastAsia="Times New Roman" w:cs="Times New Roman"/>
          <w:color w:val="000000"/>
          <w:spacing w:val="0"/>
          <w:w w:val="100"/>
          <w:position w:val="0"/>
          <w:sz w:val="19"/>
          <w:szCs w:val="19"/>
          <w:lang w:val="en-US" w:eastAsia="en-US" w:bidi="en-US"/>
        </w:rPr>
        <w:t>187,05.4</w:t>
      </w:r>
      <w:r>
        <w:rPr>
          <w:color w:val="000000"/>
          <w:spacing w:val="0"/>
          <w:w w:val="100"/>
          <w:position w:val="0"/>
        </w:rPr>
        <w:t>元。被告郭某和、童某某系郭某顺的父母，居住在同一个住宅 小区的</w:t>
      </w:r>
      <w:r>
        <w:rPr>
          <w:rFonts w:ascii="Times New Roman" w:hAnsi="Times New Roman" w:eastAsia="Times New Roman" w:cs="Times New Roman"/>
          <w:color w:val="000000"/>
          <w:spacing w:val="0"/>
          <w:w w:val="100"/>
          <w:position w:val="0"/>
          <w:sz w:val="19"/>
          <w:szCs w:val="19"/>
        </w:rPr>
        <w:t>305</w:t>
      </w:r>
      <w:r>
        <w:rPr>
          <w:color w:val="000000"/>
          <w:spacing w:val="0"/>
          <w:w w:val="100"/>
          <w:position w:val="0"/>
        </w:rPr>
        <w:t>室，均有退休工资。</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月，郭某顺为开店，曾向童某某借款</w:t>
      </w:r>
      <w:r>
        <w:rPr>
          <w:rFonts w:ascii="Times New Roman" w:hAnsi="Times New Roman" w:eastAsia="Times New Roman" w:cs="Times New Roman"/>
          <w:color w:val="000000"/>
          <w:spacing w:val="0"/>
          <w:w w:val="100"/>
          <w:position w:val="0"/>
          <w:sz w:val="19"/>
          <w:szCs w:val="19"/>
        </w:rPr>
        <w:t>8500</w:t>
      </w:r>
      <w:r>
        <w:rPr>
          <w:color w:val="000000"/>
          <w:spacing w:val="0"/>
          <w:w w:val="100"/>
          <w:position w:val="0"/>
        </w:rPr>
        <w:t>元。</w:t>
      </w:r>
    </w:p>
    <w:p w14:paraId="6BB6520C">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南京大陆房地产估价师事务所有限责任公司受法院委托，于</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月对涉案</w:t>
      </w:r>
      <w:r>
        <w:rPr>
          <w:rFonts w:ascii="Times New Roman" w:hAnsi="Times New Roman" w:eastAsia="Times New Roman" w:cs="Times New Roman"/>
          <w:color w:val="000000"/>
          <w:spacing w:val="0"/>
          <w:w w:val="100"/>
          <w:position w:val="0"/>
          <w:sz w:val="19"/>
          <w:szCs w:val="19"/>
        </w:rPr>
        <w:t>306</w:t>
      </w:r>
      <w:r>
        <w:rPr>
          <w:color w:val="000000"/>
          <w:spacing w:val="0"/>
          <w:w w:val="100"/>
          <w:position w:val="0"/>
        </w:rPr>
        <w:t>室 房屋进行了评估，经评估房产价值为</w:t>
      </w:r>
      <w:r>
        <w:rPr>
          <w:rFonts w:ascii="Times New Roman" w:hAnsi="Times New Roman" w:eastAsia="Times New Roman" w:cs="Times New Roman"/>
          <w:color w:val="000000"/>
          <w:spacing w:val="0"/>
          <w:w w:val="100"/>
          <w:position w:val="0"/>
          <w:sz w:val="19"/>
          <w:szCs w:val="19"/>
          <w:lang w:val="en-US" w:eastAsia="en-US" w:bidi="en-US"/>
        </w:rPr>
        <w:t>19.3</w:t>
      </w:r>
      <w:r>
        <w:rPr>
          <w:color w:val="000000"/>
          <w:spacing w:val="0"/>
          <w:w w:val="100"/>
          <w:position w:val="0"/>
        </w:rPr>
        <w:t>万元。</w:t>
      </w:r>
    </w:p>
    <w:p w14:paraId="62D6C060">
      <w:pPr>
        <w:pStyle w:val="11"/>
        <w:keepNext w:val="0"/>
        <w:keepLines w:val="0"/>
        <w:widowControl w:val="0"/>
        <w:shd w:val="clear" w:color="auto" w:fill="auto"/>
        <w:bidi w:val="0"/>
        <w:spacing w:before="0" w:after="100" w:line="339"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264EADED">
      <w:pPr>
        <w:pStyle w:val="17"/>
        <w:keepNext w:val="0"/>
        <w:keepLines w:val="0"/>
        <w:widowControl w:val="0"/>
        <w:shd w:val="clear" w:color="auto" w:fill="auto"/>
        <w:bidi w:val="0"/>
        <w:spacing w:before="0" w:after="100" w:line="337" w:lineRule="exact"/>
        <w:ind w:left="0" w:right="0" w:firstLine="420"/>
        <w:jc w:val="both"/>
        <w:sectPr>
          <w:footnotePr>
            <w:numFmt w:val="chicago"/>
          </w:footnotePr>
          <w:type w:val="continuous"/>
          <w:pgSz w:w="10099" w:h="14782"/>
          <w:pgMar w:top="1322" w:right="991" w:bottom="1093" w:left="1112" w:header="894" w:footer="665" w:gutter="0"/>
          <w:cols w:space="720" w:num="1"/>
          <w:rtlGutter w:val="0"/>
          <w:docGrid w:linePitch="360" w:charSpace="0"/>
        </w:sectPr>
      </w:pPr>
      <w:r>
        <w:rPr>
          <w:color w:val="000000"/>
          <w:spacing w:val="0"/>
          <w:w w:val="100"/>
          <w:position w:val="0"/>
        </w:rPr>
        <w:t>夫妻关系存续期间，双方一致同意利用他人的精子进行人工授精并使女方受孕后，男 方反悔，而女方坚持生出该子女的，无论该子女是否在夫妻关系存续期间出生，都应视为夫 妻双方的婚生子女。如果夫妻一方所订立的遗嘱中没有为胎儿保留遗产份额，因违反《继 承法》第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条规定，该部分遗嘱内容无效。分割遗产时，应当依照《继承法》第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条规定, 为胎儿保留继承份额。</w:t>
      </w:r>
    </w:p>
    <w:p w14:paraId="09E0AE76">
      <w:pPr>
        <w:pStyle w:val="11"/>
        <w:keepNext w:val="0"/>
        <w:keepLines w:val="0"/>
        <w:widowControl w:val="0"/>
        <w:shd w:val="clear" w:color="auto" w:fill="auto"/>
        <w:bidi w:val="0"/>
        <w:spacing w:before="0" w:after="140" w:line="345" w:lineRule="exact"/>
        <w:ind w:left="0" w:right="0" w:firstLine="0"/>
        <w:jc w:val="left"/>
      </w:pPr>
      <w:r>
        <w:rPr>
          <w:color w:val="000000"/>
          <w:spacing w:val="0"/>
          <w:w w:val="100"/>
          <w:position w:val="0"/>
        </w:rPr>
        <w:t>■评析</w:t>
      </w:r>
    </w:p>
    <w:p w14:paraId="0FE06ABC">
      <w:pPr>
        <w:pStyle w:val="17"/>
        <w:keepNext w:val="0"/>
        <w:keepLines w:val="0"/>
        <w:widowControl w:val="0"/>
        <w:shd w:val="clear" w:color="auto" w:fill="auto"/>
        <w:bidi w:val="0"/>
        <w:spacing w:before="0" w:after="140" w:line="345"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594D4E28">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在本案中，原告方提出三项主张:一是涉案房屋为其与被继承人郭某顺的夫妻共同财 产;二是郭某顺遗产应由原告李某、郭某阳与被告郭某和、童某某等法定继承人共同继承； 三是析产继承时应基于原被告双方的经济情况对原告方给予照顾。法院认为，因被继承人 留有遗嘱，应首先依《继承法》第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条规定按遗嘱继承办理。依《继承法》第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条的规定，涉 案房屋为夫妻关系存续期间取得,属夫妻共同财产,该房屋的一半应归李某所有，另一半为 遗产。郭某顺在遗嘱中将涉案房屋处分归其父母，其中对李某房产份额的处分属处分他人 所有财产，依最高人民法院《关于贯彻执行〈中华人民共和国继承法〉若干问题的意见》［法 （民）发</w:t>
      </w:r>
      <w:r>
        <w:rPr>
          <w:rFonts w:ascii="Times New Roman" w:hAnsi="Times New Roman" w:eastAsia="Times New Roman" w:cs="Times New Roman"/>
          <w:color w:val="000000"/>
          <w:spacing w:val="0"/>
          <w:w w:val="100"/>
          <w:position w:val="0"/>
          <w:sz w:val="19"/>
          <w:szCs w:val="19"/>
        </w:rPr>
        <w:t>（1985）22</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条的规定，遗嘱的这部分应为无效。此外,被继承人郭某顺因无 生育能力，签字同意医院为其妻子即原告李某施行人工授精手术，该行为表明其具有通过 人工授精方法获得其与李某共同子女的意思表示。依最高人民法院《关于夫妻离婚后人工 授精所生子女的法律地位如何确定的复函》［</w:t>
      </w:r>
      <w:r>
        <w:rPr>
          <w:rFonts w:ascii="Times New Roman" w:hAnsi="Times New Roman" w:eastAsia="Times New Roman" w:cs="Times New Roman"/>
          <w:color w:val="000000"/>
          <w:spacing w:val="0"/>
          <w:w w:val="100"/>
          <w:position w:val="0"/>
          <w:sz w:val="19"/>
          <w:szCs w:val="19"/>
        </w:rPr>
        <w:t>（1991）</w:t>
      </w:r>
      <w:r>
        <w:rPr>
          <w:color w:val="000000"/>
          <w:spacing w:val="0"/>
          <w:w w:val="100"/>
          <w:position w:val="0"/>
        </w:rPr>
        <w:t>民他字第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号］,人工授精所生之子郭 某阳应视为夫妻双方婚生子女。同时，被继承人郭某顺虽于遗嘱中否认其与妻子李某所怀 胎儿之间的亲子关系，但依《民法通则》第</w:t>
      </w:r>
      <w:r>
        <w:rPr>
          <w:rFonts w:ascii="Times New Roman" w:hAnsi="Times New Roman" w:eastAsia="Times New Roman" w:cs="Times New Roman"/>
          <w:color w:val="000000"/>
          <w:spacing w:val="0"/>
          <w:w w:val="100"/>
          <w:position w:val="0"/>
          <w:sz w:val="19"/>
          <w:szCs w:val="19"/>
        </w:rPr>
        <w:t>57</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136</w:t>
      </w:r>
      <w:r>
        <w:rPr>
          <w:color w:val="000000"/>
          <w:spacing w:val="0"/>
          <w:w w:val="100"/>
          <w:position w:val="0"/>
        </w:rPr>
        <w:t>条）规定，该否定不具法律 效力。</w:t>
      </w:r>
    </w:p>
    <w:p w14:paraId="0FEBB82F">
      <w:pPr>
        <w:pStyle w:val="17"/>
        <w:keepNext w:val="0"/>
        <w:keepLines w:val="0"/>
        <w:widowControl w:val="0"/>
        <w:shd w:val="clear" w:color="auto" w:fill="auto"/>
        <w:bidi w:val="0"/>
        <w:spacing w:before="0" w:after="180" w:line="345" w:lineRule="exact"/>
        <w:ind w:left="0" w:right="0" w:firstLine="420"/>
        <w:jc w:val="both"/>
      </w:pPr>
      <w:r>
        <w:rPr>
          <w:color w:val="000000"/>
          <w:spacing w:val="0"/>
          <w:w w:val="100"/>
          <w:position w:val="0"/>
        </w:rPr>
        <w:t>最终,法院结合继承人实际需要及所占份额的考虑,将涉案房屋判定归原告李某所有， 但李某应按房屋评估价值对原告郭某阳及二被告给予折价补偿。对遗嘱中未涉及之存款, 在偿还共同债务并扣除妻子一方份额后，由原被告双方依法定继承规则各继承</w:t>
      </w:r>
      <w:r>
        <w:rPr>
          <w:rFonts w:ascii="Times New Roman" w:hAnsi="Times New Roman" w:eastAsia="Times New Roman" w:cs="Times New Roman"/>
          <w:color w:val="000000"/>
          <w:spacing w:val="0"/>
          <w:w w:val="100"/>
          <w:position w:val="0"/>
          <w:sz w:val="19"/>
          <w:szCs w:val="19"/>
          <w:lang w:val="en-US" w:eastAsia="en-US" w:bidi="en-US"/>
        </w:rPr>
        <w:t>1/4</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本案 作为指导性案例，对异质人工授精所生子女的法律地位认定及胎儿继承权保护规则的适用 具有一定指导意义。</w:t>
      </w:r>
    </w:p>
    <w:p w14:paraId="4DC3C3F4">
      <w:pPr>
        <w:pStyle w:val="17"/>
        <w:keepNext w:val="0"/>
        <w:keepLines w:val="0"/>
        <w:widowControl w:val="0"/>
        <w:shd w:val="clear" w:color="auto" w:fill="auto"/>
        <w:bidi w:val="0"/>
        <w:spacing w:before="0" w:after="140" w:line="345"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异质人工授精所生子女的法律地位及胎儿继承权保护的规范及学理</w:t>
      </w:r>
    </w:p>
    <w:p w14:paraId="5B7F695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本案虽与遗嘱继承相关，但其核心争点有两点:其一,在夫妻关系存续期间,双方一致 同意实施异质人工授精,所生子女是否为婚生子女;其二，在夫妻一方未于遗嘱中为胎儿保 留必要份额时,应如何对胎儿利益予以保护。</w:t>
      </w:r>
    </w:p>
    <w:p w14:paraId="372C3C2D">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依《人类辅助生殖技术管理办法》第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款规定，异质人工授精</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ADI）</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又称供精 人工授精，是指用人工方式将丈夫以外之第三人精液注入女性体内以取代性交途径使其妊 娠的一种方法。在此情形下，因丈夫一方与所生子女之间并无血缘关系，故二者间是否为 父子（女）关系存在疑问。对此问题，我国《婚姻法》中并无明确规定。最高人民法院在《关 于夫妻离婚后人工授精所生子女的法律地位如何确定的复函》</w:t>
      </w:r>
      <w:r>
        <w:rPr>
          <w:color w:val="000000"/>
          <w:spacing w:val="0"/>
          <w:w w:val="100"/>
          <w:position w:val="0"/>
          <w:lang w:val="en-US" w:eastAsia="en-US" w:bidi="en-US"/>
        </w:rPr>
        <w:t>［</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1991</w:t>
      </w:r>
      <w:r>
        <w:rPr>
          <w:color w:val="000000"/>
          <w:spacing w:val="0"/>
          <w:w w:val="100"/>
          <w:position w:val="0"/>
        </w:rPr>
        <w:t>）民他字第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号］中 认为</w:t>
      </w:r>
      <w:r>
        <w:rPr>
          <w:color w:val="000000"/>
          <w:spacing w:val="0"/>
          <w:w w:val="100"/>
          <w:position w:val="0"/>
          <w:lang w:val="zh-CN" w:eastAsia="zh-CN" w:bidi="zh-CN"/>
        </w:rPr>
        <w:t>，“在</w:t>
      </w:r>
      <w:r>
        <w:rPr>
          <w:color w:val="000000"/>
          <w:spacing w:val="0"/>
          <w:w w:val="100"/>
          <w:position w:val="0"/>
        </w:rPr>
        <w:t xml:space="preserve">夫妻关系存续期间,双方一致同意进行人工授精，所生子女应视为夫妻双方的婚 生子女,父母子女之间权利义务关系适用《婚姻法》的有关规定”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依此规定,只要夫妻双方 在婚姻存续期间经一致同意实施人工授精,所生子女即可取得婚生子女之地位,至于该子 女是否在婚姻关系存续期间出生，并不影响对其婚生子女地位的认定。同时，因该复函系 针对异质人工授精案件作出，故其适用于异质人工授精情形。既然所生子女被视为婚生子 女，则其与妻之夫为法律上的父子（女），应适用《婚姻法》中关于父母子女之间权利义务关 系的规定。</w:t>
      </w:r>
    </w:p>
    <w:p w14:paraId="7F149F15">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关于异质人工授精所生子女之法律地位探讨，学界多以人工授精是否经夫妻双方一致 同意为标准区分两种情形:一为双方一致同意;二为妻未经夫方同意实施人工授精。在前 一情形，学界存在婚生子女说、养子女说及独立法律地位说等不同观点［陈苇主编:《婚姻家庭 继承法学》（第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版），群众出版社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146</w:t>
      </w:r>
      <w:r>
        <w:rPr>
          <w:color w:val="000000"/>
          <w:spacing w:val="0"/>
          <w:w w:val="100"/>
          <w:position w:val="0"/>
        </w:rPr>
        <w:t>页］。婚生子女说为学界通说［杨大文、龙翼飞 主编:《婚姻家庭法》（第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170</w:t>
      </w:r>
      <w:r>
        <w:rPr>
          <w:color w:val="000000"/>
          <w:spacing w:val="0"/>
          <w:w w:val="100"/>
          <w:position w:val="0"/>
        </w:rPr>
        <w:t>页；房绍坤等编著:《婚姻家庭与 继承法》（第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119</w:t>
      </w:r>
      <w:r>
        <w:rPr>
          <w:color w:val="000000"/>
          <w:spacing w:val="0"/>
          <w:w w:val="100"/>
          <w:position w:val="0"/>
        </w:rPr>
        <w:t>页］。在后一情形，学者多主张依婚生 推定制度推定所生子女为婚生子女，但因欠缺夫方同意，夫方可行使否认权［巫昌祯主编:《婚 姻与继承法学》（第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238</w:t>
      </w:r>
      <w:r>
        <w:rPr>
          <w:color w:val="000000"/>
          <w:spacing w:val="0"/>
          <w:w w:val="100"/>
          <w:position w:val="0"/>
        </w:rPr>
        <w:t>页；陈苇主编：《婚姻家庭继承法学》 （第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版），群众出版社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147</w:t>
      </w:r>
      <w:r>
        <w:rPr>
          <w:color w:val="000000"/>
          <w:spacing w:val="0"/>
          <w:w w:val="100"/>
          <w:position w:val="0"/>
        </w:rPr>
        <w:t>页］。</w:t>
      </w:r>
    </w:p>
    <w:p w14:paraId="53FF239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值得探讨的是，在夫妻双方同意实施人工授精并受孕以后，夫方可否对父子（女）关系 加以否认？对此，存在两种观点。肯定观点认为，在夫妻双方同意人工授精的意思表示中， 夫之同意仅为对实施人工授精手术之同意，但不包含对婚生子女的认可，基于维护血缘真 实性之目的,应认可夫之否认权。否定观点认为,夫之同意中包含对所生子女为婚生子女 的认可，且依诚信原则、禁反言原则及保护子女利益原则，夫方不享有否认权。其中,否定观 点为通说［陈苇主编:《婚姻家庭继承法学》（第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版），群众出版社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147</w:t>
      </w:r>
      <w:r>
        <w:rPr>
          <w:color w:val="000000"/>
          <w:spacing w:val="0"/>
          <w:w w:val="100"/>
          <w:position w:val="0"/>
        </w:rPr>
        <w:t>页］。需要指出 的是，婚生子女的否认是对婚生子女推定的限制。在上述最高人民法院复函中，认定所生 子女为婚生子女时所用语词为</w:t>
      </w:r>
      <w:r>
        <w:rPr>
          <w:color w:val="000000"/>
          <w:spacing w:val="0"/>
          <w:w w:val="100"/>
          <w:position w:val="0"/>
          <w:lang w:val="zh-CN" w:eastAsia="zh-CN" w:bidi="zh-CN"/>
        </w:rPr>
        <w:t>“视为”，应</w:t>
      </w:r>
      <w:r>
        <w:rPr>
          <w:color w:val="000000"/>
          <w:spacing w:val="0"/>
          <w:w w:val="100"/>
          <w:position w:val="0"/>
        </w:rPr>
        <w:t>解为法律拟制，故于妻方受孕后，夫方已无否认之 可能。</w:t>
      </w:r>
    </w:p>
    <w:p w14:paraId="4CB50D0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夫妻一方未在遗嘱中为胎儿保留必要的继承份额时,应如何对胎儿利益予以保护，涉 及《民法典》第</w:t>
      </w:r>
      <w:r>
        <w:rPr>
          <w:rFonts w:ascii="Times New Roman" w:hAnsi="Times New Roman" w:eastAsia="Times New Roman" w:cs="Times New Roman"/>
          <w:color w:val="000000"/>
          <w:spacing w:val="0"/>
          <w:w w:val="100"/>
          <w:position w:val="0"/>
          <w:sz w:val="19"/>
          <w:szCs w:val="19"/>
        </w:rPr>
        <w:t>1141</w:t>
      </w:r>
      <w:r>
        <w:rPr>
          <w:color w:val="000000"/>
          <w:spacing w:val="0"/>
          <w:w w:val="100"/>
          <w:position w:val="0"/>
        </w:rPr>
        <w:t>条的适用。依该条规定，遗嘱人在遗嘱中应为“缺乏劳动能力又没有生 活来源”</w:t>
      </w:r>
      <w:r>
        <w:rPr>
          <w:color w:val="000000"/>
          <w:spacing w:val="0"/>
          <w:w w:val="100"/>
          <w:position w:val="0"/>
          <w:lang w:val="zh-CN" w:eastAsia="zh-CN" w:bidi="zh-CN"/>
        </w:rPr>
        <w:t>（“双</w:t>
      </w:r>
      <w:r>
        <w:rPr>
          <w:color w:val="000000"/>
          <w:spacing w:val="0"/>
          <w:w w:val="100"/>
          <w:position w:val="0"/>
        </w:rPr>
        <w:t xml:space="preserve">无标准”）的继承人保留必要的遗产份额。该条为我国法上的必留份制度，与 比较法上的特留份制度存在不同，但同样对遗嘱自由构成限制。因此，若遗嘱人未为符合 </w:t>
      </w:r>
      <w:r>
        <w:rPr>
          <w:color w:val="000000"/>
          <w:spacing w:val="0"/>
          <w:w w:val="100"/>
          <w:position w:val="0"/>
          <w:lang w:val="zh-CN" w:eastAsia="zh-CN" w:bidi="zh-CN"/>
        </w:rPr>
        <w:t>“双</w:t>
      </w:r>
      <w:r>
        <w:rPr>
          <w:color w:val="000000"/>
          <w:spacing w:val="0"/>
          <w:w w:val="100"/>
          <w:position w:val="0"/>
        </w:rPr>
        <w:t>无标准</w:t>
      </w:r>
      <w:r>
        <w:rPr>
          <w:color w:val="000000"/>
          <w:spacing w:val="0"/>
          <w:w w:val="100"/>
          <w:position w:val="0"/>
          <w:lang w:val="zh-CN" w:eastAsia="zh-CN" w:bidi="zh-CN"/>
        </w:rPr>
        <w:t>”的法</w:t>
      </w:r>
      <w:r>
        <w:rPr>
          <w:color w:val="000000"/>
          <w:spacing w:val="0"/>
          <w:w w:val="100"/>
          <w:position w:val="0"/>
        </w:rPr>
        <w:t>定继承人保留</w:t>
      </w:r>
      <w:r>
        <w:rPr>
          <w:color w:val="000000"/>
          <w:spacing w:val="0"/>
          <w:w w:val="100"/>
          <w:position w:val="0"/>
          <w:lang w:val="zh-CN" w:eastAsia="zh-CN" w:bidi="zh-CN"/>
        </w:rPr>
        <w:t>“必</w:t>
      </w:r>
      <w:r>
        <w:rPr>
          <w:color w:val="000000"/>
          <w:spacing w:val="0"/>
          <w:w w:val="100"/>
          <w:position w:val="0"/>
        </w:rPr>
        <w:t>留份</w:t>
      </w:r>
      <w:r>
        <w:rPr>
          <w:color w:val="000000"/>
          <w:spacing w:val="0"/>
          <w:w w:val="100"/>
          <w:position w:val="0"/>
          <w:lang w:val="zh-CN" w:eastAsia="zh-CN" w:bidi="zh-CN"/>
        </w:rPr>
        <w:t>”，则</w:t>
      </w:r>
      <w:r>
        <w:rPr>
          <w:color w:val="000000"/>
          <w:spacing w:val="0"/>
          <w:w w:val="100"/>
          <w:position w:val="0"/>
        </w:rPr>
        <w:t>与“必留份”处分相涉的遗嘱内容无效。然而, 胎儿是否为受必留份制度保护之主体却不无疑问。</w:t>
      </w:r>
    </w:p>
    <w:p w14:paraId="1B34E223">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依《民法典》第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条的规定，自然人的民事权利能力</w:t>
      </w:r>
      <w:r>
        <w:rPr>
          <w:color w:val="000000"/>
          <w:spacing w:val="0"/>
          <w:w w:val="100"/>
          <w:position w:val="0"/>
          <w:lang w:val="zh-CN" w:eastAsia="zh-CN" w:bidi="zh-CN"/>
        </w:rPr>
        <w:t>“始于</w:t>
      </w:r>
      <w:r>
        <w:rPr>
          <w:color w:val="000000"/>
          <w:spacing w:val="0"/>
          <w:w w:val="100"/>
          <w:position w:val="0"/>
        </w:rPr>
        <w:t>出生,终于死亡”。依此规 定，胎儿不具民事权利能力，也无继承能力。因胎儿无继承能力,故不为继承人，不受必留份 制度保护。然而，为实现对胎儿继承利益之保护，《民法典》第</w:t>
      </w:r>
      <w:r>
        <w:rPr>
          <w:rFonts w:ascii="Times New Roman" w:hAnsi="Times New Roman" w:eastAsia="Times New Roman" w:cs="Times New Roman"/>
          <w:color w:val="000000"/>
          <w:spacing w:val="0"/>
          <w:w w:val="100"/>
          <w:position w:val="0"/>
          <w:sz w:val="19"/>
          <w:szCs w:val="19"/>
          <w:lang w:val="en-US" w:eastAsia="en-US" w:bidi="en-US"/>
        </w:rPr>
        <w:t>H55</w:t>
      </w:r>
      <w:r>
        <w:rPr>
          <w:color w:val="000000"/>
          <w:spacing w:val="0"/>
          <w:w w:val="100"/>
          <w:position w:val="0"/>
        </w:rPr>
        <w:t>条规定:“遗产分割时, 应当保留胎儿的继承份额。胎儿出生时是死体的，保留的份额按照法定继承办理</w:t>
      </w:r>
      <w:r>
        <w:rPr>
          <w:color w:val="000000"/>
          <w:spacing w:val="0"/>
          <w:w w:val="100"/>
          <w:position w:val="0"/>
          <w:lang w:val="zh-CN" w:eastAsia="zh-CN" w:bidi="zh-CN"/>
        </w:rPr>
        <w:t>。”通</w:t>
      </w:r>
      <w:r>
        <w:rPr>
          <w:color w:val="000000"/>
          <w:spacing w:val="0"/>
          <w:w w:val="100"/>
          <w:position w:val="0"/>
        </w:rPr>
        <w:t>说认 为，该条规定暗含了对胎儿继承能力的承认，但以继承开始时已受孕及岀生时非死产为条 件（张玉敏:《继承法律制度研究》，华中科技大学出版社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 xml:space="preserve">页）。此外，《民法总则》第 </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条）明确规定在遗产继承情形中，胎儿视为具有民事权利能力，但娩 出时为死体的，其民事权利能力自始不存在。据此，胎儿具有继承能力已确定无疑。因此, 无论在《民法总则》实施之前还是之后，胎儿继承能力均不构成对其适用《继承法》第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条 （《民法典》第</w:t>
      </w:r>
      <w:r>
        <w:rPr>
          <w:rFonts w:ascii="Times New Roman" w:hAnsi="Times New Roman" w:eastAsia="Times New Roman" w:cs="Times New Roman"/>
          <w:color w:val="000000"/>
          <w:spacing w:val="0"/>
          <w:w w:val="100"/>
          <w:position w:val="0"/>
          <w:sz w:val="17"/>
          <w:szCs w:val="17"/>
        </w:rPr>
        <w:t>1141</w:t>
      </w:r>
      <w:r>
        <w:rPr>
          <w:color w:val="000000"/>
          <w:spacing w:val="0"/>
          <w:w w:val="100"/>
          <w:position w:val="0"/>
        </w:rPr>
        <w:t>条）之障碍。同时，通说认为，胎儿属于符合“双无标准</w:t>
      </w:r>
      <w:r>
        <w:rPr>
          <w:color w:val="000000"/>
          <w:spacing w:val="0"/>
          <w:w w:val="100"/>
          <w:position w:val="0"/>
          <w:lang w:val="zh-CN" w:eastAsia="zh-CN" w:bidi="zh-CN"/>
        </w:rPr>
        <w:t>”的</w:t>
      </w:r>
      <w:r>
        <w:rPr>
          <w:color w:val="000000"/>
          <w:spacing w:val="0"/>
          <w:w w:val="100"/>
          <w:position w:val="0"/>
        </w:rPr>
        <w:t>法定继承人， 因此，被继承人中有于继承开始时已受孕胎儿时,遗嘱人应为其保留必要的遗产份额［郭明 瑞、房绍坤:《继承法》（第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160</w:t>
      </w:r>
      <w:r>
        <w:rPr>
          <w:color w:val="000000"/>
          <w:spacing w:val="0"/>
          <w:w w:val="100"/>
          <w:position w:val="0"/>
        </w:rPr>
        <w:t>页］。</w:t>
      </w:r>
    </w:p>
    <w:p w14:paraId="1B957893">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000BA84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在夫妻关系存续期间双方一致同意实施人工授精的情形中，因最高人民法院复函对所 生子女之法律地位有明确规定，故审理法院均依此认定所生子女为婚生子女。《最高人民 法院公报》</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期所刊载的“人工授精子女抚养纠纷案</w:t>
      </w:r>
      <w:r>
        <w:rPr>
          <w:color w:val="000000"/>
          <w:spacing w:val="0"/>
          <w:w w:val="100"/>
          <w:position w:val="0"/>
          <w:lang w:val="zh-CN" w:eastAsia="zh-CN" w:bidi="zh-CN"/>
        </w:rPr>
        <w:t>”即</w:t>
      </w:r>
      <w:r>
        <w:rPr>
          <w:color w:val="000000"/>
          <w:spacing w:val="0"/>
          <w:w w:val="100"/>
          <w:position w:val="0"/>
        </w:rPr>
        <w:t>为典型例证。其他如</w:t>
      </w:r>
      <w:r>
        <w:rPr>
          <w:color w:val="000000"/>
          <w:spacing w:val="0"/>
          <w:w w:val="100"/>
          <w:position w:val="0"/>
          <w:lang w:val="zh-CN" w:eastAsia="zh-CN" w:bidi="zh-CN"/>
        </w:rPr>
        <w:t xml:space="preserve">“李 </w:t>
      </w:r>
      <w:r>
        <w:rPr>
          <w:color w:val="000000"/>
          <w:spacing w:val="0"/>
          <w:w w:val="100"/>
          <w:position w:val="0"/>
        </w:rPr>
        <w:t>某与吴某离婚纠纷案</w:t>
      </w:r>
      <w:r>
        <w:rPr>
          <w:color w:val="000000"/>
          <w:spacing w:val="0"/>
          <w:w w:val="100"/>
          <w:position w:val="0"/>
          <w:lang w:val="zh-CN" w:eastAsia="zh-CN" w:bidi="zh-CN"/>
        </w:rPr>
        <w:t>”［广</w:t>
      </w:r>
      <w:r>
        <w:rPr>
          <w:color w:val="000000"/>
          <w:spacing w:val="0"/>
          <w:w w:val="100"/>
          <w:position w:val="0"/>
        </w:rPr>
        <w:t>东省博罗县人民法院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惠博法湾民初字第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号民事判决书］</w:t>
      </w:r>
      <w:r>
        <w:rPr>
          <w:color w:val="000000"/>
          <w:spacing w:val="0"/>
          <w:w w:val="100"/>
          <w:position w:val="0"/>
          <w:lang w:val="zh-CN" w:eastAsia="zh-CN" w:bidi="zh-CN"/>
        </w:rPr>
        <w:t xml:space="preserve">、“徐 </w:t>
      </w:r>
      <w:r>
        <w:rPr>
          <w:color w:val="000000"/>
          <w:spacing w:val="0"/>
          <w:w w:val="100"/>
          <w:position w:val="0"/>
        </w:rPr>
        <w:t>某与鲍某甲离婚纠纷案</w:t>
      </w:r>
      <w:r>
        <w:rPr>
          <w:color w:val="000000"/>
          <w:spacing w:val="0"/>
          <w:w w:val="100"/>
          <w:position w:val="0"/>
          <w:lang w:val="zh-CN" w:eastAsia="zh-CN" w:bidi="zh-CN"/>
        </w:rPr>
        <w:t>”［浙</w:t>
      </w:r>
      <w:r>
        <w:rPr>
          <w:color w:val="000000"/>
          <w:spacing w:val="0"/>
          <w:w w:val="100"/>
          <w:position w:val="0"/>
        </w:rPr>
        <w:t>江省天台县人民法院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台夭民初字第</w:t>
      </w:r>
      <w:r>
        <w:rPr>
          <w:rFonts w:ascii="Times New Roman" w:hAnsi="Times New Roman" w:eastAsia="Times New Roman" w:cs="Times New Roman"/>
          <w:color w:val="000000"/>
          <w:spacing w:val="0"/>
          <w:w w:val="100"/>
          <w:position w:val="0"/>
          <w:sz w:val="17"/>
          <w:szCs w:val="17"/>
        </w:rPr>
        <w:t>32</w:t>
      </w:r>
      <w:r>
        <w:rPr>
          <w:color w:val="000000"/>
          <w:spacing w:val="0"/>
          <w:w w:val="100"/>
          <w:position w:val="0"/>
        </w:rPr>
        <w:t>号民事判决书］</w:t>
      </w:r>
      <w:r>
        <w:rPr>
          <w:color w:val="000000"/>
          <w:spacing w:val="0"/>
          <w:w w:val="100"/>
          <w:position w:val="0"/>
          <w:lang w:val="zh-CN" w:eastAsia="zh-CN" w:bidi="zh-CN"/>
        </w:rPr>
        <w:t>、“王</w:t>
      </w:r>
      <w:r>
        <w:rPr>
          <w:color w:val="000000"/>
          <w:spacing w:val="0"/>
          <w:w w:val="100"/>
          <w:position w:val="0"/>
        </w:rPr>
        <w:t>某、 黄某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离婚纠纷案”［江西省抚州市中级人民法院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抚民一终字第</w:t>
      </w:r>
      <w:r>
        <w:rPr>
          <w:rFonts w:ascii="Times New Roman" w:hAnsi="Times New Roman" w:eastAsia="Times New Roman" w:cs="Times New Roman"/>
          <w:color w:val="000000"/>
          <w:spacing w:val="0"/>
          <w:w w:val="100"/>
          <w:position w:val="0"/>
          <w:sz w:val="17"/>
          <w:szCs w:val="17"/>
        </w:rPr>
        <w:t>395</w:t>
      </w:r>
      <w:r>
        <w:rPr>
          <w:color w:val="000000"/>
          <w:spacing w:val="0"/>
          <w:w w:val="100"/>
          <w:position w:val="0"/>
        </w:rPr>
        <w:t>号民事判决书］、</w:t>
      </w:r>
      <w:r>
        <w:rPr>
          <w:color w:val="000000"/>
          <w:spacing w:val="0"/>
          <w:w w:val="100"/>
          <w:position w:val="0"/>
          <w:lang w:val="zh-CN" w:eastAsia="zh-CN" w:bidi="zh-CN"/>
        </w:rPr>
        <w:t xml:space="preserve">“谷某 </w:t>
      </w:r>
      <w:r>
        <w:rPr>
          <w:color w:val="000000"/>
          <w:spacing w:val="0"/>
          <w:w w:val="100"/>
          <w:position w:val="0"/>
        </w:rPr>
        <w:t>与邓某甲离婚纠纷案</w:t>
      </w:r>
      <w:r>
        <w:rPr>
          <w:color w:val="000000"/>
          <w:spacing w:val="0"/>
          <w:w w:val="100"/>
          <w:position w:val="0"/>
          <w:lang w:val="zh-CN" w:eastAsia="zh-CN" w:bidi="zh-CN"/>
        </w:rPr>
        <w:t>”［湖</w:t>
      </w:r>
      <w:r>
        <w:rPr>
          <w:color w:val="000000"/>
          <w:spacing w:val="0"/>
          <w:w w:val="100"/>
          <w:position w:val="0"/>
        </w:rPr>
        <w:t>南省双峰县人民法院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湘</w:t>
      </w:r>
      <w:r>
        <w:rPr>
          <w:rFonts w:ascii="Times New Roman" w:hAnsi="Times New Roman" w:eastAsia="Times New Roman" w:cs="Times New Roman"/>
          <w:color w:val="000000"/>
          <w:spacing w:val="0"/>
          <w:w w:val="100"/>
          <w:position w:val="0"/>
          <w:sz w:val="17"/>
          <w:szCs w:val="17"/>
        </w:rPr>
        <w:t>1321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1488</w:t>
      </w:r>
      <w:r>
        <w:rPr>
          <w:color w:val="000000"/>
          <w:spacing w:val="0"/>
          <w:w w:val="100"/>
          <w:position w:val="0"/>
        </w:rPr>
        <w:t>号民事判决书］、</w:t>
      </w:r>
      <w:r>
        <w:rPr>
          <w:color w:val="000000"/>
          <w:spacing w:val="0"/>
          <w:w w:val="100"/>
          <w:position w:val="0"/>
          <w:lang w:val="zh-CN" w:eastAsia="zh-CN" w:bidi="zh-CN"/>
        </w:rPr>
        <w:t>“冯某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朱某离婚纠纷案”</w:t>
      </w:r>
      <w:r>
        <w:rPr>
          <w:color w:val="000000"/>
          <w:spacing w:val="0"/>
          <w:w w:val="100"/>
          <w:position w:val="0"/>
          <w:lang w:val="en-US" w:eastAsia="en-US" w:bidi="en-US"/>
        </w:rPr>
        <w:t>［</w:t>
      </w:r>
      <w:r>
        <w:rPr>
          <w:color w:val="000000"/>
          <w:spacing w:val="0"/>
          <w:w w:val="100"/>
          <w:position w:val="0"/>
        </w:rPr>
        <w:t>河南省驻马店市中级人民法院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豫</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3780</w:t>
      </w:r>
      <w:r>
        <w:rPr>
          <w:color w:val="000000"/>
          <w:spacing w:val="0"/>
          <w:w w:val="100"/>
          <w:position w:val="0"/>
        </w:rPr>
        <w:t>号民事判决书］也是如此。 针对夫方以无血缘关系为由而欲否定存在父子（女）关系的主张,法院均未支持，如“蒋会莲 诉雷定才离婚纠纷案</w:t>
      </w:r>
      <w:r>
        <w:rPr>
          <w:color w:val="000000"/>
          <w:spacing w:val="0"/>
          <w:w w:val="100"/>
          <w:position w:val="0"/>
          <w:lang w:val="zh-CN" w:eastAsia="zh-CN" w:bidi="zh-CN"/>
        </w:rPr>
        <w:t>”［四</w:t>
      </w:r>
      <w:r>
        <w:rPr>
          <w:color w:val="000000"/>
          <w:spacing w:val="0"/>
          <w:w w:val="100"/>
          <w:position w:val="0"/>
        </w:rPr>
        <w:t>川省成都市锦江区人民法院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锦江民初字第</w:t>
      </w:r>
      <w:r>
        <w:rPr>
          <w:rFonts w:ascii="Times New Roman" w:hAnsi="Times New Roman" w:eastAsia="Times New Roman" w:cs="Times New Roman"/>
          <w:color w:val="000000"/>
          <w:spacing w:val="0"/>
          <w:w w:val="100"/>
          <w:position w:val="0"/>
          <w:sz w:val="17"/>
          <w:szCs w:val="17"/>
        </w:rPr>
        <w:t>426</w:t>
      </w:r>
      <w:r>
        <w:rPr>
          <w:color w:val="000000"/>
          <w:spacing w:val="0"/>
          <w:w w:val="100"/>
          <w:position w:val="0"/>
        </w:rPr>
        <w:t>号民事判决书］、 “丁某甲与丁某乙抚养纠纷案''［山东省青岛市市南区人民法院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鲁</w:t>
      </w:r>
      <w:r>
        <w:rPr>
          <w:rFonts w:ascii="Times New Roman" w:hAnsi="Times New Roman" w:eastAsia="Times New Roman" w:cs="Times New Roman"/>
          <w:color w:val="000000"/>
          <w:spacing w:val="0"/>
          <w:w w:val="100"/>
          <w:position w:val="0"/>
          <w:sz w:val="17"/>
          <w:szCs w:val="17"/>
        </w:rPr>
        <w:t>0202</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1075</w:t>
      </w:r>
      <w:r>
        <w:rPr>
          <w:color w:val="000000"/>
          <w:spacing w:val="0"/>
          <w:w w:val="100"/>
          <w:position w:val="0"/>
        </w:rPr>
        <w:t>号民事判 决书］。此外,在妻子一方未征得丈夫同意而实施异质人工授精，但丈夫事后表示认可的情 况下，法院也认定所生子女具有婚生子女地位［广西壮族自治区陆川县人民法院（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陆民初字 第</w:t>
      </w:r>
      <w:r>
        <w:rPr>
          <w:rFonts w:ascii="Times New Roman" w:hAnsi="Times New Roman" w:eastAsia="Times New Roman" w:cs="Times New Roman"/>
          <w:color w:val="000000"/>
          <w:spacing w:val="0"/>
          <w:w w:val="100"/>
          <w:position w:val="0"/>
          <w:sz w:val="17"/>
          <w:szCs w:val="17"/>
        </w:rPr>
        <w:t>1463</w:t>
      </w:r>
      <w:r>
        <w:rPr>
          <w:color w:val="000000"/>
          <w:spacing w:val="0"/>
          <w:w w:val="100"/>
          <w:position w:val="0"/>
        </w:rPr>
        <w:t>号民事判决书］。</w:t>
      </w:r>
    </w:p>
    <w:p w14:paraId="30D7459F">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关于胎儿继承权之保护,在夫方生前未留有遗嘱而适用法定继承时，法院均依原《继承 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条规定，认定胎儿享有法定继承权并于遗产分割时保留其应继份额，如“曹某王某 等法定继承纠纷上诉案”［河南省许昌市中级人民法院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许民一终字第</w:t>
      </w:r>
      <w:r>
        <w:rPr>
          <w:rFonts w:ascii="Times New Roman" w:hAnsi="Times New Roman" w:eastAsia="Times New Roman" w:cs="Times New Roman"/>
          <w:color w:val="000000"/>
          <w:spacing w:val="0"/>
          <w:w w:val="100"/>
          <w:position w:val="0"/>
          <w:sz w:val="17"/>
          <w:szCs w:val="17"/>
        </w:rPr>
        <w:t>286</w:t>
      </w:r>
      <w:r>
        <w:rPr>
          <w:color w:val="000000"/>
          <w:spacing w:val="0"/>
          <w:w w:val="100"/>
          <w:position w:val="0"/>
        </w:rPr>
        <w:t xml:space="preserve">号民事判决书］、 </w:t>
      </w:r>
      <w:r>
        <w:rPr>
          <w:color w:val="000000"/>
          <w:spacing w:val="0"/>
          <w:w w:val="100"/>
          <w:position w:val="0"/>
          <w:lang w:val="zh-CN" w:eastAsia="zh-CN" w:bidi="zh-CN"/>
        </w:rPr>
        <w:t>“焦某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诉焦某等继承纠纷案</w:t>
      </w:r>
      <w:r>
        <w:rPr>
          <w:color w:val="000000"/>
          <w:spacing w:val="0"/>
          <w:w w:val="100"/>
          <w:position w:val="0"/>
          <w:lang w:val="zh-CN" w:eastAsia="zh-CN" w:bidi="zh-CN"/>
        </w:rPr>
        <w:t>”［兰</w:t>
      </w:r>
      <w:r>
        <w:rPr>
          <w:color w:val="000000"/>
          <w:spacing w:val="0"/>
          <w:w w:val="100"/>
          <w:position w:val="0"/>
        </w:rPr>
        <w:t>州市西固区人民法院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西陈民初字第</w:t>
      </w:r>
      <w:r>
        <w:rPr>
          <w:rFonts w:ascii="Times New Roman" w:hAnsi="Times New Roman" w:eastAsia="Times New Roman" w:cs="Times New Roman"/>
          <w:color w:val="000000"/>
          <w:spacing w:val="0"/>
          <w:w w:val="100"/>
          <w:position w:val="0"/>
          <w:sz w:val="17"/>
          <w:szCs w:val="17"/>
        </w:rPr>
        <w:t>298</w:t>
      </w:r>
      <w:r>
        <w:rPr>
          <w:color w:val="000000"/>
          <w:spacing w:val="0"/>
          <w:w w:val="100"/>
          <w:position w:val="0"/>
        </w:rPr>
        <w:t>号民事判决书］。 在夫方生前留有遗嘱但未为胎儿保留必要的遗产份额时，法院在裁判说理中认为应依《继 承法》第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条的规定认定该遗嘱部分无效,即应为胎儿保留必要的份额，如“顾某诉顾某遗 嘱继承纠纷案</w:t>
      </w:r>
      <w:r>
        <w:rPr>
          <w:color w:val="000000"/>
          <w:spacing w:val="0"/>
          <w:w w:val="100"/>
          <w:position w:val="0"/>
          <w:lang w:val="zh-CN" w:eastAsia="zh-CN" w:bidi="zh-CN"/>
        </w:rPr>
        <w:t>”［上</w:t>
      </w:r>
      <w:r>
        <w:rPr>
          <w:color w:val="000000"/>
          <w:spacing w:val="0"/>
          <w:w w:val="100"/>
          <w:position w:val="0"/>
        </w:rPr>
        <w:t>海市徐汇区人民法院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徐民一（民）初字第</w:t>
      </w:r>
      <w:r>
        <w:rPr>
          <w:rFonts w:ascii="Times New Roman" w:hAnsi="Times New Roman" w:eastAsia="Times New Roman" w:cs="Times New Roman"/>
          <w:color w:val="000000"/>
          <w:spacing w:val="0"/>
          <w:w w:val="100"/>
          <w:position w:val="0"/>
          <w:sz w:val="17"/>
          <w:szCs w:val="17"/>
        </w:rPr>
        <w:t>3971</w:t>
      </w:r>
      <w:r>
        <w:rPr>
          <w:color w:val="000000"/>
          <w:spacing w:val="0"/>
          <w:w w:val="100"/>
          <w:position w:val="0"/>
        </w:rPr>
        <w:t>号民事判决书］、</w:t>
      </w:r>
      <w:r>
        <w:rPr>
          <w:color w:val="000000"/>
          <w:spacing w:val="0"/>
          <w:w w:val="100"/>
          <w:position w:val="0"/>
          <w:lang w:val="zh-CN" w:eastAsia="zh-CN" w:bidi="zh-CN"/>
        </w:rPr>
        <w:t>“冶某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冶某</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等与冶勇菊等遗嘱继承纠纷案</w:t>
      </w:r>
      <w:r>
        <w:rPr>
          <w:color w:val="000000"/>
          <w:spacing w:val="0"/>
          <w:w w:val="100"/>
          <w:position w:val="0"/>
          <w:lang w:val="zh-CN" w:eastAsia="zh-CN" w:bidi="zh-CN"/>
        </w:rPr>
        <w:t>”［河</w:t>
      </w:r>
      <w:r>
        <w:rPr>
          <w:color w:val="000000"/>
          <w:spacing w:val="0"/>
          <w:w w:val="100"/>
          <w:position w:val="0"/>
        </w:rPr>
        <w:t>北省邢台市桥东区人民法院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0502</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630</w:t>
      </w:r>
      <w:r>
        <w:rPr>
          <w:color w:val="000000"/>
          <w:spacing w:val="0"/>
          <w:w w:val="100"/>
          <w:position w:val="0"/>
        </w:rPr>
        <w:t>号 民事判决书］。</w:t>
      </w:r>
    </w:p>
    <w:p w14:paraId="7644B4FB">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033CDE62">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按最高人民法院案例指导工作办公室的说明（最高人民法院案例指导工作办公室:《〈李某、 郭某阳诉郭某和、童某某继承纠纷案〉的理解与参照——双方同意人工授精所生子女视为婚生子女》， 载《人民司法-案例》</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26</w:t>
      </w:r>
      <w:r>
        <w:rPr>
          <w:color w:val="000000"/>
          <w:spacing w:val="0"/>
          <w:w w:val="100"/>
          <w:position w:val="0"/>
        </w:rPr>
        <w:t>期），推选本指导案例的主要意义在于明确人工授精子女的 法律地位问题。具体而言，该案例明确了夫妻关系存续期间，双方一致同意实施异质人工 授精并使女方受孕后，男方反悔，而女方坚持生出该子女，所生子女应被认定为婚生子女, 以及在夫妻一方所订遗嘱中未为胎儿保留必要继承份额时，该遗嘱部分无效。虽然该指导 案例发布的直接目的在于保护通过人工授精出生之子女及妇女的合法权益,并统一类案裁 判标准，但因最高人民法院复函对人工授精子女之法律地位已有明确规定且法院多将胎儿 认定为应受必留份制度保护之主体，故其指导意义并未得以特殊彰显。同时，指导案例中 以原《民法通则》第</w:t>
      </w:r>
      <w:r>
        <w:rPr>
          <w:rFonts w:ascii="Times New Roman" w:hAnsi="Times New Roman" w:eastAsia="Times New Roman" w:cs="Times New Roman"/>
          <w:color w:val="000000"/>
          <w:spacing w:val="0"/>
          <w:w w:val="100"/>
          <w:position w:val="0"/>
          <w:sz w:val="19"/>
          <w:szCs w:val="19"/>
        </w:rPr>
        <w:t>57</w:t>
      </w:r>
      <w:r>
        <w:rPr>
          <w:color w:val="000000"/>
          <w:spacing w:val="0"/>
          <w:w w:val="100"/>
          <w:position w:val="0"/>
        </w:rPr>
        <w:t>条规定为依据否定夫方反悔之效力，尽管就本案而言在结果上可被 接受，但在说理上似有不周。因为，之所以认定夫方对亲子关系的否定不具效力，其原因不 仅在于其之前的同意，更在于妻子已受孕并坚持生下孩子。若仅依夫方的同意就否认其反 悔的效力，则无法解释在夫妻双方同意人工授精后至受孕前,夫方仍有权提出中止该技术 的实施（《人类辅助生殖技术和人类精子库伦理原则》知情同意的原则第三项</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同时，在子 女出生后,即便是妻方同意丈夫之反悔，也不能当然认为该反悔具有法律效力，此时尚涉及 子女利益保护问题。毫无疑问，针对与身份相关的法律行为效力之认定，并不能简单套用 民法总则部分的法律行为规则。对于此类问题，也还有待于未来的进一步讨论。</w:t>
      </w:r>
    </w:p>
    <w:p w14:paraId="0A889926">
      <w:pPr>
        <w:pStyle w:val="11"/>
        <w:keepNext w:val="0"/>
        <w:keepLines w:val="0"/>
        <w:widowControl w:val="0"/>
        <w:shd w:val="clear" w:color="auto" w:fill="auto"/>
        <w:bidi w:val="0"/>
        <w:spacing w:before="0" w:after="0"/>
        <w:ind w:left="0" w:right="0" w:firstLine="0"/>
        <w:jc w:val="both"/>
      </w:pPr>
      <w:r>
        <w:rPr>
          <w:i/>
          <w:iCs/>
          <w:color w:val="000000"/>
          <w:spacing w:val="0"/>
          <w:w w:val="100"/>
          <w:position w:val="0"/>
        </w:rPr>
        <w:t>回</w:t>
      </w:r>
      <w:r>
        <w:rPr>
          <w:color w:val="000000"/>
          <w:spacing w:val="0"/>
          <w:w w:val="100"/>
          <w:position w:val="0"/>
        </w:rPr>
        <w:t>参考文献</w:t>
      </w:r>
    </w:p>
    <w:p w14:paraId="3CA6BFD9">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陈苇主编:《婚姻家庭继承法学》（第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版），群众出版社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AD189E4">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杨大文、龙翼飞主编：《婚照家庭法》（第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D067C3C">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房绍坤等编著:《婚姻家庭与继承法》（第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7496B5DC">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巫昌祯主编:《婚姻与继承法学》（第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413A0B6">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张玉敏:《继承法律制度研究》，华中科技大学出版社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01C223FD">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郭明瑞、房绍坤:《继承法》（第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09ABA1D3">
      <w:pPr>
        <w:pStyle w:val="17"/>
        <w:keepNext w:val="0"/>
        <w:keepLines w:val="0"/>
        <w:widowControl w:val="0"/>
        <w:shd w:val="clear" w:color="auto" w:fill="auto"/>
        <w:bidi w:val="0"/>
        <w:spacing w:before="0" w:after="180" w:line="312" w:lineRule="exact"/>
        <w:ind w:left="200" w:right="0" w:hanging="200"/>
        <w:jc w:val="both"/>
        <w:sectPr>
          <w:headerReference r:id="rId47" w:type="default"/>
          <w:headerReference r:id="rId48" w:type="even"/>
          <w:footnotePr>
            <w:numFmt w:val="chicago"/>
          </w:footnotePr>
          <w:pgSz w:w="10099" w:h="14782"/>
          <w:pgMar w:top="1322" w:right="991" w:bottom="1093" w:left="1112" w:header="0" w:footer="3" w:gutter="0"/>
          <w:pgNumType w:start="23"/>
          <w:cols w:space="720" w:num="1"/>
          <w:rtlGutter w:val="0"/>
          <w:docGrid w:linePitch="360" w:charSpace="0"/>
        </w:sectPr>
      </w:pPr>
      <w:r>
        <w:rPr>
          <w:color w:val="000000"/>
          <w:spacing w:val="0"/>
          <w:w w:val="100"/>
          <w:position w:val="0"/>
        </w:rPr>
        <w:t>最高人民法院案例指导工作办公室:《〈李某、郭某阳诉郭某和、童某某继承纠纷案〉的理解与参照一双 方同意人工授精所生子女视为婚生子女》，载《人民司法-案例》</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26</w:t>
      </w:r>
      <w:r>
        <w:rPr>
          <w:color w:val="000000"/>
          <w:spacing w:val="0"/>
          <w:w w:val="100"/>
          <w:position w:val="0"/>
        </w:rPr>
        <w:t>期。</w:t>
      </w:r>
    </w:p>
    <w:p w14:paraId="6293FD3B">
      <w:pPr>
        <w:widowControl w:val="0"/>
        <w:spacing w:line="41" w:lineRule="exact"/>
        <w:rPr>
          <w:sz w:val="3"/>
          <w:szCs w:val="3"/>
        </w:rPr>
      </w:pPr>
    </w:p>
    <w:p w14:paraId="7732D8DD">
      <w:pPr>
        <w:widowControl w:val="0"/>
        <w:spacing w:line="1" w:lineRule="exact"/>
        <w:sectPr>
          <w:headerReference r:id="rId49" w:type="default"/>
          <w:headerReference r:id="rId50" w:type="even"/>
          <w:footnotePr>
            <w:numFmt w:val="chicago"/>
          </w:footnotePr>
          <w:pgSz w:w="10099" w:h="14782"/>
          <w:pgMar w:top="1273" w:right="1068" w:bottom="1125" w:left="1026" w:header="0" w:footer="3" w:gutter="0"/>
          <w:pgNumType w:start="43"/>
          <w:cols w:space="720" w:num="1"/>
          <w:rtlGutter w:val="0"/>
          <w:docGrid w:linePitch="360" w:charSpace="0"/>
        </w:sectPr>
      </w:pPr>
    </w:p>
    <w:p w14:paraId="3B687D1E">
      <w:pPr>
        <w:widowControl w:val="0"/>
        <w:spacing w:line="1" w:lineRule="exact"/>
      </w:pPr>
      <w:r>
        <w:drawing>
          <wp:anchor distT="0" distB="0" distL="0" distR="0" simplePos="0" relativeHeight="251660288" behindDoc="0" locked="0" layoutInCell="1" allowOverlap="1">
            <wp:simplePos x="0" y="0"/>
            <wp:positionH relativeFrom="page">
              <wp:posOffset>678180</wp:posOffset>
            </wp:positionH>
            <wp:positionV relativeFrom="paragraph">
              <wp:posOffset>0</wp:posOffset>
            </wp:positionV>
            <wp:extent cx="481330" cy="414655"/>
            <wp:effectExtent l="0" t="0" r="1270" b="4445"/>
            <wp:wrapTopAndBottom/>
            <wp:docPr id="91" name="Shape 91"/>
            <wp:cNvGraphicFramePr/>
            <a:graphic xmlns:a="http://schemas.openxmlformats.org/drawingml/2006/main">
              <a:graphicData uri="http://schemas.openxmlformats.org/drawingml/2006/picture">
                <pic:pic xmlns:pic="http://schemas.openxmlformats.org/drawingml/2006/picture">
                  <pic:nvPicPr>
                    <pic:cNvPr id="91" name="Shape 91"/>
                    <pic:cNvPicPr/>
                  </pic:nvPicPr>
                  <pic:blipFill>
                    <a:blip r:embed="rId597"/>
                    <a:stretch>
                      <a:fillRect/>
                    </a:stretch>
                  </pic:blipFill>
                  <pic:spPr>
                    <a:xfrm>
                      <a:off x="0" y="0"/>
                      <a:ext cx="481330" cy="414655"/>
                    </a:xfrm>
                    <a:prstGeom prst="rect">
                      <a:avLst/>
                    </a:prstGeom>
                  </pic:spPr>
                </pic:pic>
              </a:graphicData>
            </a:graphic>
          </wp:anchor>
        </w:drawing>
      </w:r>
      <w:r>
        <mc:AlternateContent>
          <mc:Choice Requires="wps">
            <w:drawing>
              <wp:anchor distT="140335" distB="36830" distL="0" distR="0" simplePos="0" relativeHeight="251660288" behindDoc="0" locked="0" layoutInCell="1" allowOverlap="1">
                <wp:simplePos x="0" y="0"/>
                <wp:positionH relativeFrom="page">
                  <wp:posOffset>1287780</wp:posOffset>
                </wp:positionH>
                <wp:positionV relativeFrom="paragraph">
                  <wp:posOffset>140335</wp:posOffset>
                </wp:positionV>
                <wp:extent cx="3214370" cy="237490"/>
                <wp:effectExtent l="0" t="0" r="0" b="0"/>
                <wp:wrapTopAndBottom/>
                <wp:docPr id="93" name="Shape 93"/>
                <wp:cNvGraphicFramePr/>
                <a:graphic xmlns:a="http://schemas.openxmlformats.org/drawingml/2006/main">
                  <a:graphicData uri="http://schemas.microsoft.com/office/word/2010/wordprocessingShape">
                    <wps:wsp>
                      <wps:cNvSpPr txBox="1"/>
                      <wps:spPr>
                        <a:xfrm>
                          <a:off x="0" y="0"/>
                          <a:ext cx="3214370" cy="237490"/>
                        </a:xfrm>
                        <a:prstGeom prst="rect">
                          <a:avLst/>
                        </a:prstGeom>
                        <a:noFill/>
                      </wps:spPr>
                      <wps:txbx>
                        <w:txbxContent>
                          <w:p w14:paraId="492E8D9A">
                            <w:pPr>
                              <w:pStyle w:val="15"/>
                              <w:keepNext/>
                              <w:keepLines/>
                              <w:widowControl w:val="0"/>
                              <w:shd w:val="clear" w:color="auto" w:fill="auto"/>
                              <w:bidi w:val="0"/>
                              <w:spacing w:before="0" w:after="0" w:line="240" w:lineRule="auto"/>
                              <w:ind w:left="0" w:right="0" w:firstLine="0"/>
                              <w:jc w:val="left"/>
                            </w:pPr>
                            <w:bookmarkStart w:id="228" w:name="bookmark45"/>
                            <w:bookmarkStart w:id="229" w:name="bookmark46"/>
                            <w:bookmarkStart w:id="230" w:name="bookmark44"/>
                            <w:r>
                              <w:rPr>
                                <w:color w:val="000000"/>
                                <w:spacing w:val="0"/>
                                <w:w w:val="100"/>
                                <w:position w:val="0"/>
                              </w:rPr>
                              <w:t>限制民事行为能力人实施代理行为的</w:t>
                            </w:r>
                            <w:bookmarkEnd w:id="228"/>
                            <w:bookmarkEnd w:id="229"/>
                            <w:bookmarkEnd w:id="230"/>
                          </w:p>
                        </w:txbxContent>
                      </wps:txbx>
                      <wps:bodyPr wrap="none" lIns="0" tIns="0" rIns="0" bIns="0">
                        <a:noAutofit/>
                      </wps:bodyPr>
                    </wps:wsp>
                  </a:graphicData>
                </a:graphic>
              </wp:anchor>
            </w:drawing>
          </mc:Choice>
          <mc:Fallback>
            <w:pict>
              <v:shape id="Shape 93" o:spid="_x0000_s1026" o:spt="202" type="#_x0000_t202" style="position:absolute;left:0pt;margin-left:101.4pt;margin-top:11.05pt;height:18.7pt;width:253.1pt;mso-position-horizontal-relative:page;mso-wrap-distance-bottom:2.9pt;mso-wrap-distance-top:11.05pt;mso-wrap-style:none;z-index:251660288;mso-width-relative:page;mso-height-relative:page;" filled="f" stroked="f" coordsize="21600,21600" o:gfxdata="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zD52NYA&#10;AAAJAQAADwAAAAAAAAABACAAAAAiAAAAZHJzL2Rvd25yZXYueG1sUEsBAhQAFAAAAAgAh07iQOno&#10;w3+vAQAAcgMAAA4AAAAAAAAAAQAgAAAAJQEAAGRycy9lMm9Eb2MueG1sUEsFBgAAAAAGAAYAWQEA&#10;AEYFAAAAAA==&#10;">
                <v:fill on="f" focussize="0,0"/>
                <v:stroke on="f"/>
                <v:imagedata o:title=""/>
                <o:lock v:ext="edit" aspectratio="f"/>
                <v:textbox inset="0mm,0mm,0mm,0mm">
                  <w:txbxContent>
                    <w:p w14:paraId="492E8D9A">
                      <w:pPr>
                        <w:pStyle w:val="15"/>
                        <w:keepNext/>
                        <w:keepLines/>
                        <w:widowControl w:val="0"/>
                        <w:shd w:val="clear" w:color="auto" w:fill="auto"/>
                        <w:bidi w:val="0"/>
                        <w:spacing w:before="0" w:after="0" w:line="240" w:lineRule="auto"/>
                        <w:ind w:left="0" w:right="0" w:firstLine="0"/>
                        <w:jc w:val="left"/>
                      </w:pPr>
                      <w:bookmarkStart w:id="228" w:name="bookmark45"/>
                      <w:bookmarkStart w:id="229" w:name="bookmark46"/>
                      <w:bookmarkStart w:id="230" w:name="bookmark44"/>
                      <w:r>
                        <w:rPr>
                          <w:color w:val="000000"/>
                          <w:spacing w:val="0"/>
                          <w:w w:val="100"/>
                          <w:position w:val="0"/>
                        </w:rPr>
                        <w:t>限制民事行为能力人实施代理行为的</w:t>
                      </w:r>
                      <w:bookmarkEnd w:id="228"/>
                      <w:bookmarkEnd w:id="229"/>
                      <w:bookmarkEnd w:id="230"/>
                    </w:p>
                  </w:txbxContent>
                </v:textbox>
                <w10:wrap type="topAndBottom"/>
              </v:shape>
            </w:pict>
          </mc:Fallback>
        </mc:AlternateContent>
      </w:r>
    </w:p>
    <w:p w14:paraId="010CE5A7">
      <w:pPr>
        <w:pStyle w:val="15"/>
        <w:keepNext/>
        <w:keepLines/>
        <w:widowControl w:val="0"/>
        <w:shd w:val="clear" w:color="auto" w:fill="auto"/>
        <w:bidi w:val="0"/>
        <w:spacing w:before="0" w:after="0" w:line="240" w:lineRule="auto"/>
        <w:ind w:left="0" w:right="0" w:firstLine="1000"/>
        <w:jc w:val="left"/>
      </w:pPr>
      <w:r>
        <w:drawing>
          <wp:anchor distT="0" distB="0" distL="114300" distR="114300" simplePos="0" relativeHeight="251660288" behindDoc="0" locked="0" layoutInCell="1" allowOverlap="1">
            <wp:simplePos x="0" y="0"/>
            <wp:positionH relativeFrom="page">
              <wp:posOffset>5119370</wp:posOffset>
            </wp:positionH>
            <wp:positionV relativeFrom="paragraph">
              <wp:posOffset>76200</wp:posOffset>
            </wp:positionV>
            <wp:extent cx="542290" cy="579120"/>
            <wp:effectExtent l="0" t="0" r="3810" b="5080"/>
            <wp:wrapSquare wrapText="left"/>
            <wp:docPr id="95" name="Shape 95"/>
            <wp:cNvGraphicFramePr/>
            <a:graphic xmlns:a="http://schemas.openxmlformats.org/drawingml/2006/main">
              <a:graphicData uri="http://schemas.openxmlformats.org/drawingml/2006/picture">
                <pic:pic xmlns:pic="http://schemas.openxmlformats.org/drawingml/2006/picture">
                  <pic:nvPicPr>
                    <pic:cNvPr id="95" name="Shape 95"/>
                    <pic:cNvPicPr/>
                  </pic:nvPicPr>
                  <pic:blipFill>
                    <a:blip r:embed="rId598"/>
                    <a:stretch>
                      <a:fillRect/>
                    </a:stretch>
                  </pic:blipFill>
                  <pic:spPr>
                    <a:xfrm>
                      <a:off x="0" y="0"/>
                      <a:ext cx="542290" cy="579120"/>
                    </a:xfrm>
                    <a:prstGeom prst="rect">
                      <a:avLst/>
                    </a:prstGeom>
                  </pic:spPr>
                </pic:pic>
              </a:graphicData>
            </a:graphic>
          </wp:anchor>
        </w:drawing>
      </w:r>
      <w:bookmarkStart w:id="23" w:name="bookmark47"/>
      <w:bookmarkStart w:id="24" w:name="bookmark48"/>
      <w:bookmarkStart w:id="25" w:name="bookmark49"/>
      <w:r>
        <w:rPr>
          <w:color w:val="000000"/>
          <w:spacing w:val="0"/>
          <w:w w:val="100"/>
          <w:position w:val="0"/>
        </w:rPr>
        <w:t>默示追认</w:t>
      </w:r>
      <w:bookmarkEnd w:id="23"/>
      <w:bookmarkEnd w:id="24"/>
      <w:bookmarkEnd w:id="25"/>
    </w:p>
    <w:p w14:paraId="39A5687B">
      <w:pPr>
        <w:pStyle w:val="17"/>
        <w:keepNext w:val="0"/>
        <w:keepLines w:val="0"/>
        <w:widowControl w:val="0"/>
        <w:shd w:val="clear" w:color="auto" w:fill="auto"/>
        <w:bidi w:val="0"/>
        <w:spacing w:before="0" w:after="400" w:line="331" w:lineRule="exact"/>
        <w:ind w:left="1000" w:right="0" w:firstLine="20"/>
        <w:jc w:val="left"/>
      </w:pPr>
      <w:r>
        <w:rPr>
          <w:color w:val="000000"/>
          <w:spacing w:val="0"/>
          <w:w w:val="100"/>
          <w:position w:val="0"/>
        </w:rPr>
        <w:t>吕应福、彭兴平买卖合同纠纷二审民事判决书丨浙江省湖州市中 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浙</w:t>
      </w:r>
      <w:r>
        <w:rPr>
          <w:rFonts w:ascii="Times New Roman" w:hAnsi="Times New Roman" w:eastAsia="Times New Roman" w:cs="Times New Roman"/>
          <w:color w:val="000000"/>
          <w:spacing w:val="0"/>
          <w:w w:val="100"/>
          <w:position w:val="0"/>
          <w:sz w:val="19"/>
          <w:szCs w:val="19"/>
        </w:rPr>
        <w:t>05</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1363</w:t>
      </w:r>
      <w:r>
        <w:rPr>
          <w:color w:val="000000"/>
          <w:spacing w:val="0"/>
          <w:w w:val="100"/>
          <w:position w:val="0"/>
        </w:rPr>
        <w:t>号民事判决书</w:t>
      </w:r>
    </w:p>
    <w:p w14:paraId="4A269701">
      <w:pPr>
        <w:pStyle w:val="29"/>
        <w:keepNext w:val="0"/>
        <w:keepLines w:val="0"/>
        <w:widowControl w:val="0"/>
        <w:shd w:val="clear" w:color="auto" w:fill="auto"/>
        <w:bidi w:val="0"/>
        <w:spacing w:before="0" w:after="1380" w:line="240" w:lineRule="auto"/>
        <w:ind w:left="0" w:right="0" w:firstLine="0"/>
        <w:jc w:val="right"/>
        <w:rPr>
          <w:sz w:val="11"/>
          <w:szCs w:val="11"/>
        </w:rPr>
      </w:pPr>
      <w:r>
        <w:rPr>
          <w:color w:val="000000"/>
          <w:spacing w:val="0"/>
          <w:w w:val="100"/>
          <w:position w:val="0"/>
          <w:sz w:val="18"/>
          <w:szCs w:val="18"/>
        </w:rPr>
        <w:t>彭诚信</w:t>
      </w:r>
      <w:r>
        <w:rPr>
          <w:color w:val="000000"/>
          <w:spacing w:val="0"/>
          <w:w w:val="100"/>
          <w:position w:val="0"/>
          <w:sz w:val="11"/>
          <w:szCs w:val="11"/>
        </w:rPr>
        <w:t>上海交通大学凯原法学院</w:t>
      </w:r>
    </w:p>
    <w:p w14:paraId="60E8346F">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84DD676">
      <w:pPr>
        <w:pStyle w:val="17"/>
        <w:keepNext w:val="0"/>
        <w:keepLines w:val="0"/>
        <w:widowControl w:val="0"/>
        <w:shd w:val="clear" w:color="auto" w:fill="auto"/>
        <w:bidi w:val="0"/>
        <w:spacing w:before="0" w:after="340" w:line="343" w:lineRule="exact"/>
        <w:ind w:left="0" w:right="0" w:firstLine="440"/>
        <w:jc w:val="both"/>
      </w:pPr>
      <w:r>
        <w:rPr>
          <w:color w:val="000000"/>
          <w:spacing w:val="0"/>
          <w:w w:val="100"/>
          <w:position w:val="0"/>
        </w:rPr>
        <w:t>吕应福于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日向彭兴平购买大理石石材，货款共 计</w:t>
      </w:r>
      <w:r>
        <w:rPr>
          <w:rFonts w:ascii="Times New Roman" w:hAnsi="Times New Roman" w:eastAsia="Times New Roman" w:cs="Times New Roman"/>
          <w:color w:val="000000"/>
          <w:spacing w:val="0"/>
          <w:w w:val="100"/>
          <w:position w:val="0"/>
          <w:sz w:val="19"/>
          <w:szCs w:val="19"/>
        </w:rPr>
        <w:t>13, 890</w:t>
      </w:r>
      <w:r>
        <w:rPr>
          <w:color w:val="000000"/>
          <w:spacing w:val="0"/>
          <w:w w:val="100"/>
          <w:position w:val="0"/>
        </w:rPr>
        <w:t>元，其中</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日送货单上的签收人为吕应福的儿子吕世林。由于吕 应福收到大理石后始终未支付货款，彭兴平遂诉至法院。在一审时，吕应福经合法传唤拒 不到庭参加诉讼。一审判决吕应福于判决生效之日起</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日内给付彭兴平</w:t>
      </w:r>
      <w:r>
        <w:rPr>
          <w:rFonts w:ascii="Times New Roman" w:hAnsi="Times New Roman" w:eastAsia="Times New Roman" w:cs="Times New Roman"/>
          <w:color w:val="000000"/>
          <w:spacing w:val="0"/>
          <w:w w:val="100"/>
          <w:position w:val="0"/>
          <w:sz w:val="19"/>
          <w:szCs w:val="19"/>
        </w:rPr>
        <w:t>13,890</w:t>
      </w:r>
      <w:r>
        <w:rPr>
          <w:color w:val="000000"/>
          <w:spacing w:val="0"/>
          <w:w w:val="100"/>
          <w:position w:val="0"/>
        </w:rPr>
        <w:t>元。其 后，吕应福因不服一审判决提出上诉，认为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日和</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日两次送货，其系 代老板傅德成代收，因此与彭兴平之间不成立合同关系；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对于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日的送 货，其不清楚是否为其子吕世林签收，并且在签收时其子尚未年满</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周岁，系未成年人。</w:t>
      </w:r>
    </w:p>
    <w:p w14:paraId="66583139">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330C10D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驳回上诉，维持原判。</w:t>
      </w:r>
    </w:p>
    <w:p w14:paraId="5506A5AF">
      <w:pPr>
        <w:pStyle w:val="17"/>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吕应福虽上诉主张案涉货物是其代老板傅德成签收，相应货款应由傅德成支付,且傅 德成已经付清，但未举证证明该说法,依法应承担举证不能的不利后果。</w:t>
      </w:r>
    </w:p>
    <w:p w14:paraId="1AA8ABBF">
      <w:pPr>
        <w:pStyle w:val="17"/>
        <w:keepNext w:val="0"/>
        <w:keepLines w:val="0"/>
        <w:widowControl w:val="0"/>
        <w:shd w:val="clear" w:color="auto" w:fill="auto"/>
        <w:bidi w:val="0"/>
        <w:spacing w:before="0" w:after="0" w:line="341" w:lineRule="exact"/>
        <w:ind w:left="0" w:right="0" w:firstLine="440"/>
        <w:jc w:val="both"/>
      </w:pPr>
      <w:r>
        <w:rPr>
          <w:color w:val="000000"/>
          <w:spacing w:val="0"/>
          <w:w w:val="100"/>
          <w:position w:val="0"/>
        </w:rPr>
        <w:t>限制民事行为能力人可以独立实施与其年龄、智力相适应的民事法律行为。即使吕世 林当时未满</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周岁，为限制民事行为能力人，但其已年满</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周岁，且依吕应福说法，吕世林 读到初二后辍学去学厨师,说明吕世林应当能够理解送货单上载明的内容并预见在送货单 上签名的后果。</w:t>
      </w:r>
    </w:p>
    <w:p w14:paraId="3A201BC7">
      <w:pPr>
        <w:pStyle w:val="17"/>
        <w:keepNext w:val="0"/>
        <w:keepLines w:val="0"/>
        <w:widowControl w:val="0"/>
        <w:shd w:val="clear" w:color="auto" w:fill="auto"/>
        <w:bidi w:val="0"/>
        <w:spacing w:before="0" w:after="360" w:line="341" w:lineRule="exact"/>
        <w:ind w:left="0" w:right="0" w:firstLine="440"/>
        <w:jc w:val="both"/>
        <w:sectPr>
          <w:footnotePr>
            <w:numFmt w:val="chicago"/>
          </w:footnotePr>
          <w:type w:val="continuous"/>
          <w:pgSz w:w="10099" w:h="14782"/>
          <w:pgMar w:top="1273" w:right="1068" w:bottom="1125" w:left="1026" w:header="845" w:footer="697" w:gutter="0"/>
          <w:cols w:space="720" w:num="1"/>
          <w:rtlGutter w:val="0"/>
          <w:docGrid w:linePitch="360" w:charSpace="0"/>
        </w:sectPr>
      </w:pPr>
      <w:r>
        <w:rPr>
          <w:color w:val="000000"/>
          <w:spacing w:val="0"/>
          <w:w w:val="100"/>
          <w:position w:val="0"/>
        </w:rPr>
        <w:t>吕应福称彭兴平在本案起诉前曾多次向其催讨，并认可其早已看到过该送货单，而吕 应福与吕世林系父子关系，且二人共同生活，表明吕应福完全有能力、有条件向吕世林进行 核实。但吕应福至本案一审起诉前一直未就该送货单向彭兴平提出异议，并经一审法院合 法传唤，无正当理由拒不到庭参加诉讼,据此可以推定吕应福默认吕世林在该送货单上签 名的行为。</w:t>
      </w:r>
    </w:p>
    <w:p w14:paraId="77BBB049">
      <w:pPr>
        <w:pStyle w:val="11"/>
        <w:keepNext w:val="0"/>
        <w:keepLines w:val="0"/>
        <w:widowControl w:val="0"/>
        <w:shd w:val="clear" w:color="auto" w:fill="auto"/>
        <w:bidi w:val="0"/>
        <w:spacing w:before="0" w:after="120" w:line="345" w:lineRule="exact"/>
        <w:ind w:left="0" w:right="0" w:firstLine="0"/>
        <w:jc w:val="left"/>
      </w:pPr>
      <w:r>
        <w:rPr>
          <w:color w:val="000000"/>
          <w:spacing w:val="0"/>
          <w:w w:val="100"/>
          <w:position w:val="0"/>
        </w:rPr>
        <w:t>■评析</w:t>
      </w:r>
    </w:p>
    <w:p w14:paraId="0FE9656B">
      <w:pPr>
        <w:pStyle w:val="17"/>
        <w:keepNext w:val="0"/>
        <w:keepLines w:val="0"/>
        <w:widowControl w:val="0"/>
        <w:shd w:val="clear" w:color="auto" w:fill="auto"/>
        <w:bidi w:val="0"/>
        <w:spacing w:before="0" w:after="120" w:line="345"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4A56E0C9">
      <w:pPr>
        <w:pStyle w:val="17"/>
        <w:keepNext w:val="0"/>
        <w:keepLines w:val="0"/>
        <w:widowControl w:val="0"/>
        <w:shd w:val="clear" w:color="auto" w:fill="auto"/>
        <w:bidi w:val="0"/>
        <w:spacing w:before="0" w:after="180" w:line="344" w:lineRule="exact"/>
        <w:ind w:left="0" w:right="0" w:firstLine="420"/>
        <w:jc w:val="both"/>
      </w:pPr>
      <w:r>
        <w:rPr>
          <w:color w:val="000000"/>
          <w:spacing w:val="0"/>
          <w:w w:val="100"/>
          <w:position w:val="0"/>
        </w:rPr>
        <w:t>本判决的典型意义，在于其兼有法定代理和意定代理的内容，即探讨未成年人替其父 签字的行为，是否能够对被代理人发生法律效力。其中值得探讨的法律问题主要可归纳为 如下两点:第一，作为未成年人的吕世林是否可以作为代理人有效实施法律行为;第二，吕 应福在明知其子签收石材的情况下长时间未提出异议,是否构成对无权代理人所立合同的 追认，其法理依据为何。现就上述两个问题分别展开论述。</w:t>
      </w:r>
    </w:p>
    <w:p w14:paraId="165B64C4">
      <w:pPr>
        <w:pStyle w:val="17"/>
        <w:keepNext w:val="0"/>
        <w:keepLines w:val="0"/>
        <w:widowControl w:val="0"/>
        <w:shd w:val="clear" w:color="auto" w:fill="auto"/>
        <w:bidi w:val="0"/>
        <w:spacing w:before="0" w:after="120" w:line="345"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限制行为能力人作为意定代理人的资格问题</w:t>
      </w:r>
    </w:p>
    <w:p w14:paraId="150AA355">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在本案中，吕应福为否定</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日送货单上签名的法律效力，主张其子在签 收货物时尚未年满</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周岁，因此为限制行为能力人。由此产生的问题是，限制行为能力人 实施的代理行为是否有效。比较法上，大多不将代理人的行为能力作为代理行为的生效要 件。其典型者，如《日本民法典》第</w:t>
      </w:r>
      <w:r>
        <w:rPr>
          <w:rFonts w:ascii="Times New Roman" w:hAnsi="Times New Roman" w:eastAsia="Times New Roman" w:cs="Times New Roman"/>
          <w:color w:val="000000"/>
          <w:spacing w:val="0"/>
          <w:w w:val="100"/>
          <w:position w:val="0"/>
          <w:sz w:val="19"/>
          <w:szCs w:val="19"/>
        </w:rPr>
        <w:t>102</w:t>
      </w:r>
      <w:r>
        <w:rPr>
          <w:color w:val="000000"/>
          <w:spacing w:val="0"/>
          <w:w w:val="100"/>
          <w:position w:val="0"/>
        </w:rPr>
        <w:t>条的规定：</w:t>
      </w:r>
      <w:r>
        <w:rPr>
          <w:color w:val="000000"/>
          <w:spacing w:val="0"/>
          <w:w w:val="100"/>
          <w:position w:val="0"/>
          <w:lang w:val="zh-CN" w:eastAsia="zh-CN" w:bidi="zh-CN"/>
        </w:rPr>
        <w:t>“限</w:t>
      </w:r>
      <w:r>
        <w:rPr>
          <w:color w:val="000000"/>
          <w:spacing w:val="0"/>
          <w:w w:val="100"/>
          <w:position w:val="0"/>
        </w:rPr>
        <w:t>制行为能力人作为代理人所作之行 为，不得因行为能力之限制而撤销。但限制行为能力人作为其他限制行为能力人之法定代 理人所作之行为，不在此限</w:t>
      </w:r>
      <w:r>
        <w:rPr>
          <w:color w:val="000000"/>
          <w:spacing w:val="0"/>
          <w:w w:val="100"/>
          <w:position w:val="0"/>
          <w:lang w:val="zh-CN" w:eastAsia="zh-CN" w:bidi="zh-CN"/>
        </w:rPr>
        <w:t>。”依</w:t>
      </w:r>
      <w:r>
        <w:rPr>
          <w:color w:val="000000"/>
          <w:spacing w:val="0"/>
          <w:w w:val="100"/>
          <w:position w:val="0"/>
        </w:rPr>
        <w:t>《法国民法典》第</w:t>
      </w:r>
      <w:r>
        <w:rPr>
          <w:rFonts w:ascii="Times New Roman" w:hAnsi="Times New Roman" w:eastAsia="Times New Roman" w:cs="Times New Roman"/>
          <w:color w:val="000000"/>
          <w:spacing w:val="0"/>
          <w:w w:val="100"/>
          <w:position w:val="0"/>
          <w:sz w:val="19"/>
          <w:szCs w:val="19"/>
        </w:rPr>
        <w:t>1060</w:t>
      </w:r>
      <w:r>
        <w:rPr>
          <w:color w:val="000000"/>
          <w:spacing w:val="0"/>
          <w:w w:val="100"/>
          <w:position w:val="0"/>
        </w:rPr>
        <w:t>条</w:t>
      </w:r>
      <w:r>
        <w:rPr>
          <w:color w:val="000000"/>
          <w:spacing w:val="0"/>
          <w:w w:val="100"/>
          <w:position w:val="0"/>
          <w:lang w:val="zh-CN" w:eastAsia="zh-CN" w:bidi="zh-CN"/>
        </w:rPr>
        <w:t>，“代</w:t>
      </w:r>
      <w:r>
        <w:rPr>
          <w:color w:val="000000"/>
          <w:spacing w:val="0"/>
          <w:w w:val="100"/>
          <w:position w:val="0"/>
        </w:rPr>
        <w:t>理人的权限将因为丧失行为 能力或者法律上的禁止事由而终止”。通说认为此条仅仅针对代理人事后丧失行为能力的 情况，并不妨碍欠缺行为能力的人被指定为代理人。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J. Flour, J. -L. Aubert, E. Savaux, Les obligations, Vol. 1 </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L</w:t>
      </w:r>
      <w:r>
        <w:rPr>
          <w:rFonts w:ascii="Times New Roman" w:hAnsi="Times New Roman" w:eastAsia="Times New Roman" w:cs="Times New Roman"/>
          <w:color w:val="000000"/>
          <w:spacing w:val="0"/>
          <w:w w:val="100"/>
          <w:position w:val="0"/>
          <w:sz w:val="19"/>
          <w:szCs w:val="19"/>
          <w:vertAlign w:val="superscript"/>
          <w:lang w:val="en-US" w:eastAsia="en-US" w:bidi="en-US"/>
        </w:rPr>
        <w:t>5</w:t>
      </w:r>
      <w:r>
        <w:rPr>
          <w:rFonts w:ascii="Times New Roman" w:hAnsi="Times New Roman" w:eastAsia="Times New Roman" w:cs="Times New Roman"/>
          <w:color w:val="000000"/>
          <w:spacing w:val="0"/>
          <w:w w:val="100"/>
          <w:position w:val="0"/>
          <w:sz w:val="19"/>
          <w:szCs w:val="19"/>
          <w:lang w:val="en-US" w:eastAsia="en-US" w:bidi="en-US"/>
        </w:rPr>
        <w:t xml:space="preserve"> acte juridique, 16</w:t>
      </w:r>
      <w:r>
        <w:rPr>
          <w:rFonts w:ascii="Times New Roman" w:hAnsi="Times New Roman" w:eastAsia="Times New Roman" w:cs="Times New Roman"/>
          <w:color w:val="000000"/>
          <w:spacing w:val="0"/>
          <w:w w:val="100"/>
          <w:position w:val="0"/>
          <w:sz w:val="19"/>
          <w:szCs w:val="19"/>
          <w:vertAlign w:val="superscript"/>
          <w:lang w:val="en-US" w:eastAsia="en-US" w:bidi="en-US"/>
        </w:rPr>
        <w:t>e</w:t>
      </w:r>
      <w:r>
        <w:rPr>
          <w:rFonts w:ascii="Times New Roman" w:hAnsi="Times New Roman" w:eastAsia="Times New Roman" w:cs="Times New Roman"/>
          <w:color w:val="000000"/>
          <w:spacing w:val="0"/>
          <w:w w:val="100"/>
          <w:position w:val="0"/>
          <w:sz w:val="19"/>
          <w:szCs w:val="19"/>
          <w:lang w:val="en-US" w:eastAsia="en-US" w:bidi="en-US"/>
        </w:rPr>
        <w:t xml:space="preserve"> ed. , Sirey, 2014, n°428.）</w:t>
      </w:r>
      <w:r>
        <w:rPr>
          <w:color w:val="000000"/>
          <w:spacing w:val="0"/>
          <w:w w:val="100"/>
          <w:position w:val="0"/>
        </w:rPr>
        <w:t>我 国的实体法规定与法 国法如 出一辙，原《民法总则》第</w:t>
      </w:r>
      <w:r>
        <w:rPr>
          <w:rFonts w:ascii="Times New Roman" w:hAnsi="Times New Roman" w:eastAsia="Times New Roman" w:cs="Times New Roman"/>
          <w:color w:val="000000"/>
          <w:spacing w:val="0"/>
          <w:w w:val="100"/>
          <w:position w:val="0"/>
          <w:sz w:val="19"/>
          <w:szCs w:val="19"/>
        </w:rPr>
        <w:t>173</w:t>
      </w:r>
      <w:r>
        <w:rPr>
          <w:color w:val="000000"/>
          <w:spacing w:val="0"/>
          <w:w w:val="100"/>
          <w:position w:val="0"/>
        </w:rPr>
        <w:t>条将</w:t>
      </w:r>
      <w:r>
        <w:rPr>
          <w:color w:val="000000"/>
          <w:spacing w:val="0"/>
          <w:w w:val="100"/>
          <w:position w:val="0"/>
          <w:lang w:val="zh-CN" w:eastAsia="zh-CN" w:bidi="zh-CN"/>
        </w:rPr>
        <w:t>“代理</w:t>
      </w:r>
      <w:r>
        <w:rPr>
          <w:color w:val="000000"/>
          <w:spacing w:val="0"/>
          <w:w w:val="100"/>
          <w:position w:val="0"/>
        </w:rPr>
        <w:t>人丧失民事行为能力</w:t>
      </w:r>
      <w:r>
        <w:rPr>
          <w:color w:val="000000"/>
          <w:spacing w:val="0"/>
          <w:w w:val="100"/>
          <w:position w:val="0"/>
          <w:lang w:val="zh-CN" w:eastAsia="zh-CN" w:bidi="zh-CN"/>
        </w:rPr>
        <w:t>”作</w:t>
      </w:r>
      <w:r>
        <w:rPr>
          <w:color w:val="000000"/>
          <w:spacing w:val="0"/>
          <w:w w:val="100"/>
          <w:position w:val="0"/>
        </w:rPr>
        <w:t>为委托代理终止之事由， 但一般认为被代理人自始授权限制行为能力人为代理人的，不适用该条规定，代理行为之 效力不受影响（李宇：《民法总则要义:规范释论与判解集注》，法律出版社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837</w:t>
      </w:r>
      <w:r>
        <w:rPr>
          <w:color w:val="000000"/>
          <w:spacing w:val="0"/>
          <w:w w:val="100"/>
          <w:position w:val="0"/>
        </w:rPr>
        <w:t>页）。在 《民法总则》编纂的过程中，室内稿第</w:t>
      </w:r>
      <w:r>
        <w:rPr>
          <w:rFonts w:ascii="Times New Roman" w:hAnsi="Times New Roman" w:eastAsia="Times New Roman" w:cs="Times New Roman"/>
          <w:color w:val="000000"/>
          <w:spacing w:val="0"/>
          <w:w w:val="100"/>
          <w:position w:val="0"/>
          <w:sz w:val="19"/>
          <w:szCs w:val="19"/>
        </w:rPr>
        <w:t>124</w:t>
      </w:r>
      <w:r>
        <w:rPr>
          <w:color w:val="000000"/>
          <w:spacing w:val="0"/>
          <w:w w:val="100"/>
          <w:position w:val="0"/>
        </w:rPr>
        <w:t>条曾明确规定代理人在行为能力方面的欠缺并不 影响代理行为的效力，但该条在征求意见稿中被最终删去。</w:t>
      </w:r>
    </w:p>
    <w:p w14:paraId="27BF28FB">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上述规则的合理性可从两方面证成。就代理人角度而言,行为能力制度的本旨在于保 护被监护人的利益免受损害，但依代理的基本法理,代理人所实施的行为,其效果最终由被 代理人承受，因此不存在代理人利益受损的风险，行为能力制度的保护功能已无必要。在 德国法中，此类不会对被监护人利益造成损害的行为被称为“中性行为</w:t>
      </w:r>
      <w:r>
        <w:rPr>
          <w:color w:val="000000"/>
          <w:spacing w:val="0"/>
          <w:w w:val="100"/>
          <w:position w:val="0"/>
          <w:lang w:val="zh-CN" w:eastAsia="zh-CN" w:bidi="zh-CN"/>
        </w:rPr>
        <w:t>”，通</w:t>
      </w:r>
      <w:r>
        <w:rPr>
          <w:color w:val="000000"/>
          <w:spacing w:val="0"/>
          <w:w w:val="100"/>
          <w:position w:val="0"/>
        </w:rPr>
        <w:t>过扩张解释被 纳入《德国民法典》第</w:t>
      </w:r>
      <w:r>
        <w:rPr>
          <w:rFonts w:ascii="Times New Roman" w:hAnsi="Times New Roman" w:eastAsia="Times New Roman" w:cs="Times New Roman"/>
          <w:color w:val="000000"/>
          <w:spacing w:val="0"/>
          <w:w w:val="100"/>
          <w:position w:val="0"/>
          <w:sz w:val="19"/>
          <w:szCs w:val="19"/>
        </w:rPr>
        <w:t>106</w:t>
      </w:r>
      <w:r>
        <w:rPr>
          <w:color w:val="000000"/>
          <w:spacing w:val="0"/>
          <w:w w:val="100"/>
          <w:position w:val="0"/>
        </w:rPr>
        <w:t>条所规定的“纯获利益行为</w:t>
      </w:r>
      <w:r>
        <w:rPr>
          <w:color w:val="000000"/>
          <w:spacing w:val="0"/>
          <w:w w:val="100"/>
          <w:position w:val="0"/>
          <w:lang w:val="zh-CN" w:eastAsia="zh-CN" w:bidi="zh-CN"/>
        </w:rPr>
        <w:t>”的射</w:t>
      </w:r>
      <w:r>
        <w:rPr>
          <w:color w:val="000000"/>
          <w:spacing w:val="0"/>
          <w:w w:val="100"/>
          <w:position w:val="0"/>
        </w:rPr>
        <w:t xml:space="preserve">程之中，从而限制行为能力人无 需其法定代理人的授权即可实施（于程远:《论限制民事行为能力人之中性行为》，载《清华法学》 </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期）。从被代理人角度来看，其本人在代理权授予时已经对代理人欠缺行为能力 的事实有所了解，而依然作出代理权授予的决定,系意思自治的体现。只要本人具有完全 的行为能力，法律并无理由否定该代理行为的效力。</w:t>
      </w:r>
    </w:p>
    <w:p w14:paraId="3C284B8C">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但需要指出的是,代理人不需要具有行为能力，不代表其意思能力方面的不足不会影 响到代理行为本身的效力。因为依照一般法理，在判断代理行为的效力时，应当以代理人 作为判断对象，考察其意思表示是否存在、是否真实有效（王浩:《论代理的本质：以代理权授予 时的意思瑕疵问题为契机》，载《中外法学》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期）。这也是在学理上对传达和代理加以 区分的原因:传达人只是转述他人的意愿，所以并未发出自己的意思表示，而代理则是由代 理人作出的意思表示。因此，尽管代理人无需具备行为能力，但代理行为的有效性要求其 能充分理解该行为的法律意义和后果。在日本法中，如果代理人行为时欠缺意思能力，则 代理行为同样无效</w:t>
      </w:r>
      <w:r>
        <w:rPr>
          <w:color w:val="000000"/>
          <w:spacing w:val="0"/>
          <w:w w:val="100"/>
          <w:position w:val="0"/>
          <w:lang w:val="en-US" w:eastAsia="en-US" w:bidi="en-US"/>
        </w:rPr>
        <w:t>（［</w:t>
      </w:r>
      <w:r>
        <w:rPr>
          <w:color w:val="000000"/>
          <w:spacing w:val="0"/>
          <w:w w:val="100"/>
          <w:position w:val="0"/>
        </w:rPr>
        <w:t>日］山本敬三：《民法讲义</w:t>
      </w:r>
      <w:r>
        <w:rPr>
          <w:rFonts w:ascii="Times New Roman" w:hAnsi="Times New Roman" w:eastAsia="Times New Roman" w:cs="Times New Roman"/>
          <w:color w:val="000000"/>
          <w:spacing w:val="0"/>
          <w:w w:val="100"/>
          <w:position w:val="0"/>
          <w:sz w:val="17"/>
          <w:szCs w:val="17"/>
        </w:rPr>
        <w:t xml:space="preserve">I </w:t>
      </w:r>
      <w:r>
        <w:rPr>
          <w:color w:val="000000"/>
          <w:spacing w:val="0"/>
          <w:w w:val="100"/>
          <w:position w:val="0"/>
        </w:rPr>
        <w:t>:总则》（第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版），解亘译，北京大学出版社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287</w:t>
      </w:r>
      <w:r>
        <w:rPr>
          <w:color w:val="000000"/>
          <w:spacing w:val="0"/>
          <w:w w:val="100"/>
          <w:position w:val="0"/>
        </w:rPr>
        <w:t>页）。在法国法中，代理行为的有效性要求代理人具有辨识能力（</w:t>
      </w:r>
      <w:r>
        <w:rPr>
          <w:rFonts w:ascii="Times New Roman" w:hAnsi="Times New Roman" w:eastAsia="Times New Roman" w:cs="Times New Roman"/>
          <w:color w:val="000000"/>
          <w:spacing w:val="0"/>
          <w:w w:val="100"/>
          <w:position w:val="0"/>
          <w:sz w:val="17"/>
          <w:szCs w:val="17"/>
          <w:lang w:val="en-US" w:eastAsia="en-US" w:bidi="en-US"/>
        </w:rPr>
        <w:t xml:space="preserve">discemement） </w:t>
      </w:r>
      <w:r>
        <w:rPr>
          <w:rFonts w:ascii="Times New Roman" w:hAnsi="Times New Roman" w:eastAsia="Times New Roman" w:cs="Times New Roman"/>
          <w:color w:val="000000"/>
          <w:spacing w:val="0"/>
          <w:w w:val="100"/>
          <w:position w:val="0"/>
          <w:sz w:val="17"/>
          <w:szCs w:val="17"/>
          <w:vertAlign w:val="subscript"/>
          <w:lang w:val="en-US" w:eastAsia="en-US" w:bidi="en-US"/>
        </w:rPr>
        <w:t xml:space="preserve">o </w:t>
      </w:r>
      <w:r>
        <w:rPr>
          <w:color w:val="000000"/>
          <w:spacing w:val="0"/>
          <w:w w:val="100"/>
          <w:position w:val="0"/>
        </w:rPr>
        <w:t>同样，在德国法中能够担任代理人的仅限于限制行为能力人，而不包括无行为能力人。只 不过中性行为的理论似乎很难解释上述差别对待的合理性:中性行为既然对被监护人不存 在受损的风险，为何在无行为能力人场合不加允许，而只授权限制行为能力人实施？事实 上，根本的原因在于无行为能力人无法理解所代理行为的意义，因此无法作出有效的意思 表示（朱庆育：《民法总论》，北京大学出版社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324</w:t>
      </w:r>
      <w:r>
        <w:rPr>
          <w:color w:val="000000"/>
          <w:spacing w:val="0"/>
          <w:w w:val="100"/>
          <w:position w:val="0"/>
        </w:rPr>
        <w:t>页）。</w:t>
      </w:r>
    </w:p>
    <w:p w14:paraId="7D958C7C">
      <w:pPr>
        <w:pStyle w:val="17"/>
        <w:keepNext w:val="0"/>
        <w:keepLines w:val="0"/>
        <w:widowControl w:val="0"/>
        <w:shd w:val="clear" w:color="auto" w:fill="auto"/>
        <w:bidi w:val="0"/>
        <w:spacing w:before="0" w:after="280" w:line="342" w:lineRule="exact"/>
        <w:ind w:left="0" w:right="0" w:firstLine="440"/>
        <w:jc w:val="both"/>
      </w:pPr>
      <w:r>
        <w:rPr>
          <w:color w:val="000000"/>
          <w:spacing w:val="0"/>
          <w:w w:val="100"/>
          <w:position w:val="0"/>
        </w:rPr>
        <w:t>我国实体法上并未严格区分行为能力与意思能力的概念，但应当认为我国的行为能力 概念本身就包含了形式认定和实质认定两个面向：前者依据年龄或者法院的判决抽象确 定，后者则依据实施法律行为时的实际情况进行个案判断（彭诚信、李贝:《民法典编纂中自然人 行为能力认定模式的立法选择——基于个案审查与形式审查的比较分析》，载《法学》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在本案中，法院引用《民法总则》第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条的规定,实际就是在个案审查的意义上考察作为未 成年人的吕世林是否能够理解其在送货单上签名的法律意义。依据最高人民法院《关于贯 彻执行〈中华人民共和国民法通则〉若干问题的意见（试行）》［法（办）发</w:t>
      </w:r>
      <w:r>
        <w:rPr>
          <w:rFonts w:ascii="Times New Roman" w:hAnsi="Times New Roman" w:eastAsia="Times New Roman" w:cs="Times New Roman"/>
          <w:color w:val="000000"/>
          <w:spacing w:val="0"/>
          <w:w w:val="100"/>
          <w:position w:val="0"/>
          <w:sz w:val="17"/>
          <w:szCs w:val="17"/>
        </w:rPr>
        <w:t>（1988）6</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 xml:space="preserve">3 </w:t>
      </w:r>
      <w:r>
        <w:rPr>
          <w:color w:val="000000"/>
          <w:spacing w:val="0"/>
          <w:w w:val="100"/>
          <w:position w:val="0"/>
        </w:rPr>
        <w:t>条的规定,</w:t>
      </w:r>
      <w:r>
        <w:rPr>
          <w:color w:val="000000"/>
          <w:spacing w:val="0"/>
          <w:w w:val="100"/>
          <w:position w:val="0"/>
          <w:lang w:val="zh-CN" w:eastAsia="zh-CN" w:bidi="zh-CN"/>
        </w:rPr>
        <w:t>“十周</w:t>
      </w:r>
      <w:r>
        <w:rPr>
          <w:color w:val="000000"/>
          <w:spacing w:val="0"/>
          <w:w w:val="100"/>
          <w:position w:val="0"/>
        </w:rPr>
        <w:t xml:space="preserve">岁以上的未成年人进行的民事活动是否与其年龄、智力状况相适应，可以 从行为与本人生活相关联的程度、本人的智力能否理解其行为，并预见相应的行为后果，以 及行为标的数额等方面认定”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司法实践中，法院一般会考察所实施的行为与未成年人生 活的关联，性［浙江省诸暨市人民法院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浙</w:t>
      </w:r>
      <w:r>
        <w:rPr>
          <w:rFonts w:ascii="Times New Roman" w:hAnsi="Times New Roman" w:eastAsia="Times New Roman" w:cs="Times New Roman"/>
          <w:color w:val="000000"/>
          <w:spacing w:val="0"/>
          <w:w w:val="100"/>
          <w:position w:val="0"/>
          <w:sz w:val="17"/>
          <w:szCs w:val="17"/>
        </w:rPr>
        <w:t>0681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3343</w:t>
      </w:r>
      <w:r>
        <w:rPr>
          <w:color w:val="000000"/>
          <w:spacing w:val="0"/>
          <w:w w:val="100"/>
          <w:position w:val="0"/>
        </w:rPr>
        <w:t xml:space="preserve">号民事判决书；河南省原阳县人民法院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豫</w:t>
      </w:r>
      <w:r>
        <w:rPr>
          <w:rFonts w:ascii="Times New Roman" w:hAnsi="Times New Roman" w:eastAsia="Times New Roman" w:cs="Times New Roman"/>
          <w:color w:val="000000"/>
          <w:spacing w:val="0"/>
          <w:w w:val="100"/>
          <w:position w:val="0"/>
          <w:sz w:val="17"/>
          <w:szCs w:val="17"/>
        </w:rPr>
        <w:t>0725</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616</w:t>
      </w:r>
      <w:r>
        <w:rPr>
          <w:color w:val="000000"/>
          <w:spacing w:val="0"/>
          <w:w w:val="100"/>
          <w:position w:val="0"/>
        </w:rPr>
        <w:t>号民事判决书］、合同标的的金额大刀、［福建省宁德市中级人民法院</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rPr>
        <w:t>闽</w:t>
      </w:r>
      <w:r>
        <w:rPr>
          <w:rFonts w:ascii="Times New Roman" w:hAnsi="Times New Roman" w:eastAsia="Times New Roman" w:cs="Times New Roman"/>
          <w:color w:val="000000"/>
          <w:spacing w:val="0"/>
          <w:w w:val="100"/>
          <w:position w:val="0"/>
          <w:sz w:val="17"/>
          <w:szCs w:val="17"/>
        </w:rPr>
        <w:t>09</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1506</w:t>
      </w:r>
      <w:r>
        <w:rPr>
          <w:color w:val="000000"/>
          <w:spacing w:val="0"/>
          <w:w w:val="100"/>
          <w:position w:val="0"/>
        </w:rPr>
        <w:t>号民事判决书；重庆市第二中级人民法院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渝</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 xml:space="preserve">号民事判决书］、合同交 易类型［例如，房屋买卖合同一般被认为超出未成年人的理解范围。参见北京市第二中级人民法院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5950</w:t>
      </w:r>
      <w:r>
        <w:rPr>
          <w:color w:val="000000"/>
          <w:spacing w:val="0"/>
          <w:w w:val="100"/>
          <w:position w:val="0"/>
        </w:rPr>
        <w:t>号民事判决书］乃至合同条款内容的公平与否［山东省济南市市中区人民法 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鲁</w:t>
      </w:r>
      <w:r>
        <w:rPr>
          <w:rFonts w:ascii="Times New Roman" w:hAnsi="Times New Roman" w:eastAsia="Times New Roman" w:cs="Times New Roman"/>
          <w:color w:val="000000"/>
          <w:spacing w:val="0"/>
          <w:w w:val="100"/>
          <w:position w:val="0"/>
          <w:sz w:val="17"/>
          <w:szCs w:val="17"/>
        </w:rPr>
        <w:t>0103</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5115</w:t>
      </w:r>
      <w:r>
        <w:rPr>
          <w:color w:val="000000"/>
          <w:spacing w:val="0"/>
          <w:w w:val="100"/>
          <w:position w:val="0"/>
        </w:rPr>
        <w:t>号民事判决书；山东省淄博市中级人民法院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鲁</w:t>
      </w:r>
      <w:r>
        <w:rPr>
          <w:rFonts w:ascii="Times New Roman" w:hAnsi="Times New Roman" w:eastAsia="Times New Roman" w:cs="Times New Roman"/>
          <w:color w:val="000000"/>
          <w:spacing w:val="0"/>
          <w:w w:val="100"/>
          <w:position w:val="0"/>
          <w:sz w:val="17"/>
          <w:szCs w:val="17"/>
        </w:rPr>
        <w:t>03</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2269</w:t>
      </w:r>
      <w:r>
        <w:rPr>
          <w:color w:val="000000"/>
          <w:spacing w:val="0"/>
          <w:w w:val="100"/>
          <w:position w:val="0"/>
        </w:rPr>
        <w:t>号民事 判决书］等因素。在本案中，法院在判断吕世林是否能理解其签字的意义时，主要考虑以下 因素:首先是吕世林的年龄，其虽未成年，但代父签收时已经年满</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周岁，因此具有较强的 判断能力;其次是吕世林的生活阅历,其从初二时即辍学踏入社会，并曾担任厨师，由此可 见其有丰富的社会经验。故法院认为,他应当能够理解在送货单上签字所产生的法律效 力。</w:t>
      </w:r>
    </w:p>
    <w:p w14:paraId="74268008">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未成年人无权代理的默示追认</w:t>
      </w:r>
    </w:p>
    <w:p w14:paraId="48489418">
      <w:pPr>
        <w:pStyle w:val="17"/>
        <w:keepNext w:val="0"/>
        <w:keepLines w:val="0"/>
        <w:widowControl w:val="0"/>
        <w:shd w:val="clear" w:color="auto" w:fill="auto"/>
        <w:bidi w:val="0"/>
        <w:spacing w:before="0" w:after="0" w:line="341" w:lineRule="exact"/>
        <w:ind w:left="0" w:right="0" w:firstLine="440"/>
        <w:jc w:val="both"/>
      </w:pPr>
      <w:r>
        <w:rPr>
          <w:color w:val="000000"/>
          <w:spacing w:val="0"/>
          <w:w w:val="100"/>
          <w:position w:val="0"/>
        </w:rPr>
        <w:t>吕应福否认系争合同对其具有约束力的第二个理由是,其本人并未在送货单上签字, 也不知道该货物是否为其子签收。换言之，吕应福主张自己并未授权其子代为签收大理 石，该签收行为构成无权代理,对其不发生效力。在上诉的答辩理由中，彭兴平认为吕世林 和吕应福当时共同居住并一起工作，所领取的大理石被用于吕应福所承包的工程，因此，彭 兴平“有理由相信吕世林的行为是受吕应福的指派”。彭兴平认为即便吕世林事先未获授 权，也成立表见代理。但法院判决中并未采纳上述观点，而是着眼于吕应福事后的表现。首 先,法院认为吕应福对吕世林签收的行为不知情的主张不能成立:一方面，吕应福承认其看 过送货单,且有彭兴平多次向其催讨的事实;另一方面，吕应福与吕世林共同居住，因此完 全有可能向后者核实签收事宜。其次，吕应福在事后知情的情况下迟迟不向彭兴平提出异 议，法院认为</w:t>
      </w:r>
      <w:r>
        <w:rPr>
          <w:color w:val="000000"/>
          <w:spacing w:val="0"/>
          <w:w w:val="100"/>
          <w:position w:val="0"/>
          <w:lang w:val="zh-CN" w:eastAsia="zh-CN" w:bidi="zh-CN"/>
        </w:rPr>
        <w:t>“可以</w:t>
      </w:r>
      <w:r>
        <w:rPr>
          <w:color w:val="000000"/>
          <w:spacing w:val="0"/>
          <w:w w:val="100"/>
          <w:position w:val="0"/>
        </w:rPr>
        <w:t>推定吕应福默认吕世林在该送货单上签名的行为</w:t>
      </w:r>
      <w:r>
        <w:rPr>
          <w:color w:val="000000"/>
          <w:spacing w:val="0"/>
          <w:w w:val="100"/>
          <w:position w:val="0"/>
          <w:lang w:val="zh-CN" w:eastAsia="zh-CN" w:bidi="zh-CN"/>
        </w:rPr>
        <w:t>”，即</w:t>
      </w:r>
      <w:r>
        <w:rPr>
          <w:color w:val="000000"/>
          <w:spacing w:val="0"/>
          <w:w w:val="100"/>
          <w:position w:val="0"/>
        </w:rPr>
        <w:t>吕应福事后知情 而不表示反对的行为构成对代理行为的默示追认。但这一结论的法律依据为何，本判决并 未言明。</w:t>
      </w:r>
    </w:p>
    <w:p w14:paraId="12D99D3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原《民法通则》第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句规定:“本人知道他人以本人名义实施民事行为而 不作否认表示的，视为同意</w:t>
      </w:r>
      <w:r>
        <w:rPr>
          <w:color w:val="000000"/>
          <w:spacing w:val="0"/>
          <w:w w:val="100"/>
          <w:position w:val="0"/>
          <w:lang w:val="zh-CN" w:eastAsia="zh-CN" w:bidi="zh-CN"/>
        </w:rPr>
        <w:t>。”关</w:t>
      </w:r>
      <w:r>
        <w:rPr>
          <w:color w:val="000000"/>
          <w:spacing w:val="0"/>
          <w:w w:val="100"/>
          <w:position w:val="0"/>
        </w:rPr>
        <w:t>于该条的性质学界存在较大争议,有默示追认说、内部授权 说和容忍代理（表见代理）说等不同学说。在本条设立之初，由于我国尚未确立无权代理中 相对人的催告制度，故第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句主要扮演默示追认的功能，但在《合同法》完善 催告制度后,默示追认说越来越受到学界的质疑（冉克平:《民法典视野下</w:t>
      </w:r>
      <w:r>
        <w:rPr>
          <w:color w:val="000000"/>
          <w:spacing w:val="0"/>
          <w:w w:val="100"/>
          <w:position w:val="0"/>
          <w:lang w:val="zh-CN" w:eastAsia="zh-CN" w:bidi="zh-CN"/>
        </w:rPr>
        <w:t>“本人</w:t>
      </w:r>
      <w:r>
        <w:rPr>
          <w:color w:val="000000"/>
          <w:spacing w:val="0"/>
          <w:w w:val="100"/>
          <w:position w:val="0"/>
        </w:rPr>
        <w:t>沉默视为同意</w:t>
      </w:r>
      <w:r>
        <w:rPr>
          <w:color w:val="000000"/>
          <w:spacing w:val="0"/>
          <w:w w:val="100"/>
          <w:position w:val="0"/>
          <w:lang w:val="zh-CN" w:eastAsia="zh-CN" w:bidi="zh-CN"/>
        </w:rPr>
        <w:t xml:space="preserve">”规 </w:t>
      </w:r>
      <w:r>
        <w:rPr>
          <w:color w:val="000000"/>
          <w:spacing w:val="0"/>
          <w:w w:val="100"/>
          <w:position w:val="0"/>
        </w:rPr>
        <w:t>则的再造》，载《当代法学》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期）。按照一般法理，单纯的沉默原则上不能构成一项意 思表示，只有在例外情形中考虑到双方当事人事先的相关约定、交易惯例、诚实信用原则等 因素足以认为一方当事人有义务积极地作岀表示时，其沉默才能被认定为意思表示（杨代 雄:《容忍代理抑或默示授权</w:t>
      </w:r>
      <w:r>
        <w:rPr>
          <w:color w:val="000000"/>
          <w:spacing w:val="0"/>
          <w:w w:val="100"/>
          <w:position w:val="0"/>
          <w:lang w:val="en-US" w:eastAsia="en-US" w:bidi="en-US"/>
        </w:rPr>
        <w:t>一一</w:t>
      </w:r>
      <w:r>
        <w:rPr>
          <w:color w:val="000000"/>
          <w:spacing w:val="0"/>
          <w:w w:val="100"/>
          <w:position w:val="0"/>
        </w:rPr>
        <w:t>〈民法通则〉第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句解析》，载《政治与法律》</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 xml:space="preserve">4 </w:t>
      </w:r>
      <w:r>
        <w:rPr>
          <w:color w:val="000000"/>
          <w:spacing w:val="0"/>
          <w:w w:val="100"/>
          <w:position w:val="0"/>
        </w:rPr>
        <w:t>期）。此次原《民法总则》不再保留原《民法通则》第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款的规定，因此，吕应福单纯 的沉默本身将不能直接推出追认的法律效果，尚需结合别的因素加以判断。</w:t>
      </w:r>
    </w:p>
    <w:p w14:paraId="2C823CC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对无权代理行为的追认有明示与默示两种方式,最高人民法院《关于适用〈中华人民共 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 xml:space="preserve">号］（以下简称《合同法司法解释二》）第 </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条对默示追认作出规定:</w:t>
      </w:r>
      <w:r>
        <w:rPr>
          <w:color w:val="000000"/>
          <w:spacing w:val="0"/>
          <w:w w:val="100"/>
          <w:position w:val="0"/>
          <w:lang w:val="zh-CN" w:eastAsia="zh-CN" w:bidi="zh-CN"/>
        </w:rPr>
        <w:t>“无权</w:t>
      </w:r>
      <w:r>
        <w:rPr>
          <w:color w:val="000000"/>
          <w:spacing w:val="0"/>
          <w:w w:val="100"/>
          <w:position w:val="0"/>
        </w:rPr>
        <w:t>代理人以被代理人的名义订立合同，被代理人已经开始履 行合同义务的，视为对合同的追认</w:t>
      </w:r>
      <w:r>
        <w:rPr>
          <w:color w:val="000000"/>
          <w:spacing w:val="0"/>
          <w:w w:val="100"/>
          <w:position w:val="0"/>
          <w:lang w:val="zh-CN" w:eastAsia="zh-CN" w:bidi="zh-CN"/>
        </w:rPr>
        <w:t>。”但</w:t>
      </w:r>
      <w:r>
        <w:rPr>
          <w:color w:val="000000"/>
          <w:spacing w:val="0"/>
          <w:w w:val="100"/>
          <w:position w:val="0"/>
        </w:rPr>
        <w:t>本案并不符合该条描述的情形：吕应福在合同中的 义务是支付价款,而其拖欠价款的行为显然不能视为履行的开始。这一问题的症结在于该 司法解释规定的片面性，其不能完全涵盖默示追认的全部情形。《民法典》第</w:t>
      </w:r>
      <w:r>
        <w:rPr>
          <w:rFonts w:ascii="Times New Roman" w:hAnsi="Times New Roman" w:eastAsia="Times New Roman" w:cs="Times New Roman"/>
          <w:color w:val="000000"/>
          <w:spacing w:val="0"/>
          <w:w w:val="100"/>
          <w:position w:val="0"/>
          <w:sz w:val="19"/>
          <w:szCs w:val="19"/>
        </w:rPr>
        <w:t>503</w:t>
      </w:r>
      <w:r>
        <w:rPr>
          <w:color w:val="000000"/>
          <w:spacing w:val="0"/>
          <w:w w:val="100"/>
          <w:position w:val="0"/>
        </w:rPr>
        <w:t>条在《合 同法司法解释二》第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条的基础上,又增加</w:t>
      </w:r>
      <w:r>
        <w:rPr>
          <w:color w:val="000000"/>
          <w:spacing w:val="0"/>
          <w:w w:val="100"/>
          <w:position w:val="0"/>
          <w:lang w:val="zh-CN" w:eastAsia="zh-CN" w:bidi="zh-CN"/>
        </w:rPr>
        <w:t>“接受</w:t>
      </w:r>
      <w:r>
        <w:rPr>
          <w:color w:val="000000"/>
          <w:spacing w:val="0"/>
          <w:w w:val="100"/>
          <w:position w:val="0"/>
        </w:rPr>
        <w:t>相对人履行”作为默示追认的情形，值得 肯定（为了尽可能涵盖更多的默示追认情形</w:t>
      </w:r>
      <w:r>
        <w:rPr>
          <w:color w:val="000000"/>
          <w:spacing w:val="0"/>
          <w:w w:val="100"/>
          <w:position w:val="0"/>
          <w:lang w:val="zh-CN" w:eastAsia="zh-CN" w:bidi="zh-CN"/>
        </w:rPr>
        <w:t>，“接</w:t>
      </w:r>
      <w:r>
        <w:rPr>
          <w:color w:val="000000"/>
          <w:spacing w:val="0"/>
          <w:w w:val="100"/>
          <w:position w:val="0"/>
        </w:rPr>
        <w:t>受相对人履行</w:t>
      </w:r>
      <w:r>
        <w:rPr>
          <w:color w:val="000000"/>
          <w:spacing w:val="0"/>
          <w:w w:val="100"/>
          <w:position w:val="0"/>
          <w:lang w:val="zh-CN" w:eastAsia="zh-CN" w:bidi="zh-CN"/>
        </w:rPr>
        <w:t>”应</w:t>
      </w:r>
      <w:r>
        <w:rPr>
          <w:color w:val="000000"/>
          <w:spacing w:val="0"/>
          <w:w w:val="100"/>
          <w:position w:val="0"/>
        </w:rPr>
        <w:t>当解释为不仅包括受领对方给付而 不提出异议，还包括对方尚未履行但从其行为可推知其将接受对方的履行，例如催告对方履行，转让其 在合同中的权利等）。若依照该规定，则吕应福明知其子代收石材的事实而长时间不作表示， 甚至在对方催讨价款时依然不提出异议的行为,可视为其接受相对人履行,从而构成对其 子签收行为的默示追认。</w:t>
      </w:r>
    </w:p>
    <w:p w14:paraId="337A1641">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最后,法院在判决理由中尚提到“违背诉讼诚信”，但其含义不甚明了。一种可能的解 释是吕应福长期不行使拒绝追认的权利,使相对人对吕应福不会行使拒绝追认权产生了合 理信赖，依据权利失效之法理，吕应福将丧失拒绝追认的权利（追认权实际上是一种选择权，追 认和拒绝追认乃该权利的一体两面。权利失效制度将导致何种权利丧失，取决于相对人的合理信赖为 何。在本案中，吕应福长时期的不作为使相对人产生其受合同约束的信赖，因此，吕应福所丧失的应是 拒绝追认权）。</w:t>
      </w:r>
    </w:p>
    <w:p w14:paraId="13FCA9D1">
      <w:pPr>
        <w:pStyle w:val="17"/>
        <w:keepNext w:val="0"/>
        <w:keepLines w:val="0"/>
        <w:widowControl w:val="0"/>
        <w:shd w:val="clear" w:color="auto" w:fill="auto"/>
        <w:bidi w:val="0"/>
        <w:spacing w:before="0" w:after="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本判决的参考意义</w:t>
      </w:r>
    </w:p>
    <w:p w14:paraId="3AA88A5C">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本判决回答了限制行为能力人担任意定代理人的资格问题。代理人行为能力的欠缺 并不当然影响代理行为的效力，但代理人行为时需要理解该行为的法律意义及后果，即代 理人需要具备必要的意思能力。通过这一案例，我国法律上行为能力概念的双重意蕴（兼具 形式判断和个案判断）得以体现。</w:t>
      </w:r>
    </w:p>
    <w:p w14:paraId="07B70162">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本案贯通了法定代理与意定代理，为学理上进一步思考两者之间的区别联系提供了很 好的契机。司法实践中未成年人所实施的许多行为，最终效果实际是为法定代理人、而非 未成年人本人创设义务，此时父母乃是作为无权代理中的本人、而非法定代理中的代理人 进行追认。</w:t>
      </w:r>
    </w:p>
    <w:p w14:paraId="016CF4AC">
      <w:pPr>
        <w:pStyle w:val="17"/>
        <w:keepNext w:val="0"/>
        <w:keepLines w:val="0"/>
        <w:widowControl w:val="0"/>
        <w:shd w:val="clear" w:color="auto" w:fill="auto"/>
        <w:bidi w:val="0"/>
        <w:spacing w:before="0" w:after="360" w:line="342" w:lineRule="exact"/>
        <w:ind w:left="0" w:right="0"/>
        <w:jc w:val="both"/>
      </w:pPr>
      <w:r>
        <w:rPr>
          <w:color w:val="000000"/>
          <w:spacing w:val="0"/>
          <w:w w:val="100"/>
          <w:position w:val="0"/>
        </w:rPr>
        <w:t>本案凸显了既有实体法有关无权代理中本人默示追认规定的不足，又有导致法院在判 决时面临无法可依的困境。</w:t>
      </w:r>
    </w:p>
    <w:p w14:paraId="27A231FD">
      <w:pPr>
        <w:pStyle w:val="17"/>
        <w:keepNext w:val="0"/>
        <w:keepLines w:val="0"/>
        <w:widowControl w:val="0"/>
        <w:shd w:val="clear" w:color="auto" w:fill="auto"/>
        <w:bidi w:val="0"/>
        <w:spacing w:before="0" w:after="60" w:line="337" w:lineRule="exact"/>
        <w:ind w:left="0" w:right="0" w:firstLine="0"/>
        <w:jc w:val="both"/>
      </w:pPr>
      <w:r>
        <w:rPr>
          <w:color w:val="000000"/>
          <w:spacing w:val="0"/>
          <w:w w:val="100"/>
          <w:position w:val="0"/>
        </w:rPr>
        <w:t>回参考文献</w:t>
      </w:r>
    </w:p>
    <w:p w14:paraId="38206113">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0CB6B28E">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［日］山本敬三：《民法讲义</w:t>
      </w:r>
      <w:r>
        <w:rPr>
          <w:rFonts w:ascii="Times New Roman" w:hAnsi="Times New Roman" w:eastAsia="Times New Roman" w:cs="Times New Roman"/>
          <w:color w:val="000000"/>
          <w:spacing w:val="0"/>
          <w:w w:val="100"/>
          <w:position w:val="0"/>
          <w:sz w:val="17"/>
          <w:szCs w:val="17"/>
        </w:rPr>
        <w:t xml:space="preserve">I </w:t>
      </w:r>
      <w:r>
        <w:rPr>
          <w:color w:val="000000"/>
          <w:spacing w:val="0"/>
          <w:w w:val="100"/>
          <w:position w:val="0"/>
        </w:rPr>
        <w:t>：总则》（第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版），解亘译，北京大学出版社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w:t>
      </w:r>
    </w:p>
    <w:p w14:paraId="2DDF48EB">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冉克平:《民法典视野下</w:t>
      </w:r>
      <w:r>
        <w:rPr>
          <w:color w:val="000000"/>
          <w:spacing w:val="0"/>
          <w:w w:val="100"/>
          <w:position w:val="0"/>
          <w:lang w:val="zh-CN" w:eastAsia="zh-CN" w:bidi="zh-CN"/>
        </w:rPr>
        <w:t>“本人</w:t>
      </w:r>
      <w:r>
        <w:rPr>
          <w:color w:val="000000"/>
          <w:spacing w:val="0"/>
          <w:w w:val="100"/>
          <w:position w:val="0"/>
        </w:rPr>
        <w:t>沉默视为同意</w:t>
      </w:r>
      <w:r>
        <w:rPr>
          <w:color w:val="000000"/>
          <w:spacing w:val="0"/>
          <w:w w:val="100"/>
          <w:position w:val="0"/>
          <w:lang w:val="zh-CN" w:eastAsia="zh-CN" w:bidi="zh-CN"/>
        </w:rPr>
        <w:t>”规</w:t>
      </w:r>
      <w:r>
        <w:rPr>
          <w:color w:val="000000"/>
          <w:spacing w:val="0"/>
          <w:w w:val="100"/>
          <w:position w:val="0"/>
        </w:rPr>
        <w:t>则的再造》，载《当代法学》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王浩:《论代理的本质：以代理权授予时的意思瑕疵问题为契机》，载《中外法学》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8A47871">
      <w:pPr>
        <w:pStyle w:val="17"/>
        <w:keepNext w:val="0"/>
        <w:keepLines w:val="0"/>
        <w:widowControl w:val="0"/>
        <w:shd w:val="clear" w:color="auto" w:fill="auto"/>
        <w:bidi w:val="0"/>
        <w:spacing w:before="0" w:after="0" w:line="314" w:lineRule="exact"/>
        <w:ind w:left="200" w:right="0" w:hanging="200"/>
        <w:jc w:val="both"/>
      </w:pPr>
      <w:r>
        <w:rPr>
          <w:color w:val="000000"/>
          <w:spacing w:val="0"/>
          <w:w w:val="100"/>
          <w:position w:val="0"/>
        </w:rPr>
        <w:t>杨代雄:《容忍代理抑或默示授权一〈民法通则〉第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句解析》，载《政治与法律》</w:t>
      </w:r>
      <w:r>
        <w:rPr>
          <w:rFonts w:ascii="Times New Roman" w:hAnsi="Times New Roman" w:eastAsia="Times New Roman" w:cs="Times New Roman"/>
          <w:color w:val="000000"/>
          <w:spacing w:val="0"/>
          <w:w w:val="100"/>
          <w:position w:val="0"/>
          <w:sz w:val="17"/>
          <w:szCs w:val="17"/>
        </w:rPr>
        <w:t xml:space="preserve">2012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86B991B">
      <w:pPr>
        <w:pStyle w:val="17"/>
        <w:keepNext w:val="0"/>
        <w:keepLines w:val="0"/>
        <w:widowControl w:val="0"/>
        <w:shd w:val="clear" w:color="auto" w:fill="auto"/>
        <w:bidi w:val="0"/>
        <w:spacing w:before="0" w:after="40" w:line="295" w:lineRule="exact"/>
        <w:ind w:left="200" w:right="0" w:hanging="200"/>
        <w:jc w:val="both"/>
        <w:sectPr>
          <w:headerReference r:id="rId51" w:type="default"/>
          <w:headerReference r:id="rId52" w:type="even"/>
          <w:footnotePr>
            <w:numFmt w:val="chicago"/>
          </w:footnotePr>
          <w:pgSz w:w="10099" w:h="14782"/>
          <w:pgMar w:top="1273" w:right="1068" w:bottom="1125" w:left="1026" w:header="0" w:footer="3" w:gutter="0"/>
          <w:pgNumType w:start="28"/>
          <w:cols w:space="720" w:num="1"/>
          <w:rtlGutter w:val="0"/>
          <w:docGrid w:linePitch="360" w:charSpace="0"/>
        </w:sectPr>
      </w:pPr>
      <w:r>
        <w:rPr>
          <w:color w:val="000000"/>
          <w:spacing w:val="0"/>
          <w:w w:val="100"/>
          <w:position w:val="0"/>
        </w:rPr>
        <w:t>彭诚信、李贝：《民法典编纂中自然人行为能力认定模式的立法选择——基于个案审查与形式审查的比 较分析》，载《法学》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6333F56A">
      <w:pPr>
        <w:widowControl w:val="0"/>
        <w:spacing w:line="115" w:lineRule="exact"/>
        <w:rPr>
          <w:sz w:val="9"/>
          <w:szCs w:val="9"/>
        </w:rPr>
      </w:pPr>
    </w:p>
    <w:p w14:paraId="2F36AFCE">
      <w:pPr>
        <w:widowControl w:val="0"/>
        <w:spacing w:line="1" w:lineRule="exact"/>
        <w:sectPr>
          <w:headerReference r:id="rId55" w:type="first"/>
          <w:headerReference r:id="rId53" w:type="default"/>
          <w:headerReference r:id="rId54" w:type="even"/>
          <w:footnotePr>
            <w:numFmt w:val="chicago"/>
          </w:footnotePr>
          <w:pgSz w:w="10099" w:h="14782"/>
          <w:pgMar w:top="1256" w:right="1004" w:bottom="1101" w:left="1101" w:header="0" w:footer="3" w:gutter="0"/>
          <w:pgNumType w:start="48"/>
          <w:cols w:space="720" w:num="1"/>
          <w:titlePg/>
          <w:rtlGutter w:val="0"/>
          <w:docGrid w:linePitch="360" w:charSpace="0"/>
        </w:sectPr>
      </w:pPr>
    </w:p>
    <w:p w14:paraId="0873F9DF">
      <w:pPr>
        <w:widowControl w:val="0"/>
        <w:spacing w:line="1" w:lineRule="exact"/>
      </w:pPr>
      <w:r>
        <mc:AlternateContent>
          <mc:Choice Requires="wps">
            <w:drawing>
              <wp:anchor distT="0" distB="19685" distL="114300" distR="1664335" simplePos="0" relativeHeight="251660288" behindDoc="0" locked="0" layoutInCell="1" allowOverlap="1">
                <wp:simplePos x="0" y="0"/>
                <wp:positionH relativeFrom="page">
                  <wp:posOffset>757555</wp:posOffset>
                </wp:positionH>
                <wp:positionV relativeFrom="paragraph">
                  <wp:posOffset>12700</wp:posOffset>
                </wp:positionV>
                <wp:extent cx="452755" cy="304800"/>
                <wp:effectExtent l="0" t="0" r="0" b="0"/>
                <wp:wrapTopAndBottom/>
                <wp:docPr id="105" name="Shape 105"/>
                <wp:cNvGraphicFramePr/>
                <a:graphic xmlns:a="http://schemas.openxmlformats.org/drawingml/2006/main">
                  <a:graphicData uri="http://schemas.microsoft.com/office/word/2010/wordprocessingShape">
                    <wps:wsp>
                      <wps:cNvSpPr txBox="1"/>
                      <wps:spPr>
                        <a:xfrm>
                          <a:off x="0" y="0"/>
                          <a:ext cx="452755" cy="304800"/>
                        </a:xfrm>
                        <a:prstGeom prst="rect">
                          <a:avLst/>
                        </a:prstGeom>
                        <a:noFill/>
                      </wps:spPr>
                      <wps:txbx>
                        <w:txbxContent>
                          <w:p w14:paraId="5FF84405">
                            <w:pPr>
                              <w:pStyle w:val="27"/>
                              <w:keepNext/>
                              <w:keepLines/>
                              <w:widowControl w:val="0"/>
                              <w:shd w:val="clear" w:color="auto" w:fill="auto"/>
                              <w:bidi w:val="0"/>
                              <w:spacing w:before="0" w:after="0" w:line="240" w:lineRule="auto"/>
                              <w:ind w:left="0" w:right="0" w:firstLine="0"/>
                              <w:jc w:val="both"/>
                            </w:pPr>
                            <w:bookmarkStart w:id="231" w:name="bookmark50"/>
                            <w:bookmarkStart w:id="232" w:name="bookmark51"/>
                            <w:bookmarkStart w:id="233" w:name="bookmark52"/>
                            <w:r>
                              <w:rPr>
                                <w:rFonts w:ascii="Times New Roman" w:hAnsi="Times New Roman" w:eastAsia="Times New Roman" w:cs="Times New Roman"/>
                                <w:color w:val="000000"/>
                                <w:spacing w:val="0"/>
                                <w:w w:val="100"/>
                                <w:position w:val="0"/>
                              </w:rPr>
                              <w:t>007</w:t>
                            </w:r>
                            <w:bookmarkEnd w:id="231"/>
                            <w:bookmarkEnd w:id="232"/>
                            <w:bookmarkEnd w:id="233"/>
                          </w:p>
                        </w:txbxContent>
                      </wps:txbx>
                      <wps:bodyPr wrap="none" lIns="0" tIns="0" rIns="0" bIns="0">
                        <a:noAutofit/>
                      </wps:bodyPr>
                    </wps:wsp>
                  </a:graphicData>
                </a:graphic>
              </wp:anchor>
            </w:drawing>
          </mc:Choice>
          <mc:Fallback>
            <w:pict>
              <v:shape id="Shape 105" o:spid="_x0000_s1026" o:spt="202" type="#_x0000_t202" style="position:absolute;left:0pt;margin-left:59.65pt;margin-top:1pt;height:24pt;width:35.65pt;mso-position-horizontal-relative:page;mso-wrap-distance-bottom:1.55pt;mso-wrap-distance-top:0pt;mso-wrap-style:none;z-index:251660288;mso-width-relative:page;mso-height-relative:page;" filled="f" stroked="f" coordsize="21600,21600" o:gfxdata="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qGLtQAAAAI&#10;AQAADwAAAAAAAAABACAAAAAiAAAAZHJzL2Rvd25yZXYueG1sUEsBAhQAFAAAAAgAh07iQH7X27qu&#10;AQAAcwMAAA4AAAAAAAAAAQAgAAAAIwEAAGRycy9lMm9Eb2MueG1sUEsFBgAAAAAGAAYAWQEAAEMF&#10;AAAAAA==&#10;">
                <v:fill on="f" focussize="0,0"/>
                <v:stroke on="f"/>
                <v:imagedata o:title=""/>
                <o:lock v:ext="edit" aspectratio="f"/>
                <v:textbox inset="0mm,0mm,0mm,0mm">
                  <w:txbxContent>
                    <w:p w14:paraId="5FF84405">
                      <w:pPr>
                        <w:pStyle w:val="27"/>
                        <w:keepNext/>
                        <w:keepLines/>
                        <w:widowControl w:val="0"/>
                        <w:shd w:val="clear" w:color="auto" w:fill="auto"/>
                        <w:bidi w:val="0"/>
                        <w:spacing w:before="0" w:after="0" w:line="240" w:lineRule="auto"/>
                        <w:ind w:left="0" w:right="0" w:firstLine="0"/>
                        <w:jc w:val="both"/>
                      </w:pPr>
                      <w:bookmarkStart w:id="231" w:name="bookmark50"/>
                      <w:bookmarkStart w:id="232" w:name="bookmark51"/>
                      <w:bookmarkStart w:id="233" w:name="bookmark52"/>
                      <w:r>
                        <w:rPr>
                          <w:rFonts w:ascii="Times New Roman" w:hAnsi="Times New Roman" w:eastAsia="Times New Roman" w:cs="Times New Roman"/>
                          <w:color w:val="000000"/>
                          <w:spacing w:val="0"/>
                          <w:w w:val="100"/>
                          <w:position w:val="0"/>
                        </w:rPr>
                        <w:t>007</w:t>
                      </w:r>
                      <w:bookmarkEnd w:id="231"/>
                      <w:bookmarkEnd w:id="232"/>
                      <w:bookmarkEnd w:id="233"/>
                    </w:p>
                  </w:txbxContent>
                </v:textbox>
                <w10:wrap type="topAndBottom"/>
              </v:shape>
            </w:pict>
          </mc:Fallback>
        </mc:AlternateContent>
      </w:r>
      <w:r>
        <mc:AlternateContent>
          <mc:Choice Requires="wps">
            <w:drawing>
              <wp:anchor distT="86995" distB="0" distL="694690" distR="114935" simplePos="0" relativeHeight="251660288" behindDoc="0" locked="0" layoutInCell="1" allowOverlap="1">
                <wp:simplePos x="0" y="0"/>
                <wp:positionH relativeFrom="page">
                  <wp:posOffset>1337945</wp:posOffset>
                </wp:positionH>
                <wp:positionV relativeFrom="paragraph">
                  <wp:posOffset>99695</wp:posOffset>
                </wp:positionV>
                <wp:extent cx="1421765" cy="237490"/>
                <wp:effectExtent l="0" t="0" r="0" b="0"/>
                <wp:wrapTopAndBottom/>
                <wp:docPr id="107" name="Shape 107"/>
                <wp:cNvGraphicFramePr/>
                <a:graphic xmlns:a="http://schemas.openxmlformats.org/drawingml/2006/main">
                  <a:graphicData uri="http://schemas.microsoft.com/office/word/2010/wordprocessingShape">
                    <wps:wsp>
                      <wps:cNvSpPr txBox="1"/>
                      <wps:spPr>
                        <a:xfrm>
                          <a:off x="0" y="0"/>
                          <a:ext cx="1421765" cy="237490"/>
                        </a:xfrm>
                        <a:prstGeom prst="rect">
                          <a:avLst/>
                        </a:prstGeom>
                        <a:noFill/>
                      </wps:spPr>
                      <wps:txbx>
                        <w:txbxContent>
                          <w:p w14:paraId="3F172034">
                            <w:pPr>
                              <w:pStyle w:val="15"/>
                              <w:keepNext/>
                              <w:keepLines/>
                              <w:widowControl w:val="0"/>
                              <w:shd w:val="clear" w:color="auto" w:fill="auto"/>
                              <w:bidi w:val="0"/>
                              <w:spacing w:before="0" w:after="0" w:line="240" w:lineRule="auto"/>
                              <w:ind w:left="0" w:right="0" w:firstLine="0"/>
                              <w:jc w:val="left"/>
                            </w:pPr>
                            <w:bookmarkStart w:id="234" w:name="bookmark55"/>
                            <w:bookmarkStart w:id="235" w:name="bookmark53"/>
                            <w:bookmarkStart w:id="236" w:name="bookmark54"/>
                            <w:r>
                              <w:rPr>
                                <w:color w:val="000000"/>
                                <w:spacing w:val="0"/>
                                <w:w w:val="100"/>
                                <w:position w:val="0"/>
                              </w:rPr>
                              <w:t>监护资格的撤销</w:t>
                            </w:r>
                            <w:bookmarkEnd w:id="234"/>
                            <w:bookmarkEnd w:id="235"/>
                            <w:bookmarkEnd w:id="236"/>
                          </w:p>
                        </w:txbxContent>
                      </wps:txbx>
                      <wps:bodyPr wrap="none" lIns="0" tIns="0" rIns="0" bIns="0">
                        <a:noAutofit/>
                      </wps:bodyPr>
                    </wps:wsp>
                  </a:graphicData>
                </a:graphic>
              </wp:anchor>
            </w:drawing>
          </mc:Choice>
          <mc:Fallback>
            <w:pict>
              <v:shape id="Shape 107" o:spid="_x0000_s1026" o:spt="202" type="#_x0000_t202" style="position:absolute;left:0pt;margin-left:105.35pt;margin-top:7.85pt;height:18.7pt;width:111.95pt;mso-position-horizontal-relative:page;mso-wrap-distance-bottom:0pt;mso-wrap-distance-top:6.85pt;mso-wrap-style:none;z-index:251660288;mso-width-relative:page;mso-height-relative:page;" filled="f" stroked="f" coordsize="21600,21600" o:gfxdata="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FDfPtYA&#10;AAAJAQAADwAAAAAAAAABACAAAAAiAAAAZHJzL2Rvd25yZXYueG1sUEsBAhQAFAAAAAgAh07iQMuB&#10;vhGvAQAAdAMAAA4AAAAAAAAAAQAgAAAAJQEAAGRycy9lMm9Eb2MueG1sUEsFBgAAAAAGAAYAWQEA&#10;AEYFAAAAAA==&#10;">
                <v:fill on="f" focussize="0,0"/>
                <v:stroke on="f"/>
                <v:imagedata o:title=""/>
                <o:lock v:ext="edit" aspectratio="f"/>
                <v:textbox inset="0mm,0mm,0mm,0mm">
                  <w:txbxContent>
                    <w:p w14:paraId="3F172034">
                      <w:pPr>
                        <w:pStyle w:val="15"/>
                        <w:keepNext/>
                        <w:keepLines/>
                        <w:widowControl w:val="0"/>
                        <w:shd w:val="clear" w:color="auto" w:fill="auto"/>
                        <w:bidi w:val="0"/>
                        <w:spacing w:before="0" w:after="0" w:line="240" w:lineRule="auto"/>
                        <w:ind w:left="0" w:right="0" w:firstLine="0"/>
                        <w:jc w:val="left"/>
                      </w:pPr>
                      <w:bookmarkStart w:id="234" w:name="bookmark55"/>
                      <w:bookmarkStart w:id="235" w:name="bookmark53"/>
                      <w:bookmarkStart w:id="236" w:name="bookmark54"/>
                      <w:r>
                        <w:rPr>
                          <w:color w:val="000000"/>
                          <w:spacing w:val="0"/>
                          <w:w w:val="100"/>
                          <w:position w:val="0"/>
                        </w:rPr>
                        <w:t>监护资格的撤销</w:t>
                      </w:r>
                      <w:bookmarkEnd w:id="234"/>
                      <w:bookmarkEnd w:id="235"/>
                      <w:bookmarkEnd w:id="23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5128895</wp:posOffset>
            </wp:positionH>
            <wp:positionV relativeFrom="paragraph">
              <wp:posOffset>227330</wp:posOffset>
            </wp:positionV>
            <wp:extent cx="628015" cy="615950"/>
            <wp:effectExtent l="0" t="0" r="6985" b="6350"/>
            <wp:wrapSquare wrapText="left"/>
            <wp:docPr id="109" name="Shape 109"/>
            <wp:cNvGraphicFramePr/>
            <a:graphic xmlns:a="http://schemas.openxmlformats.org/drawingml/2006/main">
              <a:graphicData uri="http://schemas.openxmlformats.org/drawingml/2006/picture">
                <pic:pic xmlns:pic="http://schemas.openxmlformats.org/drawingml/2006/picture">
                  <pic:nvPicPr>
                    <pic:cNvPr id="109" name="Shape 109"/>
                    <pic:cNvPicPr/>
                  </pic:nvPicPr>
                  <pic:blipFill>
                    <a:blip r:embed="rId599"/>
                    <a:stretch>
                      <a:fillRect/>
                    </a:stretch>
                  </pic:blipFill>
                  <pic:spPr>
                    <a:xfrm>
                      <a:off x="0" y="0"/>
                      <a:ext cx="628015" cy="615950"/>
                    </a:xfrm>
                    <a:prstGeom prst="rect">
                      <a:avLst/>
                    </a:prstGeom>
                  </pic:spPr>
                </pic:pic>
              </a:graphicData>
            </a:graphic>
          </wp:anchor>
        </w:drawing>
      </w:r>
    </w:p>
    <w:p w14:paraId="3783C073">
      <w:pPr>
        <w:pStyle w:val="17"/>
        <w:keepNext w:val="0"/>
        <w:keepLines w:val="0"/>
        <w:widowControl w:val="0"/>
        <w:shd w:val="clear" w:color="auto" w:fill="auto"/>
        <w:bidi w:val="0"/>
        <w:spacing w:before="0" w:after="380" w:line="317" w:lineRule="exact"/>
        <w:ind w:left="1020" w:right="0" w:firstLine="0"/>
        <w:jc w:val="both"/>
      </w:pPr>
      <w:r>
        <w:rPr>
          <w:color w:val="000000"/>
          <w:spacing w:val="0"/>
          <w:w w:val="100"/>
          <w:position w:val="0"/>
        </w:rPr>
        <w:t>陈庆佩与陈庆宏申请撤销监护人资格案丨上海市杨浦区人民法 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沪</w:t>
      </w:r>
      <w:r>
        <w:rPr>
          <w:rFonts w:ascii="Times New Roman" w:hAnsi="Times New Roman" w:eastAsia="Times New Roman" w:cs="Times New Roman"/>
          <w:color w:val="000000"/>
          <w:spacing w:val="0"/>
          <w:w w:val="100"/>
          <w:position w:val="0"/>
          <w:sz w:val="19"/>
          <w:szCs w:val="19"/>
        </w:rPr>
        <w:t>0110</w:t>
      </w:r>
      <w:r>
        <w:rPr>
          <w:color w:val="000000"/>
          <w:spacing w:val="0"/>
          <w:w w:val="100"/>
          <w:position w:val="0"/>
        </w:rPr>
        <w:t>民特</w:t>
      </w: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号民事判决书</w:t>
      </w:r>
    </w:p>
    <w:p w14:paraId="5D86D5A8">
      <w:pPr>
        <w:pStyle w:val="29"/>
        <w:keepNext w:val="0"/>
        <w:keepLines w:val="0"/>
        <w:widowControl w:val="0"/>
        <w:shd w:val="clear" w:color="auto" w:fill="auto"/>
        <w:bidi w:val="0"/>
        <w:spacing w:before="0" w:after="1380" w:line="240" w:lineRule="auto"/>
        <w:ind w:left="0" w:right="0" w:firstLine="0"/>
        <w:jc w:val="right"/>
        <w:rPr>
          <w:sz w:val="11"/>
          <w:szCs w:val="11"/>
        </w:rPr>
      </w:pPr>
      <w:r>
        <w:rPr>
          <w:color w:val="000000"/>
          <w:spacing w:val="0"/>
          <w:w w:val="100"/>
          <w:position w:val="0"/>
          <w:sz w:val="18"/>
          <w:szCs w:val="18"/>
        </w:rPr>
        <w:t>刘</w:t>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sz w:val="18"/>
          <w:szCs w:val="18"/>
        </w:rPr>
        <w:t>征峰</w:t>
      </w:r>
      <w:r>
        <w:rPr>
          <w:color w:val="000000"/>
          <w:spacing w:val="0"/>
          <w:w w:val="100"/>
          <w:position w:val="0"/>
          <w:sz w:val="11"/>
          <w:szCs w:val="11"/>
        </w:rPr>
        <w:t>中南财经政法大学法学院</w:t>
      </w:r>
    </w:p>
    <w:p w14:paraId="4FBF8DD0">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C97CFC3">
      <w:pPr>
        <w:pStyle w:val="17"/>
        <w:keepNext w:val="0"/>
        <w:keepLines w:val="0"/>
        <w:widowControl w:val="0"/>
        <w:shd w:val="clear" w:color="auto" w:fill="auto"/>
        <w:bidi w:val="0"/>
        <w:spacing w:before="0" w:after="380" w:line="339" w:lineRule="exact"/>
        <w:ind w:left="0" w:right="0" w:firstLine="420"/>
        <w:jc w:val="both"/>
      </w:pPr>
      <w:r>
        <w:rPr>
          <w:color w:val="000000"/>
          <w:spacing w:val="0"/>
          <w:w w:val="100"/>
          <w:position w:val="0"/>
        </w:rPr>
        <w:t>被监护人陈兆田与妻子刘秀英共生育陈庆珍、陈庆琪、陈庆佩、陈庆玫、陈庆宏</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个子 女。刘秀英于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日报死亡。</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日，陈庆佩申请宣告陈兆田为限 制民事行为能力人，并指定陈庆佩为监护人。</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日，上海市杨浦区人民法院 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沪</w:t>
      </w:r>
      <w:r>
        <w:rPr>
          <w:rFonts w:ascii="Times New Roman" w:hAnsi="Times New Roman" w:eastAsia="Times New Roman" w:cs="Times New Roman"/>
          <w:color w:val="000000"/>
          <w:spacing w:val="0"/>
          <w:w w:val="100"/>
          <w:position w:val="0"/>
          <w:sz w:val="19"/>
          <w:szCs w:val="19"/>
        </w:rPr>
        <w:t>0110</w:t>
      </w:r>
      <w:r>
        <w:rPr>
          <w:color w:val="000000"/>
          <w:spacing w:val="0"/>
          <w:w w:val="100"/>
          <w:position w:val="0"/>
        </w:rPr>
        <w:t>民特</w:t>
      </w:r>
      <w:r>
        <w:rPr>
          <w:rFonts w:ascii="Times New Roman" w:hAnsi="Times New Roman" w:eastAsia="Times New Roman" w:cs="Times New Roman"/>
          <w:color w:val="000000"/>
          <w:spacing w:val="0"/>
          <w:w w:val="100"/>
          <w:position w:val="0"/>
          <w:sz w:val="19"/>
          <w:szCs w:val="19"/>
        </w:rPr>
        <w:t>1006</w:t>
      </w:r>
      <w:r>
        <w:rPr>
          <w:color w:val="000000"/>
          <w:spacing w:val="0"/>
          <w:w w:val="100"/>
          <w:position w:val="0"/>
        </w:rPr>
        <w:t>号民事判决,宣告陈兆田为限制民事行为能力人，指定陈庆佩 为陈兆田的监护人。</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日，陈庆珍、陈庆琪、陈庆玫、陈庆宏申请变更陈兆田的 监护人为陈庆宏、陈庆琪。</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日，上海市杨浦区人民法院作出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沪</w:t>
      </w:r>
      <w:r>
        <w:rPr>
          <w:rFonts w:ascii="Times New Roman" w:hAnsi="Times New Roman" w:eastAsia="Times New Roman" w:cs="Times New Roman"/>
          <w:color w:val="000000"/>
          <w:spacing w:val="0"/>
          <w:w w:val="100"/>
          <w:position w:val="0"/>
          <w:sz w:val="19"/>
          <w:szCs w:val="19"/>
        </w:rPr>
        <w:t xml:space="preserve">0110 </w:t>
      </w:r>
      <w:r>
        <w:rPr>
          <w:color w:val="000000"/>
          <w:spacing w:val="0"/>
          <w:w w:val="100"/>
          <w:position w:val="0"/>
        </w:rPr>
        <w:t>民特</w:t>
      </w:r>
      <w:r>
        <w:rPr>
          <w:rFonts w:ascii="Times New Roman" w:hAnsi="Times New Roman" w:eastAsia="Times New Roman" w:cs="Times New Roman"/>
          <w:color w:val="000000"/>
          <w:spacing w:val="0"/>
          <w:w w:val="100"/>
          <w:position w:val="0"/>
          <w:sz w:val="19"/>
          <w:szCs w:val="19"/>
        </w:rPr>
        <w:t>634</w:t>
      </w:r>
      <w:r>
        <w:rPr>
          <w:color w:val="000000"/>
          <w:spacing w:val="0"/>
          <w:w w:val="100"/>
          <w:position w:val="0"/>
        </w:rPr>
        <w:t>号民事判决，指定陈庆佩、陈庆宏为陈兆田的监护人。</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日，陈庆佩诉 请要求撤销陈庆宏监护人资格，其理由主要有两点:首先，刘秀英去世后留有存款</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万余 元，其中</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万余元已用于刘秀英身后事宜及陈兆田的日常开销，现陈庆宏拒绝将剩余的</w:t>
      </w:r>
      <w:r>
        <w:rPr>
          <w:rFonts w:ascii="Times New Roman" w:hAnsi="Times New Roman" w:eastAsia="Times New Roman" w:cs="Times New Roman"/>
          <w:color w:val="000000"/>
          <w:spacing w:val="0"/>
          <w:w w:val="100"/>
          <w:position w:val="0"/>
          <w:sz w:val="19"/>
          <w:szCs w:val="19"/>
        </w:rPr>
        <w:t xml:space="preserve">9 </w:t>
      </w:r>
      <w:r>
        <w:rPr>
          <w:color w:val="000000"/>
          <w:spacing w:val="0"/>
          <w:w w:val="100"/>
          <w:position w:val="0"/>
        </w:rPr>
        <w:t>万余元存款用于陈兆田的日常生活，存在侵吞被监护人财产的嫌疑;其次，陈兆田现每月退 休金均用于其看病就医、诉讼维权及日常开销，自</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月起，陈兆田每月雇佣保姆的费 用均由陈庆佩垫付,陈庆宏不来探望照顾陈兆田，亦拒不支付相应费用。陈庆宏辩称，其并 未侵害陈兆田的财产权益。刘秀英去世后留有存款</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万余元，支付完丧葬费用后，其中</w:t>
      </w:r>
      <w:r>
        <w:rPr>
          <w:rFonts w:ascii="Times New Roman" w:hAnsi="Times New Roman" w:eastAsia="Times New Roman" w:cs="Times New Roman"/>
          <w:color w:val="000000"/>
          <w:spacing w:val="0"/>
          <w:w w:val="100"/>
          <w:position w:val="0"/>
          <w:sz w:val="19"/>
          <w:szCs w:val="19"/>
        </w:rPr>
        <w:t xml:space="preserve">10 </w:t>
      </w:r>
      <w:r>
        <w:rPr>
          <w:color w:val="000000"/>
          <w:spacing w:val="0"/>
          <w:w w:val="100"/>
          <w:position w:val="0"/>
        </w:rPr>
        <w:t>万元已交陈庆佩保管，剩余</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万余元由陈庆宏保管，但陈庆宏并未擅自动用。陈兆田每月有 较高的退休金收入，陈庆佩有</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万元可支配，现陈庆佩表示钱款均已花费完毕，但又无法提 供完整账目，故陈庆宏不同意将父亲仅剩的</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万余元交给陈庆佩保管使用。若经双方核对, 父亲确无钱款可支付生活开销,陈庆宏愿意将</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万元拿出。陈庆宏担任陈兆田的监护人后, 曾与其他姐妹去看望父亲，但陈庆佩不予配合，常常与其发生冲突。陈庆宏提出由其与父 亲共同居住,照顾父亲日常生活起居，陈庆佩亦不同意。陈庆宏尽到了监护人的义务,未损 害被监护人的权益，故不同意陈庆佩的申请请求。陈庆珍、陈庆琪、陈庆玫亦表示不同意陈 庆佩的申请请求。</w:t>
      </w:r>
    </w:p>
    <w:p w14:paraId="4D49DD77">
      <w:pPr>
        <w:pStyle w:val="11"/>
        <w:keepNext w:val="0"/>
        <w:keepLines w:val="0"/>
        <w:widowControl w:val="0"/>
        <w:shd w:val="clear" w:color="auto" w:fill="auto"/>
        <w:bidi w:val="0"/>
        <w:spacing w:before="0" w:after="0" w:line="338" w:lineRule="exact"/>
        <w:ind w:left="0" w:right="0" w:firstLine="0"/>
        <w:jc w:val="both"/>
      </w:pPr>
      <w:r>
        <w:rPr>
          <w:color w:val="000000"/>
          <w:spacing w:val="0"/>
          <w:w w:val="100"/>
          <w:position w:val="0"/>
        </w:rPr>
        <w:t>■判决要旨</w:t>
      </w:r>
    </w:p>
    <w:p w14:paraId="740B0DC7">
      <w:pPr>
        <w:pStyle w:val="17"/>
        <w:keepNext w:val="0"/>
        <w:keepLines w:val="0"/>
        <w:widowControl w:val="0"/>
        <w:shd w:val="clear" w:color="auto" w:fill="auto"/>
        <w:bidi w:val="0"/>
        <w:spacing w:before="0" w:after="0" w:line="346" w:lineRule="exact"/>
        <w:ind w:left="0" w:right="0" w:firstLine="420"/>
        <w:jc w:val="left"/>
      </w:pPr>
      <w:r>
        <w:rPr>
          <w:color w:val="000000"/>
          <w:spacing w:val="0"/>
          <w:w w:val="100"/>
          <w:position w:val="0"/>
        </w:rPr>
        <w:t>驳回申请人的申请请求。</w:t>
      </w:r>
    </w:p>
    <w:p w14:paraId="6AF9A459">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根据最高人民法院《关于民事诉讼证据的若干规定》［法释</w:t>
      </w:r>
      <w:r>
        <w:rPr>
          <w:rFonts w:ascii="Times New Roman" w:hAnsi="Times New Roman" w:eastAsia="Times New Roman" w:cs="Times New Roman"/>
          <w:color w:val="000000"/>
          <w:spacing w:val="0"/>
          <w:w w:val="100"/>
          <w:position w:val="0"/>
          <w:sz w:val="19"/>
          <w:szCs w:val="19"/>
        </w:rPr>
        <w:t>（2001）33</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条，当事 人对自己提出的诉讼请求所依据的事实或者反驳对方诉讼请求所依据的事实有责任提供 证据加以证明。没有证据或者证据不足以证明当事人的事实主张的，由负有举证责任的当 事人承担不利后果。申请人陈庆佩称被申请人陈庆宏担任监护人后存在侵吞被监护人财 产的嫌疑且未履行监护职责，但未有证据提供，对该意见，法院不予采信。鉴于陈兆田目前 的情况，申请人与被申请人共同担任陈兆田的监护人并无不适，故驳回申请人的申请请求。</w:t>
      </w:r>
    </w:p>
    <w:p w14:paraId="42F91C32">
      <w:pPr>
        <w:pStyle w:val="11"/>
        <w:keepNext w:val="0"/>
        <w:keepLines w:val="0"/>
        <w:widowControl w:val="0"/>
        <w:shd w:val="clear" w:color="auto" w:fill="auto"/>
        <w:bidi w:val="0"/>
        <w:spacing w:before="0" w:after="0" w:line="338" w:lineRule="exact"/>
        <w:ind w:left="0" w:right="0" w:firstLine="0"/>
        <w:jc w:val="both"/>
      </w:pPr>
      <w:r>
        <w:rPr>
          <w:color w:val="000000"/>
          <w:spacing w:val="0"/>
          <w:w w:val="100"/>
          <w:position w:val="0"/>
        </w:rPr>
        <w:t>■评析</w:t>
      </w:r>
    </w:p>
    <w:p w14:paraId="60772BA7">
      <w:pPr>
        <w:pStyle w:val="17"/>
        <w:keepNext w:val="0"/>
        <w:keepLines w:val="0"/>
        <w:widowControl w:val="0"/>
        <w:shd w:val="clear" w:color="auto" w:fill="auto"/>
        <w:bidi w:val="0"/>
        <w:spacing w:before="0" w:after="0" w:line="33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4CB22B65">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本案中，申请人陈庆佩主张被申请料人损害了被监护人的利益，未获法院支 持。裁判要旨明确申请撤销监护资格案件应适用谁主张谁举证的举证责任规则。如果申 请人未能证明监护人存在严重侵害被监护人利益的行为，应承担举证不利的后果。本案对 于审理监护人资格撤销案件具有参考意义。</w:t>
      </w:r>
    </w:p>
    <w:p w14:paraId="4197793B">
      <w:pPr>
        <w:pStyle w:val="17"/>
        <w:keepNext w:val="0"/>
        <w:keepLines w:val="0"/>
        <w:widowControl w:val="0"/>
        <w:shd w:val="clear" w:color="auto" w:fill="auto"/>
        <w:bidi w:val="0"/>
        <w:spacing w:before="0" w:after="0" w:line="33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监护资格撤销的规范及学理</w:t>
      </w:r>
    </w:p>
    <w:p w14:paraId="631D2BA9">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根据《民法典》第</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款的规定,</w:t>
      </w:r>
      <w:r>
        <w:rPr>
          <w:color w:val="000000"/>
          <w:spacing w:val="0"/>
          <w:w w:val="100"/>
          <w:position w:val="0"/>
          <w:lang w:val="zh-CN" w:eastAsia="zh-CN" w:bidi="zh-CN"/>
        </w:rPr>
        <w:t>“监护</w:t>
      </w:r>
      <w:r>
        <w:rPr>
          <w:color w:val="000000"/>
          <w:spacing w:val="0"/>
          <w:w w:val="100"/>
          <w:position w:val="0"/>
        </w:rPr>
        <w:t>人有下列情形之一的，人民法院根据有关</w:t>
      </w:r>
    </w:p>
    <w:p w14:paraId="33EBF088">
      <w:pPr>
        <w:pStyle w:val="17"/>
        <w:keepNext w:val="0"/>
        <w:keepLines w:val="0"/>
        <w:widowControl w:val="0"/>
        <w:shd w:val="clear" w:color="auto" w:fill="auto"/>
        <w:tabs>
          <w:tab w:val="left" w:pos="4114"/>
        </w:tabs>
        <w:bidi w:val="0"/>
        <w:spacing w:before="0" w:after="0" w:line="338" w:lineRule="exact"/>
        <w:ind w:left="0" w:right="0" w:firstLine="0"/>
        <w:jc w:val="center"/>
      </w:pPr>
      <w:r>
        <w:rPr>
          <w:color w:val="000000"/>
          <w:spacing w:val="0"/>
          <w:w w:val="100"/>
          <w:position w:val="0"/>
        </w:rPr>
        <w:t>，，</w:t>
      </w:r>
      <w:r>
        <w:rPr>
          <w:color w:val="000000"/>
          <w:spacing w:val="0"/>
          <w:w w:val="100"/>
          <w:position w:val="0"/>
        </w:rPr>
        <w:tab/>
      </w:r>
      <w:r>
        <w:rPr>
          <w:color w:val="000000"/>
          <w:spacing w:val="0"/>
          <w:w w:val="100"/>
          <w:position w:val="0"/>
        </w:rPr>
        <w:t>，</w:t>
      </w:r>
    </w:p>
    <w:p w14:paraId="4DBC7975">
      <w:pPr>
        <w:pStyle w:val="17"/>
        <w:keepNext w:val="0"/>
        <w:keepLines w:val="0"/>
        <w:widowControl w:val="0"/>
        <w:shd w:val="clear" w:color="auto" w:fill="auto"/>
        <w:bidi w:val="0"/>
        <w:spacing w:before="0" w:after="0" w:line="338" w:lineRule="exact"/>
        <w:ind w:left="0" w:right="0" w:firstLine="0"/>
        <w:jc w:val="both"/>
      </w:pPr>
      <w:r>
        <w:rPr>
          <w:color w:val="000000"/>
          <w:spacing w:val="0"/>
          <w:w w:val="100"/>
          <w:position w:val="0"/>
        </w:rPr>
        <w:t>护人的原则依法指定监护人：（一）实施严重损害被监护人身心健康行为的；（二）怠于履行 监护职责，或者无法履行监护职责并且拒绝将监护职责部分或者全部委托给他人,导致被 监护人处于危困状态的；（三）实施严重侵害被监护人合法权益的其他行为的”。另外，最高 人民法院、最高人民检察院、公安部、民政部《关于依法处理监护人侵害未成年人权益行为 若干问题的意见》［法发</w:t>
      </w:r>
      <w:r>
        <w:rPr>
          <w:rFonts w:ascii="Times New Roman" w:hAnsi="Times New Roman" w:eastAsia="Times New Roman" w:cs="Times New Roman"/>
          <w:color w:val="000000"/>
          <w:spacing w:val="0"/>
          <w:w w:val="100"/>
          <w:position w:val="0"/>
          <w:sz w:val="19"/>
          <w:szCs w:val="19"/>
        </w:rPr>
        <w:t>（2014）24</w:t>
      </w:r>
      <w:r>
        <w:rPr>
          <w:color w:val="000000"/>
          <w:spacing w:val="0"/>
          <w:w w:val="100"/>
          <w:position w:val="0"/>
        </w:rPr>
        <w:t>号</w:t>
      </w:r>
      <w:r>
        <w:rPr>
          <w:rFonts w:ascii="Times New Roman" w:hAnsi="Times New Roman" w:eastAsia="Times New Roman" w:cs="Times New Roman"/>
          <w:color w:val="000000"/>
          <w:spacing w:val="0"/>
          <w:w w:val="100"/>
          <w:position w:val="0"/>
          <w:sz w:val="19"/>
          <w:szCs w:val="19"/>
          <w:lang w:val="en-US" w:eastAsia="en-US" w:bidi="en-US"/>
        </w:rPr>
        <w:t>］（</w:t>
      </w:r>
      <w:r>
        <w:rPr>
          <w:color w:val="000000"/>
          <w:spacing w:val="0"/>
          <w:w w:val="100"/>
          <w:position w:val="0"/>
        </w:rPr>
        <w:t>以下简称《四部委意见》）第</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条详细规定了撤销未</w:t>
      </w:r>
    </w:p>
    <w:p w14:paraId="49E6563F">
      <w:pPr>
        <w:pStyle w:val="17"/>
        <w:keepNext w:val="0"/>
        <w:keepLines w:val="0"/>
        <w:widowControl w:val="0"/>
        <w:shd w:val="clear" w:color="auto" w:fill="auto"/>
        <w:bidi w:val="0"/>
        <w:spacing w:before="0" w:after="0" w:line="338" w:lineRule="exact"/>
        <w:ind w:left="0" w:right="0" w:firstLine="0"/>
        <w:jc w:val="center"/>
      </w:pPr>
      <w:r>
        <w:rPr>
          <w:color w:val="000000"/>
          <w:spacing w:val="0"/>
          <w:w w:val="100"/>
          <w:position w:val="0"/>
        </w:rPr>
        <w:t>，《</w:t>
      </w:r>
    </w:p>
    <w:p w14:paraId="5575B076">
      <w:pPr>
        <w:pStyle w:val="17"/>
        <w:keepNext w:val="0"/>
        <w:keepLines w:val="0"/>
        <w:widowControl w:val="0"/>
        <w:shd w:val="clear" w:color="auto" w:fill="auto"/>
        <w:bidi w:val="0"/>
        <w:spacing w:before="0" w:after="0" w:line="338" w:lineRule="exact"/>
        <w:ind w:left="0" w:right="0" w:firstLine="0"/>
        <w:jc w:val="left"/>
      </w:pPr>
      <w:r>
        <w:rPr>
          <w:color w:val="000000"/>
          <w:spacing w:val="0"/>
          <w:w w:val="100"/>
          <w:position w:val="0"/>
        </w:rPr>
        <w:t>法》第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条亦就家庭暴力情形下的监护资格撤销问题进行了专门规定。</w:t>
      </w:r>
    </w:p>
    <w:p w14:paraId="3F7A90BA">
      <w:pPr>
        <w:pStyle w:val="17"/>
        <w:keepNext w:val="0"/>
        <w:keepLines w:val="0"/>
        <w:widowControl w:val="0"/>
        <w:shd w:val="clear" w:color="auto" w:fill="auto"/>
        <w:bidi w:val="0"/>
        <w:spacing w:before="0" w:after="0" w:line="329" w:lineRule="exact"/>
        <w:ind w:left="0" w:right="1500" w:firstLine="0"/>
        <w:jc w:val="right"/>
      </w:pPr>
      <w:r>
        <w:rPr>
          <w:color w:val="000000"/>
          <w:spacing w:val="0"/>
          <w:w w:val="100"/>
          <w:position w:val="0"/>
        </w:rPr>
        <w:t>，</w:t>
      </w:r>
    </w:p>
    <w:p w14:paraId="1C36D333">
      <w:pPr>
        <w:pStyle w:val="17"/>
        <w:keepNext w:val="0"/>
        <w:keepLines w:val="0"/>
        <w:widowControl w:val="0"/>
        <w:shd w:val="clear" w:color="auto" w:fill="auto"/>
        <w:bidi w:val="0"/>
        <w:spacing w:before="0" w:after="0" w:line="329" w:lineRule="exact"/>
        <w:ind w:left="0" w:right="0" w:firstLine="0"/>
        <w:jc w:val="both"/>
      </w:pPr>
      <w:r>
        <w:rPr>
          <w:color w:val="000000"/>
          <w:spacing w:val="0"/>
          <w:w w:val="100"/>
          <w:position w:val="0"/>
        </w:rPr>
        <w:t>涉及的成年人监护资格的撤销研究较少。不过由于《民法典》第</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条可以无差别地适用于 未成年人和成年人监护资格的撤销，故在法理上具有共通性。就成年人监护而言，《民法 典》第</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条的规定可同时适用于法定监护和意定监护。当事人根据《民法典》第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条设定</w:t>
      </w:r>
    </w:p>
    <w:p w14:paraId="0F06BB5D">
      <w:pPr>
        <w:pStyle w:val="17"/>
        <w:keepNext w:val="0"/>
        <w:keepLines w:val="0"/>
        <w:widowControl w:val="0"/>
        <w:shd w:val="clear" w:color="auto" w:fill="auto"/>
        <w:bidi w:val="0"/>
        <w:spacing w:before="0" w:after="0" w:line="346" w:lineRule="exact"/>
        <w:ind w:left="3080" w:right="0" w:firstLine="0"/>
        <w:jc w:val="left"/>
      </w:pPr>
      <w:r>
        <w:rPr>
          <w:color w:val="000000"/>
          <w:spacing w:val="0"/>
          <w:w w:val="100"/>
          <w:position w:val="0"/>
        </w:rPr>
        <w:t>，</w:t>
      </w:r>
    </w:p>
    <w:p w14:paraId="5B865B6A">
      <w:pPr>
        <w:pStyle w:val="17"/>
        <w:keepNext w:val="0"/>
        <w:keepLines w:val="0"/>
        <w:widowControl w:val="0"/>
        <w:shd w:val="clear" w:color="auto" w:fill="auto"/>
        <w:bidi w:val="0"/>
        <w:spacing w:before="0" w:after="0" w:line="346" w:lineRule="exact"/>
        <w:ind w:left="0" w:right="0" w:firstLine="0"/>
        <w:jc w:val="both"/>
      </w:pPr>
      <w:r>
        <w:rPr>
          <w:color w:val="000000"/>
          <w:spacing w:val="0"/>
          <w:w w:val="100"/>
          <w:position w:val="0"/>
        </w:rPr>
        <w:t>通过协议降低撤销标准或者排除《民法典》第</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条的适用，则将与监护制度的保护目的明 显相悖。</w:t>
      </w:r>
    </w:p>
    <w:p w14:paraId="6235B9DE">
      <w:pPr>
        <w:pStyle w:val="17"/>
        <w:keepNext w:val="0"/>
        <w:keepLines w:val="0"/>
        <w:widowControl w:val="0"/>
        <w:shd w:val="clear" w:color="auto" w:fill="auto"/>
        <w:bidi w:val="0"/>
        <w:spacing w:before="0" w:after="0" w:line="346" w:lineRule="exact"/>
        <w:ind w:left="0" w:right="0" w:firstLine="0"/>
        <w:jc w:val="center"/>
      </w:pPr>
      <w:r>
        <w:rPr>
          <w:color w:val="000000"/>
          <w:spacing w:val="0"/>
          <w:w w:val="100"/>
          <w:position w:val="0"/>
        </w:rPr>
        <w:t>，，</w:t>
      </w:r>
    </w:p>
    <w:p w14:paraId="442E1E56">
      <w:pPr>
        <w:pStyle w:val="17"/>
        <w:keepNext w:val="0"/>
        <w:keepLines w:val="0"/>
        <w:widowControl w:val="0"/>
        <w:shd w:val="clear" w:color="auto" w:fill="auto"/>
        <w:bidi w:val="0"/>
        <w:spacing w:before="0" w:after="0" w:line="346" w:lineRule="exact"/>
        <w:ind w:left="0" w:right="0" w:firstLine="0"/>
        <w:jc w:val="both"/>
        <w:sectPr>
          <w:footnotePr>
            <w:numFmt w:val="chicago"/>
          </w:footnotePr>
          <w:type w:val="continuous"/>
          <w:pgSz w:w="10099" w:h="14782"/>
          <w:pgMar w:top="1256" w:right="1004" w:bottom="1101" w:left="1101" w:header="0" w:footer="3" w:gutter="0"/>
          <w:cols w:space="720" w:num="1"/>
          <w:rtlGutter w:val="0"/>
          <w:docGrid w:linePitch="360" w:charSpace="0"/>
        </w:sectPr>
      </w:pPr>
      <w:r>
        <w:rPr>
          <w:color w:val="000000"/>
          <w:spacing w:val="0"/>
          <w:w w:val="100"/>
          <w:position w:val="0"/>
        </w:rPr>
        <w:t>微杜渐之功能［朱广新:《监护监督制度的立法建构》，载《苏州大学学报》（法学版</w:t>
      </w:r>
      <w:r>
        <w:rPr>
          <w:rFonts w:ascii="Times New Roman" w:hAnsi="Times New Roman" w:eastAsia="Times New Roman" w:cs="Times New Roman"/>
          <w:color w:val="000000"/>
          <w:spacing w:val="0"/>
          <w:w w:val="100"/>
          <w:position w:val="0"/>
          <w:sz w:val="19"/>
          <w:szCs w:val="19"/>
        </w:rPr>
        <w:t>）2020</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期］, </w:t>
      </w:r>
    </w:p>
    <w:p w14:paraId="657A70B1">
      <w:pPr>
        <w:pStyle w:val="17"/>
        <w:keepNext w:val="0"/>
        <w:keepLines w:val="0"/>
        <w:widowControl w:val="0"/>
        <w:shd w:val="clear" w:color="auto" w:fill="auto"/>
        <w:bidi w:val="0"/>
        <w:spacing w:before="0" w:after="0" w:line="346" w:lineRule="exact"/>
        <w:ind w:left="0" w:right="0" w:firstLine="0"/>
        <w:jc w:val="both"/>
      </w:pPr>
      <w:r>
        <w:rPr>
          <w:color w:val="000000"/>
          <w:spacing w:val="0"/>
          <w:w w:val="100"/>
          <w:position w:val="0"/>
        </w:rPr>
        <w:t>似乎在解释上应尽量宽松。但由于监护资格撤销是以或有或无的方式进行,对被监护人的 利益影响甚大，似又应采严格立场。从《民法典》第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条的文义来看，采纳了后一种立场， 强调侵害被监护人利益的严重性。至于何为严重，应引入比例原则由法院进行实质判断（刘 征峰:《以比例原则为核心的未成年人国家监护制度建构》，载《法律科学》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期；王慧：《〈民法 总则〉撤销父母监护权条款的罅漏与完善》，载《江西社会科学》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期）。尤其是在监护人为 被监护人父母或者子女时，比例原则的运用应更加严格。</w:t>
      </w:r>
    </w:p>
    <w:p w14:paraId="42FFC7C3">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就监护资格撤销的情形而言，《民法典》第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款采用了列举加兜底的形式。列 举主要是从正反两个方面展开,是实践中较为常见的形态。第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项实质为积极侵害，第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项 实质为消极侵害。有观点认为监护人的主观状态并不具有评价意义，应考虑的是监护人利 益客观受损状态（陈甦主编:《民法总则评注》（上册），法律出版社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268</w:t>
      </w:r>
      <w:r>
        <w:rPr>
          <w:color w:val="000000"/>
          <w:spacing w:val="0"/>
          <w:w w:val="100"/>
          <w:position w:val="0"/>
        </w:rPr>
        <w:t>页）。此项意见 颇值赞同。例如，监护人因精神疾病纵然无过错严重损害被监护人利益，亦应撤销其监护 资格。</w:t>
      </w:r>
    </w:p>
    <w:p w14:paraId="01A623F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由于《民法典》第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条和《四部委意见》所列举的具体情形均指向被监护人的人身利 益，财产利益是否应作同等评价呢？从立法工作者的解读来看</w:t>
      </w:r>
      <w:r>
        <w:rPr>
          <w:color w:val="000000"/>
          <w:spacing w:val="0"/>
          <w:w w:val="100"/>
          <w:position w:val="0"/>
          <w:lang w:val="zh-CN" w:eastAsia="zh-CN" w:bidi="zh-CN"/>
        </w:rPr>
        <w:t>，“在</w:t>
      </w:r>
      <w:r>
        <w:rPr>
          <w:color w:val="000000"/>
          <w:spacing w:val="0"/>
          <w:w w:val="100"/>
          <w:position w:val="0"/>
        </w:rPr>
        <w:t>《民法总则》起草过程 中，有的意见建议在撤销监护人资格的情形中增加一项,即</w:t>
      </w:r>
      <w:r>
        <w:rPr>
          <w:color w:val="000000"/>
          <w:spacing w:val="0"/>
          <w:w w:val="100"/>
          <w:position w:val="0"/>
          <w:lang w:val="en-US" w:eastAsia="en-US" w:bidi="en-US"/>
        </w:rPr>
        <w:t>’</w:t>
      </w:r>
      <w:r>
        <w:rPr>
          <w:color w:val="000000"/>
          <w:spacing w:val="0"/>
          <w:w w:val="100"/>
          <w:position w:val="0"/>
        </w:rPr>
        <w:t>实施严重侵害被监护人财产的 行为的’，但由于这种情形在实践中较为少见，且可为兜底条款所涵盖，故未单独规定”（李适 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108</w:t>
      </w:r>
      <w:r>
        <w:rPr>
          <w:color w:val="000000"/>
          <w:spacing w:val="0"/>
          <w:w w:val="100"/>
          <w:position w:val="0"/>
        </w:rPr>
        <w:t>页）。而照此理解，只要侵 害被监护人财产到达了严重的程度，亦可撤销监护人的监护资格。不过，由于我国监护资 格的撤销是以或有或无的方式进行的，不存在中间形态的部分撤销,仅因财产上的侵害行 为就撤销监护人的整个监护资格确实存在不妥（王苑:《论〈民法总则〉第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条的撤销监护制度》， 载《青少年犯罪问题》</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期）。在解释适用时同样应采纳比例原则，如监护人在财产管 理上存在不妥，作为替代,法院可以另行指定监护人作为共同监护人（李贝、彭诚信:《共同监护 制度的解释适用一以〈民法总则〉颁布为背景》，载《法律适用》</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期），以强化对被监护 人财产的管理。在具体适用比例原则时,对损害被监护人财产利益所致监护资格撤销的程 度标准应当严于对损害被监护人的人身利益。</w:t>
      </w:r>
    </w:p>
    <w:p w14:paraId="0C936B20">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另外一项值得探讨的问题的是，如果监护人不履行其法定的扶养义务,是否会导致监 护资格的撤销。本案中，申请人即主张被申请人不探望被监护人，亦不支付相应的生活费 用。根据《民法典》第</w:t>
      </w:r>
      <w:r>
        <w:rPr>
          <w:rFonts w:ascii="Times New Roman" w:hAnsi="Times New Roman" w:eastAsia="Times New Roman" w:cs="Times New Roman"/>
          <w:color w:val="000000"/>
          <w:spacing w:val="0"/>
          <w:w w:val="100"/>
          <w:position w:val="0"/>
          <w:sz w:val="17"/>
          <w:szCs w:val="17"/>
        </w:rPr>
        <w:t>34</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款的规定，监护人的职责是代理被监护人实施法律行为，保 护被监护人的人身权利、财产权利以及其他合法权益等。由于我国采纳的是“大监护</w:t>
      </w:r>
      <w:r>
        <w:rPr>
          <w:color w:val="000000"/>
          <w:spacing w:val="0"/>
          <w:w w:val="100"/>
          <w:position w:val="0"/>
          <w:lang w:val="zh-CN" w:eastAsia="zh-CN" w:bidi="zh-CN"/>
        </w:rPr>
        <w:t xml:space="preserve">”立法 </w:t>
      </w:r>
      <w:r>
        <w:rPr>
          <w:color w:val="000000"/>
          <w:spacing w:val="0"/>
          <w:w w:val="100"/>
          <w:position w:val="0"/>
        </w:rPr>
        <w:t>模式，监护人的职责范围较为广泛,与扶养人职责之间存在诸多重合。如果监护人不履行 扶养义务同时也构成监护人职责的严重违反，则同样可撤销其监护人资格。</w:t>
      </w:r>
    </w:p>
    <w:p w14:paraId="452118A4">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10A8B90C">
      <w:pPr>
        <w:pStyle w:val="17"/>
        <w:keepNext w:val="0"/>
        <w:keepLines w:val="0"/>
        <w:widowControl w:val="0"/>
        <w:shd w:val="clear" w:color="auto" w:fill="auto"/>
        <w:bidi w:val="0"/>
        <w:spacing w:before="0" w:after="0" w:line="334" w:lineRule="exact"/>
        <w:ind w:left="0" w:right="0" w:firstLine="420"/>
        <w:jc w:val="both"/>
        <w:sectPr>
          <w:headerReference r:id="rId56" w:type="default"/>
          <w:headerReference r:id="rId57" w:type="even"/>
          <w:footnotePr>
            <w:numFmt w:val="chicago"/>
          </w:footnotePr>
          <w:pgSz w:w="10099" w:h="14782"/>
          <w:pgMar w:top="1256" w:right="1004" w:bottom="1101" w:left="1101" w:header="0" w:footer="673" w:gutter="0"/>
          <w:pgNumType w:start="34"/>
          <w:cols w:space="720" w:num="1"/>
          <w:rtlGutter w:val="0"/>
          <w:docGrid w:linePitch="360" w:charSpace="0"/>
        </w:sectPr>
      </w:pPr>
      <w:r>
        <w:rPr>
          <w:color w:val="000000"/>
          <w:spacing w:val="0"/>
          <w:w w:val="100"/>
          <w:position w:val="0"/>
        </w:rPr>
        <w:t>法院对于撤销监护人资格案件的裁判总体上未出现巨大的分歧。实践中，与本案情形 较为类似，多数案件中申请人申请撤销监护人监护资格被驳回，皆因其无法证明监护人存 在原《民法总则》第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rPr>
        <w:t>条）所规定的行为［例如，刘某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等与刘某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 xml:space="preserve">申请撤销 </w:t>
      </w:r>
    </w:p>
    <w:p w14:paraId="55617F77">
      <w:pPr>
        <w:pStyle w:val="17"/>
        <w:keepNext w:val="0"/>
        <w:keepLines w:val="0"/>
        <w:widowControl w:val="0"/>
        <w:shd w:val="clear" w:color="auto" w:fill="auto"/>
        <w:bidi w:val="0"/>
        <w:spacing w:before="0" w:after="0" w:line="334" w:lineRule="exact"/>
        <w:ind w:left="0" w:right="0" w:firstLine="0"/>
        <w:jc w:val="both"/>
      </w:pPr>
      <w:r>
        <w:rPr>
          <w:color w:val="000000"/>
          <w:spacing w:val="0"/>
          <w:w w:val="100"/>
          <w:position w:val="0"/>
        </w:rPr>
        <w:t>监护人资格案，北京市海淀区人民法院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0108</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525</w:t>
      </w:r>
      <w:r>
        <w:rPr>
          <w:color w:val="000000"/>
          <w:spacing w:val="0"/>
          <w:w w:val="100"/>
          <w:position w:val="0"/>
        </w:rPr>
        <w:t>号民事判决书；杨某与杨某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 监护人资格案，重庆市渝中区人民法院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渝</w:t>
      </w:r>
      <w:r>
        <w:rPr>
          <w:rFonts w:ascii="Times New Roman" w:hAnsi="Times New Roman" w:eastAsia="Times New Roman" w:cs="Times New Roman"/>
          <w:color w:val="000000"/>
          <w:spacing w:val="0"/>
          <w:w w:val="100"/>
          <w:position w:val="0"/>
          <w:sz w:val="17"/>
          <w:szCs w:val="17"/>
        </w:rPr>
        <w:t>0103</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277</w:t>
      </w:r>
      <w:r>
        <w:rPr>
          <w:color w:val="000000"/>
          <w:spacing w:val="0"/>
          <w:w w:val="100"/>
          <w:position w:val="0"/>
        </w:rPr>
        <w:t>号民事判决书；张某、张某</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、张某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与张 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申请撤销监护人资格案，天津市河东区人民法院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津</w:t>
      </w:r>
      <w:r>
        <w:rPr>
          <w:rFonts w:ascii="Times New Roman" w:hAnsi="Times New Roman" w:eastAsia="Times New Roman" w:cs="Times New Roman"/>
          <w:color w:val="000000"/>
          <w:spacing w:val="0"/>
          <w:w w:val="100"/>
          <w:position w:val="0"/>
          <w:sz w:val="17"/>
          <w:szCs w:val="17"/>
        </w:rPr>
        <w:t>0102</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120</w:t>
      </w:r>
      <w:r>
        <w:rPr>
          <w:color w:val="000000"/>
          <w:spacing w:val="0"/>
          <w:w w:val="100"/>
          <w:position w:val="0"/>
        </w:rPr>
        <w:t>号民事判决书］。不难发 现，应由申请撤销监护资格的一方负担举证责任。不过，考虑到法院在保护被监护人利益 中的特殊作用，其亦可依职权调查收集证据。</w:t>
      </w:r>
    </w:p>
    <w:p w14:paraId="1D53C86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就本案所涉及的以“侵害被监护人财产利益”为由提起的撤销而言,司法实践主要集中 于监护人非为被监护人利益处分被监护人财产的情形。在此种情形中，为了判断其严重 性，应以其处分明显未获得公允的对价对为标准［徐某与徐某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申请撤销监护人资格特别程序 案，上海市虹口区人民法院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沪</w:t>
      </w:r>
      <w:r>
        <w:rPr>
          <w:rFonts w:ascii="Times New Roman" w:hAnsi="Times New Roman" w:eastAsia="Times New Roman" w:cs="Times New Roman"/>
          <w:color w:val="000000"/>
          <w:spacing w:val="0"/>
          <w:w w:val="100"/>
          <w:position w:val="0"/>
          <w:sz w:val="17"/>
          <w:szCs w:val="17"/>
        </w:rPr>
        <w:t>0109</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74</w:t>
      </w:r>
      <w:r>
        <w:rPr>
          <w:color w:val="000000"/>
          <w:spacing w:val="0"/>
          <w:w w:val="100"/>
          <w:position w:val="0"/>
        </w:rPr>
        <w:t>号民事判决书；邢某与邢某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申请撤销监护人资格 案，北京市西城区人民法院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0102</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1682</w:t>
      </w:r>
      <w:r>
        <w:rPr>
          <w:color w:val="000000"/>
          <w:spacing w:val="0"/>
          <w:w w:val="100"/>
          <w:position w:val="0"/>
        </w:rPr>
        <w:t>号民事判决书］。单纯处分被监护人的财产本 身并不构成严重侵害被监护人利益［陈某与曹某申请撤销监护人资格案，江苏省苏州市姑苏区人 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苏</w:t>
      </w:r>
      <w:r>
        <w:rPr>
          <w:rFonts w:ascii="Times New Roman" w:hAnsi="Times New Roman" w:eastAsia="Times New Roman" w:cs="Times New Roman"/>
          <w:color w:val="000000"/>
          <w:spacing w:val="0"/>
          <w:w w:val="100"/>
          <w:position w:val="0"/>
          <w:sz w:val="17"/>
          <w:szCs w:val="17"/>
        </w:rPr>
        <w:t>0508</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45</w:t>
      </w:r>
      <w:r>
        <w:rPr>
          <w:color w:val="000000"/>
          <w:spacing w:val="0"/>
          <w:w w:val="100"/>
          <w:position w:val="0"/>
        </w:rPr>
        <w:t>号民事判决书］。亦有法院采纳了较为宽松的标准,认为监护人怠 于履行其监护职责,拒绝配合办理被监护人名下房屋拆迁款项的发放手续,致使被监护人 至今无法取得该笔款项,侵害了被监护人的财产权益［陈某等与陈某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申请撤销监护人资格案， 北京市通州区人民法院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0112</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号民事判决书］。这一裁判立场并不合理，理由在 于,监护人的行为并未导致被监护人处于危困状态。在因监护人怠于履行监护责任导致被 监护人人身利益受损害时，尚且要求行为导致被监护人处于</w:t>
      </w:r>
      <w:r>
        <w:rPr>
          <w:color w:val="000000"/>
          <w:spacing w:val="0"/>
          <w:w w:val="100"/>
          <w:position w:val="0"/>
          <w:lang w:val="zh-CN" w:eastAsia="zh-CN" w:bidi="zh-CN"/>
        </w:rPr>
        <w:t>“危</w:t>
      </w:r>
      <w:r>
        <w:rPr>
          <w:color w:val="000000"/>
          <w:spacing w:val="0"/>
          <w:w w:val="100"/>
          <w:position w:val="0"/>
        </w:rPr>
        <w:t>困状态</w:t>
      </w:r>
      <w:r>
        <w:rPr>
          <w:color w:val="000000"/>
          <w:spacing w:val="0"/>
          <w:w w:val="100"/>
          <w:position w:val="0"/>
          <w:lang w:val="zh-CN" w:eastAsia="zh-CN" w:bidi="zh-CN"/>
        </w:rPr>
        <w:t>”，而</w:t>
      </w:r>
      <w:r>
        <w:rPr>
          <w:color w:val="000000"/>
          <w:spacing w:val="0"/>
          <w:w w:val="100"/>
          <w:position w:val="0"/>
        </w:rPr>
        <w:t>若在财产利益 受损害情形,不再作此要求,明显不合理,且与比例原则相悖。此外，有法院认为将被监护人 财产转移到监护人自己名下这一行为本身并不能表明严重侵害被监护人利益，这一行为可 被解释为保管行为，只要未导致被监护人财产减损或者灭失即可［沈某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等于深谋申请撤销沈 某监护人资格案，重庆市渝北区人民法院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渝</w:t>
      </w:r>
      <w:r>
        <w:rPr>
          <w:rFonts w:ascii="Times New Roman" w:hAnsi="Times New Roman" w:eastAsia="Times New Roman" w:cs="Times New Roman"/>
          <w:color w:val="000000"/>
          <w:spacing w:val="0"/>
          <w:w w:val="100"/>
          <w:position w:val="0"/>
          <w:sz w:val="17"/>
          <w:szCs w:val="17"/>
        </w:rPr>
        <w:t>0112</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626</w:t>
      </w:r>
      <w:r>
        <w:rPr>
          <w:color w:val="000000"/>
          <w:spacing w:val="0"/>
          <w:w w:val="100"/>
          <w:position w:val="0"/>
        </w:rPr>
        <w:t>号民事判决书］。相反意见则认 为，只要监护人将原本属于被监护人的财产转移至自己名下，就应认定存在侵害行为［徐某 与徐某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申请撤销监护人资格案，上海市虹口区人民法院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沪</w:t>
      </w:r>
      <w:r>
        <w:rPr>
          <w:rFonts w:ascii="Times New Roman" w:hAnsi="Times New Roman" w:eastAsia="Times New Roman" w:cs="Times New Roman"/>
          <w:color w:val="000000"/>
          <w:spacing w:val="0"/>
          <w:w w:val="100"/>
          <w:position w:val="0"/>
          <w:sz w:val="17"/>
          <w:szCs w:val="17"/>
        </w:rPr>
        <w:t>0109</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74</w:t>
      </w:r>
      <w:r>
        <w:rPr>
          <w:color w:val="000000"/>
          <w:spacing w:val="0"/>
          <w:w w:val="100"/>
          <w:position w:val="0"/>
        </w:rPr>
        <w:t>号民事判决书］。实 际上，转移行为本身只应产生推定效果，将相关证明责任转移给监护人。如果监护人能证 明其转移行为只是为了财产管理上的便利，则不应认定为侵害行为。总体而言，法院在处 理以</w:t>
      </w:r>
      <w:r>
        <w:rPr>
          <w:color w:val="000000"/>
          <w:spacing w:val="0"/>
          <w:w w:val="100"/>
          <w:position w:val="0"/>
          <w:lang w:val="zh-CN" w:eastAsia="zh-CN" w:bidi="zh-CN"/>
        </w:rPr>
        <w:t>“侵害</w:t>
      </w:r>
      <w:r>
        <w:rPr>
          <w:color w:val="000000"/>
          <w:spacing w:val="0"/>
          <w:w w:val="100"/>
          <w:position w:val="0"/>
        </w:rPr>
        <w:t>被监护人财产利益”为由提起的监护人资格撤销案件时，裁判思路总体清晰，即 先判断监护人是否违反原《民法总则》第</w:t>
      </w:r>
      <w:r>
        <w:rPr>
          <w:rFonts w:ascii="Times New Roman" w:hAnsi="Times New Roman" w:eastAsia="Times New Roman" w:cs="Times New Roman"/>
          <w:color w:val="000000"/>
          <w:spacing w:val="0"/>
          <w:w w:val="100"/>
          <w:position w:val="0"/>
          <w:sz w:val="17"/>
          <w:szCs w:val="17"/>
        </w:rPr>
        <w:t>35</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35</w:t>
      </w:r>
      <w:r>
        <w:rPr>
          <w:color w:val="000000"/>
          <w:spacing w:val="0"/>
          <w:w w:val="100"/>
          <w:position w:val="0"/>
        </w:rPr>
        <w:t>条）的规定，再判断对被监护 人利益的侵害是否严重。是否违反监护职责的判断不仅局限于客观意义的上被监护人利 益，还包括是否违背主观意义上的被监护人意愿［陈某与陈某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申请撤销监护人资格案，广东省 佛山市禅城区人民法院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粤</w:t>
      </w:r>
      <w:r>
        <w:rPr>
          <w:rFonts w:ascii="Times New Roman" w:hAnsi="Times New Roman" w:eastAsia="Times New Roman" w:cs="Times New Roman"/>
          <w:color w:val="000000"/>
          <w:spacing w:val="0"/>
          <w:w w:val="100"/>
          <w:position w:val="0"/>
          <w:sz w:val="17"/>
          <w:szCs w:val="17"/>
        </w:rPr>
        <w:t>0604</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353</w:t>
      </w:r>
      <w:r>
        <w:rPr>
          <w:color w:val="000000"/>
          <w:spacing w:val="0"/>
          <w:w w:val="100"/>
          <w:position w:val="0"/>
        </w:rPr>
        <w:t>号民事判决书］。如果侵害的程度并不严重，例如 数额较小或者未对被监护人的生活产生严重影响，则不予支持。亦有法院考量监护人未履 行监护职责的客观原因,将监护人的主观过错纳入考量范围［陈某与黄某申请撤销监护人资格 案，重庆市万州区人民法院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渝</w:t>
      </w:r>
      <w:r>
        <w:rPr>
          <w:rFonts w:ascii="Times New Roman" w:hAnsi="Times New Roman" w:eastAsia="Times New Roman" w:cs="Times New Roman"/>
          <w:color w:val="000000"/>
          <w:spacing w:val="0"/>
          <w:w w:val="100"/>
          <w:position w:val="0"/>
          <w:sz w:val="17"/>
          <w:szCs w:val="17"/>
        </w:rPr>
        <w:t>0101</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1048</w:t>
      </w:r>
      <w:r>
        <w:rPr>
          <w:color w:val="000000"/>
          <w:spacing w:val="0"/>
          <w:w w:val="100"/>
          <w:position w:val="0"/>
        </w:rPr>
        <w:t>号民事判决书］。</w:t>
      </w:r>
    </w:p>
    <w:p w14:paraId="48B94C6C">
      <w:pPr>
        <w:pStyle w:val="17"/>
        <w:keepNext w:val="0"/>
        <w:keepLines w:val="0"/>
        <w:widowControl w:val="0"/>
        <w:shd w:val="clear" w:color="auto" w:fill="auto"/>
        <w:bidi w:val="0"/>
        <w:spacing w:before="0" w:after="160" w:line="342" w:lineRule="exact"/>
        <w:ind w:left="0" w:right="0" w:firstLine="420"/>
        <w:jc w:val="both"/>
        <w:sectPr>
          <w:headerReference r:id="rId58" w:type="default"/>
          <w:headerReference r:id="rId59" w:type="even"/>
          <w:footnotePr>
            <w:numFmt w:val="chicago"/>
          </w:footnotePr>
          <w:pgSz w:w="10099" w:h="14782"/>
          <w:pgMar w:top="1256" w:right="1004" w:bottom="1101" w:left="1101" w:header="0" w:footer="673" w:gutter="0"/>
          <w:pgNumType w:start="51"/>
          <w:cols w:space="720" w:num="1"/>
          <w:rtlGutter w:val="0"/>
          <w:docGrid w:linePitch="360" w:charSpace="0"/>
        </w:sectPr>
      </w:pPr>
      <w:r>
        <w:rPr>
          <w:color w:val="000000"/>
          <w:spacing w:val="0"/>
          <w:w w:val="100"/>
          <w:position w:val="0"/>
        </w:rPr>
        <w:t>有法院考虑到被监护人的情况，认为虽然监护人未及时向第三人主张权利致使被监护 人利益遭受重大损失，但并未直接撤销其监护人资格，而是增设其他共同监护人，以强化对 监护人行为的监督［方某与黄某</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、邹某申请撤销监护人资格案，江西省横峰县人民法院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 xml:space="preserve">赣 </w:t>
      </w:r>
    </w:p>
    <w:p w14:paraId="1A43C051">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rPr>
        <w:t>1125</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号民事判决书］。亦有法院虽然认定监护人不存在严重侵害被监护人利益的行为， 但出于保护被监护人利益的必要，而增设共同监护人［靳某与马某申请撤销监护人资格案，天津 市红桥区人民法院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津</w:t>
      </w:r>
      <w:r>
        <w:rPr>
          <w:rFonts w:ascii="Times New Roman" w:hAnsi="Times New Roman" w:eastAsia="Times New Roman" w:cs="Times New Roman"/>
          <w:color w:val="000000"/>
          <w:spacing w:val="0"/>
          <w:w w:val="100"/>
          <w:position w:val="0"/>
          <w:sz w:val="17"/>
          <w:szCs w:val="17"/>
        </w:rPr>
        <w:t>0106</w:t>
      </w:r>
      <w:r>
        <w:rPr>
          <w:color w:val="000000"/>
          <w:spacing w:val="0"/>
          <w:w w:val="100"/>
          <w:position w:val="0"/>
        </w:rPr>
        <w:t>民特</w:t>
      </w:r>
      <w:r>
        <w:rPr>
          <w:rFonts w:ascii="Times New Roman" w:hAnsi="Times New Roman" w:eastAsia="Times New Roman" w:cs="Times New Roman"/>
          <w:color w:val="000000"/>
          <w:spacing w:val="0"/>
          <w:w w:val="100"/>
          <w:position w:val="0"/>
          <w:sz w:val="17"/>
          <w:szCs w:val="17"/>
        </w:rPr>
        <w:t>527</w:t>
      </w:r>
      <w:r>
        <w:rPr>
          <w:color w:val="000000"/>
          <w:spacing w:val="0"/>
          <w:w w:val="100"/>
          <w:position w:val="0"/>
        </w:rPr>
        <w:t>号民事判决书］。由此可见，共同监护人的增设已经成 为实践中保护被监护人利益的缓和手段。</w:t>
      </w:r>
    </w:p>
    <w:p w14:paraId="2FD08B0F">
      <w:pPr>
        <w:pStyle w:val="17"/>
        <w:keepNext w:val="0"/>
        <w:keepLines w:val="0"/>
        <w:widowControl w:val="0"/>
        <w:shd w:val="clear" w:color="auto" w:fill="auto"/>
        <w:bidi w:val="0"/>
        <w:spacing w:before="0" w:after="160" w:line="339"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本判决的影响及将来的课题</w:t>
      </w:r>
    </w:p>
    <w:p w14:paraId="4C053EF8">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本判决与司法实践中的主流观点相一致，不存在任何突破性贡献。不过，本判决尚未 解决共同监护人在就具体监护事项发生分歧时,应如何解决的问题。从本判决及相关判决 来看,共同监护人极易就具体监护事项的决策发生分歧，又由于监护资格撤销案件不受一 事不再理规则的约束，导致各方不断提起撤销申请。比较合理的方案是，法院在裁判确定 共同监护人时应尽量明确各监护人之间的监护职责。当然，从立法论角度来看，应明确各 共同监护人彼此的关系，以及实施的相互冲突行为的效力。另外，本案亦未明确的是，父母 或者子女与其他监护人能否适用统一的监护资格撤销标准。如果认为应当适用不同的标 准，如何在解释论视角下进行合理论证。</w:t>
      </w:r>
    </w:p>
    <w:p w14:paraId="39F88B9F">
      <w:pPr>
        <w:pStyle w:val="11"/>
        <w:keepNext w:val="0"/>
        <w:keepLines w:val="0"/>
        <w:widowControl w:val="0"/>
        <w:shd w:val="clear" w:color="auto" w:fill="auto"/>
        <w:bidi w:val="0"/>
        <w:spacing w:before="0" w:after="40" w:line="339" w:lineRule="exact"/>
        <w:ind w:left="0" w:right="0" w:firstLine="0"/>
        <w:jc w:val="both"/>
      </w:pPr>
      <w:r>
        <w:rPr>
          <w:color w:val="000000"/>
          <w:spacing w:val="0"/>
          <w:w w:val="100"/>
          <w:position w:val="0"/>
        </w:rPr>
        <w:t>回参考文献</w:t>
      </w:r>
    </w:p>
    <w:p w14:paraId="2BCF5E66">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陈甦主编：《民法总则评注》（上册），法律出版社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F7F6A47">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李适时主编:《中华人民共和国民法总则释义》，法律出版社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6E6955EC">
      <w:pPr>
        <w:pStyle w:val="17"/>
        <w:keepNext w:val="0"/>
        <w:keepLines w:val="0"/>
        <w:widowControl w:val="0"/>
        <w:shd w:val="clear" w:color="auto" w:fill="auto"/>
        <w:bidi w:val="0"/>
        <w:spacing w:before="0" w:after="0" w:line="338" w:lineRule="exact"/>
        <w:ind w:left="200" w:right="0" w:hanging="200"/>
        <w:jc w:val="both"/>
      </w:pPr>
      <w:r>
        <w:rPr>
          <w:color w:val="000000"/>
          <w:spacing w:val="0"/>
          <w:w w:val="100"/>
          <w:position w:val="0"/>
        </w:rPr>
        <w:t>李贝、彭诚信:《共同监护制度的解释适用——以〈民法总则〉颁布为背景》，载《法律适用》</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13 </w:t>
      </w:r>
      <w:r>
        <w:rPr>
          <w:color w:val="000000"/>
          <w:spacing w:val="0"/>
          <w:w w:val="100"/>
          <w:position w:val="0"/>
        </w:rPr>
        <w:t>期。</w:t>
      </w:r>
    </w:p>
    <w:p w14:paraId="37A7539E">
      <w:pPr>
        <w:pStyle w:val="17"/>
        <w:keepNext w:val="0"/>
        <w:keepLines w:val="0"/>
        <w:widowControl w:val="0"/>
        <w:shd w:val="clear" w:color="auto" w:fill="auto"/>
        <w:bidi w:val="0"/>
        <w:spacing w:before="0" w:after="0" w:line="322" w:lineRule="exact"/>
        <w:ind w:left="0" w:right="0" w:firstLine="0"/>
        <w:jc w:val="both"/>
      </w:pPr>
      <w:r>
        <w:rPr>
          <w:color w:val="000000"/>
          <w:spacing w:val="0"/>
          <w:w w:val="100"/>
          <w:position w:val="0"/>
        </w:rPr>
        <w:t>朱广新:《监护监督制度的立法建构》，载《苏州大学学报》（法学版</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E44E9D0">
      <w:pPr>
        <w:pStyle w:val="17"/>
        <w:keepNext w:val="0"/>
        <w:keepLines w:val="0"/>
        <w:widowControl w:val="0"/>
        <w:shd w:val="clear" w:color="auto" w:fill="auto"/>
        <w:bidi w:val="0"/>
        <w:spacing w:before="0" w:after="160" w:line="322" w:lineRule="exact"/>
        <w:ind w:left="0" w:right="0" w:firstLine="0"/>
        <w:jc w:val="both"/>
        <w:sectPr>
          <w:headerReference r:id="rId60" w:type="default"/>
          <w:headerReference r:id="rId61" w:type="even"/>
          <w:footnotePr>
            <w:numFmt w:val="chicago"/>
          </w:footnotePr>
          <w:pgSz w:w="10099" w:h="14782"/>
          <w:pgMar w:top="1256" w:right="1004" w:bottom="1101" w:left="1101" w:header="0" w:footer="673" w:gutter="0"/>
          <w:pgNumType w:start="36"/>
          <w:cols w:space="720" w:num="1"/>
          <w:rtlGutter w:val="0"/>
          <w:docGrid w:linePitch="360" w:charSpace="0"/>
        </w:sectPr>
      </w:pPr>
      <w:r>
        <w:rPr>
          <w:color w:val="000000"/>
          <w:spacing w:val="0"/>
          <w:w w:val="100"/>
          <w:position w:val="0"/>
        </w:rPr>
        <w:t>刘征峰:《以比例原则为核心的未成年人国家监护制度建构》，载《法律科学》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王慧：《〈民法总则〉撤销父母监护权条款的罅漏与完善》，载《江西社会科学》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E6C273D">
      <w:pPr>
        <w:widowControl w:val="0"/>
        <w:spacing w:line="1" w:lineRule="exact"/>
      </w:pPr>
      <w:r>
        <w:drawing>
          <wp:anchor distT="0" distB="0" distL="0" distR="0" simplePos="0" relativeHeight="251660288" behindDoc="0" locked="0" layoutInCell="1" allowOverlap="1">
            <wp:simplePos x="0" y="0"/>
            <wp:positionH relativeFrom="page">
              <wp:posOffset>701675</wp:posOffset>
            </wp:positionH>
            <wp:positionV relativeFrom="paragraph">
              <wp:posOffset>0</wp:posOffset>
            </wp:positionV>
            <wp:extent cx="481330" cy="420370"/>
            <wp:effectExtent l="0" t="0" r="1270" b="11430"/>
            <wp:wrapTopAndBottom/>
            <wp:docPr id="123" name="Shape 123"/>
            <wp:cNvGraphicFramePr/>
            <a:graphic xmlns:a="http://schemas.openxmlformats.org/drawingml/2006/main">
              <a:graphicData uri="http://schemas.openxmlformats.org/drawingml/2006/picture">
                <pic:pic xmlns:pic="http://schemas.openxmlformats.org/drawingml/2006/picture">
                  <pic:nvPicPr>
                    <pic:cNvPr id="123" name="Shape 123"/>
                    <pic:cNvPicPr/>
                  </pic:nvPicPr>
                  <pic:blipFill>
                    <a:blip r:embed="rId600"/>
                    <a:stretch>
                      <a:fillRect/>
                    </a:stretch>
                  </pic:blipFill>
                  <pic:spPr>
                    <a:xfrm>
                      <a:off x="0" y="0"/>
                      <a:ext cx="481330" cy="420370"/>
                    </a:xfrm>
                    <a:prstGeom prst="rect">
                      <a:avLst/>
                    </a:prstGeom>
                  </pic:spPr>
                </pic:pic>
              </a:graphicData>
            </a:graphic>
          </wp:anchor>
        </w:drawing>
      </w:r>
      <w:r>
        <mc:AlternateContent>
          <mc:Choice Requires="wps">
            <w:drawing>
              <wp:anchor distT="143510" distB="38100" distL="0" distR="0" simplePos="0" relativeHeight="251660288" behindDoc="0" locked="0" layoutInCell="1" allowOverlap="1">
                <wp:simplePos x="0" y="0"/>
                <wp:positionH relativeFrom="page">
                  <wp:posOffset>1314450</wp:posOffset>
                </wp:positionH>
                <wp:positionV relativeFrom="paragraph">
                  <wp:posOffset>143510</wp:posOffset>
                </wp:positionV>
                <wp:extent cx="1825625" cy="236220"/>
                <wp:effectExtent l="0" t="0" r="0" b="0"/>
                <wp:wrapTopAndBottom/>
                <wp:docPr id="125" name="Shape 125"/>
                <wp:cNvGraphicFramePr/>
                <a:graphic xmlns:a="http://schemas.openxmlformats.org/drawingml/2006/main">
                  <a:graphicData uri="http://schemas.microsoft.com/office/word/2010/wordprocessingShape">
                    <wps:wsp>
                      <wps:cNvSpPr txBox="1"/>
                      <wps:spPr>
                        <a:xfrm>
                          <a:off x="0" y="0"/>
                          <a:ext cx="1825625" cy="236220"/>
                        </a:xfrm>
                        <a:prstGeom prst="rect">
                          <a:avLst/>
                        </a:prstGeom>
                        <a:noFill/>
                      </wps:spPr>
                      <wps:txbx>
                        <w:txbxContent>
                          <w:p w14:paraId="2528444C">
                            <w:pPr>
                              <w:pStyle w:val="15"/>
                              <w:keepNext/>
                              <w:keepLines/>
                              <w:widowControl w:val="0"/>
                              <w:shd w:val="clear" w:color="auto" w:fill="auto"/>
                              <w:bidi w:val="0"/>
                              <w:spacing w:before="0" w:after="0" w:line="240" w:lineRule="auto"/>
                              <w:ind w:left="0" w:right="0" w:firstLine="0"/>
                              <w:jc w:val="left"/>
                            </w:pPr>
                            <w:bookmarkStart w:id="237" w:name="bookmark56"/>
                            <w:bookmarkStart w:id="238" w:name="bookmark58"/>
                            <w:bookmarkStart w:id="239" w:name="bookmark57"/>
                            <w:r>
                              <w:rPr>
                                <w:color w:val="000000"/>
                                <w:spacing w:val="0"/>
                                <w:w w:val="100"/>
                                <w:position w:val="0"/>
                              </w:rPr>
                              <w:t>越权代表的效力认定</w:t>
                            </w:r>
                            <w:bookmarkEnd w:id="237"/>
                            <w:bookmarkEnd w:id="238"/>
                            <w:bookmarkEnd w:id="239"/>
                          </w:p>
                        </w:txbxContent>
                      </wps:txbx>
                      <wps:bodyPr wrap="none" lIns="0" tIns="0" rIns="0" bIns="0">
                        <a:noAutofit/>
                      </wps:bodyPr>
                    </wps:wsp>
                  </a:graphicData>
                </a:graphic>
              </wp:anchor>
            </w:drawing>
          </mc:Choice>
          <mc:Fallback>
            <w:pict>
              <v:shape id="Shape 125" o:spid="_x0000_s1026" o:spt="202" type="#_x0000_t202" style="position:absolute;left:0pt;margin-left:103.5pt;margin-top:11.3pt;height:18.6pt;width:143.75pt;mso-position-horizontal-relative:page;mso-wrap-distance-bottom:3pt;mso-wrap-distance-top:11.3pt;mso-wrap-style:none;z-index:251660288;mso-width-relative:page;mso-height-relative:page;" filled="f" stroked="f" coordsize="21600,21600" o:gfxdata="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G119dgA&#10;AAAJAQAADwAAAAAAAAABACAAAAAiAAAAZHJzL2Rvd25yZXYueG1sUEsBAhQAFAAAAAgAh07iQBMh&#10;XtmtAQAAdAMAAA4AAAAAAAAAAQAgAAAAJwEAAGRycy9lMm9Eb2MueG1sUEsFBgAAAAAGAAYAWQEA&#10;AEYFAAAAAA==&#10;">
                <v:fill on="f" focussize="0,0"/>
                <v:stroke on="f"/>
                <v:imagedata o:title=""/>
                <o:lock v:ext="edit" aspectratio="f"/>
                <v:textbox inset="0mm,0mm,0mm,0mm">
                  <w:txbxContent>
                    <w:p w14:paraId="2528444C">
                      <w:pPr>
                        <w:pStyle w:val="15"/>
                        <w:keepNext/>
                        <w:keepLines/>
                        <w:widowControl w:val="0"/>
                        <w:shd w:val="clear" w:color="auto" w:fill="auto"/>
                        <w:bidi w:val="0"/>
                        <w:spacing w:before="0" w:after="0" w:line="240" w:lineRule="auto"/>
                        <w:ind w:left="0" w:right="0" w:firstLine="0"/>
                        <w:jc w:val="left"/>
                      </w:pPr>
                      <w:bookmarkStart w:id="237" w:name="bookmark56"/>
                      <w:bookmarkStart w:id="238" w:name="bookmark58"/>
                      <w:bookmarkStart w:id="239" w:name="bookmark57"/>
                      <w:r>
                        <w:rPr>
                          <w:color w:val="000000"/>
                          <w:spacing w:val="0"/>
                          <w:w w:val="100"/>
                          <w:position w:val="0"/>
                        </w:rPr>
                        <w:t>越权代表的效力认定</w:t>
                      </w:r>
                      <w:bookmarkEnd w:id="237"/>
                      <w:bookmarkEnd w:id="238"/>
                      <w:bookmarkEnd w:id="239"/>
                    </w:p>
                  </w:txbxContent>
                </v:textbox>
                <w10:wrap type="topAndBottom"/>
              </v:shape>
            </w:pict>
          </mc:Fallback>
        </mc:AlternateContent>
      </w:r>
    </w:p>
    <w:p w14:paraId="0517A7BC">
      <w:pPr>
        <w:pStyle w:val="17"/>
        <w:keepNext w:val="0"/>
        <w:keepLines w:val="0"/>
        <w:widowControl w:val="0"/>
        <w:shd w:val="clear" w:color="auto" w:fill="auto"/>
        <w:bidi w:val="0"/>
        <w:spacing w:before="0" w:after="400" w:line="328" w:lineRule="exact"/>
        <w:ind w:left="1000" w:right="0" w:firstLine="0"/>
        <w:jc w:val="both"/>
      </w:pPr>
      <w:r>
        <w:drawing>
          <wp:anchor distT="0" distB="0" distL="114300" distR="114300" simplePos="0" relativeHeight="251660288" behindDoc="0" locked="0" layoutInCell="1" allowOverlap="1">
            <wp:simplePos x="0" y="0"/>
            <wp:positionH relativeFrom="page">
              <wp:posOffset>5142865</wp:posOffset>
            </wp:positionH>
            <wp:positionV relativeFrom="paragraph">
              <wp:posOffset>76200</wp:posOffset>
            </wp:positionV>
            <wp:extent cx="585470" cy="572770"/>
            <wp:effectExtent l="0" t="0" r="11430" b="11430"/>
            <wp:wrapSquare wrapText="left"/>
            <wp:docPr id="127" name="Shape 127"/>
            <wp:cNvGraphicFramePr/>
            <a:graphic xmlns:a="http://schemas.openxmlformats.org/drawingml/2006/main">
              <a:graphicData uri="http://schemas.openxmlformats.org/drawingml/2006/picture">
                <pic:pic xmlns:pic="http://schemas.openxmlformats.org/drawingml/2006/picture">
                  <pic:nvPicPr>
                    <pic:cNvPr id="127" name="Shape 127"/>
                    <pic:cNvPicPr/>
                  </pic:nvPicPr>
                  <pic:blipFill>
                    <a:blip r:embed="rId601"/>
                    <a:stretch>
                      <a:fillRect/>
                    </a:stretch>
                  </pic:blipFill>
                  <pic:spPr>
                    <a:xfrm>
                      <a:off x="0" y="0"/>
                      <a:ext cx="585470" cy="572770"/>
                    </a:xfrm>
                    <a:prstGeom prst="rect">
                      <a:avLst/>
                    </a:prstGeom>
                  </pic:spPr>
                </pic:pic>
              </a:graphicData>
            </a:graphic>
          </wp:anchor>
        </w:drawing>
      </w:r>
      <w:r>
        <w:rPr>
          <w:color w:val="000000"/>
          <w:spacing w:val="0"/>
          <w:w w:val="100"/>
          <w:position w:val="0"/>
        </w:rPr>
        <w:t>招商银行股份有限公司大连东港支行与大连振邦氟涂料股份有限 公司、大连振邦集团有限公司借款合同纠纷案丨《最高人民法院 公报》</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w:t>
      </w:r>
    </w:p>
    <w:p w14:paraId="19DCE965">
      <w:pPr>
        <w:pStyle w:val="29"/>
        <w:keepNext w:val="0"/>
        <w:keepLines w:val="0"/>
        <w:widowControl w:val="0"/>
        <w:shd w:val="clear" w:color="auto" w:fill="auto"/>
        <w:bidi w:val="0"/>
        <w:spacing w:before="0" w:after="1360" w:line="240" w:lineRule="auto"/>
        <w:ind w:left="0" w:right="0" w:firstLine="0"/>
        <w:jc w:val="right"/>
        <w:rPr>
          <w:sz w:val="11"/>
          <w:szCs w:val="11"/>
        </w:rPr>
      </w:pPr>
      <w:r>
        <w:rPr>
          <w:color w:val="000000"/>
          <w:spacing w:val="0"/>
          <w:w w:val="100"/>
          <w:position w:val="0"/>
          <w:sz w:val="18"/>
          <w:szCs w:val="18"/>
        </w:rPr>
        <w:t>吕成龙</w:t>
      </w:r>
      <w:r>
        <w:rPr>
          <w:color w:val="000000"/>
          <w:spacing w:val="0"/>
          <w:w w:val="100"/>
          <w:position w:val="0"/>
          <w:sz w:val="11"/>
          <w:szCs w:val="11"/>
        </w:rPr>
        <w:t>深圳大学法学院</w:t>
      </w:r>
    </w:p>
    <w:p w14:paraId="686D14DE">
      <w:pPr>
        <w:pStyle w:val="11"/>
        <w:keepNext w:val="0"/>
        <w:keepLines w:val="0"/>
        <w:widowControl w:val="0"/>
        <w:shd w:val="clear" w:color="auto" w:fill="auto"/>
        <w:bidi w:val="0"/>
        <w:spacing w:before="0" w:after="100"/>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16A6D19">
      <w:pPr>
        <w:pStyle w:val="17"/>
        <w:keepNext w:val="0"/>
        <w:keepLines w:val="0"/>
        <w:widowControl w:val="0"/>
        <w:shd w:val="clear" w:color="auto" w:fill="auto"/>
        <w:bidi w:val="0"/>
        <w:spacing w:before="0" w:after="0" w:line="340" w:lineRule="exact"/>
        <w:ind w:left="0" w:right="0"/>
        <w:jc w:val="both"/>
      </w:pP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日，招商银行股份有限公司大连东港支行（以下简称招行东港支行）与 大连振邦集团有限公司（以下简称振邦集团公司）签订借款合同。同日，招行东港支行与再 审被申请人大连振邦氟涂料股份有限公司（以下简称振邦股份公司）分别签订了两份《抵押 合同》，合同规定以振邦股份公司所有某国有土地使用权及其房产作抵押，此后，对上述土 地办理了抵押登记及房产抵押登记。</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日，振邦股份公司出具了《不可撤销担 保书》，承诺对上述贷款承担连带保证责任。贷款到期后，振邦集团公司未能偿还借款本 息，振邦股份公司也没有履行担保义务,招行东港支行提起诉讼要求振邦股份公司对上述 债务承担连带责任。另查,振邦股份公司《股东会担保决议》的决议事项未经股东会的同 意，振邦股份公司也未就此事召开过股东大会。大连市中级人民法院一审认为，因振邦股 份公司为其股东振邦集团公司提供担保必须经股东会决议通过，故该《股东会担保决议》系 无效决议，涉案《不可撤销担保书》应认定为无效。招行东港支行上诉后，辽宁省高级人民 法院驳回上诉，维持原判。</w:t>
      </w:r>
    </w:p>
    <w:p w14:paraId="5E39E81C">
      <w:pPr>
        <w:pStyle w:val="17"/>
        <w:keepNext w:val="0"/>
        <w:keepLines w:val="0"/>
        <w:widowControl w:val="0"/>
        <w:shd w:val="clear" w:color="auto" w:fill="auto"/>
        <w:bidi w:val="0"/>
        <w:spacing w:before="0" w:after="240" w:line="340" w:lineRule="exact"/>
        <w:ind w:left="0" w:right="0"/>
        <w:jc w:val="both"/>
        <w:sectPr>
          <w:headerReference r:id="rId62" w:type="default"/>
          <w:headerReference r:id="rId63" w:type="even"/>
          <w:footnotePr>
            <w:numFmt w:val="chicago"/>
          </w:footnotePr>
          <w:pgSz w:w="10099" w:h="14782"/>
          <w:pgMar w:top="1290" w:right="1041" w:bottom="1005" w:left="1063" w:header="862" w:footer="577" w:gutter="0"/>
          <w:pgNumType w:start="53"/>
          <w:cols w:space="720" w:num="1"/>
          <w:rtlGutter w:val="0"/>
          <w:docGrid w:linePitch="360" w:charSpace="0"/>
        </w:sectPr>
      </w:pPr>
      <w:r>
        <w:rPr>
          <w:color w:val="000000"/>
          <w:spacing w:val="0"/>
          <w:w w:val="100"/>
          <w:position w:val="0"/>
        </w:rPr>
        <w:t>招行东港支行向最高人民法院（以下简称最高院）申请再审，主要理由如下：（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）振邦股 份公司对外已向招行东港支行出具了《不可撤销担保书》，股东会决议是其公司内部管理问 题;</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招行东港支行作为善意第三人对《股东会担保决议》的形式审查仅限于</w:t>
      </w:r>
      <w:r>
        <w:rPr>
          <w:color w:val="000000"/>
          <w:spacing w:val="0"/>
          <w:w w:val="100"/>
          <w:position w:val="0"/>
          <w:lang w:val="zh-CN" w:eastAsia="zh-CN" w:bidi="zh-CN"/>
        </w:rPr>
        <w:t>“有</w:t>
      </w:r>
      <w:r>
        <w:rPr>
          <w:color w:val="000000"/>
          <w:spacing w:val="0"/>
          <w:w w:val="100"/>
          <w:position w:val="0"/>
        </w:rPr>
        <w:t>这份文 件</w:t>
      </w:r>
      <w:r>
        <w:rPr>
          <w:color w:val="000000"/>
          <w:spacing w:val="0"/>
          <w:w w:val="100"/>
          <w:position w:val="0"/>
          <w:lang w:val="zh-CN" w:eastAsia="zh-CN" w:bidi="zh-CN"/>
        </w:rPr>
        <w:t>”，并</w:t>
      </w:r>
      <w:r>
        <w:rPr>
          <w:color w:val="000000"/>
          <w:spacing w:val="0"/>
          <w:w w:val="100"/>
          <w:position w:val="0"/>
        </w:rPr>
        <w:t>没有对其真实性进行审査的义务和能力,招行东港支行不可能知道振邦股份公司的 保证和抵押合同是其内部管理人员未经过股东会决议越权签订的。振邦股份公司称，申请 人未尽合理审慎注意义务，股东会决议系伪造，担保未经股东会同意，因此，《抵押合同》《不 可撤销担保书》无效,招行东港支行对无效结果存在过错,振邦股份公司只应承担相应比例 的赔偿责任。</w:t>
      </w:r>
    </w:p>
    <w:p w14:paraId="7634E445">
      <w:pPr>
        <w:pStyle w:val="11"/>
        <w:keepNext w:val="0"/>
        <w:keepLines w:val="0"/>
        <w:widowControl w:val="0"/>
        <w:shd w:val="clear" w:color="auto" w:fill="auto"/>
        <w:bidi w:val="0"/>
        <w:spacing w:before="0" w:after="40" w:line="342"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34E1C43D">
      <w:pPr>
        <w:pStyle w:val="17"/>
        <w:keepNext w:val="0"/>
        <w:keepLines w:val="0"/>
        <w:widowControl w:val="0"/>
        <w:shd w:val="clear" w:color="auto" w:fill="auto"/>
        <w:bidi w:val="0"/>
        <w:spacing w:before="0" w:after="0" w:line="362" w:lineRule="exact"/>
        <w:ind w:left="0" w:right="0" w:firstLine="420"/>
        <w:jc w:val="both"/>
      </w:pPr>
      <w:r>
        <w:rPr>
          <w:color w:val="000000"/>
          <w:spacing w:val="0"/>
          <w:w w:val="100"/>
          <w:position w:val="0"/>
        </w:rPr>
        <w:t>撤销一审、二审判决关于担保合同无效的认定，改判振邦股份公司对振邦集团公司债 务承担连带担保责任。</w:t>
      </w:r>
    </w:p>
    <w:p w14:paraId="0F7FD1D0">
      <w:pPr>
        <w:pStyle w:val="17"/>
        <w:keepNext w:val="0"/>
        <w:keepLines w:val="0"/>
        <w:widowControl w:val="0"/>
        <w:shd w:val="clear" w:color="auto" w:fill="auto"/>
        <w:bidi w:val="0"/>
        <w:spacing w:before="0" w:after="360" w:line="348" w:lineRule="exact"/>
        <w:ind w:left="0" w:right="0" w:firstLine="420"/>
        <w:jc w:val="both"/>
      </w:pPr>
      <w:r>
        <w:rPr>
          <w:color w:val="000000"/>
          <w:spacing w:val="0"/>
          <w:w w:val="100"/>
          <w:position w:val="0"/>
        </w:rPr>
        <w:t>《公司法》第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“公司</w:t>
      </w:r>
      <w:r>
        <w:rPr>
          <w:color w:val="000000"/>
          <w:spacing w:val="0"/>
          <w:w w:val="100"/>
          <w:position w:val="0"/>
        </w:rPr>
        <w:t>为公司股东或者实际控制人提供担保的,必须经 股东会或者股东大会决议。</w:t>
      </w:r>
      <w:r>
        <w:rPr>
          <w:color w:val="000000"/>
          <w:spacing w:val="0"/>
          <w:w w:val="100"/>
          <w:position w:val="0"/>
          <w:lang w:val="zh-CN" w:eastAsia="zh-CN" w:bidi="zh-CN"/>
        </w:rPr>
        <w:t>”该条</w:t>
      </w:r>
      <w:r>
        <w:rPr>
          <w:color w:val="000000"/>
          <w:spacing w:val="0"/>
          <w:w w:val="100"/>
          <w:position w:val="0"/>
        </w:rPr>
        <w:t>款是关于公司内部控制管理的规定，不应以此作为评价合 同效力的依据。担保人抗辩认为其法定代表人订立抵押合同的行为超越代表权，债权人以 其对相关股东会决议履行了形式审查义务,主张担保人的法定代表人构成表见代表的,人 民法院应予支持。</w:t>
      </w:r>
    </w:p>
    <w:p w14:paraId="6F482711">
      <w:pPr>
        <w:pStyle w:val="11"/>
        <w:keepNext w:val="0"/>
        <w:keepLines w:val="0"/>
        <w:widowControl w:val="0"/>
        <w:shd w:val="clear" w:color="auto" w:fill="auto"/>
        <w:bidi w:val="0"/>
        <w:spacing w:before="0" w:after="120" w:line="342" w:lineRule="exact"/>
        <w:ind w:left="0" w:right="0" w:firstLine="0"/>
        <w:jc w:val="left"/>
      </w:pPr>
      <w:r>
        <w:rPr>
          <w:color w:val="000000"/>
          <w:spacing w:val="0"/>
          <w:w w:val="100"/>
          <w:position w:val="0"/>
        </w:rPr>
        <w:t>■评析</w:t>
      </w:r>
    </w:p>
    <w:p w14:paraId="7AB86FE1">
      <w:pPr>
        <w:pStyle w:val="17"/>
        <w:keepNext w:val="0"/>
        <w:keepLines w:val="0"/>
        <w:widowControl w:val="0"/>
        <w:shd w:val="clear" w:color="auto" w:fill="auto"/>
        <w:bidi w:val="0"/>
        <w:spacing w:before="0" w:after="120" w:line="342" w:lineRule="exact"/>
        <w:ind w:left="0" w:right="0" w:firstLine="0"/>
        <w:jc w:val="left"/>
      </w:pPr>
      <w:r>
        <w:rPr>
          <w:color w:val="000000"/>
          <w:spacing w:val="0"/>
          <w:w w:val="100"/>
          <w:position w:val="0"/>
        </w:rPr>
        <w:t>①本判决的思路和意义</w:t>
      </w:r>
    </w:p>
    <w:p w14:paraId="561B0DF9">
      <w:pPr>
        <w:pStyle w:val="17"/>
        <w:keepNext w:val="0"/>
        <w:keepLines w:val="0"/>
        <w:widowControl w:val="0"/>
        <w:shd w:val="clear" w:color="auto" w:fill="auto"/>
        <w:bidi w:val="0"/>
        <w:spacing w:before="0" w:after="180" w:line="340" w:lineRule="exact"/>
        <w:ind w:left="0" w:right="0" w:firstLine="420"/>
        <w:jc w:val="both"/>
      </w:pPr>
      <w:r>
        <w:rPr>
          <w:color w:val="000000"/>
          <w:spacing w:val="0"/>
          <w:w w:val="100"/>
          <w:position w:val="0"/>
        </w:rPr>
        <w:t>本案中，振邦股份公司以《股东会担保决议》未经股东会的同意且未就此事召开股东会 为由，主张案涉《不可撤销担保书》无效,但最高院并未釆纳该观点。最高院从两个层次展 开论理，其认为《公司法》第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条为管理性强制性规范，非《合同法》第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项下效力 性强制性规定，故不能据此认定《不可撤销担保书》无效。在此前提下，法定代表人超越权 限订立合同是否构成表见代表、相对人是否善意是责任认定的关键。具言之，只要相对人 已尽合理的审查义务，其主观上构成善意，则法定代表人的行为构成表见代表，由法人承担 相应责任。本案表明了最高院对越权代表效力认定的态度，尤其明确了相对人形式审查义 务的边界。</w:t>
      </w:r>
    </w:p>
    <w:p w14:paraId="277C1907">
      <w:pPr>
        <w:pStyle w:val="17"/>
        <w:keepNext w:val="0"/>
        <w:keepLines w:val="0"/>
        <w:widowControl w:val="0"/>
        <w:shd w:val="clear" w:color="auto" w:fill="auto"/>
        <w:bidi w:val="0"/>
        <w:spacing w:before="0" w:after="12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规范及学理</w:t>
      </w:r>
    </w:p>
    <w:p w14:paraId="25E32C02">
      <w:pPr>
        <w:pStyle w:val="17"/>
        <w:keepNext w:val="0"/>
        <w:keepLines w:val="0"/>
        <w:widowControl w:val="0"/>
        <w:shd w:val="clear" w:color="auto" w:fill="auto"/>
        <w:bidi w:val="0"/>
        <w:spacing w:before="0" w:after="0" w:line="342" w:lineRule="exact"/>
        <w:ind w:left="0" w:right="0" w:firstLine="420"/>
        <w:jc w:val="both"/>
        <w:sectPr>
          <w:headerReference r:id="rId64" w:type="default"/>
          <w:headerReference r:id="rId65" w:type="even"/>
          <w:footnotePr>
            <w:numFmt w:val="chicago"/>
          </w:footnotePr>
          <w:pgSz w:w="10099" w:h="14782"/>
          <w:pgMar w:top="1290" w:right="1041" w:bottom="1005" w:left="1063" w:header="0" w:footer="577" w:gutter="0"/>
          <w:pgNumType w:start="38"/>
          <w:cols w:space="720" w:num="1"/>
          <w:rtlGutter w:val="0"/>
          <w:docGrid w:linePitch="360" w:charSpace="0"/>
        </w:sectPr>
      </w:pPr>
      <w:r>
        <w:rPr>
          <w:color w:val="000000"/>
          <w:spacing w:val="0"/>
          <w:w w:val="100"/>
          <w:position w:val="0"/>
        </w:rPr>
        <w:t>在民事法律中，越权代表效力的规范最早见于原《民法通则》第</w:t>
      </w:r>
      <w:r>
        <w:rPr>
          <w:rFonts w:ascii="Times New Roman" w:hAnsi="Times New Roman" w:eastAsia="Times New Roman" w:cs="Times New Roman"/>
          <w:color w:val="000000"/>
          <w:spacing w:val="0"/>
          <w:w w:val="100"/>
          <w:position w:val="0"/>
          <w:sz w:val="19"/>
          <w:szCs w:val="19"/>
        </w:rPr>
        <w:t>43</w:t>
      </w:r>
      <w:r>
        <w:rPr>
          <w:color w:val="000000"/>
          <w:spacing w:val="0"/>
          <w:w w:val="100"/>
          <w:position w:val="0"/>
        </w:rPr>
        <w:t>条规定:</w:t>
      </w:r>
      <w:r>
        <w:rPr>
          <w:color w:val="000000"/>
          <w:spacing w:val="0"/>
          <w:w w:val="100"/>
          <w:position w:val="0"/>
          <w:lang w:val="zh-CN" w:eastAsia="zh-CN" w:bidi="zh-CN"/>
        </w:rPr>
        <w:t>“企</w:t>
      </w:r>
      <w:r>
        <w:rPr>
          <w:color w:val="000000"/>
          <w:spacing w:val="0"/>
          <w:w w:val="100"/>
          <w:position w:val="0"/>
        </w:rPr>
        <w:t>业法人 应对其法定代表人和其他工作人员的经营活动，承担民事责任。</w:t>
      </w:r>
      <w:r>
        <w:rPr>
          <w:color w:val="000000"/>
          <w:spacing w:val="0"/>
          <w:w w:val="100"/>
          <w:position w:val="0"/>
          <w:lang w:val="zh-CN" w:eastAsia="zh-CN" w:bidi="zh-CN"/>
        </w:rPr>
        <w:t>”但该</w:t>
      </w:r>
      <w:r>
        <w:rPr>
          <w:color w:val="000000"/>
          <w:spacing w:val="0"/>
          <w:w w:val="100"/>
          <w:position w:val="0"/>
        </w:rPr>
        <w:t>条忽视了交易安全, 且对其他组织的立法在归属规则上也存在不足（朱广新:《法定代表人的越权代表行为》，载《中外 法学》</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期）。在具体的民商事单行立法中</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1993</w:t>
      </w:r>
      <w:r>
        <w:rPr>
          <w:color w:val="000000"/>
          <w:spacing w:val="0"/>
          <w:w w:val="100"/>
          <w:position w:val="0"/>
        </w:rPr>
        <w:t>年《公司法》也未明确回答公司代 表的越权行为应否有效于公司的疑问（邹海林:《公司代表越权担保的制度逻辑解析——以公司法 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期）。</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年原《合同法》第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条规定了法人 或其他组织法定代表人、负责人超越权限订立合同时代表行为的效力，在一定程度上弥补 了原《民法通贝</w:t>
      </w:r>
      <w:r>
        <w:rPr>
          <w:rFonts w:ascii="Times New Roman" w:hAnsi="Times New Roman" w:eastAsia="Times New Roman" w:cs="Times New Roman"/>
          <w:color w:val="000000"/>
          <w:spacing w:val="0"/>
          <w:w w:val="100"/>
          <w:position w:val="0"/>
          <w:sz w:val="19"/>
          <w:szCs w:val="19"/>
        </w:rPr>
        <w:t>0</w:t>
      </w:r>
      <w:r>
        <w:rPr>
          <w:color w:val="000000"/>
          <w:spacing w:val="0"/>
          <w:w w:val="100"/>
          <w:position w:val="0"/>
        </w:rPr>
        <w:t>》的不足并确立了更具普遍适用性的规则，但其不仅在</w:t>
      </w:r>
      <w:r>
        <w:rPr>
          <w:color w:val="000000"/>
          <w:spacing w:val="0"/>
          <w:w w:val="100"/>
          <w:position w:val="0"/>
          <w:lang w:val="zh-CN" w:eastAsia="zh-CN" w:bidi="zh-CN"/>
        </w:rPr>
        <w:t>“超</w:t>
      </w:r>
      <w:r>
        <w:rPr>
          <w:color w:val="000000"/>
          <w:spacing w:val="0"/>
          <w:w w:val="100"/>
          <w:position w:val="0"/>
        </w:rPr>
        <w:t>越权限</w:t>
      </w:r>
      <w:r>
        <w:rPr>
          <w:color w:val="000000"/>
          <w:spacing w:val="0"/>
          <w:w w:val="100"/>
          <w:position w:val="0"/>
          <w:lang w:val="zh-CN" w:eastAsia="zh-CN" w:bidi="zh-CN"/>
        </w:rPr>
        <w:t>”“知</w:t>
      </w:r>
      <w:r>
        <w:rPr>
          <w:color w:val="000000"/>
          <w:spacing w:val="0"/>
          <w:w w:val="100"/>
          <w:position w:val="0"/>
        </w:rPr>
        <w:t>道或 者应当知道</w:t>
      </w:r>
      <w:r>
        <w:rPr>
          <w:color w:val="000000"/>
          <w:spacing w:val="0"/>
          <w:w w:val="100"/>
          <w:position w:val="0"/>
          <w:lang w:val="zh-CN" w:eastAsia="zh-CN" w:bidi="zh-CN"/>
        </w:rPr>
        <w:t>”的</w:t>
      </w:r>
      <w:r>
        <w:rPr>
          <w:color w:val="000000"/>
          <w:spacing w:val="0"/>
          <w:w w:val="100"/>
          <w:position w:val="0"/>
        </w:rPr>
        <w:t>判断上充满了争议,而且对相对人恶意时越权代表的效力也没有规定（朱广 新:《法定代表人的越权代表行为》，载《中外法学》</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期），特别在回答公司代表越权担保 这一特定疑问时帮助有限（邹海林:《公司代表越权担保的制度逻辑解析——以公司法第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期）。此后，尽管</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年最高人民法院《关于适用〈中华 人民共和国担保法〉若干问题的解释》［法释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号］（以下简称《担保法司法解释》） 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 xml:space="preserve">条就法人或者其他组织的法定代表人、负责人超越权限订立担保合同时代表行为的效 </w:t>
      </w:r>
    </w:p>
    <w:p w14:paraId="58467D1C">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力予以规定,但也仅属于原《合同法》第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504</w:t>
      </w:r>
      <w:r>
        <w:rPr>
          <w:color w:val="000000"/>
          <w:spacing w:val="0"/>
          <w:w w:val="100"/>
          <w:position w:val="0"/>
        </w:rPr>
        <w:t>条）的特定化,未能提供更为 明确的规范。</w:t>
      </w:r>
    </w:p>
    <w:p w14:paraId="748635A0">
      <w:pPr>
        <w:pStyle w:val="17"/>
        <w:keepNext w:val="0"/>
        <w:keepLines w:val="0"/>
        <w:widowControl w:val="0"/>
        <w:shd w:val="clear" w:color="auto" w:fill="auto"/>
        <w:bidi w:val="0"/>
        <w:spacing w:before="0" w:after="0" w:line="332" w:lineRule="exact"/>
        <w:ind w:left="0" w:right="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年修订的《公司法》第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条对公司为他人、为公司股东或者实际控制人提供担保 的情形进行了规定,但该条为不完全法条，其可与哪些法条配合构成完全法条仍然存有疑 问（高圣平等:《公司法定代表人越权担保效力判断的解释基础</w:t>
      </w:r>
      <w:r>
        <w:rPr>
          <w:color w:val="000000"/>
          <w:spacing w:val="0"/>
          <w:w w:val="100"/>
          <w:position w:val="0"/>
          <w:lang w:val="en-US" w:eastAsia="en-US" w:bidi="en-US"/>
        </w:rPr>
        <w:t>一一</w:t>
      </w:r>
      <w:r>
        <w:rPr>
          <w:color w:val="000000"/>
          <w:spacing w:val="0"/>
          <w:w w:val="100"/>
          <w:position w:val="0"/>
        </w:rPr>
        <w:t>基于最高人民法院裁判分歧的分析 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期）。换言之，当法定代表人未经公司机关决议而为他人、 公司股东或者实际控制人提供担保时，应当如何处理？司法实践中因对第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条的认识不 同,争议十分突出（梁上上:《公司担保合同的相对人审查义务》，载《法学》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期）。从最高 院的理解来看，就有规范性质识别进路、法定权限限制进路和内外关系区分进路三种模式， 三种模式下的法律适用逻辑和结果自然也不尽一致（高圣平等:《公司法定代表人越权担保效力 判断的解释基础——基于最高人民法院裁判分歧的分析和展开》，载《比较法研究》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不过,随着近年来研究的不断推进,对公司代表越权担保的私法效果归属与担保合同本身 的效力分属于两个不同问题，已达成了共识（梁上上:《公司担保合同的相对人审查义务》，载《法 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期；高圣平等:《公司法定代表人越权担保效力判断的解释基础</w:t>
      </w:r>
      <w:r>
        <w:rPr>
          <w:color w:val="000000"/>
          <w:spacing w:val="0"/>
          <w:w w:val="100"/>
          <w:position w:val="0"/>
          <w:lang w:val="en-US" w:eastAsia="en-US" w:bidi="en-US"/>
        </w:rPr>
        <w:t>一</w:t>
      </w:r>
      <w:r>
        <w:rPr>
          <w:color w:val="000000"/>
          <w:spacing w:val="0"/>
          <w:w w:val="100"/>
          <w:position w:val="0"/>
        </w:rPr>
        <w:t>基于最高人民法院 裁判分歧的分析和展开》，载《比较法研究》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期；邹海林:《公司代表越权担保的制度逻辑解 析——以公司法第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期），并且注意到代表权法定限 制与约定或议定的限制区别（朱广新:《法定代表人的越权代表行为》，载《中外法学》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3 </w:t>
      </w:r>
      <w:r>
        <w:rPr>
          <w:color w:val="000000"/>
          <w:spacing w:val="0"/>
          <w:w w:val="100"/>
          <w:position w:val="0"/>
        </w:rPr>
        <w:t>期；高圣平等:《公司法定代表人越权担保效力判断的解释基础</w:t>
      </w:r>
      <w:r>
        <w:rPr>
          <w:color w:val="000000"/>
          <w:spacing w:val="0"/>
          <w:w w:val="100"/>
          <w:position w:val="0"/>
          <w:lang w:val="en-US" w:eastAsia="en-US" w:bidi="en-US"/>
        </w:rPr>
        <w:t>一一</w:t>
      </w:r>
      <w:r>
        <w:rPr>
          <w:color w:val="000000"/>
          <w:spacing w:val="0"/>
          <w:w w:val="100"/>
          <w:position w:val="0"/>
        </w:rPr>
        <w:t>基于最高人民法院裁判分歧的分析 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期）。但是，对于相对人恶意时越权代表的效力，各界仍存 有不同观点,有观点认为越权代表行为与无权代理行为存在形式及逻辑上的相似性，应当 类推无权代理效力待定的规则（高圣平等:《公司法定代表人越权担保效力判断的解释基础——基 于最高人民法院裁判分歧的分析和展开》，载《比较法研究》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期；梁上上:《公司担保合同的相 对人审查义务》，载《法学》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期；朱广新：《法定代表人的越权代表行为》，载《中外法学》</w:t>
      </w:r>
      <w:r>
        <w:rPr>
          <w:rFonts w:ascii="Times New Roman" w:hAnsi="Times New Roman" w:eastAsia="Times New Roman" w:cs="Times New Roman"/>
          <w:color w:val="000000"/>
          <w:spacing w:val="0"/>
          <w:w w:val="100"/>
          <w:position w:val="0"/>
          <w:sz w:val="17"/>
          <w:szCs w:val="17"/>
        </w:rPr>
        <w:t xml:space="preserve">2012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期），也有观点认为此种情形不涉及无权代表或无权代理，公司代表越权担保归属于 公司，但公司在相对人恶意时拥有拒绝给付抗辩权（邹海林:《公司代表越权担保的制度逻辑解 析——以公司法第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8500468">
      <w:pPr>
        <w:pStyle w:val="17"/>
        <w:keepNext w:val="0"/>
        <w:keepLines w:val="0"/>
        <w:widowControl w:val="0"/>
        <w:shd w:val="clear" w:color="auto" w:fill="auto"/>
        <w:bidi w:val="0"/>
        <w:spacing w:before="0" w:after="160" w:line="332" w:lineRule="exact"/>
        <w:ind w:left="0" w:right="0"/>
        <w:jc w:val="both"/>
        <w:sectPr>
          <w:headerReference r:id="rId66" w:type="default"/>
          <w:headerReference r:id="rId67" w:type="even"/>
          <w:footnotePr>
            <w:numFmt w:val="chicago"/>
          </w:footnotePr>
          <w:pgSz w:w="10099" w:h="14782"/>
          <w:pgMar w:top="1290" w:right="1041" w:bottom="1005" w:left="1063" w:header="0" w:footer="577" w:gutter="0"/>
          <w:pgNumType w:start="55"/>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年《民法总则》通过之后，第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条）对先前《民法通则》的规定 作了较大的改变（《民法典》第</w:t>
      </w:r>
      <w:r>
        <w:rPr>
          <w:rFonts w:ascii="Times New Roman" w:hAnsi="Times New Roman" w:eastAsia="Times New Roman" w:cs="Times New Roman"/>
          <w:color w:val="000000"/>
          <w:spacing w:val="0"/>
          <w:w w:val="100"/>
          <w:position w:val="0"/>
          <w:sz w:val="17"/>
          <w:szCs w:val="17"/>
        </w:rPr>
        <w:t>61</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款规定越权代表之法律后果由法人承受，第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款专门强调法 人内部对法定代表人代表权的限制，不得对抗善意相对人），对此，《民法典》第</w:t>
      </w:r>
      <w:r>
        <w:rPr>
          <w:rFonts w:ascii="Times New Roman" w:hAnsi="Times New Roman" w:eastAsia="Times New Roman" w:cs="Times New Roman"/>
          <w:color w:val="000000"/>
          <w:spacing w:val="0"/>
          <w:w w:val="100"/>
          <w:position w:val="0"/>
          <w:sz w:val="19"/>
          <w:szCs w:val="19"/>
        </w:rPr>
        <w:t>504</w:t>
      </w:r>
      <w:r>
        <w:rPr>
          <w:color w:val="000000"/>
          <w:spacing w:val="0"/>
          <w:w w:val="100"/>
          <w:position w:val="0"/>
        </w:rPr>
        <w:t>条规定：</w:t>
      </w:r>
      <w:r>
        <w:rPr>
          <w:color w:val="000000"/>
          <w:spacing w:val="0"/>
          <w:w w:val="100"/>
          <w:position w:val="0"/>
          <w:lang w:val="zh-CN" w:eastAsia="zh-CN" w:bidi="zh-CN"/>
        </w:rPr>
        <w:t xml:space="preserve">“法人 </w:t>
      </w:r>
      <w:r>
        <w:rPr>
          <w:color w:val="000000"/>
          <w:spacing w:val="0"/>
          <w:w w:val="100"/>
          <w:position w:val="0"/>
        </w:rPr>
        <w:t>的法定代表人或者非法人组织的负责人超越权限订立的合同，除相对人知道或者应当知道 其超越权限外，该代表行为有效,订立的合同对法人或者非法人组织发生效力。”但《民法总 则》第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条）与《合同法》第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条的关系也出现了不同认识，有观点认为 《合同法》第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条已被《民法总则》第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款）完全取代（邹 海林:《公司代表越权担保的制度逻辑解析</w:t>
      </w:r>
      <w:r>
        <w:rPr>
          <w:color w:val="000000"/>
          <w:spacing w:val="0"/>
          <w:w w:val="100"/>
          <w:position w:val="0"/>
          <w:lang w:val="en-US" w:eastAsia="en-US" w:bidi="en-US"/>
        </w:rPr>
        <w:t>——</w:t>
      </w:r>
      <w:r>
        <w:rPr>
          <w:color w:val="000000"/>
          <w:spacing w:val="0"/>
          <w:w w:val="100"/>
          <w:position w:val="0"/>
        </w:rPr>
        <w:t>以公司法第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期），也有观点认为《合同法》第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条之代表权的法定限制不能被第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 xml:space="preserve">条（《民法典》第 </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条）所取代（高圣平等：《公司法定代表人越权担保效力判断的解释基础——基于最高人民法院裁 判分歧的分析和展开》，载《比较法研究》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xml:space="preserve">期；杨代雄:《公司为他人担保的效力》，载《吉林大 </w:t>
      </w:r>
    </w:p>
    <w:p w14:paraId="63B7A41E">
      <w:pPr>
        <w:pStyle w:val="17"/>
        <w:keepNext w:val="0"/>
        <w:keepLines w:val="0"/>
        <w:widowControl w:val="0"/>
        <w:shd w:val="clear" w:color="auto" w:fill="auto"/>
        <w:bidi w:val="0"/>
        <w:spacing w:before="0" w:after="160" w:line="332" w:lineRule="exact"/>
        <w:ind w:left="0" w:right="0" w:firstLine="0"/>
        <w:jc w:val="both"/>
      </w:pPr>
      <w:r>
        <w:rPr>
          <w:color w:val="000000"/>
          <w:spacing w:val="0"/>
          <w:w w:val="100"/>
          <w:position w:val="0"/>
        </w:rPr>
        <w:t>学社会科学学报》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期）。这两种不同的观点，自会影响法律的具体适用问题。值得 关注的是</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年《全国法院民商事审判工作会议纪要》在总结近年司法审判经验的基础 上，对越权代表提出了两点意见:一是强调违反《公司法》第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条构成越权代表，法院应根 据原《合同法》第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条区分债权人是否善意分别认定合同效力，债权人善意的，合同有效, 反之无效，这从最高司法裁判机关的角度回答了相对人恶意的合同效力问题;二是明确了 善意的认定标准，强调公司对股东或实际控制人提供担保的,债权人应当提供证据证明其 在订立合同时对股东（大）会决议进行了审查及并且决议符合法定表决程序规定。当然，债 权人对公司机关决议内容的审查一般限于形式审查，只要求尽到必要的注意义务即可，标 准不宜太过严苛。</w:t>
      </w:r>
    </w:p>
    <w:p w14:paraId="307BD599">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40318AD7">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在本判决之前，在法定代表人越权代表效力的裁判上，法院比较常见的做法是首先判 断《公司法》第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条属于管理性强制性规定抑或效力性强制性规定，从而评判担保合同的 效力。如在“中建材集团进出口公司诉北京大地恒通经贸有限公司等进出口代理合同纠纷 案"（《最高人民法院公报》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期）中，北京市咼级人民法院认为《公司法》第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条并非 效力性强制性规定,依据该条款认定担保合同无效不利于维护合同的稳定和交易的安全, 故公司对外仍应对善意第三人承担民事责任。在此基础上，法院再借助《合同法》第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 和《担保法司法解释》第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条规定对</w:t>
      </w:r>
      <w:r>
        <w:rPr>
          <w:color w:val="000000"/>
          <w:spacing w:val="0"/>
          <w:w w:val="100"/>
          <w:position w:val="0"/>
          <w:lang w:val="zh-CN" w:eastAsia="zh-CN" w:bidi="zh-CN"/>
        </w:rPr>
        <w:t>“善意”进</w:t>
      </w:r>
      <w:r>
        <w:rPr>
          <w:color w:val="000000"/>
          <w:spacing w:val="0"/>
          <w:w w:val="100"/>
          <w:position w:val="0"/>
        </w:rPr>
        <w:t>行判断，但其认定比较宽松，如法定代表人在 连带责任保证之《承诺函》上已签字,法院据此认为债权人已经尽到合理的审查义务。与此 同时，对不涉及公司担保的案件，法院往往会从法定代表人身份、合同相对人是否尽了合理 审查义务，也就是表见代表的角度，来判断越权代表的责任，如在</w:t>
      </w:r>
      <w:r>
        <w:rPr>
          <w:color w:val="000000"/>
          <w:spacing w:val="0"/>
          <w:w w:val="100"/>
          <w:position w:val="0"/>
          <w:lang w:val="zh-CN" w:eastAsia="zh-CN" w:bidi="zh-CN"/>
        </w:rPr>
        <w:t>“中</w:t>
      </w:r>
      <w:r>
        <w:rPr>
          <w:color w:val="000000"/>
          <w:spacing w:val="0"/>
          <w:w w:val="100"/>
          <w:position w:val="0"/>
        </w:rPr>
        <w:t>信银行股份有限公司 长沙晚报大厦支行与李某波借款合同纠纷再审案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21</w:t>
      </w:r>
      <w:r>
        <w:rPr>
          <w:color w:val="000000"/>
          <w:spacing w:val="0"/>
          <w:w w:val="100"/>
          <w:position w:val="0"/>
        </w:rPr>
        <w:t>号民事判 决书］中，法院认为蒋某飕代表阳光支行向李某波借款的行为，不能认定为超越其职务权限, 且不能因李某波具有银行工作和金融业务学习经历而否定其</w:t>
      </w:r>
      <w:r>
        <w:rPr>
          <w:color w:val="000000"/>
          <w:spacing w:val="0"/>
          <w:w w:val="100"/>
          <w:position w:val="0"/>
          <w:lang w:val="zh-CN" w:eastAsia="zh-CN" w:bidi="zh-CN"/>
        </w:rPr>
        <w:t>“善</w:t>
      </w:r>
      <w:r>
        <w:rPr>
          <w:color w:val="000000"/>
          <w:spacing w:val="0"/>
          <w:w w:val="100"/>
          <w:position w:val="0"/>
        </w:rPr>
        <w:t>意”，</w:t>
      </w:r>
      <w:r>
        <w:rPr>
          <w:color w:val="000000"/>
          <w:spacing w:val="0"/>
          <w:w w:val="100"/>
          <w:position w:val="0"/>
          <w:lang w:val="zh-CN" w:eastAsia="zh-CN" w:bidi="zh-CN"/>
        </w:rPr>
        <w:t>“合肥</w:t>
      </w:r>
      <w:r>
        <w:rPr>
          <w:color w:val="000000"/>
          <w:spacing w:val="0"/>
          <w:w w:val="100"/>
          <w:position w:val="0"/>
        </w:rPr>
        <w:t>市明利房地产 开发有限公司与甘某生等房屋买卖合同纠纷申请案”［最高人民法院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1714</w:t>
      </w:r>
      <w:r>
        <w:rPr>
          <w:color w:val="000000"/>
          <w:spacing w:val="0"/>
          <w:w w:val="100"/>
          <w:position w:val="0"/>
        </w:rPr>
        <w:t>号民 事裁定书］也是如此。</w:t>
      </w:r>
    </w:p>
    <w:p w14:paraId="685FB767">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6A8BC563">
      <w:pPr>
        <w:pStyle w:val="17"/>
        <w:keepNext w:val="0"/>
        <w:keepLines w:val="0"/>
        <w:widowControl w:val="0"/>
        <w:shd w:val="clear" w:color="auto" w:fill="auto"/>
        <w:bidi w:val="0"/>
        <w:spacing w:before="0" w:after="0" w:line="341" w:lineRule="exact"/>
        <w:ind w:left="0" w:right="0" w:firstLine="420"/>
        <w:jc w:val="both"/>
        <w:sectPr>
          <w:headerReference r:id="rId68" w:type="default"/>
          <w:headerReference r:id="rId69" w:type="even"/>
          <w:footnotePr>
            <w:numFmt w:val="chicago"/>
          </w:footnotePr>
          <w:pgSz w:w="10099" w:h="14782"/>
          <w:pgMar w:top="1290" w:right="1041" w:bottom="1005" w:left="1063" w:header="0" w:footer="577" w:gutter="0"/>
          <w:pgNumType w:start="40"/>
          <w:cols w:space="720" w:num="1"/>
          <w:rtlGutter w:val="0"/>
          <w:docGrid w:linePitch="360" w:charSpace="0"/>
        </w:sectPr>
      </w:pPr>
      <w:r>
        <w:rPr>
          <w:color w:val="000000"/>
          <w:spacing w:val="0"/>
          <w:w w:val="100"/>
          <w:position w:val="0"/>
        </w:rPr>
        <w:t>在本判决中，最高院表现出的立场是，对于违反《公司法》第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条规定的，原则上不宜 认定合同无效，但债权人要履行相应的形式审查义务，唯有如此，方可认定担保人的法定代 表人构成表见代表并以此承担责任。在该判决作出之后，《公司法》第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条的性质得到了 进一步确认，因而，相对人的形式审查义务成为法院审查的重点，尤其是在代表人权限存在 法定限制的情况下。申言之，法律一经公布并生效即对任何人产生效力，任何人不得以其 不知法律而提出免责或减责抗辩［江苏省高级人民法院（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苏民申</w:t>
      </w:r>
      <w:r>
        <w:rPr>
          <w:rFonts w:ascii="Times New Roman" w:hAnsi="Times New Roman" w:eastAsia="Times New Roman" w:cs="Times New Roman"/>
          <w:color w:val="000000"/>
          <w:spacing w:val="0"/>
          <w:w w:val="100"/>
          <w:position w:val="0"/>
          <w:sz w:val="17"/>
          <w:szCs w:val="17"/>
        </w:rPr>
        <w:t>2176</w:t>
      </w:r>
      <w:r>
        <w:rPr>
          <w:color w:val="000000"/>
          <w:spacing w:val="0"/>
          <w:w w:val="100"/>
          <w:position w:val="0"/>
        </w:rPr>
        <w:t>号民事裁定书］。因 而,法院一般认为《公司法》的规定具有公示作用，相对人应当知道公司为自己股东债务提 供担保需要经股东会决议,而若未能尽到基本的形式审查义务［最高人民法院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 xml:space="preserve">最高法民 </w:t>
      </w:r>
    </w:p>
    <w:p w14:paraId="7E13AD2B">
      <w:pPr>
        <w:pStyle w:val="17"/>
        <w:keepNext w:val="0"/>
        <w:keepLines w:val="0"/>
        <w:widowControl w:val="0"/>
        <w:shd w:val="clear" w:color="auto" w:fill="auto"/>
        <w:bidi w:val="0"/>
        <w:spacing w:before="0" w:after="0" w:line="341" w:lineRule="exact"/>
        <w:ind w:left="0" w:right="0" w:firstLine="0"/>
        <w:jc w:val="both"/>
      </w:pPr>
      <w:r>
        <w:rPr>
          <w:color w:val="000000"/>
          <w:spacing w:val="0"/>
          <w:w w:val="100"/>
          <w:position w:val="0"/>
        </w:rPr>
        <w:t>再</w:t>
      </w:r>
      <w:r>
        <w:rPr>
          <w:rFonts w:ascii="Times New Roman" w:hAnsi="Times New Roman" w:eastAsia="Times New Roman" w:cs="Times New Roman"/>
          <w:color w:val="000000"/>
          <w:spacing w:val="0"/>
          <w:w w:val="100"/>
          <w:position w:val="0"/>
          <w:sz w:val="17"/>
          <w:szCs w:val="17"/>
        </w:rPr>
        <w:t>258</w:t>
      </w:r>
      <w:r>
        <w:rPr>
          <w:color w:val="000000"/>
          <w:spacing w:val="0"/>
          <w:w w:val="100"/>
          <w:position w:val="0"/>
        </w:rPr>
        <w:t>号民事判决书等］,其不能被认定为善意第三人［最高人民法院(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1876</w:t>
      </w:r>
      <w:r>
        <w:rPr>
          <w:color w:val="000000"/>
          <w:spacing w:val="0"/>
          <w:w w:val="100"/>
          <w:position w:val="0"/>
        </w:rPr>
        <w:t>号民事 裁定书等］。同时，对于法定代表人代表公司签订其他协议的效力问题，法院尊重法定代表 人的权利，其有权代表公司参加民事活动［最高人民法院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313</w:t>
      </w:r>
      <w:r>
        <w:rPr>
          <w:color w:val="000000"/>
          <w:spacing w:val="0"/>
          <w:w w:val="100"/>
          <w:position w:val="0"/>
        </w:rPr>
        <w:t>号民事判决书 等］,但也会着重审查所涉事项是否有法定限制，如在一起公司股权及权益转让纠纷中，法院 认为以公司融资向周某支付股权对价的约定，将本应由陶某承担的义务转嫁至项目公司， 显然违反了《公司法》的规定，该案中法定代表人所签署的该协议对公司不生效力［最高人民 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259</w:t>
      </w:r>
      <w:r>
        <w:rPr>
          <w:color w:val="000000"/>
          <w:spacing w:val="0"/>
          <w:w w:val="100"/>
          <w:position w:val="0"/>
        </w:rPr>
        <w:t>号民事判决书］。反之，若无此法定限制，则承认其代表效力［最高人 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302</w:t>
      </w:r>
      <w:r>
        <w:rPr>
          <w:color w:val="000000"/>
          <w:spacing w:val="0"/>
          <w:w w:val="100"/>
          <w:position w:val="0"/>
        </w:rPr>
        <w:t>号民事判决书］。尤其值得一提的是,法院会根据相对人的身份及 专业能力来判断其是否为善意，如为专业担保公司、银行或商事主体,则强调其应尽到更为 谨慎的审查义务［最高人民法院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2633</w:t>
      </w:r>
      <w:r>
        <w:rPr>
          <w:color w:val="000000"/>
          <w:spacing w:val="0"/>
          <w:w w:val="100"/>
          <w:position w:val="0"/>
        </w:rPr>
        <w:t>号民事裁定书等］，若是一般人，只要尽到 相应审查义务即可［最高人民法院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1242</w:t>
      </w:r>
      <w:r>
        <w:rPr>
          <w:color w:val="000000"/>
          <w:spacing w:val="0"/>
          <w:w w:val="100"/>
          <w:position w:val="0"/>
        </w:rPr>
        <w:t>号民事裁定书］。</w:t>
      </w:r>
    </w:p>
    <w:p w14:paraId="0C1F5BAA">
      <w:pPr>
        <w:pStyle w:val="17"/>
        <w:keepNext w:val="0"/>
        <w:keepLines w:val="0"/>
        <w:widowControl w:val="0"/>
        <w:shd w:val="clear" w:color="auto" w:fill="auto"/>
        <w:bidi w:val="0"/>
        <w:spacing w:before="0" w:after="360" w:line="336" w:lineRule="exact"/>
        <w:ind w:left="0" w:right="0" w:firstLine="420"/>
        <w:jc w:val="both"/>
      </w:pPr>
      <w:r>
        <w:rPr>
          <w:color w:val="000000"/>
          <w:spacing w:val="0"/>
          <w:w w:val="100"/>
          <w:position w:val="0"/>
        </w:rPr>
        <w:t>遗憾的是，在以公司担保为代表的各类越权代表行为效力案件中，法院的实际做法、学 术界的观点目前仍见仁见智，最高院及学术界直至</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年年底尚对此存有争议(贺小荣主 编:《最高人民法院民事审判第二庭法官会议纪要》，人民法院出版社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年版;高圣平等：《公司法定 代表人越权担保效力判断的解释基础——基于最高人民法院裁判分歧的分析和展开》，载《比较法研 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期；邹海林:《公司代表越权担保的制度逻辑解析——以公司法第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款为中心》， 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期)。在司法实务中，有法官认为因法律没有规定相对人应如何审查 股东会决议，又鉴于实践中通常也流于形式，第三人无义务审查是否已召开股东会［最高人 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最高法民申字</w:t>
      </w:r>
      <w:r>
        <w:rPr>
          <w:rFonts w:ascii="Times New Roman" w:hAnsi="Times New Roman" w:eastAsia="Times New Roman" w:cs="Times New Roman"/>
          <w:color w:val="000000"/>
          <w:spacing w:val="0"/>
          <w:w w:val="100"/>
          <w:position w:val="0"/>
          <w:sz w:val="17"/>
          <w:szCs w:val="17"/>
        </w:rPr>
        <w:t>1006</w:t>
      </w:r>
      <w:r>
        <w:rPr>
          <w:color w:val="000000"/>
          <w:spacing w:val="0"/>
          <w:w w:val="100"/>
          <w:position w:val="0"/>
        </w:rPr>
        <w:t>号民事裁定书等］,法定代表人持公司公章签署《确认书》为其 个人债务提供担保等可构成表见代表［最高人民法院(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109</w:t>
      </w:r>
      <w:r>
        <w:rPr>
          <w:color w:val="000000"/>
          <w:spacing w:val="0"/>
          <w:w w:val="100"/>
          <w:position w:val="0"/>
        </w:rPr>
        <w:t>号民事判决书］，即 内部决策程序并不当然约束第三人［最高人民法院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607</w:t>
      </w:r>
      <w:r>
        <w:rPr>
          <w:color w:val="000000"/>
          <w:spacing w:val="0"/>
          <w:w w:val="100"/>
          <w:position w:val="0"/>
        </w:rPr>
        <w:t>号民事裁定书］。此 外,也有法官鉴于《公司法》第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条非为效力性强制性规定,而推论担保合同有效［最高人民 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179</w:t>
      </w:r>
      <w:r>
        <w:rPr>
          <w:color w:val="000000"/>
          <w:spacing w:val="0"/>
          <w:w w:val="100"/>
          <w:position w:val="0"/>
        </w:rPr>
        <w:t>号民事裁定书］,并认为法定代表人越权行为应当通过内部追责程 序解决［最高人民法院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2538</w:t>
      </w:r>
      <w:r>
        <w:rPr>
          <w:color w:val="000000"/>
          <w:spacing w:val="0"/>
          <w:w w:val="100"/>
          <w:position w:val="0"/>
        </w:rPr>
        <w:t>号民事裁定书］，不一而足。因此，在</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年《全国 法院民商事审判工作会议纪要》发布之后，各地法院究竟如何处理越权代表案件，值得继续 观察。</w:t>
      </w:r>
    </w:p>
    <w:p w14:paraId="1827AC4F">
      <w:pPr>
        <w:pStyle w:val="11"/>
        <w:keepNext w:val="0"/>
        <w:keepLines w:val="0"/>
        <w:widowControl w:val="0"/>
        <w:shd w:val="clear" w:color="auto" w:fill="auto"/>
        <w:bidi w:val="0"/>
        <w:spacing w:before="0" w:after="60" w:line="336" w:lineRule="exact"/>
        <w:ind w:left="0" w:right="0" w:firstLine="0"/>
        <w:jc w:val="both"/>
      </w:pPr>
      <w:r>
        <w:rPr>
          <w:color w:val="000000"/>
          <w:spacing w:val="0"/>
          <w:w w:val="100"/>
          <w:position w:val="0"/>
        </w:rPr>
        <w:t>同参考文献</w:t>
      </w:r>
    </w:p>
    <w:p w14:paraId="264D9055">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朱广新:《法定代表人的越权代表行为》，载《中外法学》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18A8FE4">
      <w:pPr>
        <w:pStyle w:val="17"/>
        <w:keepNext w:val="0"/>
        <w:keepLines w:val="0"/>
        <w:widowControl w:val="0"/>
        <w:shd w:val="clear" w:color="auto" w:fill="auto"/>
        <w:bidi w:val="0"/>
        <w:spacing w:before="0" w:after="0" w:line="314" w:lineRule="exact"/>
        <w:ind w:left="200" w:right="0" w:hanging="200"/>
        <w:jc w:val="both"/>
      </w:pPr>
      <w:r>
        <w:rPr>
          <w:color w:val="000000"/>
          <w:spacing w:val="0"/>
          <w:w w:val="100"/>
          <w:position w:val="0"/>
        </w:rPr>
        <w:t>邹海林:《公司代表越权担保的制度逻辑解析——以公司法第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款为中心》，载《法学研究》</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7FC607B">
      <w:pPr>
        <w:pStyle w:val="17"/>
        <w:keepNext w:val="0"/>
        <w:keepLines w:val="0"/>
        <w:widowControl w:val="0"/>
        <w:shd w:val="clear" w:color="auto" w:fill="auto"/>
        <w:bidi w:val="0"/>
        <w:spacing w:before="0" w:after="0" w:line="302" w:lineRule="exact"/>
        <w:ind w:left="200" w:right="0" w:hanging="200"/>
        <w:jc w:val="both"/>
      </w:pPr>
      <w:r>
        <w:rPr>
          <w:color w:val="000000"/>
          <w:spacing w:val="0"/>
          <w:w w:val="100"/>
          <w:position w:val="0"/>
        </w:rPr>
        <w:t>高圣平等：《公司法定代表人越权担保效力判断的解释基础——基于最高人民法院裁判分歧的分析和 展开》，载《比较法研究》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3E35ED8">
      <w:pPr>
        <w:pStyle w:val="17"/>
        <w:keepNext w:val="0"/>
        <w:keepLines w:val="0"/>
        <w:widowControl w:val="0"/>
        <w:shd w:val="clear" w:color="auto" w:fill="auto"/>
        <w:bidi w:val="0"/>
        <w:spacing w:before="0" w:after="0" w:line="302" w:lineRule="exact"/>
        <w:ind w:left="0" w:right="0" w:firstLine="0"/>
        <w:jc w:val="both"/>
      </w:pPr>
      <w:r>
        <w:rPr>
          <w:color w:val="000000"/>
          <w:spacing w:val="0"/>
          <w:w w:val="100"/>
          <w:position w:val="0"/>
        </w:rPr>
        <w:t>梁上上:《公司担保合同的相对人审查义务》，载《法学》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FEDD71A">
      <w:pPr>
        <w:pStyle w:val="17"/>
        <w:keepNext w:val="0"/>
        <w:keepLines w:val="0"/>
        <w:widowControl w:val="0"/>
        <w:shd w:val="clear" w:color="auto" w:fill="auto"/>
        <w:bidi w:val="0"/>
        <w:spacing w:before="0" w:after="0" w:line="302" w:lineRule="exact"/>
        <w:ind w:left="0" w:right="0" w:firstLine="0"/>
        <w:jc w:val="both"/>
      </w:pPr>
      <w:r>
        <w:rPr>
          <w:color w:val="000000"/>
          <w:spacing w:val="0"/>
          <w:w w:val="100"/>
          <w:position w:val="0"/>
        </w:rPr>
        <w:t>杨代雄:《公司为他人担保的效力》，载《吉林大学社会科学学报》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r>
        <w:br w:type="page"/>
      </w:r>
    </w:p>
    <w:p w14:paraId="233731D5">
      <w:pPr>
        <w:pStyle w:val="17"/>
        <w:keepNext w:val="0"/>
        <w:keepLines w:val="0"/>
        <w:widowControl w:val="0"/>
        <w:shd w:val="clear" w:color="auto" w:fill="auto"/>
        <w:bidi w:val="0"/>
        <w:spacing w:before="0" w:after="380" w:line="312" w:lineRule="exact"/>
        <w:ind w:left="1000" w:right="0" w:firstLine="0"/>
        <w:jc w:val="left"/>
      </w:pPr>
      <w:r>
        <w:drawing>
          <wp:anchor distT="0" distB="0" distL="114300" distR="2668270" simplePos="0" relativeHeight="251660288" behindDoc="0" locked="0" layoutInCell="1" allowOverlap="1">
            <wp:simplePos x="0" y="0"/>
            <wp:positionH relativeFrom="page">
              <wp:posOffset>697865</wp:posOffset>
            </wp:positionH>
            <wp:positionV relativeFrom="margin">
              <wp:posOffset>95250</wp:posOffset>
            </wp:positionV>
            <wp:extent cx="481330" cy="408305"/>
            <wp:effectExtent l="0" t="0" r="1270" b="10795"/>
            <wp:wrapTopAndBottom/>
            <wp:docPr id="141" name="Shape 141"/>
            <wp:cNvGraphicFramePr/>
            <a:graphic xmlns:a="http://schemas.openxmlformats.org/drawingml/2006/main">
              <a:graphicData uri="http://schemas.openxmlformats.org/drawingml/2006/picture">
                <pic:pic xmlns:pic="http://schemas.openxmlformats.org/drawingml/2006/picture">
                  <pic:nvPicPr>
                    <pic:cNvPr id="141" name="Shape 141"/>
                    <pic:cNvPicPr/>
                  </pic:nvPicPr>
                  <pic:blipFill>
                    <a:blip r:embed="rId602"/>
                    <a:stretch>
                      <a:fillRect/>
                    </a:stretch>
                  </pic:blipFill>
                  <pic:spPr>
                    <a:xfrm>
                      <a:off x="0" y="0"/>
                      <a:ext cx="481330" cy="408305"/>
                    </a:xfrm>
                    <a:prstGeom prst="rect">
                      <a:avLst/>
                    </a:prstGeom>
                  </pic:spPr>
                </pic:pic>
              </a:graphicData>
            </a:graphic>
          </wp:anchor>
        </w:drawing>
      </w:r>
      <w:r>
        <mc:AlternateContent>
          <mc:Choice Requires="wps">
            <w:drawing>
              <wp:anchor distT="128270" distB="42545" distL="723900" distR="114300" simplePos="0" relativeHeight="251660288" behindDoc="0" locked="0" layoutInCell="1" allowOverlap="1">
                <wp:simplePos x="0" y="0"/>
                <wp:positionH relativeFrom="page">
                  <wp:posOffset>1307465</wp:posOffset>
                </wp:positionH>
                <wp:positionV relativeFrom="margin">
                  <wp:posOffset>223520</wp:posOffset>
                </wp:positionV>
                <wp:extent cx="2423160" cy="237490"/>
                <wp:effectExtent l="0" t="0" r="0" b="0"/>
                <wp:wrapTopAndBottom/>
                <wp:docPr id="143" name="Shape 143"/>
                <wp:cNvGraphicFramePr/>
                <a:graphic xmlns:a="http://schemas.openxmlformats.org/drawingml/2006/main">
                  <a:graphicData uri="http://schemas.microsoft.com/office/word/2010/wordprocessingShape">
                    <wps:wsp>
                      <wps:cNvSpPr txBox="1"/>
                      <wps:spPr>
                        <a:xfrm>
                          <a:off x="0" y="0"/>
                          <a:ext cx="2423160" cy="237490"/>
                        </a:xfrm>
                        <a:prstGeom prst="rect">
                          <a:avLst/>
                        </a:prstGeom>
                        <a:noFill/>
                      </wps:spPr>
                      <wps:txbx>
                        <w:txbxContent>
                          <w:p w14:paraId="3A5B5CC6">
                            <w:pPr>
                              <w:pStyle w:val="15"/>
                              <w:keepNext/>
                              <w:keepLines/>
                              <w:widowControl w:val="0"/>
                              <w:shd w:val="clear" w:color="auto" w:fill="auto"/>
                              <w:bidi w:val="0"/>
                              <w:spacing w:before="0" w:after="0" w:line="240" w:lineRule="auto"/>
                              <w:ind w:left="0" w:right="0" w:firstLine="0"/>
                              <w:jc w:val="left"/>
                            </w:pPr>
                            <w:bookmarkStart w:id="240" w:name="bookmark59"/>
                            <w:bookmarkStart w:id="241" w:name="bookmark60"/>
                            <w:bookmarkStart w:id="242" w:name="bookmark61"/>
                            <w:r>
                              <w:rPr>
                                <w:color w:val="000000"/>
                                <w:spacing w:val="0"/>
                                <w:w w:val="100"/>
                                <w:position w:val="0"/>
                              </w:rPr>
                              <w:t>有限公司清算义务人的界定</w:t>
                            </w:r>
                            <w:bookmarkEnd w:id="240"/>
                            <w:bookmarkEnd w:id="241"/>
                            <w:bookmarkEnd w:id="242"/>
                          </w:p>
                        </w:txbxContent>
                      </wps:txbx>
                      <wps:bodyPr wrap="none" lIns="0" tIns="0" rIns="0" bIns="0">
                        <a:noAutofit/>
                      </wps:bodyPr>
                    </wps:wsp>
                  </a:graphicData>
                </a:graphic>
              </wp:anchor>
            </w:drawing>
          </mc:Choice>
          <mc:Fallback>
            <w:pict>
              <v:shape id="Shape 143" o:spid="_x0000_s1026" o:spt="202" type="#_x0000_t202" style="position:absolute;left:0pt;margin-left:102.95pt;margin-top:17.6pt;height:18.7pt;width:190.8pt;mso-position-horizontal-relative:page;mso-position-vertical-relative:margin;mso-wrap-distance-bottom:3.35pt;mso-wrap-distance-top:10.1pt;mso-wrap-style:none;z-index:251660288;mso-width-relative:page;mso-height-relative:page;" filled="f" stroked="f" coordsize="21600,21600" o:gfxdata="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i7qFfX&#10;AAAACQEAAA8AAAAAAAAAAQAgAAAAIgAAAGRycy9kb3ducmV2LnhtbFBLAQIUABQAAAAIAIdO4kCX&#10;s0mYrwEAAHQDAAAOAAAAAAAAAAEAIAAAACYBAABkcnMvZTJvRG9jLnhtbFBLBQYAAAAABgAGAFkB&#10;AABHBQAAAAA=&#10;">
                <v:fill on="f" focussize="0,0"/>
                <v:stroke on="f"/>
                <v:imagedata o:title=""/>
                <o:lock v:ext="edit" aspectratio="f"/>
                <v:textbox inset="0mm,0mm,0mm,0mm">
                  <w:txbxContent>
                    <w:p w14:paraId="3A5B5CC6">
                      <w:pPr>
                        <w:pStyle w:val="15"/>
                        <w:keepNext/>
                        <w:keepLines/>
                        <w:widowControl w:val="0"/>
                        <w:shd w:val="clear" w:color="auto" w:fill="auto"/>
                        <w:bidi w:val="0"/>
                        <w:spacing w:before="0" w:after="0" w:line="240" w:lineRule="auto"/>
                        <w:ind w:left="0" w:right="0" w:firstLine="0"/>
                        <w:jc w:val="left"/>
                      </w:pPr>
                      <w:bookmarkStart w:id="240" w:name="bookmark59"/>
                      <w:bookmarkStart w:id="241" w:name="bookmark60"/>
                      <w:bookmarkStart w:id="242" w:name="bookmark61"/>
                      <w:r>
                        <w:rPr>
                          <w:color w:val="000000"/>
                          <w:spacing w:val="0"/>
                          <w:w w:val="100"/>
                          <w:position w:val="0"/>
                        </w:rPr>
                        <w:t>有限公司清算义务人的界定</w:t>
                      </w:r>
                      <w:bookmarkEnd w:id="240"/>
                      <w:bookmarkEnd w:id="241"/>
                      <w:bookmarkEnd w:id="242"/>
                    </w:p>
                  </w:txbxContent>
                </v:textbox>
                <w10:wrap type="topAndBottom"/>
              </v:shape>
            </w:pict>
          </mc:Fallback>
        </mc:AlternateContent>
      </w:r>
      <w:r>
        <w:rPr>
          <w:color w:val="000000"/>
          <w:spacing w:val="0"/>
          <w:w w:val="100"/>
          <w:position w:val="0"/>
        </w:rPr>
        <w:t>上海存亮贸易有限公司诉蒋志东、王卫明等买卖合同纠纷案丨最 高人民法院第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号指导性案例</w:t>
      </w:r>
    </w:p>
    <w:p w14:paraId="6596BB14">
      <w:pPr>
        <w:pStyle w:val="29"/>
        <w:keepNext w:val="0"/>
        <w:keepLines w:val="0"/>
        <w:widowControl w:val="0"/>
        <w:shd w:val="clear" w:color="auto" w:fill="auto"/>
        <w:bidi w:val="0"/>
        <w:spacing w:before="0" w:after="1380" w:line="240" w:lineRule="auto"/>
        <w:ind w:left="0" w:right="0" w:firstLine="0"/>
        <w:jc w:val="right"/>
        <w:rPr>
          <w:sz w:val="11"/>
          <w:szCs w:val="11"/>
        </w:rPr>
      </w:pPr>
      <w:r>
        <w:drawing>
          <wp:anchor distT="0" distB="0" distL="114300" distR="114300" simplePos="0" relativeHeight="251660288" behindDoc="0" locked="0" layoutInCell="1" allowOverlap="1">
            <wp:simplePos x="0" y="0"/>
            <wp:positionH relativeFrom="page">
              <wp:posOffset>5139055</wp:posOffset>
            </wp:positionH>
            <wp:positionV relativeFrom="margin">
              <wp:posOffset>372745</wp:posOffset>
            </wp:positionV>
            <wp:extent cx="585470" cy="579120"/>
            <wp:effectExtent l="0" t="0" r="11430" b="5080"/>
            <wp:wrapSquare wrapText="left"/>
            <wp:docPr id="145" name="Shape 145"/>
            <wp:cNvGraphicFramePr/>
            <a:graphic xmlns:a="http://schemas.openxmlformats.org/drawingml/2006/main">
              <a:graphicData uri="http://schemas.openxmlformats.org/drawingml/2006/picture">
                <pic:pic xmlns:pic="http://schemas.openxmlformats.org/drawingml/2006/picture">
                  <pic:nvPicPr>
                    <pic:cNvPr id="145" name="Shape 145"/>
                    <pic:cNvPicPr/>
                  </pic:nvPicPr>
                  <pic:blipFill>
                    <a:blip r:embed="rId603"/>
                    <a:stretch>
                      <a:fillRect/>
                    </a:stretch>
                  </pic:blipFill>
                  <pic:spPr>
                    <a:xfrm>
                      <a:off x="0" y="0"/>
                      <a:ext cx="585470" cy="579120"/>
                    </a:xfrm>
                    <a:prstGeom prst="rect">
                      <a:avLst/>
                    </a:prstGeom>
                  </pic:spPr>
                </pic:pic>
              </a:graphicData>
            </a:graphic>
          </wp:anchor>
        </w:drawing>
      </w:r>
      <w:r>
        <w:rPr>
          <w:color w:val="000000"/>
          <w:spacing w:val="0"/>
          <w:w w:val="100"/>
          <w:position w:val="0"/>
          <w:sz w:val="18"/>
          <w:szCs w:val="18"/>
        </w:rPr>
        <w:t>马俊彦</w:t>
      </w:r>
      <w:r>
        <w:rPr>
          <w:color w:val="000000"/>
          <w:spacing w:val="0"/>
          <w:w w:val="100"/>
          <w:position w:val="0"/>
          <w:sz w:val="11"/>
          <w:szCs w:val="11"/>
        </w:rPr>
        <w:t>宁波大学法学院、宁波大学东海研究院</w:t>
      </w:r>
    </w:p>
    <w:p w14:paraId="1052FD24">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5476496B">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月，上海存亮贸易有限公司（以下简称存亮公司）与常州拓恒机械设备有限公 司（以下简称拓恒公司）建立钢材买卖合同关系。存亮公司履行供货义务后,拓恒公司支付 了部分货款，但尚欠货款</w:t>
      </w:r>
      <w:r>
        <w:rPr>
          <w:rFonts w:ascii="Times New Roman" w:hAnsi="Times New Roman" w:eastAsia="Times New Roman" w:cs="Times New Roman"/>
          <w:color w:val="000000"/>
          <w:spacing w:val="0"/>
          <w:w w:val="100"/>
          <w:position w:val="0"/>
          <w:sz w:val="19"/>
          <w:szCs w:val="19"/>
        </w:rPr>
        <w:t>139</w:t>
      </w:r>
      <w:r>
        <w:rPr>
          <w:color w:val="000000"/>
          <w:spacing w:val="0"/>
          <w:w w:val="100"/>
          <w:position w:val="0"/>
        </w:rPr>
        <w:t>万余元。房恒福、蒋志东和王卫明为拓恒公司的股东,所占股 份分别为</w:t>
      </w:r>
      <w:r>
        <w:rPr>
          <w:rFonts w:ascii="Times New Roman" w:hAnsi="Times New Roman" w:eastAsia="Times New Roman" w:cs="Times New Roman"/>
          <w:color w:val="000000"/>
          <w:spacing w:val="0"/>
          <w:w w:val="100"/>
          <w:position w:val="0"/>
          <w:sz w:val="19"/>
          <w:szCs w:val="19"/>
        </w:rPr>
        <w:t>40% .30% .30%</w:t>
      </w:r>
      <w:r>
        <w:rPr>
          <w:i/>
          <w:iCs/>
          <w:color w:val="000000"/>
          <w:spacing w:val="0"/>
          <w:w w:val="100"/>
          <w:position w:val="0"/>
          <w:sz w:val="22"/>
          <w:szCs w:val="22"/>
        </w:rPr>
        <w:t>。</w:t>
      </w:r>
      <w:r>
        <w:rPr>
          <w:color w:val="000000"/>
          <w:spacing w:val="0"/>
          <w:w w:val="100"/>
          <w:position w:val="0"/>
        </w:rPr>
        <w:t>拓恒公司因未进行年检被工商机关吊销营业执照，至今股东未 组织清算。存亮公司诉称:因房恒福、蒋志东和王卫明怠于履行清算义务，导致公司财产流 失、灭失,存亮公司的债权得不到清偿。为此,拓恒公司需承担付款责任和违约责任,房恒 福、蒋志东和王卫明对此应承担连带责任。</w:t>
      </w:r>
    </w:p>
    <w:p w14:paraId="4DD3B803">
      <w:pPr>
        <w:pStyle w:val="17"/>
        <w:keepNext w:val="0"/>
        <w:keepLines w:val="0"/>
        <w:widowControl w:val="0"/>
        <w:shd w:val="clear" w:color="auto" w:fill="auto"/>
        <w:bidi w:val="0"/>
        <w:spacing w:before="0" w:after="380" w:line="342" w:lineRule="exact"/>
        <w:ind w:left="0" w:right="0" w:firstLine="420"/>
        <w:jc w:val="both"/>
      </w:pPr>
      <w:r>
        <w:rPr>
          <w:color w:val="000000"/>
          <w:spacing w:val="0"/>
          <w:w w:val="100"/>
          <w:position w:val="0"/>
        </w:rPr>
        <w:t>上海市松江区人民法院认为，存亮公司按约供货后,拓恒公司未能按约付清货款，应当 承担相应的付款责任及违约责任。房恒福、蒋志东和王卫明作为拓恒公司的股东,理应在 拓恒公司被吊销营业执照后及时组织清算。因房恒福、蒋志东和王卫明怠于履行清算义 务，导致拓恒公司的主要财产、账册等均已灭失,无法进行清算，违反了公司法及其司法解 释的相关规定，应当对拓恒公司的债务承担连带清偿责任。蒋志东、王卫明不服一审判决, 提起上诉。上海市第一中级人民法院判决驳回上诉，维持原判。</w:t>
      </w:r>
    </w:p>
    <w:p w14:paraId="37A46D51">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6025AB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驳回上诉，维持原判。</w:t>
      </w:r>
    </w:p>
    <w:p w14:paraId="5DA91489">
      <w:pPr>
        <w:pStyle w:val="17"/>
        <w:keepNext w:val="0"/>
        <w:keepLines w:val="0"/>
        <w:widowControl w:val="0"/>
        <w:shd w:val="clear" w:color="auto" w:fill="auto"/>
        <w:bidi w:val="0"/>
        <w:spacing w:before="0" w:after="380" w:line="341" w:lineRule="exact"/>
        <w:ind w:left="0" w:right="0" w:firstLine="420"/>
        <w:jc w:val="both"/>
        <w:sectPr>
          <w:headerReference r:id="rId72" w:type="first"/>
          <w:headerReference r:id="rId70" w:type="default"/>
          <w:headerReference r:id="rId71" w:type="even"/>
          <w:footnotePr>
            <w:numFmt w:val="chicago"/>
          </w:footnotePr>
          <w:pgSz w:w="10099" w:h="14782"/>
          <w:pgMar w:top="1290" w:right="1041" w:bottom="1005" w:left="1063" w:header="0" w:footer="3" w:gutter="0"/>
          <w:pgNumType w:start="57"/>
          <w:cols w:space="720" w:num="1"/>
          <w:titlePg/>
          <w:rtlGutter w:val="0"/>
          <w:docGrid w:linePitch="360" w:charSpace="0"/>
        </w:sectPr>
      </w:pPr>
      <w:r>
        <w:rPr>
          <w:color w:val="000000"/>
          <w:spacing w:val="0"/>
          <w:w w:val="100"/>
          <w:position w:val="0"/>
        </w:rPr>
        <w:t>有限责任公司的股东，应当依法在公司被吊销营业执照后及时组织清算。因股东怠于 履行清算义务，导致公司的主要财产、账册等均已灭失，无法进行清算的，应当对公司的债 务承担连带清偿责任。进言之，作为有限责任公司，其全体股东在法律上应一体成为公司 的清算义务人。公司法及其相关司法解释并未规定股东不负有清算义务的例外条款，因此 无论股东所占的股份为多少，是否实际参与了公司的经营管理，均有义务在法定期限内依 法对公司进行清算。</w:t>
      </w:r>
    </w:p>
    <w:p w14:paraId="4653D0E3">
      <w:pPr>
        <w:pStyle w:val="11"/>
        <w:keepNext w:val="0"/>
        <w:keepLines w:val="0"/>
        <w:widowControl w:val="0"/>
        <w:shd w:val="clear" w:color="auto" w:fill="auto"/>
        <w:bidi w:val="0"/>
        <w:spacing w:before="0" w:after="180" w:line="240" w:lineRule="auto"/>
        <w:ind w:left="0" w:right="0" w:firstLine="0"/>
        <w:jc w:val="left"/>
      </w:pPr>
      <w:r>
        <w:rPr>
          <w:color w:val="000000"/>
          <w:spacing w:val="0"/>
          <w:w w:val="100"/>
          <w:position w:val="0"/>
        </w:rPr>
        <w:t>■评析</w:t>
      </w:r>
    </w:p>
    <w:p w14:paraId="1D7CE311">
      <w:pPr>
        <w:pStyle w:val="17"/>
        <w:keepNext w:val="0"/>
        <w:keepLines w:val="0"/>
        <w:widowControl w:val="0"/>
        <w:shd w:val="clear" w:color="auto" w:fill="auto"/>
        <w:bidi w:val="0"/>
        <w:spacing w:before="0" w:after="8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本判决的指导意义和裁判思路</w:t>
      </w:r>
    </w:p>
    <w:p w14:paraId="644A37FB">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实践中大量存在公司解散后应当清算而不清算,甚至故意借解散之机逃废债务的情 形，严重损害了债权人利益并危害市场经济秩序。为此，《公司法》第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条对股东滥用权利 的责任作出了规定,最高人民法院《关于适用〈中华人民共和国公司法〉若干问题的规定 （二）》［法释</w:t>
      </w:r>
      <w:r>
        <w:rPr>
          <w:rFonts w:ascii="Times New Roman" w:hAnsi="Times New Roman" w:eastAsia="Times New Roman" w:cs="Times New Roman"/>
          <w:color w:val="000000"/>
          <w:spacing w:val="0"/>
          <w:w w:val="100"/>
          <w:position w:val="0"/>
          <w:sz w:val="19"/>
          <w:szCs w:val="19"/>
        </w:rPr>
        <w:t>（2014）2</w:t>
      </w:r>
      <w:r>
        <w:rPr>
          <w:color w:val="000000"/>
          <w:spacing w:val="0"/>
          <w:w w:val="100"/>
          <w:position w:val="0"/>
        </w:rPr>
        <w:t>号］（以下简称《公司法司法解释二》）第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条,对股东怠于履行清算 义务所导致的侵权民事责任作出了规定。最高人民法院案例指导工作办公室认为,该案例 确定的法律适用标准，对于构建合理有序的公司清算程序有良好的示范意义，且可以督促 小股东在大股东不积极履行清算义务的情况下依法申请人民法院对公司进行清算,对于保 护债权人利益,倡导诚实守信经营，形成良好的市场经济秩序,具有重要意义。</w:t>
      </w:r>
    </w:p>
    <w:p w14:paraId="44CC7E9D">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该案的裁判思路简要分析如下：</w:t>
      </w:r>
    </w:p>
    <w:p w14:paraId="7F812814">
      <w:pPr>
        <w:pStyle w:val="17"/>
        <w:keepNext w:val="0"/>
        <w:keepLines w:val="0"/>
        <w:widowControl w:val="0"/>
        <w:numPr>
          <w:ilvl w:val="0"/>
          <w:numId w:val="4"/>
        </w:numPr>
        <w:shd w:val="clear" w:color="auto" w:fill="auto"/>
        <w:tabs>
          <w:tab w:val="left" w:pos="682"/>
        </w:tabs>
        <w:bidi w:val="0"/>
        <w:spacing w:before="0" w:after="0" w:line="337" w:lineRule="exact"/>
        <w:ind w:left="0" w:right="0" w:firstLine="420"/>
        <w:jc w:val="both"/>
      </w:pPr>
      <w:bookmarkStart w:id="26" w:name="bookmark62"/>
      <w:bookmarkEnd w:id="26"/>
      <w:r>
        <w:rPr>
          <w:color w:val="000000"/>
          <w:spacing w:val="0"/>
          <w:w w:val="100"/>
          <w:position w:val="0"/>
        </w:rPr>
        <w:t>根据《公司法》第</w:t>
      </w:r>
      <w:r>
        <w:rPr>
          <w:rFonts w:ascii="Times New Roman" w:hAnsi="Times New Roman" w:eastAsia="Times New Roman" w:cs="Times New Roman"/>
          <w:color w:val="000000"/>
          <w:spacing w:val="0"/>
          <w:w w:val="100"/>
          <w:position w:val="0"/>
          <w:sz w:val="19"/>
          <w:szCs w:val="19"/>
        </w:rPr>
        <w:t>183</w:t>
      </w:r>
      <w:r>
        <w:rPr>
          <w:color w:val="000000"/>
          <w:spacing w:val="0"/>
          <w:w w:val="100"/>
          <w:position w:val="0"/>
        </w:rPr>
        <w:t>条的规定，有限公司的清算组由股东组成，逾期不成立清算组 进行清算的,债权人可以申请人民法院指定有关人员组成清算组进行清算。该条并没有明 确规定具体清算义务的承担者，由于组织清算是公司的法定义务，在实践中该义务由谁承 担经常产生争议,如果笼统地认为公司的股东、董事、监事、经理、高级管理人员等都有组织 清算组进行清算的义务，显然过于宽泛。为此，《公司法司法解释二》根据公司法的立法精 神并结合审判实践，在第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条中将股东明确为有限公司的法定清算义务人。通常情况下， 有限公司股东人数较少，且人合性较强,将有限责任公司全体股东界定为公司解散后的清 算义务人，由其组织清算组进行清算具有合理性和可操作性。</w:t>
      </w:r>
    </w:p>
    <w:p w14:paraId="040D86EA">
      <w:pPr>
        <w:pStyle w:val="17"/>
        <w:keepNext w:val="0"/>
        <w:keepLines w:val="0"/>
        <w:widowControl w:val="0"/>
        <w:numPr>
          <w:ilvl w:val="0"/>
          <w:numId w:val="4"/>
        </w:numPr>
        <w:shd w:val="clear" w:color="auto" w:fill="auto"/>
        <w:tabs>
          <w:tab w:val="left" w:pos="680"/>
        </w:tabs>
        <w:bidi w:val="0"/>
        <w:spacing w:before="0" w:after="0" w:line="337" w:lineRule="exact"/>
        <w:ind w:left="0" w:right="0" w:firstLine="420"/>
        <w:jc w:val="both"/>
      </w:pPr>
      <w:bookmarkStart w:id="27" w:name="bookmark63"/>
      <w:bookmarkEnd w:id="27"/>
      <w:r>
        <w:rPr>
          <w:color w:val="000000"/>
          <w:spacing w:val="0"/>
          <w:w w:val="100"/>
          <w:position w:val="0"/>
        </w:rPr>
        <w:t>股东承担有限公司的清算义务不以其是否实际参加公司经营管理为必要条件。公司 实际的经营管理大多由公司的高级管理人员完成，股东仅在公司重大决策、选举董事等方 面拥有控制权，也就是说更多的是控制公司而不是管理公司。股东这种控制公司的权力， 使其可以怠于履行清算义务。本案中，即使蒋志东和王卫明从未参与过公司经营管理，因 其是该有限公司的股东，负有在公司被依法吊销营业执照之日起</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日内组织清算的法定义 务，其并未履行该义务，在有实际控制人原因不能清算的情况下，也未及时向人民法院申请 对公司进行清算，其应当承担相应的民事责任。</w:t>
      </w:r>
    </w:p>
    <w:p w14:paraId="5EE43C23">
      <w:pPr>
        <w:pStyle w:val="17"/>
        <w:keepNext w:val="0"/>
        <w:keepLines w:val="0"/>
        <w:widowControl w:val="0"/>
        <w:numPr>
          <w:ilvl w:val="0"/>
          <w:numId w:val="4"/>
        </w:numPr>
        <w:shd w:val="clear" w:color="auto" w:fill="auto"/>
        <w:tabs>
          <w:tab w:val="left" w:pos="682"/>
        </w:tabs>
        <w:bidi w:val="0"/>
        <w:spacing w:before="0" w:after="280" w:line="337" w:lineRule="exact"/>
        <w:ind w:left="0" w:right="0" w:firstLine="420"/>
        <w:jc w:val="both"/>
      </w:pPr>
      <w:bookmarkStart w:id="28" w:name="bookmark64"/>
      <w:bookmarkEnd w:id="28"/>
      <w:r>
        <w:rPr>
          <w:color w:val="000000"/>
          <w:spacing w:val="0"/>
          <w:w w:val="100"/>
          <w:position w:val="0"/>
        </w:rPr>
        <w:t>至于股东怠于履行清算义务的具体责任后果，有清算赔偿责任、连带清偿责任与损害 赔偿责任之分。《公司法司法解释二》第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款规定，清算义务人未在法定期限内成 立清算组开始清算，导致公司财产贬值、流失、毁损或者灭失,应在造成损失范围内承担补 充性赔偿责任，其法律依据是《公司法》第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款的侵害债权理论。《公司法司法解释 二》第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款规定，清算义务人怠于履行义务，导致公司主要财产、账册、重要文件等灭 失,无法进行清算，应对公司债务承担连带清偿责任，其法律依据是《公司法》第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rPr>
        <w:t>款的法人人格否认理论。</w:t>
      </w:r>
    </w:p>
    <w:p w14:paraId="4206530A">
      <w:pPr>
        <w:pStyle w:val="17"/>
        <w:keepNext w:val="0"/>
        <w:keepLines w:val="0"/>
        <w:widowControl w:val="0"/>
        <w:shd w:val="clear" w:color="auto" w:fill="auto"/>
        <w:bidi w:val="0"/>
        <w:spacing w:before="0" w:after="140" w:line="372"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有限公司清算义务人的规范及学理</w:t>
      </w:r>
    </w:p>
    <w:p w14:paraId="2F2ED10C">
      <w:pPr>
        <w:pStyle w:val="17"/>
        <w:keepNext w:val="0"/>
        <w:keepLines w:val="0"/>
        <w:widowControl w:val="0"/>
        <w:shd w:val="clear" w:color="auto" w:fill="auto"/>
        <w:bidi w:val="0"/>
        <w:spacing w:before="0" w:after="0" w:line="372" w:lineRule="auto"/>
        <w:ind w:left="0" w:right="0"/>
        <w:jc w:val="both"/>
        <w:sectPr>
          <w:headerReference r:id="rId73" w:type="default"/>
          <w:headerReference r:id="rId74" w:type="even"/>
          <w:footnotePr>
            <w:numFmt w:val="chicago"/>
          </w:footnotePr>
          <w:type w:val="continuous"/>
          <w:pgSz w:w="10099" w:h="14782"/>
          <w:pgMar w:top="1290" w:right="1041" w:bottom="1005" w:left="1063" w:header="0" w:footer="577"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1993</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191</w:t>
      </w:r>
      <w:r>
        <w:rPr>
          <w:color w:val="000000"/>
          <w:spacing w:val="0"/>
          <w:w w:val="100"/>
          <w:position w:val="0"/>
        </w:rPr>
        <w:t xml:space="preserve">条虽然明确了股东是有限公司清算组成员，但并没有提出清算 </w:t>
      </w:r>
    </w:p>
    <w:p w14:paraId="36FE2EB3">
      <w:pPr>
        <w:pStyle w:val="17"/>
        <w:keepNext w:val="0"/>
        <w:keepLines w:val="0"/>
        <w:widowControl w:val="0"/>
        <w:shd w:val="clear" w:color="auto" w:fill="auto"/>
        <w:bidi w:val="0"/>
        <w:spacing w:before="0" w:after="0" w:line="372" w:lineRule="auto"/>
        <w:ind w:left="0" w:right="0" w:firstLine="0"/>
        <w:jc w:val="both"/>
      </w:pPr>
      <w:r>
        <w:rPr>
          <w:color w:val="000000"/>
          <w:spacing w:val="0"/>
          <w:w w:val="100"/>
          <w:position w:val="0"/>
        </w:rPr>
        <w:t>义务人的概念，更没有确立股东的清算义务人地位。我国《公司法》在</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 xml:space="preserve">年修订时，将 </w:t>
      </w:r>
      <w:r>
        <w:rPr>
          <w:rFonts w:ascii="Times New Roman" w:hAnsi="Times New Roman" w:eastAsia="Times New Roman" w:cs="Times New Roman"/>
          <w:color w:val="000000"/>
          <w:spacing w:val="0"/>
          <w:w w:val="100"/>
          <w:position w:val="0"/>
          <w:sz w:val="19"/>
          <w:szCs w:val="19"/>
        </w:rPr>
        <w:t>1993</w:t>
      </w:r>
      <w:r>
        <w:rPr>
          <w:color w:val="000000"/>
          <w:spacing w:val="0"/>
          <w:w w:val="100"/>
          <w:position w:val="0"/>
        </w:rPr>
        <w:t>年《公司法》的第</w:t>
      </w:r>
      <w:r>
        <w:rPr>
          <w:rFonts w:ascii="Times New Roman" w:hAnsi="Times New Roman" w:eastAsia="Times New Roman" w:cs="Times New Roman"/>
          <w:color w:val="000000"/>
          <w:spacing w:val="0"/>
          <w:w w:val="100"/>
          <w:position w:val="0"/>
          <w:sz w:val="19"/>
          <w:szCs w:val="19"/>
        </w:rPr>
        <w:t>191</w:t>
      </w:r>
      <w:r>
        <w:rPr>
          <w:color w:val="000000"/>
          <w:spacing w:val="0"/>
          <w:w w:val="100"/>
          <w:position w:val="0"/>
        </w:rPr>
        <w:t>条调整为第</w:t>
      </w:r>
      <w:r>
        <w:rPr>
          <w:rFonts w:ascii="Times New Roman" w:hAnsi="Times New Roman" w:eastAsia="Times New Roman" w:cs="Times New Roman"/>
          <w:color w:val="000000"/>
          <w:spacing w:val="0"/>
          <w:w w:val="100"/>
          <w:position w:val="0"/>
          <w:sz w:val="19"/>
          <w:szCs w:val="19"/>
        </w:rPr>
        <w:t>184</w:t>
      </w:r>
      <w:r>
        <w:rPr>
          <w:color w:val="000000"/>
          <w:spacing w:val="0"/>
          <w:w w:val="100"/>
          <w:position w:val="0"/>
        </w:rPr>
        <w:t>条，并增加了</w:t>
      </w:r>
      <w:r>
        <w:rPr>
          <w:color w:val="000000"/>
          <w:spacing w:val="0"/>
          <w:w w:val="100"/>
          <w:position w:val="0"/>
          <w:lang w:val="zh-CN" w:eastAsia="zh-CN" w:bidi="zh-CN"/>
        </w:rPr>
        <w:t>“开</w:t>
      </w:r>
      <w:r>
        <w:rPr>
          <w:color w:val="000000"/>
          <w:spacing w:val="0"/>
          <w:w w:val="100"/>
          <w:position w:val="0"/>
        </w:rPr>
        <w:t>始清算</w:t>
      </w:r>
      <w:r>
        <w:rPr>
          <w:color w:val="000000"/>
          <w:spacing w:val="0"/>
          <w:w w:val="100"/>
          <w:position w:val="0"/>
          <w:lang w:val="zh-CN" w:eastAsia="zh-CN" w:bidi="zh-CN"/>
        </w:rPr>
        <w:t>”四</w:t>
      </w:r>
      <w:r>
        <w:rPr>
          <w:color w:val="000000"/>
          <w:spacing w:val="0"/>
          <w:w w:val="100"/>
          <w:position w:val="0"/>
        </w:rPr>
        <w:t xml:space="preserve">个字,形成了所谓的 </w:t>
      </w:r>
      <w:r>
        <w:rPr>
          <w:color w:val="000000"/>
          <w:spacing w:val="0"/>
          <w:w w:val="100"/>
          <w:position w:val="0"/>
          <w:lang w:val="zh-CN" w:eastAsia="zh-CN" w:bidi="zh-CN"/>
        </w:rPr>
        <w:t>“清算</w:t>
      </w:r>
      <w:r>
        <w:rPr>
          <w:color w:val="000000"/>
          <w:spacing w:val="0"/>
          <w:w w:val="100"/>
          <w:position w:val="0"/>
        </w:rPr>
        <w:t xml:space="preserve">责任”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由于清算责任依赖于自然人的行为，具有人身性，在清算义务人拒不履行清 算责任时,法院无法强制其履行，难以保护债权人利益。为了解决清算责任的困境,更好地 保护债权人利益，《公司法司法解释二》详细规定了清算义务人的责任范畴，完成了立法上 从</w:t>
      </w:r>
      <w:r>
        <w:rPr>
          <w:color w:val="000000"/>
          <w:spacing w:val="0"/>
          <w:w w:val="100"/>
          <w:position w:val="0"/>
          <w:lang w:val="zh-CN" w:eastAsia="zh-CN" w:bidi="zh-CN"/>
        </w:rPr>
        <w:t>“清算</w:t>
      </w:r>
      <w:r>
        <w:rPr>
          <w:color w:val="000000"/>
          <w:spacing w:val="0"/>
          <w:w w:val="100"/>
          <w:position w:val="0"/>
        </w:rPr>
        <w:t>责任到清算赔偿责任</w:t>
      </w:r>
      <w:r>
        <w:rPr>
          <w:color w:val="000000"/>
          <w:spacing w:val="0"/>
          <w:w w:val="100"/>
          <w:position w:val="0"/>
          <w:lang w:val="zh-CN" w:eastAsia="zh-CN" w:bidi="zh-CN"/>
        </w:rPr>
        <w:t>”的</w:t>
      </w:r>
      <w:r>
        <w:rPr>
          <w:color w:val="000000"/>
          <w:spacing w:val="0"/>
          <w:w w:val="100"/>
          <w:position w:val="0"/>
        </w:rPr>
        <w:t>转变。</w:t>
      </w:r>
    </w:p>
    <w:p w14:paraId="2777080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虽然有《公司法司法解释二》的明文规定，但是实践中对此问题认识不一。本案从法律 适用的角度对有限公司股东的清算义务人责任作了示例性阐释，明确了股东之间的连带赔 偿责任，从实践方面完成了从</w:t>
      </w:r>
      <w:r>
        <w:rPr>
          <w:color w:val="000000"/>
          <w:spacing w:val="0"/>
          <w:w w:val="100"/>
          <w:position w:val="0"/>
          <w:lang w:val="zh-CN" w:eastAsia="zh-CN" w:bidi="zh-CN"/>
        </w:rPr>
        <w:t>“清算</w:t>
      </w:r>
      <w:r>
        <w:rPr>
          <w:color w:val="000000"/>
          <w:spacing w:val="0"/>
          <w:w w:val="100"/>
          <w:position w:val="0"/>
        </w:rPr>
        <w:t>责任到清算赔偿责任</w:t>
      </w:r>
      <w:r>
        <w:rPr>
          <w:color w:val="000000"/>
          <w:spacing w:val="0"/>
          <w:w w:val="100"/>
          <w:position w:val="0"/>
          <w:lang w:val="zh-CN" w:eastAsia="zh-CN" w:bidi="zh-CN"/>
        </w:rPr>
        <w:t>”的</w:t>
      </w:r>
      <w:r>
        <w:rPr>
          <w:color w:val="000000"/>
          <w:spacing w:val="0"/>
          <w:w w:val="100"/>
          <w:position w:val="0"/>
        </w:rPr>
        <w:t>转变，最终促成了债权人追究 股东清算赔偿责任的全面爆发。</w:t>
      </w:r>
    </w:p>
    <w:p w14:paraId="2408922C">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本案作为指导案例发布后，原《民法总则》第</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条正式建立了</w:t>
      </w:r>
      <w:r>
        <w:rPr>
          <w:color w:val="000000"/>
          <w:spacing w:val="0"/>
          <w:w w:val="100"/>
          <w:position w:val="0"/>
          <w:lang w:val="zh-CN" w:eastAsia="zh-CN" w:bidi="zh-CN"/>
        </w:rPr>
        <w:t>“清</w:t>
      </w:r>
      <w:r>
        <w:rPr>
          <w:color w:val="000000"/>
          <w:spacing w:val="0"/>
          <w:w w:val="100"/>
          <w:position w:val="0"/>
        </w:rPr>
        <w:t>算组</w:t>
      </w:r>
      <w:r>
        <w:rPr>
          <w:color w:val="000000"/>
          <w:spacing w:val="0"/>
          <w:w w:val="100"/>
          <w:position w:val="0"/>
          <w:lang w:val="zh-CN" w:eastAsia="zh-CN" w:bidi="zh-CN"/>
        </w:rPr>
        <w:t>”成员</w:t>
      </w:r>
      <w:r>
        <w:rPr>
          <w:color w:val="000000"/>
          <w:spacing w:val="0"/>
          <w:w w:val="100"/>
          <w:position w:val="0"/>
        </w:rPr>
        <w:t>（学理上称 为</w:t>
      </w:r>
      <w:r>
        <w:rPr>
          <w:color w:val="000000"/>
          <w:spacing w:val="0"/>
          <w:w w:val="100"/>
          <w:position w:val="0"/>
          <w:lang w:val="zh-CN" w:eastAsia="zh-CN" w:bidi="zh-CN"/>
        </w:rPr>
        <w:t>“清算</w:t>
      </w:r>
      <w:r>
        <w:rPr>
          <w:color w:val="000000"/>
          <w:spacing w:val="0"/>
          <w:w w:val="100"/>
          <w:position w:val="0"/>
        </w:rPr>
        <w:t>人”）与“清算义务人”并存的清算制度双轨制体系，除了对清算义务人的范围进行 调整外，基本上吸收了司法解释创制的清算义务人制度，但并未吸收《公司法司法解释二》 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款关于连带责任的规定，而《民法典》对此亦延续了原《民法总贝！|》的规定，值得 重视。</w:t>
      </w:r>
    </w:p>
    <w:p w14:paraId="2AD2751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就本案关于有限公司清算义务人主体范围及法律责任的认定，我国学术界争议不断, 这些争议从某种意义上也影响了《全国法院民商事审判工作会议纪要》（以下简称《九民纪 要》）中</w:t>
      </w:r>
      <w:r>
        <w:rPr>
          <w:color w:val="000000"/>
          <w:spacing w:val="0"/>
          <w:w w:val="100"/>
          <w:position w:val="0"/>
          <w:lang w:val="zh-CN" w:eastAsia="zh-CN" w:bidi="zh-CN"/>
        </w:rPr>
        <w:t>“关于</w:t>
      </w:r>
      <w:r>
        <w:rPr>
          <w:color w:val="000000"/>
          <w:spacing w:val="0"/>
          <w:w w:val="100"/>
          <w:position w:val="0"/>
        </w:rPr>
        <w:t>有限责任公司清算义务人的责任”的审理思路。</w:t>
      </w:r>
    </w:p>
    <w:p w14:paraId="6594AEF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王长华教授认为，在解释论上，原《民法总则》实施后，公司清算义务人的界定规则没有 变化，有限责任公司的清算义务人仍然是全体股东。然而，将股东作为清算义务人存在诸 多问题。就立法论的角度而言，我国公司法应将董事作为有限责任公司的清算义务人。公 司解散后,董事应在法定期限内及时组织成立清算组，以便启动清算程序，促使公司顺利进 入清算阶段，进而科学妥善地解决市场退出问题。</w:t>
      </w:r>
    </w:p>
    <w:p w14:paraId="2720B22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肖雄博士认为，统一的清算义务人规则忽视了被行政解散的公司往往处于人去楼空、 违法犯罪的情况,忽视了部分控股股东、董事不愿意也不适合承担清算义务的客观实际，忽 视了中小股东、债权人珍惜清算权利但难以及时获得解散信息的现实，以致部分清算义务 人难以履行清算义务，清算责任体系混乱，实践效果堪忧。为此，应当健全公司解散的商事 登记规则,排除不适格的清算人，将清算职权配置给最珍惜、最适格的人，废止公司清算义 务人规则，回归并重建清算人中心主义，实现我国公司清算规则的完善。</w:t>
      </w:r>
    </w:p>
    <w:p w14:paraId="37C273E6">
      <w:pPr>
        <w:pStyle w:val="17"/>
        <w:keepNext w:val="0"/>
        <w:keepLines w:val="0"/>
        <w:widowControl w:val="0"/>
        <w:shd w:val="clear" w:color="auto" w:fill="auto"/>
        <w:bidi w:val="0"/>
        <w:spacing w:before="0" w:after="0" w:line="344" w:lineRule="exact"/>
        <w:ind w:left="0" w:right="0" w:firstLine="420"/>
        <w:jc w:val="both"/>
        <w:sectPr>
          <w:headerReference r:id="rId75" w:type="default"/>
          <w:headerReference r:id="rId76" w:type="even"/>
          <w:footnotePr>
            <w:numFmt w:val="chicago"/>
          </w:footnotePr>
          <w:pgSz w:w="10099" w:h="14782"/>
          <w:pgMar w:top="1290" w:right="1041" w:bottom="1005" w:left="1063" w:header="0" w:footer="577" w:gutter="0"/>
          <w:pgNumType w:start="44"/>
          <w:cols w:space="720" w:num="1"/>
          <w:rtlGutter w:val="0"/>
          <w:docGrid w:linePitch="360" w:charSpace="0"/>
        </w:sectPr>
      </w:pPr>
      <w:r>
        <w:rPr>
          <w:color w:val="000000"/>
          <w:spacing w:val="0"/>
          <w:w w:val="100"/>
          <w:position w:val="0"/>
        </w:rPr>
        <w:t>梁上上教授认为，清算义务人制度仍有必要存在，但让</w:t>
      </w:r>
      <w:r>
        <w:rPr>
          <w:color w:val="000000"/>
          <w:spacing w:val="0"/>
          <w:w w:val="100"/>
          <w:position w:val="0"/>
          <w:lang w:val="zh-CN" w:eastAsia="zh-CN" w:bidi="zh-CN"/>
        </w:rPr>
        <w:t>“如</w:t>
      </w:r>
      <w:r>
        <w:rPr>
          <w:color w:val="000000"/>
          <w:spacing w:val="0"/>
          <w:w w:val="100"/>
          <w:position w:val="0"/>
        </w:rPr>
        <w:t>此弱势</w:t>
      </w:r>
      <w:r>
        <w:rPr>
          <w:color w:val="000000"/>
          <w:spacing w:val="0"/>
          <w:w w:val="100"/>
          <w:position w:val="0"/>
          <w:lang w:val="zh-CN" w:eastAsia="zh-CN" w:bidi="zh-CN"/>
        </w:rPr>
        <w:t>”的小</w:t>
      </w:r>
      <w:r>
        <w:rPr>
          <w:color w:val="000000"/>
          <w:spacing w:val="0"/>
          <w:w w:val="100"/>
          <w:position w:val="0"/>
        </w:rPr>
        <w:t xml:space="preserve">股东作为清算 义务人承担连带责任，从根本上违背了公司正义原则。现行《公司法》及其《公司法司法解 释二》将有限公司股东作为清算义务人，使股东责任从有限责任变为无限责任，致使股东与 债权人之间的利益关系失衡，已经摧毁了我国的市场退出法律体系。基于股东、董事、监事、 直接责任人等在公司治理结构中地位、职权等的比较分析可以看出，有限公司的清算义务 人不是股东,只有董事才是妥当的清算义务人。现行制度根源于对公司解散效力等一系列 制度的误解，已造成债权人从破产清算向非破产清算逃逸，损害了股东利益。保护债权人 </w:t>
      </w:r>
    </w:p>
    <w:p w14:paraId="1A0754B4">
      <w:pPr>
        <w:pStyle w:val="17"/>
        <w:keepNext w:val="0"/>
        <w:keepLines w:val="0"/>
        <w:widowControl w:val="0"/>
        <w:shd w:val="clear" w:color="auto" w:fill="auto"/>
        <w:bidi w:val="0"/>
        <w:spacing w:before="0" w:after="0" w:line="344" w:lineRule="exact"/>
        <w:ind w:left="0" w:right="0" w:firstLine="0"/>
        <w:jc w:val="both"/>
      </w:pPr>
      <w:r>
        <w:rPr>
          <w:color w:val="000000"/>
          <w:spacing w:val="0"/>
          <w:w w:val="100"/>
          <w:position w:val="0"/>
        </w:rPr>
        <w:t>利益的正道在于，继续保留清算义务人制度，增设董事的破产申请义务。</w:t>
      </w:r>
    </w:p>
    <w:p w14:paraId="4CC7685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李清池教授认为，从公司法的理论体系来看，清算义务人的主体范围应按</w:t>
      </w:r>
      <w:r>
        <w:rPr>
          <w:color w:val="000000"/>
          <w:spacing w:val="0"/>
          <w:w w:val="100"/>
          <w:position w:val="0"/>
          <w:lang w:val="zh-CN" w:eastAsia="zh-CN" w:bidi="zh-CN"/>
        </w:rPr>
        <w:t>“对公</w:t>
      </w:r>
      <w:r>
        <w:rPr>
          <w:color w:val="000000"/>
          <w:spacing w:val="0"/>
          <w:w w:val="100"/>
          <w:position w:val="0"/>
        </w:rPr>
        <w:t>司的管 理具有支配性地位/影响</w:t>
      </w:r>
      <w:r>
        <w:rPr>
          <w:color w:val="000000"/>
          <w:spacing w:val="0"/>
          <w:w w:val="100"/>
          <w:position w:val="0"/>
          <w:lang w:val="zh-CN" w:eastAsia="zh-CN" w:bidi="zh-CN"/>
        </w:rPr>
        <w:t>”的</w:t>
      </w:r>
      <w:r>
        <w:rPr>
          <w:color w:val="000000"/>
          <w:spacing w:val="0"/>
          <w:w w:val="100"/>
          <w:position w:val="0"/>
        </w:rPr>
        <w:t>标准界定为公司董事和控股股东,有限责任公司和股份有限公 司无需区别对待。清算义务人的清算义务在法律性质上应为信义义务，其指向对象在公司 解散后未终止前仍为公司，但受益人由股东转变为公司债权人。</w:t>
      </w:r>
    </w:p>
    <w:p w14:paraId="02E7493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笔者认为，基于信义义务将董事增设为清算义务人在我国公司法体系上仍有诸多障 碍。一方面，无论直接诉讼还是派生诉讼，其诉讼利益均归属于公司，程序上已赋予了债权 人申请法院进行强制清算，以及径直起诉要求清算义务人承担清偿责任的权利,再扩大清 算义务人范围，利益衡量明显失衡;另一方面，一些案件的处理结果不适当地扩大了股东的 清算责任,实践中已经出现了一些职业债权人，从其他债权人处大批量超低价收购“僵尸” 企业的</w:t>
      </w:r>
      <w:r>
        <w:rPr>
          <w:color w:val="000000"/>
          <w:spacing w:val="0"/>
          <w:w w:val="100"/>
          <w:position w:val="0"/>
          <w:lang w:val="zh-CN" w:eastAsia="zh-CN" w:bidi="zh-CN"/>
        </w:rPr>
        <w:t>“陈</w:t>
      </w:r>
      <w:r>
        <w:rPr>
          <w:color w:val="000000"/>
          <w:spacing w:val="0"/>
          <w:w w:val="100"/>
          <w:position w:val="0"/>
        </w:rPr>
        <w:t>年旧账</w:t>
      </w:r>
      <w:r>
        <w:rPr>
          <w:color w:val="000000"/>
          <w:spacing w:val="0"/>
          <w:w w:val="100"/>
          <w:position w:val="0"/>
          <w:lang w:val="zh-CN" w:eastAsia="zh-CN" w:bidi="zh-CN"/>
        </w:rPr>
        <w:t>”后</w:t>
      </w:r>
      <w:r>
        <w:rPr>
          <w:color w:val="000000"/>
          <w:spacing w:val="0"/>
          <w:w w:val="100"/>
          <w:position w:val="0"/>
        </w:rPr>
        <w:t>，对批量僵尸企业提起强制清算之诉的现象。</w:t>
      </w:r>
    </w:p>
    <w:p w14:paraId="6541D887">
      <w:pPr>
        <w:pStyle w:val="17"/>
        <w:keepNext w:val="0"/>
        <w:keepLines w:val="0"/>
        <w:widowControl w:val="0"/>
        <w:shd w:val="clear" w:color="auto" w:fill="auto"/>
        <w:bidi w:val="0"/>
        <w:spacing w:before="0" w:after="300" w:line="342" w:lineRule="exact"/>
        <w:ind w:left="0" w:right="0" w:firstLine="420"/>
        <w:jc w:val="both"/>
      </w:pPr>
      <w:r>
        <w:rPr>
          <w:color w:val="000000"/>
          <w:spacing w:val="0"/>
          <w:w w:val="100"/>
          <w:position w:val="0"/>
        </w:rPr>
        <w:t>鉴于此，《九民纪要》仍然</w:t>
      </w:r>
      <w:r>
        <w:rPr>
          <w:color w:val="000000"/>
          <w:spacing w:val="0"/>
          <w:w w:val="100"/>
          <w:position w:val="0"/>
          <w:lang w:val="zh-CN" w:eastAsia="zh-CN" w:bidi="zh-CN"/>
        </w:rPr>
        <w:t>“固守”股</w:t>
      </w:r>
      <w:r>
        <w:rPr>
          <w:color w:val="000000"/>
          <w:spacing w:val="0"/>
          <w:w w:val="100"/>
          <w:position w:val="0"/>
        </w:rPr>
        <w:t>东作为有限公司清算义务人的立场，向更为严格、有 利于中小股东利益保护的方向发展，排除了“已经为履行清算义务采取了积极措施</w:t>
      </w:r>
      <w:r>
        <w:rPr>
          <w:color w:val="000000"/>
          <w:spacing w:val="0"/>
          <w:w w:val="100"/>
          <w:position w:val="0"/>
          <w:lang w:val="zh-CN" w:eastAsia="zh-CN" w:bidi="zh-CN"/>
        </w:rPr>
        <w:t>”或者 “既</w:t>
      </w:r>
      <w:r>
        <w:rPr>
          <w:color w:val="000000"/>
          <w:spacing w:val="0"/>
          <w:w w:val="100"/>
          <w:position w:val="0"/>
        </w:rPr>
        <w:t>不是公司董事会或者监事会成员，也没有选派人员担任该机关成员，且从未参与公司经 营管理</w:t>
      </w:r>
      <w:r>
        <w:rPr>
          <w:color w:val="000000"/>
          <w:spacing w:val="0"/>
          <w:w w:val="100"/>
          <w:position w:val="0"/>
          <w:lang w:val="zh-CN" w:eastAsia="zh-CN" w:bidi="zh-CN"/>
        </w:rPr>
        <w:t>”的</w:t>
      </w:r>
      <w:r>
        <w:rPr>
          <w:color w:val="000000"/>
          <w:spacing w:val="0"/>
          <w:w w:val="100"/>
          <w:position w:val="0"/>
        </w:rPr>
        <w:t>中小股东作为清算义务人，同时规定对公司债务承担连带清偿责任的前提是“怠 于履行清算义务</w:t>
      </w:r>
      <w:r>
        <w:rPr>
          <w:color w:val="000000"/>
          <w:spacing w:val="0"/>
          <w:w w:val="100"/>
          <w:position w:val="0"/>
          <w:lang w:val="zh-CN" w:eastAsia="zh-CN" w:bidi="zh-CN"/>
        </w:rPr>
        <w:t>”的消</w:t>
      </w:r>
      <w:r>
        <w:rPr>
          <w:color w:val="000000"/>
          <w:spacing w:val="0"/>
          <w:w w:val="100"/>
          <w:position w:val="0"/>
        </w:rPr>
        <w:t>极不作为与“公司主要财产、账册、重要文件等灭失，无法进行清算” 的结果之间须具有因果关系。相对公司清算义务人而言，公司债权人系“局外人</w:t>
      </w:r>
      <w:r>
        <w:rPr>
          <w:color w:val="000000"/>
          <w:spacing w:val="0"/>
          <w:w w:val="100"/>
          <w:position w:val="0"/>
          <w:lang w:val="zh-CN" w:eastAsia="zh-CN" w:bidi="zh-CN"/>
        </w:rPr>
        <w:t>”，不</w:t>
      </w:r>
      <w:r>
        <w:rPr>
          <w:color w:val="000000"/>
          <w:spacing w:val="0"/>
          <w:w w:val="100"/>
          <w:position w:val="0"/>
        </w:rPr>
        <w:t>掌握 清算义务人公司的主要财产，更不掌握其账册、重要文件,举证能力较弱，因而因果关系仍 采取举证责任倒置的方式，由抗辩的股东承担举证责任。</w:t>
      </w:r>
    </w:p>
    <w:p w14:paraId="12ACDC7A">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577F6BE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关于清算义务人承担清算赔偿责任的构成要件，在</w:t>
      </w:r>
      <w:r>
        <w:rPr>
          <w:color w:val="000000"/>
          <w:spacing w:val="0"/>
          <w:w w:val="100"/>
          <w:position w:val="0"/>
          <w:lang w:val="zh-CN" w:eastAsia="zh-CN" w:bidi="zh-CN"/>
        </w:rPr>
        <w:t>“上海</w:t>
      </w:r>
      <w:r>
        <w:rPr>
          <w:color w:val="000000"/>
          <w:spacing w:val="0"/>
          <w:w w:val="100"/>
          <w:position w:val="0"/>
        </w:rPr>
        <w:t>丰瑞投资咨询有限公司与上 海汽车工业销售有限公司、扬州市机电设备总公司企业借贷纠纷案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 高法民再</w:t>
      </w:r>
      <w:r>
        <w:rPr>
          <w:rFonts w:ascii="Times New Roman" w:hAnsi="Times New Roman" w:eastAsia="Times New Roman" w:cs="Times New Roman"/>
          <w:color w:val="000000"/>
          <w:spacing w:val="0"/>
          <w:w w:val="100"/>
          <w:position w:val="0"/>
          <w:sz w:val="17"/>
          <w:szCs w:val="17"/>
        </w:rPr>
        <w:t>37</w:t>
      </w:r>
      <w:r>
        <w:rPr>
          <w:color w:val="000000"/>
          <w:spacing w:val="0"/>
          <w:w w:val="100"/>
          <w:position w:val="0"/>
        </w:rPr>
        <w:t>号民事判决书］中，最高人民法院认为，清算义务人承担上述清算赔偿责任，应符 合以下构成要件</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清算义务人有违反法律规定，怠于履行清算义务的行为。即在公司解 散后未在法定时间内开展清算事务或未在法定时间内完成清算事务,主观上存在不作为的 过错或者不适当执行清算事务,侵犯债权人利益的。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清算义务人的行为造成了公司债 权人的直接损失。</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清算义务人怠于履行清算义务的行为与公司财产或债权人的损失之 间具有法律上的因果关系。</w:t>
      </w:r>
    </w:p>
    <w:p w14:paraId="20A9F7B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w:t>
      </w:r>
      <w:r>
        <w:rPr>
          <w:color w:val="000000"/>
          <w:spacing w:val="0"/>
          <w:w w:val="100"/>
          <w:position w:val="0"/>
          <w:lang w:val="zh-CN" w:eastAsia="zh-CN" w:bidi="zh-CN"/>
        </w:rPr>
        <w:t>“损</w:t>
      </w:r>
      <w:r>
        <w:rPr>
          <w:color w:val="000000"/>
          <w:spacing w:val="0"/>
          <w:w w:val="100"/>
          <w:position w:val="0"/>
        </w:rPr>
        <w:t>失范围</w:t>
      </w:r>
      <w:r>
        <w:rPr>
          <w:color w:val="000000"/>
          <w:spacing w:val="0"/>
          <w:w w:val="100"/>
          <w:position w:val="0"/>
          <w:lang w:val="zh-CN" w:eastAsia="zh-CN" w:bidi="zh-CN"/>
        </w:rPr>
        <w:t>”的推</w:t>
      </w:r>
      <w:r>
        <w:rPr>
          <w:color w:val="000000"/>
          <w:spacing w:val="0"/>
          <w:w w:val="100"/>
          <w:position w:val="0"/>
        </w:rPr>
        <w:t>定规则，在</w:t>
      </w:r>
      <w:r>
        <w:rPr>
          <w:color w:val="000000"/>
          <w:spacing w:val="0"/>
          <w:w w:val="100"/>
          <w:position w:val="0"/>
          <w:lang w:val="zh-CN" w:eastAsia="zh-CN" w:bidi="zh-CN"/>
        </w:rPr>
        <w:t>“义乌</w:t>
      </w:r>
      <w:r>
        <w:rPr>
          <w:color w:val="000000"/>
          <w:spacing w:val="0"/>
          <w:w w:val="100"/>
          <w:position w:val="0"/>
        </w:rPr>
        <w:t>市黑白矿山机械有限公司与胡荣法、陈月阳与公 司有关的纠纷案</w:t>
      </w:r>
      <w:r>
        <w:rPr>
          <w:color w:val="000000"/>
          <w:spacing w:val="0"/>
          <w:w w:val="100"/>
          <w:position w:val="0"/>
          <w:lang w:val="zh-CN" w:eastAsia="zh-CN" w:bidi="zh-CN"/>
        </w:rPr>
        <w:t>”［金</w:t>
      </w:r>
      <w:r>
        <w:rPr>
          <w:color w:val="000000"/>
          <w:spacing w:val="0"/>
          <w:w w:val="100"/>
          <w:position w:val="0"/>
        </w:rPr>
        <w:t>华市婺城区人民法院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金婺商初字第</w:t>
      </w:r>
      <w:r>
        <w:rPr>
          <w:rFonts w:ascii="Times New Roman" w:hAnsi="Times New Roman" w:eastAsia="Times New Roman" w:cs="Times New Roman"/>
          <w:color w:val="000000"/>
          <w:spacing w:val="0"/>
          <w:w w:val="100"/>
          <w:position w:val="0"/>
          <w:sz w:val="17"/>
          <w:szCs w:val="17"/>
        </w:rPr>
        <w:t>1420</w:t>
      </w:r>
      <w:r>
        <w:rPr>
          <w:color w:val="000000"/>
          <w:spacing w:val="0"/>
          <w:w w:val="100"/>
          <w:position w:val="0"/>
        </w:rPr>
        <w:t>号民事判决书］中，金华市婺 城区人民法院认为,若清算义务人不能提供相应证据证明因其怠于履行清算义务而给公司 财产及债权人造成损失的实际范围，法院可以最后一次工商年检报告登记的资产为据推定 公司的</w:t>
      </w:r>
      <w:r>
        <w:rPr>
          <w:color w:val="000000"/>
          <w:spacing w:val="0"/>
          <w:w w:val="100"/>
          <w:position w:val="0"/>
          <w:lang w:val="zh-CN" w:eastAsia="zh-CN" w:bidi="zh-CN"/>
        </w:rPr>
        <w:t>“损失</w:t>
      </w:r>
      <w:r>
        <w:rPr>
          <w:color w:val="000000"/>
          <w:spacing w:val="0"/>
          <w:w w:val="100"/>
          <w:position w:val="0"/>
        </w:rPr>
        <w:t>范围”，判令清算义务人在此范围内对公司债务承担连带清偿责任。</w:t>
      </w:r>
    </w:p>
    <w:p w14:paraId="150BD7F6">
      <w:pPr>
        <w:pStyle w:val="17"/>
        <w:keepNext w:val="0"/>
        <w:keepLines w:val="0"/>
        <w:widowControl w:val="0"/>
        <w:shd w:val="clear" w:color="auto" w:fill="auto"/>
        <w:bidi w:val="0"/>
        <w:spacing w:before="0" w:after="380" w:line="343" w:lineRule="exact"/>
        <w:ind w:left="0" w:right="0" w:firstLine="420"/>
        <w:jc w:val="both"/>
        <w:sectPr>
          <w:headerReference r:id="rId77" w:type="default"/>
          <w:headerReference r:id="rId78" w:type="even"/>
          <w:footnotePr>
            <w:numFmt w:val="chicago"/>
          </w:footnotePr>
          <w:pgSz w:w="10099" w:h="14782"/>
          <w:pgMar w:top="1290" w:right="1041" w:bottom="1005" w:left="1063" w:header="0" w:footer="577" w:gutter="0"/>
          <w:pgNumType w:start="61"/>
          <w:cols w:space="720" w:num="1"/>
          <w:rtlGutter w:val="0"/>
          <w:docGrid w:linePitch="360" w:charSpace="0"/>
        </w:sectPr>
      </w:pPr>
      <w:r>
        <w:rPr>
          <w:color w:val="000000"/>
          <w:spacing w:val="0"/>
          <w:w w:val="100"/>
          <w:position w:val="0"/>
        </w:rPr>
        <w:t>审判实践中，对于股东是否应一体地作为清算义务人，认识并不统一。在</w:t>
      </w:r>
      <w:r>
        <w:rPr>
          <w:color w:val="000000"/>
          <w:spacing w:val="0"/>
          <w:w w:val="100"/>
          <w:position w:val="0"/>
          <w:lang w:val="zh-CN" w:eastAsia="zh-CN" w:bidi="zh-CN"/>
        </w:rPr>
        <w:t>“北京</w:t>
      </w:r>
      <w:r>
        <w:rPr>
          <w:color w:val="000000"/>
          <w:spacing w:val="0"/>
          <w:w w:val="100"/>
          <w:position w:val="0"/>
        </w:rPr>
        <w:t xml:space="preserve">双新宇 工贸有限责任公司上诉北京天康达科技发展有限公司等股东损害公司债权人利益责任纠 </w:t>
      </w:r>
    </w:p>
    <w:p w14:paraId="5B992C5B">
      <w:pPr>
        <w:pStyle w:val="17"/>
        <w:keepNext w:val="0"/>
        <w:keepLines w:val="0"/>
        <w:widowControl w:val="0"/>
        <w:shd w:val="clear" w:color="auto" w:fill="auto"/>
        <w:bidi w:val="0"/>
        <w:spacing w:before="0" w:after="380" w:line="343" w:lineRule="exact"/>
        <w:ind w:left="0" w:right="0" w:firstLine="0"/>
        <w:jc w:val="both"/>
      </w:pPr>
      <w:r>
        <w:rPr>
          <w:color w:val="000000"/>
          <w:spacing w:val="0"/>
          <w:w w:val="100"/>
          <w:position w:val="0"/>
        </w:rPr>
        <w:t>纷案</w:t>
      </w:r>
      <w:r>
        <w:rPr>
          <w:color w:val="000000"/>
          <w:spacing w:val="0"/>
          <w:w w:val="100"/>
          <w:position w:val="0"/>
          <w:lang w:val="en-US" w:eastAsia="en-US" w:bidi="en-US"/>
        </w:rPr>
        <w:t>”［</w:t>
      </w:r>
      <w:r>
        <w:rPr>
          <w:color w:val="000000"/>
          <w:spacing w:val="0"/>
          <w:w w:val="100"/>
          <w:position w:val="0"/>
        </w:rPr>
        <w:t>北京市第三中级人民法院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03</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10445</w:t>
      </w:r>
      <w:r>
        <w:rPr>
          <w:color w:val="000000"/>
          <w:spacing w:val="0"/>
          <w:w w:val="100"/>
          <w:position w:val="0"/>
        </w:rPr>
        <w:t>号民事判决书］中，北京市第三中级人民 法院认为，有限公司全体股东在法律上应一体成为公司的清算义务人。无论股东在公司中 所持股份的多寡,都有义务在法定期限内对公司进行清算。在</w:t>
      </w:r>
      <w:r>
        <w:rPr>
          <w:color w:val="000000"/>
          <w:spacing w:val="0"/>
          <w:w w:val="100"/>
          <w:position w:val="0"/>
          <w:lang w:val="zh-CN" w:eastAsia="zh-CN" w:bidi="zh-CN"/>
        </w:rPr>
        <w:t>“周仁</w:t>
      </w:r>
      <w:r>
        <w:rPr>
          <w:color w:val="000000"/>
          <w:spacing w:val="0"/>
          <w:w w:val="100"/>
          <w:position w:val="0"/>
        </w:rPr>
        <w:t>清等诉上海新汇工程 项目管理有限公司公司决议纠纷案</w:t>
      </w:r>
      <w:r>
        <w:rPr>
          <w:color w:val="000000"/>
          <w:spacing w:val="0"/>
          <w:w w:val="100"/>
          <w:position w:val="0"/>
          <w:lang w:val="zh-CN" w:eastAsia="zh-CN" w:bidi="zh-CN"/>
        </w:rPr>
        <w:t>”［上</w:t>
      </w:r>
      <w:r>
        <w:rPr>
          <w:color w:val="000000"/>
          <w:spacing w:val="0"/>
          <w:w w:val="100"/>
          <w:position w:val="0"/>
        </w:rPr>
        <w:t>海市第二中级人民法院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 xml:space="preserve">沪二中民四（商）终字第 </w:t>
      </w:r>
      <w:r>
        <w:rPr>
          <w:rFonts w:ascii="Times New Roman" w:hAnsi="Times New Roman" w:eastAsia="Times New Roman" w:cs="Times New Roman"/>
          <w:color w:val="000000"/>
          <w:spacing w:val="0"/>
          <w:w w:val="100"/>
          <w:position w:val="0"/>
          <w:sz w:val="17"/>
          <w:szCs w:val="17"/>
        </w:rPr>
        <w:t>569</w:t>
      </w:r>
      <w:r>
        <w:rPr>
          <w:color w:val="000000"/>
          <w:spacing w:val="0"/>
          <w:w w:val="100"/>
          <w:position w:val="0"/>
        </w:rPr>
        <w:t>号民事判决书］中，上海市第二中级人民法院判决支持了将小股东排除出公司清算组成员 范围的股东会决议。在“张能秀诉顾海冬等清算责任纠纷案</w:t>
      </w:r>
      <w:r>
        <w:rPr>
          <w:color w:val="000000"/>
          <w:spacing w:val="0"/>
          <w:w w:val="100"/>
          <w:position w:val="0"/>
          <w:lang w:val="zh-CN" w:eastAsia="zh-CN" w:bidi="zh-CN"/>
        </w:rPr>
        <w:t>”［宁</w:t>
      </w:r>
      <w:r>
        <w:rPr>
          <w:color w:val="000000"/>
          <w:spacing w:val="0"/>
          <w:w w:val="100"/>
          <w:position w:val="0"/>
        </w:rPr>
        <w:t>波市中级人民法院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）浙 甬商终字第</w:t>
      </w:r>
      <w:r>
        <w:rPr>
          <w:rFonts w:ascii="Times New Roman" w:hAnsi="Times New Roman" w:eastAsia="Times New Roman" w:cs="Times New Roman"/>
          <w:color w:val="000000"/>
          <w:spacing w:val="0"/>
          <w:w w:val="100"/>
          <w:position w:val="0"/>
          <w:sz w:val="17"/>
          <w:szCs w:val="17"/>
        </w:rPr>
        <w:t>943</w:t>
      </w:r>
      <w:r>
        <w:rPr>
          <w:color w:val="000000"/>
          <w:spacing w:val="0"/>
          <w:w w:val="100"/>
          <w:position w:val="0"/>
        </w:rPr>
        <w:t>号民事判决书］中，宁波市中级人民法院认为公司无法清算时，只有怠于履行清 算义务的股东才对公司债务负连带清偿责任。</w:t>
      </w:r>
    </w:p>
    <w:p w14:paraId="02931B3B">
      <w:pPr>
        <w:pStyle w:val="11"/>
        <w:keepNext w:val="0"/>
        <w:keepLines w:val="0"/>
        <w:widowControl w:val="0"/>
        <w:shd w:val="clear" w:color="auto" w:fill="auto"/>
        <w:bidi w:val="0"/>
        <w:spacing w:before="0" w:after="80" w:line="328" w:lineRule="exact"/>
        <w:ind w:left="0" w:right="0" w:firstLine="0"/>
        <w:jc w:val="left"/>
      </w:pPr>
      <w:r>
        <w:rPr>
          <w:i/>
          <w:iCs/>
          <w:color w:val="000000"/>
          <w:spacing w:val="0"/>
          <w:w w:val="100"/>
          <w:position w:val="0"/>
        </w:rPr>
        <w:t>同</w:t>
      </w:r>
      <w:r>
        <w:rPr>
          <w:color w:val="000000"/>
          <w:spacing w:val="0"/>
          <w:w w:val="100"/>
          <w:position w:val="0"/>
        </w:rPr>
        <w:t>参考文献</w:t>
      </w:r>
    </w:p>
    <w:p w14:paraId="6A3CCDF5">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最高人民法院案例指导工作办公室：《〈上海存亮贸易有限公司诉蒋志东、王卫明等买卖合同纠纷案〉的 理解与参照》，载《人民司法-案例》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0BE71B2A">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李清池：《清算义务人民事责任辨析——兼评最高人民法院指导性案例</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号》，载《北大法律评论》</w:t>
      </w:r>
      <w:r>
        <w:rPr>
          <w:rFonts w:ascii="Times New Roman" w:hAnsi="Times New Roman" w:eastAsia="Times New Roman" w:cs="Times New Roman"/>
          <w:color w:val="000000"/>
          <w:spacing w:val="0"/>
          <w:w w:val="100"/>
          <w:position w:val="0"/>
          <w:sz w:val="17"/>
          <w:szCs w:val="17"/>
        </w:rPr>
        <w:t xml:space="preserve">2014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CF8B941">
      <w:pPr>
        <w:pStyle w:val="17"/>
        <w:keepNext w:val="0"/>
        <w:keepLines w:val="0"/>
        <w:widowControl w:val="0"/>
        <w:shd w:val="clear" w:color="auto" w:fill="auto"/>
        <w:bidi w:val="0"/>
        <w:spacing w:before="0" w:after="0" w:line="313" w:lineRule="exact"/>
        <w:ind w:left="0" w:right="0" w:firstLine="0"/>
        <w:jc w:val="both"/>
      </w:pPr>
      <w:r>
        <w:rPr>
          <w:color w:val="000000"/>
          <w:spacing w:val="0"/>
          <w:w w:val="100"/>
          <w:position w:val="0"/>
        </w:rPr>
        <w:t>梁上上:《有限公司股东清算义务人地位质疑》，载《中国法学》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21BEB86">
      <w:pPr>
        <w:pStyle w:val="17"/>
        <w:keepNext w:val="0"/>
        <w:keepLines w:val="0"/>
        <w:widowControl w:val="0"/>
        <w:shd w:val="clear" w:color="auto" w:fill="auto"/>
        <w:bidi w:val="0"/>
        <w:spacing w:before="0" w:after="0" w:line="313" w:lineRule="exact"/>
        <w:ind w:left="0" w:right="0" w:firstLine="0"/>
        <w:jc w:val="both"/>
      </w:pPr>
      <w:r>
        <w:rPr>
          <w:color w:val="000000"/>
          <w:spacing w:val="0"/>
          <w:w w:val="100"/>
          <w:position w:val="0"/>
        </w:rPr>
        <w:t>肖雄:《论公司清算人中心主义的回归与重建》，载《政治与法律》</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6065FC21">
      <w:pPr>
        <w:pStyle w:val="17"/>
        <w:keepNext w:val="0"/>
        <w:keepLines w:val="0"/>
        <w:widowControl w:val="0"/>
        <w:shd w:val="clear" w:color="auto" w:fill="auto"/>
        <w:bidi w:val="0"/>
        <w:spacing w:before="0" w:after="40" w:line="313" w:lineRule="exact"/>
        <w:ind w:left="200" w:right="0" w:hanging="200"/>
        <w:jc w:val="both"/>
        <w:sectPr>
          <w:headerReference r:id="rId79" w:type="default"/>
          <w:headerReference r:id="rId80" w:type="even"/>
          <w:footnotePr>
            <w:numFmt w:val="chicago"/>
          </w:footnotePr>
          <w:pgSz w:w="10099" w:h="14782"/>
          <w:pgMar w:top="1290" w:right="1041" w:bottom="1005" w:left="1063" w:header="0" w:footer="577" w:gutter="0"/>
          <w:pgNumType w:start="46"/>
          <w:cols w:space="720" w:num="1"/>
          <w:rtlGutter w:val="0"/>
          <w:docGrid w:linePitch="360" w:charSpace="0"/>
        </w:sectPr>
      </w:pPr>
      <w:r>
        <w:rPr>
          <w:color w:val="000000"/>
          <w:spacing w:val="0"/>
          <w:w w:val="100"/>
          <w:position w:val="0"/>
        </w:rPr>
        <w:t>王长华:《论有限责任公司清算义务人的界定——以我国〈民法总则〉第</w:t>
      </w:r>
      <w:r>
        <w:rPr>
          <w:rFonts w:ascii="Times New Roman" w:hAnsi="Times New Roman" w:eastAsia="Times New Roman" w:cs="Times New Roman"/>
          <w:color w:val="000000"/>
          <w:spacing w:val="0"/>
          <w:w w:val="100"/>
          <w:position w:val="0"/>
          <w:sz w:val="17"/>
          <w:szCs w:val="17"/>
        </w:rPr>
        <w:t>70</w:t>
      </w:r>
      <w:r>
        <w:rPr>
          <w:color w:val="000000"/>
          <w:spacing w:val="0"/>
          <w:w w:val="100"/>
          <w:position w:val="0"/>
        </w:rPr>
        <w:t>条的适用为分析视角》，载 《法学杂志》</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09DB3FA7">
      <w:pPr>
        <w:widowControl w:val="0"/>
        <w:spacing w:line="1" w:lineRule="exact"/>
      </w:pPr>
      <w:r>
        <mc:AlternateContent>
          <mc:Choice Requires="wps">
            <w:drawing>
              <wp:anchor distT="0" distB="19685" distL="114300" distR="3239770" simplePos="0" relativeHeight="251660288" behindDoc="0" locked="0" layoutInCell="1" allowOverlap="1">
                <wp:simplePos x="0" y="0"/>
                <wp:positionH relativeFrom="page">
                  <wp:posOffset>730885</wp:posOffset>
                </wp:positionH>
                <wp:positionV relativeFrom="paragraph">
                  <wp:posOffset>12700</wp:posOffset>
                </wp:positionV>
                <wp:extent cx="448310" cy="304800"/>
                <wp:effectExtent l="0" t="0" r="0" b="0"/>
                <wp:wrapTopAndBottom/>
                <wp:docPr id="165" name="Shape 165"/>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3F70968E">
                            <w:pPr>
                              <w:pStyle w:val="27"/>
                              <w:keepNext/>
                              <w:keepLines/>
                              <w:widowControl w:val="0"/>
                              <w:shd w:val="clear" w:color="auto" w:fill="auto"/>
                              <w:bidi w:val="0"/>
                              <w:spacing w:before="0" w:after="0" w:line="240" w:lineRule="auto"/>
                              <w:ind w:left="0" w:right="0" w:firstLine="0"/>
                              <w:jc w:val="both"/>
                            </w:pPr>
                            <w:bookmarkStart w:id="243" w:name="bookmark66"/>
                            <w:bookmarkStart w:id="244" w:name="bookmark67"/>
                            <w:bookmarkStart w:id="245" w:name="bookmark65"/>
                            <w:r>
                              <w:rPr>
                                <w:rFonts w:ascii="Times New Roman" w:hAnsi="Times New Roman" w:eastAsia="Times New Roman" w:cs="Times New Roman"/>
                                <w:color w:val="000000"/>
                                <w:spacing w:val="0"/>
                                <w:w w:val="100"/>
                                <w:position w:val="0"/>
                              </w:rPr>
                              <w:t>010</w:t>
                            </w:r>
                            <w:bookmarkEnd w:id="243"/>
                            <w:bookmarkEnd w:id="244"/>
                            <w:bookmarkEnd w:id="245"/>
                          </w:p>
                        </w:txbxContent>
                      </wps:txbx>
                      <wps:bodyPr wrap="none" lIns="0" tIns="0" rIns="0" bIns="0">
                        <a:noAutofit/>
                      </wps:bodyPr>
                    </wps:wsp>
                  </a:graphicData>
                </a:graphic>
              </wp:anchor>
            </w:drawing>
          </mc:Choice>
          <mc:Fallback>
            <w:pict>
              <v:shape id="Shape 165" o:spid="_x0000_s1026" o:spt="202" type="#_x0000_t202" style="position:absolute;left:0pt;margin-left:57.55pt;margin-top:1pt;height:24pt;width:35.3pt;mso-position-horizontal-relative:page;mso-wrap-distance-bottom:1.55pt;mso-wrap-distance-top:0pt;mso-wrap-style:none;z-index:251660288;mso-width-relative:page;mso-height-relative:page;" filled="f" stroked="f" coordsize="21600,21600" o:gfxdata="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86NiI1AAAAAgB&#10;AAAPAAAAAAAAAAEAIAAAACIAAABkcnMvZG93bnJldi54bWxQSwECFAAUAAAACACHTuJAxGawFq0B&#10;AABzAwAADgAAAAAAAAABACAAAAAjAQAAZHJzL2Uyb0RvYy54bWxQSwUGAAAAAAYABgBZAQAAQgUA&#10;AAAA&#10;">
                <v:fill on="f" focussize="0,0"/>
                <v:stroke on="f"/>
                <v:imagedata o:title=""/>
                <o:lock v:ext="edit" aspectratio="f"/>
                <v:textbox inset="0mm,0mm,0mm,0mm">
                  <w:txbxContent>
                    <w:p w14:paraId="3F70968E">
                      <w:pPr>
                        <w:pStyle w:val="27"/>
                        <w:keepNext/>
                        <w:keepLines/>
                        <w:widowControl w:val="0"/>
                        <w:shd w:val="clear" w:color="auto" w:fill="auto"/>
                        <w:bidi w:val="0"/>
                        <w:spacing w:before="0" w:after="0" w:line="240" w:lineRule="auto"/>
                        <w:ind w:left="0" w:right="0" w:firstLine="0"/>
                        <w:jc w:val="both"/>
                      </w:pPr>
                      <w:bookmarkStart w:id="243" w:name="bookmark66"/>
                      <w:bookmarkStart w:id="244" w:name="bookmark67"/>
                      <w:bookmarkStart w:id="245" w:name="bookmark65"/>
                      <w:r>
                        <w:rPr>
                          <w:rFonts w:ascii="Times New Roman" w:hAnsi="Times New Roman" w:eastAsia="Times New Roman" w:cs="Times New Roman"/>
                          <w:color w:val="000000"/>
                          <w:spacing w:val="0"/>
                          <w:w w:val="100"/>
                          <w:position w:val="0"/>
                        </w:rPr>
                        <w:t>010</w:t>
                      </w:r>
                      <w:bookmarkEnd w:id="243"/>
                      <w:bookmarkEnd w:id="244"/>
                      <w:bookmarkEnd w:id="245"/>
                    </w:p>
                  </w:txbxContent>
                </v:textbox>
                <w10:wrap type="topAndBottom"/>
              </v:shape>
            </w:pict>
          </mc:Fallback>
        </mc:AlternateContent>
      </w:r>
      <w:r>
        <mc:AlternateContent>
          <mc:Choice Requires="wps">
            <w:drawing>
              <wp:anchor distT="80645" distB="0" distL="692150" distR="114300" simplePos="0" relativeHeight="251660288" behindDoc="0" locked="0" layoutInCell="1" allowOverlap="1">
                <wp:simplePos x="0" y="0"/>
                <wp:positionH relativeFrom="page">
                  <wp:posOffset>1308735</wp:posOffset>
                </wp:positionH>
                <wp:positionV relativeFrom="paragraph">
                  <wp:posOffset>93345</wp:posOffset>
                </wp:positionV>
                <wp:extent cx="2995930" cy="243840"/>
                <wp:effectExtent l="0" t="0" r="0" b="0"/>
                <wp:wrapTopAndBottom/>
                <wp:docPr id="167" name="Shape 167"/>
                <wp:cNvGraphicFramePr/>
                <a:graphic xmlns:a="http://schemas.openxmlformats.org/drawingml/2006/main">
                  <a:graphicData uri="http://schemas.microsoft.com/office/word/2010/wordprocessingShape">
                    <wps:wsp>
                      <wps:cNvSpPr txBox="1"/>
                      <wps:spPr>
                        <a:xfrm>
                          <a:off x="0" y="0"/>
                          <a:ext cx="2995930" cy="243840"/>
                        </a:xfrm>
                        <a:prstGeom prst="rect">
                          <a:avLst/>
                        </a:prstGeom>
                        <a:noFill/>
                      </wps:spPr>
                      <wps:txbx>
                        <w:txbxContent>
                          <w:p w14:paraId="784E3597">
                            <w:pPr>
                              <w:pStyle w:val="15"/>
                              <w:keepNext/>
                              <w:keepLines/>
                              <w:widowControl w:val="0"/>
                              <w:shd w:val="clear" w:color="auto" w:fill="auto"/>
                              <w:bidi w:val="0"/>
                              <w:spacing w:before="0" w:after="0" w:line="240" w:lineRule="auto"/>
                              <w:ind w:left="0" w:right="0" w:firstLine="0"/>
                              <w:jc w:val="left"/>
                            </w:pPr>
                            <w:bookmarkStart w:id="246" w:name="bookmark68"/>
                            <w:bookmarkStart w:id="247" w:name="bookmark69"/>
                            <w:bookmarkStart w:id="248" w:name="bookmark70"/>
                            <w:r>
                              <w:rPr>
                                <w:color w:val="000000"/>
                                <w:spacing w:val="0"/>
                                <w:w w:val="100"/>
                                <w:position w:val="0"/>
                              </w:rPr>
                              <w:t>关联公司间法人格否认制度的适用</w:t>
                            </w:r>
                            <w:bookmarkEnd w:id="246"/>
                            <w:bookmarkEnd w:id="247"/>
                            <w:bookmarkEnd w:id="248"/>
                          </w:p>
                        </w:txbxContent>
                      </wps:txbx>
                      <wps:bodyPr wrap="none" lIns="0" tIns="0" rIns="0" bIns="0">
                        <a:noAutofit/>
                      </wps:bodyPr>
                    </wps:wsp>
                  </a:graphicData>
                </a:graphic>
              </wp:anchor>
            </w:drawing>
          </mc:Choice>
          <mc:Fallback>
            <w:pict>
              <v:shape id="Shape 167" o:spid="_x0000_s1026" o:spt="202" type="#_x0000_t202" style="position:absolute;left:0pt;margin-left:103.05pt;margin-top:7.35pt;height:19.2pt;width:235.9pt;mso-position-horizontal-relative:page;mso-wrap-distance-bottom:0pt;mso-wrap-distance-top:6.35pt;mso-wrap-style:none;z-index:251660288;mso-width-relative:page;mso-height-relative:page;" filled="f" stroked="f" coordsize="21600,21600" o:gfxdata="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IOmf9YA&#10;AAAJAQAADwAAAAAAAAABACAAAAAiAAAAZHJzL2Rvd25yZXYueG1sUEsBAhQAFAAAAAgAh07iQHUr&#10;zOWvAQAAdAMAAA4AAAAAAAAAAQAgAAAAJQEAAGRycy9lMm9Eb2MueG1sUEsFBgAAAAAGAAYAWQEA&#10;AEYFAAAAAA==&#10;">
                <v:fill on="f" focussize="0,0"/>
                <v:stroke on="f"/>
                <v:imagedata o:title=""/>
                <o:lock v:ext="edit" aspectratio="f"/>
                <v:textbox inset="0mm,0mm,0mm,0mm">
                  <w:txbxContent>
                    <w:p w14:paraId="784E3597">
                      <w:pPr>
                        <w:pStyle w:val="15"/>
                        <w:keepNext/>
                        <w:keepLines/>
                        <w:widowControl w:val="0"/>
                        <w:shd w:val="clear" w:color="auto" w:fill="auto"/>
                        <w:bidi w:val="0"/>
                        <w:spacing w:before="0" w:after="0" w:line="240" w:lineRule="auto"/>
                        <w:ind w:left="0" w:right="0" w:firstLine="0"/>
                        <w:jc w:val="left"/>
                      </w:pPr>
                      <w:bookmarkStart w:id="246" w:name="bookmark68"/>
                      <w:bookmarkStart w:id="247" w:name="bookmark69"/>
                      <w:bookmarkStart w:id="248" w:name="bookmark70"/>
                      <w:r>
                        <w:rPr>
                          <w:color w:val="000000"/>
                          <w:spacing w:val="0"/>
                          <w:w w:val="100"/>
                          <w:position w:val="0"/>
                        </w:rPr>
                        <w:t>关联公司间法人格否认制度的适用</w:t>
                      </w:r>
                      <w:bookmarkEnd w:id="246"/>
                      <w:bookmarkEnd w:id="247"/>
                      <w:bookmarkEnd w:id="248"/>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5106670</wp:posOffset>
            </wp:positionH>
            <wp:positionV relativeFrom="paragraph">
              <wp:posOffset>236220</wp:posOffset>
            </wp:positionV>
            <wp:extent cx="615950" cy="615950"/>
            <wp:effectExtent l="0" t="0" r="6350" b="6350"/>
            <wp:wrapSquare wrapText="left"/>
            <wp:docPr id="169" name="Shape 169"/>
            <wp:cNvGraphicFramePr/>
            <a:graphic xmlns:a="http://schemas.openxmlformats.org/drawingml/2006/main">
              <a:graphicData uri="http://schemas.openxmlformats.org/drawingml/2006/picture">
                <pic:pic xmlns:pic="http://schemas.openxmlformats.org/drawingml/2006/picture">
                  <pic:nvPicPr>
                    <pic:cNvPr id="169" name="Shape 169"/>
                    <pic:cNvPicPr/>
                  </pic:nvPicPr>
                  <pic:blipFill>
                    <a:blip r:embed="rId604"/>
                    <a:stretch>
                      <a:fillRect/>
                    </a:stretch>
                  </pic:blipFill>
                  <pic:spPr>
                    <a:xfrm>
                      <a:off x="0" y="0"/>
                      <a:ext cx="615950" cy="615950"/>
                    </a:xfrm>
                    <a:prstGeom prst="rect">
                      <a:avLst/>
                    </a:prstGeom>
                  </pic:spPr>
                </pic:pic>
              </a:graphicData>
            </a:graphic>
          </wp:anchor>
        </w:drawing>
      </w:r>
    </w:p>
    <w:p w14:paraId="0708F73D">
      <w:pPr>
        <w:pStyle w:val="17"/>
        <w:keepNext w:val="0"/>
        <w:keepLines w:val="0"/>
        <w:widowControl w:val="0"/>
        <w:shd w:val="clear" w:color="auto" w:fill="auto"/>
        <w:bidi w:val="0"/>
        <w:spacing w:before="0" w:after="360" w:line="341" w:lineRule="exact"/>
        <w:ind w:left="1020" w:right="0" w:firstLine="0"/>
        <w:jc w:val="left"/>
      </w:pPr>
      <w:r>
        <w:rPr>
          <w:color w:val="000000"/>
          <w:spacing w:val="0"/>
          <w:w w:val="100"/>
          <w:position w:val="0"/>
        </w:rPr>
        <w:t>徐工集团工程机械股份有限公司诉成都川交工贸有限责任公司等 买卖合同纠纷案丨最高人民法院第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号指导性案例</w:t>
      </w:r>
    </w:p>
    <w:p w14:paraId="72E01EF5">
      <w:pPr>
        <w:pStyle w:val="17"/>
        <w:keepNext w:val="0"/>
        <w:keepLines w:val="0"/>
        <w:widowControl w:val="0"/>
        <w:shd w:val="clear" w:color="auto" w:fill="auto"/>
        <w:bidi w:val="0"/>
        <w:spacing w:before="0" w:after="1360" w:line="240" w:lineRule="auto"/>
        <w:ind w:left="0" w:right="0" w:firstLine="0"/>
        <w:jc w:val="right"/>
      </w:pPr>
      <w:r>
        <w:rPr>
          <w:color w:val="000000"/>
          <w:spacing w:val="0"/>
          <w:w w:val="100"/>
          <w:position w:val="0"/>
        </w:rPr>
        <w:t>韩弓虽华东政法大学法学院</w:t>
      </w:r>
    </w:p>
    <w:p w14:paraId="6CE3386E">
      <w:pPr>
        <w:pStyle w:val="11"/>
        <w:keepNext w:val="0"/>
        <w:keepLines w:val="0"/>
        <w:widowControl w:val="0"/>
        <w:shd w:val="clear" w:color="auto" w:fill="auto"/>
        <w:bidi w:val="0"/>
        <w:spacing w:before="0" w:after="80" w:line="338" w:lineRule="exact"/>
        <w:ind w:left="0" w:right="0" w:firstLine="0"/>
        <w:jc w:val="left"/>
      </w:pPr>
      <w:r>
        <w:rPr>
          <w:color w:val="000000"/>
          <w:spacing w:val="0"/>
          <w:w w:val="100"/>
          <w:position w:val="0"/>
        </w:rPr>
        <w:t>■事实概要</w:t>
      </w:r>
    </w:p>
    <w:p w14:paraId="5A5F6809">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股东王永礼等人分别注册成立成都川交工程机械有限责任公司（以下简称川交机械公 司）、四川瑞路建设工程有限公司（以下简称瑞路公司）和成都川交工贸有限责任公司（以下 简称川交工贸公司），三家公司均由王永礼等人实际控制。在与徐工集团工程机械股份有 限公司（以下简称徐工机械公司）交易往来之时，三家公司也共同向徐工机械公司表明，瑞 路公司和川交工贸公司是川交机械公司为业务扩张而另外注册的公司，并要求将三家公司 与徐工机械公司的往来账目均记在川交工贸公司的名下。原告徐工机械公司诉称:川交工 贸公司拖欠其货款未付，而川交机械公司、瑞路公司与川交工贸公司人格混同，三家公司实 际控制人王永礼以及川交工贸公司股东等人的个人资产与公司资产混同，均应承担连带清 偿责任。</w:t>
      </w:r>
    </w:p>
    <w:p w14:paraId="7FF9AE74">
      <w:pPr>
        <w:pStyle w:val="17"/>
        <w:keepNext w:val="0"/>
        <w:keepLines w:val="0"/>
        <w:widowControl w:val="0"/>
        <w:shd w:val="clear" w:color="auto" w:fill="auto"/>
        <w:tabs>
          <w:tab w:val="left" w:leader="hyphen" w:pos="4471"/>
        </w:tabs>
        <w:bidi w:val="0"/>
        <w:spacing w:before="0" w:after="360" w:line="338" w:lineRule="exact"/>
        <w:ind w:left="0" w:right="0" w:firstLine="420"/>
        <w:jc w:val="both"/>
      </w:pPr>
      <w:r>
        <w:rPr>
          <w:color w:val="000000"/>
          <w:spacing w:val="0"/>
          <w:w w:val="100"/>
          <w:position w:val="0"/>
        </w:rPr>
        <w:t>一审法院判决川交机械公司和瑞路公司对川交工贸公司的上述债务承担连带清偿责 任。被告三公司不服一审判决提起上诉</w:t>
      </w:r>
      <w:r>
        <w:rPr>
          <w:color w:val="000000"/>
          <w:spacing w:val="0"/>
          <w:w w:val="100"/>
          <w:position w:val="0"/>
        </w:rPr>
        <w:tab/>
      </w:r>
    </w:p>
    <w:p w14:paraId="71AF3A76">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rPr>
        <w:t>■判决要旨</w:t>
      </w:r>
    </w:p>
    <w:p w14:paraId="1DE6E81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驳回上诉，维持原判。</w:t>
      </w:r>
    </w:p>
    <w:p w14:paraId="54356D4A">
      <w:pPr>
        <w:pStyle w:val="17"/>
        <w:keepNext w:val="0"/>
        <w:keepLines w:val="0"/>
        <w:widowControl w:val="0"/>
        <w:shd w:val="clear" w:color="auto" w:fill="auto"/>
        <w:bidi w:val="0"/>
        <w:spacing w:before="0" w:after="360" w:line="344" w:lineRule="exact"/>
        <w:ind w:left="0" w:right="0" w:firstLine="420"/>
        <w:jc w:val="both"/>
      </w:pPr>
      <w:r>
        <w:rPr>
          <w:color w:val="000000"/>
          <w:spacing w:val="0"/>
          <w:w w:val="100"/>
          <w:position w:val="0"/>
        </w:rPr>
        <w:t>关联公司的人员、业务、财务等方面交叉或混同，导致各自财产无法区分，丧失独立人 格的，构成人格混同。关联公司人格混同，严重损害债权人利益的，关联公司相互之间对外 部债务承担连带责任。</w:t>
      </w:r>
    </w:p>
    <w:p w14:paraId="46365D97">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rPr>
        <w:t>■评析</w:t>
      </w:r>
    </w:p>
    <w:p w14:paraId="713D7876">
      <w:pPr>
        <w:pStyle w:val="17"/>
        <w:keepNext w:val="0"/>
        <w:keepLines w:val="0"/>
        <w:widowControl w:val="0"/>
        <w:shd w:val="clear" w:color="auto" w:fill="auto"/>
        <w:bidi w:val="0"/>
        <w:spacing w:before="0" w:after="80" w:line="338" w:lineRule="exact"/>
        <w:ind w:left="0" w:right="0" w:firstLine="0"/>
        <w:jc w:val="both"/>
      </w:pPr>
      <w:r>
        <w:rPr>
          <w:color w:val="000000"/>
          <w:spacing w:val="0"/>
          <w:w w:val="100"/>
          <w:position w:val="0"/>
        </w:rPr>
        <w:t>田本裁定的思路和意义</w:t>
      </w:r>
    </w:p>
    <w:p w14:paraId="4EA68F8C">
      <w:pPr>
        <w:pStyle w:val="17"/>
        <w:keepNext w:val="0"/>
        <w:keepLines w:val="0"/>
        <w:widowControl w:val="0"/>
        <w:shd w:val="clear" w:color="auto" w:fill="auto"/>
        <w:bidi w:val="0"/>
        <w:spacing w:before="0" w:after="280" w:line="340" w:lineRule="exact"/>
        <w:ind w:left="0" w:right="0" w:firstLine="420"/>
        <w:jc w:val="both"/>
        <w:sectPr>
          <w:headerReference r:id="rId81" w:type="default"/>
          <w:headerReference r:id="rId82" w:type="even"/>
          <w:footnotePr>
            <w:numFmt w:val="chicago"/>
          </w:footnotePr>
          <w:pgSz w:w="10099" w:h="14782"/>
          <w:pgMar w:top="1307" w:right="1030" w:bottom="1111" w:left="1054" w:header="879" w:footer="683" w:gutter="0"/>
          <w:pgNumType w:start="63"/>
          <w:cols w:space="720" w:num="1"/>
          <w:rtlGutter w:val="0"/>
          <w:docGrid w:linePitch="360" w:charSpace="0"/>
        </w:sectPr>
      </w:pPr>
      <w:r>
        <w:rPr>
          <w:color w:val="000000"/>
          <w:spacing w:val="0"/>
          <w:w w:val="100"/>
          <w:position w:val="0"/>
        </w:rPr>
        <w:t xml:space="preserve">本案中，徐工机械公司主张瑞路公司、川交机械公司对川交工贸公司的债务承担连带 清偿责任，并同时主张公司股东王永利、过胜利、卢鑫等对上述债务承担连带清偿责任。一 审法院和二审法院均支持前一项主张，并驳回了原告的后一项诉讼请求。但是，一审法院 和二审法院适用的法律依据不尽相同。一审法院依据原《民法通则》及原《合同法》的相关 </w:t>
      </w:r>
    </w:p>
    <w:p w14:paraId="45999D8E">
      <w:pPr>
        <w:pStyle w:val="17"/>
        <w:keepNext w:val="0"/>
        <w:keepLines w:val="0"/>
        <w:widowControl w:val="0"/>
        <w:shd w:val="clear" w:color="auto" w:fill="auto"/>
        <w:bidi w:val="0"/>
        <w:spacing w:before="0" w:after="280" w:line="340" w:lineRule="exact"/>
        <w:ind w:left="0" w:right="0" w:firstLine="0"/>
        <w:jc w:val="both"/>
      </w:pPr>
      <w:r>
        <w:rPr>
          <w:color w:val="000000"/>
          <w:spacing w:val="0"/>
          <w:w w:val="100"/>
          <w:position w:val="0"/>
        </w:rPr>
        <w:t>规定作岀判决，而二审法院则参照适用《公司法》第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款的规定。裁判要旨明确强 调，关联公司人格混同，严重损害债权人利益，违背诚实信用原则，其行为本质和危害结果 与《公司法》第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款规定的情形相当，因此，关联公司相互之间对外部债务应当承担 连带责任。本案是最高人民法院首次以指导案例的形式确认公司法人格否认案例，且在事 实上确立了一种新类型的公司法人格否认的案型，是对《公司法》第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款所规定的 公司法人格否认制度的发展，具有重要的实践指导意义和理论研究价值。</w:t>
      </w:r>
    </w:p>
    <w:p w14:paraId="304A7425">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公司法人格否认制度的规范及学理</w:t>
      </w:r>
    </w:p>
    <w:p w14:paraId="2A2593C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本案旨在探究关联公司间法人格否认制度的适用，其核心争议主要体现在以下两个方 面:其一，《公司法》第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款适用的正当性基础及其界限;其二,关联公司人格混同的 责任主体是否应然地包括关联公司控股股东。</w:t>
      </w:r>
    </w:p>
    <w:p w14:paraId="2C27F3F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关于《公司法》第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款在关联公司间适用的正当性基础何在，理论界存在较大 争议。有学者认为，《公司法》第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款作为一般规定，只要属于股东滥用法人独立地 位和股东有限责任的情形，即使某些滥用情形不在第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款规定中，也应属该规则范围之内 （朱慈蕴:《公司法人格否认制度理论与实践》，人民法院出版社</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页）。但持反对观点 的学者主张，公司之间人格混同不适用公司法有关法人人格否认的规定，理由如下:首先, 混同的主体不同。前者的混同主体是公司与公司,而后者的混同主体是股东与公司。其次, 违背的法律原则不同，并直接决定着法律适用的不同。前者违背的是公司法人独立地位原 则，所适用的法律是公司法和民法;而后者违背了公司法人独立地位和股东有限责任原则， 仅适用公司法。最后,混同效果不同，直接决定着法律后果的不同。即受益者和相对应的责 任承担者是各个关联公司抑或股东与公司的区别（楼东平、陈文东:《人格混同的姐妹公司共担责 任的法理基础分析》，载《法治研究》</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w:t>
      </w:r>
    </w:p>
    <w:p w14:paraId="75F4AB46">
      <w:pPr>
        <w:pStyle w:val="17"/>
        <w:keepNext w:val="0"/>
        <w:keepLines w:val="0"/>
        <w:widowControl w:val="0"/>
        <w:shd w:val="clear" w:color="auto" w:fill="auto"/>
        <w:bidi w:val="0"/>
        <w:spacing w:before="0" w:after="140" w:line="342" w:lineRule="exact"/>
        <w:ind w:left="0" w:right="0" w:firstLine="420"/>
        <w:jc w:val="both"/>
        <w:sectPr>
          <w:headerReference r:id="rId83" w:type="default"/>
          <w:headerReference r:id="rId84" w:type="even"/>
          <w:footnotePr>
            <w:numFmt w:val="chicago"/>
          </w:footnotePr>
          <w:pgSz w:w="10099" w:h="14782"/>
          <w:pgMar w:top="1307" w:right="1030" w:bottom="1111" w:left="1054" w:header="0" w:footer="683" w:gutter="0"/>
          <w:pgNumType w:start="48"/>
          <w:cols w:space="720" w:num="1"/>
          <w:rtlGutter w:val="0"/>
          <w:docGrid w:linePitch="360" w:charSpace="0"/>
        </w:sectPr>
      </w:pPr>
      <w:r>
        <w:rPr>
          <w:color w:val="000000"/>
          <w:spacing w:val="0"/>
          <w:w w:val="100"/>
          <w:position w:val="0"/>
        </w:rPr>
        <w:t>《公司法》第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款仅规范股东与公司存在财产混同的情形,并未对关联公司间 存在财产混同的情形作出规定。在没有证据表明王永礼等人的个人财产与公司财产存在 混同的情况下，无法适用《公司法》第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款的规定。本案中，存在财产混同关系的是 川交机械公司、瑞路公司和川交工贸公司三家公司，但公司法没有对关联公司财产混同问 题作出规定，此种情况构成法律漏洞。由于无法用解释学的方法将股东解释为关联公司以 赋予其连带责任，因此无法将《公司法》第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款作扩大解释以求扩张其适用范围。 此时,需要寻找类推适用该规则的正当性基础。待处理案件只有与目标法条的核心构成要 件吻合，方能决定类推适用。以《公司法》第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款的规定为例，故意滥用公司独立地 位并造成责任财产混同是产生连带责任的法理基础，自然构成该法条的核心构成要件。只 要待处理案件也存在故意滥用公司独立地位、造成责任财产混同的事实，则有课以连带责 任之必要。在本案中，三家公司均由王永礼等人设立并实际控制。法院认定三家公司之间 存在人员混同、业务混同和财务混同的事实,并进而认定三家公司之间构成人格混同。笔 者认为，本案中真正混同的还是三家公司的责任财产。由于三家公司在责任财产上难以区 分，且三家公司又有将债务转由川交工贸公司承担以逃避债务之主观故意，因此本案的主</w:t>
      </w:r>
    </w:p>
    <w:p w14:paraId="6CB3A064">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要案件事实与《公司法》第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款在核心构成要件上具有相似性。</w:t>
      </w:r>
    </w:p>
    <w:p w14:paraId="28E8ECD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再者，在本案中，因关联公司之间存在人格混同、财产混同之情事，故对其适用连带责 任符合保护债权人之立法意旨，在法律政策上与法人人格否认理论吻合。在比较法上，美 国法院曾经发展出所谓</w:t>
      </w:r>
      <w:r>
        <w:rPr>
          <w:color w:val="000000"/>
          <w:spacing w:val="0"/>
          <w:w w:val="100"/>
          <w:position w:val="0"/>
          <w:lang w:val="zh-CN" w:eastAsia="zh-CN" w:bidi="zh-CN"/>
        </w:rPr>
        <w:t>“企业</w:t>
      </w:r>
      <w:r>
        <w:rPr>
          <w:color w:val="000000"/>
          <w:spacing w:val="0"/>
          <w:w w:val="100"/>
          <w:position w:val="0"/>
        </w:rPr>
        <w:t>整体说</w:t>
      </w:r>
      <w:r>
        <w:rPr>
          <w:color w:val="000000"/>
          <w:spacing w:val="0"/>
          <w:w w:val="100"/>
          <w:position w:val="0"/>
          <w:lang w:val="zh-CN" w:eastAsia="zh-CN" w:bidi="zh-CN"/>
        </w:rPr>
        <w:t>”，即“股</w:t>
      </w:r>
      <w:r>
        <w:rPr>
          <w:color w:val="000000"/>
          <w:spacing w:val="0"/>
          <w:w w:val="100"/>
          <w:position w:val="0"/>
        </w:rPr>
        <w:t>东如果设立若干公司经营同一事业，或各公司 之间存在着经营业务、利益和权属的一致性时,这些公司实质上为同一企业的不同部门而 已，法院可以无视各个公司法律主体的独立性,而将它们视为一个企业实体或经济上的统 一体来追究企业整体的责任</w:t>
      </w:r>
      <w:r>
        <w:rPr>
          <w:color w:val="000000"/>
          <w:spacing w:val="0"/>
          <w:w w:val="100"/>
          <w:position w:val="0"/>
          <w:lang w:val="zh-CN" w:eastAsia="zh-CN" w:bidi="zh-CN"/>
        </w:rPr>
        <w:t>”（朱</w:t>
      </w:r>
      <w:r>
        <w:rPr>
          <w:color w:val="000000"/>
          <w:spacing w:val="0"/>
          <w:w w:val="100"/>
          <w:position w:val="0"/>
        </w:rPr>
        <w:t>慈蕴:《公司法原论》，清华大学出版社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45</w:t>
      </w:r>
      <w:r>
        <w:rPr>
          <w:color w:val="000000"/>
          <w:spacing w:val="0"/>
          <w:w w:val="100"/>
          <w:position w:val="0"/>
        </w:rPr>
        <w:t xml:space="preserve">页）。如 果川交机械公司和瑞路公司实际拥有必要的责任财产的话，那么判令此两家公司承担连带 责任也有利于对债权人的救济。为实现债权人保护的目的，法院决定类推适用《公司法》第 </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款的规定，适用连带责任的法律后果既有理论根据，又有实际意义。故此案对类 推适用技术的运用可谓妥适。</w:t>
      </w:r>
    </w:p>
    <w:p w14:paraId="58634E0C">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对于关联公司人格混同的责任主体问题，即是否应当追究关联公司控股股东的连带责 任,学者存在不同观点。一种观点主张企业整体说，认为公司法人格否认制度适用于关联 公司，应将关联公司视为一个公司整体对待。但各关联公司的股东对公司债务不承担责任 （施天涛:《公司法论》，法律出版社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页）。另一种观点认为,关联公司的控股股东 不承担责任与公司法人格否认制度的基本法理相悖，虽然厘清了人格混同的关联公司间的 权责关系,但却忽视了控制关联公司的股东所应承担的法律责任。其结果不仅对公司人格 否认制度的基本理论和法律价值提出了挑战，实践中也可能成为我国公司法人制度健康发 展的障碍［樊纪伟：《关联公司扩张适用公司人格否认之检讨——兼评最高法院指导案例</w:t>
      </w:r>
      <w:r>
        <w:rPr>
          <w:rFonts w:ascii="Times New Roman" w:hAnsi="Times New Roman" w:eastAsia="Times New Roman" w:cs="Times New Roman"/>
          <w:color w:val="000000"/>
          <w:spacing w:val="0"/>
          <w:w w:val="100"/>
          <w:position w:val="0"/>
          <w:sz w:val="17"/>
          <w:szCs w:val="17"/>
        </w:rPr>
        <w:t>15</w:t>
      </w:r>
      <w:r>
        <w:rPr>
          <w:color w:val="000000"/>
          <w:spacing w:val="0"/>
          <w:w w:val="100"/>
          <w:position w:val="0"/>
        </w:rPr>
        <w:t>号》，载 《湖南大学学报》（社会科学版</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BBCD628">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在本案中，最高人民法院支持了上述第一种观点。本案中的川交机械公司和瑞路公司 将其债务全部转移到川交工贸公司名下，而事后证明川交工贸公司根本无力清偿这些债 务，而川交工贸公司无力偿债正是由于股东王永礼等人作出的将上述两家公司债务转移至 川交工贸公司名下的安排,此种安排无疑严重损害了债权人的利益。由此基本可以认定， 股东王永礼等人恶意操纵三家公司，致使其人格混同，以逃避债务，严重损害债权人利益的 事实。然而，本案的事实却不在《公司法》第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款的调整范围之内。《公司法》第</w:t>
      </w:r>
      <w:r>
        <w:rPr>
          <w:rFonts w:ascii="Times New Roman" w:hAnsi="Times New Roman" w:eastAsia="Times New Roman" w:cs="Times New Roman"/>
          <w:color w:val="000000"/>
          <w:spacing w:val="0"/>
          <w:w w:val="100"/>
          <w:position w:val="0"/>
          <w:sz w:val="19"/>
          <w:szCs w:val="19"/>
        </w:rPr>
        <w:t xml:space="preserve">20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款所调整的是股东与公司间责任财产的混同，而不是同一股东掌控下的数家公司间 的财产混同问题。在本案中，没有证据表明股东王永礼等人的个人财产与公司财产间发生 混同。因此，虽然股东王永礼等人操纵公司的主观故意可以认定，损害债权人利益的事实 也可以确定,但却不符合第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款的构成要件，无法判令股东王永礼等人对公司债务 承担连带责任。</w:t>
      </w:r>
    </w:p>
    <w:p w14:paraId="474FAAF2">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2C496A2B">
      <w:pPr>
        <w:pStyle w:val="17"/>
        <w:keepNext w:val="0"/>
        <w:keepLines w:val="0"/>
        <w:widowControl w:val="0"/>
        <w:shd w:val="clear" w:color="auto" w:fill="auto"/>
        <w:bidi w:val="0"/>
        <w:spacing w:before="0" w:after="0" w:line="337" w:lineRule="exact"/>
        <w:ind w:left="0" w:right="0" w:firstLine="420"/>
        <w:jc w:val="both"/>
        <w:sectPr>
          <w:headerReference r:id="rId85" w:type="default"/>
          <w:headerReference r:id="rId86" w:type="even"/>
          <w:footnotePr>
            <w:numFmt w:val="chicago"/>
          </w:footnotePr>
          <w:pgSz w:w="10099" w:h="14782"/>
          <w:pgMar w:top="1307" w:right="1030" w:bottom="1111" w:left="1054" w:header="0" w:footer="683" w:gutter="0"/>
          <w:pgNumType w:start="65"/>
          <w:cols w:space="720" w:num="1"/>
          <w:rtlGutter w:val="0"/>
          <w:docGrid w:linePitch="360" w:charSpace="0"/>
        </w:sectPr>
      </w:pPr>
      <w:r>
        <w:rPr>
          <w:color w:val="000000"/>
          <w:spacing w:val="0"/>
          <w:w w:val="100"/>
          <w:position w:val="0"/>
        </w:rPr>
        <w:t>在本案公布之前，人民法院关于关联公司间可否适用公司法人格否认制度的观点不 一。我国自</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 0（2005</w:t>
      </w:r>
      <w:r>
        <w:rPr>
          <w:color w:val="000000"/>
          <w:spacing w:val="0"/>
          <w:w w:val="100"/>
          <w:position w:val="0"/>
        </w:rPr>
        <w:t>年《公司法》生效之日）起到</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日止的公 司法人格否认案例中，关联公司的刺破率只有</w:t>
      </w:r>
      <w:r>
        <w:rPr>
          <w:rFonts w:ascii="Times New Roman" w:hAnsi="Times New Roman" w:eastAsia="Times New Roman" w:cs="Times New Roman"/>
          <w:color w:val="000000"/>
          <w:spacing w:val="0"/>
          <w:w w:val="100"/>
          <w:position w:val="0"/>
          <w:sz w:val="19"/>
          <w:szCs w:val="19"/>
        </w:rPr>
        <w:t xml:space="preserve">40% </w:t>
      </w:r>
      <w:r>
        <w:rPr>
          <w:color w:val="000000"/>
          <w:spacing w:val="0"/>
          <w:w w:val="100"/>
          <w:position w:val="0"/>
        </w:rPr>
        <w:t xml:space="preserve">（黄辉:《中国公司法人格否认制度实证研 </w:t>
      </w:r>
    </w:p>
    <w:p w14:paraId="51029B1C">
      <w:pPr>
        <w:pStyle w:val="17"/>
        <w:keepNext w:val="0"/>
        <w:keepLines w:val="0"/>
        <w:widowControl w:val="0"/>
        <w:shd w:val="clear" w:color="auto" w:fill="auto"/>
        <w:bidi w:val="0"/>
        <w:spacing w:before="0" w:after="0" w:line="337" w:lineRule="exact"/>
        <w:ind w:left="0" w:right="0" w:firstLine="0"/>
        <w:jc w:val="both"/>
      </w:pPr>
      <w:r>
        <w:rPr>
          <w:color w:val="000000"/>
          <w:spacing w:val="0"/>
          <w:w w:val="100"/>
          <w:position w:val="0"/>
        </w:rPr>
        <w:t>究》，载《法学研究》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期）。即使在均认定</w:t>
      </w:r>
      <w:r>
        <w:rPr>
          <w:color w:val="000000"/>
          <w:spacing w:val="0"/>
          <w:w w:val="100"/>
          <w:position w:val="0"/>
          <w:lang w:val="zh-CN" w:eastAsia="zh-CN" w:bidi="zh-CN"/>
        </w:rPr>
        <w:t>“刺破</w:t>
      </w:r>
      <w:r>
        <w:rPr>
          <w:color w:val="000000"/>
          <w:spacing w:val="0"/>
          <w:w w:val="100"/>
          <w:position w:val="0"/>
        </w:rPr>
        <w:t>关联公司面纱</w:t>
      </w:r>
      <w:r>
        <w:rPr>
          <w:color w:val="000000"/>
          <w:spacing w:val="0"/>
          <w:w w:val="100"/>
          <w:position w:val="0"/>
          <w:lang w:val="zh-CN" w:eastAsia="zh-CN" w:bidi="zh-CN"/>
        </w:rPr>
        <w:t>”的</w:t>
      </w:r>
      <w:r>
        <w:rPr>
          <w:color w:val="000000"/>
          <w:spacing w:val="0"/>
          <w:w w:val="100"/>
          <w:position w:val="0"/>
        </w:rPr>
        <w:t>案件中，人民法院在 责任承担的判定上亦存在诸多争议。例如，在“南京长恒实业有限公司与南京熊猫移动通 信设备有限公司、江苏天创通讯实业有限公司等借款合同纠纷案</w:t>
      </w:r>
      <w:r>
        <w:rPr>
          <w:color w:val="000000"/>
          <w:spacing w:val="0"/>
          <w:w w:val="100"/>
          <w:position w:val="0"/>
          <w:lang w:val="zh-CN" w:eastAsia="zh-CN" w:bidi="zh-CN"/>
        </w:rPr>
        <w:t>”［江</w:t>
      </w:r>
      <w:r>
        <w:rPr>
          <w:color w:val="000000"/>
          <w:spacing w:val="0"/>
          <w:w w:val="100"/>
          <w:position w:val="0"/>
        </w:rPr>
        <w:t xml:space="preserve">苏省高级人民法院 </w:t>
      </w:r>
      <w:r>
        <w:rPr>
          <w:rFonts w:ascii="Times New Roman" w:hAnsi="Times New Roman" w:eastAsia="Times New Roman" w:cs="Times New Roman"/>
          <w:color w:val="000000"/>
          <w:spacing w:val="0"/>
          <w:w w:val="100"/>
          <w:position w:val="0"/>
          <w:sz w:val="17"/>
          <w:szCs w:val="17"/>
        </w:rPr>
        <w:t>（20</w:t>
      </w:r>
      <w:r>
        <w:rPr>
          <w:color w:val="000000"/>
          <w:spacing w:val="0"/>
          <w:w w:val="100"/>
          <w:position w:val="0"/>
          <w:sz w:val="17"/>
          <w:szCs w:val="17"/>
        </w:rPr>
        <w:t>⑵</w:t>
      </w:r>
      <w:r>
        <w:rPr>
          <w:color w:val="000000"/>
          <w:spacing w:val="0"/>
          <w:w w:val="100"/>
          <w:position w:val="0"/>
        </w:rPr>
        <w:t>苏商再终字第</w:t>
      </w:r>
      <w:r>
        <w:rPr>
          <w:rFonts w:ascii="Times New Roman" w:hAnsi="Times New Roman" w:eastAsia="Times New Roman" w:cs="Times New Roman"/>
          <w:color w:val="000000"/>
          <w:spacing w:val="0"/>
          <w:w w:val="100"/>
          <w:position w:val="0"/>
          <w:sz w:val="17"/>
          <w:szCs w:val="17"/>
        </w:rPr>
        <w:t>0012</w:t>
      </w:r>
      <w:r>
        <w:rPr>
          <w:color w:val="000000"/>
          <w:spacing w:val="0"/>
          <w:w w:val="100"/>
          <w:position w:val="0"/>
        </w:rPr>
        <w:t>号民事判决书］中，法院认定关联公司间存在人格混同，并判决由关 联公司及其实际控制人对公司债务承担连带责任。然而，在“四川泰来装饰工程有限公司 等与中国信达资产管理公司成都办事处借款合同纠纷上诉案”［最高人民法院</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民二终字 第</w:t>
      </w:r>
      <w:r>
        <w:rPr>
          <w:rFonts w:ascii="Times New Roman" w:hAnsi="Times New Roman" w:eastAsia="Times New Roman" w:cs="Times New Roman"/>
          <w:color w:val="000000"/>
          <w:spacing w:val="0"/>
          <w:w w:val="100"/>
          <w:position w:val="0"/>
          <w:sz w:val="17"/>
          <w:szCs w:val="17"/>
        </w:rPr>
        <w:t>55</w:t>
      </w:r>
      <w:r>
        <w:rPr>
          <w:color w:val="000000"/>
          <w:spacing w:val="0"/>
          <w:w w:val="100"/>
          <w:position w:val="0"/>
        </w:rPr>
        <w:t>号民事判决书］中，法院在认定关联公司人格混同的同时,判决仅由关联公司承担连带 清偿责任。</w:t>
      </w:r>
    </w:p>
    <w:p w14:paraId="72547C88">
      <w:pPr>
        <w:pStyle w:val="17"/>
        <w:keepNext w:val="0"/>
        <w:keepLines w:val="0"/>
        <w:widowControl w:val="0"/>
        <w:shd w:val="clear" w:color="auto" w:fill="auto"/>
        <w:bidi w:val="0"/>
        <w:spacing w:before="0" w:after="160" w:line="343" w:lineRule="exact"/>
        <w:ind w:left="0" w:right="0" w:firstLine="420"/>
        <w:jc w:val="both"/>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日，随着本案作为指导案例的公布,</w:t>
      </w:r>
      <w:r>
        <w:rPr>
          <w:color w:val="000000"/>
          <w:spacing w:val="0"/>
          <w:w w:val="100"/>
          <w:position w:val="0"/>
          <w:lang w:val="zh-CN" w:eastAsia="zh-CN" w:bidi="zh-CN"/>
        </w:rPr>
        <w:t>“关联</w:t>
      </w:r>
      <w:r>
        <w:rPr>
          <w:color w:val="000000"/>
          <w:spacing w:val="0"/>
          <w:w w:val="100"/>
          <w:position w:val="0"/>
        </w:rPr>
        <w:t>公司间可适用公司人格否认 制度</w:t>
      </w:r>
      <w:r>
        <w:rPr>
          <w:color w:val="000000"/>
          <w:spacing w:val="0"/>
          <w:w w:val="100"/>
          <w:position w:val="0"/>
          <w:lang w:val="zh-CN" w:eastAsia="zh-CN" w:bidi="zh-CN"/>
        </w:rPr>
        <w:t>”这一</w:t>
      </w:r>
      <w:r>
        <w:rPr>
          <w:color w:val="000000"/>
          <w:spacing w:val="0"/>
          <w:w w:val="100"/>
          <w:position w:val="0"/>
        </w:rPr>
        <w:t>规则正式确立，在实务界中产生积极影响。</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 xml:space="preserve">年间，关联公司的刺破率高达 </w:t>
      </w:r>
      <w:r>
        <w:rPr>
          <w:rFonts w:ascii="Times New Roman" w:hAnsi="Times New Roman" w:eastAsia="Times New Roman" w:cs="Times New Roman"/>
          <w:color w:val="000000"/>
          <w:spacing w:val="0"/>
          <w:w w:val="100"/>
          <w:position w:val="0"/>
          <w:sz w:val="17"/>
          <w:szCs w:val="17"/>
        </w:rPr>
        <w:t>85.7%（</w:t>
      </w:r>
      <w:r>
        <w:rPr>
          <w:color w:val="000000"/>
          <w:spacing w:val="0"/>
          <w:w w:val="100"/>
          <w:position w:val="0"/>
        </w:rPr>
        <w:t>谭贵华：《我国公司法人格否认规则的司法适用研究》，载《西南政法大学学报》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期）。在“洪业化工集团股份有限公司等二十九家企业合并重整案”（山东高级人民法院发布全 省十大破产典型案例之四）</w:t>
      </w:r>
      <w:r>
        <w:rPr>
          <w:color w:val="000000"/>
          <w:spacing w:val="0"/>
          <w:w w:val="100"/>
          <w:position w:val="0"/>
          <w:lang w:val="zh-CN" w:eastAsia="zh-CN" w:bidi="zh-CN"/>
        </w:rPr>
        <w:t>、“浙</w:t>
      </w:r>
      <w:r>
        <w:rPr>
          <w:color w:val="000000"/>
          <w:spacing w:val="0"/>
          <w:w w:val="100"/>
          <w:position w:val="0"/>
        </w:rPr>
        <w:t>江玻璃股份有限公司与浙江工程玻璃有限公司等申请破产重 整案”（最高人民法院发布</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起关于依法审理破产案件、推进供给侧结构性改革典型案例之五）等典 型案例中，法院均判定关联公司人格混同。然而，尽管指导案例第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号的裁判要旨在司法 实务界得到了普遍响应,但仍存在反对之声。例如，在“湖北省新发农业发展有限公司等与 武汉新大都百货超级商场等金融不良债权追偿纠纷上诉案</w:t>
      </w:r>
      <w:r>
        <w:rPr>
          <w:color w:val="000000"/>
          <w:spacing w:val="0"/>
          <w:w w:val="100"/>
          <w:position w:val="0"/>
          <w:lang w:val="zh-CN" w:eastAsia="zh-CN" w:bidi="zh-CN"/>
        </w:rPr>
        <w:t>”［湖</w:t>
      </w:r>
      <w:r>
        <w:rPr>
          <w:color w:val="000000"/>
          <w:spacing w:val="0"/>
          <w:w w:val="100"/>
          <w:position w:val="0"/>
        </w:rPr>
        <w:t>北省高级人民法院（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鄂民 四终字第</w:t>
      </w:r>
      <w:r>
        <w:rPr>
          <w:rFonts w:ascii="Times New Roman" w:hAnsi="Times New Roman" w:eastAsia="Times New Roman" w:cs="Times New Roman"/>
          <w:color w:val="000000"/>
          <w:spacing w:val="0"/>
          <w:w w:val="100"/>
          <w:position w:val="0"/>
          <w:sz w:val="17"/>
          <w:szCs w:val="17"/>
        </w:rPr>
        <w:t>00103</w:t>
      </w:r>
      <w:r>
        <w:rPr>
          <w:color w:val="000000"/>
          <w:spacing w:val="0"/>
          <w:w w:val="100"/>
          <w:position w:val="0"/>
        </w:rPr>
        <w:t>号民事判决书］中，法院认为：</w:t>
      </w:r>
      <w:r>
        <w:rPr>
          <w:color w:val="000000"/>
          <w:spacing w:val="0"/>
          <w:w w:val="100"/>
          <w:position w:val="0"/>
          <w:lang w:val="zh-CN" w:eastAsia="zh-CN" w:bidi="zh-CN"/>
        </w:rPr>
        <w:t>“新</w:t>
      </w:r>
      <w:r>
        <w:rPr>
          <w:color w:val="000000"/>
          <w:spacing w:val="0"/>
          <w:w w:val="100"/>
          <w:position w:val="0"/>
        </w:rPr>
        <w:t>大都公司并非新大都商场的股东，即使有证 据证明两者发生了财产混同的情形并导致新大都商场无力偿还债务，也不应依据《公司法》 的相关规定认定新大都公司对债务负有连带责任</w:t>
      </w:r>
      <w:r>
        <w:rPr>
          <w:color w:val="000000"/>
          <w:spacing w:val="0"/>
          <w:w w:val="100"/>
          <w:position w:val="0"/>
          <w:lang w:val="zh-CN" w:eastAsia="zh-CN" w:bidi="zh-CN"/>
        </w:rPr>
        <w:t>。”后</w:t>
      </w:r>
      <w:r>
        <w:rPr>
          <w:color w:val="000000"/>
          <w:spacing w:val="0"/>
          <w:w w:val="100"/>
          <w:position w:val="0"/>
        </w:rPr>
        <w:t>一审原告提出的再审申请亦被湖北 省高级人民法院驳回。由此看来,在公司法未明文确立关联公司可适用法人格否认制度的 背景下，最高人民法院指导案例的适用效力仍不明确。</w:t>
      </w:r>
    </w:p>
    <w:p w14:paraId="288C98BD">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lang w:val="en-US" w:eastAsia="en-US" w:bidi="en-US"/>
        </w:rPr>
        <w:t>®</w:t>
      </w:r>
      <w:r>
        <w:rPr>
          <w:color w:val="000000"/>
          <w:spacing w:val="0"/>
          <w:w w:val="100"/>
          <w:position w:val="0"/>
        </w:rPr>
        <w:t>本裁定的参考意义及将来的课题</w:t>
      </w:r>
    </w:p>
    <w:p w14:paraId="1E13D6A8">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指导案例第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号的意义不是为《公司法》第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款提供一个典型的公司法人格否 认案例，而是提供了一个非典型的案例。依法官的见解，这一非典型案例究其行为本质和 危害结果与《公司法》第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款规定的情形相当，故决定参照适用第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款之规 定,创造了一种公司间人格混同、承担连带责任的请求权基础。指导案例第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号的公布让 我们得出一个结论:法教义学在商法中完全可以得到运用。或者说，商法应与民法共享同 一种方法论。</w:t>
      </w:r>
    </w:p>
    <w:p w14:paraId="64195E71">
      <w:pPr>
        <w:pStyle w:val="17"/>
        <w:keepNext w:val="0"/>
        <w:keepLines w:val="0"/>
        <w:widowControl w:val="0"/>
        <w:shd w:val="clear" w:color="auto" w:fill="auto"/>
        <w:bidi w:val="0"/>
        <w:spacing w:before="0" w:after="160" w:line="339" w:lineRule="exact"/>
        <w:ind w:left="0" w:right="0" w:firstLine="420"/>
        <w:jc w:val="both"/>
        <w:sectPr>
          <w:headerReference r:id="rId87" w:type="default"/>
          <w:headerReference r:id="rId88" w:type="even"/>
          <w:footnotePr>
            <w:numFmt w:val="chicago"/>
          </w:footnotePr>
          <w:pgSz w:w="10099" w:h="14782"/>
          <w:pgMar w:top="1307" w:right="1030" w:bottom="1111" w:left="1054" w:header="0" w:footer="683" w:gutter="0"/>
          <w:pgNumType w:start="50"/>
          <w:cols w:space="720" w:num="1"/>
          <w:rtlGutter w:val="0"/>
          <w:docGrid w:linePitch="360" w:charSpace="0"/>
        </w:sectPr>
      </w:pPr>
      <w:r>
        <w:rPr>
          <w:color w:val="000000"/>
          <w:spacing w:val="0"/>
          <w:w w:val="100"/>
          <w:position w:val="0"/>
        </w:rPr>
        <w:t>在当今中国，民法学界对于法教义学的接受已然成为风气，而商法的教义学研究似乎 尚未起步°商法是实践性极强的法律部门，各类商事法律纠纷也在法院受理的案件中占据 很大的比重。如不对商法展开法教义学的研究，则商法将永远陷于</w:t>
      </w:r>
      <w:r>
        <w:rPr>
          <w:color w:val="000000"/>
          <w:spacing w:val="0"/>
          <w:w w:val="100"/>
          <w:position w:val="0"/>
          <w:lang w:val="zh-CN" w:eastAsia="zh-CN" w:bidi="zh-CN"/>
        </w:rPr>
        <w:t>“争论”状态</w:t>
      </w:r>
      <w:r>
        <w:rPr>
          <w:color w:val="000000"/>
          <w:spacing w:val="0"/>
          <w:w w:val="100"/>
          <w:position w:val="0"/>
        </w:rPr>
        <w:t>，而无法构 成统一、稳定的知识体系。鉴于此，中国商法学研究应尽快摒弃强调特殊性、独立性的理路 依赖，转而开展务实的、以请求权基础为主要内容的法教义学研究，即全面吸收和遵循法律 解释学的一般方法，对包括公司法在内的商法法条进行透彻的、以法律适用为导向的研究。</w:t>
      </w:r>
    </w:p>
    <w:p w14:paraId="2B28F960">
      <w:pPr>
        <w:pStyle w:val="17"/>
        <w:keepNext w:val="0"/>
        <w:keepLines w:val="0"/>
        <w:widowControl w:val="0"/>
        <w:shd w:val="clear" w:color="auto" w:fill="auto"/>
        <w:bidi w:val="0"/>
        <w:spacing w:before="0" w:after="460" w:line="667" w:lineRule="exact"/>
        <w:ind w:left="0" w:right="0" w:firstLine="5440"/>
        <w:jc w:val="both"/>
      </w:pPr>
      <w:r>
        <w:rPr>
          <w:color w:val="000000"/>
          <w:spacing w:val="0"/>
          <w:w w:val="100"/>
          <w:position w:val="0"/>
        </w:rPr>
        <w:t>关联公司间法人格否认制度的适用</w:t>
      </w:r>
      <w:r>
        <w:rPr>
          <w:rFonts w:ascii="Times New Roman" w:hAnsi="Times New Roman" w:eastAsia="Times New Roman" w:cs="Times New Roman"/>
          <w:b/>
          <w:bCs/>
          <w:color w:val="000000"/>
          <w:spacing w:val="0"/>
          <w:w w:val="100"/>
          <w:position w:val="0"/>
          <w:sz w:val="15"/>
          <w:szCs w:val="15"/>
        </w:rPr>
        <w:t xml:space="preserve">|051 </w:t>
      </w:r>
      <w:r>
        <w:rPr>
          <w:color w:val="000000"/>
          <w:spacing w:val="0"/>
          <w:w w:val="100"/>
          <w:position w:val="0"/>
        </w:rPr>
        <w:t>唯其如此，包括商法的理论研究和司法实践在内的法律职业共同体才能真正形成。</w:t>
      </w:r>
    </w:p>
    <w:p w14:paraId="21CDCC0A">
      <w:pPr>
        <w:pStyle w:val="11"/>
        <w:keepNext w:val="0"/>
        <w:keepLines w:val="0"/>
        <w:widowControl w:val="0"/>
        <w:shd w:val="clear" w:color="auto" w:fill="auto"/>
        <w:bidi w:val="0"/>
        <w:spacing w:before="0" w:after="180" w:line="240" w:lineRule="auto"/>
        <w:ind w:left="0" w:right="0" w:firstLine="0"/>
        <w:jc w:val="left"/>
      </w:pPr>
      <w:r>
        <w:rPr>
          <w:color w:val="000000"/>
          <w:spacing w:val="0"/>
          <w:w w:val="100"/>
          <w:position w:val="0"/>
        </w:rPr>
        <w:t>回参考文献</w:t>
      </w:r>
    </w:p>
    <w:p w14:paraId="2411436A">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［德］拉伦茨:《法学方法论》，陈爱娥译，商务印书馆</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78439DCD">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黄茂荣:《法学方法与现代民法》，法律出版社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197596E2">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杨仁寿:《法学方法论》，中国政法大学出版社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159A9DD6">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王泽鉴:《民法思维:请求权基础理论体系》，北京大学出版社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36CD4AC4">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朱慈蕴:《公司法原论》，清华大学出版社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17A1F677">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施天涛:《公司法论》，法律出版社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w:t>
      </w:r>
    </w:p>
    <w:p w14:paraId="4B413988">
      <w:pPr>
        <w:pStyle w:val="17"/>
        <w:keepNext w:val="0"/>
        <w:keepLines w:val="0"/>
        <w:widowControl w:val="0"/>
        <w:shd w:val="clear" w:color="auto" w:fill="auto"/>
        <w:bidi w:val="0"/>
        <w:spacing w:before="0" w:after="100" w:line="240" w:lineRule="auto"/>
        <w:ind w:left="0" w:right="0" w:firstLine="0"/>
        <w:jc w:val="both"/>
        <w:sectPr>
          <w:headerReference r:id="rId89" w:type="default"/>
          <w:headerReference r:id="rId90" w:type="even"/>
          <w:footnotePr>
            <w:numFmt w:val="chicago"/>
          </w:footnotePr>
          <w:pgSz w:w="10099" w:h="14782"/>
          <w:pgMar w:top="518" w:right="976" w:bottom="518" w:left="854" w:header="90" w:footer="90" w:gutter="0"/>
          <w:pgNumType w:start="67"/>
          <w:cols w:space="720" w:num="1"/>
          <w:rtlGutter w:val="0"/>
          <w:docGrid w:linePitch="360" w:charSpace="0"/>
        </w:sectPr>
      </w:pPr>
      <w:r>
        <w:rPr>
          <w:color w:val="000000"/>
          <w:spacing w:val="0"/>
          <w:w w:val="100"/>
          <w:position w:val="0"/>
        </w:rPr>
        <w:t>刘俊海:《现代公司法》，法律出版社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178BC6DE">
      <w:pPr>
        <w:widowControl w:val="0"/>
        <w:spacing w:line="186" w:lineRule="exact"/>
        <w:rPr>
          <w:sz w:val="15"/>
          <w:szCs w:val="15"/>
        </w:rPr>
      </w:pPr>
    </w:p>
    <w:p w14:paraId="5512F6B4">
      <w:pPr>
        <w:widowControl w:val="0"/>
        <w:spacing w:line="1" w:lineRule="exact"/>
        <w:sectPr>
          <w:footnotePr>
            <w:numFmt w:val="chicago"/>
          </w:footnotePr>
          <w:pgSz w:w="10099" w:h="14782"/>
          <w:pgMar w:top="1310" w:right="991" w:bottom="1100" w:left="1111" w:header="0" w:footer="3" w:gutter="0"/>
          <w:cols w:space="720" w:num="1"/>
          <w:rtlGutter w:val="0"/>
          <w:docGrid w:linePitch="360" w:charSpace="0"/>
        </w:sectPr>
      </w:pPr>
    </w:p>
    <w:p w14:paraId="41EDA102">
      <w:pPr>
        <w:widowControl w:val="0"/>
        <w:spacing w:line="1" w:lineRule="exact"/>
      </w:pPr>
      <w:r>
        <mc:AlternateContent>
          <mc:Choice Requires="wps">
            <w:drawing>
              <wp:anchor distT="0" distB="27940" distL="0" distR="0" simplePos="0" relativeHeight="251660288" behindDoc="0" locked="0" layoutInCell="1" allowOverlap="1">
                <wp:simplePos x="0" y="0"/>
                <wp:positionH relativeFrom="page">
                  <wp:posOffset>762635</wp:posOffset>
                </wp:positionH>
                <wp:positionV relativeFrom="paragraph">
                  <wp:posOffset>0</wp:posOffset>
                </wp:positionV>
                <wp:extent cx="410210" cy="304800"/>
                <wp:effectExtent l="0" t="0" r="0" b="0"/>
                <wp:wrapTopAndBottom/>
                <wp:docPr id="183" name="Shape 183"/>
                <wp:cNvGraphicFramePr/>
                <a:graphic xmlns:a="http://schemas.openxmlformats.org/drawingml/2006/main">
                  <a:graphicData uri="http://schemas.microsoft.com/office/word/2010/wordprocessingShape">
                    <wps:wsp>
                      <wps:cNvSpPr txBox="1"/>
                      <wps:spPr>
                        <a:xfrm>
                          <a:off x="0" y="0"/>
                          <a:ext cx="410210" cy="304800"/>
                        </a:xfrm>
                        <a:prstGeom prst="rect">
                          <a:avLst/>
                        </a:prstGeom>
                        <a:noFill/>
                      </wps:spPr>
                      <wps:txbx>
                        <w:txbxContent>
                          <w:p w14:paraId="221CD789">
                            <w:pPr>
                              <w:pStyle w:val="27"/>
                              <w:keepNext/>
                              <w:keepLines/>
                              <w:widowControl w:val="0"/>
                              <w:shd w:val="clear" w:color="auto" w:fill="auto"/>
                              <w:bidi w:val="0"/>
                              <w:spacing w:before="0" w:after="0" w:line="240" w:lineRule="auto"/>
                              <w:ind w:left="0" w:right="0" w:firstLine="0"/>
                              <w:jc w:val="both"/>
                            </w:pPr>
                            <w:bookmarkStart w:id="249" w:name="bookmark71"/>
                            <w:bookmarkStart w:id="250" w:name="bookmark73"/>
                            <w:bookmarkStart w:id="251" w:name="bookmark72"/>
                            <w:r>
                              <w:rPr>
                                <w:rFonts w:ascii="Times New Roman" w:hAnsi="Times New Roman" w:eastAsia="Times New Roman" w:cs="Times New Roman"/>
                                <w:color w:val="000000"/>
                                <w:spacing w:val="0"/>
                                <w:w w:val="100"/>
                                <w:position w:val="0"/>
                              </w:rPr>
                              <w:t>011</w:t>
                            </w:r>
                            <w:bookmarkEnd w:id="249"/>
                            <w:bookmarkEnd w:id="250"/>
                            <w:bookmarkEnd w:id="251"/>
                          </w:p>
                        </w:txbxContent>
                      </wps:txbx>
                      <wps:bodyPr wrap="none" lIns="0" tIns="0" rIns="0" bIns="0">
                        <a:noAutofit/>
                      </wps:bodyPr>
                    </wps:wsp>
                  </a:graphicData>
                </a:graphic>
              </wp:anchor>
            </w:drawing>
          </mc:Choice>
          <mc:Fallback>
            <w:pict>
              <v:shape id="Shape 183" o:spid="_x0000_s1026" o:spt="202" type="#_x0000_t202" style="position:absolute;left:0pt;margin-left:60.05pt;margin-top:0pt;height:24pt;width:32.3pt;mso-position-horizontal-relative:page;mso-wrap-distance-bottom:2.2pt;mso-wrap-distance-top:0pt;mso-wrap-style:none;z-index:251660288;mso-width-relative:page;mso-height-relative:page;" filled="f" stroked="f" coordsize="21600,21600" o:gfxdata="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DTcqTTAAAABwEA&#10;AA8AAAAAAAAAAQAgAAAAIgAAAGRycy9kb3ducmV2LnhtbFBLAQIUABQAAAAIAIdO4kANHiFxrQEA&#10;AHMDAAAOAAAAAAAAAAEAIAAAACIBAABkcnMvZTJvRG9jLnhtbFBLBQYAAAAABgAGAFkBAABBBQAA&#10;AAA=&#10;">
                <v:fill on="f" focussize="0,0"/>
                <v:stroke on="f"/>
                <v:imagedata o:title=""/>
                <o:lock v:ext="edit" aspectratio="f"/>
                <v:textbox inset="0mm,0mm,0mm,0mm">
                  <w:txbxContent>
                    <w:p w14:paraId="221CD789">
                      <w:pPr>
                        <w:pStyle w:val="27"/>
                        <w:keepNext/>
                        <w:keepLines/>
                        <w:widowControl w:val="0"/>
                        <w:shd w:val="clear" w:color="auto" w:fill="auto"/>
                        <w:bidi w:val="0"/>
                        <w:spacing w:before="0" w:after="0" w:line="240" w:lineRule="auto"/>
                        <w:ind w:left="0" w:right="0" w:firstLine="0"/>
                        <w:jc w:val="both"/>
                      </w:pPr>
                      <w:bookmarkStart w:id="249" w:name="bookmark71"/>
                      <w:bookmarkStart w:id="250" w:name="bookmark73"/>
                      <w:bookmarkStart w:id="251" w:name="bookmark72"/>
                      <w:r>
                        <w:rPr>
                          <w:rFonts w:ascii="Times New Roman" w:hAnsi="Times New Roman" w:eastAsia="Times New Roman" w:cs="Times New Roman"/>
                          <w:color w:val="000000"/>
                          <w:spacing w:val="0"/>
                          <w:w w:val="100"/>
                          <w:position w:val="0"/>
                        </w:rPr>
                        <w:t>011</w:t>
                      </w:r>
                      <w:bookmarkEnd w:id="249"/>
                      <w:bookmarkEnd w:id="250"/>
                      <w:bookmarkEnd w:id="251"/>
                    </w:p>
                  </w:txbxContent>
                </v:textbox>
                <w10:wrap type="topAndBottom"/>
              </v:shape>
            </w:pict>
          </mc:Fallback>
        </mc:AlternateContent>
      </w:r>
      <w:r>
        <mc:AlternateContent>
          <mc:Choice Requires="wps">
            <w:drawing>
              <wp:anchor distT="77470" distB="12700" distL="0" distR="0" simplePos="0" relativeHeight="251660288" behindDoc="0" locked="0" layoutInCell="1" allowOverlap="1">
                <wp:simplePos x="0" y="0"/>
                <wp:positionH relativeFrom="page">
                  <wp:posOffset>1341755</wp:posOffset>
                </wp:positionH>
                <wp:positionV relativeFrom="paragraph">
                  <wp:posOffset>77470</wp:posOffset>
                </wp:positionV>
                <wp:extent cx="3216910" cy="242570"/>
                <wp:effectExtent l="0" t="0" r="0" b="0"/>
                <wp:wrapTopAndBottom/>
                <wp:docPr id="185" name="Shape 185"/>
                <wp:cNvGraphicFramePr/>
                <a:graphic xmlns:a="http://schemas.openxmlformats.org/drawingml/2006/main">
                  <a:graphicData uri="http://schemas.microsoft.com/office/word/2010/wordprocessingShape">
                    <wps:wsp>
                      <wps:cNvSpPr txBox="1"/>
                      <wps:spPr>
                        <a:xfrm>
                          <a:off x="0" y="0"/>
                          <a:ext cx="3216910" cy="242570"/>
                        </a:xfrm>
                        <a:prstGeom prst="rect">
                          <a:avLst/>
                        </a:prstGeom>
                        <a:noFill/>
                      </wps:spPr>
                      <wps:txbx>
                        <w:txbxContent>
                          <w:p w14:paraId="4DE7489E">
                            <w:pPr>
                              <w:pStyle w:val="15"/>
                              <w:keepNext/>
                              <w:keepLines/>
                              <w:widowControl w:val="0"/>
                              <w:shd w:val="clear" w:color="auto" w:fill="auto"/>
                              <w:bidi w:val="0"/>
                              <w:spacing w:before="0" w:after="0" w:line="240" w:lineRule="auto"/>
                              <w:ind w:left="0" w:right="0" w:firstLine="0"/>
                              <w:jc w:val="left"/>
                            </w:pPr>
                            <w:bookmarkStart w:id="252" w:name="bookmark75"/>
                            <w:bookmarkStart w:id="253" w:name="bookmark76"/>
                            <w:bookmarkStart w:id="254" w:name="bookmark74"/>
                            <w:r>
                              <w:rPr>
                                <w:color w:val="000000"/>
                                <w:spacing w:val="0"/>
                                <w:w w:val="100"/>
                                <w:position w:val="0"/>
                              </w:rPr>
                              <w:t>隐名股东与名义股东债权人执行异议</w:t>
                            </w:r>
                            <w:bookmarkEnd w:id="252"/>
                            <w:bookmarkEnd w:id="253"/>
                            <w:bookmarkEnd w:id="254"/>
                          </w:p>
                        </w:txbxContent>
                      </wps:txbx>
                      <wps:bodyPr wrap="none" lIns="0" tIns="0" rIns="0" bIns="0">
                        <a:noAutofit/>
                      </wps:bodyPr>
                    </wps:wsp>
                  </a:graphicData>
                </a:graphic>
              </wp:anchor>
            </w:drawing>
          </mc:Choice>
          <mc:Fallback>
            <w:pict>
              <v:shape id="Shape 185" o:spid="_x0000_s1026" o:spt="202" type="#_x0000_t202" style="position:absolute;left:0pt;margin-left:105.65pt;margin-top:6.1pt;height:19.1pt;width:253.3pt;mso-position-horizontal-relative:page;mso-wrap-distance-bottom:1pt;mso-wrap-distance-top:6.1pt;mso-wrap-style:none;z-index:251660288;mso-width-relative:page;mso-height-relative:page;" filled="f" stroked="f" coordsize="21600,21600" o:gfxdata="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68/63X&#10;AAAACQEAAA8AAAAAAAAAAQAgAAAAIgAAAGRycy9kb3ducmV2LnhtbFBLAQIUABQAAAAIAIdO4kCM&#10;p3R2rwEAAHQDAAAOAAAAAAAAAAEAIAAAACYBAABkcnMvZTJvRG9jLnhtbFBLBQYAAAAABgAGAFkB&#10;AABHBQAAAAA=&#10;">
                <v:fill on="f" focussize="0,0"/>
                <v:stroke on="f"/>
                <v:imagedata o:title=""/>
                <o:lock v:ext="edit" aspectratio="f"/>
                <v:textbox inset="0mm,0mm,0mm,0mm">
                  <w:txbxContent>
                    <w:p w14:paraId="4DE7489E">
                      <w:pPr>
                        <w:pStyle w:val="15"/>
                        <w:keepNext/>
                        <w:keepLines/>
                        <w:widowControl w:val="0"/>
                        <w:shd w:val="clear" w:color="auto" w:fill="auto"/>
                        <w:bidi w:val="0"/>
                        <w:spacing w:before="0" w:after="0" w:line="240" w:lineRule="auto"/>
                        <w:ind w:left="0" w:right="0" w:firstLine="0"/>
                        <w:jc w:val="left"/>
                      </w:pPr>
                      <w:bookmarkStart w:id="252" w:name="bookmark75"/>
                      <w:bookmarkStart w:id="253" w:name="bookmark76"/>
                      <w:bookmarkStart w:id="254" w:name="bookmark74"/>
                      <w:r>
                        <w:rPr>
                          <w:color w:val="000000"/>
                          <w:spacing w:val="0"/>
                          <w:w w:val="100"/>
                          <w:position w:val="0"/>
                        </w:rPr>
                        <w:t>隐名股东与名义股东债权人执行异议</w:t>
                      </w:r>
                      <w:bookmarkEnd w:id="252"/>
                      <w:bookmarkEnd w:id="253"/>
                      <w:bookmarkEnd w:id="254"/>
                    </w:p>
                  </w:txbxContent>
                </v:textbox>
                <w10:wrap type="topAndBottom"/>
              </v:shape>
            </w:pict>
          </mc:Fallback>
        </mc:AlternateContent>
      </w:r>
    </w:p>
    <w:p w14:paraId="74D10E84">
      <w:pPr>
        <w:pStyle w:val="15"/>
        <w:keepNext/>
        <w:keepLines/>
        <w:widowControl w:val="0"/>
        <w:shd w:val="clear" w:color="auto" w:fill="auto"/>
        <w:bidi w:val="0"/>
        <w:spacing w:before="0" w:after="0" w:line="240" w:lineRule="auto"/>
        <w:ind w:left="0" w:right="0" w:firstLine="980"/>
        <w:jc w:val="left"/>
      </w:pPr>
      <w:r>
        <w:drawing>
          <wp:anchor distT="0" distB="0" distL="114300" distR="114300" simplePos="0" relativeHeight="251660288" behindDoc="0" locked="0" layoutInCell="1" allowOverlap="1">
            <wp:simplePos x="0" y="0"/>
            <wp:positionH relativeFrom="page">
              <wp:posOffset>5139690</wp:posOffset>
            </wp:positionH>
            <wp:positionV relativeFrom="paragraph">
              <wp:posOffset>25400</wp:posOffset>
            </wp:positionV>
            <wp:extent cx="615950" cy="621665"/>
            <wp:effectExtent l="0" t="0" r="6350" b="635"/>
            <wp:wrapSquare wrapText="left"/>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ic:nvPicPr>
                  <pic:blipFill>
                    <a:blip r:embed="rId605"/>
                    <a:stretch>
                      <a:fillRect/>
                    </a:stretch>
                  </pic:blipFill>
                  <pic:spPr>
                    <a:xfrm>
                      <a:off x="0" y="0"/>
                      <a:ext cx="615950" cy="621665"/>
                    </a:xfrm>
                    <a:prstGeom prst="rect">
                      <a:avLst/>
                    </a:prstGeom>
                  </pic:spPr>
                </pic:pic>
              </a:graphicData>
            </a:graphic>
          </wp:anchor>
        </w:drawing>
      </w:r>
      <w:bookmarkStart w:id="29" w:name="bookmark78"/>
      <w:bookmarkStart w:id="30" w:name="bookmark77"/>
      <w:bookmarkStart w:id="31" w:name="bookmark79"/>
      <w:r>
        <w:rPr>
          <w:color w:val="000000"/>
          <w:spacing w:val="0"/>
          <w:w w:val="100"/>
          <w:position w:val="0"/>
        </w:rPr>
        <w:t>之诉的裁判规则</w:t>
      </w:r>
      <w:bookmarkEnd w:id="29"/>
      <w:bookmarkEnd w:id="30"/>
      <w:bookmarkEnd w:id="31"/>
    </w:p>
    <w:p w14:paraId="77436146">
      <w:pPr>
        <w:pStyle w:val="17"/>
        <w:keepNext w:val="0"/>
        <w:keepLines w:val="0"/>
        <w:widowControl w:val="0"/>
        <w:shd w:val="clear" w:color="auto" w:fill="auto"/>
        <w:bidi w:val="0"/>
        <w:spacing w:before="0" w:after="420" w:line="307" w:lineRule="exact"/>
        <w:ind w:left="980" w:right="0" w:firstLine="20"/>
        <w:jc w:val="left"/>
      </w:pPr>
      <w:r>
        <w:rPr>
          <w:color w:val="000000"/>
          <w:spacing w:val="0"/>
          <w:w w:val="100"/>
          <w:position w:val="0"/>
        </w:rPr>
        <w:t>黄德鸣、李开俊与皮涛、广元市蜀川矿业有限责任公司案外人执行 异议之诉案丨最高人民法院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最高法民再</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号民事判决书</w:t>
      </w:r>
    </w:p>
    <w:p w14:paraId="2438EB37">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弓长桂龙</w:t>
      </w:r>
      <w:r>
        <w:rPr>
          <w:color w:val="000000"/>
          <w:spacing w:val="0"/>
          <w:w w:val="100"/>
          <w:position w:val="0"/>
        </w:rPr>
        <w:t>浙江大学城市学院法学院</w:t>
      </w:r>
    </w:p>
    <w:p w14:paraId="39CF8424">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0A1939E">
      <w:pPr>
        <w:pStyle w:val="17"/>
        <w:keepNext w:val="0"/>
        <w:keepLines w:val="0"/>
        <w:widowControl w:val="0"/>
        <w:shd w:val="clear" w:color="auto" w:fill="auto"/>
        <w:bidi w:val="0"/>
        <w:spacing w:before="0" w:after="0" w:line="344" w:lineRule="exact"/>
        <w:ind w:left="0" w:right="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年,黄德鸣、李开俊以蜀川公司名义成为新津小贷公司股东，出资</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万元，并全 程参与新津小贷公司筹建，直接参加公司的股东会议、董事会议和监事会议,行使股东权利 和监事权利;公司的利润直接分配给黄德鸣、李开俊，公司知晓黄德鸣、李开俊是蜀川公司 所持股份的实际出资人。</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年，法院判决蜀川公司归还皮涛借款</w:t>
      </w:r>
      <w:r>
        <w:rPr>
          <w:rFonts w:ascii="Times New Roman" w:hAnsi="Times New Roman" w:eastAsia="Times New Roman" w:cs="Times New Roman"/>
          <w:color w:val="000000"/>
          <w:spacing w:val="0"/>
          <w:w w:val="100"/>
          <w:position w:val="0"/>
          <w:sz w:val="19"/>
          <w:szCs w:val="19"/>
        </w:rPr>
        <w:t>452</w:t>
      </w:r>
      <w:r>
        <w:rPr>
          <w:color w:val="000000"/>
          <w:spacing w:val="0"/>
          <w:w w:val="100"/>
          <w:position w:val="0"/>
        </w:rPr>
        <w:t>万元，因蜀川公司 未履行还款义务,皮涛于</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年向法院申请强制执行，法院查封蜀川公司名下股权。黄德 鸣、李开俊向一审法院提出执行异议之诉,主张确认其股权并排除执行，被一审法院釆纳， 但未被二审法院釆纳。</w:t>
      </w:r>
    </w:p>
    <w:p w14:paraId="4BD8079F">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黄德鸣、李开俊向最高人民法院（以下简称最高院）申请再审。其主要理由如下：（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）确 认代持股权的法律关系,是保护合法财产权,不是变相对被查封的股权进行变更和处分，更 不是对抗执行的财产转移行为，二审法院适用法律错误。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蜀川公司因债务纠纷下落不 明，黄德鸣、李开俊在股权锁定到期后事实上无法变更股权。二审法院将正常商业风险承 担作为不能排除执行的过错，适用法律错误。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款的第三人范围应 限于就相关标的从事交易的第三人，且必须满足法定条件，债权人不应保护。</w:t>
      </w:r>
    </w:p>
    <w:p w14:paraId="1E062105">
      <w:pPr>
        <w:pStyle w:val="17"/>
        <w:keepNext w:val="0"/>
        <w:keepLines w:val="0"/>
        <w:widowControl w:val="0"/>
        <w:shd w:val="clear" w:color="auto" w:fill="auto"/>
        <w:bidi w:val="0"/>
        <w:spacing w:before="0" w:after="360" w:line="344" w:lineRule="exact"/>
        <w:ind w:left="0" w:right="0"/>
        <w:jc w:val="both"/>
      </w:pPr>
      <w:r>
        <w:rPr>
          <w:color w:val="000000"/>
          <w:spacing w:val="0"/>
          <w:w w:val="100"/>
          <w:position w:val="0"/>
        </w:rPr>
        <w:t>皮涛辩称，蜀川公司所持新津小贷公司的股权至今未进行股东变更登记，依照《公司 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款的规定，不得对抗第三人。黄德鸣、李开俊与蜀川公司对股权权属的约定 仅具有内部效力，不得对抗外部债权人对显名股东的正当权利。</w:t>
      </w:r>
    </w:p>
    <w:p w14:paraId="4CB4C488">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0030C0A7">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维持二审判决。</w:t>
      </w:r>
    </w:p>
    <w:p w14:paraId="0DE8011D">
      <w:pPr>
        <w:pStyle w:val="17"/>
        <w:keepNext w:val="0"/>
        <w:keepLines w:val="0"/>
        <w:widowControl w:val="0"/>
        <w:shd w:val="clear" w:color="auto" w:fill="auto"/>
        <w:bidi w:val="0"/>
        <w:spacing w:before="0" w:after="0" w:line="343" w:lineRule="exact"/>
        <w:ind w:left="0" w:right="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.确认代持股权的法律关系，并非对已查封股权的处分和转移,不构成执行阻碍，仅是 保护实际出资人的实际权益，确权结果也不能阻却执行。</w:t>
      </w:r>
    </w:p>
    <w:p w14:paraId="12897C74">
      <w:pPr>
        <w:pStyle w:val="17"/>
        <w:keepNext w:val="0"/>
        <w:keepLines w:val="0"/>
        <w:widowControl w:val="0"/>
        <w:shd w:val="clear" w:color="auto" w:fill="auto"/>
        <w:bidi w:val="0"/>
        <w:spacing w:before="0" w:after="220" w:line="355" w:lineRule="exact"/>
        <w:ind w:left="0" w:right="0"/>
        <w:jc w:val="both"/>
        <w:rPr>
          <w:sz w:val="19"/>
          <w:szCs w:val="19"/>
        </w:rPr>
        <w:sectPr>
          <w:footnotePr>
            <w:numFmt w:val="chicago"/>
          </w:footnotePr>
          <w:type w:val="continuous"/>
          <w:pgSz w:w="10099" w:h="14782"/>
          <w:pgMar w:top="1310" w:right="991" w:bottom="1100" w:left="1111" w:header="882" w:footer="672"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.隐名股东怠于变更股权工商登记，同时股权代持形成在先，债权人享有的动态利益优 于隐名股东享有的静态利益，名义股东名下股权可视为债务人的责任财产</w:t>
      </w:r>
      <w:r>
        <w:rPr>
          <w:rFonts w:ascii="Times New Roman" w:hAnsi="Times New Roman" w:eastAsia="Times New Roman" w:cs="Times New Roman"/>
          <w:color w:val="000000"/>
          <w:spacing w:val="0"/>
          <w:w w:val="100"/>
          <w:position w:val="0"/>
          <w:sz w:val="19"/>
          <w:szCs w:val="19"/>
          <w:lang w:val="en-US" w:eastAsia="en-US" w:bidi="en-US"/>
        </w:rPr>
        <w:t>O</w:t>
      </w:r>
    </w:p>
    <w:p w14:paraId="0D0C9754">
      <w:pPr>
        <w:pStyle w:val="17"/>
        <w:keepNext w:val="0"/>
        <w:keepLines w:val="0"/>
        <w:widowControl w:val="0"/>
        <w:shd w:val="clear" w:color="auto" w:fill="auto"/>
        <w:bidi w:val="0"/>
        <w:spacing w:before="0" w:after="0" w:line="346" w:lineRule="exact"/>
        <w:ind w:left="0" w:right="0"/>
        <w:jc w:val="both"/>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rPr>
        <w:t>根据商事外观主义原则，第三人对股权工商登记体现出来的权利外观产生合理信赖， 应受到法律的优先保护，名义股东的非基于股权处分的债权人亦应属于法律保护的</w:t>
      </w:r>
      <w:r>
        <w:rPr>
          <w:color w:val="000000"/>
          <w:spacing w:val="0"/>
          <w:w w:val="100"/>
          <w:position w:val="0"/>
          <w:lang w:val="zh-CN" w:eastAsia="zh-CN" w:bidi="zh-CN"/>
        </w:rPr>
        <w:t xml:space="preserve">“第三 </w:t>
      </w:r>
      <w:r>
        <w:rPr>
          <w:color w:val="000000"/>
          <w:spacing w:val="0"/>
          <w:w w:val="100"/>
          <w:position w:val="0"/>
        </w:rPr>
        <w:t>人”范畴。</w:t>
      </w:r>
    </w:p>
    <w:p w14:paraId="2194B189">
      <w:pPr>
        <w:pStyle w:val="17"/>
        <w:keepNext w:val="0"/>
        <w:keepLines w:val="0"/>
        <w:widowControl w:val="0"/>
        <w:shd w:val="clear" w:color="auto" w:fill="auto"/>
        <w:bidi w:val="0"/>
        <w:spacing w:before="0" w:after="360" w:line="346" w:lineRule="exact"/>
        <w:ind w:left="0" w:right="0"/>
        <w:jc w:val="both"/>
      </w:pPr>
      <w:r>
        <w:rPr>
          <w:color w:val="000000"/>
          <w:spacing w:val="0"/>
          <w:w w:val="100"/>
          <w:position w:val="0"/>
        </w:rPr>
        <w:t>故皮涛作为债权人依据工商登记中记载的股权归属，有权向人民法院申请对该股权强 制执行，二审法院的认定并无不当。黄德鸣、李开俊的再审请求不成立，应予驳回。</w:t>
      </w:r>
    </w:p>
    <w:p w14:paraId="042A9A44">
      <w:pPr>
        <w:pStyle w:val="11"/>
        <w:keepNext w:val="0"/>
        <w:keepLines w:val="0"/>
        <w:widowControl w:val="0"/>
        <w:shd w:val="clear" w:color="auto" w:fill="auto"/>
        <w:bidi w:val="0"/>
        <w:spacing w:before="0" w:after="120" w:line="344" w:lineRule="exact"/>
        <w:ind w:left="0" w:right="0" w:firstLine="0"/>
        <w:jc w:val="both"/>
      </w:pPr>
      <w:r>
        <w:rPr>
          <w:color w:val="000000"/>
          <w:spacing w:val="0"/>
          <w:w w:val="100"/>
          <w:position w:val="0"/>
        </w:rPr>
        <w:t>■评析</w:t>
      </w:r>
    </w:p>
    <w:p w14:paraId="17D3D5E6">
      <w:pPr>
        <w:pStyle w:val="17"/>
        <w:keepNext w:val="0"/>
        <w:keepLines w:val="0"/>
        <w:widowControl w:val="0"/>
        <w:shd w:val="clear" w:color="auto" w:fill="auto"/>
        <w:bidi w:val="0"/>
        <w:spacing w:before="0" w:after="12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653A2679">
      <w:pPr>
        <w:pStyle w:val="17"/>
        <w:keepNext w:val="0"/>
        <w:keepLines w:val="0"/>
        <w:widowControl w:val="0"/>
        <w:shd w:val="clear" w:color="auto" w:fill="auto"/>
        <w:bidi w:val="0"/>
        <w:spacing w:before="0" w:after="180" w:line="346" w:lineRule="exact"/>
        <w:ind w:left="0" w:right="0"/>
        <w:jc w:val="both"/>
      </w:pPr>
      <w:r>
        <w:rPr>
          <w:color w:val="000000"/>
          <w:spacing w:val="0"/>
          <w:w w:val="100"/>
          <w:position w:val="0"/>
        </w:rPr>
        <w:t>本案中，最高院认为，《公司法》第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款中第三人的范围应包括与名义股东存在 或不存在股权交易关系的债权人，隐名股东怠于进行股权变更登记，名义股东债权人对股 权工商登记体现的权利外观产生合理信赖，理应受到法律的优先保护，即使隐名股东提出 确权诉请仍不能阻却名义股东债权人的强制执行。因此，债权人有权执行名义股东所持股 权，排除实际出资人的执行异议。本案中，关于实际出资人阻却债权人对名义股东所持股 权的执行问题，最高院表达了明确的否定态度，这对于理解权利外观、厘清商事交易主体的 权利义务边界，进而指导商事交易和审判实践具有重要意义。</w:t>
      </w:r>
    </w:p>
    <w:p w14:paraId="44C7F917">
      <w:pPr>
        <w:pStyle w:val="17"/>
        <w:keepNext w:val="0"/>
        <w:keepLines w:val="0"/>
        <w:widowControl w:val="0"/>
        <w:shd w:val="clear" w:color="auto" w:fill="auto"/>
        <w:bidi w:val="0"/>
        <w:spacing w:before="0" w:after="12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隐名股东与名义股东债权人执行异议之诉的规范及学理</w:t>
      </w:r>
    </w:p>
    <w:p w14:paraId="1CC38713">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本案关涉公司法和民事执行规范，其核心在于明确《公司法》第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款规定的“第 三人</w:t>
      </w:r>
      <w:r>
        <w:rPr>
          <w:color w:val="000000"/>
          <w:spacing w:val="0"/>
          <w:w w:val="100"/>
          <w:position w:val="0"/>
          <w:lang w:val="zh-CN" w:eastAsia="zh-CN" w:bidi="zh-CN"/>
        </w:rPr>
        <w:t>”是否</w:t>
      </w:r>
      <w:r>
        <w:rPr>
          <w:color w:val="000000"/>
          <w:spacing w:val="0"/>
          <w:w w:val="100"/>
          <w:position w:val="0"/>
        </w:rPr>
        <w:t>包含非股权交易关系的一般债权人，以及隐名股东能否排除名义股东债权人的 执行问题。</w:t>
      </w:r>
    </w:p>
    <w:p w14:paraId="5B4A93C9">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在公司法上，最高人民法院《关于适用〈中华人民共和国公司法〉若干问题的规定 （三）》［法释</w:t>
      </w:r>
      <w:r>
        <w:rPr>
          <w:rFonts w:ascii="Times New Roman" w:hAnsi="Times New Roman" w:eastAsia="Times New Roman" w:cs="Times New Roman"/>
          <w:color w:val="000000"/>
          <w:spacing w:val="0"/>
          <w:w w:val="100"/>
          <w:position w:val="0"/>
          <w:sz w:val="19"/>
          <w:szCs w:val="19"/>
        </w:rPr>
        <w:t>（2014）2</w:t>
      </w:r>
      <w:r>
        <w:rPr>
          <w:color w:val="000000"/>
          <w:spacing w:val="0"/>
          <w:w w:val="100"/>
          <w:position w:val="0"/>
        </w:rPr>
        <w:t>号］（以下简称《公司法解释三》）第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条承认了代持协议的效力，明 确了实际出资人享有投资权益,但并不当然具有股东资格。《公司法》第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款一般 性地规定了工商登记的对抗第三人效力，但是对于第三人的范围并未作出明确规定。《公 司法解释三》第</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条则进一步将名义股东处分和股权多重处分这两类情形下的 受让第三人限定为善意第三人。《民法典》第</w:t>
      </w:r>
      <w:r>
        <w:rPr>
          <w:rFonts w:ascii="Times New Roman" w:hAnsi="Times New Roman" w:eastAsia="Times New Roman" w:cs="Times New Roman"/>
          <w:color w:val="000000"/>
          <w:spacing w:val="0"/>
          <w:w w:val="100"/>
          <w:position w:val="0"/>
          <w:sz w:val="19"/>
          <w:szCs w:val="19"/>
        </w:rPr>
        <w:t>65</w:t>
      </w:r>
      <w:r>
        <w:rPr>
          <w:color w:val="000000"/>
          <w:spacing w:val="0"/>
          <w:w w:val="100"/>
          <w:position w:val="0"/>
        </w:rPr>
        <w:t>条则统一明确法人的实际情况与登记事项 不一致时，不得对抗善意相对人的规则。《公司法解释三》第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条则规定了公司债务不能 清偿时，名义股东不得对抗债权人，但可以向实际出资人追偿。</w:t>
      </w:r>
    </w:p>
    <w:p w14:paraId="0D81C04B">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就执行规则而言,最高人民法院《关于人民法院办理执行异议和复议案件若干问题的 规定》第</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条规定了对案外人是否属于股权执行异议权利人按照工商登记判断的规则。 最高人民法院《关于审理执行异议之诉案件适用法律问题的解释（一）》（征求意见稿）第</w:t>
      </w:r>
      <w:r>
        <w:rPr>
          <w:rFonts w:ascii="Times New Roman" w:hAnsi="Times New Roman" w:eastAsia="Times New Roman" w:cs="Times New Roman"/>
          <w:color w:val="000000"/>
          <w:spacing w:val="0"/>
          <w:w w:val="100"/>
          <w:position w:val="0"/>
          <w:sz w:val="19"/>
          <w:szCs w:val="19"/>
        </w:rPr>
        <w:t xml:space="preserve">13 </w:t>
      </w:r>
      <w:r>
        <w:rPr>
          <w:color w:val="000000"/>
          <w:spacing w:val="0"/>
          <w:w w:val="100"/>
          <w:position w:val="0"/>
        </w:rPr>
        <w:t>条对隐名股东请求排除名义股东债权人强制执行的问题则举棋未定,给出了支持和反对的 两个相反方案。</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年《全国法院民商事审判工作会议纪要》（征求意见稿）第</w:t>
      </w:r>
      <w:r>
        <w:rPr>
          <w:rFonts w:ascii="Times New Roman" w:hAnsi="Times New Roman" w:eastAsia="Times New Roman" w:cs="Times New Roman"/>
          <w:color w:val="000000"/>
          <w:spacing w:val="0"/>
          <w:w w:val="100"/>
          <w:position w:val="0"/>
          <w:sz w:val="19"/>
          <w:szCs w:val="19"/>
        </w:rPr>
        <w:t>119</w:t>
      </w:r>
      <w:r>
        <w:rPr>
          <w:color w:val="000000"/>
          <w:spacing w:val="0"/>
          <w:w w:val="100"/>
          <w:position w:val="0"/>
        </w:rPr>
        <w:t>条曾讨 论隐名股东阻却债权人强制执行的问题，但在正式稿中则删除了该规定。</w:t>
      </w:r>
    </w:p>
    <w:p w14:paraId="0298A1CB">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有部分学说认为，《公司法》第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条中的第三人包含一般债权人,隐名股东一般不得对 抗名义股东债权人的强制执行。原因在于，善意的普通债权人同样具有信赖利益,怠于进 行权利变动的权利人不值得保护（尹田、尹伊:《论对未经登记及登记不实财产的强制执行》，载《法 律适用》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期），且此举能有效遏制恶意的执行异议之诉（刘俊海:《代持股权作为执行 标的时隐名股东的异议权研究》，载《天津法学》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期）。此外，审判程序与执行程序判断 机理不同，工商登记具有社会公示性，因此，在股权强制执行中应以工商登记为依据（肖建 国：《执行标的实体权属的判断标准——以案外人异议的审查为中心的研究》，载《政法论坛》</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8A154C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另有部分学说认为，公司法中的第三人不应包含一般债权人，隐名股东一般可以对抗 名义股东债权人的强制执行。原因在于,股权登记具有宣示性，仅具有对抗效力，并不具有 权利外观,因此不应在执行程序中适用外观主义原则，而应回到实质主义（王延川：《执行程序 中权利外观优先保护之检讨——以名义股东股权被执行为例》，载《法学杂志》</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期）。而且， 商法外观主义原则应定位于商事交易,非商事交易第三人的信赖不受保护（张勇健:《商事审 判运用外观主义原则的范围探讨——与最高院〈关于适用《中华人民共和国公司法》若干问题的规定 （三）〉相关条文对照》，载《法律适用》</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期》。此外,案外人在执行异议之诉中可以一并 提起确权之诉讼请求，隐名股东若符合股东资格的本质要求，则是股权利益的最终归属者, 该权利具有物权属性。因而,应优先于一般债权人的债权［钱玉文、周运宝:《论执行异议之诉中 隐名股东资格的确认》，载《常州大学学报》（社会科学版</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21809DD">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此外，有折中观点认为,司法实践中应注重实际出资人和一般债权人的利益平衡，对债 权人的保护应视情况而定。因为，隐名股东和一般债权人对名义股东的权利均为债权，无 所谓孰优孰劣，但隐名股东就权利外观的形成具有故意或者重大过失的，而且名义股东无 其他财产可供执行时,债权人可以排除隐名股东的执行异议［邓国鹏:《关于权利外观主义在执 行异议之诉中的适用问题》，载《法院改革与民商事审判问题研究</w:t>
      </w:r>
      <w:r>
        <w:rPr>
          <w:color w:val="000000"/>
          <w:spacing w:val="0"/>
          <w:w w:val="100"/>
          <w:position w:val="0"/>
          <w:lang w:val="en-US" w:eastAsia="en-US" w:bidi="en-US"/>
        </w:rPr>
        <w:t>一一</w:t>
      </w:r>
      <w:r>
        <w:rPr>
          <w:color w:val="000000"/>
          <w:spacing w:val="0"/>
          <w:w w:val="100"/>
          <w:position w:val="0"/>
        </w:rPr>
        <w:t>全国法院第</w:t>
      </w:r>
      <w:r>
        <w:rPr>
          <w:rFonts w:ascii="Times New Roman" w:hAnsi="Times New Roman" w:eastAsia="Times New Roman" w:cs="Times New Roman"/>
          <w:color w:val="000000"/>
          <w:spacing w:val="0"/>
          <w:w w:val="100"/>
          <w:position w:val="0"/>
          <w:sz w:val="17"/>
          <w:szCs w:val="17"/>
        </w:rPr>
        <w:t>29</w:t>
      </w:r>
      <w:r>
        <w:rPr>
          <w:color w:val="000000"/>
          <w:spacing w:val="0"/>
          <w:w w:val="100"/>
          <w:position w:val="0"/>
        </w:rPr>
        <w:t>届学术讨论会获 奖论文集</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年版］。亦有类似观点认为，外观主义与事实标准均有论证上的缺陷，司 法实践中应扩张外观标准的适用,当隐名股东具备可归责性而且一般债权人合理信赖时才 可以优先保护债权人，同时应考虑执行效率和社会效果。［陈林莉:《外观或事实：隐名股东执行 异议之诉的裁判标准》，载《深化司法改革与行政审判实践研究（下）——全国法院第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届学术讨论会 获奖论文集》</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2C170EB">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综上所述，关于隐名股东与名义股东债权人执行异议之诉的裁判规则,学说上主要存 在以下几种观点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隐名股东一般不得对抗名义股东债权人的强制执行。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隐名股东一 般可以对抗名义股东债权人的强制执行。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隐名股东可归责且名义股东无其他可供执行 财产时，不得对抗名义股东债权人的强制执行，同时应综合考虑执行效率和社会效果。从 本案的判决书来看,非股权交易债权人亦被纳入《公司法》第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条的第三人范围，隐名股东 未经登记不得对抗此类债权人的强制执行，其处理更接近第一种学说的主张。</w:t>
      </w:r>
    </w:p>
    <w:p w14:paraId="7147829E">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212340FB">
      <w:pPr>
        <w:pStyle w:val="17"/>
        <w:keepNext w:val="0"/>
        <w:keepLines w:val="0"/>
        <w:widowControl w:val="0"/>
        <w:shd w:val="clear" w:color="auto" w:fill="auto"/>
        <w:bidi w:val="0"/>
        <w:spacing w:before="0" w:after="0" w:line="340" w:lineRule="exact"/>
        <w:ind w:left="0" w:right="0"/>
        <w:jc w:val="both"/>
      </w:pPr>
      <w:r>
        <w:rPr>
          <w:color w:val="000000"/>
          <w:spacing w:val="0"/>
          <w:w w:val="100"/>
          <w:position w:val="0"/>
        </w:rPr>
        <w:t>在本判决之前，关于隐名股东与名义股东债权人执行异议之诉的裁判规则，最高院的 态度一直处于摇摆的状态，呈现完全相反的两种立场，且均有不少判例予以支撑:一种裁判 观点和本判决类似，即隐名股东不得排除名义股东债权人的强制执行;另一种裁判观点则 恰好相反，即隐名股东可以排除名义股东债权人的强制执行。截然相反的裁判观点的核心 分歧在于，对《公司法》第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款第三人范围的理解存在争议。前者认为，《公司法》第 </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款第三人并不限于从事股权交易的第三人，作为非股权交易的一般债权人应属第 三人之列，因此未登记的隐名股东不得对抗一般债权人的强制执行;后者认为，《公司法》第 </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款第三人应仅限于从事股权交易的第三人，因此隐名股东可以阻却非股权交易的 一般债权人的执行。</w:t>
      </w:r>
    </w:p>
    <w:p w14:paraId="5EB65EE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前者如</w:t>
      </w:r>
      <w:r>
        <w:rPr>
          <w:color w:val="000000"/>
          <w:spacing w:val="0"/>
          <w:w w:val="100"/>
          <w:position w:val="0"/>
          <w:lang w:val="zh-CN" w:eastAsia="zh-CN" w:bidi="zh-CN"/>
        </w:rPr>
        <w:t>“哈</w:t>
      </w:r>
      <w:r>
        <w:rPr>
          <w:color w:val="000000"/>
          <w:spacing w:val="0"/>
          <w:w w:val="100"/>
          <w:position w:val="0"/>
        </w:rPr>
        <w:t>尔滨国家粮食交易中心与哈尔滨银行股份有限公司科技支行等执行异议纠 纷上诉案”［最高人民法院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号民事判决书］</w:t>
      </w:r>
      <w:r>
        <w:rPr>
          <w:color w:val="000000"/>
          <w:spacing w:val="0"/>
          <w:w w:val="100"/>
          <w:position w:val="0"/>
          <w:lang w:val="zh-CN" w:eastAsia="zh-CN" w:bidi="zh-CN"/>
        </w:rPr>
        <w:t>、“中</w:t>
      </w:r>
      <w:r>
        <w:rPr>
          <w:color w:val="000000"/>
          <w:spacing w:val="0"/>
          <w:w w:val="100"/>
          <w:position w:val="0"/>
        </w:rPr>
        <w:t>信银行股份有限公司济南 分行、海航集团有限公司执行异议之诉案”［最高人民法院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民再</w:t>
      </w:r>
      <w:r>
        <w:rPr>
          <w:rFonts w:ascii="Times New Roman" w:hAnsi="Times New Roman" w:eastAsia="Times New Roman" w:cs="Times New Roman"/>
          <w:color w:val="000000"/>
          <w:spacing w:val="0"/>
          <w:w w:val="100"/>
          <w:position w:val="0"/>
          <w:sz w:val="17"/>
          <w:szCs w:val="17"/>
        </w:rPr>
        <w:t>360</w:t>
      </w:r>
      <w:r>
        <w:rPr>
          <w:color w:val="000000"/>
          <w:spacing w:val="0"/>
          <w:w w:val="100"/>
          <w:position w:val="0"/>
        </w:rPr>
        <w:t>号民事判决书］</w:t>
      </w:r>
      <w:r>
        <w:rPr>
          <w:color w:val="000000"/>
          <w:spacing w:val="0"/>
          <w:w w:val="100"/>
          <w:position w:val="0"/>
          <w:lang w:val="zh-CN" w:eastAsia="zh-CN" w:bidi="zh-CN"/>
        </w:rPr>
        <w:t xml:space="preserve">、“王 </w:t>
      </w:r>
      <w:r>
        <w:rPr>
          <w:color w:val="000000"/>
          <w:spacing w:val="0"/>
          <w:w w:val="100"/>
          <w:position w:val="0"/>
        </w:rPr>
        <w:t>仁岐与刘爱苹、詹志才等执行异议之诉案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民申</w:t>
      </w:r>
      <w:r>
        <w:rPr>
          <w:rFonts w:ascii="Times New Roman" w:hAnsi="Times New Roman" w:eastAsia="Times New Roman" w:cs="Times New Roman"/>
          <w:color w:val="000000"/>
          <w:spacing w:val="0"/>
          <w:w w:val="100"/>
          <w:position w:val="0"/>
          <w:sz w:val="17"/>
          <w:szCs w:val="17"/>
        </w:rPr>
        <w:t>3132</w:t>
      </w:r>
      <w:r>
        <w:rPr>
          <w:color w:val="000000"/>
          <w:spacing w:val="0"/>
          <w:w w:val="100"/>
          <w:position w:val="0"/>
        </w:rPr>
        <w:t>号民事裁定书］</w:t>
      </w:r>
      <w:r>
        <w:rPr>
          <w:color w:val="000000"/>
          <w:spacing w:val="0"/>
          <w:w w:val="100"/>
          <w:position w:val="0"/>
          <w:lang w:val="zh-CN" w:eastAsia="zh-CN" w:bidi="zh-CN"/>
        </w:rPr>
        <w:t xml:space="preserve">、“易 </w:t>
      </w:r>
      <w:r>
        <w:rPr>
          <w:color w:val="000000"/>
          <w:spacing w:val="0"/>
          <w:w w:val="100"/>
          <w:position w:val="0"/>
        </w:rPr>
        <w:t>某萍与萍乡市富新节能服务有限公司等案外人执行异议之诉纠纷案”［最高人民法院</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rPr>
        <w:t>民申</w:t>
      </w:r>
      <w:r>
        <w:rPr>
          <w:rFonts w:ascii="Times New Roman" w:hAnsi="Times New Roman" w:eastAsia="Times New Roman" w:cs="Times New Roman"/>
          <w:color w:val="000000"/>
          <w:spacing w:val="0"/>
          <w:w w:val="100"/>
          <w:position w:val="0"/>
          <w:sz w:val="17"/>
          <w:szCs w:val="17"/>
        </w:rPr>
        <w:t>3511</w:t>
      </w:r>
      <w:r>
        <w:rPr>
          <w:color w:val="000000"/>
          <w:spacing w:val="0"/>
          <w:w w:val="100"/>
          <w:position w:val="0"/>
        </w:rPr>
        <w:t>号民事裁定书］</w:t>
      </w:r>
      <w:r>
        <w:rPr>
          <w:color w:val="000000"/>
          <w:spacing w:val="0"/>
          <w:w w:val="100"/>
          <w:position w:val="0"/>
          <w:lang w:val="zh-CN" w:eastAsia="zh-CN" w:bidi="zh-CN"/>
        </w:rPr>
        <w:t>、“黄</w:t>
      </w:r>
      <w:r>
        <w:rPr>
          <w:color w:val="000000"/>
          <w:spacing w:val="0"/>
          <w:w w:val="100"/>
          <w:position w:val="0"/>
        </w:rPr>
        <w:t>晓峰、李涛案外人执行异议之诉案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 xml:space="preserve">民申 </w:t>
      </w:r>
      <w:r>
        <w:rPr>
          <w:rFonts w:ascii="Times New Roman" w:hAnsi="Times New Roman" w:eastAsia="Times New Roman" w:cs="Times New Roman"/>
          <w:color w:val="000000"/>
          <w:spacing w:val="0"/>
          <w:w w:val="100"/>
          <w:position w:val="0"/>
          <w:sz w:val="17"/>
          <w:szCs w:val="17"/>
        </w:rPr>
        <w:t>5926</w:t>
      </w:r>
      <w:r>
        <w:rPr>
          <w:color w:val="000000"/>
          <w:spacing w:val="0"/>
          <w:w w:val="100"/>
          <w:position w:val="0"/>
        </w:rPr>
        <w:t>号民事裁定书］等。此类判决的核心观点是:《公司法》第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款的第三人范围并不 限缩于与名义股东存在股权交易关系的债权人,名义股东的非基于股权处分的债权人亦应 属于法律保护的“第三人”范畴。根据商事外观主义原则，第三人对有关公示体现岀来的权 利外观产生合理信赖,理应受到法律的优先保护，因此，名义股东成为被执行人时，债权人 依据工商登记中记载的股权归属,有权申请对该股权强制执行。</w:t>
      </w:r>
    </w:p>
    <w:p w14:paraId="6AC956BF">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后者如</w:t>
      </w:r>
      <w:r>
        <w:rPr>
          <w:color w:val="000000"/>
          <w:spacing w:val="0"/>
          <w:w w:val="100"/>
          <w:position w:val="0"/>
          <w:lang w:val="zh-CN" w:eastAsia="zh-CN" w:bidi="zh-CN"/>
        </w:rPr>
        <w:t>“中</w:t>
      </w:r>
      <w:r>
        <w:rPr>
          <w:color w:val="000000"/>
          <w:spacing w:val="0"/>
          <w:w w:val="100"/>
          <w:position w:val="0"/>
        </w:rPr>
        <w:t>国银行股份有限公司西安南郊支行申请上海华冠投资有限公司执行人执行 异议之诉案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民申</w:t>
      </w:r>
      <w:r>
        <w:rPr>
          <w:rFonts w:ascii="Times New Roman" w:hAnsi="Times New Roman" w:eastAsia="Times New Roman" w:cs="Times New Roman"/>
          <w:color w:val="000000"/>
          <w:spacing w:val="0"/>
          <w:w w:val="100"/>
          <w:position w:val="0"/>
          <w:sz w:val="17"/>
          <w:szCs w:val="17"/>
        </w:rPr>
        <w:t>2381</w:t>
      </w:r>
      <w:r>
        <w:rPr>
          <w:color w:val="000000"/>
          <w:spacing w:val="0"/>
          <w:w w:val="100"/>
          <w:position w:val="0"/>
        </w:rPr>
        <w:t>号民事裁定书］</w:t>
      </w:r>
      <w:r>
        <w:rPr>
          <w:color w:val="000000"/>
          <w:spacing w:val="0"/>
          <w:w w:val="100"/>
          <w:position w:val="0"/>
          <w:lang w:val="zh-CN" w:eastAsia="zh-CN" w:bidi="zh-CN"/>
        </w:rPr>
        <w:t>、“江</w:t>
      </w:r>
      <w:r>
        <w:rPr>
          <w:color w:val="000000"/>
          <w:spacing w:val="0"/>
          <w:w w:val="100"/>
          <w:position w:val="0"/>
        </w:rPr>
        <w:t>志权与谢德平、张开良、钟瑞 彤执行异议之诉案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5464</w:t>
      </w:r>
      <w:r>
        <w:rPr>
          <w:color w:val="000000"/>
          <w:spacing w:val="0"/>
          <w:w w:val="100"/>
          <w:position w:val="0"/>
        </w:rPr>
        <w:t>号民事裁定书］</w:t>
      </w:r>
      <w:r>
        <w:rPr>
          <w:color w:val="000000"/>
          <w:spacing w:val="0"/>
          <w:w w:val="100"/>
          <w:position w:val="0"/>
          <w:lang w:val="zh-CN" w:eastAsia="zh-CN" w:bidi="zh-CN"/>
        </w:rPr>
        <w:t>、“范</w:t>
      </w:r>
      <w:r>
        <w:rPr>
          <w:color w:val="000000"/>
          <w:spacing w:val="0"/>
          <w:w w:val="100"/>
          <w:position w:val="0"/>
        </w:rPr>
        <w:t>文美、聂新春与 洪国安、韩珍福等执行异议之诉”［最高人民法院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民申</w:t>
      </w:r>
      <w:r>
        <w:rPr>
          <w:rFonts w:ascii="Times New Roman" w:hAnsi="Times New Roman" w:eastAsia="Times New Roman" w:cs="Times New Roman"/>
          <w:color w:val="000000"/>
          <w:spacing w:val="0"/>
          <w:w w:val="100"/>
          <w:position w:val="0"/>
          <w:sz w:val="17"/>
          <w:szCs w:val="17"/>
        </w:rPr>
        <w:t>1326</w:t>
      </w:r>
      <w:r>
        <w:rPr>
          <w:color w:val="000000"/>
          <w:spacing w:val="0"/>
          <w:w w:val="100"/>
          <w:position w:val="0"/>
        </w:rPr>
        <w:t>号民事裁定书］,此类判决的核 心观点是,商事外观主义旨在降低成本,维护交易安全，是权衡实际权利人与第三人利益冲 突的法律适用准则,一般不能直接作为案件处理依据。根据《公司法解释三》第</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条，股权 善意取得制度仅适用于与名义股东存在股权交易的第三人。据此,商事外观主义原则的适 用范围不包括非股权交易第三人。申请执行人并非针对名义股东名下股权从事交易，仅仅 因为债务纠纷而寻查名义股东财产，并无信赖利益保护的需要。若适用商事外观主义原 则,将侵犯隐名股东合法权利。</w:t>
      </w:r>
    </w:p>
    <w:p w14:paraId="6A28BDB6">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64CC42C5">
      <w:pPr>
        <w:pStyle w:val="17"/>
        <w:keepNext w:val="0"/>
        <w:keepLines w:val="0"/>
        <w:widowControl w:val="0"/>
        <w:shd w:val="clear" w:color="auto" w:fill="auto"/>
        <w:bidi w:val="0"/>
        <w:spacing w:before="0" w:after="400" w:line="344" w:lineRule="exact"/>
        <w:ind w:left="0" w:right="0" w:firstLine="420"/>
        <w:jc w:val="both"/>
      </w:pPr>
      <w:r>
        <w:rPr>
          <w:color w:val="000000"/>
          <w:spacing w:val="0"/>
          <w:w w:val="100"/>
          <w:position w:val="0"/>
        </w:rPr>
        <w:t>本判决中，最高院通过对商事外观主义的司法运用，确立了对股权工商登记合理信赖 的第三人认定规则，将非商事交易的一般债权人纳入《公司法》第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款的第三人范 围，为债权人申请强制执行名义股东名下股权提供了理论和规范依据，有助于协调隐名股 东执行异议之诉的司法认识。着眼于将来，对于隐名股东和名义股东债权人的利益冲突， 仍然有许多悬而未决的问题。例如，本案涉及的是一般债权人申请执行程序在前,隐名股 东执行异议之诉在后的裁判规则,若隐名股东率先提起股权确权之诉，一般债权人申请执 行程序在后，两者的利益保护孰优孰劣呢？诸多问题仍然有待进一步的研究。</w:t>
      </w:r>
    </w:p>
    <w:p w14:paraId="09E19348">
      <w:pPr>
        <w:pStyle w:val="11"/>
        <w:keepNext w:val="0"/>
        <w:keepLines w:val="0"/>
        <w:widowControl w:val="0"/>
        <w:shd w:val="clear" w:color="auto" w:fill="auto"/>
        <w:bidi w:val="0"/>
        <w:spacing w:before="0" w:after="60" w:line="304" w:lineRule="exact"/>
        <w:ind w:left="0" w:right="0" w:firstLine="0"/>
        <w:jc w:val="both"/>
      </w:pPr>
      <w:r>
        <w:rPr>
          <w:color w:val="000000"/>
          <w:spacing w:val="0"/>
          <w:w w:val="100"/>
          <w:position w:val="0"/>
        </w:rPr>
        <w:t>回参考文献</w:t>
      </w:r>
    </w:p>
    <w:p w14:paraId="705DDB04">
      <w:pPr>
        <w:pStyle w:val="17"/>
        <w:keepNext w:val="0"/>
        <w:keepLines w:val="0"/>
        <w:widowControl w:val="0"/>
        <w:shd w:val="clear" w:color="auto" w:fill="auto"/>
        <w:bidi w:val="0"/>
        <w:spacing w:before="0" w:after="0" w:line="312" w:lineRule="exact"/>
        <w:ind w:left="200" w:right="0" w:hanging="200"/>
        <w:jc w:val="both"/>
      </w:pPr>
      <w:r>
        <w:rPr>
          <w:color w:val="000000"/>
          <w:spacing w:val="0"/>
          <w:w w:val="100"/>
          <w:position w:val="0"/>
        </w:rPr>
        <w:t>肖建国：《执行标的实体权属的判断标准——以案外人异议的审查为中心的研究》，载《政法论坛》</w:t>
      </w:r>
      <w:r>
        <w:rPr>
          <w:rFonts w:ascii="Times New Roman" w:hAnsi="Times New Roman" w:eastAsia="Times New Roman" w:cs="Times New Roman"/>
          <w:color w:val="000000"/>
          <w:spacing w:val="0"/>
          <w:w w:val="100"/>
          <w:position w:val="0"/>
          <w:sz w:val="17"/>
          <w:szCs w:val="17"/>
        </w:rPr>
        <w:t xml:space="preserve">2010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B110D86">
      <w:pPr>
        <w:pStyle w:val="17"/>
        <w:keepNext w:val="0"/>
        <w:keepLines w:val="0"/>
        <w:widowControl w:val="0"/>
        <w:shd w:val="clear" w:color="auto" w:fill="auto"/>
        <w:bidi w:val="0"/>
        <w:spacing w:before="0" w:after="0" w:line="295" w:lineRule="exact"/>
        <w:ind w:left="200" w:right="0" w:hanging="200"/>
        <w:jc w:val="both"/>
      </w:pPr>
      <w:r>
        <w:rPr>
          <w:color w:val="000000"/>
          <w:spacing w:val="0"/>
          <w:w w:val="100"/>
          <w:position w:val="0"/>
        </w:rPr>
        <w:t>张勇健:《商事审判运用外观主义原则的范围探讨——与最高院〈关于适用《中华人民共和国公司法》若 干问题的规定（三）〉相关条文对照》，载《法律适用》</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59529659">
      <w:pPr>
        <w:pStyle w:val="17"/>
        <w:keepNext w:val="0"/>
        <w:keepLines w:val="0"/>
        <w:widowControl w:val="0"/>
        <w:shd w:val="clear" w:color="auto" w:fill="auto"/>
        <w:bidi w:val="0"/>
        <w:spacing w:before="0" w:after="0" w:line="295" w:lineRule="exact"/>
        <w:ind w:left="0" w:right="0" w:firstLine="0"/>
        <w:jc w:val="left"/>
      </w:pPr>
      <w:r>
        <w:rPr>
          <w:color w:val="000000"/>
          <w:spacing w:val="0"/>
          <w:w w:val="100"/>
          <w:position w:val="0"/>
        </w:rPr>
        <w:t>尹田、尹伊:《论对未经登记及登记不实财产的强制执行》，载《法律适用》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w:t>
      </w:r>
    </w:p>
    <w:p w14:paraId="31859D43">
      <w:pPr>
        <w:pStyle w:val="17"/>
        <w:keepNext w:val="0"/>
        <w:keepLines w:val="0"/>
        <w:widowControl w:val="0"/>
        <w:shd w:val="clear" w:color="auto" w:fill="auto"/>
        <w:bidi w:val="0"/>
        <w:spacing w:before="0" w:after="0" w:line="338" w:lineRule="exact"/>
        <w:ind w:left="200" w:right="0" w:hanging="200"/>
        <w:jc w:val="both"/>
      </w:pPr>
      <w:r>
        <w:rPr>
          <w:color w:val="000000"/>
          <w:spacing w:val="0"/>
          <w:w w:val="100"/>
          <w:position w:val="0"/>
        </w:rPr>
        <w:t>钱玉文、周运宝：《论执行异议之诉中隐名股东资格的确认》，载《常州大学学报》（社会科学版</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D00528D">
      <w:pPr>
        <w:pStyle w:val="17"/>
        <w:keepNext w:val="0"/>
        <w:keepLines w:val="0"/>
        <w:widowControl w:val="0"/>
        <w:shd w:val="clear" w:color="auto" w:fill="auto"/>
        <w:bidi w:val="0"/>
        <w:spacing w:before="0" w:after="0" w:line="310" w:lineRule="exact"/>
        <w:ind w:left="200" w:right="0" w:hanging="200"/>
        <w:jc w:val="both"/>
      </w:pPr>
      <w:r>
        <w:rPr>
          <w:color w:val="000000"/>
          <w:spacing w:val="0"/>
          <w:w w:val="100"/>
          <w:position w:val="0"/>
        </w:rPr>
        <w:t>王延川：《执行程序中权利外观优先保护之检讨——以名义股东股权被执行为例》，载《法学杂志》</w:t>
      </w:r>
      <w:r>
        <w:rPr>
          <w:rFonts w:ascii="Times New Roman" w:hAnsi="Times New Roman" w:eastAsia="Times New Roman" w:cs="Times New Roman"/>
          <w:color w:val="000000"/>
          <w:spacing w:val="0"/>
          <w:w w:val="100"/>
          <w:position w:val="0"/>
          <w:sz w:val="17"/>
          <w:szCs w:val="17"/>
        </w:rPr>
        <w:t xml:space="preserve">2015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EC8D454">
      <w:pPr>
        <w:pStyle w:val="17"/>
        <w:keepNext w:val="0"/>
        <w:keepLines w:val="0"/>
        <w:widowControl w:val="0"/>
        <w:shd w:val="clear" w:color="auto" w:fill="auto"/>
        <w:bidi w:val="0"/>
        <w:spacing w:before="0" w:after="0" w:line="298" w:lineRule="exact"/>
        <w:ind w:left="200" w:right="0" w:hanging="200"/>
        <w:jc w:val="both"/>
      </w:pPr>
      <w:r>
        <w:rPr>
          <w:color w:val="000000"/>
          <w:spacing w:val="0"/>
          <w:w w:val="100"/>
          <w:position w:val="0"/>
        </w:rPr>
        <w:t>陈林莉:《外观或事实：隐名股东执行异议之诉的裁判标准》，载《深化司法改革与行政审判实践研究 （下）一全国法院第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届学术讨论会获奖论文集》</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9B43D49">
      <w:pPr>
        <w:pStyle w:val="17"/>
        <w:keepNext w:val="0"/>
        <w:keepLines w:val="0"/>
        <w:widowControl w:val="0"/>
        <w:shd w:val="clear" w:color="auto" w:fill="auto"/>
        <w:bidi w:val="0"/>
        <w:spacing w:before="0" w:after="0" w:line="295" w:lineRule="exact"/>
        <w:ind w:left="200" w:right="0" w:hanging="200"/>
        <w:jc w:val="both"/>
      </w:pPr>
      <w:r>
        <w:rPr>
          <w:color w:val="000000"/>
          <w:spacing w:val="0"/>
          <w:w w:val="100"/>
          <w:position w:val="0"/>
        </w:rPr>
        <w:t>邓国鹏:《关于权利外观主义在执行异议之诉中的适用问题》，载《法院改革与民商事审判问题研究</w:t>
      </w:r>
      <w:r>
        <w:rPr>
          <w:color w:val="000000"/>
          <w:spacing w:val="0"/>
          <w:w w:val="100"/>
          <w:position w:val="0"/>
          <w:lang w:val="en-US" w:eastAsia="en-US" w:bidi="en-US"/>
        </w:rPr>
        <w:t>一</w:t>
      </w:r>
      <w:r>
        <w:rPr>
          <w:color w:val="000000"/>
          <w:spacing w:val="0"/>
          <w:w w:val="100"/>
          <w:position w:val="0"/>
        </w:rPr>
        <w:t>一全 国法院第</w:t>
      </w:r>
      <w:r>
        <w:rPr>
          <w:rFonts w:ascii="Times New Roman" w:hAnsi="Times New Roman" w:eastAsia="Times New Roman" w:cs="Times New Roman"/>
          <w:color w:val="000000"/>
          <w:spacing w:val="0"/>
          <w:w w:val="100"/>
          <w:position w:val="0"/>
          <w:sz w:val="17"/>
          <w:szCs w:val="17"/>
        </w:rPr>
        <w:t>29</w:t>
      </w:r>
      <w:r>
        <w:rPr>
          <w:color w:val="000000"/>
          <w:spacing w:val="0"/>
          <w:w w:val="100"/>
          <w:position w:val="0"/>
        </w:rPr>
        <w:t>届学术讨论会获奖论文集</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1069A6B8">
      <w:pPr>
        <w:pStyle w:val="17"/>
        <w:keepNext w:val="0"/>
        <w:keepLines w:val="0"/>
        <w:widowControl w:val="0"/>
        <w:shd w:val="clear" w:color="auto" w:fill="auto"/>
        <w:bidi w:val="0"/>
        <w:spacing w:before="0" w:after="0" w:line="295" w:lineRule="exact"/>
        <w:ind w:left="200" w:right="0" w:hanging="200"/>
        <w:jc w:val="both"/>
        <w:sectPr>
          <w:headerReference r:id="rId91" w:type="default"/>
          <w:headerReference r:id="rId92" w:type="even"/>
          <w:footnotePr>
            <w:numFmt w:val="chicago"/>
          </w:footnotePr>
          <w:pgSz w:w="10099" w:h="14782"/>
          <w:pgMar w:top="1310" w:right="991" w:bottom="1100" w:left="1111" w:header="0" w:footer="3" w:gutter="0"/>
          <w:pgNumType w:start="53"/>
          <w:cols w:space="720" w:num="1"/>
          <w:rtlGutter w:val="0"/>
          <w:docGrid w:linePitch="360" w:charSpace="0"/>
        </w:sectPr>
      </w:pPr>
      <w:r>
        <w:rPr>
          <w:color w:val="000000"/>
          <w:spacing w:val="0"/>
          <w:w w:val="100"/>
          <w:position w:val="0"/>
        </w:rPr>
        <w:t>刘俊海:《代持股权作为执行标的时隐名股东的异议权研究》，载《天津法学》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74632D0">
      <w:pPr>
        <w:widowControl w:val="0"/>
        <w:spacing w:line="1" w:lineRule="exact"/>
      </w:pPr>
      <w:r>
        <w:drawing>
          <wp:anchor distT="0" distB="0" distL="114300" distR="3563620" simplePos="0" relativeHeight="251660288" behindDoc="0" locked="0" layoutInCell="1" allowOverlap="1">
            <wp:simplePos x="0" y="0"/>
            <wp:positionH relativeFrom="page">
              <wp:posOffset>685800</wp:posOffset>
            </wp:positionH>
            <wp:positionV relativeFrom="paragraph">
              <wp:posOffset>12700</wp:posOffset>
            </wp:positionV>
            <wp:extent cx="481330" cy="414655"/>
            <wp:effectExtent l="0" t="0" r="1270" b="4445"/>
            <wp:wrapTopAndBottom/>
            <wp:docPr id="193" name="Shape 193"/>
            <wp:cNvGraphicFramePr/>
            <a:graphic xmlns:a="http://schemas.openxmlformats.org/drawingml/2006/main">
              <a:graphicData uri="http://schemas.openxmlformats.org/drawingml/2006/picture">
                <pic:pic xmlns:pic="http://schemas.openxmlformats.org/drawingml/2006/picture">
                  <pic:nvPicPr>
                    <pic:cNvPr id="193" name="Shape 193"/>
                    <pic:cNvPicPr/>
                  </pic:nvPicPr>
                  <pic:blipFill>
                    <a:blip r:embed="rId606"/>
                    <a:stretch>
                      <a:fillRect/>
                    </a:stretch>
                  </pic:blipFill>
                  <pic:spPr>
                    <a:xfrm>
                      <a:off x="0" y="0"/>
                      <a:ext cx="481330" cy="414655"/>
                    </a:xfrm>
                    <a:prstGeom prst="rect">
                      <a:avLst/>
                    </a:prstGeom>
                  </pic:spPr>
                </pic:pic>
              </a:graphicData>
            </a:graphic>
          </wp:anchor>
        </w:drawing>
      </w:r>
      <w:r>
        <mc:AlternateContent>
          <mc:Choice Requires="wps">
            <w:drawing>
              <wp:anchor distT="140335" distB="36830" distL="723900" distR="114300" simplePos="0" relativeHeight="251660288" behindDoc="0" locked="0" layoutInCell="1" allowOverlap="1">
                <wp:simplePos x="0" y="0"/>
                <wp:positionH relativeFrom="page">
                  <wp:posOffset>1295400</wp:posOffset>
                </wp:positionH>
                <wp:positionV relativeFrom="paragraph">
                  <wp:posOffset>153035</wp:posOffset>
                </wp:positionV>
                <wp:extent cx="3321050" cy="237490"/>
                <wp:effectExtent l="0" t="0" r="0" b="0"/>
                <wp:wrapTopAndBottom/>
                <wp:docPr id="195" name="Shape 195"/>
                <wp:cNvGraphicFramePr/>
                <a:graphic xmlns:a="http://schemas.openxmlformats.org/drawingml/2006/main">
                  <a:graphicData uri="http://schemas.microsoft.com/office/word/2010/wordprocessingShape">
                    <wps:wsp>
                      <wps:cNvSpPr txBox="1"/>
                      <wps:spPr>
                        <a:xfrm>
                          <a:off x="0" y="0"/>
                          <a:ext cx="3321050" cy="237490"/>
                        </a:xfrm>
                        <a:prstGeom prst="rect">
                          <a:avLst/>
                        </a:prstGeom>
                        <a:noFill/>
                      </wps:spPr>
                      <wps:txbx>
                        <w:txbxContent>
                          <w:p w14:paraId="17316200">
                            <w:pPr>
                              <w:pStyle w:val="15"/>
                              <w:keepNext/>
                              <w:keepLines/>
                              <w:widowControl w:val="0"/>
                              <w:shd w:val="clear" w:color="auto" w:fill="auto"/>
                              <w:bidi w:val="0"/>
                              <w:spacing w:before="0" w:after="0" w:line="240" w:lineRule="auto"/>
                              <w:ind w:left="0" w:right="0" w:firstLine="0"/>
                              <w:jc w:val="center"/>
                            </w:pPr>
                            <w:bookmarkStart w:id="255" w:name="bookmark80"/>
                            <w:bookmarkStart w:id="256" w:name="bookmark81"/>
                            <w:bookmarkStart w:id="257" w:name="bookmark82"/>
                            <w:r>
                              <w:rPr>
                                <w:color w:val="000000"/>
                                <w:spacing w:val="0"/>
                                <w:w w:val="100"/>
                                <w:position w:val="0"/>
                              </w:rPr>
                              <w:t>非营利法人举办者、出资人的法律权利</w:t>
                            </w:r>
                            <w:bookmarkEnd w:id="255"/>
                            <w:bookmarkEnd w:id="256"/>
                            <w:bookmarkEnd w:id="257"/>
                          </w:p>
                        </w:txbxContent>
                      </wps:txbx>
                      <wps:bodyPr wrap="none" lIns="0" tIns="0" rIns="0" bIns="0">
                        <a:noAutofit/>
                      </wps:bodyPr>
                    </wps:wsp>
                  </a:graphicData>
                </a:graphic>
              </wp:anchor>
            </w:drawing>
          </mc:Choice>
          <mc:Fallback>
            <w:pict>
              <v:shape id="Shape 195" o:spid="_x0000_s1026" o:spt="202" type="#_x0000_t202" style="position:absolute;left:0pt;margin-left:102pt;margin-top:12.05pt;height:18.7pt;width:261.5pt;mso-position-horizontal-relative:page;mso-wrap-distance-bottom:2.9pt;mso-wrap-distance-top:11.05pt;mso-wrap-style:none;z-index:251660288;mso-width-relative:page;mso-height-relative:page;" filled="f" stroked="f" coordsize="21600,21600" o:gfxdata="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d2RLHX&#10;AAAACQEAAA8AAAAAAAAAAQAgAAAAIgAAAGRycy9kb3ducmV2LnhtbFBLAQIUABQAAAAIAIdO4kBp&#10;iAzkrwEAAHQDAAAOAAAAAAAAAAEAIAAAACYBAABkcnMvZTJvRG9jLnhtbFBLBQYAAAAABgAGAFkB&#10;AABHBQAAAAA=&#10;">
                <v:fill on="f" focussize="0,0"/>
                <v:stroke on="f"/>
                <v:imagedata o:title=""/>
                <o:lock v:ext="edit" aspectratio="f"/>
                <v:textbox inset="0mm,0mm,0mm,0mm">
                  <w:txbxContent>
                    <w:p w14:paraId="17316200">
                      <w:pPr>
                        <w:pStyle w:val="15"/>
                        <w:keepNext/>
                        <w:keepLines/>
                        <w:widowControl w:val="0"/>
                        <w:shd w:val="clear" w:color="auto" w:fill="auto"/>
                        <w:bidi w:val="0"/>
                        <w:spacing w:before="0" w:after="0" w:line="240" w:lineRule="auto"/>
                        <w:ind w:left="0" w:right="0" w:firstLine="0"/>
                        <w:jc w:val="center"/>
                      </w:pPr>
                      <w:bookmarkStart w:id="255" w:name="bookmark80"/>
                      <w:bookmarkStart w:id="256" w:name="bookmark81"/>
                      <w:bookmarkStart w:id="257" w:name="bookmark82"/>
                      <w:r>
                        <w:rPr>
                          <w:color w:val="000000"/>
                          <w:spacing w:val="0"/>
                          <w:w w:val="100"/>
                          <w:position w:val="0"/>
                        </w:rPr>
                        <w:t>非营利法人举办者、出资人的法律权利</w:t>
                      </w:r>
                      <w:bookmarkEnd w:id="255"/>
                      <w:bookmarkEnd w:id="256"/>
                      <w:bookmarkEnd w:id="257"/>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5092700</wp:posOffset>
            </wp:positionH>
            <wp:positionV relativeFrom="paragraph">
              <wp:posOffset>332105</wp:posOffset>
            </wp:positionV>
            <wp:extent cx="579120" cy="542290"/>
            <wp:effectExtent l="0" t="0" r="5080" b="3810"/>
            <wp:wrapSquare wrapText="left"/>
            <wp:docPr id="197" name="Shape 197"/>
            <wp:cNvGraphicFramePr/>
            <a:graphic xmlns:a="http://schemas.openxmlformats.org/drawingml/2006/main">
              <a:graphicData uri="http://schemas.openxmlformats.org/drawingml/2006/picture">
                <pic:pic xmlns:pic="http://schemas.openxmlformats.org/drawingml/2006/picture">
                  <pic:nvPicPr>
                    <pic:cNvPr id="197" name="Shape 197"/>
                    <pic:cNvPicPr/>
                  </pic:nvPicPr>
                  <pic:blipFill>
                    <a:blip r:embed="rId607"/>
                    <a:stretch>
                      <a:fillRect/>
                    </a:stretch>
                  </pic:blipFill>
                  <pic:spPr>
                    <a:xfrm>
                      <a:off x="0" y="0"/>
                      <a:ext cx="579120" cy="542290"/>
                    </a:xfrm>
                    <a:prstGeom prst="rect">
                      <a:avLst/>
                    </a:prstGeom>
                  </pic:spPr>
                </pic:pic>
              </a:graphicData>
            </a:graphic>
          </wp:anchor>
        </w:drawing>
      </w:r>
    </w:p>
    <w:p w14:paraId="029024CD">
      <w:pPr>
        <w:pStyle w:val="17"/>
        <w:keepNext w:val="0"/>
        <w:keepLines w:val="0"/>
        <w:widowControl w:val="0"/>
        <w:shd w:val="clear" w:color="auto" w:fill="auto"/>
        <w:bidi w:val="0"/>
        <w:spacing w:before="0" w:after="440" w:line="324" w:lineRule="exact"/>
        <w:ind w:left="1000" w:right="0" w:firstLine="0"/>
        <w:jc w:val="both"/>
      </w:pPr>
      <w:r>
        <w:rPr>
          <w:color w:val="000000"/>
          <w:spacing w:val="0"/>
          <w:w w:val="100"/>
          <w:position w:val="0"/>
        </w:rPr>
        <w:t>李稳博诉上海虹口区艺术合子美术进修学校合同纠纷案丨《最高 人民法院公报》</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期</w:t>
      </w:r>
    </w:p>
    <w:p w14:paraId="3E196879">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金车帛萍</w:t>
      </w:r>
      <w:r>
        <w:rPr>
          <w:color w:val="000000"/>
          <w:spacing w:val="0"/>
          <w:w w:val="100"/>
          <w:position w:val="0"/>
        </w:rPr>
        <w:t>北京大学法学院</w:t>
      </w:r>
    </w:p>
    <w:p w14:paraId="3BD1C2FA">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2E915EA">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上海虹口区艺术合子美术进修学校（以下简称合子学校）系</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日经上海 市虹口区教育局和区民政局批准成立的民办非企业单位法人。李稳博在该校筹建期间与 其法定代表人陶文明等共同合作有关被告筹建事宜。学校设立之后，李稳博担任该校董事 兼副校长，负责学校全面工作</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日其与该校法定代表人陶文明、案外人乐健及 合子学校成立时的名义出资人上海意动互联艺术设计有限公司（以下简称意动公司）签订 协议，确认其与陶文明、乐健为该学校的实际出资人,出资比例分别为</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。协 议签订后，李稳博于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日分别将投资款</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元和</w:t>
      </w:r>
      <w:r>
        <w:rPr>
          <w:rFonts w:ascii="Times New Roman" w:hAnsi="Times New Roman" w:eastAsia="Times New Roman" w:cs="Times New Roman"/>
          <w:color w:val="000000"/>
          <w:spacing w:val="0"/>
          <w:w w:val="100"/>
          <w:position w:val="0"/>
          <w:sz w:val="19"/>
          <w:szCs w:val="19"/>
        </w:rPr>
        <w:t>75, 000</w:t>
      </w:r>
      <w:r>
        <w:rPr>
          <w:color w:val="000000"/>
          <w:spacing w:val="0"/>
          <w:w w:val="100"/>
          <w:position w:val="0"/>
        </w:rPr>
        <w:t>元打入陶文明和乐健的 银行账户。</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日，陶文明解除了李稳博的董事和副校长职务。李稳博诉至法院 要求确认其为合子学校的出资人暨举办者，出资比例为</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。上海市虹口区人民法院（以 下简称一审法院）裁定驳回起诉之后，李稳博上诉，上海市第二中级人民法院（以下简称二 审法院）裁定驳回上诉，维持原裁定。</w:t>
      </w:r>
    </w:p>
    <w:p w14:paraId="59E58E12">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5C015394">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驳回上诉,维持原裁定。</w:t>
      </w:r>
    </w:p>
    <w:p w14:paraId="24D0AC8A">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一审法院认为，根据法律法规的规定，审批机关即政府教育行政部门对民办学校举办 者的身份审查属于实质审查，体现了相关行政机关的意志。本案中，合子学校系经行政许 可登记成立的民办学校，确认或否定其举办者身份属于政府教育行政部门行政权限范畴, 包含了行政许可内容。据此，此类确认或否定举办者身份的纠纷不属于人民法院民事诉讼 受理范围，应当由政府教育行政主管部门解决。一审法院以民办非企业单位的举办者是身 份权，而确认或否认民办学校举办者身份属行政许可内容，是法律赋予有关行政主管部门 的特有的权力为由驳回起诉。</w:t>
      </w:r>
    </w:p>
    <w:p w14:paraId="00D1B897">
      <w:pPr>
        <w:pStyle w:val="17"/>
        <w:keepNext w:val="0"/>
        <w:keepLines w:val="0"/>
        <w:widowControl w:val="0"/>
        <w:shd w:val="clear" w:color="auto" w:fill="auto"/>
        <w:bidi w:val="0"/>
        <w:spacing w:before="0" w:after="360" w:line="339" w:lineRule="exact"/>
        <w:ind w:left="0" w:right="0" w:firstLine="420"/>
        <w:jc w:val="both"/>
        <w:sectPr>
          <w:headerReference r:id="rId93" w:type="default"/>
          <w:headerReference r:id="rId94" w:type="even"/>
          <w:footnotePr>
            <w:numFmt w:val="chicago"/>
          </w:footnotePr>
          <w:pgSz w:w="10099" w:h="14782"/>
          <w:pgMar w:top="1300" w:right="1045" w:bottom="1118" w:left="1018" w:header="872" w:footer="690" w:gutter="0"/>
          <w:pgNumType w:start="73"/>
          <w:cols w:space="720" w:num="1"/>
          <w:rtlGutter w:val="0"/>
          <w:docGrid w:linePitch="360" w:charSpace="0"/>
        </w:sectPr>
      </w:pPr>
      <w:r>
        <w:rPr>
          <w:color w:val="000000"/>
          <w:spacing w:val="0"/>
          <w:w w:val="100"/>
          <w:position w:val="0"/>
        </w:rPr>
        <w:t xml:space="preserve">李稳博上诉请求裁定一审法院继续审理并确认其出资份额。二审法院裁判认为，属于 民办非企业单位法人的民办学校不同于公司（或企业法人），具有公益性和非营利性，对投 入学校的资产和积累享有独立的法人财产权。出资人对学校财产不享有所有权或共有权, </w:t>
      </w:r>
    </w:p>
    <w:p w14:paraId="7682AD51">
      <w:pPr>
        <w:pStyle w:val="17"/>
        <w:keepNext w:val="0"/>
        <w:keepLines w:val="0"/>
        <w:widowControl w:val="0"/>
        <w:shd w:val="clear" w:color="auto" w:fill="auto"/>
        <w:bidi w:val="0"/>
        <w:spacing w:before="0" w:after="360" w:line="339" w:lineRule="exact"/>
        <w:ind w:left="0" w:right="0" w:firstLine="0"/>
        <w:jc w:val="both"/>
      </w:pPr>
      <w:r>
        <w:rPr>
          <w:color w:val="000000"/>
          <w:spacing w:val="0"/>
          <w:w w:val="100"/>
          <w:position w:val="0"/>
        </w:rPr>
        <w:t>对学校也不享有类似于公司股东的财产权利。举办者身份的确认或变更确属行政许可范 围。对于上诉人提出的确认其出资份额的诉讼请求，因出资人（举办者）对于其出资形成的 学校财产没有法律上的财产权，上诉人要求确认其出资份额只是要求确认一项事实，不能 作为独立的民事诉讼请求,裁定驳回上诉,维持原裁定。</w:t>
      </w:r>
    </w:p>
    <w:p w14:paraId="46DD4542">
      <w:pPr>
        <w:pStyle w:val="11"/>
        <w:keepNext w:val="0"/>
        <w:keepLines w:val="0"/>
        <w:widowControl w:val="0"/>
        <w:shd w:val="clear" w:color="auto" w:fill="auto"/>
        <w:bidi w:val="0"/>
        <w:spacing w:before="0" w:after="260" w:line="342" w:lineRule="exact"/>
        <w:ind w:left="0" w:right="0" w:firstLine="0"/>
        <w:jc w:val="both"/>
      </w:pPr>
      <w:r>
        <w:rPr>
          <w:color w:val="000000"/>
          <w:spacing w:val="0"/>
          <w:w w:val="100"/>
          <w:position w:val="0"/>
        </w:rPr>
        <w:t>■评析</w:t>
      </w:r>
    </w:p>
    <w:p w14:paraId="4431D18E">
      <w:pPr>
        <w:pStyle w:val="17"/>
        <w:keepNext w:val="0"/>
        <w:keepLines w:val="0"/>
        <w:widowControl w:val="0"/>
        <w:shd w:val="clear" w:color="auto" w:fill="auto"/>
        <w:bidi w:val="0"/>
        <w:spacing w:before="0" w:after="12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p>
    <w:p w14:paraId="21F97787">
      <w:pPr>
        <w:pStyle w:val="17"/>
        <w:keepNext w:val="0"/>
        <w:keepLines w:val="0"/>
        <w:widowControl w:val="0"/>
        <w:numPr>
          <w:ilvl w:val="0"/>
          <w:numId w:val="5"/>
        </w:numPr>
        <w:shd w:val="clear" w:color="auto" w:fill="auto"/>
        <w:bidi w:val="0"/>
        <w:spacing w:before="0" w:after="0" w:line="374" w:lineRule="auto"/>
        <w:ind w:left="0" w:right="0" w:firstLine="420"/>
        <w:jc w:val="both"/>
      </w:pPr>
      <w:bookmarkStart w:id="32" w:name="bookmark83"/>
      <w:bookmarkEnd w:id="32"/>
      <w:r>
        <w:rPr>
          <w:color w:val="000000"/>
          <w:spacing w:val="0"/>
          <w:w w:val="100"/>
          <w:position w:val="0"/>
        </w:rPr>
        <w:t>非营利法人的出资人、设立人与举办者身份</w:t>
      </w:r>
    </w:p>
    <w:p w14:paraId="15641865">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本案中的合子学校是一所民办学校，釆取的基础组织形式为民办非企业单位，亦即原 《民法总贝！</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》的非营利法人分类中的社会服务机构。由于本案诉讼时原《民法总则》尚未通 过，故本案裁判的法律依据主要是《民办教育促进法》和《民办非企业单位登记管理暂行规 定》。根据这些法律法规，民办学校由举办者设立。而后来的原《民法总则》第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条）的规定中并未提及'举办者</w:t>
      </w:r>
      <w:r>
        <w:rPr>
          <w:color w:val="000000"/>
          <w:spacing w:val="0"/>
          <w:w w:val="100"/>
          <w:position w:val="0"/>
          <w:lang w:val="zh-CN" w:eastAsia="zh-CN" w:bidi="zh-CN"/>
        </w:rPr>
        <w:t>”，取</w:t>
      </w:r>
      <w:r>
        <w:rPr>
          <w:color w:val="000000"/>
          <w:spacing w:val="0"/>
          <w:w w:val="100"/>
          <w:position w:val="0"/>
        </w:rPr>
        <w:t>而代之的是</w:t>
      </w:r>
      <w:r>
        <w:rPr>
          <w:color w:val="000000"/>
          <w:spacing w:val="0"/>
          <w:w w:val="100"/>
          <w:position w:val="0"/>
          <w:lang w:val="zh-CN" w:eastAsia="zh-CN" w:bidi="zh-CN"/>
        </w:rPr>
        <w:t>“出资</w:t>
      </w:r>
      <w:r>
        <w:rPr>
          <w:color w:val="000000"/>
          <w:spacing w:val="0"/>
          <w:w w:val="100"/>
          <w:position w:val="0"/>
        </w:rPr>
        <w:t>人”和</w:t>
      </w:r>
      <w:r>
        <w:rPr>
          <w:color w:val="000000"/>
          <w:spacing w:val="0"/>
          <w:w w:val="100"/>
          <w:position w:val="0"/>
          <w:lang w:val="zh-CN" w:eastAsia="zh-CN" w:bidi="zh-CN"/>
        </w:rPr>
        <w:t>“设立</w:t>
      </w:r>
      <w:r>
        <w:rPr>
          <w:color w:val="000000"/>
          <w:spacing w:val="0"/>
          <w:w w:val="100"/>
          <w:position w:val="0"/>
        </w:rPr>
        <w:t>人”。</w:t>
      </w:r>
      <w:r>
        <w:rPr>
          <w:color w:val="000000"/>
          <w:spacing w:val="0"/>
          <w:w w:val="100"/>
          <w:position w:val="0"/>
          <w:lang w:val="zh-CN" w:eastAsia="zh-CN" w:bidi="zh-CN"/>
        </w:rPr>
        <w:t>“出</w:t>
      </w:r>
      <w:r>
        <w:rPr>
          <w:color w:val="000000"/>
          <w:spacing w:val="0"/>
          <w:w w:val="100"/>
          <w:position w:val="0"/>
        </w:rPr>
        <w:t>资人” 是指为设立非营利法人而出资的法人、自然人或者其他非法人组织。事业单位、社会团体、 社会服务机构和基金会的设立都需要举办资金或者初始资金。</w:t>
      </w:r>
      <w:r>
        <w:rPr>
          <w:color w:val="000000"/>
          <w:spacing w:val="0"/>
          <w:w w:val="100"/>
          <w:position w:val="0"/>
          <w:lang w:val="zh-CN" w:eastAsia="zh-CN" w:bidi="zh-CN"/>
        </w:rPr>
        <w:t>“设立</w:t>
      </w:r>
      <w:r>
        <w:rPr>
          <w:color w:val="000000"/>
          <w:spacing w:val="0"/>
          <w:w w:val="100"/>
          <w:position w:val="0"/>
        </w:rPr>
        <w:t>人”是指作为发起人 参与非营利法人设立的自然人、法人或者其他非法人组织。设立人承担非营利法人的创制 事务，制定法人章程,并承担发起人责任。出资人同时为设立人。</w:t>
      </w:r>
    </w:p>
    <w:p w14:paraId="7BD0E72B">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本案中，上诉人李稳博主张自己为实际出资人，被上诉人合子学校辩称其举办者暨出 资人仅为意动公司,而在民政部门登记的举办者是意动公司。那么应如何认定本案中的非 营利法人的举办者呢？</w:t>
      </w:r>
    </w:p>
    <w:p w14:paraId="220CD1D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首先，举办者是非营利法人的设立人。非营利法人须经依法登记取得法人资格。即便 原《民法总则》通过之后,非营利法人的设立亦不直接依据原《民法总则》，而是依据相关特 别法或者行政法规予以登记设立（例如，慈善组织的设立和认定得遵循《慈善法》，其他各种组织形 式也得依据各自的行政法规设立和登记）。由于非营利法人之设立采特许主义［例如，《民法总则》 第</w:t>
      </w:r>
      <w:r>
        <w:rPr>
          <w:rFonts w:ascii="Times New Roman" w:hAnsi="Times New Roman" w:eastAsia="Times New Roman" w:cs="Times New Roman"/>
          <w:color w:val="000000"/>
          <w:spacing w:val="0"/>
          <w:w w:val="100"/>
          <w:position w:val="0"/>
          <w:sz w:val="17"/>
          <w:szCs w:val="17"/>
        </w:rPr>
        <w:t>88</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88</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90</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90</w:t>
      </w:r>
      <w:r>
        <w:rPr>
          <w:color w:val="000000"/>
          <w:spacing w:val="0"/>
          <w:w w:val="100"/>
          <w:position w:val="0"/>
        </w:rPr>
        <w:t>条）分别规定的无需办理登记即可设立的事业单 位、社会团体法人］或者许可主义（例如，根据《社会团体登记管理条例》《民办非企业单位登记管理暂 行条例》《基金会管理条例》《外国商会管理暂行规定》等行政法规登记设立的各类法人组织），故未获 得特许或者许可不得设立非营利法人。且根据民政部《取缔非法民间组织暂行办法》的规 定,未依法获得许可进行筹备或开展活动的非营利组织属于非法民间组织，将被依法取缔。 民办学校也不例外,其设立须遵循双重管理体制，即应取得教育行政管理部门的行政许可， 并到民政部门履行民办非企业单位的登记程序。因此，其举办者得符合《民办教育促进法》 所规定的条件，并提交法定材料,审批机关应当自受理筹设民办学校的申请之日起</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日内 以书面形式作出是否同意的决定。若要变更举办者身份，依然须由举办者提出，在进行财 务清算后，经学校理事会或者董事会同意，报审批机关核准。</w:t>
      </w:r>
    </w:p>
    <w:p w14:paraId="5169033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其次,获得办学许可之后，举办者尚需向民政部门申请登记为民办非企业单位,其中举 办者也属于登记事项，而登记事项需要变更的，应当自业务主管单位审查同意之日起</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 内，向登记管理机关申请变更登记。民政部门的登记事项具有公示公信效力，因此若要对 举办者这一登记事项提出异议或者要求进行变更，需要经教育行政管理部门和民政部门的 许可方可纠正或者变更。换言之，诚如本案裁定书所言，民办学校举办者的变更属于行政 许可的范围，不属于民事诉讼的受理范围,李稳博如欲成为合子学校的举办者，应通过申请 行政许可变更的途径解决。</w:t>
      </w:r>
    </w:p>
    <w:p w14:paraId="721E7C7C">
      <w:pPr>
        <w:pStyle w:val="17"/>
        <w:keepNext w:val="0"/>
        <w:keepLines w:val="0"/>
        <w:widowControl w:val="0"/>
        <w:shd w:val="clear" w:color="auto" w:fill="auto"/>
        <w:bidi w:val="0"/>
        <w:spacing w:before="0" w:after="120" w:line="341" w:lineRule="exact"/>
        <w:ind w:left="0" w:right="0"/>
        <w:jc w:val="both"/>
      </w:pPr>
      <w:r>
        <w:rPr>
          <w:color w:val="000000"/>
          <w:spacing w:val="0"/>
          <w:w w:val="100"/>
          <w:position w:val="0"/>
        </w:rPr>
        <w:t>最后，出资人并不属于登记事项，因此法院不能以管辖问题而将出资人身份确认的诉 求拒之门外，但是本案中，二审法院却依然驳回上诉，维持原裁定，理由在于法院认为确认 出资份额只是要求确认一项不具有法律权利基础的事实，而没有法律权利基础的事实确认 不能作为独立的诉讼请求。</w:t>
      </w:r>
    </w:p>
    <w:p w14:paraId="0EC2B9D9">
      <w:pPr>
        <w:pStyle w:val="17"/>
        <w:keepNext w:val="0"/>
        <w:keepLines w:val="0"/>
        <w:widowControl w:val="0"/>
        <w:numPr>
          <w:ilvl w:val="0"/>
          <w:numId w:val="5"/>
        </w:numPr>
        <w:shd w:val="clear" w:color="auto" w:fill="auto"/>
        <w:bidi w:val="0"/>
        <w:spacing w:before="0" w:after="0" w:line="374" w:lineRule="auto"/>
        <w:ind w:left="0" w:right="0"/>
        <w:jc w:val="both"/>
      </w:pPr>
      <w:bookmarkStart w:id="33" w:name="bookmark84"/>
      <w:bookmarkEnd w:id="33"/>
      <w:r>
        <w:rPr>
          <w:color w:val="000000"/>
          <w:spacing w:val="0"/>
          <w:w w:val="100"/>
          <w:position w:val="0"/>
        </w:rPr>
        <w:t>举办者和出资人对于非营利法人享有的权利</w:t>
      </w:r>
    </w:p>
    <w:p w14:paraId="38B7CACC">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首先,举办者和出资人不享有剩余利益索取权。原《民法总则》颁布实施前后，非营利 法人的设立人和出资人均不享有请求分配利润的权利。</w:t>
      </w:r>
      <w:r>
        <w:rPr>
          <w:color w:val="000000"/>
          <w:spacing w:val="0"/>
          <w:w w:val="100"/>
          <w:position w:val="0"/>
          <w:lang w:val="zh-CN" w:eastAsia="zh-CN" w:bidi="zh-CN"/>
        </w:rPr>
        <w:t>“非营</w:t>
      </w:r>
      <w:r>
        <w:rPr>
          <w:color w:val="000000"/>
          <w:spacing w:val="0"/>
          <w:w w:val="100"/>
          <w:position w:val="0"/>
        </w:rPr>
        <w:t>利”意味着遵循禁止利益分 配原则。此原则是指非营利法人不得向出资人、设立人或者会员分配所取得的利润。禁止 非营利法人向上述人员分配利润，意味着非营利法人不存在类似营利法人股东一样的</w:t>
      </w:r>
      <w:r>
        <w:rPr>
          <w:color w:val="000000"/>
          <w:spacing w:val="0"/>
          <w:w w:val="100"/>
          <w:position w:val="0"/>
          <w:lang w:val="zh-CN" w:eastAsia="zh-CN" w:bidi="zh-CN"/>
        </w:rPr>
        <w:t xml:space="preserve">“所 </w:t>
      </w:r>
      <w:r>
        <w:rPr>
          <w:color w:val="000000"/>
          <w:spacing w:val="0"/>
          <w:w w:val="100"/>
          <w:position w:val="0"/>
        </w:rPr>
        <w:t>有权人</w:t>
      </w:r>
      <w:r>
        <w:rPr>
          <w:color w:val="000000"/>
          <w:spacing w:val="0"/>
          <w:w w:val="100"/>
          <w:position w:val="0"/>
          <w:lang w:val="zh-CN" w:eastAsia="zh-CN" w:bidi="zh-CN"/>
        </w:rPr>
        <w:t>”，营</w:t>
      </w:r>
      <w:r>
        <w:rPr>
          <w:color w:val="000000"/>
          <w:spacing w:val="0"/>
          <w:w w:val="100"/>
          <w:position w:val="0"/>
        </w:rPr>
        <w:t>利法人的“所有权人</w:t>
      </w:r>
      <w:r>
        <w:rPr>
          <w:color w:val="000000"/>
          <w:spacing w:val="0"/>
          <w:w w:val="100"/>
          <w:position w:val="0"/>
          <w:lang w:val="zh-CN" w:eastAsia="zh-CN" w:bidi="zh-CN"/>
        </w:rPr>
        <w:t>”同</w:t>
      </w:r>
      <w:r>
        <w:rPr>
          <w:color w:val="000000"/>
          <w:spacing w:val="0"/>
          <w:w w:val="100"/>
          <w:position w:val="0"/>
        </w:rPr>
        <w:t>时对营利法人享有经营管理权和剩余利益索取权，然 而，非营利法人要么无成员，即便有成员，也不享有对于非营利法人的剩余利益索取权。违 反禁止利益分配原则及其规则的章程、合同或者协议无效。出资人、设立人或者会员不能 依据上述章程、合同或者协议向非营利法人主张分配利润。</w:t>
      </w:r>
    </w:p>
    <w:p w14:paraId="3CFA9448">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本案中，合子学校在申请设立时，在其举办者及全体董事（含李稳博）共同签章的学校 《章程》中明确</w:t>
      </w:r>
      <w:r>
        <w:rPr>
          <w:color w:val="000000"/>
          <w:spacing w:val="0"/>
          <w:w w:val="100"/>
          <w:position w:val="0"/>
          <w:lang w:val="zh-CN" w:eastAsia="zh-CN" w:bidi="zh-CN"/>
        </w:rPr>
        <w:t>“举</w:t>
      </w:r>
      <w:r>
        <w:rPr>
          <w:color w:val="000000"/>
          <w:spacing w:val="0"/>
          <w:w w:val="100"/>
          <w:position w:val="0"/>
        </w:rPr>
        <w:t>办者不要求回报”</w:t>
      </w:r>
      <w:r>
        <w:rPr>
          <w:color w:val="000000"/>
          <w:spacing w:val="0"/>
          <w:w w:val="100"/>
          <w:position w:val="0"/>
          <w:lang w:val="zh-CN" w:eastAsia="zh-CN" w:bidi="zh-CN"/>
        </w:rPr>
        <w:t>，“学</w:t>
      </w:r>
      <w:r>
        <w:rPr>
          <w:color w:val="000000"/>
          <w:spacing w:val="0"/>
          <w:w w:val="100"/>
          <w:position w:val="0"/>
        </w:rPr>
        <w:t>校清偿后的剩余财产用于公益性或者非营利性目 的，或者由登记管理机关转赠与本校性质、宗旨相同的组织，并向社会公告”。这是学校举 办者和全体董事在学校设立时向社会作出的承诺，也是取得行政许可和民政登记的条件， 亦符合《民办教育促进法》对投入民办学校的财产终极归属于社会而非归属于出资人的立 法本意。《章程》内容是取得行政许可和登记的条件，在学校设立后,学校董事不能随意对 章程作出有悖于学校公益性质的变更或另行作出与《章程》性质不符的约定。因此尽管当 事人内部有一份协议，载明</w:t>
      </w:r>
      <w:r>
        <w:rPr>
          <w:color w:val="000000"/>
          <w:spacing w:val="0"/>
          <w:w w:val="100"/>
          <w:position w:val="0"/>
          <w:lang w:val="zh-CN" w:eastAsia="zh-CN" w:bidi="zh-CN"/>
        </w:rPr>
        <w:t>“股东</w:t>
      </w:r>
      <w:r>
        <w:rPr>
          <w:color w:val="000000"/>
          <w:spacing w:val="0"/>
          <w:w w:val="100"/>
          <w:position w:val="0"/>
        </w:rPr>
        <w:t>陶文明、李稳博、乐健于</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年共同出资创建上海虹口区 艺术合子美术进修学校,三人为上海虹口区艺术合子美术进修学校的实际、唯一出资方，持 股比例分别为陶文明</w:t>
      </w:r>
      <w:r>
        <w:rPr>
          <w:rFonts w:ascii="Times New Roman" w:hAnsi="Times New Roman" w:eastAsia="Times New Roman" w:cs="Times New Roman"/>
          <w:color w:val="000000"/>
          <w:spacing w:val="0"/>
          <w:w w:val="100"/>
          <w:position w:val="0"/>
          <w:sz w:val="19"/>
          <w:szCs w:val="19"/>
        </w:rPr>
        <w:t xml:space="preserve">40% </w:t>
      </w:r>
      <w:r>
        <w:rPr>
          <w:color w:val="000000"/>
          <w:spacing w:val="0"/>
          <w:w w:val="100"/>
          <w:position w:val="0"/>
        </w:rPr>
        <w:t>,李稳博</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和乐健</w:t>
      </w:r>
      <w:r>
        <w:rPr>
          <w:rFonts w:ascii="Times New Roman" w:hAnsi="Times New Roman" w:eastAsia="Times New Roman" w:cs="Times New Roman"/>
          <w:color w:val="000000"/>
          <w:spacing w:val="0"/>
          <w:w w:val="100"/>
          <w:position w:val="0"/>
          <w:sz w:val="19"/>
          <w:szCs w:val="19"/>
        </w:rPr>
        <w:t xml:space="preserve">25% </w:t>
      </w:r>
      <w:r>
        <w:rPr>
          <w:color w:val="000000"/>
          <w:spacing w:val="0"/>
          <w:w w:val="100"/>
          <w:position w:val="0"/>
        </w:rPr>
        <w:t>,分红比例与持股比例一致</w:t>
      </w:r>
      <w:r>
        <w:rPr>
          <w:color w:val="000000"/>
          <w:spacing w:val="0"/>
          <w:w w:val="100"/>
          <w:position w:val="0"/>
          <w:lang w:val="zh-CN" w:eastAsia="zh-CN" w:bidi="zh-CN"/>
        </w:rPr>
        <w:t>”，但</w:t>
      </w:r>
      <w:r>
        <w:rPr>
          <w:color w:val="000000"/>
          <w:spacing w:val="0"/>
          <w:w w:val="100"/>
          <w:position w:val="0"/>
        </w:rPr>
        <w:t>是这一 协议与法律法规、章程对于该学校的非营利性质相抵触，故法院未予支持。</w:t>
      </w:r>
    </w:p>
    <w:p w14:paraId="2B95B8A7">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其次，民办学校的举办者享有非营利法人的经营管理权。根据《民办教育促进法》的规 定，民办学校应当设立学校理事会、董事会或者其他形式的决策机构并建立相应的监督机 制。其举办者根据章程规定的权限和程序参与学校的办学和管理。可见，举办者享有经营 管理权，但是出资人则不必然享有此权利，只有当出资人同时为举办者时，方可享有经营管 理权。</w:t>
      </w:r>
    </w:p>
    <w:p w14:paraId="16B5FD71">
      <w:pPr>
        <w:pStyle w:val="17"/>
        <w:keepNext w:val="0"/>
        <w:keepLines w:val="0"/>
        <w:widowControl w:val="0"/>
        <w:numPr>
          <w:ilvl w:val="0"/>
          <w:numId w:val="5"/>
        </w:numPr>
        <w:shd w:val="clear" w:color="auto" w:fill="auto"/>
        <w:bidi w:val="0"/>
        <w:spacing w:before="0" w:after="0" w:line="342" w:lineRule="exact"/>
        <w:ind w:left="0" w:right="0"/>
        <w:jc w:val="both"/>
      </w:pPr>
      <w:bookmarkStart w:id="34" w:name="bookmark85"/>
      <w:bookmarkEnd w:id="34"/>
      <w:r>
        <w:rPr>
          <w:color w:val="000000"/>
          <w:spacing w:val="0"/>
          <w:w w:val="100"/>
          <w:position w:val="0"/>
        </w:rPr>
        <w:t>确认出资份额能否作为独立的民事诉讼请求</w:t>
      </w:r>
    </w:p>
    <w:p w14:paraId="288CFDBB">
      <w:pPr>
        <w:pStyle w:val="17"/>
        <w:keepNext w:val="0"/>
        <w:keepLines w:val="0"/>
        <w:widowControl w:val="0"/>
        <w:shd w:val="clear" w:color="auto" w:fill="auto"/>
        <w:bidi w:val="0"/>
        <w:spacing w:before="0" w:after="180" w:line="342" w:lineRule="exact"/>
        <w:ind w:left="0" w:right="0" w:firstLine="420"/>
        <w:jc w:val="both"/>
      </w:pPr>
      <w:r>
        <w:rPr>
          <w:color w:val="000000"/>
          <w:spacing w:val="0"/>
          <w:w w:val="100"/>
          <w:position w:val="0"/>
        </w:rPr>
        <w:t>本案中，二审法院对此持否定态度，认为属于民办非企业单位法人的民办学校,具有公 益性和非营利性，其对投入学校的资产和积累享有独立的法人财产权。出资人对学校财产 不享有所有权或共有权，也不享有类似于公司股东的财产权利。进而二审法院据此认为根 据《章程》及该校作为民办非企业单位的性质，认定出资人（举办者）对其投入学校的资产不 具有所有权，也不具有剩余利益索取权等的其他财产权利。进言之，基于上述理由要求确 认出资份额没有法律上的财产权基础，只是要求确认一项事实，而没有法律权利基础的事 实确认不能作为独立的诉讼请求。这一主张值得商榷。法院在仅仅排除出资人对于非营 利法人的剩余利益索取权和经营管理权的情形下便得出要求确认出资份额不具有法律权 利基础的结论过于草率。非营利法人设立阶段的岀资人即便不具有举办者身份，也应属于 该法人的捐赠者,根据《公益事业捐赠法》,捐赠者享有知情权与监督权,甚至可因捐赠者身 份获得公益捐赠税前抵扣的资格,也可因捐赠行为获得政府和社会的肯定和褒奖。所以， 不具有举办者身份的出资人的出资事实还是具有法律权利基础的，不因其不具有对于非营 利法人的剩余利益索取权和经营管理权而认为其不具有法律意义，进而否定其作为一项独 立的诉讼请求。</w:t>
      </w:r>
    </w:p>
    <w:p w14:paraId="0AA7DE5B">
      <w:pPr>
        <w:pStyle w:val="17"/>
        <w:keepNext w:val="0"/>
        <w:keepLines w:val="0"/>
        <w:widowControl w:val="0"/>
        <w:shd w:val="clear" w:color="auto" w:fill="auto"/>
        <w:bidi w:val="0"/>
        <w:spacing w:before="0" w:after="12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本裁定的参考意义</w:t>
      </w:r>
    </w:p>
    <w:p w14:paraId="4A891AF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第一，明确确认举办者身份属于行政许可事项，法院不予受理。本案及其他案例［安徽 省高级人民法院</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皖民二终字第</w:t>
      </w:r>
      <w:r>
        <w:rPr>
          <w:rFonts w:ascii="Times New Roman" w:hAnsi="Times New Roman" w:eastAsia="Times New Roman" w:cs="Times New Roman"/>
          <w:color w:val="000000"/>
          <w:spacing w:val="0"/>
          <w:w w:val="100"/>
          <w:position w:val="0"/>
          <w:sz w:val="17"/>
          <w:szCs w:val="17"/>
        </w:rPr>
        <w:t>00093</w:t>
      </w:r>
      <w:r>
        <w:rPr>
          <w:color w:val="000000"/>
          <w:spacing w:val="0"/>
          <w:w w:val="100"/>
          <w:position w:val="0"/>
        </w:rPr>
        <w:t>号民事判决书］中，法院均不受理确定举办者身份的 诉讼请求，盖因认为非营利法人的举办者身份认定不属于人民法院受理范围。同时厘清了 出资人和举办者的不同法律意义。</w:t>
      </w:r>
    </w:p>
    <w:p w14:paraId="64B877FB">
      <w:pPr>
        <w:pStyle w:val="17"/>
        <w:keepNext w:val="0"/>
        <w:keepLines w:val="0"/>
        <w:widowControl w:val="0"/>
        <w:shd w:val="clear" w:color="auto" w:fill="auto"/>
        <w:bidi w:val="0"/>
        <w:spacing w:before="0" w:after="180" w:line="342" w:lineRule="exact"/>
        <w:ind w:left="0" w:right="0" w:firstLine="420"/>
        <w:jc w:val="both"/>
      </w:pPr>
      <w:r>
        <w:rPr>
          <w:color w:val="000000"/>
          <w:spacing w:val="0"/>
          <w:w w:val="100"/>
          <w:position w:val="0"/>
        </w:rPr>
        <w:t>第二，厘清了非营利法人与营利法人举办者的权利不同。判断法人究竟属于</w:t>
      </w:r>
      <w:r>
        <w:rPr>
          <w:color w:val="000000"/>
          <w:spacing w:val="0"/>
          <w:w w:val="100"/>
          <w:position w:val="0"/>
          <w:lang w:val="zh-CN" w:eastAsia="zh-CN" w:bidi="zh-CN"/>
        </w:rPr>
        <w:t xml:space="preserve">“营利”还 </w:t>
      </w:r>
      <w:r>
        <w:rPr>
          <w:color w:val="000000"/>
          <w:spacing w:val="0"/>
          <w:w w:val="100"/>
          <w:position w:val="0"/>
        </w:rPr>
        <w:t>是“非营利</w:t>
      </w:r>
      <w:r>
        <w:rPr>
          <w:color w:val="000000"/>
          <w:spacing w:val="0"/>
          <w:w w:val="100"/>
          <w:position w:val="0"/>
          <w:lang w:val="zh-CN" w:eastAsia="zh-CN" w:bidi="zh-CN"/>
        </w:rPr>
        <w:t>”，是</w:t>
      </w:r>
      <w:r>
        <w:rPr>
          <w:color w:val="000000"/>
          <w:spacing w:val="0"/>
          <w:w w:val="100"/>
          <w:position w:val="0"/>
        </w:rPr>
        <w:t>以其最终目的而言。有营利法人虽然也从事公益事业,但仍视为营利法人。 例如，按公司法规定承担企业社会责任（包括捐赠责任）的公司仍为营利法人;而非营利法 人尽管也从事经营性活动,但只要其没有进行利益分配，仍为非营利法人。判断法人营利 与否的关键不在于法人是否从事经营活动，谋取经济利益，而在于其所获利益之归属，即采 取</w:t>
      </w:r>
      <w:r>
        <w:rPr>
          <w:color w:val="000000"/>
          <w:spacing w:val="0"/>
          <w:w w:val="100"/>
          <w:position w:val="0"/>
          <w:lang w:val="zh-CN" w:eastAsia="zh-CN" w:bidi="zh-CN"/>
        </w:rPr>
        <w:t>“经济</w:t>
      </w:r>
      <w:r>
        <w:rPr>
          <w:color w:val="000000"/>
          <w:spacing w:val="0"/>
          <w:w w:val="100"/>
          <w:position w:val="0"/>
        </w:rPr>
        <w:t>关系方法”。非营利法人具有公益性或者非营利性，其财产权不同于公司法规定的 公司财产权，不以股东营利为目的。民办学校的财产权是为教育公益服务的财产权，非为 出资人盈利，作为非营利法人的民办学校对投入学校的资产和积累享有独立的法人财产 权，出资人对学校财产不享有所有权（包括共同共有），出资人对学校也不享有类似于公司 股东的财产权利。</w:t>
      </w:r>
    </w:p>
    <w:p w14:paraId="3C857D67">
      <w:pPr>
        <w:pStyle w:val="17"/>
        <w:keepNext w:val="0"/>
        <w:keepLines w:val="0"/>
        <w:widowControl w:val="0"/>
        <w:shd w:val="clear" w:color="auto" w:fill="auto"/>
        <w:bidi w:val="0"/>
        <w:spacing w:before="0" w:after="12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本裁定的遗留问题</w:t>
      </w:r>
    </w:p>
    <w:p w14:paraId="73F8E00E">
      <w:pPr>
        <w:pStyle w:val="17"/>
        <w:keepNext w:val="0"/>
        <w:keepLines w:val="0"/>
        <w:widowControl w:val="0"/>
        <w:shd w:val="clear" w:color="auto" w:fill="auto"/>
        <w:bidi w:val="0"/>
        <w:spacing w:before="0" w:after="0" w:line="352"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条所规定的非营利法人的界定尽管明确了举办者（设立人）、出资人对 于非营利法人不享有请求分配利益的权利，但对于举办者（设立人）、出资人是否享有其他 权利并未明文规定。《民法典》延续了《民法总贝</w:t>
      </w:r>
      <w:r>
        <w:rPr>
          <w:rFonts w:ascii="Times New Roman" w:hAnsi="Times New Roman" w:eastAsia="Times New Roman" w:cs="Times New Roman"/>
          <w:color w:val="000000"/>
          <w:spacing w:val="0"/>
          <w:w w:val="100"/>
          <w:position w:val="0"/>
          <w:sz w:val="19"/>
          <w:szCs w:val="19"/>
          <w:lang w:val="en-US" w:eastAsia="en-US" w:bidi="en-US"/>
        </w:rPr>
        <w:t>U</w:t>
      </w:r>
      <w:r>
        <w:rPr>
          <w:color w:val="000000"/>
          <w:spacing w:val="0"/>
          <w:w w:val="100"/>
          <w:position w:val="0"/>
          <w:lang w:val="en-US" w:eastAsia="en-US" w:bidi="en-US"/>
        </w:rPr>
        <w:t>》</w:t>
      </w:r>
      <w:r>
        <w:rPr>
          <w:color w:val="000000"/>
          <w:spacing w:val="0"/>
          <w:w w:val="100"/>
          <w:position w:val="0"/>
        </w:rPr>
        <w:t>的规定，本案中的问题并不会因为《民法 典》的出台而消弭。</w:t>
      </w:r>
    </w:p>
    <w:p w14:paraId="3BE3654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除了上文提及的出资人身份的权利基础之外,举办者身份的法律意义也甚为关键，其 承担非营利法人的创制事务，制定章程，承担发起人责任，并享有非营利法人的经营管理 权。司法实践中还存在一个更为棘手的问题,即举办者的资格及权利可否转让。有判决认 为可以转让，理由在于,</w:t>
      </w:r>
      <w:r>
        <w:rPr>
          <w:color w:val="000000"/>
          <w:spacing w:val="0"/>
          <w:w w:val="100"/>
          <w:position w:val="0"/>
          <w:lang w:val="zh-CN" w:eastAsia="zh-CN" w:bidi="zh-CN"/>
        </w:rPr>
        <w:t>“《民</w:t>
      </w:r>
      <w:r>
        <w:rPr>
          <w:color w:val="000000"/>
          <w:spacing w:val="0"/>
          <w:w w:val="100"/>
          <w:position w:val="0"/>
        </w:rPr>
        <w:t>办非企业单位登记管理暂行条例》未禁止民办非企业单位的举 办者转让其作为举办人的资格和权利</w:t>
      </w:r>
      <w:r>
        <w:rPr>
          <w:color w:val="000000"/>
          <w:spacing w:val="0"/>
          <w:w w:val="100"/>
          <w:position w:val="0"/>
          <w:lang w:val="zh-CN" w:eastAsia="zh-CN" w:bidi="zh-CN"/>
        </w:rPr>
        <w:t>”，在</w:t>
      </w:r>
      <w:r>
        <w:rPr>
          <w:color w:val="000000"/>
          <w:spacing w:val="0"/>
          <w:w w:val="100"/>
          <w:position w:val="0"/>
        </w:rPr>
        <w:t>无证据证明非营利法人“曾接受过他人的捐赠和 政府的资助的情况下</w:t>
      </w:r>
      <w:r>
        <w:rPr>
          <w:color w:val="000000"/>
          <w:spacing w:val="0"/>
          <w:w w:val="100"/>
          <w:position w:val="0"/>
          <w:lang w:val="zh-CN" w:eastAsia="zh-CN" w:bidi="zh-CN"/>
        </w:rPr>
        <w:t>”，可</w:t>
      </w:r>
      <w:r>
        <w:rPr>
          <w:color w:val="000000"/>
          <w:spacing w:val="0"/>
          <w:w w:val="100"/>
          <w:position w:val="0"/>
        </w:rPr>
        <w:t>以认为将举办者的权利作为转让标的的协议不违反法律法规的 规定,也不损害他人的合法权益，因而有效［南京市中级人民法院（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苏</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民终第</w:t>
      </w:r>
      <w:r>
        <w:rPr>
          <w:rFonts w:ascii="Times New Roman" w:hAnsi="Times New Roman" w:eastAsia="Times New Roman" w:cs="Times New Roman"/>
          <w:color w:val="000000"/>
          <w:spacing w:val="0"/>
          <w:w w:val="100"/>
          <w:position w:val="0"/>
          <w:sz w:val="17"/>
          <w:szCs w:val="17"/>
        </w:rPr>
        <w:t>505</w:t>
      </w:r>
      <w:r>
        <w:rPr>
          <w:color w:val="000000"/>
          <w:spacing w:val="0"/>
          <w:w w:val="100"/>
          <w:position w:val="0"/>
        </w:rPr>
        <w:t>号民事 判决书］。但另有判决从非营利法人的性质出发，认为</w:t>
      </w:r>
      <w:r>
        <w:rPr>
          <w:color w:val="000000"/>
          <w:spacing w:val="0"/>
          <w:w w:val="100"/>
          <w:position w:val="0"/>
          <w:lang w:val="zh-CN" w:eastAsia="zh-CN" w:bidi="zh-CN"/>
        </w:rPr>
        <w:t>“出</w:t>
      </w:r>
      <w:r>
        <w:rPr>
          <w:color w:val="000000"/>
          <w:spacing w:val="0"/>
          <w:w w:val="100"/>
          <w:position w:val="0"/>
        </w:rPr>
        <w:t>资行为本质上是捐赠行为,相较于 企业投资人与企业之间的出资关系，存在本质的差别”</w:t>
      </w:r>
      <w:r>
        <w:rPr>
          <w:color w:val="000000"/>
          <w:spacing w:val="0"/>
          <w:w w:val="100"/>
          <w:position w:val="0"/>
          <w:lang w:val="zh-CN" w:eastAsia="zh-CN" w:bidi="zh-CN"/>
        </w:rPr>
        <w:t>，“民</w:t>
      </w:r>
      <w:r>
        <w:rPr>
          <w:color w:val="000000"/>
          <w:spacing w:val="0"/>
          <w:w w:val="100"/>
          <w:position w:val="0"/>
        </w:rPr>
        <w:t xml:space="preserve">办非企业单位的出资人、举办人 或实际控制人以任何方式获取所谓’投资收益’，如撤回岀资、转让出资、分取红利或者以关 联交易的方式进行利益输送等，均是违反相关行政法规的行为”［北京市第二中级人民法院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3812</w:t>
      </w:r>
      <w:r>
        <w:rPr>
          <w:color w:val="000000"/>
          <w:spacing w:val="0"/>
          <w:w w:val="100"/>
          <w:position w:val="0"/>
        </w:rPr>
        <w:t>号民事判决书］。禁止利益分配，不仅禁止举办者通过分配利润的方式 逐年获得回报，而且也禁止举办者通过转让资格和权利来得到收益。理由在于如允许举办 者为上述行为，事实上将是对于禁止利益分配原则的彻底颠覆,举办者将通过上述行为一 次性地获得利益分配。</w:t>
      </w:r>
    </w:p>
    <w:p w14:paraId="1BBBDB7E">
      <w:pPr>
        <w:pStyle w:val="17"/>
        <w:keepNext w:val="0"/>
        <w:keepLines w:val="0"/>
        <w:widowControl w:val="0"/>
        <w:shd w:val="clear" w:color="auto" w:fill="auto"/>
        <w:bidi w:val="0"/>
        <w:spacing w:before="0" w:after="380" w:line="305" w:lineRule="exact"/>
        <w:ind w:left="0" w:right="0" w:firstLine="420"/>
        <w:jc w:val="both"/>
      </w:pPr>
      <w:r>
        <w:rPr>
          <w:color w:val="000000"/>
          <w:spacing w:val="0"/>
          <w:w w:val="100"/>
          <w:position w:val="0"/>
        </w:rPr>
        <w:t>因此，法院不能永远在此问题上采取</w:t>
      </w:r>
      <w:r>
        <w:rPr>
          <w:color w:val="000000"/>
          <w:spacing w:val="0"/>
          <w:w w:val="100"/>
          <w:position w:val="0"/>
          <w:lang w:val="zh-CN" w:eastAsia="zh-CN" w:bidi="zh-CN"/>
        </w:rPr>
        <w:t>“鸵</w:t>
      </w:r>
      <w:r>
        <w:rPr>
          <w:color w:val="000000"/>
          <w:spacing w:val="0"/>
          <w:w w:val="100"/>
          <w:position w:val="0"/>
        </w:rPr>
        <w:t>鸟政策</w:t>
      </w:r>
      <w:r>
        <w:rPr>
          <w:color w:val="000000"/>
          <w:spacing w:val="0"/>
          <w:w w:val="100"/>
          <w:position w:val="0"/>
          <w:lang w:val="zh-CN" w:eastAsia="zh-CN" w:bidi="zh-CN"/>
        </w:rPr>
        <w:t>”，一</w:t>
      </w:r>
      <w:r>
        <w:rPr>
          <w:color w:val="000000"/>
          <w:spacing w:val="0"/>
          <w:w w:val="100"/>
          <w:position w:val="0"/>
        </w:rPr>
        <w:t>驳了之，而应在深刻理解非营利法 人的举办者（设立人）的法律意义的基础上，有所作为。</w:t>
      </w:r>
    </w:p>
    <w:p w14:paraId="605DC56F">
      <w:pPr>
        <w:pStyle w:val="11"/>
        <w:keepNext w:val="0"/>
        <w:keepLines w:val="0"/>
        <w:widowControl w:val="0"/>
        <w:shd w:val="clear" w:color="auto" w:fill="auto"/>
        <w:bidi w:val="0"/>
        <w:spacing w:before="0" w:after="0" w:line="341" w:lineRule="exact"/>
        <w:ind w:left="0" w:right="0" w:firstLine="0"/>
        <w:jc w:val="left"/>
      </w:pPr>
      <w:r>
        <w:rPr>
          <w:i/>
          <w:iCs/>
          <w:color w:val="000000"/>
          <w:spacing w:val="0"/>
          <w:w w:val="100"/>
          <w:position w:val="0"/>
        </w:rPr>
        <w:t>回</w:t>
      </w:r>
      <w:r>
        <w:rPr>
          <w:color w:val="000000"/>
          <w:spacing w:val="0"/>
          <w:w w:val="100"/>
          <w:position w:val="0"/>
        </w:rPr>
        <w:t>参考文献</w:t>
      </w:r>
    </w:p>
    <w:p w14:paraId="4F2091B2">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魏振瀛:《民法》（第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版），北京大学出版社、高等教育出版社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7F500A2C">
      <w:pPr>
        <w:pStyle w:val="17"/>
        <w:keepNext w:val="0"/>
        <w:keepLines w:val="0"/>
        <w:widowControl w:val="0"/>
        <w:shd w:val="clear" w:color="auto" w:fill="auto"/>
        <w:bidi w:val="0"/>
        <w:spacing w:before="0" w:after="0" w:line="314" w:lineRule="exact"/>
        <w:ind w:left="0" w:right="0" w:firstLine="0"/>
        <w:jc w:val="left"/>
        <w:sectPr>
          <w:headerReference r:id="rId95" w:type="default"/>
          <w:headerReference r:id="rId96" w:type="even"/>
          <w:footnotePr>
            <w:numFmt w:val="chicago"/>
          </w:footnotePr>
          <w:pgSz w:w="10099" w:h="14782"/>
          <w:pgMar w:top="1300" w:right="1045" w:bottom="1118" w:left="1018" w:header="0" w:footer="3" w:gutter="0"/>
          <w:pgNumType w:start="58"/>
          <w:cols w:space="720" w:num="1"/>
          <w:rtlGutter w:val="0"/>
          <w:docGrid w:linePitch="360" w:charSpace="0"/>
        </w:sectPr>
      </w:pPr>
      <w:r>
        <w:rPr>
          <w:color w:val="000000"/>
          <w:spacing w:val="0"/>
          <w:w w:val="100"/>
          <w:position w:val="0"/>
        </w:rPr>
        <w:t>朱庆育：《民法总论》（第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 崔建远、韩世远等：《民法总论》，清华大学出版社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 金锦萍:《中国非营利组织法前沿问题研究》，中国社会科学文献出版社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 李适时主编:《中华人民共和国民法总则释义》，法律出版社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E09C882">
      <w:pPr>
        <w:widowControl w:val="0"/>
        <w:spacing w:line="108" w:lineRule="exact"/>
        <w:rPr>
          <w:sz w:val="9"/>
          <w:szCs w:val="9"/>
        </w:rPr>
      </w:pPr>
    </w:p>
    <w:p w14:paraId="566223AC">
      <w:pPr>
        <w:widowControl w:val="0"/>
        <w:spacing w:line="1" w:lineRule="exact"/>
        <w:sectPr>
          <w:headerReference r:id="rId99" w:type="first"/>
          <w:headerReference r:id="rId97" w:type="default"/>
          <w:headerReference r:id="rId98" w:type="even"/>
          <w:footnotePr>
            <w:numFmt w:val="chicago"/>
          </w:footnotePr>
          <w:pgSz w:w="10099" w:h="14782"/>
          <w:pgMar w:top="1288" w:right="1010" w:bottom="1119" w:left="1081" w:header="0" w:footer="3" w:gutter="0"/>
          <w:pgNumType w:start="78"/>
          <w:cols w:space="720" w:num="1"/>
          <w:titlePg/>
          <w:rtlGutter w:val="0"/>
          <w:docGrid w:linePitch="360" w:charSpace="0"/>
        </w:sectPr>
      </w:pPr>
    </w:p>
    <w:p w14:paraId="713E1F6E">
      <w:pPr>
        <w:widowControl w:val="0"/>
        <w:spacing w:line="1" w:lineRule="exact"/>
      </w:pPr>
      <w:r>
        <mc:AlternateContent>
          <mc:Choice Requires="wps">
            <w:drawing>
              <wp:anchor distT="0" distB="6350" distL="114300" distR="3060065" simplePos="0" relativeHeight="251660288" behindDoc="0" locked="0" layoutInCell="1" allowOverlap="1">
                <wp:simplePos x="0" y="0"/>
                <wp:positionH relativeFrom="page">
                  <wp:posOffset>744220</wp:posOffset>
                </wp:positionH>
                <wp:positionV relativeFrom="paragraph">
                  <wp:posOffset>12700</wp:posOffset>
                </wp:positionV>
                <wp:extent cx="449580" cy="304800"/>
                <wp:effectExtent l="0" t="0" r="0" b="0"/>
                <wp:wrapTopAndBottom/>
                <wp:docPr id="207" name="Shape 20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6ED8A06E">
                            <w:pPr>
                              <w:pStyle w:val="27"/>
                              <w:keepNext/>
                              <w:keepLines/>
                              <w:widowControl w:val="0"/>
                              <w:shd w:val="clear" w:color="auto" w:fill="auto"/>
                              <w:bidi w:val="0"/>
                              <w:spacing w:before="0" w:after="0" w:line="240" w:lineRule="auto"/>
                              <w:ind w:left="0" w:right="0" w:firstLine="0"/>
                              <w:jc w:val="both"/>
                            </w:pPr>
                            <w:bookmarkStart w:id="258" w:name="bookmark87"/>
                            <w:bookmarkStart w:id="259" w:name="bookmark88"/>
                            <w:bookmarkStart w:id="260" w:name="bookmark86"/>
                            <w:r>
                              <w:rPr>
                                <w:rFonts w:ascii="Times New Roman" w:hAnsi="Times New Roman" w:eastAsia="Times New Roman" w:cs="Times New Roman"/>
                                <w:color w:val="000000"/>
                                <w:spacing w:val="0"/>
                                <w:w w:val="100"/>
                                <w:position w:val="0"/>
                              </w:rPr>
                              <w:t>013</w:t>
                            </w:r>
                            <w:bookmarkEnd w:id="258"/>
                            <w:bookmarkEnd w:id="259"/>
                            <w:bookmarkEnd w:id="260"/>
                          </w:p>
                        </w:txbxContent>
                      </wps:txbx>
                      <wps:bodyPr wrap="none" lIns="0" tIns="0" rIns="0" bIns="0">
                        <a:noAutofit/>
                      </wps:bodyPr>
                    </wps:wsp>
                  </a:graphicData>
                </a:graphic>
              </wp:anchor>
            </w:drawing>
          </mc:Choice>
          <mc:Fallback>
            <w:pict>
              <v:shape id="Shape 207" o:spid="_x0000_s1026" o:spt="202" type="#_x0000_t202" style="position:absolute;left:0pt;margin-left:58.6pt;margin-top:1pt;height:24pt;width:35.4pt;mso-position-horizontal-relative:page;mso-wrap-distance-bottom:0.5pt;mso-wrap-distance-top:0pt;mso-wrap-style:none;z-index:251660288;mso-width-relative:page;mso-height-relative:page;" filled="f" stroked="f" coordsize="21600,21600" o:gfxdata="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IkpM3UAAAA&#10;CAEAAA8AAAAAAAAAAQAgAAAAIgAAAGRycy9kb3ducmV2LnhtbFBLAQIUABQAAAAIAIdO4kAo3iQ0&#10;rwEAAHMDAAAOAAAAAAAAAAEAIAAAACMBAABkcnMvZTJvRG9jLnhtbFBLBQYAAAAABgAGAFkBAABE&#10;BQAAAAA=&#10;">
                <v:fill on="f" focussize="0,0"/>
                <v:stroke on="f"/>
                <v:imagedata o:title=""/>
                <o:lock v:ext="edit" aspectratio="f"/>
                <v:textbox inset="0mm,0mm,0mm,0mm">
                  <w:txbxContent>
                    <w:p w14:paraId="6ED8A06E">
                      <w:pPr>
                        <w:pStyle w:val="27"/>
                        <w:keepNext/>
                        <w:keepLines/>
                        <w:widowControl w:val="0"/>
                        <w:shd w:val="clear" w:color="auto" w:fill="auto"/>
                        <w:bidi w:val="0"/>
                        <w:spacing w:before="0" w:after="0" w:line="240" w:lineRule="auto"/>
                        <w:ind w:left="0" w:right="0" w:firstLine="0"/>
                        <w:jc w:val="both"/>
                      </w:pPr>
                      <w:bookmarkStart w:id="258" w:name="bookmark87"/>
                      <w:bookmarkStart w:id="259" w:name="bookmark88"/>
                      <w:bookmarkStart w:id="260" w:name="bookmark86"/>
                      <w:r>
                        <w:rPr>
                          <w:rFonts w:ascii="Times New Roman" w:hAnsi="Times New Roman" w:eastAsia="Times New Roman" w:cs="Times New Roman"/>
                          <w:color w:val="000000"/>
                          <w:spacing w:val="0"/>
                          <w:w w:val="100"/>
                          <w:position w:val="0"/>
                        </w:rPr>
                        <w:t>013</w:t>
                      </w:r>
                      <w:bookmarkEnd w:id="258"/>
                      <w:bookmarkEnd w:id="259"/>
                      <w:bookmarkEnd w:id="260"/>
                    </w:p>
                  </w:txbxContent>
                </v:textbox>
                <w10:wrap type="topAndBottom"/>
              </v:shape>
            </w:pict>
          </mc:Fallback>
        </mc:AlternateContent>
      </w:r>
      <w:r>
        <mc:AlternateContent>
          <mc:Choice Requires="wps">
            <w:drawing>
              <wp:anchor distT="73025" distB="635" distL="690245" distR="114300" simplePos="0" relativeHeight="251660288" behindDoc="0" locked="0" layoutInCell="1" allowOverlap="1">
                <wp:simplePos x="0" y="0"/>
                <wp:positionH relativeFrom="page">
                  <wp:posOffset>1320165</wp:posOffset>
                </wp:positionH>
                <wp:positionV relativeFrom="paragraph">
                  <wp:posOffset>85725</wp:posOffset>
                </wp:positionV>
                <wp:extent cx="2819400" cy="237490"/>
                <wp:effectExtent l="0" t="0" r="0" b="0"/>
                <wp:wrapTopAndBottom/>
                <wp:docPr id="209" name="Shape 209"/>
                <wp:cNvGraphicFramePr/>
                <a:graphic xmlns:a="http://schemas.openxmlformats.org/drawingml/2006/main">
                  <a:graphicData uri="http://schemas.microsoft.com/office/word/2010/wordprocessingShape">
                    <wps:wsp>
                      <wps:cNvSpPr txBox="1"/>
                      <wps:spPr>
                        <a:xfrm>
                          <a:off x="0" y="0"/>
                          <a:ext cx="2819400" cy="237490"/>
                        </a:xfrm>
                        <a:prstGeom prst="rect">
                          <a:avLst/>
                        </a:prstGeom>
                        <a:noFill/>
                      </wps:spPr>
                      <wps:txbx>
                        <w:txbxContent>
                          <w:p w14:paraId="1FDBDE2A">
                            <w:pPr>
                              <w:pStyle w:val="15"/>
                              <w:keepNext/>
                              <w:keepLines/>
                              <w:widowControl w:val="0"/>
                              <w:shd w:val="clear" w:color="auto" w:fill="auto"/>
                              <w:bidi w:val="0"/>
                              <w:spacing w:before="0" w:after="0" w:line="240" w:lineRule="auto"/>
                              <w:ind w:left="0" w:right="0" w:firstLine="0"/>
                              <w:jc w:val="left"/>
                            </w:pPr>
                            <w:bookmarkStart w:id="261" w:name="bookmark90"/>
                            <w:bookmarkStart w:id="262" w:name="bookmark91"/>
                            <w:bookmarkStart w:id="263" w:name="bookmark89"/>
                            <w:r>
                              <w:rPr>
                                <w:color w:val="000000"/>
                                <w:spacing w:val="0"/>
                                <w:w w:val="100"/>
                                <w:position w:val="0"/>
                              </w:rPr>
                              <w:t>冷冻胚胎的法律属性及法律归属</w:t>
                            </w:r>
                            <w:bookmarkEnd w:id="261"/>
                            <w:bookmarkEnd w:id="262"/>
                            <w:bookmarkEnd w:id="263"/>
                          </w:p>
                        </w:txbxContent>
                      </wps:txbx>
                      <wps:bodyPr wrap="none" lIns="0" tIns="0" rIns="0" bIns="0">
                        <a:noAutofit/>
                      </wps:bodyPr>
                    </wps:wsp>
                  </a:graphicData>
                </a:graphic>
              </wp:anchor>
            </w:drawing>
          </mc:Choice>
          <mc:Fallback>
            <w:pict>
              <v:shape id="Shape 209" o:spid="_x0000_s1026" o:spt="202" type="#_x0000_t202" style="position:absolute;left:0pt;margin-left:103.95pt;margin-top:6.75pt;height:18.7pt;width:222pt;mso-position-horizontal-relative:page;mso-wrap-distance-bottom:0.05pt;mso-wrap-distance-top:5.75pt;mso-wrap-style:none;z-index:251660288;mso-width-relative:page;mso-height-relative:page;" filled="f" stroked="f" coordsize="21600,21600" o:gfxdata="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EQZ9tYA&#10;AAAJAQAADwAAAAAAAAABACAAAAAiAAAAZHJzL2Rvd25yZXYueG1sUEsBAhQAFAAAAAgAh07iQB58&#10;hx6vAQAAdAMAAA4AAAAAAAAAAQAgAAAAJQEAAGRycy9lMm9Eb2MueG1sUEsFBgAAAAAGAAYAWQEA&#10;AEYFAAAAAA==&#10;">
                <v:fill on="f" focussize="0,0"/>
                <v:stroke on="f"/>
                <v:imagedata o:title=""/>
                <o:lock v:ext="edit" aspectratio="f"/>
                <v:textbox inset="0mm,0mm,0mm,0mm">
                  <w:txbxContent>
                    <w:p w14:paraId="1FDBDE2A">
                      <w:pPr>
                        <w:pStyle w:val="15"/>
                        <w:keepNext/>
                        <w:keepLines/>
                        <w:widowControl w:val="0"/>
                        <w:shd w:val="clear" w:color="auto" w:fill="auto"/>
                        <w:bidi w:val="0"/>
                        <w:spacing w:before="0" w:after="0" w:line="240" w:lineRule="auto"/>
                        <w:ind w:left="0" w:right="0" w:firstLine="0"/>
                        <w:jc w:val="left"/>
                      </w:pPr>
                      <w:bookmarkStart w:id="261" w:name="bookmark90"/>
                      <w:bookmarkStart w:id="262" w:name="bookmark91"/>
                      <w:bookmarkStart w:id="263" w:name="bookmark89"/>
                      <w:r>
                        <w:rPr>
                          <w:color w:val="000000"/>
                          <w:spacing w:val="0"/>
                          <w:w w:val="100"/>
                          <w:position w:val="0"/>
                        </w:rPr>
                        <w:t>冷冻胚胎的法律属性及法律归属</w:t>
                      </w:r>
                      <w:bookmarkEnd w:id="261"/>
                      <w:bookmarkEnd w:id="262"/>
                      <w:bookmarkEnd w:id="26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5114925</wp:posOffset>
            </wp:positionH>
            <wp:positionV relativeFrom="paragraph">
              <wp:posOffset>204470</wp:posOffset>
            </wp:positionV>
            <wp:extent cx="621665" cy="621665"/>
            <wp:effectExtent l="0" t="0" r="635" b="635"/>
            <wp:wrapSquare wrapText="left"/>
            <wp:docPr id="211" name="Shape 211"/>
            <wp:cNvGraphicFramePr/>
            <a:graphic xmlns:a="http://schemas.openxmlformats.org/drawingml/2006/main">
              <a:graphicData uri="http://schemas.openxmlformats.org/drawingml/2006/picture">
                <pic:pic xmlns:pic="http://schemas.openxmlformats.org/drawingml/2006/picture">
                  <pic:nvPicPr>
                    <pic:cNvPr id="211" name="Shape 211"/>
                    <pic:cNvPicPr/>
                  </pic:nvPicPr>
                  <pic:blipFill>
                    <a:blip r:embed="rId608"/>
                    <a:stretch>
                      <a:fillRect/>
                    </a:stretch>
                  </pic:blipFill>
                  <pic:spPr>
                    <a:xfrm>
                      <a:off x="0" y="0"/>
                      <a:ext cx="621665" cy="621665"/>
                    </a:xfrm>
                    <a:prstGeom prst="rect">
                      <a:avLst/>
                    </a:prstGeom>
                  </pic:spPr>
                </pic:pic>
              </a:graphicData>
            </a:graphic>
          </wp:anchor>
        </w:drawing>
      </w:r>
    </w:p>
    <w:p w14:paraId="751858BA">
      <w:pPr>
        <w:pStyle w:val="17"/>
        <w:keepNext w:val="0"/>
        <w:keepLines w:val="0"/>
        <w:widowControl w:val="0"/>
        <w:shd w:val="clear" w:color="auto" w:fill="auto"/>
        <w:bidi w:val="0"/>
        <w:spacing w:before="0" w:after="120" w:line="240" w:lineRule="auto"/>
        <w:ind w:left="0" w:right="0" w:firstLine="1000"/>
        <w:jc w:val="left"/>
      </w:pPr>
      <w:r>
        <w:rPr>
          <w:color w:val="000000"/>
          <w:spacing w:val="0"/>
          <w:w w:val="100"/>
          <w:position w:val="0"/>
        </w:rPr>
        <w:t xml:space="preserve">沈新南、邵玉妹诉刘金法、胡杏仙监管、处置权纠纷案| </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锡</w:t>
      </w:r>
    </w:p>
    <w:p w14:paraId="1A98EE8C">
      <w:pPr>
        <w:pStyle w:val="17"/>
        <w:keepNext w:val="0"/>
        <w:keepLines w:val="0"/>
        <w:widowControl w:val="0"/>
        <w:shd w:val="clear" w:color="auto" w:fill="auto"/>
        <w:bidi w:val="0"/>
        <w:spacing w:before="0" w:after="360" w:line="240" w:lineRule="auto"/>
        <w:ind w:left="0" w:right="0" w:firstLine="1000"/>
        <w:jc w:val="left"/>
      </w:pPr>
      <w:r>
        <w:rPr>
          <w:color w:val="000000"/>
          <w:spacing w:val="0"/>
          <w:w w:val="100"/>
          <w:position w:val="0"/>
        </w:rPr>
        <w:t>民终字第</w:t>
      </w:r>
      <w:r>
        <w:rPr>
          <w:rFonts w:ascii="Times New Roman" w:hAnsi="Times New Roman" w:eastAsia="Times New Roman" w:cs="Times New Roman"/>
          <w:color w:val="000000"/>
          <w:spacing w:val="0"/>
          <w:w w:val="100"/>
          <w:position w:val="0"/>
          <w:sz w:val="19"/>
          <w:szCs w:val="19"/>
        </w:rPr>
        <w:t>01235</w:t>
      </w:r>
      <w:r>
        <w:rPr>
          <w:color w:val="000000"/>
          <w:spacing w:val="0"/>
          <w:w w:val="100"/>
          <w:position w:val="0"/>
        </w:rPr>
        <w:t>号民事判决书</w:t>
      </w:r>
    </w:p>
    <w:p w14:paraId="3C9FBED5">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梁琳</w:t>
      </w:r>
      <w:r>
        <w:rPr>
          <w:color w:val="000000"/>
          <w:spacing w:val="0"/>
          <w:w w:val="100"/>
          <w:position w:val="0"/>
        </w:rPr>
        <w:t>兰州大学法学院</w:t>
      </w:r>
    </w:p>
    <w:p w14:paraId="1DEED602">
      <w:pPr>
        <w:pStyle w:val="11"/>
        <w:keepNext w:val="0"/>
        <w:keepLines w:val="0"/>
        <w:widowControl w:val="0"/>
        <w:shd w:val="clear" w:color="auto" w:fill="auto"/>
        <w:bidi w:val="0"/>
        <w:spacing w:before="0" w:after="60" w:line="337"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1406B819">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沈杰与刘曦于</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日登记结婚。</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月，沈杰与刘曦在南京市鼓楼医 院（以下简称鼓楼医院）进行体外受精一胚胎移植助孕手术。鼓楼医院冷冻</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枚受精胚胎。 治疗期间，刘曦曾于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日与鼓楼医院签订《辅助生殖染色体诊断知情同意书》， 刘曦在该同意书中明确对染色体检查及相关事项已经了解清楚，同意进行该检查;愿意承 担因该检查可能带来的各种风险;所取样本如有剩余，同意由诊断中心按国家相关法律、法 规的要求代为处理等。</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日，沈杰、刘曦与鼓楼医院签订《配子、胚胎去向知情 同意书》，载明两人在鼓楼医院生殖医学中心实施了试管手术，获卵</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枚，移植</w:t>
      </w:r>
      <w:r>
        <w:rPr>
          <w:color w:val="000000"/>
          <w:spacing w:val="0"/>
          <w:w w:val="100"/>
          <w:position w:val="0"/>
          <w:lang w:val="zh-CN" w:eastAsia="zh-CN" w:bidi="zh-CN"/>
        </w:rPr>
        <w:t>。枚</w:t>
      </w:r>
      <w:r>
        <w:rPr>
          <w:color w:val="000000"/>
          <w:spacing w:val="0"/>
          <w:w w:val="100"/>
          <w:position w:val="0"/>
        </w:rPr>
        <w:t>，冷冻</w:t>
      </w:r>
      <w:r>
        <w:rPr>
          <w:rFonts w:ascii="Times New Roman" w:hAnsi="Times New Roman" w:eastAsia="Times New Roman" w:cs="Times New Roman"/>
          <w:color w:val="000000"/>
          <w:spacing w:val="0"/>
          <w:w w:val="100"/>
          <w:position w:val="0"/>
          <w:sz w:val="19"/>
          <w:szCs w:val="19"/>
        </w:rPr>
        <w:t xml:space="preserve">4 </w:t>
      </w:r>
      <w:r>
        <w:rPr>
          <w:color w:val="000000"/>
          <w:spacing w:val="0"/>
          <w:w w:val="100"/>
          <w:position w:val="0"/>
        </w:rPr>
        <w:t>枚，继续观察</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枚胚胎;对于剩余配子（卵子、精子）、胚胎，两人选择同意丢弃;对于继续观 察的胚胎，如果发展成囊胚，两人选择同意囊胚冷冻。同日，沈杰、刘曦与鼓楼医院签订《胚 胎和囊胚冷冻、解冻及移植知情同意书》，鼓楼医院在该同意书中明确，胚胎不能无限期保 存，目前该中心冷冻保存期限为</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年，首次费用为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个月，如需继续冷冻，需补交费用，逾期 不予保存;如果超过保存期，沈杰、刘曦选择同意将胚胎丢弃。</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日，沈杰驾车 途中发生车祸，造成刘曦当日死亡、沈杰于同年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日死亡的后果。沈杰、刘曦的</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枚受 精胚胎当时在鼓楼医院生殖中心冷冻保存。</w:t>
      </w:r>
    </w:p>
    <w:p w14:paraId="2584FE78">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沈杰父亲沈新南、沈杰母亲邵玉妹（二审上诉人，一审原告）与刘曦的父亲刘金法、刘曦 母亲胡杏仙（二审被上诉人，一审被告）因对上述</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枚受精胚胎的监管权和处置权发生争 议，认为其子沈杰与儿媳刘曦死亡后，根据法律规定和风俗习惯，胚胎的监管权和处置权应 由其行使,要求法院判如所请。审理中，因涉案胚胎保存于鼓楼医院,与本案审理结果存在 关联性,故原审法院追加该院作为第三人参加诉讼。</w:t>
      </w:r>
    </w:p>
    <w:p w14:paraId="2725795D">
      <w:pPr>
        <w:pStyle w:val="17"/>
        <w:keepNext w:val="0"/>
        <w:keepLines w:val="0"/>
        <w:widowControl w:val="0"/>
        <w:shd w:val="clear" w:color="auto" w:fill="auto"/>
        <w:bidi w:val="0"/>
        <w:spacing w:before="0" w:after="80" w:line="337" w:lineRule="exact"/>
        <w:ind w:left="0" w:right="0" w:firstLine="420"/>
        <w:jc w:val="both"/>
      </w:pPr>
      <w:r>
        <w:rPr>
          <w:color w:val="000000"/>
          <w:spacing w:val="0"/>
          <w:w w:val="100"/>
          <w:position w:val="0"/>
        </w:rPr>
        <w:t>一审法院认为，施行体外受精一胚胎移植手术过程中产生的受精胚胎为具有发展为生 命的潜能，含有未来生命特征的特殊之物,不能像一般之物一样任意转让或继承，故其不能 成为继承的标的。同时，夫妻双方对其权利的行使应受到限制，即必须符合我国人口和计 划生育法律法规，不违背社会伦理和道德，并且必须以生育为目的，不能买卖胚胎等。沈杰 与刘曦夫妻均已死亡，通过手术达到生育的目的已无法实现,故两人对手术过程中留下的 胚胎所享有的受限制的权利不能被继承。沈新南、邵玉妹不服一审判决提起上诉。</w:t>
      </w:r>
    </w:p>
    <w:p w14:paraId="42D6AD53">
      <w:pPr>
        <w:pStyle w:val="11"/>
        <w:keepNext w:val="0"/>
        <w:keepLines w:val="0"/>
        <w:widowControl w:val="0"/>
        <w:shd w:val="clear" w:color="auto" w:fill="auto"/>
        <w:bidi w:val="0"/>
        <w:spacing w:before="0" w:after="100" w:line="240" w:lineRule="auto"/>
        <w:ind w:left="0" w:right="0" w:firstLine="0"/>
        <w:jc w:val="both"/>
      </w:pPr>
      <w:r>
        <w:rPr>
          <w:color w:val="000000"/>
          <w:spacing w:val="0"/>
          <w:w w:val="100"/>
          <w:position w:val="0"/>
          <w:lang w:val="en-US" w:eastAsia="en-US" w:bidi="en-US"/>
        </w:rPr>
        <w:t>■</w:t>
      </w:r>
      <w:r>
        <w:rPr>
          <w:color w:val="000000"/>
          <w:spacing w:val="0"/>
          <w:w w:val="100"/>
          <w:position w:val="0"/>
        </w:rPr>
        <w:t>判决要旨</w:t>
      </w:r>
    </w:p>
    <w:p w14:paraId="52FFF748">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第一，沈杰、刘曦生前与鼓楼医院签订相关知情同意书,因沈杰、刘曦意外死亡,合同因 发生了当事人不可预见且非其所愿的情况而不能继续履行，鼓楼医院不能根据知情同意书 中的相关条款单方面处置涉案胚胎。第二，在我国现行法律对胚胎的法律属性没有明确规 定的情况下,结合案件实际，应考虑伦理、情感、特殊利益保护因素以确定涉案胚胎的相关 权利归属，判决沈杰、刘曦父母享有涉案胚胎的监管权和处置权于情于理是恰当的。第三, 鼓楼医院在诉讼中提出，根据卫生部的相关规定，胚胎不能买卖、赠送和禁止实施代孕，但 并未否定权利人对胚胎享有的相关权利,且这些规定是卫生行政管理部门对相关医疗机构 和人员在从事人工生殖辅助技术时的管理规定,鼓楼医院不得基于部门规章的行政管理规 定对抗当事人基于私法所享有的正当权利。由此,沈新南、邵玉妹和刘金法、胡杏仙要求获 得涉案胚胎的监管权和处置权合情、合理，且不违反法律禁止性规定，故撤销一审判决，认 定沈新南、邵玉妹的诉讼请求成立。</w:t>
      </w:r>
    </w:p>
    <w:p w14:paraId="16C1601B">
      <w:pPr>
        <w:pStyle w:val="11"/>
        <w:keepNext w:val="0"/>
        <w:keepLines w:val="0"/>
        <w:widowControl w:val="0"/>
        <w:shd w:val="clear" w:color="auto" w:fill="auto"/>
        <w:bidi w:val="0"/>
        <w:spacing w:before="0" w:after="240" w:line="341" w:lineRule="exact"/>
        <w:ind w:left="0" w:right="0" w:firstLine="0"/>
        <w:jc w:val="both"/>
      </w:pPr>
      <w:r>
        <w:rPr>
          <w:color w:val="000000"/>
          <w:spacing w:val="0"/>
          <w:w w:val="100"/>
          <w:position w:val="0"/>
        </w:rPr>
        <w:t>■评析</w:t>
      </w:r>
    </w:p>
    <w:p w14:paraId="707E39AB">
      <w:pPr>
        <w:pStyle w:val="17"/>
        <w:keepNext w:val="0"/>
        <w:keepLines w:val="0"/>
        <w:widowControl w:val="0"/>
        <w:shd w:val="clear" w:color="auto" w:fill="auto"/>
        <w:bidi w:val="0"/>
        <w:spacing w:before="0" w:after="10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p>
    <w:p w14:paraId="6F63C33D">
      <w:pPr>
        <w:pStyle w:val="17"/>
        <w:keepNext w:val="0"/>
        <w:keepLines w:val="0"/>
        <w:widowControl w:val="0"/>
        <w:shd w:val="clear" w:color="auto" w:fill="auto"/>
        <w:bidi w:val="0"/>
        <w:spacing w:before="0" w:after="0" w:line="420" w:lineRule="auto"/>
        <w:ind w:left="0" w:right="0" w:firstLine="420"/>
        <w:jc w:val="both"/>
      </w:pP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rPr>
        <w:t>.冷冻胚胎法律属性的认定</w:t>
      </w:r>
    </w:p>
    <w:p w14:paraId="4594A8CE">
      <w:pPr>
        <w:pStyle w:val="17"/>
        <w:keepNext w:val="0"/>
        <w:keepLines w:val="0"/>
        <w:widowControl w:val="0"/>
        <w:shd w:val="clear" w:color="auto" w:fill="auto"/>
        <w:bidi w:val="0"/>
        <w:spacing w:before="0" w:after="120" w:line="341" w:lineRule="exact"/>
        <w:ind w:left="0" w:right="0" w:firstLine="420"/>
        <w:jc w:val="both"/>
        <w:sectPr>
          <w:footnotePr>
            <w:numFmt w:val="chicago"/>
          </w:footnotePr>
          <w:type w:val="continuous"/>
          <w:pgSz w:w="10099" w:h="14782"/>
          <w:pgMar w:top="1288" w:right="1010" w:bottom="1119" w:left="1081" w:header="0" w:footer="3" w:gutter="0"/>
          <w:cols w:space="720" w:num="1"/>
          <w:rtlGutter w:val="0"/>
          <w:docGrid w:linePitch="360" w:charSpace="0"/>
        </w:sectPr>
      </w:pPr>
      <w:r>
        <w:rPr>
          <w:color w:val="000000"/>
          <w:spacing w:val="0"/>
          <w:w w:val="100"/>
          <w:position w:val="0"/>
        </w:rPr>
        <w:t>本案的争点系，冷冻胚胎是否是民法上的物。冷冻胚胎的法律属性具有特殊性，我国 法律没有明确的规定，在法学界也没有统一的定论。对于冷冻胚胎法律属性的界定有三种 主流学说:一是主体说。该学说认为胚胎应视为法律上的人，胚胎应受到法律的保护。二是 客体说。该学说认为冷冻胚胎是脱离了人体的器官和组织，具有物的属性,是法律关系的 客体,将冷冻胚胎等脱离人体的器官和组织认定为具有人格属性的伦理物（杨立新:《人的冷 冻胚胎的法律属性及其继承问题》，载《人民司法</w:t>
      </w:r>
      <w:r>
        <w:rPr>
          <w:color w:val="000000"/>
          <w:spacing w:val="0"/>
          <w:w w:val="100"/>
          <w:position w:val="0"/>
          <w:lang w:val="zh-CN" w:eastAsia="zh-CN" w:bidi="zh-CN"/>
        </w:rPr>
        <w:t>•应</w:t>
      </w:r>
      <w:r>
        <w:rPr>
          <w:color w:val="000000"/>
          <w:spacing w:val="0"/>
          <w:w w:val="100"/>
          <w:position w:val="0"/>
        </w:rPr>
        <w:t>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期）。三是折中说。该学说将 冷冻胚胎视为具有生命潜能、介于人和物的过渡存在。三种学说中的主体说将冷冻胚胎定 性为法律上的人，缺乏对冷冻胚胎的科学认识。许多伦理学家和科学家认为尚未植入子宫 的尚不满两周</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14</w:t>
      </w:r>
      <w:r>
        <w:rPr>
          <w:color w:val="000000"/>
          <w:spacing w:val="0"/>
          <w:w w:val="100"/>
          <w:position w:val="0"/>
        </w:rPr>
        <w:t>天）的受精卵一般被认为前胚胎（李昊：《冷冻胚胎的法律性质及其处置模 式——以美国法为中心》，载《华东政法大学学报》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期）。这个阶段的胚胎可以成为合法 胚胎干细胞等研究客体。因此，冷冻胚胎不宜被认为是主体。同时，原《民法总则》对民事 主体资格的确定是按照“始于出生，终于死亡</w:t>
      </w:r>
      <w:r>
        <w:rPr>
          <w:color w:val="000000"/>
          <w:spacing w:val="0"/>
          <w:w w:val="100"/>
          <w:position w:val="0"/>
          <w:lang w:val="zh-CN" w:eastAsia="zh-CN" w:bidi="zh-CN"/>
        </w:rPr>
        <w:t>”的</w:t>
      </w:r>
      <w:r>
        <w:rPr>
          <w:color w:val="000000"/>
          <w:spacing w:val="0"/>
          <w:w w:val="100"/>
          <w:position w:val="0"/>
        </w:rPr>
        <w:t>标准,并承认了胎儿的权利能力。胎儿不 同于冷冻胚胎，是指已经植入子宫的胚胎。因此，冷冻胚胎具有发展为人的潜能，但不属于 法律上保护的主体范畴。客体说、折中说否认了胚胎是法律关系的主体。这两种学说相比 较而言，折中说打破了传统的人和物的二元模式。传统民法认为人是主体，物是客体，物不 能通过后天改变为人。折中说认为胚胎区别于器官、精子、卵子等,不同于其他人体组织，不 能按物对其进行定性。一审法院和二审法院都未将冷冻胚胎的法律属性界定为主体，但是 关于是物还是中间过渡存在分歧。一审法院釆纳客体说。认为受精胚胎具有发展为生命 的潜能，含有未来生命特征的特殊之物，肯定了原告对“冷冻胚胎没有植入母体前是物</w:t>
      </w:r>
      <w:r>
        <w:rPr>
          <w:color w:val="000000"/>
          <w:spacing w:val="0"/>
          <w:w w:val="100"/>
          <w:position w:val="0"/>
          <w:lang w:val="zh-CN" w:eastAsia="zh-CN" w:bidi="zh-CN"/>
        </w:rPr>
        <w:t xml:space="preserve">”的 </w:t>
      </w:r>
    </w:p>
    <w:p w14:paraId="638CF915">
      <w:pPr>
        <w:pStyle w:val="17"/>
        <w:keepNext w:val="0"/>
        <w:keepLines w:val="0"/>
        <w:widowControl w:val="0"/>
        <w:shd w:val="clear" w:color="auto" w:fill="auto"/>
        <w:bidi w:val="0"/>
        <w:spacing w:before="0" w:after="120" w:line="341" w:lineRule="exact"/>
        <w:ind w:left="0" w:right="0" w:firstLine="0"/>
        <w:jc w:val="both"/>
      </w:pPr>
      <w:r>
        <w:rPr>
          <w:color w:val="000000"/>
          <w:spacing w:val="0"/>
          <w:w w:val="100"/>
          <w:position w:val="0"/>
        </w:rPr>
        <w:t>主张。二审法院采纳折中说。在现在法律没有明确规定冷冻胚胎的法律属性的情形下，认 为受精胚胎是介于人和物之间的过渡。两级法院都清楚地认识到了冷冻胚胎的特殊性，其 法律地位与民法上一般的物应当具有较大差异。</w:t>
      </w:r>
    </w:p>
    <w:p w14:paraId="1F587E47">
      <w:pPr>
        <w:pStyle w:val="17"/>
        <w:keepNext w:val="0"/>
        <w:keepLines w:val="0"/>
        <w:widowControl w:val="0"/>
        <w:numPr>
          <w:ilvl w:val="0"/>
          <w:numId w:val="6"/>
        </w:numPr>
        <w:shd w:val="clear" w:color="auto" w:fill="auto"/>
        <w:tabs>
          <w:tab w:val="left" w:pos="704"/>
        </w:tabs>
        <w:bidi w:val="0"/>
        <w:spacing w:before="0" w:after="0" w:line="420" w:lineRule="auto"/>
        <w:ind w:left="0" w:right="0" w:firstLine="420"/>
        <w:jc w:val="both"/>
      </w:pPr>
      <w:bookmarkStart w:id="35" w:name="bookmark92"/>
      <w:bookmarkEnd w:id="35"/>
      <w:r>
        <w:rPr>
          <w:color w:val="000000"/>
          <w:spacing w:val="0"/>
          <w:w w:val="100"/>
          <w:position w:val="0"/>
        </w:rPr>
        <w:t>冷冻胚胎的继承</w:t>
      </w:r>
    </w:p>
    <w:p w14:paraId="45D17ABA">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一审法院认定冷冻胚胎是物，与民法上的一般物相比,冷冻胚胎成为权利的客体必然 要受到诸多限制。沈杰、刘曦已经离世，无法实施人工生殖手术。按照继承法的规定，他们 的遗产是可以由其继承人继承的。但是沈杰、刘曦的父母并不当然依法取得对胚胎的继承 权。他们的父母争得该胚胎，是有将其发育成人的考虑，而能够实现这一目的的唯一方式 就是代孕。依照卫生部《人工辅助生殖技术管理办法》第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w:t>
      </w:r>
      <w:r>
        <w:rPr>
          <w:rFonts w:ascii="Times New Roman" w:hAnsi="Times New Roman" w:eastAsia="Times New Roman" w:cs="Times New Roman"/>
          <w:color w:val="000000"/>
          <w:spacing w:val="0"/>
          <w:w w:val="100"/>
          <w:position w:val="0"/>
          <w:sz w:val="17"/>
          <w:szCs w:val="17"/>
        </w:rPr>
        <w:t>22</w:t>
      </w:r>
      <w:r>
        <w:rPr>
          <w:color w:val="000000"/>
          <w:spacing w:val="0"/>
          <w:w w:val="100"/>
          <w:position w:val="0"/>
        </w:rPr>
        <w:t>条的相关法律规定,代孕是 被严格禁止的。因此，双方父母不能继承该冷冻胚胎。当然，还有更深层的原因，胚胎具备 有发展为人的潜能,而这种发展成为生命的潜能必须受到</w:t>
      </w:r>
      <w:r>
        <w:rPr>
          <w:color w:val="000000"/>
          <w:spacing w:val="0"/>
          <w:w w:val="100"/>
          <w:position w:val="0"/>
          <w:lang w:val="zh-CN" w:eastAsia="zh-CN" w:bidi="zh-CN"/>
        </w:rPr>
        <w:t>“生育</w:t>
      </w:r>
      <w:r>
        <w:rPr>
          <w:color w:val="000000"/>
          <w:spacing w:val="0"/>
          <w:w w:val="100"/>
          <w:position w:val="0"/>
        </w:rPr>
        <w:t>目的”的限制。沈杰、刘曦 对胚胎的权利是指“生育权</w:t>
      </w:r>
      <w:r>
        <w:rPr>
          <w:color w:val="000000"/>
          <w:spacing w:val="0"/>
          <w:w w:val="100"/>
          <w:position w:val="0"/>
          <w:lang w:val="zh-CN" w:eastAsia="zh-CN" w:bidi="zh-CN"/>
        </w:rPr>
        <w:t>”，作</w:t>
      </w:r>
      <w:r>
        <w:rPr>
          <w:color w:val="000000"/>
          <w:spacing w:val="0"/>
          <w:w w:val="100"/>
          <w:position w:val="0"/>
        </w:rPr>
        <w:t>为一种人格权，具有人身专属性，不能被转让、继承。据此, 可以否定双方父母的继承权（刘小平:《为何选择</w:t>
      </w:r>
      <w:r>
        <w:rPr>
          <w:color w:val="000000"/>
          <w:spacing w:val="0"/>
          <w:w w:val="100"/>
          <w:position w:val="0"/>
          <w:lang w:val="zh-CN" w:eastAsia="zh-CN" w:bidi="zh-CN"/>
        </w:rPr>
        <w:t>“利益</w:t>
      </w:r>
      <w:r>
        <w:rPr>
          <w:color w:val="000000"/>
          <w:spacing w:val="0"/>
          <w:w w:val="100"/>
          <w:position w:val="0"/>
        </w:rPr>
        <w:t>论”？——反思</w:t>
      </w:r>
      <w:r>
        <w:rPr>
          <w:color w:val="000000"/>
          <w:spacing w:val="0"/>
          <w:w w:val="100"/>
          <w:position w:val="0"/>
          <w:lang w:val="zh-CN" w:eastAsia="zh-CN" w:bidi="zh-CN"/>
        </w:rPr>
        <w:t>“宜</w:t>
      </w:r>
      <w:r>
        <w:rPr>
          <w:color w:val="000000"/>
          <w:spacing w:val="0"/>
          <w:w w:val="100"/>
          <w:position w:val="0"/>
        </w:rPr>
        <w:t>兴冷冻胚胎案</w:t>
      </w:r>
      <w:r>
        <w:rPr>
          <w:color w:val="000000"/>
          <w:spacing w:val="0"/>
          <w:w w:val="100"/>
          <w:position w:val="0"/>
          <w:lang w:val="zh-CN" w:eastAsia="zh-CN" w:bidi="zh-CN"/>
        </w:rPr>
        <w:t>”一</w:t>
      </w:r>
      <w:r>
        <w:rPr>
          <w:color w:val="000000"/>
          <w:spacing w:val="0"/>
          <w:w w:val="100"/>
          <w:position w:val="0"/>
        </w:rPr>
        <w:t>、二审 判决之权利论证路径》，载《法学家》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期）。一审法院在其判决理由中特别说明了“夫 妻双方对其权利的行使应受到限制，即必须符合我国人口和计划生育法律法规，不违背社 会伦理和道德，并且必须以生育为目的，不能买卖胚胎等”，</w:t>
      </w:r>
      <w:r>
        <w:rPr>
          <w:color w:val="000000"/>
          <w:spacing w:val="0"/>
          <w:w w:val="100"/>
          <w:position w:val="0"/>
          <w:lang w:val="zh-CN" w:eastAsia="zh-CN" w:bidi="zh-CN"/>
        </w:rPr>
        <w:t>“夫</w:t>
      </w:r>
      <w:r>
        <w:rPr>
          <w:color w:val="000000"/>
          <w:spacing w:val="0"/>
          <w:w w:val="100"/>
          <w:position w:val="0"/>
        </w:rPr>
        <w:t>妻均已死亡,通过手术达到 生育的目的已无法实现，故两人对手术过程中留下的胚胎所享有的受限制的权利不能被继 承”。</w:t>
      </w:r>
    </w:p>
    <w:p w14:paraId="338B4A48">
      <w:pPr>
        <w:pStyle w:val="17"/>
        <w:keepNext w:val="0"/>
        <w:keepLines w:val="0"/>
        <w:widowControl w:val="0"/>
        <w:numPr>
          <w:ilvl w:val="0"/>
          <w:numId w:val="6"/>
        </w:numPr>
        <w:shd w:val="clear" w:color="auto" w:fill="auto"/>
        <w:tabs>
          <w:tab w:val="left" w:pos="704"/>
        </w:tabs>
        <w:bidi w:val="0"/>
        <w:spacing w:before="0" w:after="0" w:line="420" w:lineRule="auto"/>
        <w:ind w:left="0" w:right="0" w:firstLine="420"/>
        <w:jc w:val="both"/>
      </w:pPr>
      <w:bookmarkStart w:id="36" w:name="bookmark93"/>
      <w:bookmarkEnd w:id="36"/>
      <w:r>
        <w:rPr>
          <w:color w:val="000000"/>
          <w:spacing w:val="0"/>
          <w:w w:val="100"/>
          <w:position w:val="0"/>
        </w:rPr>
        <w:t>冷冻胚胎的监管权和处置权</w:t>
      </w:r>
    </w:p>
    <w:p w14:paraId="097B57D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二审法院认为冷冻胚胎是介于人和物之间的过渡，既不是法律关系的主体也不是法律 关系的客体,应予以特殊的保护。二审法院不再以继承争议为案由，而改变为冷冻胚胎的 处置权和监管权的归属争议。</w:t>
      </w:r>
    </w:p>
    <w:p w14:paraId="7A3E052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首先，由于胚胎不可以任意占有、支配和控制，冷冻胚胎的权利行使主体应当考虑具体 的法律关系。沈杰、刘曦夫妇在鼓楼医院进行体外受精一胚胎移植助孕手术，与鼓楼医院 订立了医疗服务合同。双方又订立了知情同意书，对冷冻胚胎的处置进行了书面约定。医 院以知情同意书的方式履行了对接受手术的夫妻的告知义务,知情同意书属于医疗服务合 同的内容。沈杰、刘曦夫妇的突然离世，医院并不当然取得胚胎处置权，因为沈杰夫妇在签 订知情同意书时并没有预料到自己的死亡，对胚胎的处置不适用于死亡后的情形。</w:t>
      </w:r>
    </w:p>
    <w:p w14:paraId="49261400">
      <w:pPr>
        <w:pStyle w:val="17"/>
        <w:keepNext w:val="0"/>
        <w:keepLines w:val="0"/>
        <w:widowControl w:val="0"/>
        <w:shd w:val="clear" w:color="auto" w:fill="auto"/>
        <w:bidi w:val="0"/>
        <w:spacing w:before="0" w:after="0" w:line="342" w:lineRule="exact"/>
        <w:ind w:left="0" w:right="0" w:firstLine="420"/>
        <w:jc w:val="both"/>
        <w:sectPr>
          <w:headerReference r:id="rId100" w:type="default"/>
          <w:headerReference r:id="rId101" w:type="even"/>
          <w:footnotePr>
            <w:numFmt w:val="chicago"/>
          </w:footnotePr>
          <w:pgSz w:w="10099" w:h="14782"/>
          <w:pgMar w:top="1288" w:right="1010" w:bottom="1119" w:left="1081" w:header="0" w:footer="691" w:gutter="0"/>
          <w:pgNumType w:start="64"/>
          <w:cols w:space="720" w:num="1"/>
          <w:rtlGutter w:val="0"/>
          <w:docGrid w:linePitch="360" w:charSpace="0"/>
        </w:sectPr>
      </w:pPr>
      <w:r>
        <w:rPr>
          <w:color w:val="000000"/>
          <w:spacing w:val="0"/>
          <w:w w:val="100"/>
          <w:position w:val="0"/>
        </w:rPr>
        <w:t>其次，沈杰、刘曦双方父母是否当然有冷冻胚胎的处置权？二审法院从伦理、情感、特殊 利益保护因素三个方面进行了充分的说理。从伦理角度看，冷冻胚胎有两个家族的遗传信 息;从情感层面看，冷冻胚胎有哀思寄托的人格利益</w:t>
      </w:r>
      <w:r>
        <w:rPr>
          <w:color w:val="000000"/>
          <w:spacing w:val="0"/>
          <w:w w:val="100"/>
          <w:position w:val="0"/>
          <w:lang w:val="zh-CN" w:eastAsia="zh-CN" w:bidi="zh-CN"/>
        </w:rPr>
        <w:t>，“白</w:t>
      </w:r>
      <w:r>
        <w:rPr>
          <w:color w:val="000000"/>
          <w:spacing w:val="0"/>
          <w:w w:val="100"/>
          <w:position w:val="0"/>
        </w:rPr>
        <w:t xml:space="preserve">发人送黑发人，乃人生至悲之事， 更何况暮年遽丧独子、独女！沈杰、刘曦意外死亡，其父母承欢膝下、纵享天伦之乐不再， </w:t>
      </w:r>
      <w:r>
        <w:rPr>
          <w:color w:val="000000"/>
          <w:spacing w:val="0"/>
          <w:w w:val="100"/>
          <w:position w:val="0"/>
          <w:lang w:val="en-US" w:eastAsia="en-US" w:bidi="en-US"/>
        </w:rPr>
        <w:t>'</w:t>
      </w:r>
      <w:r>
        <w:rPr>
          <w:color w:val="000000"/>
          <w:spacing w:val="0"/>
          <w:w w:val="100"/>
          <w:position w:val="0"/>
        </w:rPr>
        <w:t xml:space="preserve">失独’之痛，非常人所能体味”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从冷冻胚胎具有特殊利益考虑</w:t>
      </w:r>
      <w:r>
        <w:rPr>
          <w:color w:val="000000"/>
          <w:spacing w:val="0"/>
          <w:w w:val="100"/>
          <w:position w:val="0"/>
          <w:lang w:val="zh-CN" w:eastAsia="zh-CN" w:bidi="zh-CN"/>
        </w:rPr>
        <w:t>，“冷</w:t>
      </w:r>
      <w:r>
        <w:rPr>
          <w:color w:val="000000"/>
          <w:spacing w:val="0"/>
          <w:w w:val="100"/>
          <w:position w:val="0"/>
        </w:rPr>
        <w:t>冻胚胎具有孕育成生 命的潜质，比非生命体具有更高的道德地位，应受到特殊尊重与保护”。法官在二审判决书 中明确指出，判决沈杰、刘曦父母享有对涉案胚胎的监管权和处置权</w:t>
      </w:r>
      <w:r>
        <w:rPr>
          <w:color w:val="000000"/>
          <w:spacing w:val="0"/>
          <w:w w:val="100"/>
          <w:position w:val="0"/>
          <w:lang w:val="zh-CN" w:eastAsia="zh-CN" w:bidi="zh-CN"/>
        </w:rPr>
        <w:t>，“于</w:t>
      </w:r>
      <w:r>
        <w:rPr>
          <w:color w:val="000000"/>
          <w:spacing w:val="0"/>
          <w:w w:val="100"/>
          <w:position w:val="0"/>
        </w:rPr>
        <w:t xml:space="preserve">情于理是恰当 的”。二审判决书从价值判断、利益权衡的角度出发，认为应当承认失独老人对亡故子女遗 </w:t>
      </w:r>
    </w:p>
    <w:p w14:paraId="5A5FB6C4">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留胚胎具有天然正义的情感和倾向</w:t>
      </w:r>
      <w:r>
        <w:rPr>
          <w:color w:val="000000"/>
          <w:spacing w:val="0"/>
          <w:w w:val="100"/>
          <w:position w:val="0"/>
          <w:lang w:val="zh-CN" w:eastAsia="zh-CN" w:bidi="zh-CN"/>
        </w:rPr>
        <w:t>，“在</w:t>
      </w:r>
      <w:r>
        <w:rPr>
          <w:color w:val="000000"/>
          <w:spacing w:val="0"/>
          <w:w w:val="100"/>
          <w:position w:val="0"/>
        </w:rPr>
        <w:t>沈杰、刘曦意外死亡后，其父母不但是世界上唯一 关心胚胎命运的主体，而且亦应当是胚胎之最近最大和最密切倾向性利益的享有者”。失 独老人对胚胎享有应到受到法律保护的利益。</w:t>
      </w:r>
    </w:p>
    <w:p w14:paraId="51C38AA2">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最后，鼓楼医院不得基于部门规章的行政管理规定对抗当事人基于私法所享有的正当 权利。鼓楼医院根据卫生部的相关规定提出胚胎不能买卖、赠送和禁止实施代孕,但并未 否定权利人对胚胎享有的相关权利。原被告当事人与第三人的对立,不是权利享有方面而 是权利行使方面,这是鼓楼医院抗辩的实质。冷冻胚胎脱离医院的监管后，交由失独老人 监管处置,由此有产生不当行使、处置的风险，二审法院的判决中强调了</w:t>
      </w:r>
      <w:r>
        <w:rPr>
          <w:color w:val="000000"/>
          <w:spacing w:val="0"/>
          <w:w w:val="100"/>
          <w:position w:val="0"/>
          <w:lang w:val="zh-CN" w:eastAsia="zh-CN" w:bidi="zh-CN"/>
        </w:rPr>
        <w:t>“权</w:t>
      </w:r>
      <w:r>
        <w:rPr>
          <w:color w:val="000000"/>
          <w:spacing w:val="0"/>
          <w:w w:val="100"/>
          <w:position w:val="0"/>
        </w:rPr>
        <w:t>利主体在行使 监管权和处置权时，应当遵守法律且不得违背公序良俗和损害他人之利益</w:t>
      </w:r>
      <w:r>
        <w:rPr>
          <w:color w:val="000000"/>
          <w:spacing w:val="0"/>
          <w:w w:val="100"/>
          <w:position w:val="0"/>
          <w:lang w:val="zh-CN" w:eastAsia="zh-CN" w:bidi="zh-CN"/>
        </w:rPr>
        <w:t>”，至</w:t>
      </w:r>
      <w:r>
        <w:rPr>
          <w:color w:val="000000"/>
          <w:spacing w:val="0"/>
          <w:w w:val="100"/>
          <w:position w:val="0"/>
        </w:rPr>
        <w:t>于如何规避 不当行使、处置的风险，已经超过了本案的诉讼界限。</w:t>
      </w:r>
    </w:p>
    <w:p w14:paraId="517E441D">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w:t>
      </w:r>
    </w:p>
    <w:p w14:paraId="3BD401BA">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我国现行法律法规未对冷冻胚胎的法律性质和法律地位作出明确的规定，但是随着人 类辅助生殖技术等医学水平的不断发展,涉及医学伦理和社会伦理的诊疗手段所带来的法 律问题逐渐凸显。司法救济是权利救济的保障，人民法院不得拒绝裁判。法官应该发挥主 观能动性，补充法律漏洞,乃至创设规则。该案中的一审法院、二审法院的法官正是在这一 大背景下按照不同的审理思路,对案件进行了审理。由于本案是首例涉及冷冻胚胎纠纷的 案件，该案件的审理过程、结果对后续相关案例具有重要意义。</w:t>
      </w:r>
    </w:p>
    <w:p w14:paraId="4BA89E74">
      <w:pPr>
        <w:pStyle w:val="17"/>
        <w:keepNext w:val="0"/>
        <w:keepLines w:val="0"/>
        <w:widowControl w:val="0"/>
        <w:numPr>
          <w:ilvl w:val="0"/>
          <w:numId w:val="7"/>
        </w:numPr>
        <w:shd w:val="clear" w:color="auto" w:fill="auto"/>
        <w:tabs>
          <w:tab w:val="left" w:pos="685"/>
        </w:tabs>
        <w:bidi w:val="0"/>
        <w:spacing w:before="0" w:after="0" w:line="377" w:lineRule="auto"/>
        <w:ind w:left="0" w:right="0" w:firstLine="420"/>
        <w:jc w:val="both"/>
      </w:pPr>
      <w:bookmarkStart w:id="37" w:name="bookmark94"/>
      <w:bookmarkEnd w:id="37"/>
      <w:r>
        <w:rPr>
          <w:color w:val="000000"/>
          <w:spacing w:val="0"/>
          <w:w w:val="100"/>
          <w:position w:val="0"/>
        </w:rPr>
        <w:t>冷冻胚胎的法律属性</w:t>
      </w:r>
    </w:p>
    <w:p w14:paraId="3EAF42B5">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冷冻胚胎涉及法律、医学伦理等诸多领域，理论界对冷冻胚胎的法律属性有不同学说。 司法实践中涉及冷冻胚胎的案件以当事人与医疗机构的合同纠纷居多。本案是我国首次 对冷冻胚胎法律属性的司法回应,为以后类似案件的审理提供了重要的分析样本。一审法 院认为冷冻胚胎具有发展为生命的潜能，含有未来特殊生命特征的特殊之物。二审法院则 提出了冷冻胚胎是介于人和物之间的过渡。</w:t>
      </w:r>
    </w:p>
    <w:p w14:paraId="65DDE252">
      <w:pPr>
        <w:pStyle w:val="17"/>
        <w:keepNext w:val="0"/>
        <w:keepLines w:val="0"/>
        <w:widowControl w:val="0"/>
        <w:numPr>
          <w:ilvl w:val="0"/>
          <w:numId w:val="7"/>
        </w:numPr>
        <w:shd w:val="clear" w:color="auto" w:fill="auto"/>
        <w:tabs>
          <w:tab w:val="left" w:pos="704"/>
        </w:tabs>
        <w:bidi w:val="0"/>
        <w:spacing w:before="0" w:after="0" w:line="377" w:lineRule="auto"/>
        <w:ind w:left="0" w:right="0" w:firstLine="420"/>
        <w:jc w:val="both"/>
      </w:pPr>
      <w:bookmarkStart w:id="38" w:name="bookmark95"/>
      <w:bookmarkEnd w:id="38"/>
      <w:r>
        <w:rPr>
          <w:color w:val="000000"/>
          <w:spacing w:val="0"/>
          <w:w w:val="100"/>
          <w:position w:val="0"/>
        </w:rPr>
        <w:t>冷冻胚胎的法律归属</w:t>
      </w:r>
    </w:p>
    <w:p w14:paraId="36B6C0B2">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由于对冷冻胚胎法律属性认识的不统一，冷冻胚胎法律归属必然有分歧。本案中两级 法院在对冷冻胚胎不同定性的基础上,提出了各自关于冷冻胚胎的法律归属论证思路。一 审法院确定冷冻胚胎为特殊之物，具有人格利益的物（冷传莉:</w:t>
      </w:r>
      <w:r>
        <w:rPr>
          <w:color w:val="000000"/>
          <w:spacing w:val="0"/>
          <w:w w:val="100"/>
          <w:position w:val="0"/>
          <w:lang w:val="zh-CN" w:eastAsia="zh-CN" w:bidi="zh-CN"/>
        </w:rPr>
        <w:t>《“人</w:t>
      </w:r>
      <w:r>
        <w:rPr>
          <w:color w:val="000000"/>
          <w:spacing w:val="0"/>
          <w:w w:val="100"/>
          <w:position w:val="0"/>
        </w:rPr>
        <w:t>格物”的司法困境与理论突 围》，载《中国法学》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期），在现有法律框架下裁判了冷冻胚胎的法律归属。二审法院 在法律存在漏洞的情况下，基于实用主义立场，直面冷冻胚胎法律归属的难题，提出了当事 人与冷冻胚胎具有生命伦理上的密切相关性，进而对冷冻胚胎享有相应受到法律保护的民 事权益，即监管权、处置权。</w:t>
      </w:r>
    </w:p>
    <w:p w14:paraId="1B88ABFB">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本案遗留的问题</w:t>
      </w:r>
    </w:p>
    <w:p w14:paraId="5E20C1E8">
      <w:pPr>
        <w:pStyle w:val="17"/>
        <w:keepNext w:val="0"/>
        <w:keepLines w:val="0"/>
        <w:widowControl w:val="0"/>
        <w:shd w:val="clear" w:color="auto" w:fill="auto"/>
        <w:bidi w:val="0"/>
        <w:spacing w:before="0" w:after="380" w:line="350" w:lineRule="exact"/>
        <w:ind w:left="0" w:right="0" w:firstLine="420"/>
        <w:jc w:val="both"/>
        <w:sectPr>
          <w:headerReference r:id="rId102" w:type="default"/>
          <w:headerReference r:id="rId103" w:type="even"/>
          <w:footnotePr>
            <w:numFmt w:val="chicago"/>
          </w:footnotePr>
          <w:pgSz w:w="10099" w:h="14782"/>
          <w:pgMar w:top="1288" w:right="1010" w:bottom="1119" w:left="1081" w:header="0" w:footer="691" w:gutter="0"/>
          <w:pgNumType w:start="81"/>
          <w:cols w:space="720" w:num="1"/>
          <w:rtlGutter w:val="0"/>
          <w:docGrid w:linePitch="360" w:charSpace="0"/>
        </w:sectPr>
      </w:pPr>
      <w:r>
        <w:rPr>
          <w:color w:val="000000"/>
          <w:spacing w:val="0"/>
          <w:w w:val="100"/>
          <w:position w:val="0"/>
        </w:rPr>
        <w:t xml:space="preserve">本案二审法院认为，双方当事人对冷冻胚胎享有监管权和处置权，而传统民事权利体 系中并没有监管权和处置权这两项权利。从一般意义上考虑,政府职能管理部门应当承担 </w:t>
      </w:r>
    </w:p>
    <w:p w14:paraId="288A13F7">
      <w:pPr>
        <w:pStyle w:val="17"/>
        <w:keepNext w:val="0"/>
        <w:keepLines w:val="0"/>
        <w:widowControl w:val="0"/>
        <w:shd w:val="clear" w:color="auto" w:fill="auto"/>
        <w:bidi w:val="0"/>
        <w:spacing w:before="0" w:after="380" w:line="350" w:lineRule="exact"/>
        <w:ind w:left="0" w:right="0" w:firstLine="0"/>
        <w:jc w:val="both"/>
      </w:pPr>
      <w:r>
        <w:rPr>
          <w:color w:val="000000"/>
          <w:spacing w:val="0"/>
          <w:w w:val="100"/>
          <w:position w:val="0"/>
        </w:rPr>
        <w:t>相应的监督责任。处置权不同于民法中的处分权,本案中的处置权具有特定含义,就是将 胚胎赠与医疗机构和销毁。因此,监管权、处置权的提法不无疑问。当然本案的价值在于, 在法律没有相关规定的情形下，法官基于利益权衡创造性地解决冷冻胚胎的归属问题，具 有积极的意义。</w:t>
      </w:r>
    </w:p>
    <w:p w14:paraId="75709A52">
      <w:pPr>
        <w:pStyle w:val="11"/>
        <w:keepNext w:val="0"/>
        <w:keepLines w:val="0"/>
        <w:widowControl w:val="0"/>
        <w:shd w:val="clear" w:color="auto" w:fill="auto"/>
        <w:bidi w:val="0"/>
        <w:spacing w:before="0" w:after="60" w:line="324" w:lineRule="exact"/>
        <w:ind w:left="0" w:right="0" w:firstLine="0"/>
        <w:jc w:val="both"/>
      </w:pPr>
      <w:r>
        <w:rPr>
          <w:color w:val="000000"/>
          <w:spacing w:val="0"/>
          <w:w w:val="100"/>
          <w:position w:val="0"/>
        </w:rPr>
        <w:t>回参考文献</w:t>
      </w:r>
    </w:p>
    <w:p w14:paraId="61563C1A">
      <w:pPr>
        <w:pStyle w:val="17"/>
        <w:keepNext w:val="0"/>
        <w:keepLines w:val="0"/>
        <w:widowControl w:val="0"/>
        <w:shd w:val="clear" w:color="auto" w:fill="auto"/>
        <w:bidi w:val="0"/>
        <w:spacing w:before="0" w:after="0" w:line="324" w:lineRule="exact"/>
        <w:ind w:left="0" w:right="0" w:firstLine="0"/>
        <w:jc w:val="both"/>
      </w:pPr>
      <w:r>
        <w:rPr>
          <w:color w:val="000000"/>
          <w:spacing w:val="0"/>
          <w:w w:val="100"/>
          <w:position w:val="0"/>
        </w:rPr>
        <w:t>杨立新:《人的冷冻胚胎的法律属性及其继承问题》，载《人民司法-应用》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期。</w:t>
      </w:r>
    </w:p>
    <w:p w14:paraId="6D60CD12">
      <w:pPr>
        <w:pStyle w:val="17"/>
        <w:keepNext w:val="0"/>
        <w:keepLines w:val="0"/>
        <w:widowControl w:val="0"/>
        <w:shd w:val="clear" w:color="auto" w:fill="auto"/>
        <w:bidi w:val="0"/>
        <w:spacing w:before="0" w:after="0" w:line="324" w:lineRule="exact"/>
        <w:ind w:left="180" w:right="0" w:hanging="180"/>
        <w:jc w:val="both"/>
      </w:pPr>
      <w:r>
        <w:rPr>
          <w:color w:val="000000"/>
          <w:spacing w:val="0"/>
          <w:w w:val="100"/>
          <w:position w:val="0"/>
        </w:rPr>
        <w:t>李昊:《冷冻胚胎的法律性质及其处置模式——以美国法为中心》，载《华东政法大学学报》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rPr>
        <w:t>期。</w:t>
      </w:r>
    </w:p>
    <w:p w14:paraId="2AE9C0D4">
      <w:pPr>
        <w:pStyle w:val="17"/>
        <w:keepNext w:val="0"/>
        <w:keepLines w:val="0"/>
        <w:widowControl w:val="0"/>
        <w:shd w:val="clear" w:color="auto" w:fill="auto"/>
        <w:bidi w:val="0"/>
        <w:spacing w:before="0" w:after="0" w:line="290" w:lineRule="exact"/>
        <w:ind w:left="180" w:right="0" w:hanging="180"/>
        <w:jc w:val="both"/>
      </w:pPr>
      <w:r>
        <w:rPr>
          <w:color w:val="000000"/>
          <w:spacing w:val="0"/>
          <w:w w:val="100"/>
          <w:position w:val="0"/>
        </w:rPr>
        <w:t>刘小平:《为何选择</w:t>
      </w:r>
      <w:r>
        <w:rPr>
          <w:color w:val="000000"/>
          <w:spacing w:val="0"/>
          <w:w w:val="100"/>
          <w:position w:val="0"/>
          <w:lang w:val="zh-CN" w:eastAsia="zh-CN" w:bidi="zh-CN"/>
        </w:rPr>
        <w:t>“利益</w:t>
      </w:r>
      <w:r>
        <w:rPr>
          <w:color w:val="000000"/>
          <w:spacing w:val="0"/>
          <w:w w:val="100"/>
          <w:position w:val="0"/>
        </w:rPr>
        <w:t>论”？一反思</w:t>
      </w:r>
      <w:r>
        <w:rPr>
          <w:color w:val="000000"/>
          <w:spacing w:val="0"/>
          <w:w w:val="100"/>
          <w:position w:val="0"/>
          <w:lang w:val="zh-CN" w:eastAsia="zh-CN" w:bidi="zh-CN"/>
        </w:rPr>
        <w:t>“宜</w:t>
      </w:r>
      <w:r>
        <w:rPr>
          <w:color w:val="000000"/>
          <w:spacing w:val="0"/>
          <w:w w:val="100"/>
          <w:position w:val="0"/>
        </w:rPr>
        <w:t>兴冷冻胚胎案</w:t>
      </w:r>
      <w:r>
        <w:rPr>
          <w:color w:val="000000"/>
          <w:spacing w:val="0"/>
          <w:w w:val="100"/>
          <w:position w:val="0"/>
          <w:lang w:val="zh-CN" w:eastAsia="zh-CN" w:bidi="zh-CN"/>
        </w:rPr>
        <w:t>”一、</w:t>
      </w:r>
      <w:r>
        <w:rPr>
          <w:color w:val="000000"/>
          <w:spacing w:val="0"/>
          <w:w w:val="100"/>
          <w:position w:val="0"/>
        </w:rPr>
        <w:t>二审判决之权利论证路径》，载《法学 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5F170CC">
      <w:pPr>
        <w:pStyle w:val="17"/>
        <w:keepNext w:val="0"/>
        <w:keepLines w:val="0"/>
        <w:widowControl w:val="0"/>
        <w:shd w:val="clear" w:color="auto" w:fill="auto"/>
        <w:bidi w:val="0"/>
        <w:spacing w:before="0" w:after="0" w:line="305" w:lineRule="exact"/>
        <w:ind w:left="0" w:right="0" w:firstLine="0"/>
        <w:jc w:val="both"/>
      </w:pPr>
      <w:r>
        <w:rPr>
          <w:color w:val="000000"/>
          <w:spacing w:val="0"/>
          <w:w w:val="100"/>
          <w:position w:val="0"/>
        </w:rPr>
        <w:t>冷传莉:</w:t>
      </w:r>
      <w:r>
        <w:rPr>
          <w:color w:val="000000"/>
          <w:spacing w:val="0"/>
          <w:w w:val="100"/>
          <w:position w:val="0"/>
          <w:lang w:val="zh-CN" w:eastAsia="zh-CN" w:bidi="zh-CN"/>
        </w:rPr>
        <w:t>《“人</w:t>
      </w:r>
      <w:r>
        <w:rPr>
          <w:color w:val="000000"/>
          <w:spacing w:val="0"/>
          <w:w w:val="100"/>
          <w:position w:val="0"/>
        </w:rPr>
        <w:t>格物</w:t>
      </w:r>
      <w:r>
        <w:rPr>
          <w:color w:val="000000"/>
          <w:spacing w:val="0"/>
          <w:w w:val="100"/>
          <w:position w:val="0"/>
          <w:lang w:val="zh-CN" w:eastAsia="zh-CN" w:bidi="zh-CN"/>
        </w:rPr>
        <w:t>”的司</w:t>
      </w:r>
      <w:r>
        <w:rPr>
          <w:color w:val="000000"/>
          <w:spacing w:val="0"/>
          <w:w w:val="100"/>
          <w:position w:val="0"/>
        </w:rPr>
        <w:t>法困境与理论突围》，载《中国法学》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504BABC">
      <w:pPr>
        <w:pStyle w:val="17"/>
        <w:keepNext w:val="0"/>
        <w:keepLines w:val="0"/>
        <w:widowControl w:val="0"/>
        <w:shd w:val="clear" w:color="auto" w:fill="auto"/>
        <w:bidi w:val="0"/>
        <w:spacing w:before="0" w:after="40" w:line="305" w:lineRule="exact"/>
        <w:ind w:left="180" w:right="0" w:hanging="180"/>
        <w:jc w:val="both"/>
        <w:sectPr>
          <w:headerReference r:id="rId104" w:type="default"/>
          <w:headerReference r:id="rId105" w:type="even"/>
          <w:footnotePr>
            <w:numFmt w:val="chicago"/>
          </w:footnotePr>
          <w:pgSz w:w="10099" w:h="14782"/>
          <w:pgMar w:top="1288" w:right="1010" w:bottom="1119" w:left="1081" w:header="0" w:footer="691" w:gutter="0"/>
          <w:pgNumType w:start="66"/>
          <w:cols w:space="720" w:num="1"/>
          <w:rtlGutter w:val="0"/>
          <w:docGrid w:linePitch="360" w:charSpace="0"/>
        </w:sectPr>
      </w:pPr>
      <w:r>
        <w:rPr>
          <w:color w:val="000000"/>
          <w:spacing w:val="0"/>
          <w:w w:val="100"/>
          <w:position w:val="0"/>
        </w:rPr>
        <w:t>周江洪:《法制化途中的人工胚胎法律地位</w:t>
      </w:r>
      <w:r>
        <w:rPr>
          <w:color w:val="000000"/>
          <w:spacing w:val="0"/>
          <w:w w:val="100"/>
          <w:position w:val="0"/>
          <w:lang w:val="en-US" w:eastAsia="en-US" w:bidi="en-US"/>
        </w:rPr>
        <w:t>一一</w:t>
      </w:r>
      <w:r>
        <w:rPr>
          <w:color w:val="000000"/>
          <w:spacing w:val="0"/>
          <w:w w:val="100"/>
          <w:position w:val="0"/>
        </w:rPr>
        <w:t xml:space="preserve">日本法状况及其学说简评》，载《华东政法大学学报》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35CF27B8">
      <w:pPr>
        <w:widowControl w:val="0"/>
        <w:spacing w:line="1" w:lineRule="exact"/>
      </w:pPr>
      <w:r>
        <mc:AlternateContent>
          <mc:Choice Requires="wps">
            <w:drawing>
              <wp:anchor distT="0" distB="24130" distL="0" distR="0" simplePos="0" relativeHeight="251660288" behindDoc="0" locked="0" layoutInCell="1" allowOverlap="1">
                <wp:simplePos x="0" y="0"/>
                <wp:positionH relativeFrom="page">
                  <wp:posOffset>727710</wp:posOffset>
                </wp:positionH>
                <wp:positionV relativeFrom="paragraph">
                  <wp:posOffset>0</wp:posOffset>
                </wp:positionV>
                <wp:extent cx="446405" cy="304800"/>
                <wp:effectExtent l="0" t="0" r="0" b="0"/>
                <wp:wrapTopAndBottom/>
                <wp:docPr id="225" name="Shape 225"/>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6513F6D7">
                            <w:pPr>
                              <w:pStyle w:val="27"/>
                              <w:keepNext/>
                              <w:keepLines/>
                              <w:widowControl w:val="0"/>
                              <w:shd w:val="clear" w:color="auto" w:fill="auto"/>
                              <w:bidi w:val="0"/>
                              <w:spacing w:before="0" w:after="0" w:line="240" w:lineRule="auto"/>
                              <w:ind w:left="0" w:right="0" w:firstLine="0"/>
                              <w:jc w:val="both"/>
                            </w:pPr>
                            <w:bookmarkStart w:id="264" w:name="bookmark98"/>
                            <w:bookmarkStart w:id="265" w:name="bookmark97"/>
                            <w:bookmarkStart w:id="266" w:name="bookmark96"/>
                            <w:r>
                              <w:rPr>
                                <w:rFonts w:ascii="Times New Roman" w:hAnsi="Times New Roman" w:eastAsia="Times New Roman" w:cs="Times New Roman"/>
                                <w:color w:val="000000"/>
                                <w:spacing w:val="0"/>
                                <w:w w:val="100"/>
                                <w:position w:val="0"/>
                              </w:rPr>
                              <w:t>014</w:t>
                            </w:r>
                            <w:bookmarkEnd w:id="264"/>
                            <w:bookmarkEnd w:id="265"/>
                            <w:bookmarkEnd w:id="266"/>
                          </w:p>
                        </w:txbxContent>
                      </wps:txbx>
                      <wps:bodyPr wrap="none" lIns="0" tIns="0" rIns="0" bIns="0">
                        <a:noAutofit/>
                      </wps:bodyPr>
                    </wps:wsp>
                  </a:graphicData>
                </a:graphic>
              </wp:anchor>
            </w:drawing>
          </mc:Choice>
          <mc:Fallback>
            <w:pict>
              <v:shape id="Shape 225" o:spid="_x0000_s1026" o:spt="202" type="#_x0000_t202" style="position:absolute;left:0pt;margin-left:57.3pt;margin-top:0pt;height:24pt;width:35.15pt;mso-position-horizontal-relative:page;mso-wrap-distance-bottom:1.9pt;mso-wrap-distance-top:0pt;mso-wrap-style:none;z-index:251660288;mso-width-relative:page;mso-height-relative:page;" filled="f" stroked="f" coordsize="21600,21600" o:gfxdata="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eX6Gy0wAAAAcB&#10;AAAPAAAAAAAAAAEAIAAAACIAAABkcnMvZG93bnJldi54bWxQSwECFAAUAAAACACHTuJA/cOrj64B&#10;AABzAwAADgAAAAAAAAABACAAAAAiAQAAZHJzL2Uyb0RvYy54bWxQSwUGAAAAAAYABgBZAQAAQgUA&#10;AAAA&#10;">
                <v:fill on="f" focussize="0,0"/>
                <v:stroke on="f"/>
                <v:imagedata o:title=""/>
                <o:lock v:ext="edit" aspectratio="f"/>
                <v:textbox inset="0mm,0mm,0mm,0mm">
                  <w:txbxContent>
                    <w:p w14:paraId="6513F6D7">
                      <w:pPr>
                        <w:pStyle w:val="27"/>
                        <w:keepNext/>
                        <w:keepLines/>
                        <w:widowControl w:val="0"/>
                        <w:shd w:val="clear" w:color="auto" w:fill="auto"/>
                        <w:bidi w:val="0"/>
                        <w:spacing w:before="0" w:after="0" w:line="240" w:lineRule="auto"/>
                        <w:ind w:left="0" w:right="0" w:firstLine="0"/>
                        <w:jc w:val="both"/>
                      </w:pPr>
                      <w:bookmarkStart w:id="264" w:name="bookmark98"/>
                      <w:bookmarkStart w:id="265" w:name="bookmark97"/>
                      <w:bookmarkStart w:id="266" w:name="bookmark96"/>
                      <w:r>
                        <w:rPr>
                          <w:rFonts w:ascii="Times New Roman" w:hAnsi="Times New Roman" w:eastAsia="Times New Roman" w:cs="Times New Roman"/>
                          <w:color w:val="000000"/>
                          <w:spacing w:val="0"/>
                          <w:w w:val="100"/>
                          <w:position w:val="0"/>
                        </w:rPr>
                        <w:t>014</w:t>
                      </w:r>
                      <w:bookmarkEnd w:id="264"/>
                      <w:bookmarkEnd w:id="265"/>
                      <w:bookmarkEnd w:id="266"/>
                    </w:p>
                  </w:txbxContent>
                </v:textbox>
                <w10:wrap type="topAndBottom"/>
              </v:shape>
            </w:pict>
          </mc:Fallback>
        </mc:AlternateContent>
      </w:r>
      <w:r>
        <mc:AlternateContent>
          <mc:Choice Requires="wps">
            <w:drawing>
              <wp:anchor distT="90170" distB="0" distL="0" distR="0" simplePos="0" relativeHeight="251660288" behindDoc="0" locked="0" layoutInCell="1" allowOverlap="1">
                <wp:simplePos x="0" y="0"/>
                <wp:positionH relativeFrom="page">
                  <wp:posOffset>1305560</wp:posOffset>
                </wp:positionH>
                <wp:positionV relativeFrom="paragraph">
                  <wp:posOffset>90170</wp:posOffset>
                </wp:positionV>
                <wp:extent cx="3615055" cy="239395"/>
                <wp:effectExtent l="0" t="0" r="0" b="0"/>
                <wp:wrapTopAndBottom/>
                <wp:docPr id="227" name="Shape 227"/>
                <wp:cNvGraphicFramePr/>
                <a:graphic xmlns:a="http://schemas.openxmlformats.org/drawingml/2006/main">
                  <a:graphicData uri="http://schemas.microsoft.com/office/word/2010/wordprocessingShape">
                    <wps:wsp>
                      <wps:cNvSpPr txBox="1"/>
                      <wps:spPr>
                        <a:xfrm>
                          <a:off x="0" y="0"/>
                          <a:ext cx="3615055" cy="239395"/>
                        </a:xfrm>
                        <a:prstGeom prst="rect">
                          <a:avLst/>
                        </a:prstGeom>
                        <a:noFill/>
                      </wps:spPr>
                      <wps:txbx>
                        <w:txbxContent>
                          <w:p w14:paraId="48834262">
                            <w:pPr>
                              <w:pStyle w:val="15"/>
                              <w:keepNext/>
                              <w:keepLines/>
                              <w:widowControl w:val="0"/>
                              <w:shd w:val="clear" w:color="auto" w:fill="auto"/>
                              <w:bidi w:val="0"/>
                              <w:spacing w:before="0" w:after="0" w:line="240" w:lineRule="auto"/>
                              <w:ind w:left="0" w:right="0" w:firstLine="0"/>
                              <w:jc w:val="left"/>
                            </w:pPr>
                            <w:bookmarkStart w:id="267" w:name="bookmark101"/>
                            <w:bookmarkStart w:id="268" w:name="bookmark100"/>
                            <w:bookmarkStart w:id="269" w:name="bookmark99"/>
                            <w:r>
                              <w:rPr>
                                <w:color w:val="000000"/>
                                <w:spacing w:val="0"/>
                                <w:w w:val="100"/>
                                <w:position w:val="0"/>
                              </w:rPr>
                              <w:t>公司依瑕疵决议所为增资行为之效力认定</w:t>
                            </w:r>
                            <w:bookmarkEnd w:id="267"/>
                            <w:bookmarkEnd w:id="268"/>
                            <w:bookmarkEnd w:id="269"/>
                          </w:p>
                        </w:txbxContent>
                      </wps:txbx>
                      <wps:bodyPr wrap="none" lIns="0" tIns="0" rIns="0" bIns="0">
                        <a:noAutofit/>
                      </wps:bodyPr>
                    </wps:wsp>
                  </a:graphicData>
                </a:graphic>
              </wp:anchor>
            </w:drawing>
          </mc:Choice>
          <mc:Fallback>
            <w:pict>
              <v:shape id="Shape 227" o:spid="_x0000_s1026" o:spt="202" type="#_x0000_t202" style="position:absolute;left:0pt;margin-left:102.8pt;margin-top:7.1pt;height:18.85pt;width:284.65pt;mso-position-horizontal-relative:page;mso-wrap-distance-bottom:0pt;mso-wrap-distance-top:7.1pt;mso-wrap-style:none;z-index:251660288;mso-width-relative:page;mso-height-relative:page;" filled="f" stroked="f" coordsize="21600,21600" o:gfxdata="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DV0TG&#10;1wAAAAkBAAAPAAAAAAAAAAEAIAAAACIAAABkcnMvZG93bnJldi54bWxQSwECFAAUAAAACACHTuJA&#10;2Vg1ZLABAAB0AwAADgAAAAAAAAABACAAAAAmAQAAZHJzL2Uyb0RvYy54bWxQSwUGAAAAAAYABgBZ&#10;AQAASAUAAAAA&#10;">
                <v:fill on="f" focussize="0,0"/>
                <v:stroke on="f"/>
                <v:imagedata o:title=""/>
                <o:lock v:ext="edit" aspectratio="f"/>
                <v:textbox inset="0mm,0mm,0mm,0mm">
                  <w:txbxContent>
                    <w:p w14:paraId="48834262">
                      <w:pPr>
                        <w:pStyle w:val="15"/>
                        <w:keepNext/>
                        <w:keepLines/>
                        <w:widowControl w:val="0"/>
                        <w:shd w:val="clear" w:color="auto" w:fill="auto"/>
                        <w:bidi w:val="0"/>
                        <w:spacing w:before="0" w:after="0" w:line="240" w:lineRule="auto"/>
                        <w:ind w:left="0" w:right="0" w:firstLine="0"/>
                        <w:jc w:val="left"/>
                      </w:pPr>
                      <w:bookmarkStart w:id="267" w:name="bookmark101"/>
                      <w:bookmarkStart w:id="268" w:name="bookmark100"/>
                      <w:bookmarkStart w:id="269" w:name="bookmark99"/>
                      <w:r>
                        <w:rPr>
                          <w:color w:val="000000"/>
                          <w:spacing w:val="0"/>
                          <w:w w:val="100"/>
                          <w:position w:val="0"/>
                        </w:rPr>
                        <w:t>公司依瑕疵决议所为增资行为之效力认定</w:t>
                      </w:r>
                      <w:bookmarkEnd w:id="267"/>
                      <w:bookmarkEnd w:id="268"/>
                      <w:bookmarkEnd w:id="269"/>
                    </w:p>
                  </w:txbxContent>
                </v:textbox>
                <w10:wrap type="topAndBottom"/>
              </v:shape>
            </w:pict>
          </mc:Fallback>
        </mc:AlternateContent>
      </w:r>
    </w:p>
    <w:p w14:paraId="60F1FF36">
      <w:pPr>
        <w:pStyle w:val="17"/>
        <w:keepNext w:val="0"/>
        <w:keepLines w:val="0"/>
        <w:widowControl w:val="0"/>
        <w:shd w:val="clear" w:color="auto" w:fill="auto"/>
        <w:bidi w:val="0"/>
        <w:spacing w:before="0" w:after="440" w:line="331" w:lineRule="exact"/>
        <w:ind w:left="1020" w:right="0" w:firstLine="0"/>
        <w:jc w:val="both"/>
      </w:pPr>
      <w:r>
        <w:drawing>
          <wp:anchor distT="0" distB="0" distL="114300" distR="114300" simplePos="0" relativeHeight="251660288" behindDoc="0" locked="0" layoutInCell="1" allowOverlap="1">
            <wp:simplePos x="0" y="0"/>
            <wp:positionH relativeFrom="page">
              <wp:posOffset>5097145</wp:posOffset>
            </wp:positionH>
            <wp:positionV relativeFrom="paragraph">
              <wp:posOffset>76200</wp:posOffset>
            </wp:positionV>
            <wp:extent cx="615950" cy="615950"/>
            <wp:effectExtent l="0" t="0" r="6350" b="6350"/>
            <wp:wrapSquare wrapText="left"/>
            <wp:docPr id="229" name="Shape 229"/>
            <wp:cNvGraphicFramePr/>
            <a:graphic xmlns:a="http://schemas.openxmlformats.org/drawingml/2006/main">
              <a:graphicData uri="http://schemas.openxmlformats.org/drawingml/2006/picture">
                <pic:pic xmlns:pic="http://schemas.openxmlformats.org/drawingml/2006/picture">
                  <pic:nvPicPr>
                    <pic:cNvPr id="229" name="Shape 229"/>
                    <pic:cNvPicPr/>
                  </pic:nvPicPr>
                  <pic:blipFill>
                    <a:blip r:embed="rId609"/>
                    <a:stretch>
                      <a:fillRect/>
                    </a:stretch>
                  </pic:blipFill>
                  <pic:spPr>
                    <a:xfrm>
                      <a:off x="0" y="0"/>
                      <a:ext cx="615950" cy="615950"/>
                    </a:xfrm>
                    <a:prstGeom prst="rect">
                      <a:avLst/>
                    </a:prstGeom>
                  </pic:spPr>
                </pic:pic>
              </a:graphicData>
            </a:graphic>
          </wp:anchor>
        </w:drawing>
      </w:r>
      <w:r>
        <w:rPr>
          <w:color w:val="000000"/>
          <w:spacing w:val="0"/>
          <w:w w:val="100"/>
          <w:position w:val="0"/>
        </w:rPr>
        <w:t>绵阳市红日实业有限公司、蒋洋诉绵阳高新区科创实业有限公司股 东会决议效力及公司增资纠纷案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 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w:t>
      </w:r>
    </w:p>
    <w:p w14:paraId="4C678FB9">
      <w:pPr>
        <w:pStyle w:val="29"/>
        <w:keepNext w:val="0"/>
        <w:keepLines w:val="0"/>
        <w:widowControl w:val="0"/>
        <w:shd w:val="clear" w:color="auto" w:fill="auto"/>
        <w:bidi w:val="0"/>
        <w:spacing w:before="0" w:after="1400" w:line="240" w:lineRule="auto"/>
        <w:ind w:left="0" w:right="0" w:firstLine="0"/>
        <w:jc w:val="right"/>
        <w:rPr>
          <w:sz w:val="15"/>
          <w:szCs w:val="15"/>
        </w:rPr>
      </w:pPr>
      <w:r>
        <w:rPr>
          <w:color w:val="000000"/>
          <w:spacing w:val="0"/>
          <w:w w:val="100"/>
          <w:position w:val="0"/>
          <w:sz w:val="15"/>
          <w:szCs w:val="15"/>
        </w:rPr>
        <w:t>周淳浙江大学光华法学院</w:t>
      </w:r>
    </w:p>
    <w:p w14:paraId="49AE39E7">
      <w:pPr>
        <w:pStyle w:val="11"/>
        <w:keepNext w:val="0"/>
        <w:keepLines w:val="0"/>
        <w:widowControl w:val="0"/>
        <w:shd w:val="clear" w:color="auto" w:fill="auto"/>
        <w:bidi w:val="0"/>
        <w:spacing w:before="0" w:after="80" w:line="347"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C3C8CA8">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日，绵阳高新区科创实业有限公司（以下简称科创公司）召开股东会讨 论吸纳陈木高作为新股东的问题。会议审议陈木高出资</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万元人民币以每股</w:t>
      </w:r>
      <w:r>
        <w:rPr>
          <w:rFonts w:ascii="Times New Roman" w:hAnsi="Times New Roman" w:eastAsia="Times New Roman" w:cs="Times New Roman"/>
          <w:color w:val="000000"/>
          <w:spacing w:val="0"/>
          <w:w w:val="100"/>
          <w:position w:val="0"/>
          <w:sz w:val="19"/>
          <w:szCs w:val="19"/>
          <w:lang w:val="en-US" w:eastAsia="en-US" w:bidi="en-US"/>
        </w:rPr>
        <w:t>1.3</w:t>
      </w:r>
      <w:r>
        <w:rPr>
          <w:color w:val="000000"/>
          <w:spacing w:val="0"/>
          <w:w w:val="100"/>
          <w:position w:val="0"/>
        </w:rPr>
        <w:t xml:space="preserve">元认购 </w:t>
      </w:r>
      <w:r>
        <w:rPr>
          <w:rFonts w:ascii="Times New Roman" w:hAnsi="Times New Roman" w:eastAsia="Times New Roman" w:cs="Times New Roman"/>
          <w:color w:val="000000"/>
          <w:spacing w:val="0"/>
          <w:w w:val="100"/>
          <w:position w:val="0"/>
          <w:sz w:val="19"/>
          <w:szCs w:val="19"/>
          <w:lang w:val="en-US" w:eastAsia="en-US" w:bidi="en-US"/>
        </w:rPr>
        <w:t>615.</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万股的入股事宜。原告蒋洋和绵阳市红日实业有限公司（以下简称红日公司）对吸 纳陈木高为新股东的议案投了反对票，并在意见栏注明</w:t>
      </w:r>
      <w:r>
        <w:rPr>
          <w:color w:val="000000"/>
          <w:spacing w:val="0"/>
          <w:w w:val="100"/>
          <w:position w:val="0"/>
          <w:lang w:val="zh-CN" w:eastAsia="zh-CN" w:bidi="zh-CN"/>
        </w:rPr>
        <w:t>“应</w:t>
      </w:r>
      <w:r>
        <w:rPr>
          <w:color w:val="000000"/>
          <w:spacing w:val="0"/>
          <w:w w:val="100"/>
          <w:position w:val="0"/>
        </w:rPr>
        <w:t>当按照《公司法》第</w:t>
      </w:r>
      <w:r>
        <w:rPr>
          <w:rFonts w:ascii="Times New Roman" w:hAnsi="Times New Roman" w:eastAsia="Times New Roman" w:cs="Times New Roman"/>
          <w:color w:val="000000"/>
          <w:spacing w:val="0"/>
          <w:w w:val="100"/>
          <w:position w:val="0"/>
          <w:sz w:val="19"/>
          <w:szCs w:val="19"/>
        </w:rPr>
        <w:t>39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 规定先就增加资本拿出具体框架方案，按公司原股东所占比重、所增资本所占增资扩股后 所占比重先进行讨论通过,再决定将来出资,要考虑原股东享有公司法规定的投资（岀资） 权利”。但该议案取得全体股东所持表决权的</w:t>
      </w:r>
      <w:r>
        <w:rPr>
          <w:rFonts w:ascii="Times New Roman" w:hAnsi="Times New Roman" w:eastAsia="Times New Roman" w:cs="Times New Roman"/>
          <w:color w:val="000000"/>
          <w:spacing w:val="0"/>
          <w:w w:val="100"/>
          <w:position w:val="0"/>
          <w:sz w:val="19"/>
          <w:szCs w:val="19"/>
        </w:rPr>
        <w:t>75.49%</w:t>
      </w:r>
      <w:r>
        <w:rPr>
          <w:color w:val="000000"/>
          <w:spacing w:val="0"/>
          <w:w w:val="100"/>
          <w:position w:val="0"/>
        </w:rPr>
        <w:t>通过。</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日，科创公司 与陈木高签订了《入股协议书》</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日，陈木高将</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万元股金汇入科创公司 的指定账户。</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日，公司就前述事宜完成变更登记。此后，陈木高以科创公 司董事长的身份对公司进行经营管理。</w:t>
      </w:r>
    </w:p>
    <w:p w14:paraId="5D37C117">
      <w:pPr>
        <w:pStyle w:val="17"/>
        <w:keepNext w:val="0"/>
        <w:keepLines w:val="0"/>
        <w:widowControl w:val="0"/>
        <w:shd w:val="clear" w:color="auto" w:fill="auto"/>
        <w:bidi w:val="0"/>
        <w:spacing w:before="0" w:after="0" w:line="348" w:lineRule="exact"/>
        <w:ind w:left="0" w:right="0" w:firstLine="420"/>
        <w:jc w:val="both"/>
      </w:pP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日，红日公司向科创公司递交了《关于要求作为科创公司增资扩股增 资认缴人的报告》，该报告的主要内容为:主张蒋洋和红日公司享有优先认缴出资的权利， 愿意在增资扩股方案的同等条件下，由红日公司与蒋洋共同或由其中一家向科创公司认缴 新增资本</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万元人民币的出资。</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日，红日公司向绵阳高新区工商局递交 了《请就绵阳高新区科创实业有限公司新增资本、增加新股东作不予变更登记的报告》。</w:t>
      </w:r>
    </w:p>
    <w:p w14:paraId="0ABDC1E9">
      <w:pPr>
        <w:pStyle w:val="17"/>
        <w:keepNext w:val="0"/>
        <w:keepLines w:val="0"/>
        <w:widowControl w:val="0"/>
        <w:shd w:val="clear" w:color="auto" w:fill="auto"/>
        <w:bidi w:val="0"/>
        <w:spacing w:before="0" w:after="360" w:line="350" w:lineRule="exact"/>
        <w:ind w:left="0" w:right="0" w:firstLine="42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日，蒋洋和红日公司向一审法院提起诉讼，请求确认科创公司</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12 </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日股东会通过的吸纳陈木高为新股东的决议无效，确认科创公司和陈木高</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18 </w:t>
      </w:r>
      <w:r>
        <w:rPr>
          <w:color w:val="000000"/>
          <w:spacing w:val="0"/>
          <w:w w:val="100"/>
          <w:position w:val="0"/>
        </w:rPr>
        <w:t>日签订的《入股协议书》无效，确认其对</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万元新增资本享有优先认购权，科创公司承担其相应 损失。</w:t>
      </w:r>
    </w:p>
    <w:p w14:paraId="74624732">
      <w:pPr>
        <w:pStyle w:val="11"/>
        <w:keepNext w:val="0"/>
        <w:keepLines w:val="0"/>
        <w:widowControl w:val="0"/>
        <w:shd w:val="clear" w:color="auto" w:fill="auto"/>
        <w:bidi w:val="0"/>
        <w:spacing w:before="0" w:after="200" w:line="347"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1933028">
      <w:pPr>
        <w:pStyle w:val="17"/>
        <w:keepNext w:val="0"/>
        <w:keepLines w:val="0"/>
        <w:widowControl w:val="0"/>
        <w:shd w:val="clear" w:color="auto" w:fill="auto"/>
        <w:bidi w:val="0"/>
        <w:spacing w:before="0" w:after="120" w:line="240" w:lineRule="auto"/>
        <w:ind w:left="0" w:right="0"/>
        <w:jc w:val="both"/>
      </w:pPr>
      <w:r>
        <w:rPr>
          <w:color w:val="000000"/>
          <w:spacing w:val="0"/>
          <w:w w:val="100"/>
          <w:position w:val="0"/>
        </w:rPr>
        <w:t>撤销一审和二审判决，改判决议部分无效。</w:t>
      </w:r>
    </w:p>
    <w:p w14:paraId="1792E738">
      <w:pPr>
        <w:pStyle w:val="17"/>
        <w:keepNext w:val="0"/>
        <w:keepLines w:val="0"/>
        <w:widowControl w:val="0"/>
        <w:shd w:val="clear" w:color="auto" w:fill="auto"/>
        <w:bidi w:val="0"/>
        <w:spacing w:before="0" w:after="0" w:line="240" w:lineRule="auto"/>
        <w:ind w:left="0" w:right="0"/>
        <w:jc w:val="both"/>
        <w:sectPr>
          <w:headerReference r:id="rId106" w:type="default"/>
          <w:headerReference r:id="rId107" w:type="even"/>
          <w:footnotePr>
            <w:numFmt w:val="chicago"/>
          </w:footnotePr>
          <w:pgSz w:w="10099" w:h="14782"/>
          <w:pgMar w:top="1290" w:right="1006" w:bottom="1137" w:left="979" w:header="862" w:footer="709" w:gutter="0"/>
          <w:pgNumType w:start="83"/>
          <w:cols w:space="720" w:num="1"/>
          <w:rtlGutter w:val="0"/>
          <w:docGrid w:linePitch="360" w:charSpace="0"/>
        </w:sectPr>
      </w:pPr>
      <w:r>
        <w:rPr>
          <w:color w:val="000000"/>
          <w:spacing w:val="0"/>
          <w:w w:val="100"/>
          <w:position w:val="0"/>
        </w:rPr>
        <w:t xml:space="preserve">一审法院认为，系争股东会决议虽然通知程序存在瑕疵，但并未影响原告参加股东会 </w:t>
      </w:r>
    </w:p>
    <w:p w14:paraId="0CE2F2B1">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议，且股东会决议以特别多数通过。科创公司与陈木高签订的入股协议书不存在恶意串通 的情形，主体适格,意思表示真实，不违反法律或者社会公共利益，应为有效协议。原告虽然 对科创公司的新增资本享有优先认缴权,但该权利行使应有合理期间，原告近两年后才提 起诉讼,要求行使优先认缴权，法院不予支持。</w:t>
      </w:r>
    </w:p>
    <w:p w14:paraId="03A58A9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二审法院认为，根据</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年《公司法》和科创公司章程，蒋洋和红日公司享有科创公司 增资时的优先认缴权，其在公司股东会上明确表明不放弃优先购买权，并且向科创公司和 公司登记机关主张优先认缴权。但科创公司在没有明确蒋洋和红日公司是否放弃优先认 缴出资权，也没有给予蒋洋和红日公司合理期限以行使优先认缴出资权的情况下,与陈木 高签订《入股协议书》，并变更工商登记。该系列行为侵犯了蒋洋和红日公司的法定权利， 根据原《民法通则》第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项的规定,科创公司的股东会决议无效，其与陈木高 签订的《入股协议书》也相应无效。二审法院撤销一审判决，改判陈木高和其控制的公司将 股权返还给科创公司，由蒋洋和红日公司按照意愿行使认购权。</w:t>
      </w:r>
    </w:p>
    <w:p w14:paraId="624D8BC5">
      <w:pPr>
        <w:pStyle w:val="17"/>
        <w:keepNext w:val="0"/>
        <w:keepLines w:val="0"/>
        <w:widowControl w:val="0"/>
        <w:shd w:val="clear" w:color="auto" w:fill="auto"/>
        <w:bidi w:val="0"/>
        <w:spacing w:before="0" w:after="360" w:line="345" w:lineRule="exact"/>
        <w:ind w:left="0" w:right="0" w:firstLine="420"/>
        <w:jc w:val="both"/>
      </w:pPr>
      <w:r>
        <w:rPr>
          <w:color w:val="000000"/>
          <w:spacing w:val="0"/>
          <w:w w:val="100"/>
          <w:position w:val="0"/>
        </w:rPr>
        <w:t>再审法院即最高人民法院（以下简称最高院）认为，首先，科创公司的股东会决议侵犯 了红日公司和蒋洋的优先认缴新增资本的权利，依据</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款，股东 会决议无效。其次,公司意思形成过程的瑕疵不应影响公司对外行为的效力，虽然股东会 决议无效，但只要公司的表示行为不存在合同法规定的无效情形，即应有效。最后,优先认 缴权的行使应有合理期间，蒋洋和红日公司在股权变动后近两年才提起诉讼，已超过合理 期间。因此，再审法院撤销一审和二审判决，改判股东会决议中涉及蒋洋和红日公司出资 比例的部分决议无效，并驳回蒋洋和红日公司的其他诉讼请求。</w:t>
      </w:r>
    </w:p>
    <w:p w14:paraId="7DEE9946">
      <w:pPr>
        <w:pStyle w:val="11"/>
        <w:keepNext w:val="0"/>
        <w:keepLines w:val="0"/>
        <w:widowControl w:val="0"/>
        <w:shd w:val="clear" w:color="auto" w:fill="auto"/>
        <w:bidi w:val="0"/>
        <w:spacing w:before="0" w:after="260" w:line="345" w:lineRule="exact"/>
        <w:ind w:left="0" w:right="0" w:firstLine="0"/>
        <w:jc w:val="both"/>
      </w:pPr>
      <w:r>
        <w:rPr>
          <w:color w:val="000000"/>
          <w:spacing w:val="0"/>
          <w:w w:val="100"/>
          <w:position w:val="0"/>
        </w:rPr>
        <w:t>■评析</w:t>
      </w:r>
    </w:p>
    <w:p w14:paraId="3FAB8D21">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本判决的指导意义和裁判思路</w:t>
      </w:r>
    </w:p>
    <w:p w14:paraId="49DAC717">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本案所渉主要法律问题为，公司与新股东的增资入股协议,是否因公司未予老股东对 新增资本行使优先认缴权而无效。由于同时涉及公司内部意思形成（股东会关于增资入股 的决议）与对外意思表示（公司与新股东的增资入股协议）的效力，故应分解如下：</w:t>
      </w:r>
    </w:p>
    <w:p w14:paraId="280E255C">
      <w:pPr>
        <w:pStyle w:val="17"/>
        <w:keepNext w:val="0"/>
        <w:keepLines w:val="0"/>
        <w:widowControl w:val="0"/>
        <w:numPr>
          <w:ilvl w:val="0"/>
          <w:numId w:val="8"/>
        </w:numPr>
        <w:shd w:val="clear" w:color="auto" w:fill="auto"/>
        <w:tabs>
          <w:tab w:val="left" w:pos="685"/>
        </w:tabs>
        <w:bidi w:val="0"/>
        <w:spacing w:before="0" w:after="0" w:line="344" w:lineRule="exact"/>
        <w:ind w:left="0" w:right="0" w:firstLine="420"/>
        <w:jc w:val="both"/>
      </w:pPr>
      <w:bookmarkStart w:id="39" w:name="bookmark102"/>
      <w:bookmarkEnd w:id="39"/>
      <w:r>
        <w:rPr>
          <w:color w:val="000000"/>
          <w:spacing w:val="0"/>
          <w:w w:val="100"/>
          <w:position w:val="0"/>
        </w:rPr>
        <w:t xml:space="preserve">老股东主张行使优先认缴权,股东会仍以特别决议通过向股东以外的人定向增资时, 决议是否因侵害股东优先认缴权而无效。解答这一问题的关键在于股东优先认缴权的性 质认定。二审法院和再审法院对此观点一致，均认为有限公司股东对新增资本的优先认缴 权为法定权利，股东会特别决议不能限制和剥夺，因此决议无效。但在法律依据上，由于 </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年公司法未对有限公司公司决议效力瑕疵及其救济有所规定，二审法院适用原《民法 通则》第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项的规定。再审法院依据最高人民法院《关于适用〈中华人民共 和国公司法〉若干问题的规定（一）》第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条，参照适用</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款，判 决决议部分无效。</w:t>
      </w:r>
    </w:p>
    <w:p w14:paraId="4FEED1BB">
      <w:pPr>
        <w:pStyle w:val="17"/>
        <w:keepNext w:val="0"/>
        <w:keepLines w:val="0"/>
        <w:widowControl w:val="0"/>
        <w:numPr>
          <w:ilvl w:val="0"/>
          <w:numId w:val="8"/>
        </w:numPr>
        <w:shd w:val="clear" w:color="auto" w:fill="auto"/>
        <w:tabs>
          <w:tab w:val="left" w:pos="682"/>
        </w:tabs>
        <w:bidi w:val="0"/>
        <w:spacing w:before="0" w:after="0" w:line="344" w:lineRule="exact"/>
        <w:ind w:left="0" w:right="0" w:firstLine="420"/>
        <w:jc w:val="both"/>
      </w:pPr>
      <w:bookmarkStart w:id="40" w:name="bookmark103"/>
      <w:bookmarkEnd w:id="40"/>
      <w:r>
        <w:rPr>
          <w:color w:val="000000"/>
          <w:spacing w:val="0"/>
          <w:w w:val="100"/>
          <w:position w:val="0"/>
        </w:rPr>
        <w:t>股东会决议无效是否影响公司增资行为的效力。这一问题涉及公司依瑕疵决议所为 之行为的效力，其中又关涉对增资行为的认识。二审法院以内部意思形成与外部行为效力 联动，裁判公司增资行为无效。再审法院主张决议无效并不当然影响增资行为的效力。相 对人陈木高并无审查意思形成过程的义务，也已经支付对价,既然入股协议不存在《合同 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条规定的合同无效事由,则应属有效。</w:t>
      </w:r>
    </w:p>
    <w:p w14:paraId="7E3583B7">
      <w:pPr>
        <w:pStyle w:val="17"/>
        <w:keepNext w:val="0"/>
        <w:keepLines w:val="0"/>
        <w:widowControl w:val="0"/>
        <w:shd w:val="clear" w:color="auto" w:fill="auto"/>
        <w:bidi w:val="0"/>
        <w:spacing w:before="0" w:after="160" w:line="343" w:lineRule="exact"/>
        <w:ind w:left="0" w:right="0" w:firstLine="46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条规定，内容与程序存在瑕疵的公司机关决议不能认为是有效 的公司意思。但决议系公司内部意思形成机制，公司依据瑕疵决议而进行的对外行为，效 力如何判断，关系公司内部意思形成合法性与公司法律关系安定性的平衡，是组织法与交 易法的结点问题。再审法院采取的</w:t>
      </w:r>
      <w:r>
        <w:rPr>
          <w:color w:val="000000"/>
          <w:spacing w:val="0"/>
          <w:w w:val="100"/>
          <w:position w:val="0"/>
          <w:lang w:val="zh-CN" w:eastAsia="zh-CN" w:bidi="zh-CN"/>
        </w:rPr>
        <w:t>“内</w:t>
      </w:r>
      <w:r>
        <w:rPr>
          <w:color w:val="000000"/>
          <w:spacing w:val="0"/>
          <w:w w:val="100"/>
          <w:position w:val="0"/>
        </w:rPr>
        <w:t>外两分</w:t>
      </w:r>
      <w:r>
        <w:rPr>
          <w:color w:val="000000"/>
          <w:spacing w:val="0"/>
          <w:w w:val="100"/>
          <w:position w:val="0"/>
          <w:lang w:val="zh-CN" w:eastAsia="zh-CN" w:bidi="zh-CN"/>
        </w:rPr>
        <w:t>”裁判</w:t>
      </w:r>
      <w:r>
        <w:rPr>
          <w:color w:val="000000"/>
          <w:spacing w:val="0"/>
          <w:w w:val="100"/>
          <w:position w:val="0"/>
        </w:rPr>
        <w:t>思路,具有一定的参考价值，但其对股 东优先认缴权的性质认定和对增资行为为组织行为抑或交易行为的判断,都过于简单武 断,仍有值得商榷之处。</w:t>
      </w:r>
    </w:p>
    <w:p w14:paraId="552BE145">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rPr>
        <w:t>团相关规范及学理</w:t>
      </w:r>
    </w:p>
    <w:p w14:paraId="32DB252A">
      <w:pPr>
        <w:pStyle w:val="17"/>
        <w:keepNext w:val="0"/>
        <w:keepLines w:val="0"/>
        <w:widowControl w:val="0"/>
        <w:shd w:val="clear" w:color="auto" w:fill="auto"/>
        <w:bidi w:val="0"/>
        <w:spacing w:before="0" w:after="0" w:line="377" w:lineRule="auto"/>
        <w:ind w:left="0" w:right="0" w:firstLine="460"/>
        <w:jc w:val="both"/>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.本案决议是否因侵害股东优先认缴权而无效</w:t>
      </w:r>
    </w:p>
    <w:p w14:paraId="243613F8">
      <w:pPr>
        <w:pStyle w:val="17"/>
        <w:keepNext w:val="0"/>
        <w:keepLines w:val="0"/>
        <w:widowControl w:val="0"/>
        <w:shd w:val="clear" w:color="auto" w:fill="auto"/>
        <w:bidi w:val="0"/>
        <w:spacing w:before="0" w:after="0" w:line="343" w:lineRule="exact"/>
        <w:ind w:left="0" w:right="0" w:firstLine="460"/>
        <w:jc w:val="both"/>
      </w:pPr>
      <w:r>
        <w:rPr>
          <w:color w:val="000000"/>
          <w:spacing w:val="0"/>
          <w:w w:val="100"/>
          <w:position w:val="0"/>
        </w:rPr>
        <w:t>对有限公司新增资本时股东优先认缴权性质的认定,是股东会决议效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认星的前捷; 若优先认缴权系股东的固有权利，公司章程或股东会决议不应排除或限制股东行使该权 利;若优先认缴权并非股东的固有权利，则合法合章形成的公司意思可以对其作岀限制。 按照</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条规定</w:t>
      </w:r>
      <w:r>
        <w:rPr>
          <w:color w:val="000000"/>
          <w:spacing w:val="0"/>
          <w:w w:val="100"/>
          <w:position w:val="0"/>
          <w:sz w:val="19"/>
          <w:szCs w:val="19"/>
        </w:rPr>
        <w:t>，</w:t>
      </w:r>
      <w:r>
        <w:rPr>
          <w:color w:val="000000"/>
          <w:spacing w:val="0"/>
          <w:w w:val="100"/>
          <w:position w:val="0"/>
        </w:rPr>
        <w:t>“公司新增资本时，股东可以优先认缴岀资</w:t>
      </w:r>
      <w:r>
        <w:rPr>
          <w:color w:val="000000"/>
          <w:spacing w:val="0"/>
          <w:w w:val="100"/>
          <w:position w:val="0"/>
          <w:lang w:val="zh-CN" w:eastAsia="zh-CN" w:bidi="zh-CN"/>
        </w:rPr>
        <w:t>”。这</w:t>
      </w:r>
      <w:r>
        <w:rPr>
          <w:color w:val="000000"/>
          <w:spacing w:val="0"/>
          <w:w w:val="100"/>
          <w:position w:val="0"/>
        </w:rPr>
        <w:t>是一 项任意性规定，公司章程可以选择赋予或者不赋予股东该项权利。若初始章程赋予股东该 权利，法条也不禁止公司通过修订章程来排除或限制之。科创公司章程照抄了该条文</w:t>
      </w:r>
      <w:r>
        <w:rPr>
          <w:rFonts w:ascii="Times New Roman" w:hAnsi="Times New Roman" w:eastAsia="Times New Roman" w:cs="Times New Roman"/>
          <w:color w:val="000000"/>
          <w:spacing w:val="0"/>
          <w:w w:val="100"/>
          <w:position w:val="0"/>
          <w:sz w:val="19"/>
          <w:szCs w:val="19"/>
        </w:rPr>
        <w:t xml:space="preserve">,2003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日股东会以全体股东所持表决权</w:t>
      </w:r>
      <w:r>
        <w:rPr>
          <w:rFonts w:ascii="Times New Roman" w:hAnsi="Times New Roman" w:eastAsia="Times New Roman" w:cs="Times New Roman"/>
          <w:color w:val="000000"/>
          <w:spacing w:val="0"/>
          <w:w w:val="100"/>
          <w:position w:val="0"/>
          <w:sz w:val="19"/>
          <w:szCs w:val="19"/>
        </w:rPr>
        <w:t>75.49%</w:t>
      </w:r>
      <w:r>
        <w:rPr>
          <w:color w:val="000000"/>
          <w:spacing w:val="0"/>
          <w:w w:val="100"/>
          <w:position w:val="0"/>
        </w:rPr>
        <w:t>的比例通过对公司股东之外的特定对 象增发资本，不考虑两名股东行使优先认缴权的决议，意味着同时修订了公司章程,在此情 形中排除了股东行权，股东会决议并不因此当然无效。</w:t>
      </w:r>
    </w:p>
    <w:p w14:paraId="09192349">
      <w:pPr>
        <w:pStyle w:val="17"/>
        <w:keepNext w:val="0"/>
        <w:keepLines w:val="0"/>
        <w:widowControl w:val="0"/>
        <w:shd w:val="clear" w:color="auto" w:fill="auto"/>
        <w:bidi w:val="0"/>
        <w:spacing w:before="0" w:after="0" w:line="344" w:lineRule="exact"/>
        <w:ind w:left="0" w:right="0" w:firstLine="460"/>
        <w:jc w:val="both"/>
      </w:pPr>
      <w:r>
        <w:rPr>
          <w:color w:val="000000"/>
          <w:spacing w:val="0"/>
          <w:w w:val="100"/>
          <w:position w:val="0"/>
        </w:rPr>
        <w:t xml:space="preserve">再审法院在说理时参照了 </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条规定的</w:t>
      </w:r>
      <w:r>
        <w:rPr>
          <w:color w:val="000000"/>
          <w:spacing w:val="0"/>
          <w:w w:val="100"/>
          <w:position w:val="0"/>
          <w:lang w:val="zh-CN" w:eastAsia="zh-CN" w:bidi="zh-CN"/>
        </w:rPr>
        <w:t>“公司</w:t>
      </w:r>
      <w:r>
        <w:rPr>
          <w:color w:val="000000"/>
          <w:spacing w:val="0"/>
          <w:w w:val="100"/>
          <w:position w:val="0"/>
        </w:rPr>
        <w:t>新增资本时,股东有 权优先按照实缴的岀资比例认缴岀资。但是，全体股东约定不按照岀资比例……优先认缴 岀资的除外”。所谓“全体股东约定不按照岀资比例优先认缴岀资”是否包括“全体股东约 定不优先认缴岀资</w:t>
      </w:r>
      <w:r>
        <w:rPr>
          <w:color w:val="000000"/>
          <w:spacing w:val="0"/>
          <w:w w:val="100"/>
          <w:position w:val="0"/>
          <w:lang w:val="zh-CN" w:eastAsia="zh-CN" w:bidi="zh-CN"/>
        </w:rPr>
        <w:t>”，存</w:t>
      </w:r>
      <w:r>
        <w:rPr>
          <w:color w:val="000000"/>
          <w:spacing w:val="0"/>
          <w:w w:val="100"/>
          <w:position w:val="0"/>
        </w:rPr>
        <w:t>在解释的空间。但毫无疑问的是，该条文禁止多数股东限制或排除 个别股东优先认缴权的行使。本案诉争的股东会决议作岀于</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月，应适用</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 修正的《公司法》。在</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年《公司法》有明确规定的前提下，再审法院参照适用</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 《公司法》的新规定判定股东会决议因限制股东优先认缴权行使而无效，是对法律的错误适 用，除非再审法院对</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条作法律解释，认为应不拘于文义，优先认缴权 是股东的固有权，公司章程不得对此做任何限制。</w:t>
      </w:r>
    </w:p>
    <w:p w14:paraId="16F4704C">
      <w:pPr>
        <w:pStyle w:val="17"/>
        <w:keepNext w:val="0"/>
        <w:keepLines w:val="0"/>
        <w:widowControl w:val="0"/>
        <w:shd w:val="clear" w:color="auto" w:fill="auto"/>
        <w:bidi w:val="0"/>
        <w:spacing w:before="0" w:after="120" w:line="344" w:lineRule="exact"/>
        <w:ind w:left="0" w:right="0" w:firstLine="460"/>
        <w:jc w:val="both"/>
      </w:pPr>
      <w:r>
        <w:rPr>
          <w:color w:val="000000"/>
          <w:spacing w:val="0"/>
          <w:w w:val="100"/>
          <w:position w:val="0"/>
        </w:rPr>
        <w:t>理论上讲，优先认缴权能够保护有限公司小股东在公司增资时股权比例不被稀释的权 利。增资时，存在两种可能损害小股东利益的情形:一是控股股东利用其对股东会的控制， 对特定对象增发资本;二是控股股东利用其对股东会的控制，以低于每股净资产价值的价 格增发资本。在前一种情形，只要是足价发行，股东的财产权益并未受到损害，只是持股比 例被稀释，在奉行资本多数决的公司，意味着话语权的降低。对后一种情形，即便股东没有 优先认缴权，发行行为也受到公司法其他规范的制约。因此，优先认缴权着重于保护小股 东的</w:t>
      </w:r>
      <w:r>
        <w:rPr>
          <w:color w:val="000000"/>
          <w:spacing w:val="0"/>
          <w:w w:val="100"/>
          <w:position w:val="0"/>
          <w:lang w:val="zh-CN" w:eastAsia="zh-CN" w:bidi="zh-CN"/>
        </w:rPr>
        <w:t>“比</w:t>
      </w:r>
      <w:r>
        <w:rPr>
          <w:color w:val="000000"/>
          <w:spacing w:val="0"/>
          <w:w w:val="100"/>
          <w:position w:val="0"/>
        </w:rPr>
        <w:t>例利益</w:t>
      </w:r>
      <w:r>
        <w:rPr>
          <w:color w:val="000000"/>
          <w:spacing w:val="0"/>
          <w:w w:val="100"/>
          <w:position w:val="0"/>
          <w:lang w:val="zh-CN" w:eastAsia="zh-CN" w:bidi="zh-CN"/>
        </w:rPr>
        <w:t>”。但</w:t>
      </w:r>
      <w:r>
        <w:rPr>
          <w:color w:val="000000"/>
          <w:spacing w:val="0"/>
          <w:w w:val="100"/>
          <w:position w:val="0"/>
        </w:rPr>
        <w:t>这种保护也是有限的，首先其前提为小股东有资金认缴，其次小股东 只能以出资比例认缴，因此股东行使优先认缴权并不能阻止新股东进入公司，无法维护有 限公司的人合性。综上所述，公司增发新股并不必然损害股东财产权，优先认缴权只保护 小股东对股权比例不被稀释的期待，若公司法对此明确采任意性条款之立法模式，司法机 关强要解释为其属股东固有权，于理不合。</w:t>
      </w:r>
    </w:p>
    <w:p w14:paraId="3CF129A0">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界定法人依瑕疵决议所为行为之效力，应先区分行为系组织行为抑或交易行为</w:t>
      </w:r>
    </w:p>
    <w:p w14:paraId="2401F145">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款规定:</w:t>
      </w:r>
      <w:r>
        <w:rPr>
          <w:color w:val="000000"/>
          <w:spacing w:val="0"/>
          <w:w w:val="100"/>
          <w:position w:val="0"/>
          <w:lang w:val="zh-CN" w:eastAsia="zh-CN" w:bidi="zh-CN"/>
        </w:rPr>
        <w:t>“公司</w:t>
      </w:r>
      <w:r>
        <w:rPr>
          <w:color w:val="000000"/>
          <w:spacing w:val="0"/>
          <w:w w:val="100"/>
          <w:position w:val="0"/>
        </w:rPr>
        <w:t>根据股东会或者股东大会、董事会决议已 办理变更登记的，人民法院宣告该决议无效或者撤销该决议后，公司应当向公司登记机关 申请撤销变更登记。</w:t>
      </w:r>
      <w:r>
        <w:rPr>
          <w:color w:val="000000"/>
          <w:spacing w:val="0"/>
          <w:w w:val="100"/>
          <w:position w:val="0"/>
          <w:lang w:val="zh-CN" w:eastAsia="zh-CN" w:bidi="zh-CN"/>
        </w:rPr>
        <w:t>”似乎</w:t>
      </w:r>
      <w:r>
        <w:rPr>
          <w:color w:val="000000"/>
          <w:spacing w:val="0"/>
          <w:w w:val="100"/>
          <w:position w:val="0"/>
        </w:rPr>
        <w:t>决议效力与组织行为效力应当联动。但公司合并、分立、增资、减 资、解散等行为，不仅产生公司人格或组织之变更，也可能持续地影响公司内外众多利益群 体之利益，如果认为依无效决议而为之组织行为无效,将动摇公司社团之安定性。增资行 为尤为特殊，其外观上虽可能仅表现为公司与特定对象的交易行为，但因注册资本增加对 外可能影响债权人的授信行为，对内可能改变公司机关人员组成从而影响公司持续的经营 管理活动，与公司的交易行为仅影响合同相对方判然有别。</w:t>
      </w:r>
    </w:p>
    <w:p w14:paraId="73D8CCF2">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同时，在对新股东增资的情形,相对人系新加入公司的社员，在注意义务的认定上是否 应简单等同于公司的外部人，亦值得探讨。对有限公司而言，新股东欲加入公司前,通常了 解公司的经营情况、财务状况、股权结构和股东组成。我国《公司法》在有限公司股东对外 进行股权转让时，也要求经过半数股东同意方可转让,且其他股东有优先购买权。可见对 导致有限公司股权结构变动的情形，公司法维护人合性的思路是一贯的。本案中，如按再 审法院所适用的</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年《公司法》第</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条，优先认缴权系有限公司股东的法定权利，新股 东不应不知，何况主张优先认缴权的股东为此前公司的第一大股东，而新股东为公司的重 要合作伙伴。因此，对增资行为效力的认定，应当平衡公司组织稳定和交易安全与股东权 利保护二者,最终决定是否认可其效力。从驳回红日公司和蒋洋行使优先认缴权的说理部 分可见,再审法院显然考虑到否认增资行为的效力，不仅影响股东权益变动,而且导致公司 两年内所有决策可能因之失效，撼动公司业已形成的内部秩序。此外,在两年时间中，公司 度过资金难关、净资产增加，包括原告在内的所有股东均因此而受惠。但再审法院以</w:t>
      </w:r>
      <w:r>
        <w:rPr>
          <w:color w:val="000000"/>
          <w:spacing w:val="0"/>
          <w:w w:val="100"/>
          <w:position w:val="0"/>
          <w:lang w:val="zh-CN" w:eastAsia="zh-CN" w:bidi="zh-CN"/>
        </w:rPr>
        <w:t xml:space="preserve">“内外 </w:t>
      </w:r>
      <w:r>
        <w:rPr>
          <w:color w:val="000000"/>
          <w:spacing w:val="0"/>
          <w:w w:val="100"/>
          <w:position w:val="0"/>
        </w:rPr>
        <w:t>二分</w:t>
      </w:r>
      <w:r>
        <w:rPr>
          <w:color w:val="000000"/>
          <w:spacing w:val="0"/>
          <w:w w:val="100"/>
          <w:position w:val="0"/>
          <w:lang w:val="zh-CN" w:eastAsia="zh-CN" w:bidi="zh-CN"/>
        </w:rPr>
        <w:t>”论证</w:t>
      </w:r>
      <w:r>
        <w:rPr>
          <w:color w:val="000000"/>
          <w:spacing w:val="0"/>
          <w:w w:val="100"/>
          <w:position w:val="0"/>
        </w:rPr>
        <w:t>意思形成无效不影响增资行为效力，将组织行为与交易行为视同对待，未免过于 简单粗糙。</w:t>
      </w:r>
    </w:p>
    <w:p w14:paraId="01D26CDD">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0EFDACF9">
      <w:pPr>
        <w:pStyle w:val="17"/>
        <w:keepNext w:val="0"/>
        <w:keepLines w:val="0"/>
        <w:widowControl w:val="0"/>
        <w:shd w:val="clear" w:color="auto" w:fill="auto"/>
        <w:bidi w:val="0"/>
        <w:spacing w:before="0" w:after="60" w:line="341" w:lineRule="exact"/>
        <w:ind w:left="0" w:right="0" w:firstLine="420"/>
        <w:jc w:val="both"/>
      </w:pPr>
      <w:r>
        <w:rPr>
          <w:color w:val="000000"/>
          <w:spacing w:val="0"/>
          <w:w w:val="100"/>
          <w:position w:val="0"/>
        </w:rPr>
        <w:t>司法实践中通常认为法定代表人以公司名义所签订之合同当然约束公司，只要合同不 存在《合同法》规定无效的情形,并不讨论公司内部有无意思形成。例如，在法定代表人越 权担保的合同效力认定上，虽然《公司法》第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 xml:space="preserve">条构成法定代表人代表权的法定限制，但在 </w:t>
      </w:r>
      <w:r>
        <w:rPr>
          <w:color w:val="000000"/>
          <w:spacing w:val="0"/>
          <w:w w:val="100"/>
          <w:position w:val="0"/>
          <w:lang w:val="zh-CN" w:eastAsia="zh-CN" w:bidi="zh-CN"/>
        </w:rPr>
        <w:t>“中建</w:t>
      </w:r>
      <w:r>
        <w:rPr>
          <w:color w:val="000000"/>
          <w:spacing w:val="0"/>
          <w:w w:val="100"/>
          <w:position w:val="0"/>
        </w:rPr>
        <w:t>材集团进出口公司诉北京大地恒通经贸有限公司等进出口代理合同纠纷案”（《最高人 民法院公报》</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期）中,法院认为公司内部决议程序，不得约束第三人,过于强调对交 易安全的维护，对相对人的注意义务几乎不做任何要求。</w:t>
      </w:r>
    </w:p>
    <w:p w14:paraId="07B595AC">
      <w:pPr>
        <w:pStyle w:val="17"/>
        <w:keepNext w:val="0"/>
        <w:keepLines w:val="0"/>
        <w:widowControl w:val="0"/>
        <w:shd w:val="clear" w:color="auto" w:fill="auto"/>
        <w:bidi w:val="0"/>
        <w:spacing w:before="0" w:after="160" w:line="342" w:lineRule="exact"/>
        <w:ind w:left="0" w:right="0" w:firstLine="0"/>
        <w:jc w:val="left"/>
      </w:pPr>
      <w:r>
        <w:rPr>
          <w:color w:val="000000"/>
          <w:spacing w:val="0"/>
          <w:w w:val="100"/>
          <w:position w:val="0"/>
          <w:lang w:val="en-US" w:eastAsia="en-US" w:bidi="en-US"/>
        </w:rPr>
        <w:t>®</w:t>
      </w:r>
      <w:r>
        <w:rPr>
          <w:color w:val="000000"/>
          <w:spacing w:val="0"/>
          <w:w w:val="100"/>
          <w:position w:val="0"/>
        </w:rPr>
        <w:t>本判决参考意义及将来的课题</w:t>
      </w:r>
    </w:p>
    <w:p w14:paraId="1C78F24A">
      <w:pPr>
        <w:pStyle w:val="17"/>
        <w:keepNext w:val="0"/>
        <w:keepLines w:val="0"/>
        <w:widowControl w:val="0"/>
        <w:shd w:val="clear" w:color="auto" w:fill="auto"/>
        <w:bidi w:val="0"/>
        <w:spacing w:before="0" w:after="340" w:line="342" w:lineRule="exact"/>
        <w:ind w:left="0" w:right="0"/>
        <w:jc w:val="both"/>
      </w:pPr>
      <w:r>
        <w:rPr>
          <w:color w:val="000000"/>
          <w:spacing w:val="0"/>
          <w:w w:val="100"/>
          <w:position w:val="0"/>
        </w:rPr>
        <w:t>本案被选为</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年的公报案例，裁判摘要中指出：</w:t>
      </w:r>
      <w:r>
        <w:rPr>
          <w:color w:val="000000"/>
          <w:spacing w:val="0"/>
          <w:w w:val="100"/>
          <w:position w:val="0"/>
          <w:lang w:val="zh-CN" w:eastAsia="zh-CN" w:bidi="zh-CN"/>
        </w:rPr>
        <w:t>“在</w:t>
      </w:r>
      <w:r>
        <w:rPr>
          <w:color w:val="000000"/>
          <w:spacing w:val="0"/>
          <w:w w:val="100"/>
          <w:position w:val="0"/>
        </w:rPr>
        <w:t>民商事法律关系中，公司作为行 为主体实施法律行为的过程可以划分为两个层次，一是公司内部的意思形成阶段,通常表 现为股东会或董事会决议;二是公司对外作出意思表示的阶段，通常表现为公司对外签订 的合同。出于保护善意第三人和维护交易安全的考虑,在公司内部意思形成过程存在瑕疵 的情况下，只要对外的表示行为不存在无效的情形，公司就应受其表示行为的制约。</w:t>
      </w:r>
      <w:r>
        <w:rPr>
          <w:color w:val="000000"/>
          <w:spacing w:val="0"/>
          <w:w w:val="100"/>
          <w:position w:val="0"/>
          <w:lang w:val="zh-CN" w:eastAsia="zh-CN" w:bidi="zh-CN"/>
        </w:rPr>
        <w:t xml:space="preserve">”可见 </w:t>
      </w:r>
      <w:r>
        <w:rPr>
          <w:color w:val="000000"/>
          <w:spacing w:val="0"/>
          <w:w w:val="100"/>
          <w:position w:val="0"/>
        </w:rPr>
        <w:t>最高院试图确立公司行为中内部意思形成与表示行为效力区分对待、保护善意相对人的裁 判思路，这一裁判思路最终表现为正式的司法解释，即最高人民法院《关于适用〈中华人民 共和国公司法〉若干问题的规定(四)》第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条。维护交易安全这一原则在立法中也有所体 现，原《民法总则》第</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条后段规定，营利法人的决议行为被撤销时</w:t>
      </w:r>
      <w:r>
        <w:rPr>
          <w:color w:val="000000"/>
          <w:spacing w:val="0"/>
          <w:w w:val="100"/>
          <w:position w:val="0"/>
          <w:lang w:val="zh-CN" w:eastAsia="zh-CN" w:bidi="zh-CN"/>
        </w:rPr>
        <w:t>，“营</w:t>
      </w:r>
      <w:r>
        <w:rPr>
          <w:color w:val="000000"/>
          <w:spacing w:val="0"/>
          <w:w w:val="100"/>
          <w:position w:val="0"/>
        </w:rPr>
        <w:t>利法人依据该决议 与善意相对人形成的民事法律关系不受影响”。《民法典》第</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条承继了这一规定。然而, 对公司的组织行为与交易行为的效力认定是否均应以维护交易安全为先，在相对人善意的 判断上应否秉持不同的标准，仍值得研究。更重要的是，若一概坚持</w:t>
      </w:r>
      <w:r>
        <w:rPr>
          <w:color w:val="000000"/>
          <w:spacing w:val="0"/>
          <w:w w:val="100"/>
          <w:position w:val="0"/>
          <w:lang w:val="zh-CN" w:eastAsia="zh-CN" w:bidi="zh-CN"/>
        </w:rPr>
        <w:t>“内</w:t>
      </w:r>
      <w:r>
        <w:rPr>
          <w:color w:val="000000"/>
          <w:spacing w:val="0"/>
          <w:w w:val="100"/>
          <w:position w:val="0"/>
        </w:rPr>
        <w:t>外二分</w:t>
      </w:r>
      <w:r>
        <w:rPr>
          <w:color w:val="000000"/>
          <w:spacing w:val="0"/>
          <w:w w:val="100"/>
          <w:position w:val="0"/>
          <w:lang w:val="zh-CN" w:eastAsia="zh-CN" w:bidi="zh-CN"/>
        </w:rPr>
        <w:t>”，对</w:t>
      </w:r>
      <w:r>
        <w:rPr>
          <w:color w:val="000000"/>
          <w:spacing w:val="0"/>
          <w:w w:val="100"/>
          <w:position w:val="0"/>
        </w:rPr>
        <w:t>决议行 为效力与表示行为效力分离认定,决议效力瑕疵的纠正将无法实现实体权利义务之救济, 那么决议效力争讼的制度功能如何实现？建立多元、即时、灵活的预防性救济措施,使股东 能及时干预程序或内容有瑕疵之意思形成，从而阻遏甚至预防瑕疵决议对公司与股东的损 害,应成为《公司法》修订者考虑的课题。</w:t>
      </w:r>
    </w:p>
    <w:p w14:paraId="425AA04A">
      <w:pPr>
        <w:pStyle w:val="17"/>
        <w:keepNext w:val="0"/>
        <w:keepLines w:val="0"/>
        <w:widowControl w:val="0"/>
        <w:shd w:val="clear" w:color="auto" w:fill="auto"/>
        <w:bidi w:val="0"/>
        <w:spacing w:before="0" w:after="160" w:line="342" w:lineRule="exact"/>
        <w:ind w:left="0" w:right="0" w:firstLine="0"/>
        <w:jc w:val="left"/>
      </w:pPr>
      <w:r>
        <w:rPr>
          <w:color w:val="000000"/>
          <w:spacing w:val="0"/>
          <w:w w:val="100"/>
          <w:position w:val="0"/>
        </w:rPr>
        <w:t>回参考文献</w:t>
      </w:r>
    </w:p>
    <w:p w14:paraId="7656CD95">
      <w:pPr>
        <w:pStyle w:val="25"/>
        <w:keepNext w:val="0"/>
        <w:keepLines w:val="0"/>
        <w:widowControl w:val="0"/>
        <w:shd w:val="clear" w:color="auto" w:fill="auto"/>
        <w:bidi w:val="0"/>
        <w:spacing w:before="0" w:after="0" w:line="394" w:lineRule="auto"/>
        <w:ind w:left="200" w:right="0" w:hanging="200"/>
        <w:jc w:val="both"/>
      </w:pPr>
      <w:r>
        <w:rPr>
          <w:rFonts w:ascii="Times New Roman" w:hAnsi="Times New Roman" w:eastAsia="Times New Roman" w:cs="Times New Roman"/>
          <w:color w:val="000000"/>
          <w:spacing w:val="0"/>
          <w:w w:val="100"/>
          <w:position w:val="0"/>
          <w:lang w:val="en-US" w:eastAsia="en-US" w:bidi="en-US"/>
        </w:rPr>
        <w:t>James D. Cox and Thomas Lee Hazen, Cox and HazenTreatise on the Law of Corporations,3d, § 16. 22 (2019).</w:t>
      </w:r>
    </w:p>
    <w:p w14:paraId="750A622D">
      <w:pPr>
        <w:pStyle w:val="17"/>
        <w:keepNext w:val="0"/>
        <w:keepLines w:val="0"/>
        <w:widowControl w:val="0"/>
        <w:shd w:val="clear" w:color="auto" w:fill="auto"/>
        <w:bidi w:val="0"/>
        <w:spacing w:before="0" w:after="260" w:line="320" w:lineRule="exact"/>
        <w:ind w:left="0" w:right="0" w:firstLine="0"/>
        <w:jc w:val="left"/>
        <w:sectPr>
          <w:headerReference r:id="rId108" w:type="default"/>
          <w:headerReference r:id="rId109" w:type="even"/>
          <w:footnotePr>
            <w:numFmt w:val="chicago"/>
          </w:footnotePr>
          <w:pgSz w:w="10099" w:h="14782"/>
          <w:pgMar w:top="1290" w:right="1006" w:bottom="1137" w:left="979" w:header="0" w:footer="3" w:gutter="0"/>
          <w:pgNumType w:start="68"/>
          <w:cols w:space="720" w:num="1"/>
          <w:rtlGutter w:val="0"/>
          <w:docGrid w:linePitch="360" w:charSpace="0"/>
        </w:sectPr>
      </w:pPr>
      <w:r>
        <w:rPr>
          <w:color w:val="000000"/>
          <w:spacing w:val="0"/>
          <w:w w:val="100"/>
          <w:position w:val="0"/>
        </w:rPr>
        <w:t>［德］莱赛尔、法伊尔：《德国资合公司法》，高旭军等译，上海人民出版社</w:t>
      </w:r>
      <w:r>
        <w:rPr>
          <w:rFonts w:ascii="Times New Roman" w:hAnsi="Times New Roman" w:eastAsia="Times New Roman" w:cs="Times New Roman"/>
          <w:color w:val="000000"/>
          <w:spacing w:val="0"/>
          <w:w w:val="100"/>
          <w:position w:val="0"/>
          <w:sz w:val="17"/>
          <w:szCs w:val="17"/>
          <w:lang w:val="en-US" w:eastAsia="en-US" w:bidi="en-US"/>
        </w:rPr>
        <w:t>2019</w:t>
      </w:r>
      <w:r>
        <w:rPr>
          <w:color w:val="000000"/>
          <w:spacing w:val="0"/>
          <w:w w:val="100"/>
          <w:position w:val="0"/>
        </w:rPr>
        <w:t>年版。 王军：《有限责任公司股东增资优先认缴权解析》，载《金融法苑》</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徐银波:《法人依瑕疵决议所为行为之效力》，载《法学研究》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0FA075B">
      <w:pPr>
        <w:widowControl w:val="0"/>
        <w:spacing w:line="81" w:lineRule="exact"/>
        <w:rPr>
          <w:sz w:val="6"/>
          <w:szCs w:val="6"/>
        </w:rPr>
      </w:pPr>
    </w:p>
    <w:p w14:paraId="19EDE612">
      <w:pPr>
        <w:widowControl w:val="0"/>
        <w:spacing w:line="1" w:lineRule="exact"/>
        <w:sectPr>
          <w:headerReference r:id="rId110" w:type="default"/>
          <w:headerReference r:id="rId111" w:type="even"/>
          <w:footnotePr>
            <w:numFmt w:val="chicago"/>
          </w:footnotePr>
          <w:pgSz w:w="10099" w:h="14782"/>
          <w:pgMar w:top="1292" w:right="1016" w:bottom="1106" w:left="1080" w:header="0" w:footer="3" w:gutter="0"/>
          <w:pgNumType w:start="88"/>
          <w:cols w:space="720" w:num="1"/>
          <w:rtlGutter w:val="0"/>
          <w:docGrid w:linePitch="360" w:charSpace="0"/>
        </w:sectPr>
      </w:pPr>
    </w:p>
    <w:p w14:paraId="21241016">
      <w:pPr>
        <w:widowControl w:val="0"/>
        <w:spacing w:line="1" w:lineRule="exact"/>
      </w:pPr>
      <w:r>
        <mc:AlternateContent>
          <mc:Choice Requires="wps">
            <w:drawing>
              <wp:anchor distT="0" distB="15875" distL="0" distR="0" simplePos="0" relativeHeight="251660288" behindDoc="0" locked="0" layoutInCell="1" allowOverlap="1">
                <wp:simplePos x="0" y="0"/>
                <wp:positionH relativeFrom="page">
                  <wp:posOffset>745490</wp:posOffset>
                </wp:positionH>
                <wp:positionV relativeFrom="paragraph">
                  <wp:posOffset>0</wp:posOffset>
                </wp:positionV>
                <wp:extent cx="446405" cy="304800"/>
                <wp:effectExtent l="0" t="0" r="0" b="0"/>
                <wp:wrapTopAndBottom/>
                <wp:docPr id="235" name="Shape 235"/>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70A9CCBC">
                            <w:pPr>
                              <w:pStyle w:val="27"/>
                              <w:keepNext/>
                              <w:keepLines/>
                              <w:widowControl w:val="0"/>
                              <w:shd w:val="clear" w:color="auto" w:fill="auto"/>
                              <w:bidi w:val="0"/>
                              <w:spacing w:before="0" w:after="0" w:line="240" w:lineRule="auto"/>
                              <w:ind w:left="0" w:right="0" w:firstLine="0"/>
                              <w:jc w:val="both"/>
                            </w:pPr>
                            <w:bookmarkStart w:id="270" w:name="bookmark104"/>
                            <w:bookmarkStart w:id="271" w:name="bookmark105"/>
                            <w:bookmarkStart w:id="272" w:name="bookmark106"/>
                            <w:r>
                              <w:rPr>
                                <w:rFonts w:ascii="Times New Roman" w:hAnsi="Times New Roman" w:eastAsia="Times New Roman" w:cs="Times New Roman"/>
                                <w:color w:val="000000"/>
                                <w:spacing w:val="0"/>
                                <w:w w:val="100"/>
                                <w:position w:val="0"/>
                              </w:rPr>
                              <w:t>015</w:t>
                            </w:r>
                            <w:bookmarkEnd w:id="270"/>
                            <w:bookmarkEnd w:id="271"/>
                            <w:bookmarkEnd w:id="272"/>
                          </w:p>
                        </w:txbxContent>
                      </wps:txbx>
                      <wps:bodyPr wrap="none" lIns="0" tIns="0" rIns="0" bIns="0">
                        <a:noAutofit/>
                      </wps:bodyPr>
                    </wps:wsp>
                  </a:graphicData>
                </a:graphic>
              </wp:anchor>
            </w:drawing>
          </mc:Choice>
          <mc:Fallback>
            <w:pict>
              <v:shape id="Shape 235" o:spid="_x0000_s1026" o:spt="202" type="#_x0000_t202" style="position:absolute;left:0pt;margin-left:58.7pt;margin-top:0pt;height:24pt;width:35.15pt;mso-position-horizontal-relative:page;mso-wrap-distance-bottom:1.25pt;mso-wrap-distance-top:0pt;mso-wrap-style:none;z-index:251660288;mso-width-relative:page;mso-height-relative:page;" filled="f" stroked="f" coordsize="21600,21600" o:gfxdata="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kx5Ke0wAAAAcB&#10;AAAPAAAAAAAAAAEAIAAAACIAAABkcnMvZG93bnJldi54bWxQSwECFAAUAAAACACHTuJAra9cGa4B&#10;AABzAwAADgAAAAAAAAABACAAAAAiAQAAZHJzL2Uyb0RvYy54bWxQSwUGAAAAAAYABgBZAQAAQgUA&#10;AAAA&#10;">
                <v:fill on="f" focussize="0,0"/>
                <v:stroke on="f"/>
                <v:imagedata o:title=""/>
                <o:lock v:ext="edit" aspectratio="f"/>
                <v:textbox inset="0mm,0mm,0mm,0mm">
                  <w:txbxContent>
                    <w:p w14:paraId="70A9CCBC">
                      <w:pPr>
                        <w:pStyle w:val="27"/>
                        <w:keepNext/>
                        <w:keepLines/>
                        <w:widowControl w:val="0"/>
                        <w:shd w:val="clear" w:color="auto" w:fill="auto"/>
                        <w:bidi w:val="0"/>
                        <w:spacing w:before="0" w:after="0" w:line="240" w:lineRule="auto"/>
                        <w:ind w:left="0" w:right="0" w:firstLine="0"/>
                        <w:jc w:val="both"/>
                      </w:pPr>
                      <w:bookmarkStart w:id="270" w:name="bookmark104"/>
                      <w:bookmarkStart w:id="271" w:name="bookmark105"/>
                      <w:bookmarkStart w:id="272" w:name="bookmark106"/>
                      <w:r>
                        <w:rPr>
                          <w:rFonts w:ascii="Times New Roman" w:hAnsi="Times New Roman" w:eastAsia="Times New Roman" w:cs="Times New Roman"/>
                          <w:color w:val="000000"/>
                          <w:spacing w:val="0"/>
                          <w:w w:val="100"/>
                          <w:position w:val="0"/>
                        </w:rPr>
                        <w:t>015</w:t>
                      </w:r>
                      <w:bookmarkEnd w:id="270"/>
                      <w:bookmarkEnd w:id="271"/>
                      <w:bookmarkEnd w:id="272"/>
                    </w:p>
                  </w:txbxContent>
                </v:textbox>
                <w10:wrap type="topAndBottom"/>
              </v:shape>
            </w:pict>
          </mc:Fallback>
        </mc:AlternateContent>
      </w:r>
      <w:r>
        <mc:AlternateContent>
          <mc:Choice Requires="wps">
            <w:drawing>
              <wp:anchor distT="73025" distB="12700" distL="0" distR="0" simplePos="0" relativeHeight="251660288" behindDoc="0" locked="0" layoutInCell="1" allowOverlap="1">
                <wp:simplePos x="0" y="0"/>
                <wp:positionH relativeFrom="page">
                  <wp:posOffset>1321435</wp:posOffset>
                </wp:positionH>
                <wp:positionV relativeFrom="paragraph">
                  <wp:posOffset>73025</wp:posOffset>
                </wp:positionV>
                <wp:extent cx="3620770" cy="234950"/>
                <wp:effectExtent l="0" t="0" r="0" b="0"/>
                <wp:wrapTopAndBottom/>
                <wp:docPr id="237" name="Shape 237"/>
                <wp:cNvGraphicFramePr/>
                <a:graphic xmlns:a="http://schemas.openxmlformats.org/drawingml/2006/main">
                  <a:graphicData uri="http://schemas.microsoft.com/office/word/2010/wordprocessingShape">
                    <wps:wsp>
                      <wps:cNvSpPr txBox="1"/>
                      <wps:spPr>
                        <a:xfrm>
                          <a:off x="0" y="0"/>
                          <a:ext cx="3620770" cy="234950"/>
                        </a:xfrm>
                        <a:prstGeom prst="rect">
                          <a:avLst/>
                        </a:prstGeom>
                        <a:noFill/>
                      </wps:spPr>
                      <wps:txbx>
                        <w:txbxContent>
                          <w:p w14:paraId="3EC4F0BF">
                            <w:pPr>
                              <w:pStyle w:val="15"/>
                              <w:keepNext/>
                              <w:keepLines/>
                              <w:widowControl w:val="0"/>
                              <w:shd w:val="clear" w:color="auto" w:fill="auto"/>
                              <w:bidi w:val="0"/>
                              <w:spacing w:before="0" w:after="0" w:line="240" w:lineRule="auto"/>
                              <w:ind w:left="0" w:right="0" w:firstLine="0"/>
                              <w:jc w:val="left"/>
                            </w:pPr>
                            <w:bookmarkStart w:id="273" w:name="bookmark109"/>
                            <w:bookmarkStart w:id="274" w:name="bookmark107"/>
                            <w:bookmarkStart w:id="275" w:name="bookmark108"/>
                            <w:r>
                              <w:rPr>
                                <w:color w:val="000000"/>
                                <w:spacing w:val="0"/>
                                <w:w w:val="100"/>
                                <w:position w:val="0"/>
                              </w:rPr>
                              <w:t>沉默只有在例外情形才可被视为意思表示</w:t>
                            </w:r>
                            <w:bookmarkEnd w:id="273"/>
                            <w:bookmarkEnd w:id="274"/>
                            <w:bookmarkEnd w:id="275"/>
                          </w:p>
                        </w:txbxContent>
                      </wps:txbx>
                      <wps:bodyPr wrap="none" lIns="0" tIns="0" rIns="0" bIns="0">
                        <a:noAutofit/>
                      </wps:bodyPr>
                    </wps:wsp>
                  </a:graphicData>
                </a:graphic>
              </wp:anchor>
            </w:drawing>
          </mc:Choice>
          <mc:Fallback>
            <w:pict>
              <v:shape id="Shape 237" o:spid="_x0000_s1026" o:spt="202" type="#_x0000_t202" style="position:absolute;left:0pt;margin-left:104.05pt;margin-top:5.75pt;height:18.5pt;width:285.1pt;mso-position-horizontal-relative:page;mso-wrap-distance-bottom:1pt;mso-wrap-distance-top:5.75pt;mso-wrap-style:none;z-index:251660288;mso-width-relative:page;mso-height-relative:page;" filled="f" stroked="f" coordsize="21600,21600" o:gfxdata="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XMeW3W&#10;AAAACQEAAA8AAAAAAAAAAQAgAAAAIgAAAGRycy9kb3ducmV2LnhtbFBLAQIUABQAAAAIAIdO4kCO&#10;vL7esAEAAHQDAAAOAAAAAAAAAAEAIAAAACUBAABkcnMvZTJvRG9jLnhtbFBLBQYAAAAABgAGAFkB&#10;AABHBQAAAAA=&#10;">
                <v:fill on="f" focussize="0,0"/>
                <v:stroke on="f"/>
                <v:imagedata o:title=""/>
                <o:lock v:ext="edit" aspectratio="f"/>
                <v:textbox inset="0mm,0mm,0mm,0mm">
                  <w:txbxContent>
                    <w:p w14:paraId="3EC4F0BF">
                      <w:pPr>
                        <w:pStyle w:val="15"/>
                        <w:keepNext/>
                        <w:keepLines/>
                        <w:widowControl w:val="0"/>
                        <w:shd w:val="clear" w:color="auto" w:fill="auto"/>
                        <w:bidi w:val="0"/>
                        <w:spacing w:before="0" w:after="0" w:line="240" w:lineRule="auto"/>
                        <w:ind w:left="0" w:right="0" w:firstLine="0"/>
                        <w:jc w:val="left"/>
                      </w:pPr>
                      <w:bookmarkStart w:id="273" w:name="bookmark109"/>
                      <w:bookmarkStart w:id="274" w:name="bookmark107"/>
                      <w:bookmarkStart w:id="275" w:name="bookmark108"/>
                      <w:r>
                        <w:rPr>
                          <w:color w:val="000000"/>
                          <w:spacing w:val="0"/>
                          <w:w w:val="100"/>
                          <w:position w:val="0"/>
                        </w:rPr>
                        <w:t>沉默只有在例外情形才可被视为意思表示</w:t>
                      </w:r>
                      <w:bookmarkEnd w:id="273"/>
                      <w:bookmarkEnd w:id="274"/>
                      <w:bookmarkEnd w:id="275"/>
                    </w:p>
                  </w:txbxContent>
                </v:textbox>
                <w10:wrap type="topAndBottom"/>
              </v:shape>
            </w:pict>
          </mc:Fallback>
        </mc:AlternateContent>
      </w:r>
    </w:p>
    <w:p w14:paraId="384AA725">
      <w:pPr>
        <w:pStyle w:val="17"/>
        <w:keepNext w:val="0"/>
        <w:keepLines w:val="0"/>
        <w:widowControl w:val="0"/>
        <w:shd w:val="clear" w:color="auto" w:fill="auto"/>
        <w:bidi w:val="0"/>
        <w:spacing w:before="0" w:after="140" w:line="317" w:lineRule="exact"/>
        <w:ind w:left="0" w:right="0" w:firstLine="0"/>
        <w:jc w:val="center"/>
        <w:rPr>
          <w:sz w:val="19"/>
          <w:szCs w:val="19"/>
        </w:rPr>
      </w:pPr>
      <w:r>
        <w:drawing>
          <wp:anchor distT="0" distB="0" distL="114300" distR="114300" simplePos="0" relativeHeight="251660288" behindDoc="0" locked="0" layoutInCell="1" allowOverlap="1">
            <wp:simplePos x="0" y="0"/>
            <wp:positionH relativeFrom="page">
              <wp:posOffset>5119370</wp:posOffset>
            </wp:positionH>
            <wp:positionV relativeFrom="paragraph">
              <wp:posOffset>25400</wp:posOffset>
            </wp:positionV>
            <wp:extent cx="621665" cy="621665"/>
            <wp:effectExtent l="0" t="0" r="635" b="635"/>
            <wp:wrapSquare wrapText="left"/>
            <wp:docPr id="239" name="Shape 239"/>
            <wp:cNvGraphicFramePr/>
            <a:graphic xmlns:a="http://schemas.openxmlformats.org/drawingml/2006/main">
              <a:graphicData uri="http://schemas.openxmlformats.org/drawingml/2006/picture">
                <pic:pic xmlns:pic="http://schemas.openxmlformats.org/drawingml/2006/picture">
                  <pic:nvPicPr>
                    <pic:cNvPr id="239" name="Shape 239"/>
                    <pic:cNvPicPr/>
                  </pic:nvPicPr>
                  <pic:blipFill>
                    <a:blip r:embed="rId610"/>
                    <a:stretch>
                      <a:fillRect/>
                    </a:stretch>
                  </pic:blipFill>
                  <pic:spPr>
                    <a:xfrm>
                      <a:off x="0" y="0"/>
                      <a:ext cx="621665" cy="621665"/>
                    </a:xfrm>
                    <a:prstGeom prst="rect">
                      <a:avLst/>
                    </a:prstGeom>
                  </pic:spPr>
                </pic:pic>
              </a:graphicData>
            </a:graphic>
          </wp:anchor>
        </w:drawing>
      </w:r>
      <w:r>
        <w:rPr>
          <w:color w:val="000000"/>
          <w:spacing w:val="0"/>
          <w:w w:val="100"/>
          <w:position w:val="0"/>
          <w:sz w:val="18"/>
          <w:szCs w:val="18"/>
        </w:rPr>
        <w:t>沈阳国际汽车城开发有限公司与抚顺中通建设（集团）有限公司建</w:t>
      </w:r>
      <w:r>
        <w:rPr>
          <w:color w:val="000000"/>
          <w:spacing w:val="0"/>
          <w:w w:val="100"/>
          <w:position w:val="0"/>
          <w:sz w:val="18"/>
          <w:szCs w:val="18"/>
        </w:rPr>
        <w:br w:type="textWrapping"/>
      </w:r>
      <w:r>
        <w:rPr>
          <w:color w:val="000000"/>
          <w:spacing w:val="0"/>
          <w:w w:val="100"/>
          <w:position w:val="0"/>
          <w:sz w:val="18"/>
          <w:szCs w:val="18"/>
        </w:rPr>
        <w:t>设工程施工合同纠纷案丨最高人民法院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sz w:val="18"/>
          <w:szCs w:val="18"/>
        </w:rPr>
        <w:t>最高法民申</w:t>
      </w:r>
      <w:r>
        <w:rPr>
          <w:rFonts w:ascii="Times New Roman" w:hAnsi="Times New Roman" w:eastAsia="Times New Roman" w:cs="Times New Roman"/>
          <w:color w:val="000000"/>
          <w:spacing w:val="0"/>
          <w:w w:val="100"/>
          <w:position w:val="0"/>
          <w:sz w:val="19"/>
          <w:szCs w:val="19"/>
        </w:rPr>
        <w:t>549</w:t>
      </w:r>
    </w:p>
    <w:p w14:paraId="14F42DAF">
      <w:pPr>
        <w:pStyle w:val="17"/>
        <w:keepNext w:val="0"/>
        <w:keepLines w:val="0"/>
        <w:widowControl w:val="0"/>
        <w:shd w:val="clear" w:color="auto" w:fill="auto"/>
        <w:bidi w:val="0"/>
        <w:spacing w:before="0" w:after="360" w:line="240" w:lineRule="auto"/>
        <w:ind w:left="0" w:right="0" w:firstLine="1000"/>
        <w:jc w:val="both"/>
      </w:pPr>
      <w:r>
        <w:rPr>
          <w:color w:val="000000"/>
          <w:spacing w:val="0"/>
          <w:w w:val="100"/>
          <w:position w:val="0"/>
        </w:rPr>
        <w:t>号民事裁定书</w:t>
      </w:r>
    </w:p>
    <w:p w14:paraId="78DBFE6D">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纪海龙</w:t>
      </w:r>
      <w:r>
        <w:rPr>
          <w:color w:val="000000"/>
          <w:spacing w:val="0"/>
          <w:w w:val="100"/>
          <w:position w:val="0"/>
        </w:rPr>
        <w:t>华东师范大学法学院</w:t>
      </w:r>
    </w:p>
    <w:p w14:paraId="79FE875D">
      <w:pPr>
        <w:pStyle w:val="11"/>
        <w:keepNext w:val="0"/>
        <w:keepLines w:val="0"/>
        <w:widowControl w:val="0"/>
        <w:shd w:val="clear" w:color="auto" w:fill="auto"/>
        <w:bidi w:val="0"/>
        <w:spacing w:before="0" w:after="80" w:line="340"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3DC200E4">
      <w:pPr>
        <w:pStyle w:val="17"/>
        <w:keepNext w:val="0"/>
        <w:keepLines w:val="0"/>
        <w:widowControl w:val="0"/>
        <w:shd w:val="clear" w:color="auto" w:fill="auto"/>
        <w:bidi w:val="0"/>
        <w:spacing w:before="0" w:after="260" w:line="340" w:lineRule="exact"/>
        <w:ind w:left="0" w:right="0"/>
        <w:jc w:val="both"/>
        <w:sectPr>
          <w:footnotePr>
            <w:numFmt w:val="chicago"/>
          </w:footnotePr>
          <w:type w:val="continuous"/>
          <w:pgSz w:w="10099" w:h="14782"/>
          <w:pgMar w:top="1292" w:right="1016" w:bottom="1106" w:left="1080" w:header="864" w:footer="678"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 xml:space="preserve">日沈阳国际汽车城开发有限公司（以下简称汽车城公司）与抚顺中通建 设（集团）有限公司（以下简称中通公司）签订《沈阳国际汽车城一期汽配区建设工程施工合 同协议》，约定由中通公司作为承包方为汽车城公司建设沈阳国际汽车城一期汽配区工程。 </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日双方签订《协议补充》，其中将工程竣工结算事宜明确为:双方约定汽车城 公司审核竣工结算文件的期限为</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天，即汽车城公司收到中通公司工程结算报告及工程结 算文件资料后</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天内予以答复并审定完成，且据此按约定额度支付结算工程款;如汽车城 公司收到工程结算报告及结算文件资料超过</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天不予答复，视为汽车城公司认可中通公司 提交的结算文件资料和工程结算总值，中通公司提交的工程结算总值即自动生效,汽车城 公司按此工程结算总值支付工程款。合同签订后，中通公司进行了施工。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31 </w:t>
      </w:r>
      <w:r>
        <w:rPr>
          <w:color w:val="000000"/>
          <w:spacing w:val="0"/>
          <w:w w:val="100"/>
          <w:position w:val="0"/>
        </w:rPr>
        <w:t>日中通公司向汽车城公司发出《交付甲方工程结算文件资料函附明细》。后中通公司向沈 阳市中级人民法院起诉请求汽车城公司支付剩余工程款并承担相应违约责任。法院查明， 中通公司向汽车城公司提交的结算报告中工程总造价为</w:t>
      </w:r>
      <w:r>
        <w:rPr>
          <w:rFonts w:ascii="Times New Roman" w:hAnsi="Times New Roman" w:eastAsia="Times New Roman" w:cs="Times New Roman"/>
          <w:color w:val="000000"/>
          <w:spacing w:val="0"/>
          <w:w w:val="100"/>
          <w:position w:val="0"/>
          <w:sz w:val="19"/>
          <w:szCs w:val="19"/>
        </w:rPr>
        <w:t>119, 271,471</w:t>
      </w:r>
      <w:r>
        <w:rPr>
          <w:color w:val="000000"/>
          <w:spacing w:val="0"/>
          <w:w w:val="100"/>
          <w:position w:val="0"/>
        </w:rPr>
        <w:t xml:space="preserve">元，汽车城公司未在 协议约定的期限内对该结算提出异议，审理中，汽车城公司也没有提供证据证明双方在诉 讼前曾对该结算进行过重新核算。本案诉讼中,经一审法院要求汽车城公司对中通公司的 结算进行核对后,汽车城公司对中通公司结算采用的标准并无异议，但认为结算值为 </w:t>
      </w:r>
      <w:r>
        <w:rPr>
          <w:rFonts w:ascii="Times New Roman" w:hAnsi="Times New Roman" w:eastAsia="Times New Roman" w:cs="Times New Roman"/>
          <w:color w:val="000000"/>
          <w:spacing w:val="0"/>
          <w:w w:val="100"/>
          <w:position w:val="0"/>
          <w:sz w:val="19"/>
          <w:szCs w:val="19"/>
          <w:lang w:val="en-US" w:eastAsia="en-US" w:bidi="en-US"/>
        </w:rPr>
        <w:t>8786.71</w:t>
      </w:r>
      <w:r>
        <w:rPr>
          <w:color w:val="000000"/>
          <w:spacing w:val="0"/>
          <w:w w:val="100"/>
          <w:position w:val="0"/>
        </w:rPr>
        <w:t>万元。对于双方结算值的差额,汽车城公司提出无相关资料，应由中通公司提供 资料后再予确认。中通公司认为其在</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日提供给汽车城公司的结算资料 中，已经包含可以计算工程量的全部资料。后一审法院按照最高人民法院《关于审理建 设工程施工合同纠纷案件适用法律问题的解释》［法释</w:t>
      </w:r>
      <w:r>
        <w:rPr>
          <w:rFonts w:ascii="Times New Roman" w:hAnsi="Times New Roman" w:eastAsia="Times New Roman" w:cs="Times New Roman"/>
          <w:color w:val="000000"/>
          <w:spacing w:val="0"/>
          <w:w w:val="100"/>
          <w:position w:val="0"/>
          <w:sz w:val="19"/>
          <w:szCs w:val="19"/>
        </w:rPr>
        <w:t>（2004）14</w:t>
      </w:r>
      <w:r>
        <w:rPr>
          <w:color w:val="000000"/>
          <w:spacing w:val="0"/>
          <w:w w:val="100"/>
          <w:position w:val="0"/>
        </w:rPr>
        <w:t>号］（以下简称《建设工 程施工合同司法解释一》）第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条的规定确认该结算值为</w:t>
      </w:r>
      <w:r>
        <w:rPr>
          <w:rFonts w:ascii="Times New Roman" w:hAnsi="Times New Roman" w:eastAsia="Times New Roman" w:cs="Times New Roman"/>
          <w:color w:val="000000"/>
          <w:spacing w:val="0"/>
          <w:w w:val="100"/>
          <w:position w:val="0"/>
          <w:sz w:val="19"/>
          <w:szCs w:val="19"/>
        </w:rPr>
        <w:t>119,671,471</w:t>
      </w:r>
      <w:r>
        <w:rPr>
          <w:color w:val="000000"/>
          <w:spacing w:val="0"/>
          <w:w w:val="100"/>
          <w:position w:val="0"/>
        </w:rPr>
        <w:t>元，并以此为依 据进行了相应判决。一审判决被沈阳市高级人民法院二审判决以及最高人民法院再审 裁定予以维持。</w:t>
      </w:r>
    </w:p>
    <w:p w14:paraId="066A7350">
      <w:pPr>
        <w:pStyle w:val="11"/>
        <w:keepNext w:val="0"/>
        <w:keepLines w:val="0"/>
        <w:widowControl w:val="0"/>
        <w:shd w:val="clear" w:color="auto" w:fill="auto"/>
        <w:bidi w:val="0"/>
        <w:spacing w:before="0" w:after="80" w:line="240" w:lineRule="auto"/>
        <w:ind w:left="0" w:right="0" w:firstLine="0"/>
        <w:jc w:val="left"/>
      </w:pPr>
      <w:r>
        <w:rPr>
          <w:color w:val="000000"/>
          <w:spacing w:val="0"/>
          <w:w w:val="100"/>
          <w:position w:val="0"/>
          <w:lang w:val="en-US" w:eastAsia="en-US" w:bidi="en-US"/>
        </w:rPr>
        <w:t>■</w:t>
      </w:r>
      <w:r>
        <w:rPr>
          <w:color w:val="000000"/>
          <w:spacing w:val="0"/>
          <w:w w:val="100"/>
          <w:position w:val="0"/>
        </w:rPr>
        <w:t>判决要旨</w:t>
      </w:r>
    </w:p>
    <w:p w14:paraId="77FACC55">
      <w:pPr>
        <w:pStyle w:val="17"/>
        <w:keepNext w:val="0"/>
        <w:keepLines w:val="0"/>
        <w:widowControl w:val="0"/>
        <w:shd w:val="clear" w:color="auto" w:fill="auto"/>
        <w:bidi w:val="0"/>
        <w:spacing w:before="0" w:after="360" w:line="350" w:lineRule="exact"/>
        <w:ind w:left="0" w:right="0" w:firstLine="420"/>
        <w:jc w:val="both"/>
      </w:pPr>
      <w:r>
        <w:rPr>
          <w:color w:val="000000"/>
          <w:spacing w:val="0"/>
          <w:w w:val="100"/>
          <w:position w:val="0"/>
        </w:rPr>
        <w:t>《建设工程施工合同司法解释一》第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条规定:</w:t>
      </w:r>
      <w:r>
        <w:rPr>
          <w:color w:val="000000"/>
          <w:spacing w:val="0"/>
          <w:w w:val="100"/>
          <w:position w:val="0"/>
          <w:lang w:val="zh-CN" w:eastAsia="zh-CN" w:bidi="zh-CN"/>
        </w:rPr>
        <w:t>“当事</w:t>
      </w:r>
      <w:r>
        <w:rPr>
          <w:color w:val="000000"/>
          <w:spacing w:val="0"/>
          <w:w w:val="100"/>
          <w:position w:val="0"/>
        </w:rPr>
        <w:t>人约定，发包人收到竣工结算文 件后，在约定期限内不予答复，视为认可竣工结算文件的，按照约定处理。承包人请求按照 竣工结算文件结算工程价款的，应予支持。”</w:t>
      </w:r>
    </w:p>
    <w:p w14:paraId="27404D11">
      <w:pPr>
        <w:pStyle w:val="11"/>
        <w:keepNext w:val="0"/>
        <w:keepLines w:val="0"/>
        <w:widowControl w:val="0"/>
        <w:shd w:val="clear" w:color="auto" w:fill="auto"/>
        <w:bidi w:val="0"/>
        <w:spacing w:before="0" w:after="220" w:line="342" w:lineRule="exact"/>
        <w:ind w:left="0" w:right="0" w:firstLine="0"/>
        <w:jc w:val="both"/>
      </w:pPr>
      <w:r>
        <w:rPr>
          <w:color w:val="000000"/>
          <w:spacing w:val="0"/>
          <w:w w:val="100"/>
          <w:position w:val="0"/>
        </w:rPr>
        <w:t>■评析</w:t>
      </w:r>
    </w:p>
    <w:p w14:paraId="7EC5A887">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57ADE464">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本案争议焦点为涉案工程是否已结算以及结算的工程款数额是多少。双方在合同中 约定，汽车城公司审核竣工结算文件的期限为</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天,如汽车城公司在约定</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天期限内不予 答复,视为汽车城公司认可中通公司提交的结算文件资料和工程结算总值。法院查明，中 通公司向汽车城公司提交的结算报告中工程总造价为</w:t>
      </w:r>
      <w:r>
        <w:rPr>
          <w:rFonts w:ascii="Times New Roman" w:hAnsi="Times New Roman" w:eastAsia="Times New Roman" w:cs="Times New Roman"/>
          <w:color w:val="000000"/>
          <w:spacing w:val="0"/>
          <w:w w:val="100"/>
          <w:position w:val="0"/>
          <w:sz w:val="19"/>
          <w:szCs w:val="19"/>
        </w:rPr>
        <w:t>119,271,471</w:t>
      </w:r>
      <w:r>
        <w:rPr>
          <w:color w:val="000000"/>
          <w:spacing w:val="0"/>
          <w:w w:val="100"/>
          <w:position w:val="0"/>
        </w:rPr>
        <w:t>元，汽车城公司未在协 议约定的期限内对该结算提出异议。根据《建设工程施工合同司法解释一》第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条之规 定,应视为发包方认可了承包方提交的结算报告中的工程总造价。本案的判决思路如下： 因发包方在双方约定的审核和异议期间沉默，法院认定发包方认可了承包方出具的结算报 告。本案涉及以沉默的方式作出的意思表示。本案一审虽然审理于《民法典》生效之前，但 对于《民法典》第</w:t>
      </w:r>
      <w:r>
        <w:rPr>
          <w:rFonts w:ascii="Times New Roman" w:hAnsi="Times New Roman" w:eastAsia="Times New Roman" w:cs="Times New Roman"/>
          <w:color w:val="000000"/>
          <w:spacing w:val="0"/>
          <w:w w:val="100"/>
          <w:position w:val="0"/>
          <w:sz w:val="19"/>
          <w:szCs w:val="19"/>
        </w:rPr>
        <w:t>140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款（沉默只有在例外情形才可作为意思表示的方式）的适用，具 有启发意义。</w:t>
      </w:r>
    </w:p>
    <w:p w14:paraId="522F7EAF">
      <w:pPr>
        <w:pStyle w:val="17"/>
        <w:keepNext w:val="0"/>
        <w:keepLines w:val="0"/>
        <w:widowControl w:val="0"/>
        <w:shd w:val="clear" w:color="auto" w:fill="auto"/>
        <w:bidi w:val="0"/>
        <w:spacing w:before="0" w:after="16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沉默只有在例外情形才可作为意思表示方式的规范与学理</w:t>
      </w:r>
    </w:p>
    <w:p w14:paraId="5E51178D">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本案主要涉及沉默方式的意思表示。</w:t>
      </w:r>
    </w:p>
    <w:p w14:paraId="2458F1A2">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意思表示的方式，有明示方式和默示方式（《民法典》第</w:t>
      </w:r>
      <w:r>
        <w:rPr>
          <w:rFonts w:ascii="Times New Roman" w:hAnsi="Times New Roman" w:eastAsia="Times New Roman" w:cs="Times New Roman"/>
          <w:color w:val="000000"/>
          <w:spacing w:val="0"/>
          <w:w w:val="100"/>
          <w:position w:val="0"/>
          <w:sz w:val="19"/>
          <w:szCs w:val="19"/>
        </w:rPr>
        <w:t>140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款），原则上明示和 默示的意思表示效力相同，除非法律明文规定某些意思表示必须采取明示方式（如《涉外民 事法律关系适用法》第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条）。默示不同于沉默。默示是指从行为人的作为中推断出意思 表示，而沉默是单纯的不作为。最高人民法院《关于贯彻执行〈中华人民共和国民法通则〉 若干问题的意见（试行）》［法（办）发</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1988）6</w:t>
      </w:r>
      <w:r>
        <w:rPr>
          <w:color w:val="000000"/>
          <w:spacing w:val="0"/>
          <w:w w:val="100"/>
          <w:position w:val="0"/>
        </w:rPr>
        <w:t>号］（以下简称《民通意见》）第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条曾将</w:t>
      </w:r>
      <w:r>
        <w:rPr>
          <w:color w:val="000000"/>
          <w:spacing w:val="0"/>
          <w:w w:val="100"/>
          <w:position w:val="0"/>
          <w:lang w:val="zh-CN" w:eastAsia="zh-CN" w:bidi="zh-CN"/>
        </w:rPr>
        <w:t xml:space="preserve">“沉 </w:t>
      </w:r>
      <w:r>
        <w:rPr>
          <w:color w:val="000000"/>
          <w:spacing w:val="0"/>
          <w:w w:val="100"/>
          <w:position w:val="0"/>
        </w:rPr>
        <w:t>默</w:t>
      </w:r>
      <w:r>
        <w:rPr>
          <w:color w:val="000000"/>
          <w:spacing w:val="0"/>
          <w:w w:val="100"/>
          <w:position w:val="0"/>
          <w:lang w:val="zh-CN" w:eastAsia="zh-CN" w:bidi="zh-CN"/>
        </w:rPr>
        <w:t>”称为“不</w:t>
      </w:r>
      <w:r>
        <w:rPr>
          <w:color w:val="000000"/>
          <w:spacing w:val="0"/>
          <w:w w:val="100"/>
          <w:position w:val="0"/>
        </w:rPr>
        <w:t>作为的默示</w:t>
      </w:r>
      <w:r>
        <w:rPr>
          <w:color w:val="000000"/>
          <w:spacing w:val="0"/>
          <w:w w:val="100"/>
          <w:position w:val="0"/>
          <w:lang w:val="zh-CN" w:eastAsia="zh-CN" w:bidi="zh-CN"/>
        </w:rPr>
        <w:t>”。但</w:t>
      </w:r>
      <w:r>
        <w:rPr>
          <w:color w:val="000000"/>
          <w:spacing w:val="0"/>
          <w:w w:val="100"/>
          <w:position w:val="0"/>
        </w:rPr>
        <w:t>自原《民法总则》生效后，因该法第</w:t>
      </w:r>
      <w:r>
        <w:rPr>
          <w:rFonts w:ascii="Times New Roman" w:hAnsi="Times New Roman" w:eastAsia="Times New Roman" w:cs="Times New Roman"/>
          <w:color w:val="000000"/>
          <w:spacing w:val="0"/>
          <w:w w:val="100"/>
          <w:position w:val="0"/>
          <w:sz w:val="19"/>
          <w:szCs w:val="19"/>
        </w:rPr>
        <w:t>140</w:t>
      </w:r>
      <w:r>
        <w:rPr>
          <w:color w:val="000000"/>
          <w:spacing w:val="0"/>
          <w:w w:val="100"/>
          <w:position w:val="0"/>
        </w:rPr>
        <w:t>条明确将明示、默示和 沉默进行列举，从而默示和沉默应严格区分开。默示乃是以积极行动表示意思；而沉默乃 消极不作为。沉默只有在例外的情形才可作为意思表示的方式。《民法典》第</w:t>
      </w:r>
      <w:r>
        <w:rPr>
          <w:rFonts w:ascii="Times New Roman" w:hAnsi="Times New Roman" w:eastAsia="Times New Roman" w:cs="Times New Roman"/>
          <w:color w:val="000000"/>
          <w:spacing w:val="0"/>
          <w:w w:val="100"/>
          <w:position w:val="0"/>
          <w:sz w:val="19"/>
          <w:szCs w:val="19"/>
        </w:rPr>
        <w:t>140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款规定:“沉默只有在法律规定、当事人约定或者符合当事人之间的交易习惯时，才可以视 为意思表示</w:t>
      </w:r>
      <w:r>
        <w:rPr>
          <w:color w:val="000000"/>
          <w:spacing w:val="0"/>
          <w:w w:val="100"/>
          <w:position w:val="0"/>
          <w:lang w:val="zh-CN" w:eastAsia="zh-CN" w:bidi="zh-CN"/>
        </w:rPr>
        <w:t>。”该</w:t>
      </w:r>
      <w:r>
        <w:rPr>
          <w:color w:val="000000"/>
          <w:spacing w:val="0"/>
          <w:w w:val="100"/>
          <w:position w:val="0"/>
        </w:rPr>
        <w:t>款明确列举了三种沉默可被视为意思表示的情形:法律规定;当事人约定; 符合当事人之间的交易习惯。</w:t>
      </w:r>
    </w:p>
    <w:p w14:paraId="28DF7780">
      <w:pPr>
        <w:pStyle w:val="17"/>
        <w:keepNext w:val="0"/>
        <w:keepLines w:val="0"/>
        <w:widowControl w:val="0"/>
        <w:shd w:val="clear" w:color="auto" w:fill="auto"/>
        <w:bidi w:val="0"/>
        <w:spacing w:before="0" w:after="0" w:line="350" w:lineRule="exact"/>
        <w:ind w:left="0" w:right="0" w:firstLine="420"/>
        <w:jc w:val="both"/>
      </w:pPr>
      <w:r>
        <w:rPr>
          <w:color w:val="000000"/>
          <w:spacing w:val="0"/>
          <w:w w:val="100"/>
          <w:position w:val="0"/>
        </w:rPr>
        <w:t>法律规定沉默视为意思表示的，例如，《民法典》第</w:t>
      </w:r>
      <w:r>
        <w:rPr>
          <w:rFonts w:ascii="Times New Roman" w:hAnsi="Times New Roman" w:eastAsia="Times New Roman" w:cs="Times New Roman"/>
          <w:color w:val="000000"/>
          <w:spacing w:val="0"/>
          <w:w w:val="100"/>
          <w:position w:val="0"/>
          <w:sz w:val="19"/>
          <w:szCs w:val="19"/>
        </w:rPr>
        <w:t>638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款后半句试用买卖中</w:t>
      </w:r>
      <w:r>
        <w:rPr>
          <w:color w:val="000000"/>
          <w:spacing w:val="0"/>
          <w:w w:val="100"/>
          <w:position w:val="0"/>
          <w:lang w:val="zh-CN" w:eastAsia="zh-CN" w:bidi="zh-CN"/>
        </w:rPr>
        <w:t xml:space="preserve">“试 </w:t>
      </w:r>
      <w:r>
        <w:rPr>
          <w:color w:val="000000"/>
          <w:spacing w:val="0"/>
          <w:w w:val="100"/>
          <w:position w:val="0"/>
        </w:rPr>
        <w:t>用期间届满，买受人对是否购买标的物未作表示的,视为购买”。此处须区分沉默作为意思 表示与拟制的表示。沉默作为意思表示的情形，当事人确实作出了意思表示，从而意思表 示效力瑕疵（如因欺诈、胁迫等事由）规则可予以适用;而拟制的表示情形，法律径直认定某 种法律效果的发生，该种法律效果的发生并非意思表示所致，从而意思表示效力瑕疵（如因 欺诈、胁迫等事由）规则不得适用［陈甦主编:《民法总则评注》（下册），法律出版社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9"/>
          <w:szCs w:val="19"/>
        </w:rPr>
        <w:t>1006</w:t>
      </w:r>
      <w:r>
        <w:rPr>
          <w:color w:val="000000"/>
          <w:spacing w:val="0"/>
          <w:w w:val="100"/>
          <w:position w:val="0"/>
        </w:rPr>
        <w:t>页;杜景林：《民商事往来中沉默的法律责任》，载《法学》</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期］。例如，《民法典》 第</w:t>
      </w:r>
      <w:r>
        <w:rPr>
          <w:rFonts w:ascii="Times New Roman" w:hAnsi="Times New Roman" w:eastAsia="Times New Roman" w:cs="Times New Roman"/>
          <w:color w:val="000000"/>
          <w:spacing w:val="0"/>
          <w:w w:val="100"/>
          <w:position w:val="0"/>
          <w:sz w:val="19"/>
          <w:szCs w:val="19"/>
        </w:rPr>
        <w:t>145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款中句限制行为能力人实施法律行为场合被催告的</w:t>
      </w:r>
      <w:r>
        <w:rPr>
          <w:color w:val="000000"/>
          <w:spacing w:val="0"/>
          <w:w w:val="100"/>
          <w:position w:val="0"/>
          <w:lang w:val="zh-CN" w:eastAsia="zh-CN" w:bidi="zh-CN"/>
        </w:rPr>
        <w:t>“法定</w:t>
      </w:r>
      <w:r>
        <w:rPr>
          <w:color w:val="000000"/>
          <w:spacing w:val="0"/>
          <w:w w:val="100"/>
          <w:position w:val="0"/>
        </w:rPr>
        <w:t>代理人未作表示的， 视为拒绝追认</w:t>
      </w:r>
      <w:r>
        <w:rPr>
          <w:color w:val="000000"/>
          <w:spacing w:val="0"/>
          <w:w w:val="100"/>
          <w:position w:val="0"/>
          <w:lang w:val="zh-CN" w:eastAsia="zh-CN" w:bidi="zh-CN"/>
        </w:rPr>
        <w:t>”，以</w:t>
      </w:r>
      <w:r>
        <w:rPr>
          <w:color w:val="000000"/>
          <w:spacing w:val="0"/>
          <w:w w:val="100"/>
          <w:position w:val="0"/>
        </w:rPr>
        <w:t>及《民法典》第</w:t>
      </w:r>
      <w:r>
        <w:rPr>
          <w:rFonts w:ascii="Times New Roman" w:hAnsi="Times New Roman" w:eastAsia="Times New Roman" w:cs="Times New Roman"/>
          <w:color w:val="000000"/>
          <w:spacing w:val="0"/>
          <w:w w:val="100"/>
          <w:position w:val="0"/>
          <w:sz w:val="19"/>
          <w:szCs w:val="19"/>
        </w:rPr>
        <w:t>171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款中句无权代理场合被催告的“被代理人未作 表示的，视为拒绝追认”，此两句中的</w:t>
      </w:r>
      <w:r>
        <w:rPr>
          <w:color w:val="000000"/>
          <w:spacing w:val="0"/>
          <w:w w:val="100"/>
          <w:position w:val="0"/>
          <w:lang w:val="zh-CN" w:eastAsia="zh-CN" w:bidi="zh-CN"/>
        </w:rPr>
        <w:t>“未作</w:t>
      </w:r>
      <w:r>
        <w:rPr>
          <w:color w:val="000000"/>
          <w:spacing w:val="0"/>
          <w:w w:val="100"/>
          <w:position w:val="0"/>
        </w:rPr>
        <w:t>表示的，视为拒绝追认</w:t>
      </w:r>
      <w:r>
        <w:rPr>
          <w:color w:val="000000"/>
          <w:spacing w:val="0"/>
          <w:w w:val="100"/>
          <w:position w:val="0"/>
          <w:lang w:val="zh-CN" w:eastAsia="zh-CN" w:bidi="zh-CN"/>
        </w:rPr>
        <w:t>”，并</w:t>
      </w:r>
      <w:r>
        <w:rPr>
          <w:color w:val="000000"/>
          <w:spacing w:val="0"/>
          <w:w w:val="100"/>
          <w:position w:val="0"/>
        </w:rPr>
        <w:t>非沉默作为意思表 示，而是属于拟制（不同观点参见杨代雄:《意思表示理论中的沉默与拟制》，载《比较法研究》</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 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期）。杨代雄教授认为,这两条中的</w:t>
      </w:r>
      <w:r>
        <w:rPr>
          <w:color w:val="000000"/>
          <w:spacing w:val="0"/>
          <w:w w:val="100"/>
          <w:position w:val="0"/>
          <w:lang w:val="zh-CN" w:eastAsia="zh-CN" w:bidi="zh-CN"/>
        </w:rPr>
        <w:t>“未</w:t>
      </w:r>
      <w:r>
        <w:rPr>
          <w:color w:val="000000"/>
          <w:spacing w:val="0"/>
          <w:w w:val="100"/>
          <w:position w:val="0"/>
        </w:rPr>
        <w:t>作表示”其实是既未追认也未拒绝追认,也就是 压根未作出任何表示，从而法律行为是因</w:t>
      </w:r>
      <w:r>
        <w:rPr>
          <w:color w:val="000000"/>
          <w:spacing w:val="0"/>
          <w:w w:val="100"/>
          <w:position w:val="0"/>
          <w:lang w:val="zh-CN" w:eastAsia="zh-CN" w:bidi="zh-CN"/>
        </w:rPr>
        <w:t>“未</w:t>
      </w:r>
      <w:r>
        <w:rPr>
          <w:color w:val="000000"/>
          <w:spacing w:val="0"/>
          <w:w w:val="100"/>
          <w:position w:val="0"/>
        </w:rPr>
        <w:t>被追认</w:t>
      </w:r>
      <w:r>
        <w:rPr>
          <w:color w:val="000000"/>
          <w:spacing w:val="0"/>
          <w:w w:val="100"/>
          <w:position w:val="0"/>
          <w:lang w:val="zh-CN" w:eastAsia="zh-CN" w:bidi="zh-CN"/>
        </w:rPr>
        <w:t>”而不</w:t>
      </w:r>
      <w:r>
        <w:rPr>
          <w:color w:val="000000"/>
          <w:spacing w:val="0"/>
          <w:w w:val="100"/>
          <w:position w:val="0"/>
        </w:rPr>
        <w:t>生效力（以及追认权因除斥期间 经过而消灭），而非是因</w:t>
      </w:r>
      <w:r>
        <w:rPr>
          <w:color w:val="000000"/>
          <w:spacing w:val="0"/>
          <w:w w:val="100"/>
          <w:position w:val="0"/>
          <w:lang w:val="zh-CN" w:eastAsia="zh-CN" w:bidi="zh-CN"/>
        </w:rPr>
        <w:t>“被拒</w:t>
      </w:r>
      <w:r>
        <w:rPr>
          <w:color w:val="000000"/>
          <w:spacing w:val="0"/>
          <w:w w:val="100"/>
          <w:position w:val="0"/>
        </w:rPr>
        <w:t>绝追认</w:t>
      </w:r>
      <w:r>
        <w:rPr>
          <w:color w:val="000000"/>
          <w:spacing w:val="0"/>
          <w:w w:val="100"/>
          <w:position w:val="0"/>
          <w:lang w:val="zh-CN" w:eastAsia="zh-CN" w:bidi="zh-CN"/>
        </w:rPr>
        <w:t>”归</w:t>
      </w:r>
      <w:r>
        <w:rPr>
          <w:color w:val="000000"/>
          <w:spacing w:val="0"/>
          <w:w w:val="100"/>
          <w:position w:val="0"/>
        </w:rPr>
        <w:t>于终局的无效。但压根未作出任何表示和拒绝追 认表示之间有一重大区别，即嗣后法定代理人或无权代理中的被代理人是否有权再行追 认。如将</w:t>
      </w:r>
      <w:r>
        <w:rPr>
          <w:color w:val="000000"/>
          <w:spacing w:val="0"/>
          <w:w w:val="100"/>
          <w:position w:val="0"/>
          <w:lang w:val="zh-CN" w:eastAsia="zh-CN" w:bidi="zh-CN"/>
        </w:rPr>
        <w:t>“未</w:t>
      </w:r>
      <w:r>
        <w:rPr>
          <w:color w:val="000000"/>
          <w:spacing w:val="0"/>
          <w:w w:val="100"/>
          <w:position w:val="0"/>
        </w:rPr>
        <w:t>作表示</w:t>
      </w:r>
      <w:r>
        <w:rPr>
          <w:color w:val="000000"/>
          <w:spacing w:val="0"/>
          <w:w w:val="100"/>
          <w:position w:val="0"/>
          <w:lang w:val="zh-CN" w:eastAsia="zh-CN" w:bidi="zh-CN"/>
        </w:rPr>
        <w:t>”视为</w:t>
      </w:r>
      <w:r>
        <w:rPr>
          <w:color w:val="000000"/>
          <w:spacing w:val="0"/>
          <w:w w:val="100"/>
          <w:position w:val="0"/>
        </w:rPr>
        <w:t>压根未作出任何表示，则再行追认还属于可能（从而如欲否认追 认权则需另行嫁接除斥期间的效果，此构造过于繁复）；如将</w:t>
      </w:r>
      <w:r>
        <w:rPr>
          <w:color w:val="000000"/>
          <w:spacing w:val="0"/>
          <w:w w:val="100"/>
          <w:position w:val="0"/>
          <w:lang w:val="zh-CN" w:eastAsia="zh-CN" w:bidi="zh-CN"/>
        </w:rPr>
        <w:t>“未</w:t>
      </w:r>
      <w:r>
        <w:rPr>
          <w:color w:val="000000"/>
          <w:spacing w:val="0"/>
          <w:w w:val="100"/>
          <w:position w:val="0"/>
        </w:rPr>
        <w:t>作表示</w:t>
      </w:r>
      <w:r>
        <w:rPr>
          <w:color w:val="000000"/>
          <w:spacing w:val="0"/>
          <w:w w:val="100"/>
          <w:position w:val="0"/>
          <w:lang w:val="zh-CN" w:eastAsia="zh-CN" w:bidi="zh-CN"/>
        </w:rPr>
        <w:t>”视为</w:t>
      </w:r>
      <w:r>
        <w:rPr>
          <w:color w:val="000000"/>
          <w:spacing w:val="0"/>
          <w:w w:val="100"/>
          <w:position w:val="0"/>
        </w:rPr>
        <w:t>作出拒绝追认 的表示，则再行追认的可能便被排除。从追求法律行为效力确定性和保护相对人信赖的角 度看，这两条中的</w:t>
      </w:r>
      <w:r>
        <w:rPr>
          <w:color w:val="000000"/>
          <w:spacing w:val="0"/>
          <w:w w:val="100"/>
          <w:position w:val="0"/>
          <w:lang w:val="zh-CN" w:eastAsia="zh-CN" w:bidi="zh-CN"/>
        </w:rPr>
        <w:t>“未</w:t>
      </w:r>
      <w:r>
        <w:rPr>
          <w:color w:val="000000"/>
          <w:spacing w:val="0"/>
          <w:w w:val="100"/>
          <w:position w:val="0"/>
        </w:rPr>
        <w:t>作表示</w:t>
      </w:r>
      <w:r>
        <w:rPr>
          <w:color w:val="000000"/>
          <w:spacing w:val="0"/>
          <w:w w:val="100"/>
          <w:position w:val="0"/>
          <w:lang w:val="zh-CN" w:eastAsia="zh-CN" w:bidi="zh-CN"/>
        </w:rPr>
        <w:t>”应</w:t>
      </w:r>
      <w:r>
        <w:rPr>
          <w:color w:val="000000"/>
          <w:spacing w:val="0"/>
          <w:w w:val="100"/>
          <w:position w:val="0"/>
        </w:rPr>
        <w:t>被解释为法律拟制了</w:t>
      </w:r>
      <w:r>
        <w:rPr>
          <w:color w:val="000000"/>
          <w:spacing w:val="0"/>
          <w:w w:val="100"/>
          <w:position w:val="0"/>
          <w:lang w:val="zh-CN" w:eastAsia="zh-CN" w:bidi="zh-CN"/>
        </w:rPr>
        <w:t>“拒</w:t>
      </w:r>
      <w:r>
        <w:rPr>
          <w:color w:val="000000"/>
          <w:spacing w:val="0"/>
          <w:w w:val="100"/>
          <w:position w:val="0"/>
        </w:rPr>
        <w:t>绝追认</w:t>
      </w:r>
      <w:r>
        <w:rPr>
          <w:color w:val="000000"/>
          <w:spacing w:val="0"/>
          <w:w w:val="100"/>
          <w:position w:val="0"/>
          <w:lang w:val="zh-CN" w:eastAsia="zh-CN" w:bidi="zh-CN"/>
        </w:rPr>
        <w:t>”的法</w:t>
      </w:r>
      <w:r>
        <w:rPr>
          <w:color w:val="000000"/>
          <w:spacing w:val="0"/>
          <w:w w:val="100"/>
          <w:position w:val="0"/>
        </w:rPr>
        <w:t>效果。此种解释，无 论从法条文义还是规范意旨看，均属妥当。</w:t>
      </w:r>
    </w:p>
    <w:p w14:paraId="0C9C06A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当事人约定沉默可被视为意思表示的，即当事人间共同约定（而非单方指定）将沉默视 为意思表示,此乃当事人运用其私法自治，自然应允许之。实务中典型的案件如上文案例。 本案中双方在工程施工合同中约定，发包人在收到承包人制作的结算报告后</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天内不提出 异议的，视为认可该报告。而发包人无证据证明其在</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天内提出了异议，从而法院判定以 该结算报告为依据计算工程款。本案中发包人的沉默被视为同意，该同意虽然表面上指向 的是对事实的认可,但实际上类似于当事人约定和解协议的意思表示，本案中发包人的同 意会导致工程款债务数额的确定,从而也属于意思表示。《建设工程施工合同司法解释一》 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条规定:</w:t>
      </w:r>
      <w:r>
        <w:rPr>
          <w:color w:val="000000"/>
          <w:spacing w:val="0"/>
          <w:w w:val="100"/>
          <w:position w:val="0"/>
          <w:lang w:val="zh-CN" w:eastAsia="zh-CN" w:bidi="zh-CN"/>
        </w:rPr>
        <w:t>“当事</w:t>
      </w:r>
      <w:r>
        <w:rPr>
          <w:color w:val="000000"/>
          <w:spacing w:val="0"/>
          <w:w w:val="100"/>
          <w:position w:val="0"/>
        </w:rPr>
        <w:t>人约定，发包人收到竣工结算文件后，在约定期限内不予答复,视为认 可竣工结算文件的，按照约定处理。承包人请求按照竣工结算文件结算工程价款的,应予 支持</w:t>
      </w:r>
      <w:r>
        <w:rPr>
          <w:color w:val="000000"/>
          <w:spacing w:val="0"/>
          <w:w w:val="100"/>
          <w:position w:val="0"/>
          <w:lang w:val="zh-CN" w:eastAsia="zh-CN" w:bidi="zh-CN"/>
        </w:rPr>
        <w:t>。”另</w:t>
      </w:r>
      <w:r>
        <w:rPr>
          <w:color w:val="000000"/>
          <w:spacing w:val="0"/>
          <w:w w:val="100"/>
          <w:position w:val="0"/>
        </w:rPr>
        <w:t>须注意的是，目前最新版的《建工合同示范文本</w:t>
      </w:r>
      <w:r>
        <w:rPr>
          <w:rFonts w:ascii="Times New Roman" w:hAnsi="Times New Roman" w:eastAsia="Times New Roman" w:cs="Times New Roman"/>
          <w:color w:val="000000"/>
          <w:spacing w:val="0"/>
          <w:w w:val="100"/>
          <w:position w:val="0"/>
          <w:sz w:val="19"/>
          <w:szCs w:val="19"/>
          <w:lang w:val="en-US" w:eastAsia="en-US" w:bidi="en-US"/>
        </w:rPr>
        <w:t>XGF-</w:t>
      </w:r>
      <w:r>
        <w:rPr>
          <w:rFonts w:ascii="Times New Roman" w:hAnsi="Times New Roman" w:eastAsia="Times New Roman" w:cs="Times New Roman"/>
          <w:color w:val="000000"/>
          <w:spacing w:val="0"/>
          <w:w w:val="100"/>
          <w:position w:val="0"/>
          <w:sz w:val="19"/>
          <w:szCs w:val="19"/>
        </w:rPr>
        <w:t xml:space="preserve">2017 </w:t>
      </w:r>
      <w:r>
        <w:rPr>
          <w:rFonts w:ascii="Times New Roman" w:hAnsi="Times New Roman" w:eastAsia="Times New Roman" w:cs="Times New Roman"/>
          <w:color w:val="000000"/>
          <w:spacing w:val="0"/>
          <w:w w:val="100"/>
          <w:position w:val="0"/>
          <w:sz w:val="19"/>
          <w:szCs w:val="19"/>
          <w:lang w:val="en-US" w:eastAsia="en-US" w:bidi="en-US"/>
        </w:rPr>
        <w:t>-0201）</w:t>
      </w:r>
      <w:r>
        <w:rPr>
          <w:color w:val="000000"/>
          <w:spacing w:val="0"/>
          <w:w w:val="100"/>
          <w:position w:val="0"/>
        </w:rPr>
        <w:t>也采“沉默视 为同意”。其第</w:t>
      </w:r>
      <w:r>
        <w:rPr>
          <w:rFonts w:ascii="Times New Roman" w:hAnsi="Times New Roman" w:eastAsia="Times New Roman" w:cs="Times New Roman"/>
          <w:color w:val="000000"/>
          <w:spacing w:val="0"/>
          <w:w w:val="100"/>
          <w:position w:val="0"/>
          <w:sz w:val="19"/>
          <w:szCs w:val="19"/>
          <w:lang w:val="en-US" w:eastAsia="en-US" w:bidi="en-US"/>
        </w:rPr>
        <w:t>14.2（1）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款规定:“发包人在收到承包人提交竣工结算申请书后</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天 内未完成审批且未提出异议的，视为发包人认可承包人提交的竣工结算申请单，并自发包 人收到承包人提交的竣工结算申请单后第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天起视为已签发竣工付款证书。”</w:t>
      </w:r>
    </w:p>
    <w:p w14:paraId="07046A9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符合当事人之间的交易习惯的，沉默也可作为意思表示的方式。需注意的是,《民法 典》第</w:t>
      </w:r>
      <w:r>
        <w:rPr>
          <w:rFonts w:ascii="Times New Roman" w:hAnsi="Times New Roman" w:eastAsia="Times New Roman" w:cs="Times New Roman"/>
          <w:color w:val="000000"/>
          <w:spacing w:val="0"/>
          <w:w w:val="100"/>
          <w:position w:val="0"/>
          <w:sz w:val="19"/>
          <w:szCs w:val="19"/>
        </w:rPr>
        <w:t>140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款规定的是符合</w:t>
      </w:r>
      <w:r>
        <w:rPr>
          <w:color w:val="000000"/>
          <w:spacing w:val="0"/>
          <w:w w:val="100"/>
          <w:position w:val="0"/>
          <w:lang w:val="zh-CN" w:eastAsia="zh-CN" w:bidi="zh-CN"/>
        </w:rPr>
        <w:t>“当事</w:t>
      </w:r>
      <w:r>
        <w:rPr>
          <w:color w:val="000000"/>
          <w:spacing w:val="0"/>
          <w:w w:val="100"/>
          <w:position w:val="0"/>
        </w:rPr>
        <w:t>人之间的”交易习惯，而非一般的习惯或行业惯例。 最高人民法院《关于适用〈中华人民共和国合同法〉若干问题的解释（二）》［法释</w:t>
      </w:r>
      <w:r>
        <w:rPr>
          <w:rFonts w:ascii="Times New Roman" w:hAnsi="Times New Roman" w:eastAsia="Times New Roman" w:cs="Times New Roman"/>
          <w:color w:val="000000"/>
          <w:spacing w:val="0"/>
          <w:w w:val="100"/>
          <w:position w:val="0"/>
          <w:sz w:val="19"/>
          <w:szCs w:val="19"/>
        </w:rPr>
        <w:t xml:space="preserve">（2009）5 </w:t>
      </w:r>
      <w:r>
        <w:rPr>
          <w:color w:val="000000"/>
          <w:spacing w:val="0"/>
          <w:w w:val="100"/>
          <w:position w:val="0"/>
        </w:rPr>
        <w:t>号］（以下简称《合同法司法解释二》）第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款规定:“下列情形，不违反法律、行政法规 强制性规定的，人民法院可以认定为合同法所称'交易习惯</w:t>
      </w:r>
      <w:r>
        <w:rPr>
          <w:color w:val="000000"/>
          <w:spacing w:val="0"/>
          <w:w w:val="100"/>
          <w:position w:val="0"/>
          <w:lang w:val="en-US" w:eastAsia="en-US" w:bidi="en-US"/>
        </w:rPr>
        <w:t>’：（</w:t>
      </w:r>
      <w:r>
        <w:rPr>
          <w:color w:val="000000"/>
          <w:spacing w:val="0"/>
          <w:w w:val="100"/>
          <w:position w:val="0"/>
        </w:rPr>
        <w:t>一）在交易行为当地或者某 一领域、某一行业通常采用并为交易对方订立合同时所知道或者应当知道的做法；（二）当 事人双方经常使用的习惯做法。”该条区分了当事人之间的交易习惯和行业（或地区）习惯。 换言之，仅仅符合行业惯例或地区习惯，而非符合当事人之间形成的交易习惯的，按照本条 文义，并不能导致沉默被视为意思表示［支持严格按照文义解释此规定者，参见李宇:《民法总则要 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473</w:t>
      </w:r>
      <w:r>
        <w:rPr>
          <w:color w:val="000000"/>
          <w:spacing w:val="0"/>
          <w:w w:val="100"/>
          <w:position w:val="0"/>
        </w:rPr>
        <w:t>页；似乎支持扩大解释从而支持包括地区或行 业习惯的观点，参见陈甦主编:《民法总则评注》（下册），法律出版社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1005</w:t>
      </w:r>
      <w:r>
        <w:rPr>
          <w:color w:val="000000"/>
          <w:spacing w:val="0"/>
          <w:w w:val="100"/>
          <w:position w:val="0"/>
        </w:rPr>
        <w:t>页；杨代雄:《意 思表示理论中的沉默与拟制》，载《比较法研究》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4DAB37F">
      <w:pPr>
        <w:pStyle w:val="17"/>
        <w:keepNext w:val="0"/>
        <w:keepLines w:val="0"/>
        <w:widowControl w:val="0"/>
        <w:shd w:val="clear" w:color="auto" w:fill="auto"/>
        <w:bidi w:val="0"/>
        <w:spacing w:before="0" w:after="300" w:line="329" w:lineRule="exact"/>
        <w:ind w:left="0" w:right="0"/>
        <w:jc w:val="both"/>
      </w:pPr>
      <w:r>
        <w:rPr>
          <w:color w:val="000000"/>
          <w:spacing w:val="0"/>
          <w:w w:val="100"/>
          <w:position w:val="0"/>
        </w:rPr>
        <w:t>另外，除了《民法典》第</w:t>
      </w:r>
      <w:r>
        <w:rPr>
          <w:rFonts w:ascii="Times New Roman" w:hAnsi="Times New Roman" w:eastAsia="Times New Roman" w:cs="Times New Roman"/>
          <w:color w:val="000000"/>
          <w:spacing w:val="0"/>
          <w:w w:val="100"/>
          <w:position w:val="0"/>
          <w:sz w:val="17"/>
          <w:szCs w:val="17"/>
        </w:rPr>
        <w:t>140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款明确列举的三种情形外，是否可在个案中基于诚 实信用原则而导致沉默视为意思表示,学界存有争议［支持的观点参见陈甦主编:《民法总则评 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1005</w:t>
      </w:r>
      <w:r>
        <w:rPr>
          <w:color w:val="000000"/>
          <w:spacing w:val="0"/>
          <w:w w:val="100"/>
          <w:position w:val="0"/>
        </w:rPr>
        <w:t>页；杨代雄:《意思表示理论中的沉默与拟制》，载《比较法研 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期；反对的观点参见李宇：《民法总则要义：规范释论与判解集注》，法律出版社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474</w:t>
      </w:r>
      <w:r>
        <w:rPr>
          <w:color w:val="000000"/>
          <w:spacing w:val="0"/>
          <w:w w:val="100"/>
          <w:position w:val="0"/>
        </w:rPr>
        <w:t>页］。</w:t>
      </w:r>
    </w:p>
    <w:p w14:paraId="1985A42F">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目前司法实践状况及将来的课题</w:t>
      </w:r>
    </w:p>
    <w:p w14:paraId="3BADC3B5">
      <w:pPr>
        <w:pStyle w:val="17"/>
        <w:keepNext w:val="0"/>
        <w:keepLines w:val="0"/>
        <w:widowControl w:val="0"/>
        <w:shd w:val="clear" w:color="auto" w:fill="auto"/>
        <w:bidi w:val="0"/>
        <w:spacing w:before="0" w:after="360" w:line="341" w:lineRule="exact"/>
        <w:ind w:left="0" w:right="0"/>
        <w:jc w:val="both"/>
      </w:pPr>
      <w:r>
        <w:rPr>
          <w:color w:val="000000"/>
          <w:spacing w:val="0"/>
          <w:w w:val="100"/>
          <w:position w:val="0"/>
        </w:rPr>
        <w:t>对于沉默是否可以作为意思表示的方式，在原《民法总则》通过之前，司法实践多引用 《民通意见》第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 xml:space="preserve">条之规定，认为只有在法律规定或当事人约定的情况下，沉默才可被视为 意思表示。且在大多数案件中，法院以此为理由否认存在意思表示［例如，最高人民法院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3085</w:t>
      </w:r>
      <w:r>
        <w:rPr>
          <w:color w:val="000000"/>
          <w:spacing w:val="0"/>
          <w:w w:val="100"/>
          <w:position w:val="0"/>
        </w:rPr>
        <w:t>号民事判决书；最高人民法院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105</w:t>
      </w:r>
      <w:r>
        <w:rPr>
          <w:color w:val="000000"/>
          <w:spacing w:val="0"/>
          <w:w w:val="100"/>
          <w:position w:val="0"/>
        </w:rPr>
        <w:t>号民事判决书］。司法 实践对于沉默是否构成意思表示,持相当谨慎的态度。在建设工程合同价款结算这一点 上，因《建设工程施工合同司法解释一》第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条之规定，在当事人间存在相关约定的情况 下，发包方在约定期间内不提出异议，被视为同意结算书内容。而在当事人之间不存在相 关约定时，即便发包方在特定期间内不提出异议，法院也会否认发包方同意了结算书的内 容［如河南省高级人民法院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豫民再</w:t>
      </w:r>
      <w:r>
        <w:rPr>
          <w:rFonts w:ascii="Times New Roman" w:hAnsi="Times New Roman" w:eastAsia="Times New Roman" w:cs="Times New Roman"/>
          <w:color w:val="000000"/>
          <w:spacing w:val="0"/>
          <w:w w:val="100"/>
          <w:position w:val="0"/>
          <w:sz w:val="17"/>
          <w:szCs w:val="17"/>
        </w:rPr>
        <w:t>347</w:t>
      </w:r>
      <w:r>
        <w:rPr>
          <w:color w:val="000000"/>
          <w:spacing w:val="0"/>
          <w:w w:val="100"/>
          <w:position w:val="0"/>
        </w:rPr>
        <w:t>号民事判决书；最高人民法院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4944</w:t>
      </w:r>
      <w:r>
        <w:rPr>
          <w:color w:val="000000"/>
          <w:spacing w:val="0"/>
          <w:w w:val="100"/>
          <w:position w:val="0"/>
        </w:rPr>
        <w:t>号 民事裁定书］。此种判决思路数年来已比较固定。唯可注意的是，关于权利放弃，司法实践中 常以沉默原则上不得作为意思表示为由,径直要求放弃权利须</w:t>
      </w:r>
      <w:r>
        <w:rPr>
          <w:color w:val="000000"/>
          <w:spacing w:val="0"/>
          <w:w w:val="100"/>
          <w:position w:val="0"/>
          <w:lang w:val="zh-CN" w:eastAsia="zh-CN" w:bidi="zh-CN"/>
        </w:rPr>
        <w:t>“明示”的意</w:t>
      </w:r>
      <w:r>
        <w:rPr>
          <w:color w:val="000000"/>
          <w:spacing w:val="0"/>
          <w:w w:val="100"/>
          <w:position w:val="0"/>
        </w:rPr>
        <w:t>思表示［如广东省 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粤民再</w:t>
      </w:r>
      <w:r>
        <w:rPr>
          <w:rFonts w:ascii="Times New Roman" w:hAnsi="Times New Roman" w:eastAsia="Times New Roman" w:cs="Times New Roman"/>
          <w:color w:val="000000"/>
          <w:spacing w:val="0"/>
          <w:w w:val="100"/>
          <w:position w:val="0"/>
          <w:sz w:val="17"/>
          <w:szCs w:val="17"/>
        </w:rPr>
        <w:t>251</w:t>
      </w:r>
      <w:r>
        <w:rPr>
          <w:color w:val="000000"/>
          <w:spacing w:val="0"/>
          <w:w w:val="100"/>
          <w:position w:val="0"/>
        </w:rPr>
        <w:t>号民事判决书］。可以提出的问题是，以积极行动的作为方式默 示放弃权利，有何不可？此外，在有限检索司法判决的过程中，尚未发现沉默因存在当事人 之间的交易习惯而被认定为意思表示的案例,另有待未来观察的是，除了《民法典》第</w:t>
      </w:r>
      <w:r>
        <w:rPr>
          <w:rFonts w:ascii="Times New Roman" w:hAnsi="Times New Roman" w:eastAsia="Times New Roman" w:cs="Times New Roman"/>
          <w:color w:val="000000"/>
          <w:spacing w:val="0"/>
          <w:w w:val="100"/>
          <w:position w:val="0"/>
          <w:sz w:val="17"/>
          <w:szCs w:val="17"/>
        </w:rPr>
        <w:t xml:space="preserve">140 </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款明文规定的三种情形外,沉默是否可因存在地区或行业交易习惯或因个案中诚信 原则的适用而被认定为意思表示。</w:t>
      </w:r>
    </w:p>
    <w:p w14:paraId="3AC6B934">
      <w:pPr>
        <w:pStyle w:val="11"/>
        <w:keepNext w:val="0"/>
        <w:keepLines w:val="0"/>
        <w:widowControl w:val="0"/>
        <w:shd w:val="clear" w:color="auto" w:fill="auto"/>
        <w:bidi w:val="0"/>
        <w:spacing w:before="0" w:after="180" w:line="341" w:lineRule="exact"/>
        <w:ind w:left="0" w:right="0" w:firstLine="0"/>
        <w:jc w:val="both"/>
      </w:pPr>
      <w:r>
        <w:rPr>
          <w:color w:val="000000"/>
          <w:spacing w:val="0"/>
          <w:w w:val="100"/>
          <w:position w:val="0"/>
        </w:rPr>
        <w:t>回参考文献</w:t>
      </w:r>
    </w:p>
    <w:p w14:paraId="0B15FA9D">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1CDDAAD">
      <w:pPr>
        <w:pStyle w:val="17"/>
        <w:keepNext w:val="0"/>
        <w:keepLines w:val="0"/>
        <w:widowControl w:val="0"/>
        <w:shd w:val="clear" w:color="auto" w:fill="auto"/>
        <w:bidi w:val="0"/>
        <w:spacing w:before="0" w:after="0" w:line="319" w:lineRule="exact"/>
        <w:ind w:left="0" w:right="0" w:firstLine="0"/>
        <w:jc w:val="both"/>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3BD6A380">
      <w:pPr>
        <w:pStyle w:val="17"/>
        <w:keepNext w:val="0"/>
        <w:keepLines w:val="0"/>
        <w:widowControl w:val="0"/>
        <w:shd w:val="clear" w:color="auto" w:fill="auto"/>
        <w:bidi w:val="0"/>
        <w:spacing w:before="0" w:after="0" w:line="319" w:lineRule="exact"/>
        <w:ind w:left="0" w:right="0" w:firstLine="0"/>
        <w:jc w:val="both"/>
      </w:pPr>
      <w:r>
        <w:rPr>
          <w:color w:val="000000"/>
          <w:spacing w:val="0"/>
          <w:w w:val="100"/>
          <w:position w:val="0"/>
        </w:rPr>
        <w:t>杨代雄:《意思表示理论中的沉默与拟制》，载《比较法研究》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719ABBB2">
      <w:pPr>
        <w:pStyle w:val="17"/>
        <w:keepNext w:val="0"/>
        <w:keepLines w:val="0"/>
        <w:widowControl w:val="0"/>
        <w:shd w:val="clear" w:color="auto" w:fill="auto"/>
        <w:bidi w:val="0"/>
        <w:spacing w:before="0" w:after="0" w:line="319" w:lineRule="exact"/>
        <w:ind w:left="0" w:right="0" w:firstLine="0"/>
        <w:jc w:val="both"/>
      </w:pPr>
      <w:r>
        <w:rPr>
          <w:color w:val="000000"/>
          <w:spacing w:val="0"/>
          <w:w w:val="100"/>
          <w:position w:val="0"/>
        </w:rPr>
        <w:t>杜景林:《民商事往来中沉默的法律责任》，载《法学》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86FF1A8">
      <w:pPr>
        <w:pStyle w:val="17"/>
        <w:keepNext w:val="0"/>
        <w:keepLines w:val="0"/>
        <w:widowControl w:val="0"/>
        <w:shd w:val="clear" w:color="auto" w:fill="auto"/>
        <w:bidi w:val="0"/>
        <w:spacing w:before="0" w:after="240" w:line="319" w:lineRule="exact"/>
        <w:ind w:left="200" w:right="0" w:hanging="200"/>
        <w:jc w:val="both"/>
        <w:sectPr>
          <w:headerReference r:id="rId112" w:type="default"/>
          <w:headerReference r:id="rId113" w:type="even"/>
          <w:footnotePr>
            <w:numFmt w:val="chicago"/>
          </w:footnotePr>
          <w:pgSz w:w="10099" w:h="14782"/>
          <w:pgMar w:top="1292" w:right="1016" w:bottom="1106" w:left="1080" w:header="0" w:footer="3" w:gutter="0"/>
          <w:pgNumType w:start="73"/>
          <w:cols w:space="720" w:num="1"/>
          <w:rtlGutter w:val="0"/>
          <w:docGrid w:linePitch="360" w:charSpace="0"/>
        </w:sectPr>
      </w:pPr>
      <w:r>
        <w:rPr>
          <w:color w:val="000000"/>
          <w:spacing w:val="0"/>
          <w:w w:val="100"/>
          <w:position w:val="0"/>
        </w:rPr>
        <w:t>［德］扬-冯-海因、［德］莉迪亚-贝伊:《要约通知与单纯沉默》，王蒙译，载《华东政法八学学报》</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A233E88">
      <w:pPr>
        <w:widowControl w:val="0"/>
        <w:spacing w:line="1" w:lineRule="exact"/>
      </w:pPr>
      <w:r>
        <w:drawing>
          <wp:anchor distT="0" distB="0" distL="0" distR="0" simplePos="0" relativeHeight="251660288" behindDoc="0" locked="0" layoutInCell="1" allowOverlap="1">
            <wp:simplePos x="0" y="0"/>
            <wp:positionH relativeFrom="page">
              <wp:posOffset>707390</wp:posOffset>
            </wp:positionH>
            <wp:positionV relativeFrom="paragraph">
              <wp:posOffset>0</wp:posOffset>
            </wp:positionV>
            <wp:extent cx="481330" cy="408305"/>
            <wp:effectExtent l="0" t="0" r="1270" b="10795"/>
            <wp:wrapTopAndBottom/>
            <wp:docPr id="245" name="Shape 245"/>
            <wp:cNvGraphicFramePr/>
            <a:graphic xmlns:a="http://schemas.openxmlformats.org/drawingml/2006/main">
              <a:graphicData uri="http://schemas.openxmlformats.org/drawingml/2006/picture">
                <pic:pic xmlns:pic="http://schemas.openxmlformats.org/drawingml/2006/picture">
                  <pic:nvPicPr>
                    <pic:cNvPr id="245" name="Shape 245"/>
                    <pic:cNvPicPr/>
                  </pic:nvPicPr>
                  <pic:blipFill>
                    <a:blip r:embed="rId611"/>
                    <a:stretch>
                      <a:fillRect/>
                    </a:stretch>
                  </pic:blipFill>
                  <pic:spPr>
                    <a:xfrm>
                      <a:off x="0" y="0"/>
                      <a:ext cx="481330" cy="408305"/>
                    </a:xfrm>
                    <a:prstGeom prst="rect">
                      <a:avLst/>
                    </a:prstGeom>
                  </pic:spPr>
                </pic:pic>
              </a:graphicData>
            </a:graphic>
          </wp:anchor>
        </w:drawing>
      </w:r>
      <w:r>
        <mc:AlternateContent>
          <mc:Choice Requires="wps">
            <w:drawing>
              <wp:anchor distT="121920" distB="46990" distL="0" distR="0" simplePos="0" relativeHeight="251660288" behindDoc="0" locked="0" layoutInCell="1" allowOverlap="1">
                <wp:simplePos x="0" y="0"/>
                <wp:positionH relativeFrom="page">
                  <wp:posOffset>1320165</wp:posOffset>
                </wp:positionH>
                <wp:positionV relativeFrom="paragraph">
                  <wp:posOffset>121920</wp:posOffset>
                </wp:positionV>
                <wp:extent cx="3633470" cy="239395"/>
                <wp:effectExtent l="0" t="0" r="0" b="0"/>
                <wp:wrapTopAndBottom/>
                <wp:docPr id="247" name="Shape 247"/>
                <wp:cNvGraphicFramePr/>
                <a:graphic xmlns:a="http://schemas.openxmlformats.org/drawingml/2006/main">
                  <a:graphicData uri="http://schemas.microsoft.com/office/word/2010/wordprocessingShape">
                    <wps:wsp>
                      <wps:cNvSpPr txBox="1"/>
                      <wps:spPr>
                        <a:xfrm>
                          <a:off x="0" y="0"/>
                          <a:ext cx="3633470" cy="239395"/>
                        </a:xfrm>
                        <a:prstGeom prst="rect">
                          <a:avLst/>
                        </a:prstGeom>
                        <a:noFill/>
                      </wps:spPr>
                      <wps:txbx>
                        <w:txbxContent>
                          <w:p w14:paraId="15277987">
                            <w:pPr>
                              <w:pStyle w:val="15"/>
                              <w:keepNext/>
                              <w:keepLines/>
                              <w:widowControl w:val="0"/>
                              <w:shd w:val="clear" w:color="auto" w:fill="auto"/>
                              <w:bidi w:val="0"/>
                              <w:spacing w:before="0" w:after="0" w:line="240" w:lineRule="auto"/>
                              <w:ind w:left="0" w:right="0" w:firstLine="0"/>
                              <w:jc w:val="left"/>
                            </w:pPr>
                            <w:bookmarkStart w:id="276" w:name="bookmark112"/>
                            <w:bookmarkStart w:id="277" w:name="bookmark110"/>
                            <w:bookmarkStart w:id="278" w:name="bookmark111"/>
                            <w:r>
                              <w:rPr>
                                <w:color w:val="000000"/>
                                <w:spacing w:val="0"/>
                                <w:w w:val="100"/>
                                <w:position w:val="0"/>
                              </w:rPr>
                              <w:t>跟单信用证交易中开证行关于提单权利的</w:t>
                            </w:r>
                            <w:bookmarkEnd w:id="276"/>
                            <w:bookmarkEnd w:id="277"/>
                            <w:bookmarkEnd w:id="278"/>
                          </w:p>
                        </w:txbxContent>
                      </wps:txbx>
                      <wps:bodyPr wrap="none" lIns="0" tIns="0" rIns="0" bIns="0">
                        <a:noAutofit/>
                      </wps:bodyPr>
                    </wps:wsp>
                  </a:graphicData>
                </a:graphic>
              </wp:anchor>
            </w:drawing>
          </mc:Choice>
          <mc:Fallback>
            <w:pict>
              <v:shape id="Shape 247" o:spid="_x0000_s1026" o:spt="202" type="#_x0000_t202" style="position:absolute;left:0pt;margin-left:103.95pt;margin-top:9.6pt;height:18.85pt;width:286.1pt;mso-position-horizontal-relative:page;mso-wrap-distance-bottom:3.7pt;mso-wrap-distance-top:9.6pt;mso-wrap-style:none;z-index:251660288;mso-width-relative:page;mso-height-relative:page;" filled="f" stroked="f" coordsize="21600,21600" o:gfxdata="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clfTdYA&#10;AAAJAQAADwAAAAAAAAABACAAAAAiAAAAZHJzL2Rvd25yZXYueG1sUEsBAhQAFAAAAAgAh07iQMZt&#10;9vqvAQAAdAMAAA4AAAAAAAAAAQAgAAAAJQEAAGRycy9lMm9Eb2MueG1sUEsFBgAAAAAGAAYAWQEA&#10;AEYFAAAAAA==&#10;">
                <v:fill on="f" focussize="0,0"/>
                <v:stroke on="f"/>
                <v:imagedata o:title=""/>
                <o:lock v:ext="edit" aspectratio="f"/>
                <v:textbox inset="0mm,0mm,0mm,0mm">
                  <w:txbxContent>
                    <w:p w14:paraId="15277987">
                      <w:pPr>
                        <w:pStyle w:val="15"/>
                        <w:keepNext/>
                        <w:keepLines/>
                        <w:widowControl w:val="0"/>
                        <w:shd w:val="clear" w:color="auto" w:fill="auto"/>
                        <w:bidi w:val="0"/>
                        <w:spacing w:before="0" w:after="0" w:line="240" w:lineRule="auto"/>
                        <w:ind w:left="0" w:right="0" w:firstLine="0"/>
                        <w:jc w:val="left"/>
                      </w:pPr>
                      <w:bookmarkStart w:id="276" w:name="bookmark112"/>
                      <w:bookmarkStart w:id="277" w:name="bookmark110"/>
                      <w:bookmarkStart w:id="278" w:name="bookmark111"/>
                      <w:r>
                        <w:rPr>
                          <w:color w:val="000000"/>
                          <w:spacing w:val="0"/>
                          <w:w w:val="100"/>
                          <w:position w:val="0"/>
                        </w:rPr>
                        <w:t>跟单信用证交易中开证行关于提单权利的</w:t>
                      </w:r>
                      <w:bookmarkEnd w:id="276"/>
                      <w:bookmarkEnd w:id="277"/>
                      <w:bookmarkEnd w:id="278"/>
                    </w:p>
                  </w:txbxContent>
                </v:textbox>
                <w10:wrap type="topAndBottom"/>
              </v:shape>
            </w:pict>
          </mc:Fallback>
        </mc:AlternateContent>
      </w:r>
    </w:p>
    <w:p w14:paraId="4E9A5F2B">
      <w:pPr>
        <w:pStyle w:val="15"/>
        <w:keepNext/>
        <w:keepLines/>
        <w:widowControl w:val="0"/>
        <w:shd w:val="clear" w:color="auto" w:fill="auto"/>
        <w:bidi w:val="0"/>
        <w:spacing w:before="0" w:after="0" w:line="240" w:lineRule="auto"/>
        <w:ind w:left="0" w:right="0" w:firstLine="980"/>
        <w:jc w:val="both"/>
      </w:pPr>
      <w:bookmarkStart w:id="41" w:name="bookmark114"/>
      <w:bookmarkStart w:id="42" w:name="bookmark115"/>
      <w:bookmarkStart w:id="43" w:name="bookmark113"/>
      <w:r>
        <w:rPr>
          <w:color w:val="000000"/>
          <w:spacing w:val="0"/>
          <w:w w:val="100"/>
          <w:position w:val="0"/>
        </w:rPr>
        <w:t>合同解释</w:t>
      </w:r>
      <w:bookmarkEnd w:id="41"/>
      <w:bookmarkEnd w:id="42"/>
      <w:bookmarkEnd w:id="43"/>
    </w:p>
    <w:p w14:paraId="2838DA92">
      <w:pPr>
        <w:pStyle w:val="17"/>
        <w:keepNext w:val="0"/>
        <w:keepLines w:val="0"/>
        <w:widowControl w:val="0"/>
        <w:shd w:val="clear" w:color="auto" w:fill="auto"/>
        <w:bidi w:val="0"/>
        <w:spacing w:before="0" w:after="400" w:line="338" w:lineRule="exact"/>
        <w:ind w:left="980" w:right="0" w:firstLine="20"/>
        <w:jc w:val="both"/>
      </w:pPr>
      <w:r>
        <w:drawing>
          <wp:anchor distT="0" distB="0" distL="114300" distR="114300" simplePos="0" relativeHeight="251660288" behindDoc="0" locked="0" layoutInCell="1" allowOverlap="1">
            <wp:simplePos x="0" y="0"/>
            <wp:positionH relativeFrom="page">
              <wp:posOffset>5154930</wp:posOffset>
            </wp:positionH>
            <wp:positionV relativeFrom="paragraph">
              <wp:posOffset>88900</wp:posOffset>
            </wp:positionV>
            <wp:extent cx="548640" cy="548640"/>
            <wp:effectExtent l="0" t="0" r="10160" b="10160"/>
            <wp:wrapSquare wrapText="left"/>
            <wp:docPr id="249" name="Shape 249"/>
            <wp:cNvGraphicFramePr/>
            <a:graphic xmlns:a="http://schemas.openxmlformats.org/drawingml/2006/main">
              <a:graphicData uri="http://schemas.openxmlformats.org/drawingml/2006/picture">
                <pic:pic xmlns:pic="http://schemas.openxmlformats.org/drawingml/2006/picture">
                  <pic:nvPicPr>
                    <pic:cNvPr id="249" name="Shape 249"/>
                    <pic:cNvPicPr/>
                  </pic:nvPicPr>
                  <pic:blipFill>
                    <a:blip r:embed="rId612"/>
                    <a:stretch>
                      <a:fillRect/>
                    </a:stretch>
                  </pic:blipFill>
                  <pic:spPr>
                    <a:xfrm>
                      <a:off x="0" y="0"/>
                      <a:ext cx="548640" cy="548640"/>
                    </a:xfrm>
                    <a:prstGeom prst="rect">
                      <a:avLst/>
                    </a:prstGeom>
                  </pic:spPr>
                </pic:pic>
              </a:graphicData>
            </a:graphic>
          </wp:anchor>
        </w:drawing>
      </w:r>
      <w:r>
        <w:rPr>
          <w:color w:val="000000"/>
          <w:spacing w:val="0"/>
          <w:w w:val="100"/>
          <w:position w:val="0"/>
        </w:rPr>
        <w:t>中国建设银行股份有限公司广州荔湾支行诉广东蓝粤能源发展有 限公司等信用证开证纠纷案丨最高人民法院第</w:t>
      </w:r>
      <w:r>
        <w:rPr>
          <w:rFonts w:ascii="Times New Roman" w:hAnsi="Times New Roman" w:eastAsia="Times New Roman" w:cs="Times New Roman"/>
          <w:color w:val="000000"/>
          <w:spacing w:val="0"/>
          <w:w w:val="100"/>
          <w:position w:val="0"/>
          <w:sz w:val="19"/>
          <w:szCs w:val="19"/>
        </w:rPr>
        <w:t>111</w:t>
      </w:r>
      <w:r>
        <w:rPr>
          <w:color w:val="000000"/>
          <w:spacing w:val="0"/>
          <w:w w:val="100"/>
          <w:position w:val="0"/>
        </w:rPr>
        <w:t>号指导性案 例</w:t>
      </w:r>
    </w:p>
    <w:p w14:paraId="5A656809">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朱晓吉吉</w:t>
      </w:r>
      <w:r>
        <w:rPr>
          <w:color w:val="000000"/>
          <w:spacing w:val="0"/>
          <w:w w:val="100"/>
          <w:position w:val="0"/>
        </w:rPr>
        <w:t>上海财经大学法学院</w:t>
      </w:r>
    </w:p>
    <w:p w14:paraId="16F38E43">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1A5A233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中国建设银行股份有限公司广州荔湾支行（以下简称建行荔湾支行）与广东蓝粤能源发 展有限公司（以下简称蓝粤能源）于</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月签订《贸易融资额度合同》及《关于开立信用 证的特别约定》（以下简称特别约定）等协议，约定建行荔湾支行向蓝粤能源提供不超过</w:t>
      </w:r>
      <w:r>
        <w:rPr>
          <w:rFonts w:ascii="Times New Roman" w:hAnsi="Times New Roman" w:eastAsia="Times New Roman" w:cs="Times New Roman"/>
          <w:color w:val="000000"/>
          <w:spacing w:val="0"/>
          <w:w w:val="100"/>
          <w:position w:val="0"/>
          <w:sz w:val="19"/>
          <w:szCs w:val="19"/>
          <w:lang w:val="en-US" w:eastAsia="en-US" w:bidi="en-US"/>
        </w:rPr>
        <w:t>5.</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亿 元的贸易融资额度，包括开立等额的信用证。惠来粤东电力燃料有限公司（以下简称粤东电 力）等提供保证。</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月，蓝粤能源申请开立</w:t>
      </w:r>
      <w:r>
        <w:rPr>
          <w:rFonts w:ascii="Times New Roman" w:hAnsi="Times New Roman" w:eastAsia="Times New Roman" w:cs="Times New Roman"/>
          <w:color w:val="000000"/>
          <w:spacing w:val="0"/>
          <w:w w:val="100"/>
          <w:position w:val="0"/>
          <w:sz w:val="19"/>
          <w:szCs w:val="19"/>
        </w:rPr>
        <w:t>8592</w:t>
      </w:r>
      <w:r>
        <w:rPr>
          <w:color w:val="000000"/>
          <w:spacing w:val="0"/>
          <w:w w:val="100"/>
          <w:position w:val="0"/>
        </w:rPr>
        <w:t xml:space="preserve">万元的信用证，为此，其向建行荔湾支 行出具了《信托收据》，确认自收据出具之日起，建行荔湾支行即取得信用证项下单据和货物的 所有权，建行荔湾支行为委托人及受益人，蓝粤能源为受托人。信用证开立后,蓝粤能源进口 了 </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万吨煤炭。建行荔湾支行承兑了信用证,同时取得了包括案涉提单在内的全套单据。后 来，蓝粤能源未能付款赎单，建行荔湾支行仍持有提单等单据，但提单项下的煤炭因其他纠纷 已被查封，遂提起诉讼，要求:蓝粤能源向其清偿信用证垫款本金及利息;确认其对案涉</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万 吨煤炭享有所有权，并就处置该财产所得款项优先受偿;粤东电力等承担担保责任。</w:t>
      </w:r>
    </w:p>
    <w:p w14:paraId="051DBECA">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一审法院和二审法院驳回了建行荔湾支行确认煤炭所有权及优先受偿权的请求。建 行荔湾支行向最高人民法院申请再审,主要理由如下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提单系所有权凭证，建行荔湾支 行合法持有提单,故对提单表征的货物享有所有权;（</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）蓝粤能源出具的《信托收据》具有质 押合同的性质，即使认为建行荔湾支行对案涉货物不享有所有权，亦对货物变价所得享有 优先受偿权。蓝粤能源和粤东电力等担保人认为,建行荔湾支行仍持有信用证项下单据, 可凭提单提取案涉货物,故不能再向蓝粤能源及担保人主张权利。</w:t>
      </w:r>
    </w:p>
    <w:p w14:paraId="3C67FE5E">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EEA9D22">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建行荔湾支行对案涉货物不享有所有权,但享有优先受偿权。</w:t>
      </w:r>
    </w:p>
    <w:p w14:paraId="50F43EAA">
      <w:pPr>
        <w:pStyle w:val="17"/>
        <w:keepNext w:val="0"/>
        <w:keepLines w:val="0"/>
        <w:widowControl w:val="0"/>
        <w:shd w:val="clear" w:color="auto" w:fill="auto"/>
        <w:bidi w:val="0"/>
        <w:spacing w:before="0" w:after="0" w:line="338" w:lineRule="exact"/>
        <w:ind w:left="0" w:right="0" w:firstLine="420"/>
        <w:jc w:val="both"/>
        <w:sectPr>
          <w:headerReference r:id="rId114" w:type="default"/>
          <w:headerReference r:id="rId115" w:type="even"/>
          <w:footnotePr>
            <w:numFmt w:val="chicago"/>
          </w:footnotePr>
          <w:pgSz w:w="10099" w:h="14782"/>
          <w:pgMar w:top="1292" w:right="1016" w:bottom="1106" w:left="1080" w:header="864" w:footer="678" w:gutter="0"/>
          <w:pgNumType w:start="92"/>
          <w:cols w:space="720" w:num="1"/>
          <w:rtlGutter w:val="0"/>
          <w:docGrid w:linePitch="360" w:charSpace="0"/>
        </w:sectPr>
      </w:pPr>
      <w:r>
        <w:rPr>
          <w:color w:val="000000"/>
          <w:spacing w:val="0"/>
          <w:w w:val="100"/>
          <w:position w:val="0"/>
        </w:rPr>
        <w:t xml:space="preserve">提单的交付可与提单项下货物的交付一样,产生物权变动的效果，但提单持有人是否 因提单的交付而取得物权以及取得何种物权，取决于其所依据的合同约定。与动产交付类 </w:t>
      </w:r>
    </w:p>
    <w:p w14:paraId="31DFF679">
      <w:pPr>
        <w:pStyle w:val="17"/>
        <w:keepNext w:val="0"/>
        <w:keepLines w:val="0"/>
        <w:widowControl w:val="0"/>
        <w:shd w:val="clear" w:color="auto" w:fill="auto"/>
        <w:bidi w:val="0"/>
        <w:spacing w:before="0" w:after="0" w:line="338" w:lineRule="exact"/>
        <w:ind w:left="0" w:right="0" w:firstLine="0"/>
        <w:jc w:val="both"/>
      </w:pPr>
      <w:r>
        <w:rPr>
          <w:color w:val="000000"/>
          <w:spacing w:val="0"/>
          <w:w w:val="100"/>
          <w:position w:val="0"/>
        </w:rPr>
        <w:t>似，动产占有人受领动产的交付,究竟享有的是所有权、质权还是基于合同的占有，均取决 于当事人之间的合同如何约定。建行荔湾支行虽持有提单，但其未取得案涉煤炭所有权， 《信托收据》不能作为其取得煤炭所有权的合同依据。建行荔湾支行主张</w:t>
      </w:r>
      <w:r>
        <w:rPr>
          <w:color w:val="000000"/>
          <w:spacing w:val="0"/>
          <w:w w:val="100"/>
          <w:position w:val="0"/>
          <w:lang w:val="zh-CN" w:eastAsia="zh-CN" w:bidi="zh-CN"/>
        </w:rPr>
        <w:t>“以</w:t>
      </w:r>
      <w:r>
        <w:rPr>
          <w:color w:val="000000"/>
          <w:spacing w:val="0"/>
          <w:w w:val="100"/>
          <w:position w:val="0"/>
        </w:rPr>
        <w:t>其享有所有权 的货物价款优先受偿</w:t>
      </w:r>
      <w:r>
        <w:rPr>
          <w:color w:val="000000"/>
          <w:spacing w:val="0"/>
          <w:w w:val="100"/>
          <w:position w:val="0"/>
          <w:lang w:val="zh-CN" w:eastAsia="zh-CN" w:bidi="zh-CN"/>
        </w:rPr>
        <w:t>”亦</w:t>
      </w:r>
      <w:r>
        <w:rPr>
          <w:color w:val="000000"/>
          <w:spacing w:val="0"/>
          <w:w w:val="100"/>
          <w:position w:val="0"/>
        </w:rPr>
        <w:t>欠缺合同依据，即便有此约定,以让与动产所有权担保债权有违物 权法定，不能产生物权效力。《信托收据》虽体现了以提单及其项下货物担保债权的意思， 但该意思表示是以让与所有权来提供担保，区别于动产或权利质押。</w:t>
      </w:r>
    </w:p>
    <w:p w14:paraId="4D661931">
      <w:pPr>
        <w:pStyle w:val="17"/>
        <w:keepNext w:val="0"/>
        <w:keepLines w:val="0"/>
        <w:widowControl w:val="0"/>
        <w:shd w:val="clear" w:color="auto" w:fill="auto"/>
        <w:bidi w:val="0"/>
        <w:spacing w:before="0" w:after="360" w:line="345" w:lineRule="exact"/>
        <w:ind w:left="0" w:right="0" w:firstLine="420"/>
        <w:jc w:val="both"/>
      </w:pPr>
      <w:r>
        <w:rPr>
          <w:color w:val="000000"/>
          <w:spacing w:val="0"/>
          <w:w w:val="100"/>
          <w:position w:val="0"/>
        </w:rPr>
        <w:t>然而,依特别约定,蓝粤能源违约时,建行荔湾支行有权处分案涉单据及货物,根据合 同整体解释及信用证交易的特点，当事人真实意思表示是以提单设定质押。具体而言，依 特别约定，若蓝粤能源违约，建行荔湾支行可行使下述权利,其中第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项为</w:t>
      </w:r>
      <w:r>
        <w:rPr>
          <w:color w:val="000000"/>
          <w:spacing w:val="0"/>
          <w:w w:val="100"/>
          <w:position w:val="0"/>
          <w:lang w:val="zh-CN" w:eastAsia="zh-CN" w:bidi="zh-CN"/>
        </w:rPr>
        <w:t>“担</w:t>
      </w:r>
      <w:r>
        <w:rPr>
          <w:color w:val="000000"/>
          <w:spacing w:val="0"/>
          <w:w w:val="100"/>
          <w:position w:val="0"/>
        </w:rPr>
        <w:t>保权利</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rPr>
        <w:t>项为“其他担保”。依体系解释，若合同条款有两种以上的解释，不应釆使合同条款成为赘 文的解释，故第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项应具不同功能。</w:t>
      </w:r>
      <w:r>
        <w:rPr>
          <w:color w:val="000000"/>
          <w:spacing w:val="0"/>
          <w:w w:val="100"/>
          <w:position w:val="0"/>
          <w:lang w:val="zh-CN" w:eastAsia="zh-CN" w:bidi="zh-CN"/>
        </w:rPr>
        <w:t>“其他</w:t>
      </w:r>
      <w:r>
        <w:rPr>
          <w:color w:val="000000"/>
          <w:spacing w:val="0"/>
          <w:w w:val="100"/>
          <w:position w:val="0"/>
        </w:rPr>
        <w:t>担保”是指粤东电力等提供的保证，综 合合同约定与案件事实</w:t>
      </w:r>
      <w:r>
        <w:rPr>
          <w:color w:val="000000"/>
          <w:spacing w:val="0"/>
          <w:w w:val="100"/>
          <w:position w:val="0"/>
          <w:lang w:val="zh-CN" w:eastAsia="zh-CN" w:bidi="zh-CN"/>
        </w:rPr>
        <w:t>，“担</w:t>
      </w:r>
      <w:r>
        <w:rPr>
          <w:color w:val="000000"/>
          <w:spacing w:val="0"/>
          <w:w w:val="100"/>
          <w:position w:val="0"/>
        </w:rPr>
        <w:t>保权利</w:t>
      </w:r>
      <w:r>
        <w:rPr>
          <w:color w:val="000000"/>
          <w:spacing w:val="0"/>
          <w:w w:val="100"/>
          <w:position w:val="0"/>
          <w:lang w:val="zh-CN" w:eastAsia="zh-CN" w:bidi="zh-CN"/>
        </w:rPr>
        <w:t>”系</w:t>
      </w:r>
      <w:r>
        <w:rPr>
          <w:color w:val="000000"/>
          <w:spacing w:val="0"/>
          <w:w w:val="100"/>
          <w:position w:val="0"/>
        </w:rPr>
        <w:t>指提单权利质押。理由如下:其一，开证行持有提单 的目的是担保其债权实现,如否认其对提单或货物的担保物权，与</w:t>
      </w:r>
      <w:r>
        <w:rPr>
          <w:color w:val="000000"/>
          <w:spacing w:val="0"/>
          <w:w w:val="100"/>
          <w:position w:val="0"/>
          <w:lang w:val="zh-CN" w:eastAsia="zh-CN" w:bidi="zh-CN"/>
        </w:rPr>
        <w:t>“付</w:t>
      </w:r>
      <w:r>
        <w:rPr>
          <w:color w:val="000000"/>
          <w:spacing w:val="0"/>
          <w:w w:val="100"/>
          <w:position w:val="0"/>
        </w:rPr>
        <w:t>款赎单</w:t>
      </w:r>
      <w:r>
        <w:rPr>
          <w:color w:val="000000"/>
          <w:spacing w:val="0"/>
          <w:w w:val="100"/>
          <w:position w:val="0"/>
          <w:lang w:val="zh-CN" w:eastAsia="zh-CN" w:bidi="zh-CN"/>
        </w:rPr>
        <w:t>”的交</w:t>
      </w:r>
      <w:r>
        <w:rPr>
          <w:color w:val="000000"/>
          <w:spacing w:val="0"/>
          <w:w w:val="100"/>
          <w:position w:val="0"/>
        </w:rPr>
        <w:t>易习惯 完全背离，亦不符合当事人以提单担保开证行债权实现的交易目的;其二,依特别约定第</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rPr>
        <w:t>项,蓝粤能源违约时,建行荔湾支行有权处分提单及货物,其事后作出将提单设定质押的意 思符合第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项，而主张以货物所有权实现担保，则违背物权法定原则,应支持符合法律规定 的主张，即其享有质押权。</w:t>
      </w:r>
    </w:p>
    <w:p w14:paraId="6E92E744">
      <w:pPr>
        <w:pStyle w:val="11"/>
        <w:keepNext w:val="0"/>
        <w:keepLines w:val="0"/>
        <w:widowControl w:val="0"/>
        <w:shd w:val="clear" w:color="auto" w:fill="auto"/>
        <w:bidi w:val="0"/>
        <w:spacing w:before="0" w:after="260" w:line="345" w:lineRule="exact"/>
        <w:ind w:left="0" w:right="0" w:firstLine="0"/>
        <w:jc w:val="both"/>
      </w:pPr>
      <w:r>
        <w:rPr>
          <w:color w:val="000000"/>
          <w:spacing w:val="0"/>
          <w:w w:val="100"/>
          <w:position w:val="0"/>
        </w:rPr>
        <w:t>■评析</w:t>
      </w:r>
    </w:p>
    <w:p w14:paraId="65AFB67A">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0102AF4B">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本案中，建行荔湾支行以其持有提单为由，主张享有提单项下煤炭的所有权，并可优先 受偿。最高人民法院认为，提单持有人是否享有提单项下货物所有权或他物权，取决于当 事人之间的约定,让与动产所有权以担保债权，有违物权法定原则，《信托收据》不能作为原 告取得所有权或担保物权的依据;结合合同（特别约定）整体解释及信用证交易特点，当事 人的真实意思是以提单设定质权。本案明确了提单持有人对提单项下货物享有何等权利 取决于当事人的意思，而意思表示的解释应综合当事人之间交易的性质与合同整体来确 定。本判决在司法实践层面具有开创性，对法院认定提单持有人的权利具有重要的指导意 义。</w:t>
      </w:r>
    </w:p>
    <w:p w14:paraId="4A473681">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跟单信用证交易中开证行持有提单的权利性质分析</w:t>
      </w:r>
    </w:p>
    <w:p w14:paraId="37564699">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本判决涉及跟单信用证交易中持有提单的开证行享有何种权利，尤其是当事人意思表 示扮演着何种角色。欲厘清这一问题,应从以下三方面考虑:第一，提单的法律性质,尤其是 提单是否属于物权凭证或是否有物权效力;第二,在不考虑信托收据的情况下，开证行享有 何种权利;第三，存在信托收据时当事人的权利义务关系如何。</w:t>
      </w:r>
    </w:p>
    <w:p w14:paraId="1B0BEDBC">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依《海商法》第</w:t>
      </w:r>
      <w:r>
        <w:rPr>
          <w:rFonts w:ascii="Times New Roman" w:hAnsi="Times New Roman" w:eastAsia="Times New Roman" w:cs="Times New Roman"/>
          <w:color w:val="000000"/>
          <w:spacing w:val="0"/>
          <w:w w:val="100"/>
          <w:position w:val="0"/>
          <w:sz w:val="19"/>
          <w:szCs w:val="19"/>
        </w:rPr>
        <w:t>71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句的规定,提单是用以证明海上货物运输合同和货物已经由 承运人接收或者装船，以及承运人保证据以交付货物的单证。但提单的法律效力究竟为 何，学界对此争议极大，大致经历了 </w:t>
      </w:r>
      <w:r>
        <w:rPr>
          <w:color w:val="000000"/>
          <w:spacing w:val="0"/>
          <w:w w:val="100"/>
          <w:position w:val="0"/>
          <w:lang w:val="zh-CN" w:eastAsia="zh-CN" w:bidi="zh-CN"/>
        </w:rPr>
        <w:t>“所</w:t>
      </w:r>
      <w:r>
        <w:rPr>
          <w:color w:val="000000"/>
          <w:spacing w:val="0"/>
          <w:w w:val="100"/>
          <w:position w:val="0"/>
        </w:rPr>
        <w:t xml:space="preserve">有权凭证说” </w:t>
      </w:r>
      <w:r>
        <w:rPr>
          <w:color w:val="000000"/>
          <w:spacing w:val="0"/>
          <w:w w:val="100"/>
          <w:position w:val="0"/>
          <w:lang w:val="zh-CN" w:eastAsia="zh-CN" w:bidi="zh-CN"/>
        </w:rPr>
        <w:t>“占有</w:t>
      </w:r>
      <w:r>
        <w:rPr>
          <w:color w:val="000000"/>
          <w:spacing w:val="0"/>
          <w:w w:val="100"/>
          <w:position w:val="0"/>
        </w:rPr>
        <w:t>权说” “物权效力说</w:t>
      </w:r>
      <w:r>
        <w:rPr>
          <w:color w:val="000000"/>
          <w:spacing w:val="0"/>
          <w:w w:val="100"/>
          <w:position w:val="0"/>
          <w:lang w:val="zh-CN" w:eastAsia="zh-CN" w:bidi="zh-CN"/>
        </w:rPr>
        <w:t>”的</w:t>
      </w:r>
      <w:r>
        <w:rPr>
          <w:color w:val="000000"/>
          <w:spacing w:val="0"/>
          <w:w w:val="100"/>
          <w:position w:val="0"/>
        </w:rPr>
        <w:t>演变。</w:t>
      </w:r>
    </w:p>
    <w:p w14:paraId="1FFD036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早期观点认为，提单是所有权凭证,其经典表述为:持有提单就拥有提单项下货物的所 有权，转让提单也就转让了货物所有权（司玉琢主编：《新编海商法学》，人民交通出版社</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页）。有学者对于此观点提出反思，认为提单转让是否代表所有权移转取决于当事 人的约定,提单并不代表所有权，而是代表对货物的</w:t>
      </w:r>
      <w:r>
        <w:rPr>
          <w:color w:val="000000"/>
          <w:spacing w:val="0"/>
          <w:w w:val="100"/>
          <w:position w:val="0"/>
          <w:lang w:val="zh-CN" w:eastAsia="zh-CN" w:bidi="zh-CN"/>
        </w:rPr>
        <w:t>“占</w:t>
      </w:r>
      <w:r>
        <w:rPr>
          <w:color w:val="000000"/>
          <w:spacing w:val="0"/>
          <w:w w:val="100"/>
          <w:position w:val="0"/>
        </w:rPr>
        <w:t>有权</w:t>
      </w:r>
      <w:r>
        <w:rPr>
          <w:color w:val="000000"/>
          <w:spacing w:val="0"/>
          <w:w w:val="100"/>
          <w:position w:val="0"/>
          <w:lang w:val="zh-CN" w:eastAsia="zh-CN" w:bidi="zh-CN"/>
        </w:rPr>
        <w:t>”（郭</w:t>
      </w:r>
      <w:r>
        <w:rPr>
          <w:color w:val="000000"/>
          <w:spacing w:val="0"/>
          <w:w w:val="100"/>
          <w:position w:val="0"/>
        </w:rPr>
        <w:t>瑜:《论提单的物权性》，载《中 国法学》</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49126A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王文军梳理了英国法上提单作为</w:t>
      </w:r>
      <w:r>
        <w:rPr>
          <w:rFonts w:ascii="Times New Roman" w:hAnsi="Times New Roman" w:eastAsia="Times New Roman" w:cs="Times New Roman"/>
          <w:color w:val="000000"/>
          <w:spacing w:val="0"/>
          <w:w w:val="100"/>
          <w:position w:val="0"/>
          <w:sz w:val="17"/>
          <w:szCs w:val="17"/>
          <w:lang w:val="en-US" w:eastAsia="en-US" w:bidi="en-US"/>
        </w:rPr>
        <w:t>document of title</w:t>
      </w:r>
      <w:r>
        <w:rPr>
          <w:color w:val="000000"/>
          <w:spacing w:val="0"/>
          <w:w w:val="100"/>
          <w:position w:val="0"/>
        </w:rPr>
        <w:t>的历史，指出提单仅是记载货物的表 征,其占有等同于对货物的占有，其转让作为象征性地交付货物，并主张“物权效力说”,即 提单的交付与货物交付具有同一效力，提单受让人具体取得何种物权，取决于转让提单的 基础法律关系（王文军:《提单之物权效力辨》，载《法学论坛》</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期）。当前德国、日本学 界通说基本亦持相同观点，即提单的交付与货物的交付具有同一效力，至于受让人据此取 得何种权利应依证券外形成的实体法律关系而定（庄加园：《提单上的请求权移转与货物物权变 动</w:t>
      </w:r>
      <w:r>
        <w:rPr>
          <w:color w:val="000000"/>
          <w:spacing w:val="0"/>
          <w:w w:val="100"/>
          <w:position w:val="0"/>
          <w:lang w:val="en-US" w:eastAsia="en-US" w:bidi="en-US"/>
        </w:rPr>
        <w:t>一</w:t>
      </w:r>
      <w:r>
        <w:rPr>
          <w:color w:val="000000"/>
          <w:spacing w:val="0"/>
          <w:w w:val="100"/>
          <w:position w:val="0"/>
        </w:rPr>
        <w:t>一以德国法为视角》，载《东方法学》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期；周江洪：《日本法上的提单效力问题研究》，载 《东方法学》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r>
        <w:rPr>
          <w:color w:val="000000"/>
          <w:spacing w:val="0"/>
          <w:w w:val="100"/>
          <w:position w:val="0"/>
          <w:lang w:val="zh-CN" w:eastAsia="zh-CN" w:bidi="zh-CN"/>
        </w:rPr>
        <w:t>“物权</w:t>
      </w:r>
      <w:r>
        <w:rPr>
          <w:color w:val="000000"/>
          <w:spacing w:val="0"/>
          <w:w w:val="100"/>
          <w:position w:val="0"/>
        </w:rPr>
        <w:t>效力说</w:t>
      </w:r>
      <w:r>
        <w:rPr>
          <w:color w:val="000000"/>
          <w:spacing w:val="0"/>
          <w:w w:val="100"/>
          <w:position w:val="0"/>
          <w:lang w:val="zh-CN" w:eastAsia="zh-CN" w:bidi="zh-CN"/>
        </w:rPr>
        <w:t>”将</w:t>
      </w:r>
      <w:r>
        <w:rPr>
          <w:color w:val="000000"/>
          <w:spacing w:val="0"/>
          <w:w w:val="100"/>
          <w:position w:val="0"/>
        </w:rPr>
        <w:t>当事人的合意作为判定提单持有人权利的决定 因素,提单交付只是权利取得的要件之一，即其仅表征占有移转。</w:t>
      </w:r>
    </w:p>
    <w:p w14:paraId="49EC2D7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对于当事人之间存在的信托收据（是指客户将自己货物的所有权转让给银行的确认 书,持有该收据即意味着银行对该货物享有所有权），主流观点认为它是以让与担保为核心 的非典型担保（刘斌:《信托收据的权利逻辑与规范完善》，载《法律科学》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期）。少数认 为，买方与开证行之间存在信托关系（刘昕:《论信用证业务中开证行对提单的权利》，载《江苏社会 科学》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1E61038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综上所述,提单作为所有权凭证的观点已逐渐被抛弃,</w:t>
      </w:r>
      <w:r>
        <w:rPr>
          <w:color w:val="000000"/>
          <w:spacing w:val="0"/>
          <w:w w:val="100"/>
          <w:position w:val="0"/>
          <w:lang w:val="zh-CN" w:eastAsia="zh-CN" w:bidi="zh-CN"/>
        </w:rPr>
        <w:t>“物权</w:t>
      </w:r>
      <w:r>
        <w:rPr>
          <w:color w:val="000000"/>
          <w:spacing w:val="0"/>
          <w:w w:val="100"/>
          <w:position w:val="0"/>
        </w:rPr>
        <w:t>效力说</w:t>
      </w:r>
      <w:r>
        <w:rPr>
          <w:color w:val="000000"/>
          <w:spacing w:val="0"/>
          <w:w w:val="100"/>
          <w:position w:val="0"/>
          <w:lang w:val="zh-CN" w:eastAsia="zh-CN" w:bidi="zh-CN"/>
        </w:rPr>
        <w:t>”更</w:t>
      </w:r>
      <w:r>
        <w:rPr>
          <w:color w:val="000000"/>
          <w:spacing w:val="0"/>
          <w:w w:val="100"/>
          <w:position w:val="0"/>
        </w:rPr>
        <w:t>符合比较法上 的理解;在跟单信用证交易中，通说认为开证行享有质押权，其产生系基于当事人之间的约 定;若开证行与进口商之间存在</w:t>
      </w:r>
      <w:r>
        <w:rPr>
          <w:color w:val="000000"/>
          <w:spacing w:val="0"/>
          <w:w w:val="100"/>
          <w:position w:val="0"/>
          <w:lang w:val="zh-CN" w:eastAsia="zh-CN" w:bidi="zh-CN"/>
        </w:rPr>
        <w:t>“信托</w:t>
      </w:r>
      <w:r>
        <w:rPr>
          <w:color w:val="000000"/>
          <w:spacing w:val="0"/>
          <w:w w:val="100"/>
          <w:position w:val="0"/>
        </w:rPr>
        <w:t>收据”，则应以让与担保解释当事人之间的法律关系。 由此可见，在跟单信用证下，开证行持有提单只是表征其取得了货物的占有，具体享有何种 权利,取决于其与进口商之间的合同约定。</w:t>
      </w:r>
    </w:p>
    <w:p w14:paraId="2EB5DA05">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125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，“当</w:t>
      </w:r>
      <w:r>
        <w:rPr>
          <w:color w:val="000000"/>
          <w:spacing w:val="0"/>
          <w:w w:val="100"/>
          <w:position w:val="0"/>
        </w:rPr>
        <w:t>事人对合同条款的理解有争议的,应当按照合同 所使用的词句、合同的有关条款、合同的目的、交易习惯以及诚实信用原则,确定该条款的 真实意思”。《民法典》第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款大体上承袭了上述规则。据此进行合同解释，应参 考文义、体系、目的、习惯与诚实信用五项因素。故判断跟单信用证交易中开证行持有提单 的权利，可以根据合同的文义、合同的整体脉络及条款之间的关系、当事人的目的、交易惯 例，作出合理的解释。</w:t>
      </w:r>
    </w:p>
    <w:p w14:paraId="4AEC7953">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5D0EF85C">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在早期的司法裁判中</w:t>
      </w:r>
      <w:r>
        <w:rPr>
          <w:color w:val="000000"/>
          <w:spacing w:val="0"/>
          <w:w w:val="100"/>
          <w:position w:val="0"/>
          <w:lang w:val="zh-CN" w:eastAsia="zh-CN" w:bidi="zh-CN"/>
        </w:rPr>
        <w:t>，“提</w:t>
      </w:r>
      <w:r>
        <w:rPr>
          <w:color w:val="000000"/>
          <w:spacing w:val="0"/>
          <w:w w:val="100"/>
          <w:position w:val="0"/>
        </w:rPr>
        <w:t>单是所有权凭证”的观点占据绝对主流的地位，最高人民法 院有一系列判决都表达了这一观点，如</w:t>
      </w:r>
      <w:r>
        <w:rPr>
          <w:color w:val="000000"/>
          <w:spacing w:val="0"/>
          <w:w w:val="100"/>
          <w:position w:val="0"/>
          <w:lang w:val="zh-CN" w:eastAsia="zh-CN" w:bidi="zh-CN"/>
        </w:rPr>
        <w:t>“兴</w:t>
      </w:r>
      <w:r>
        <w:rPr>
          <w:color w:val="000000"/>
          <w:spacing w:val="0"/>
          <w:w w:val="100"/>
          <w:position w:val="0"/>
        </w:rPr>
        <w:t>利公司、广澳公司与印度国贸公司、马来西亚巴 拉普尔公司、库帕克公司、纳林公司货物所有权争议案</w:t>
      </w:r>
      <w:r>
        <w:rPr>
          <w:color w:val="000000"/>
          <w:spacing w:val="0"/>
          <w:w w:val="100"/>
          <w:position w:val="0"/>
          <w:lang w:val="zh-CN" w:eastAsia="zh-CN" w:bidi="zh-CN"/>
        </w:rPr>
        <w:t>”［载</w:t>
      </w:r>
      <w:r>
        <w:rPr>
          <w:color w:val="000000"/>
          <w:spacing w:val="0"/>
          <w:w w:val="100"/>
          <w:position w:val="0"/>
        </w:rPr>
        <w:t>《中华人民共和国最高人民法院公 报》（以下简称《公报</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r>
        <w:rPr>
          <w:color w:val="000000"/>
          <w:spacing w:val="0"/>
          <w:w w:val="100"/>
          <w:position w:val="0"/>
          <w:lang w:val="zh-CN" w:eastAsia="zh-CN" w:bidi="zh-CN"/>
        </w:rPr>
        <w:t>、“粤</w:t>
      </w:r>
      <w:r>
        <w:rPr>
          <w:color w:val="000000"/>
          <w:spacing w:val="0"/>
          <w:w w:val="100"/>
          <w:position w:val="0"/>
        </w:rPr>
        <w:t>海公司与仓码公司、特发公司等海上货物运输无单 放货、提货、代理放货纠纷案</w:t>
      </w:r>
      <w:r>
        <w:rPr>
          <w:color w:val="000000"/>
          <w:spacing w:val="0"/>
          <w:w w:val="100"/>
          <w:position w:val="0"/>
          <w:lang w:val="zh-CN" w:eastAsia="zh-CN" w:bidi="zh-CN"/>
        </w:rPr>
        <w:t>”（载</w:t>
      </w:r>
      <w:r>
        <w:rPr>
          <w:color w:val="000000"/>
          <w:spacing w:val="0"/>
          <w:w w:val="100"/>
          <w:position w:val="0"/>
        </w:rPr>
        <w:t>《公报》</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r>
        <w:rPr>
          <w:color w:val="000000"/>
          <w:spacing w:val="0"/>
          <w:w w:val="100"/>
          <w:position w:val="0"/>
          <w:lang w:val="zh-CN" w:eastAsia="zh-CN" w:bidi="zh-CN"/>
        </w:rPr>
        <w:t>、“海</w:t>
      </w:r>
      <w:r>
        <w:rPr>
          <w:color w:val="000000"/>
          <w:spacing w:val="0"/>
          <w:w w:val="100"/>
          <w:position w:val="0"/>
        </w:rPr>
        <w:t>南通连船务公司与五矿国际有色 金属贸易公司海上货物运输纠纷案</w:t>
      </w:r>
      <w:r>
        <w:rPr>
          <w:color w:val="000000"/>
          <w:spacing w:val="0"/>
          <w:w w:val="100"/>
          <w:position w:val="0"/>
          <w:lang w:val="zh-CN" w:eastAsia="zh-CN" w:bidi="zh-CN"/>
        </w:rPr>
        <w:t>”（载</w:t>
      </w:r>
      <w:r>
        <w:rPr>
          <w:color w:val="000000"/>
          <w:spacing w:val="0"/>
          <w:w w:val="100"/>
          <w:position w:val="0"/>
        </w:rPr>
        <w:t>《公报》</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r>
        <w:rPr>
          <w:color w:val="000000"/>
          <w:spacing w:val="0"/>
          <w:w w:val="100"/>
          <w:position w:val="0"/>
          <w:lang w:val="zh-CN" w:eastAsia="zh-CN" w:bidi="zh-CN"/>
        </w:rPr>
        <w:t>“所</w:t>
      </w:r>
      <w:r>
        <w:rPr>
          <w:color w:val="000000"/>
          <w:spacing w:val="0"/>
          <w:w w:val="100"/>
          <w:position w:val="0"/>
        </w:rPr>
        <w:t>有权凭证说</w:t>
      </w:r>
      <w:r>
        <w:rPr>
          <w:color w:val="000000"/>
          <w:spacing w:val="0"/>
          <w:w w:val="100"/>
          <w:position w:val="0"/>
          <w:lang w:val="zh-CN" w:eastAsia="zh-CN" w:bidi="zh-CN"/>
        </w:rPr>
        <w:t>”下,</w:t>
      </w:r>
      <w:r>
        <w:rPr>
          <w:color w:val="000000"/>
          <w:spacing w:val="0"/>
          <w:w w:val="100"/>
          <w:position w:val="0"/>
        </w:rPr>
        <w:t>推定提 单持有人取得所有权，当事人的意思不起任何作用。</w:t>
      </w:r>
    </w:p>
    <w:p w14:paraId="7108A828">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随后，司法实践对</w:t>
      </w:r>
      <w:r>
        <w:rPr>
          <w:color w:val="000000"/>
          <w:spacing w:val="0"/>
          <w:w w:val="100"/>
          <w:position w:val="0"/>
          <w:lang w:val="zh-CN" w:eastAsia="zh-CN" w:bidi="zh-CN"/>
        </w:rPr>
        <w:t>“所</w:t>
      </w:r>
      <w:r>
        <w:rPr>
          <w:color w:val="000000"/>
          <w:spacing w:val="0"/>
          <w:w w:val="100"/>
          <w:position w:val="0"/>
        </w:rPr>
        <w:t>有权凭证说</w:t>
      </w:r>
      <w:r>
        <w:rPr>
          <w:color w:val="000000"/>
          <w:spacing w:val="0"/>
          <w:w w:val="100"/>
          <w:position w:val="0"/>
          <w:lang w:val="zh-CN" w:eastAsia="zh-CN" w:bidi="zh-CN"/>
        </w:rPr>
        <w:t>”的反</w:t>
      </w:r>
      <w:r>
        <w:rPr>
          <w:color w:val="000000"/>
          <w:spacing w:val="0"/>
          <w:w w:val="100"/>
          <w:position w:val="0"/>
        </w:rPr>
        <w:t>思越来越多。例如，在“肯考帝亚农产品贸易 （上海）有限公司与广东富虹油品有限公司、第三人中国建设银行股份有限公司湛江市分行 所有权确认纠纷案</w:t>
      </w:r>
      <w:r>
        <w:rPr>
          <w:color w:val="000000"/>
          <w:spacing w:val="0"/>
          <w:w w:val="100"/>
          <w:position w:val="0"/>
          <w:lang w:val="zh-CN" w:eastAsia="zh-CN" w:bidi="zh-CN"/>
        </w:rPr>
        <w:t>”中,</w:t>
      </w:r>
      <w:r>
        <w:rPr>
          <w:color w:val="000000"/>
          <w:spacing w:val="0"/>
          <w:w w:val="100"/>
          <w:position w:val="0"/>
        </w:rPr>
        <w:t>一审法院认为，提单只是代表物权凭证,提单持有人拥有提单项下 货物的占有权［参见最高人民法院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民四终字第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号民事判决书，载《公报》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尽管</w:t>
      </w:r>
      <w:r>
        <w:rPr>
          <w:color w:val="000000"/>
          <w:spacing w:val="0"/>
          <w:w w:val="100"/>
          <w:position w:val="0"/>
          <w:lang w:val="zh-CN" w:eastAsia="zh-CN" w:bidi="zh-CN"/>
        </w:rPr>
        <w:t>“占有</w:t>
      </w:r>
      <w:r>
        <w:rPr>
          <w:color w:val="000000"/>
          <w:spacing w:val="0"/>
          <w:w w:val="100"/>
          <w:position w:val="0"/>
        </w:rPr>
        <w:t>权说”并不完全妥当，但至少将当事人的意思这一因素引入到提单持有人权利的 判定上，遗憾的是,该案判决并未分析当事人的意思表示具体发生何种作用。</w:t>
      </w:r>
    </w:p>
    <w:p w14:paraId="275A41C9">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尽管</w:t>
      </w:r>
      <w:r>
        <w:rPr>
          <w:color w:val="000000"/>
          <w:spacing w:val="0"/>
          <w:w w:val="100"/>
          <w:position w:val="0"/>
          <w:lang w:val="zh-CN" w:eastAsia="zh-CN" w:bidi="zh-CN"/>
        </w:rPr>
        <w:t>“所有</w:t>
      </w:r>
      <w:r>
        <w:rPr>
          <w:color w:val="000000"/>
          <w:spacing w:val="0"/>
          <w:w w:val="100"/>
          <w:position w:val="0"/>
        </w:rPr>
        <w:t>权凭证说”在司法实践中占据主流，但几乎没有法院认为跟单信用证交易下 持有提单的开证行享有所有权。很多法院认为，开证行享有担保物权，只是对是何种担保 物权及其如何产生，存在争议。多数法院在确认当事人之间存在有效的质押条款后，认可 开证行享有质权，如北京市第一中级人民法院</w:t>
      </w:r>
      <w:r>
        <w:rPr>
          <w:rFonts w:ascii="Times New Roman" w:hAnsi="Times New Roman" w:eastAsia="Times New Roman" w:cs="Times New Roman"/>
          <w:color w:val="000000"/>
          <w:spacing w:val="0"/>
          <w:w w:val="100"/>
          <w:position w:val="0"/>
          <w:sz w:val="19"/>
          <w:szCs w:val="19"/>
        </w:rPr>
        <w:t>（2002） —</w:t>
      </w:r>
      <w:r>
        <w:rPr>
          <w:color w:val="000000"/>
          <w:spacing w:val="0"/>
          <w:w w:val="100"/>
          <w:position w:val="0"/>
        </w:rPr>
        <w:t>中民终字第</w:t>
      </w:r>
      <w:r>
        <w:rPr>
          <w:rFonts w:ascii="Times New Roman" w:hAnsi="Times New Roman" w:eastAsia="Times New Roman" w:cs="Times New Roman"/>
          <w:color w:val="000000"/>
          <w:spacing w:val="0"/>
          <w:w w:val="100"/>
          <w:position w:val="0"/>
          <w:sz w:val="19"/>
          <w:szCs w:val="19"/>
        </w:rPr>
        <w:t>4007</w:t>
      </w:r>
      <w:r>
        <w:rPr>
          <w:color w:val="000000"/>
          <w:spacing w:val="0"/>
          <w:w w:val="100"/>
          <w:position w:val="0"/>
        </w:rPr>
        <w:t>号民事判决书、广 东省深圳市福田区人民法院</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深福法经初字第</w:t>
      </w:r>
      <w:r>
        <w:rPr>
          <w:rFonts w:ascii="Times New Roman" w:hAnsi="Times New Roman" w:eastAsia="Times New Roman" w:cs="Times New Roman"/>
          <w:color w:val="000000"/>
          <w:spacing w:val="0"/>
          <w:w w:val="100"/>
          <w:position w:val="0"/>
          <w:sz w:val="19"/>
          <w:szCs w:val="19"/>
        </w:rPr>
        <w:t>1186</w:t>
      </w:r>
      <w:r>
        <w:rPr>
          <w:color w:val="000000"/>
          <w:spacing w:val="0"/>
          <w:w w:val="100"/>
          <w:position w:val="0"/>
        </w:rPr>
        <w:t>号民事判决书。</w:t>
      </w:r>
    </w:p>
    <w:p w14:paraId="4BEFF268">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若当事人之间存在类似“货物单据及货物所有权归银行享有”的约定（如信托收据或进 口押汇协议），实践观点较为复杂。有法官认为，开证行取得物权凭证后，即实际拥有了货 物的所有权（所有权说）（李伦山：《进口押汇业务中若干法律问题之探析》，载《山东法官培训学院学 报》</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期）；也有法官认为，信托收据意味着当事人之间成立信托关系（信托关系 说），没有设定抵押或质押的意思（李元宏：《信托财产的所有权和受益权可由不同主体分享》，载 《人民司法-案例》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rPr>
        <w:t>期）；还有法官认为，信托收据可视为一种无名合同，其中关于 对信用证项下货物优先受偿权的约定因缺乏公示，不得对抗善意第三人（无名合同说）［最高 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民四终字第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号民事判决书，载《公报》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4AA3AC8">
      <w:pPr>
        <w:pStyle w:val="17"/>
        <w:keepNext w:val="0"/>
        <w:keepLines w:val="0"/>
        <w:widowControl w:val="0"/>
        <w:shd w:val="clear" w:color="auto" w:fill="auto"/>
        <w:bidi w:val="0"/>
        <w:spacing w:before="0" w:after="280" w:line="342" w:lineRule="exact"/>
        <w:ind w:left="0" w:right="0"/>
        <w:jc w:val="both"/>
      </w:pPr>
      <w:r>
        <w:rPr>
          <w:color w:val="000000"/>
          <w:spacing w:val="0"/>
          <w:w w:val="100"/>
          <w:position w:val="0"/>
        </w:rPr>
        <w:t>综上所述,提单是所有权凭证的观点在早期司法实践中占主流地位，但近期司法判决 不再持此观点。但是当事人意思表示对于判定提单持有人权利的作用尚未被完全揭示;在 判定持有提单的开证行的权利时，法院虽注重对当事人之间约定的审查，但大多仅停留于 是否存在设定质押的合意，尚未形成实质性的意思表示解释规则</w:t>
      </w:r>
    </w:p>
    <w:p w14:paraId="5EC0740B">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 xml:space="preserve">E </w:t>
      </w:r>
      <w:r>
        <w:rPr>
          <w:color w:val="000000"/>
          <w:spacing w:val="0"/>
          <w:w w:val="100"/>
          <w:position w:val="0"/>
        </w:rPr>
        <w:t>本判决的参考意义及将来的课题</w:t>
      </w:r>
    </w:p>
    <w:p w14:paraId="4E4AF540">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首先，本判决澄清了提单持有人能否取得物权以及取得何痴物权，取决于当事人之间 的约定，其将持有提单与占有动产相类比，在法律构造上与</w:t>
      </w:r>
      <w:r>
        <w:rPr>
          <w:color w:val="000000"/>
          <w:spacing w:val="0"/>
          <w:w w:val="100"/>
          <w:position w:val="0"/>
          <w:lang w:val="zh-CN" w:eastAsia="zh-CN" w:bidi="zh-CN"/>
        </w:rPr>
        <w:t>“物权</w:t>
      </w:r>
      <w:r>
        <w:rPr>
          <w:color w:val="000000"/>
          <w:spacing w:val="0"/>
          <w:w w:val="100"/>
          <w:position w:val="0"/>
        </w:rPr>
        <w:t>效力说</w:t>
      </w:r>
      <w:r>
        <w:rPr>
          <w:color w:val="000000"/>
          <w:spacing w:val="0"/>
          <w:w w:val="100"/>
          <w:position w:val="0"/>
          <w:lang w:val="zh-CN" w:eastAsia="zh-CN" w:bidi="zh-CN"/>
        </w:rPr>
        <w:t>”相</w:t>
      </w:r>
      <w:r>
        <w:rPr>
          <w:color w:val="000000"/>
          <w:spacing w:val="0"/>
          <w:w w:val="100"/>
          <w:position w:val="0"/>
        </w:rPr>
        <w:t>契合;其次，本 判决明确了在认定开证行与进口商的意思表示时,应基于合同整体并结合信用证交易特点 进行解释，相较于以往判决仅单纯审查当事人之间是否存在质押条款，显然更进一步;最 后，本案还提出了一些特殊的合同解释规则，如</w:t>
      </w:r>
      <w:r>
        <w:rPr>
          <w:color w:val="000000"/>
          <w:spacing w:val="0"/>
          <w:w w:val="100"/>
          <w:position w:val="0"/>
          <w:lang w:val="zh-CN" w:eastAsia="zh-CN" w:bidi="zh-CN"/>
        </w:rPr>
        <w:t>“有</w:t>
      </w:r>
      <w:r>
        <w:rPr>
          <w:color w:val="000000"/>
          <w:spacing w:val="0"/>
          <w:w w:val="100"/>
          <w:position w:val="0"/>
        </w:rPr>
        <w:t xml:space="preserve">效解释优先” </w:t>
      </w:r>
      <w:r>
        <w:rPr>
          <w:color w:val="000000"/>
          <w:spacing w:val="0"/>
          <w:w w:val="100"/>
          <w:position w:val="0"/>
          <w:lang w:val="zh-CN" w:eastAsia="zh-CN" w:bidi="zh-CN"/>
        </w:rPr>
        <w:t>“使每</w:t>
      </w:r>
      <w:r>
        <w:rPr>
          <w:color w:val="000000"/>
          <w:spacing w:val="0"/>
          <w:w w:val="100"/>
          <w:position w:val="0"/>
        </w:rPr>
        <w:t>个条款都有意义的解 释”，这在实践与学理上均有迹可循。</w:t>
      </w:r>
    </w:p>
    <w:p w14:paraId="24EB8F05">
      <w:pPr>
        <w:pStyle w:val="17"/>
        <w:keepNext w:val="0"/>
        <w:keepLines w:val="0"/>
        <w:widowControl w:val="0"/>
        <w:shd w:val="clear" w:color="auto" w:fill="auto"/>
        <w:bidi w:val="0"/>
        <w:spacing w:before="0" w:after="380" w:line="335" w:lineRule="exact"/>
        <w:ind w:left="0" w:right="0"/>
        <w:jc w:val="both"/>
      </w:pPr>
      <w:r>
        <w:rPr>
          <w:color w:val="000000"/>
          <w:spacing w:val="0"/>
          <w:w w:val="100"/>
          <w:position w:val="0"/>
        </w:rPr>
        <w:t>本判决的意义值得肯定，但亦存在以下问题，有待进一步思考:第一，当前司法实践逐 渐认可让与担保的效力，如</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年发布的《全国法院民商事审判工作会议纪要》第</w:t>
      </w:r>
      <w:r>
        <w:rPr>
          <w:rFonts w:ascii="Times New Roman" w:hAnsi="Times New Roman" w:eastAsia="Times New Roman" w:cs="Times New Roman"/>
          <w:color w:val="000000"/>
          <w:spacing w:val="0"/>
          <w:w w:val="100"/>
          <w:position w:val="0"/>
          <w:sz w:val="19"/>
          <w:szCs w:val="19"/>
        </w:rPr>
        <w:t>71</w:t>
      </w:r>
      <w:r>
        <w:rPr>
          <w:color w:val="000000"/>
          <w:spacing w:val="0"/>
          <w:w w:val="100"/>
          <w:position w:val="0"/>
        </w:rPr>
        <w:t>条有 明确依据,那么在以后的判决中，若当事人之间存在类似</w:t>
      </w:r>
      <w:r>
        <w:rPr>
          <w:color w:val="000000"/>
          <w:spacing w:val="0"/>
          <w:w w:val="100"/>
          <w:position w:val="0"/>
          <w:lang w:val="zh-CN" w:eastAsia="zh-CN" w:bidi="zh-CN"/>
        </w:rPr>
        <w:t>“货物</w:t>
      </w:r>
      <w:r>
        <w:rPr>
          <w:color w:val="000000"/>
          <w:spacing w:val="0"/>
          <w:w w:val="100"/>
          <w:position w:val="0"/>
        </w:rPr>
        <w:t>单据及货物所有权归银行” 的约定,是否应认定为让与担保;第二，让与担保若不进行有效公示,不宜认可其具有优先 效力,开证行持有提单可否等同于对货物的占有，由此起到公示作用，尚需澄清;第三，按照 意思表示解释探求真意的规则，若当事人对合同内容没有争议,应尊重当事人的一致理解, 本案原告主张其享有货物所有权，被告也认为原告</w:t>
      </w:r>
      <w:r>
        <w:rPr>
          <w:color w:val="000000"/>
          <w:spacing w:val="0"/>
          <w:w w:val="100"/>
          <w:position w:val="0"/>
          <w:lang w:val="zh-CN" w:eastAsia="zh-CN" w:bidi="zh-CN"/>
        </w:rPr>
        <w:t>“持有</w:t>
      </w:r>
      <w:r>
        <w:rPr>
          <w:color w:val="000000"/>
          <w:spacing w:val="0"/>
          <w:w w:val="100"/>
          <w:position w:val="0"/>
        </w:rPr>
        <w:t>信用证下单据,可凭单提货”，可见 当事人对于原告已取得或将取得所有权没有争议，此时法院是否可以径将当事人意思解释 为设定提单权利质押。</w:t>
      </w:r>
    </w:p>
    <w:p w14:paraId="0CD56C62">
      <w:pPr>
        <w:pStyle w:val="11"/>
        <w:keepNext w:val="0"/>
        <w:keepLines w:val="0"/>
        <w:widowControl w:val="0"/>
        <w:shd w:val="clear" w:color="auto" w:fill="auto"/>
        <w:bidi w:val="0"/>
        <w:spacing w:before="0" w:after="0" w:line="335" w:lineRule="exact"/>
        <w:ind w:left="0" w:right="0" w:firstLine="0"/>
        <w:jc w:val="both"/>
      </w:pPr>
      <w:r>
        <w:rPr>
          <w:i/>
          <w:iCs/>
          <w:color w:val="000000"/>
          <w:spacing w:val="0"/>
          <w:w w:val="100"/>
          <w:position w:val="0"/>
        </w:rPr>
        <w:t>回</w:t>
      </w:r>
      <w:r>
        <w:rPr>
          <w:color w:val="000000"/>
          <w:spacing w:val="0"/>
          <w:w w:val="100"/>
          <w:position w:val="0"/>
        </w:rPr>
        <w:t>参考文献</w:t>
      </w:r>
    </w:p>
    <w:p w14:paraId="53A3320F">
      <w:pPr>
        <w:pStyle w:val="17"/>
        <w:keepNext w:val="0"/>
        <w:keepLines w:val="0"/>
        <w:widowControl w:val="0"/>
        <w:shd w:val="clear" w:color="auto" w:fill="auto"/>
        <w:bidi w:val="0"/>
        <w:spacing w:before="0" w:after="0" w:line="335" w:lineRule="exact"/>
        <w:ind w:left="0" w:right="0" w:firstLine="0"/>
        <w:jc w:val="both"/>
      </w:pPr>
      <w:r>
        <w:rPr>
          <w:color w:val="000000"/>
          <w:spacing w:val="0"/>
          <w:w w:val="100"/>
          <w:position w:val="0"/>
        </w:rPr>
        <w:t>郭瑜:《论提单的物权性》，载《中国法学》</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45EFC297">
      <w:pPr>
        <w:pStyle w:val="17"/>
        <w:keepNext w:val="0"/>
        <w:keepLines w:val="0"/>
        <w:widowControl w:val="0"/>
        <w:shd w:val="clear" w:color="auto" w:fill="auto"/>
        <w:bidi w:val="0"/>
        <w:spacing w:before="0" w:after="0" w:line="335" w:lineRule="exact"/>
        <w:ind w:left="0" w:right="0" w:firstLine="0"/>
        <w:jc w:val="both"/>
      </w:pPr>
      <w:r>
        <w:rPr>
          <w:color w:val="000000"/>
          <w:spacing w:val="0"/>
          <w:w w:val="100"/>
          <w:position w:val="0"/>
        </w:rPr>
        <w:t>王文军:《提单之物权效力辨》，载《法学论坛》</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24BB9747">
      <w:pPr>
        <w:pStyle w:val="17"/>
        <w:keepNext w:val="0"/>
        <w:keepLines w:val="0"/>
        <w:widowControl w:val="0"/>
        <w:shd w:val="clear" w:color="auto" w:fill="auto"/>
        <w:bidi w:val="0"/>
        <w:spacing w:before="0" w:after="0" w:line="305" w:lineRule="exact"/>
        <w:ind w:left="0" w:right="0" w:firstLine="0"/>
        <w:jc w:val="left"/>
      </w:pPr>
      <w:r>
        <w:rPr>
          <w:color w:val="000000"/>
          <w:spacing w:val="0"/>
          <w:w w:val="100"/>
          <w:position w:val="0"/>
        </w:rPr>
        <w:t>庄加园：《提单上的请求权移转与货物物权变动——以德国法为视角》，载《东方法学》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周江洪:《日本法上的提单效力问题研究》，载《东方法学》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D2A1BC7">
      <w:pPr>
        <w:pStyle w:val="17"/>
        <w:keepNext w:val="0"/>
        <w:keepLines w:val="0"/>
        <w:widowControl w:val="0"/>
        <w:shd w:val="clear" w:color="auto" w:fill="auto"/>
        <w:bidi w:val="0"/>
        <w:spacing w:before="0" w:after="0" w:line="290" w:lineRule="exact"/>
        <w:ind w:left="180" w:right="0" w:hanging="180"/>
        <w:jc w:val="both"/>
      </w:pPr>
      <w:r>
        <w:rPr>
          <w:color w:val="000000"/>
          <w:spacing w:val="0"/>
          <w:w w:val="100"/>
          <w:position w:val="0"/>
        </w:rPr>
        <w:t>邵敏杰:《跟单信用证下银行提单担保权利</w:t>
      </w:r>
      <w:r>
        <w:rPr>
          <w:color w:val="000000"/>
          <w:spacing w:val="0"/>
          <w:w w:val="100"/>
          <w:position w:val="0"/>
          <w:lang w:val="en-US" w:eastAsia="en-US" w:bidi="en-US"/>
        </w:rPr>
        <w:t>一</w:t>
      </w:r>
      <w:r>
        <w:rPr>
          <w:color w:val="000000"/>
          <w:spacing w:val="0"/>
          <w:w w:val="100"/>
          <w:position w:val="0"/>
        </w:rPr>
        <w:t>一</w:t>
      </w:r>
      <w:r>
        <w:rPr>
          <w:color w:val="000000"/>
          <w:spacing w:val="0"/>
          <w:w w:val="100"/>
          <w:position w:val="0"/>
          <w:lang w:val="zh-CN" w:eastAsia="zh-CN" w:bidi="zh-CN"/>
        </w:rPr>
        <w:t>“建行</w:t>
      </w:r>
      <w:r>
        <w:rPr>
          <w:color w:val="000000"/>
          <w:spacing w:val="0"/>
          <w:w w:val="100"/>
          <w:position w:val="0"/>
        </w:rPr>
        <w:t>荔湾支行与蓝粤能源等信用证开证纠纷案</w:t>
      </w:r>
      <w:r>
        <w:rPr>
          <w:color w:val="000000"/>
          <w:spacing w:val="0"/>
          <w:w w:val="100"/>
          <w:position w:val="0"/>
          <w:lang w:val="zh-CN" w:eastAsia="zh-CN" w:bidi="zh-CN"/>
        </w:rPr>
        <w:t xml:space="preserve">”评 </w:t>
      </w:r>
      <w:r>
        <w:rPr>
          <w:color w:val="000000"/>
          <w:spacing w:val="0"/>
          <w:w w:val="100"/>
          <w:position w:val="0"/>
        </w:rPr>
        <w:t>释》，载《交大法学》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87F082B">
      <w:pPr>
        <w:pStyle w:val="17"/>
        <w:keepNext w:val="0"/>
        <w:keepLines w:val="0"/>
        <w:widowControl w:val="0"/>
        <w:shd w:val="clear" w:color="auto" w:fill="auto"/>
        <w:bidi w:val="0"/>
        <w:spacing w:before="0" w:after="0" w:line="335" w:lineRule="exact"/>
        <w:ind w:left="0" w:right="0" w:firstLine="0"/>
        <w:jc w:val="left"/>
        <w:sectPr>
          <w:headerReference r:id="rId116" w:type="default"/>
          <w:headerReference r:id="rId117" w:type="even"/>
          <w:footnotePr>
            <w:numFmt w:val="chicago"/>
          </w:footnotePr>
          <w:pgSz w:w="10099" w:h="14782"/>
          <w:pgMar w:top="1292" w:right="1016" w:bottom="1106" w:left="1080" w:header="0" w:footer="3" w:gutter="0"/>
          <w:pgNumType w:start="77"/>
          <w:cols w:space="720" w:num="1"/>
          <w:rtlGutter w:val="0"/>
          <w:docGrid w:linePitch="360" w:charSpace="0"/>
        </w:sectPr>
      </w:pPr>
      <w:r>
        <w:rPr>
          <w:color w:val="000000"/>
          <w:spacing w:val="0"/>
          <w:w w:val="100"/>
          <w:position w:val="0"/>
        </w:rPr>
        <w:t>刘斌:《信托收据的权利逻辑与规范完善》，载《法律科学》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04D301F">
      <w:pPr>
        <w:widowControl w:val="0"/>
        <w:spacing w:line="1" w:lineRule="exact"/>
      </w:pPr>
      <w:r>
        <w:drawing>
          <wp:anchor distT="0" distB="0" distL="114300" distR="3365500" simplePos="0" relativeHeight="251660288" behindDoc="0" locked="0" layoutInCell="1" allowOverlap="1">
            <wp:simplePos x="0" y="0"/>
            <wp:positionH relativeFrom="page">
              <wp:posOffset>669925</wp:posOffset>
            </wp:positionH>
            <wp:positionV relativeFrom="paragraph">
              <wp:posOffset>12700</wp:posOffset>
            </wp:positionV>
            <wp:extent cx="481330" cy="414655"/>
            <wp:effectExtent l="0" t="0" r="1270" b="4445"/>
            <wp:wrapTopAndBottom/>
            <wp:docPr id="255" name="Shape 255"/>
            <wp:cNvGraphicFramePr/>
            <a:graphic xmlns:a="http://schemas.openxmlformats.org/drawingml/2006/main">
              <a:graphicData uri="http://schemas.openxmlformats.org/drawingml/2006/picture">
                <pic:pic xmlns:pic="http://schemas.openxmlformats.org/drawingml/2006/picture">
                  <pic:nvPicPr>
                    <pic:cNvPr id="255" name="Shape 255"/>
                    <pic:cNvPicPr/>
                  </pic:nvPicPr>
                  <pic:blipFill>
                    <a:blip r:embed="rId613"/>
                    <a:stretch>
                      <a:fillRect/>
                    </a:stretch>
                  </pic:blipFill>
                  <pic:spPr>
                    <a:xfrm>
                      <a:off x="0" y="0"/>
                      <a:ext cx="481330" cy="414655"/>
                    </a:xfrm>
                    <a:prstGeom prst="rect">
                      <a:avLst/>
                    </a:prstGeom>
                  </pic:spPr>
                </pic:pic>
              </a:graphicData>
            </a:graphic>
          </wp:anchor>
        </w:drawing>
      </w:r>
      <w:r>
        <mc:AlternateContent>
          <mc:Choice Requires="wps">
            <w:drawing>
              <wp:anchor distT="133985" distB="40005" distL="727075" distR="114300" simplePos="0" relativeHeight="251660288" behindDoc="0" locked="0" layoutInCell="1" allowOverlap="1">
                <wp:simplePos x="0" y="0"/>
                <wp:positionH relativeFrom="page">
                  <wp:posOffset>1282700</wp:posOffset>
                </wp:positionH>
                <wp:positionV relativeFrom="paragraph">
                  <wp:posOffset>146685</wp:posOffset>
                </wp:positionV>
                <wp:extent cx="3119755" cy="237490"/>
                <wp:effectExtent l="0" t="0" r="0" b="0"/>
                <wp:wrapTopAndBottom/>
                <wp:docPr id="257" name="Shape 257"/>
                <wp:cNvGraphicFramePr/>
                <a:graphic xmlns:a="http://schemas.openxmlformats.org/drawingml/2006/main">
                  <a:graphicData uri="http://schemas.microsoft.com/office/word/2010/wordprocessingShape">
                    <wps:wsp>
                      <wps:cNvSpPr txBox="1"/>
                      <wps:spPr>
                        <a:xfrm>
                          <a:off x="0" y="0"/>
                          <a:ext cx="3119755" cy="237490"/>
                        </a:xfrm>
                        <a:prstGeom prst="rect">
                          <a:avLst/>
                        </a:prstGeom>
                        <a:noFill/>
                      </wps:spPr>
                      <wps:txbx>
                        <w:txbxContent>
                          <w:p w14:paraId="39218753">
                            <w:pPr>
                              <w:pStyle w:val="15"/>
                              <w:keepNext/>
                              <w:keepLines/>
                              <w:widowControl w:val="0"/>
                              <w:shd w:val="clear" w:color="auto" w:fill="auto"/>
                              <w:bidi w:val="0"/>
                              <w:spacing w:before="0" w:after="0" w:line="240" w:lineRule="auto"/>
                              <w:ind w:left="0" w:right="0" w:firstLine="0"/>
                              <w:jc w:val="left"/>
                            </w:pPr>
                            <w:bookmarkStart w:id="279" w:name="bookmark116"/>
                            <w:bookmarkStart w:id="280" w:name="bookmark118"/>
                            <w:bookmarkStart w:id="281" w:name="bookmark117"/>
                            <w:r>
                              <w:rPr>
                                <w:color w:val="000000"/>
                                <w:spacing w:val="0"/>
                                <w:w w:val="100"/>
                                <w:position w:val="0"/>
                              </w:rPr>
                              <w:t>恶意串通、通谋虚伪与债权人撤销权</w:t>
                            </w:r>
                            <w:bookmarkEnd w:id="279"/>
                            <w:bookmarkEnd w:id="280"/>
                            <w:bookmarkEnd w:id="281"/>
                          </w:p>
                        </w:txbxContent>
                      </wps:txbx>
                      <wps:bodyPr wrap="none" lIns="0" tIns="0" rIns="0" bIns="0">
                        <a:noAutofit/>
                      </wps:bodyPr>
                    </wps:wsp>
                  </a:graphicData>
                </a:graphic>
              </wp:anchor>
            </w:drawing>
          </mc:Choice>
          <mc:Fallback>
            <w:pict>
              <v:shape id="Shape 257" o:spid="_x0000_s1026" o:spt="202" type="#_x0000_t202" style="position:absolute;left:0pt;margin-left:101pt;margin-top:11.55pt;height:18.7pt;width:245.65pt;mso-position-horizontal-relative:page;mso-wrap-distance-bottom:3.15pt;mso-wrap-distance-top:10.55pt;mso-wrap-style:none;z-index:251660288;mso-width-relative:page;mso-height-relative:page;" filled="f" stroked="f" coordsize="21600,21600" o:gfxdata="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FTXAd&#10;1gAAAAkBAAAPAAAAAAAAAAEAIAAAACIAAABkcnMvZG93bnJldi54bWxQSwECFAAUAAAACACHTuJA&#10;RBeXZLEBAAB0AwAADgAAAAAAAAABACAAAAAlAQAAZHJzL2Uyb0RvYy54bWxQSwUGAAAAAAYABgBZ&#10;AQAASAUAAAAA&#10;">
                <v:fill on="f" focussize="0,0"/>
                <v:stroke on="f"/>
                <v:imagedata o:title=""/>
                <o:lock v:ext="edit" aspectratio="f"/>
                <v:textbox inset="0mm,0mm,0mm,0mm">
                  <w:txbxContent>
                    <w:p w14:paraId="39218753">
                      <w:pPr>
                        <w:pStyle w:val="15"/>
                        <w:keepNext/>
                        <w:keepLines/>
                        <w:widowControl w:val="0"/>
                        <w:shd w:val="clear" w:color="auto" w:fill="auto"/>
                        <w:bidi w:val="0"/>
                        <w:spacing w:before="0" w:after="0" w:line="240" w:lineRule="auto"/>
                        <w:ind w:left="0" w:right="0" w:firstLine="0"/>
                        <w:jc w:val="left"/>
                      </w:pPr>
                      <w:bookmarkStart w:id="279" w:name="bookmark116"/>
                      <w:bookmarkStart w:id="280" w:name="bookmark118"/>
                      <w:bookmarkStart w:id="281" w:name="bookmark117"/>
                      <w:r>
                        <w:rPr>
                          <w:color w:val="000000"/>
                          <w:spacing w:val="0"/>
                          <w:w w:val="100"/>
                          <w:position w:val="0"/>
                        </w:rPr>
                        <w:t>恶意串通、通谋虚伪与债权人撤销权</w:t>
                      </w:r>
                      <w:bookmarkEnd w:id="279"/>
                      <w:bookmarkEnd w:id="280"/>
                      <w:bookmarkEnd w:id="281"/>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5083810</wp:posOffset>
            </wp:positionH>
            <wp:positionV relativeFrom="paragraph">
              <wp:posOffset>274320</wp:posOffset>
            </wp:positionV>
            <wp:extent cx="579120" cy="621665"/>
            <wp:effectExtent l="0" t="0" r="5080" b="635"/>
            <wp:wrapSquare wrapText="left"/>
            <wp:docPr id="259" name="Shape 259"/>
            <wp:cNvGraphicFramePr/>
            <a:graphic xmlns:a="http://schemas.openxmlformats.org/drawingml/2006/main">
              <a:graphicData uri="http://schemas.openxmlformats.org/drawingml/2006/picture">
                <pic:pic xmlns:pic="http://schemas.openxmlformats.org/drawingml/2006/picture">
                  <pic:nvPicPr>
                    <pic:cNvPr id="259" name="Shape 259"/>
                    <pic:cNvPicPr/>
                  </pic:nvPicPr>
                  <pic:blipFill>
                    <a:blip r:embed="rId614"/>
                    <a:stretch>
                      <a:fillRect/>
                    </a:stretch>
                  </pic:blipFill>
                  <pic:spPr>
                    <a:xfrm>
                      <a:off x="0" y="0"/>
                      <a:ext cx="579120" cy="621665"/>
                    </a:xfrm>
                    <a:prstGeom prst="rect">
                      <a:avLst/>
                    </a:prstGeom>
                  </pic:spPr>
                </pic:pic>
              </a:graphicData>
            </a:graphic>
          </wp:anchor>
        </w:drawing>
      </w:r>
    </w:p>
    <w:p w14:paraId="36ACD12A">
      <w:pPr>
        <w:pStyle w:val="17"/>
        <w:keepNext w:val="0"/>
        <w:keepLines w:val="0"/>
        <w:widowControl w:val="0"/>
        <w:shd w:val="clear" w:color="auto" w:fill="auto"/>
        <w:bidi w:val="0"/>
        <w:spacing w:before="0" w:after="380" w:line="322" w:lineRule="exact"/>
        <w:ind w:left="1020" w:right="0" w:firstLine="0"/>
        <w:jc w:val="both"/>
      </w:pPr>
      <w:r>
        <w:rPr>
          <w:color w:val="000000"/>
          <w:spacing w:val="0"/>
          <w:w w:val="100"/>
          <w:position w:val="0"/>
        </w:rPr>
        <w:t>瑞士嘉吉国际公司诉福建金石制油有限公司等确认合同无效纠纷 案丨最高人民法院第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号指导性案例</w:t>
      </w:r>
    </w:p>
    <w:p w14:paraId="2DD613DC">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 xml:space="preserve">茅少伟 </w:t>
      </w:r>
      <w:r>
        <w:rPr>
          <w:color w:val="000000"/>
          <w:spacing w:val="0"/>
          <w:w w:val="100"/>
          <w:position w:val="0"/>
        </w:rPr>
        <w:t>北京大学国际法学院</w:t>
      </w:r>
    </w:p>
    <w:p w14:paraId="131E8DEC">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DF9048A">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瑞士嘉吉公司（以下简称嘉吉公司）与福建金石公司及大连金石公司、沈阳金豆公司等 关联公司（以下统称金石集团）因买卖大豆发生争议，双方在国际仲裁过程中于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6 </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日达成《和解协议》，约定金石集团将在五年内分期偿还债务，并将福建金石公司的全 部资产，包括土地使用权、建筑物和固着物、所有设备及其他财产抵押给嘉吉公司作为担 保。</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 xml:space="preserve">日，根据该《和解协议》，仲裁裁决确认金石集团应向嘉吉公司支付 </w:t>
      </w:r>
      <w:r>
        <w:rPr>
          <w:rFonts w:ascii="Times New Roman" w:hAnsi="Times New Roman" w:eastAsia="Times New Roman" w:cs="Times New Roman"/>
          <w:color w:val="000000"/>
          <w:spacing w:val="0"/>
          <w:w w:val="100"/>
          <w:position w:val="0"/>
          <w:sz w:val="19"/>
          <w:szCs w:val="19"/>
        </w:rPr>
        <w:t>1337</w:t>
      </w:r>
      <w:r>
        <w:rPr>
          <w:color w:val="000000"/>
          <w:spacing w:val="0"/>
          <w:w w:val="100"/>
          <w:position w:val="0"/>
        </w:rPr>
        <w:t>万美元。</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月，因金石集团未履行该仲裁裁决，福建金石公司也未配合进行资 产抵押，嘉吉公司向厦门市中级人民法院申请承认和执行该仲裁裁决。</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 法院经审查后裁定对该仲裁裁决的法律效力予以承认和执行。该裁定生效后，嘉吉公司申 请强制执行。</w:t>
      </w:r>
    </w:p>
    <w:p w14:paraId="2ED0889C">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日，福建金石公司与田源公司签订《国有土地使用权及资产买卖合同》， 约定福建金石公司将其国有土地使用权</w:t>
      </w:r>
      <w:r>
        <w:rPr>
          <w:rFonts w:ascii="Times New Roman" w:hAnsi="Times New Roman" w:eastAsia="Times New Roman" w:cs="Times New Roman"/>
          <w:color w:val="000000"/>
          <w:spacing w:val="0"/>
          <w:w w:val="100"/>
          <w:position w:val="0"/>
          <w:sz w:val="19"/>
          <w:szCs w:val="19"/>
        </w:rPr>
        <w:t>（32, 138</w:t>
      </w:r>
      <w:r>
        <w:rPr>
          <w:color w:val="000000"/>
          <w:spacing w:val="0"/>
          <w:w w:val="100"/>
          <w:position w:val="0"/>
        </w:rPr>
        <w:t>平方米，于</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日以</w:t>
      </w:r>
      <w:r>
        <w:rPr>
          <w:rFonts w:ascii="Times New Roman" w:hAnsi="Times New Roman" w:eastAsia="Times New Roman" w:cs="Times New Roman"/>
          <w:color w:val="000000"/>
          <w:spacing w:val="0"/>
          <w:w w:val="100"/>
          <w:position w:val="0"/>
          <w:sz w:val="19"/>
          <w:szCs w:val="19"/>
          <w:lang w:val="en-US" w:eastAsia="en-US" w:bidi="en-US"/>
        </w:rPr>
        <w:t xml:space="preserve">482.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万 元取得）、厂房、办公楼和油脂生产设备等全部固定资产以</w:t>
      </w:r>
      <w:r>
        <w:rPr>
          <w:rFonts w:ascii="Times New Roman" w:hAnsi="Times New Roman" w:eastAsia="Times New Roman" w:cs="Times New Roman"/>
          <w:color w:val="000000"/>
          <w:spacing w:val="0"/>
          <w:w w:val="100"/>
          <w:position w:val="0"/>
          <w:sz w:val="19"/>
          <w:szCs w:val="19"/>
        </w:rPr>
        <w:t>2569</w:t>
      </w:r>
      <w:r>
        <w:rPr>
          <w:color w:val="000000"/>
          <w:spacing w:val="0"/>
          <w:w w:val="100"/>
          <w:position w:val="0"/>
        </w:rPr>
        <w:t>万元人民币（以下均为人民 币）的价格转让给田源公司，其中国有土地使用权作价</w:t>
      </w:r>
      <w:r>
        <w:rPr>
          <w:rFonts w:ascii="Times New Roman" w:hAnsi="Times New Roman" w:eastAsia="Times New Roman" w:cs="Times New Roman"/>
          <w:color w:val="000000"/>
          <w:spacing w:val="0"/>
          <w:w w:val="100"/>
          <w:position w:val="0"/>
          <w:sz w:val="19"/>
          <w:szCs w:val="19"/>
        </w:rPr>
        <w:t>464</w:t>
      </w:r>
      <w:r>
        <w:rPr>
          <w:color w:val="000000"/>
          <w:spacing w:val="0"/>
          <w:w w:val="100"/>
          <w:position w:val="0"/>
        </w:rPr>
        <w:t>万元、房屋及设备作价</w:t>
      </w:r>
      <w:r>
        <w:rPr>
          <w:rFonts w:ascii="Times New Roman" w:hAnsi="Times New Roman" w:eastAsia="Times New Roman" w:cs="Times New Roman"/>
          <w:color w:val="000000"/>
          <w:spacing w:val="0"/>
          <w:w w:val="100"/>
          <w:position w:val="0"/>
          <w:sz w:val="19"/>
          <w:szCs w:val="19"/>
        </w:rPr>
        <w:t>2105</w:t>
      </w:r>
      <w:r>
        <w:rPr>
          <w:color w:val="000000"/>
          <w:spacing w:val="0"/>
          <w:w w:val="100"/>
          <w:position w:val="0"/>
        </w:rPr>
        <w:t>万 元，应在合同生效后</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日内支付全部价款。王晓琪和柳锋分别作为福建金石公司与田源公 司的法定代表人在合同上签名。</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日，福建金石公司与田源公司对买卖合同 项下标的物进行了交接。同年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 xml:space="preserve">日，田源公司向福建金石公司在同一银行的账户转入 </w:t>
      </w:r>
      <w:r>
        <w:rPr>
          <w:rFonts w:ascii="Times New Roman" w:hAnsi="Times New Roman" w:eastAsia="Times New Roman" w:cs="Times New Roman"/>
          <w:color w:val="000000"/>
          <w:spacing w:val="0"/>
          <w:w w:val="100"/>
          <w:position w:val="0"/>
          <w:sz w:val="19"/>
          <w:szCs w:val="19"/>
        </w:rPr>
        <w:t>2500</w:t>
      </w:r>
      <w:r>
        <w:rPr>
          <w:color w:val="000000"/>
          <w:spacing w:val="0"/>
          <w:w w:val="100"/>
          <w:position w:val="0"/>
        </w:rPr>
        <w:t>万元。福建金石公司当日从该账户汇出</w:t>
      </w:r>
      <w:r>
        <w:rPr>
          <w:rFonts w:ascii="Times New Roman" w:hAnsi="Times New Roman" w:eastAsia="Times New Roman" w:cs="Times New Roman"/>
          <w:color w:val="000000"/>
          <w:spacing w:val="0"/>
          <w:w w:val="100"/>
          <w:position w:val="0"/>
          <w:sz w:val="19"/>
          <w:szCs w:val="19"/>
        </w:rPr>
        <w:t>1300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1200</w:t>
      </w:r>
      <w:r>
        <w:rPr>
          <w:color w:val="000000"/>
          <w:spacing w:val="0"/>
          <w:w w:val="100"/>
          <w:position w:val="0"/>
        </w:rPr>
        <w:t>万元两笔款项至大连金石公 司账户，用途为往来款。同年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日，田源公司取得上述国有土地使用权证。</w:t>
      </w:r>
    </w:p>
    <w:p w14:paraId="3E83008C">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日，田源公司与汇丰源公司签订《买卖合同》，转让上述国有土地使用权 及地上建筑物、设备等，总价款为</w:t>
      </w:r>
      <w:r>
        <w:rPr>
          <w:rFonts w:ascii="Times New Roman" w:hAnsi="Times New Roman" w:eastAsia="Times New Roman" w:cs="Times New Roman"/>
          <w:color w:val="000000"/>
          <w:spacing w:val="0"/>
          <w:w w:val="100"/>
          <w:position w:val="0"/>
          <w:sz w:val="19"/>
          <w:szCs w:val="19"/>
        </w:rPr>
        <w:t>2669</w:t>
      </w:r>
      <w:r>
        <w:rPr>
          <w:color w:val="000000"/>
          <w:spacing w:val="0"/>
          <w:w w:val="100"/>
          <w:position w:val="0"/>
        </w:rPr>
        <w:t>万元,其中土地价款</w:t>
      </w:r>
      <w:r>
        <w:rPr>
          <w:rFonts w:ascii="Times New Roman" w:hAnsi="Times New Roman" w:eastAsia="Times New Roman" w:cs="Times New Roman"/>
          <w:color w:val="000000"/>
          <w:spacing w:val="0"/>
          <w:w w:val="100"/>
          <w:position w:val="0"/>
          <w:sz w:val="19"/>
          <w:szCs w:val="19"/>
        </w:rPr>
        <w:t>603</w:t>
      </w:r>
      <w:r>
        <w:rPr>
          <w:color w:val="000000"/>
          <w:spacing w:val="0"/>
          <w:w w:val="100"/>
          <w:position w:val="0"/>
        </w:rPr>
        <w:t>万元、房屋价款</w:t>
      </w:r>
      <w:r>
        <w:rPr>
          <w:rFonts w:ascii="Times New Roman" w:hAnsi="Times New Roman" w:eastAsia="Times New Roman" w:cs="Times New Roman"/>
          <w:color w:val="000000"/>
          <w:spacing w:val="0"/>
          <w:w w:val="100"/>
          <w:position w:val="0"/>
          <w:sz w:val="19"/>
          <w:szCs w:val="19"/>
        </w:rPr>
        <w:t>334</w:t>
      </w:r>
      <w:r>
        <w:rPr>
          <w:color w:val="000000"/>
          <w:spacing w:val="0"/>
          <w:w w:val="100"/>
          <w:position w:val="0"/>
        </w:rPr>
        <w:t>万元、设 备价款</w:t>
      </w:r>
      <w:r>
        <w:rPr>
          <w:rFonts w:ascii="Times New Roman" w:hAnsi="Times New Roman" w:eastAsia="Times New Roman" w:cs="Times New Roman"/>
          <w:color w:val="000000"/>
          <w:spacing w:val="0"/>
          <w:w w:val="100"/>
          <w:position w:val="0"/>
          <w:sz w:val="19"/>
          <w:szCs w:val="19"/>
        </w:rPr>
        <w:t>1732</w:t>
      </w:r>
      <w:r>
        <w:rPr>
          <w:color w:val="000000"/>
          <w:spacing w:val="0"/>
          <w:w w:val="100"/>
          <w:position w:val="0"/>
        </w:rPr>
        <w:t>万元。汇丰源公司于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月取得上述国有土地使用权证。汇丰源公司仅 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日向田源公司付款</w:t>
      </w:r>
      <w:r>
        <w:rPr>
          <w:rFonts w:ascii="Times New Roman" w:hAnsi="Times New Roman" w:eastAsia="Times New Roman" w:cs="Times New Roman"/>
          <w:color w:val="000000"/>
          <w:spacing w:val="0"/>
          <w:w w:val="100"/>
          <w:position w:val="0"/>
          <w:sz w:val="19"/>
          <w:szCs w:val="19"/>
        </w:rPr>
        <w:t>569</w:t>
      </w:r>
      <w:r>
        <w:rPr>
          <w:color w:val="000000"/>
          <w:spacing w:val="0"/>
          <w:w w:val="100"/>
          <w:position w:val="0"/>
        </w:rPr>
        <w:t>万元,此后未付其余价款。</w:t>
      </w:r>
    </w:p>
    <w:p w14:paraId="51698189">
      <w:pPr>
        <w:pStyle w:val="17"/>
        <w:keepNext w:val="0"/>
        <w:keepLines w:val="0"/>
        <w:widowControl w:val="0"/>
        <w:shd w:val="clear" w:color="auto" w:fill="auto"/>
        <w:bidi w:val="0"/>
        <w:spacing w:before="0" w:after="220" w:line="335" w:lineRule="exact"/>
        <w:ind w:left="0" w:right="0" w:firstLine="420"/>
        <w:jc w:val="both"/>
        <w:sectPr>
          <w:headerReference r:id="rId118" w:type="default"/>
          <w:headerReference r:id="rId119" w:type="even"/>
          <w:footnotePr>
            <w:numFmt w:val="chicago"/>
          </w:footnotePr>
          <w:pgSz w:w="10099" w:h="14782"/>
          <w:pgMar w:top="1307" w:right="1087" w:bottom="1107" w:left="1007" w:header="879" w:footer="679" w:gutter="0"/>
          <w:pgNumType w:start="97"/>
          <w:cols w:space="720" w:num="1"/>
          <w:rtlGutter w:val="0"/>
          <w:docGrid w:linePitch="360" w:charSpace="0"/>
        </w:sectPr>
      </w:pPr>
      <w:r>
        <w:rPr>
          <w:color w:val="000000"/>
          <w:spacing w:val="0"/>
          <w:w w:val="100"/>
          <w:position w:val="0"/>
        </w:rPr>
        <w:t>田源公司与金石集团旗下公司的直接或间接控制人均为王政良、王晓莉、王晓琪、柳 锋。王政良与王晓琪、王晓莉是父女关系，柳锋与王晓琪是夫妻关系。</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 中纺粮油公司取得田源公司</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的股权，后田源公司更名为中纺福建公司。</w:t>
      </w:r>
    </w:p>
    <w:p w14:paraId="21C64E0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汇丰源公司成立于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日，原股东为宋明权、杨淑莉。</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日，中 纺粮油公司和宋明权、杨淑莉签订《股权转让协议》，购买汇丰源公司</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的股权。同日，中 纺粮油公司（甲方）、汇丰源公司（乙方）、宋明权和杨淑莉（丙方）及沈阳金豆公司（丁方）签 订《股权质押协议》，约定:丙方将所持汇丰源公司</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的股权质押给甲方，作为乙方、丙方、 丁方履行“合同义务</w:t>
      </w:r>
      <w:r>
        <w:rPr>
          <w:color w:val="000000"/>
          <w:spacing w:val="0"/>
          <w:w w:val="100"/>
          <w:position w:val="0"/>
          <w:lang w:val="zh-CN" w:eastAsia="zh-CN" w:bidi="zh-CN"/>
        </w:rPr>
        <w:t>”之</w:t>
      </w:r>
      <w:r>
        <w:rPr>
          <w:color w:val="000000"/>
          <w:spacing w:val="0"/>
          <w:w w:val="100"/>
          <w:position w:val="0"/>
        </w:rPr>
        <w:t>担保;</w:t>
      </w:r>
      <w:r>
        <w:rPr>
          <w:color w:val="000000"/>
          <w:spacing w:val="0"/>
          <w:w w:val="100"/>
          <w:position w:val="0"/>
          <w:lang w:val="zh-CN" w:eastAsia="zh-CN" w:bidi="zh-CN"/>
        </w:rPr>
        <w:t>“合</w:t>
      </w:r>
      <w:r>
        <w:rPr>
          <w:color w:val="000000"/>
          <w:spacing w:val="0"/>
          <w:w w:val="100"/>
          <w:position w:val="0"/>
        </w:rPr>
        <w:t>同义务</w:t>
      </w:r>
      <w:r>
        <w:rPr>
          <w:color w:val="000000"/>
          <w:spacing w:val="0"/>
          <w:w w:val="100"/>
          <w:position w:val="0"/>
          <w:lang w:val="zh-CN" w:eastAsia="zh-CN" w:bidi="zh-CN"/>
        </w:rPr>
        <w:t>”指</w:t>
      </w:r>
      <w:r>
        <w:rPr>
          <w:color w:val="000000"/>
          <w:spacing w:val="0"/>
          <w:w w:val="100"/>
          <w:position w:val="0"/>
        </w:rPr>
        <w:t>乙方、丙方在《股权转让协议》及《股权质押协 议》项下因</w:t>
      </w:r>
      <w:r>
        <w:rPr>
          <w:color w:val="000000"/>
          <w:spacing w:val="0"/>
          <w:w w:val="100"/>
          <w:position w:val="0"/>
          <w:lang w:val="zh-CN" w:eastAsia="zh-CN" w:bidi="zh-CN"/>
        </w:rPr>
        <w:t>“红</w:t>
      </w:r>
      <w:r>
        <w:rPr>
          <w:color w:val="000000"/>
          <w:spacing w:val="0"/>
          <w:w w:val="100"/>
          <w:position w:val="0"/>
        </w:rPr>
        <w:t>豆事件</w:t>
      </w:r>
      <w:r>
        <w:rPr>
          <w:color w:val="000000"/>
          <w:spacing w:val="0"/>
          <w:w w:val="100"/>
          <w:position w:val="0"/>
          <w:lang w:val="zh-CN" w:eastAsia="zh-CN" w:bidi="zh-CN"/>
        </w:rPr>
        <w:t>”产生</w:t>
      </w:r>
      <w:r>
        <w:rPr>
          <w:color w:val="000000"/>
          <w:spacing w:val="0"/>
          <w:w w:val="100"/>
          <w:position w:val="0"/>
        </w:rPr>
        <w:t>的所有责任和义务;</w:t>
      </w:r>
      <w:r>
        <w:rPr>
          <w:color w:val="000000"/>
          <w:spacing w:val="0"/>
          <w:w w:val="100"/>
          <w:position w:val="0"/>
          <w:lang w:val="zh-CN" w:eastAsia="zh-CN" w:bidi="zh-CN"/>
        </w:rPr>
        <w:t>“红</w:t>
      </w:r>
      <w:r>
        <w:rPr>
          <w:color w:val="000000"/>
          <w:spacing w:val="0"/>
          <w:w w:val="100"/>
          <w:position w:val="0"/>
        </w:rPr>
        <w:t>豆事件</w:t>
      </w:r>
      <w:r>
        <w:rPr>
          <w:color w:val="000000"/>
          <w:spacing w:val="0"/>
          <w:w w:val="100"/>
          <w:position w:val="0"/>
          <w:lang w:val="zh-CN" w:eastAsia="zh-CN" w:bidi="zh-CN"/>
        </w:rPr>
        <w:t>”指</w:t>
      </w:r>
      <w:r>
        <w:rPr>
          <w:color w:val="000000"/>
          <w:spacing w:val="0"/>
          <w:w w:val="100"/>
          <w:position w:val="0"/>
        </w:rPr>
        <w:t>嘉吉公司与金石集团就进口 大豆中掺杂红豆原因而引发的涉及金石集团的一系列诉讼及仲裁纠纷以及与此有关的涉 及汇丰源公司的一系列诉讼及仲裁纠纷。还约定，下述情形同时出现之日，视为乙方和丙 方的</w:t>
      </w:r>
      <w:r>
        <w:rPr>
          <w:color w:val="000000"/>
          <w:spacing w:val="0"/>
          <w:w w:val="100"/>
          <w:position w:val="0"/>
          <w:lang w:val="zh-CN" w:eastAsia="zh-CN" w:bidi="zh-CN"/>
        </w:rPr>
        <w:t>“合</w:t>
      </w:r>
      <w:r>
        <w:rPr>
          <w:color w:val="000000"/>
          <w:spacing w:val="0"/>
          <w:w w:val="100"/>
          <w:position w:val="0"/>
        </w:rPr>
        <w:t>同义务</w:t>
      </w:r>
      <w:r>
        <w:rPr>
          <w:color w:val="000000"/>
          <w:spacing w:val="0"/>
          <w:w w:val="100"/>
          <w:position w:val="0"/>
          <w:lang w:val="zh-CN" w:eastAsia="zh-CN" w:bidi="zh-CN"/>
        </w:rPr>
        <w:t>”已完</w:t>
      </w:r>
      <w:r>
        <w:rPr>
          <w:color w:val="000000"/>
          <w:spacing w:val="0"/>
          <w:w w:val="100"/>
          <w:position w:val="0"/>
        </w:rPr>
        <w:t>全履行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）因“红豆事件</w:t>
      </w:r>
      <w:r>
        <w:rPr>
          <w:color w:val="000000"/>
          <w:spacing w:val="0"/>
          <w:w w:val="100"/>
          <w:position w:val="0"/>
          <w:lang w:val="zh-CN" w:eastAsia="zh-CN" w:bidi="zh-CN"/>
        </w:rPr>
        <w:t>”引</w:t>
      </w:r>
      <w:r>
        <w:rPr>
          <w:color w:val="000000"/>
          <w:spacing w:val="0"/>
          <w:w w:val="100"/>
          <w:position w:val="0"/>
        </w:rPr>
        <w:t>发的任何诉讼、仲裁案件的全部审理及 执行程序均已终结，且乙方未遭受财产损失；</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嘉吉公司针对乙方所涉合同可能存在的撤 销权因超过法律规定的最长期间</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年）而消灭。</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日，中纺粮油公司取得汇 丰源公司</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的股权。汇丰源公司成立后并未实际经营。</w:t>
      </w:r>
    </w:p>
    <w:p w14:paraId="0990D0B0">
      <w:pPr>
        <w:pStyle w:val="17"/>
        <w:keepNext w:val="0"/>
        <w:keepLines w:val="0"/>
        <w:widowControl w:val="0"/>
        <w:shd w:val="clear" w:color="auto" w:fill="auto"/>
        <w:bidi w:val="0"/>
        <w:spacing w:before="0" w:after="100" w:line="342" w:lineRule="exact"/>
        <w:ind w:left="0" w:right="0" w:firstLine="420"/>
        <w:jc w:val="both"/>
      </w:pPr>
      <w:r>
        <w:rPr>
          <w:color w:val="000000"/>
          <w:spacing w:val="0"/>
          <w:w w:val="100"/>
          <w:position w:val="0"/>
        </w:rPr>
        <w:t>因福建金石公司已无财产可供执行，嘉吉公司向福建省高级人民法院提起诉讼,请求：</w:t>
      </w:r>
    </w:p>
    <w:p w14:paraId="4A24A89A">
      <w:pPr>
        <w:pStyle w:val="17"/>
        <w:keepNext w:val="0"/>
        <w:keepLines w:val="0"/>
        <w:widowControl w:val="0"/>
        <w:shd w:val="clear" w:color="auto" w:fill="auto"/>
        <w:tabs>
          <w:tab w:val="left" w:pos="414"/>
        </w:tabs>
        <w:bidi w:val="0"/>
        <w:spacing w:before="0" w:after="0" w:line="240" w:lineRule="auto"/>
        <w:ind w:left="0" w:right="0" w:firstLine="0"/>
        <w:jc w:val="both"/>
      </w:pPr>
      <w:bookmarkStart w:id="44" w:name="bookmark119"/>
      <w:r>
        <w:rPr>
          <w:rFonts w:ascii="Times New Roman" w:hAnsi="Times New Roman" w:eastAsia="Times New Roman" w:cs="Times New Roman"/>
          <w:color w:val="000000"/>
          <w:spacing w:val="0"/>
          <w:w w:val="100"/>
          <w:position w:val="0"/>
          <w:sz w:val="19"/>
          <w:szCs w:val="19"/>
        </w:rPr>
        <w:t>（</w:t>
      </w:r>
      <w:bookmarkEnd w:id="44"/>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确认福建金石公司与中纺福建公司签订的《国有土地使用权及资产买卖合同》无效；</w:t>
      </w:r>
    </w:p>
    <w:p w14:paraId="54167420">
      <w:pPr>
        <w:pStyle w:val="17"/>
        <w:keepNext w:val="0"/>
        <w:keepLines w:val="0"/>
        <w:widowControl w:val="0"/>
        <w:shd w:val="clear" w:color="auto" w:fill="auto"/>
        <w:tabs>
          <w:tab w:val="left" w:pos="430"/>
        </w:tabs>
        <w:bidi w:val="0"/>
        <w:spacing w:before="0" w:after="360" w:line="365" w:lineRule="exact"/>
        <w:ind w:left="0" w:right="0" w:firstLine="0"/>
        <w:jc w:val="both"/>
      </w:pPr>
      <w:bookmarkStart w:id="45" w:name="bookmark120"/>
      <w:r>
        <w:rPr>
          <w:rFonts w:ascii="Times New Roman" w:hAnsi="Times New Roman" w:eastAsia="Times New Roman" w:cs="Times New Roman"/>
          <w:color w:val="000000"/>
          <w:spacing w:val="0"/>
          <w:w w:val="100"/>
          <w:position w:val="0"/>
          <w:sz w:val="19"/>
          <w:szCs w:val="19"/>
        </w:rPr>
        <w:t>（</w:t>
      </w:r>
      <w:bookmarkEnd w:id="45"/>
      <w:r>
        <w:rPr>
          <w:rFonts w:ascii="Times New Roman" w:hAnsi="Times New Roman" w:eastAsia="Times New Roman" w:cs="Times New Roman"/>
          <w:color w:val="000000"/>
          <w:spacing w:val="0"/>
          <w:w w:val="100"/>
          <w:position w:val="0"/>
          <w:sz w:val="19"/>
          <w:szCs w:val="19"/>
        </w:rPr>
        <w:t>2）</w:t>
      </w:r>
      <w:r>
        <w:rPr>
          <w:rFonts w:ascii="Times New Roman" w:hAnsi="Times New Roman" w:eastAsia="Times New Roman" w:cs="Times New Roman"/>
          <w:color w:val="000000"/>
          <w:spacing w:val="0"/>
          <w:w w:val="100"/>
          <w:position w:val="0"/>
          <w:sz w:val="19"/>
          <w:szCs w:val="19"/>
        </w:rPr>
        <w:tab/>
      </w:r>
      <w:r>
        <w:rPr>
          <w:color w:val="000000"/>
          <w:spacing w:val="0"/>
          <w:w w:val="100"/>
          <w:position w:val="0"/>
        </w:rPr>
        <w:t>确认中纺福建公司与汇丰源公司签订的国有土地使用权及资产《买卖合同》无效;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判 令汇丰源公司、中纺福建公司将其取得的合同项下财产返还给财产所有人。</w:t>
      </w:r>
    </w:p>
    <w:p w14:paraId="3F9DE573">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595815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债务人将主要财产以明显不合理低价转让给其关联公司，关联公司在明知债务人欠债 的情况下，未实际支付对价的，可以认定债务人与其关联公司恶意串通、损害债权人利益, 与此相关的财产转让合同应当认定为无效。</w:t>
      </w:r>
    </w:p>
    <w:p w14:paraId="7CEF3E30">
      <w:pPr>
        <w:pStyle w:val="17"/>
        <w:keepNext w:val="0"/>
        <w:keepLines w:val="0"/>
        <w:widowControl w:val="0"/>
        <w:shd w:val="clear" w:color="auto" w:fill="auto"/>
        <w:bidi w:val="0"/>
        <w:spacing w:before="0" w:after="360" w:line="343" w:lineRule="exact"/>
        <w:ind w:left="0" w:right="0" w:firstLine="420"/>
        <w:jc w:val="both"/>
      </w:pPr>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条仅适用于第三人为财产所有权人的情形，在债权人对债务人享有普 通债权的情况下，应当根据第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条的规定判令债务人的关联公司将因无效合同取得的财产 返还给原财产所有人，而不能根据第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条直接判令其将财产返还给债权人。</w:t>
      </w:r>
    </w:p>
    <w:p w14:paraId="79CDF509">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rPr>
        <w:t>■评析</w:t>
      </w:r>
    </w:p>
    <w:p w14:paraId="2C4529D5">
      <w:pPr>
        <w:pStyle w:val="17"/>
        <w:keepNext w:val="0"/>
        <w:keepLines w:val="0"/>
        <w:widowControl w:val="0"/>
        <w:shd w:val="clear" w:color="auto" w:fill="auto"/>
        <w:bidi w:val="0"/>
        <w:spacing w:before="0" w:after="10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本判决的意义和局限</w:t>
      </w:r>
    </w:p>
    <w:p w14:paraId="742F54FE">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本案代表一类典型的、较复杂的</w:t>
      </w:r>
      <w:r>
        <w:rPr>
          <w:color w:val="000000"/>
          <w:spacing w:val="0"/>
          <w:w w:val="100"/>
          <w:position w:val="0"/>
          <w:lang w:val="zh-CN" w:eastAsia="zh-CN" w:bidi="zh-CN"/>
        </w:rPr>
        <w:t>“恶</w:t>
      </w:r>
      <w:r>
        <w:rPr>
          <w:color w:val="000000"/>
          <w:spacing w:val="0"/>
          <w:w w:val="100"/>
          <w:position w:val="0"/>
        </w:rPr>
        <w:t>意串通逃债”情形。根据法院认定的事实，债务人 福建金石公司将其主要资产以明显不合理的低价转让给关联公司中纺福建公司（第一次转 让）；为进一步</w:t>
      </w:r>
      <w:r>
        <w:rPr>
          <w:color w:val="000000"/>
          <w:spacing w:val="0"/>
          <w:w w:val="100"/>
          <w:position w:val="0"/>
          <w:lang w:val="zh-CN" w:eastAsia="zh-CN" w:bidi="zh-CN"/>
        </w:rPr>
        <w:t>“隔离”资产</w:t>
      </w:r>
      <w:r>
        <w:rPr>
          <w:color w:val="000000"/>
          <w:spacing w:val="0"/>
          <w:w w:val="100"/>
          <w:position w:val="0"/>
        </w:rPr>
        <w:t>，中纺福建公司又将上述资产转让给知情的汇丰源公司（第二次 转让）</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法院认为，这两次转让所涉买卖合同属于《合同法》第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项规定的“恶意串 通，损害第三人利益”的情形（以下简称恶意串通规则），均为无效。</w:t>
      </w:r>
    </w:p>
    <w:p w14:paraId="264AB816">
      <w:pPr>
        <w:pStyle w:val="17"/>
        <w:keepNext w:val="0"/>
        <w:keepLines w:val="0"/>
        <w:widowControl w:val="0"/>
        <w:shd w:val="clear" w:color="auto" w:fill="auto"/>
        <w:bidi w:val="0"/>
        <w:spacing w:before="0" w:after="280" w:line="338" w:lineRule="exact"/>
        <w:ind w:left="0" w:right="0" w:firstLine="420"/>
        <w:jc w:val="both"/>
      </w:pPr>
      <w:r>
        <w:rPr>
          <w:color w:val="000000"/>
          <w:spacing w:val="0"/>
          <w:w w:val="100"/>
          <w:position w:val="0"/>
        </w:rPr>
        <w:t>本判决至少在两个方面具有积极的指导意义:一是对恶意串通规则的构成要件采用了 结合合同订立、履行相关的主客观情事综合判定的方式;二是将《合同法》第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条规定的适 用合理限制在第三人为财产所有权人的情形。但是，本判决也同时蕴含了两点较大的不 足，或曰隐忧:一是将恶意串通规则适用于保全金钱债权的情形未必妥当;二是对恶意串通 合同无效效果的性质及后果的理解也可能不当。以下结合学理、立法和司法实践的发展评 析本案，重点在辨析恶意串通规则的适用范围、法律效果及其与相关制度的功能界分。</w:t>
      </w:r>
    </w:p>
    <w:p w14:paraId="2D97206F">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恶意串通的适用范围</w:t>
      </w:r>
    </w:p>
    <w:p w14:paraId="6652423C">
      <w:pPr>
        <w:pStyle w:val="17"/>
        <w:keepNext w:val="0"/>
        <w:keepLines w:val="0"/>
        <w:widowControl w:val="0"/>
        <w:shd w:val="clear" w:color="auto" w:fill="auto"/>
        <w:bidi w:val="0"/>
        <w:spacing w:before="0" w:after="140" w:line="339"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154</w:t>
      </w:r>
      <w:r>
        <w:rPr>
          <w:color w:val="000000"/>
          <w:spacing w:val="0"/>
          <w:w w:val="100"/>
          <w:position w:val="0"/>
        </w:rPr>
        <w:t>条规定的恶意串通合同无效规则一向备受争议。在司法实践中，该规 则被广泛适用于各种不同的情形;学理上却多认为其意义含混，功能可被其他规则吸收、替 代，应予删除（杨代雄:《恶意串通行为的立法取舍</w:t>
      </w:r>
      <w:r>
        <w:rPr>
          <w:color w:val="000000"/>
          <w:spacing w:val="0"/>
          <w:w w:val="100"/>
          <w:position w:val="0"/>
          <w:lang w:val="en-US" w:eastAsia="en-US" w:bidi="en-US"/>
        </w:rPr>
        <w:t>一</w:t>
      </w:r>
      <w:r>
        <w:rPr>
          <w:color w:val="000000"/>
          <w:spacing w:val="0"/>
          <w:w w:val="100"/>
          <w:position w:val="0"/>
        </w:rPr>
        <w:t>以恶意串通、脱法行为与通谋虚伪表示的关系 为视角》，载《比较法研究》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期；冉克平:</w:t>
      </w:r>
      <w:r>
        <w:rPr>
          <w:color w:val="000000"/>
          <w:spacing w:val="0"/>
          <w:w w:val="100"/>
          <w:position w:val="0"/>
          <w:lang w:val="zh-CN" w:eastAsia="zh-CN" w:bidi="zh-CN"/>
        </w:rPr>
        <w:t>《“恶</w:t>
      </w:r>
      <w:r>
        <w:rPr>
          <w:color w:val="000000"/>
          <w:spacing w:val="0"/>
          <w:w w:val="100"/>
          <w:position w:val="0"/>
        </w:rPr>
        <w:t>意串通</w:t>
      </w:r>
      <w:r>
        <w:rPr>
          <w:color w:val="000000"/>
          <w:spacing w:val="0"/>
          <w:w w:val="100"/>
          <w:position w:val="0"/>
          <w:lang w:val="zh-CN" w:eastAsia="zh-CN" w:bidi="zh-CN"/>
        </w:rPr>
        <w:t>”与“合</w:t>
      </w:r>
      <w:r>
        <w:rPr>
          <w:color w:val="000000"/>
          <w:spacing w:val="0"/>
          <w:w w:val="100"/>
          <w:position w:val="0"/>
        </w:rPr>
        <w:t>法形式掩盖非法目的</w:t>
      </w:r>
      <w:r>
        <w:rPr>
          <w:color w:val="000000"/>
          <w:spacing w:val="0"/>
          <w:w w:val="100"/>
          <w:position w:val="0"/>
          <w:lang w:val="zh-CN" w:eastAsia="zh-CN" w:bidi="zh-CN"/>
        </w:rPr>
        <w:t>”在</w:t>
      </w:r>
      <w:r>
        <w:rPr>
          <w:color w:val="000000"/>
          <w:spacing w:val="0"/>
          <w:w w:val="100"/>
          <w:position w:val="0"/>
        </w:rPr>
        <w:t>民法典 总则中的构造》，载《现代法学》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期）。《民法典》第</w:t>
      </w:r>
      <w:r>
        <w:rPr>
          <w:rFonts w:ascii="Times New Roman" w:hAnsi="Times New Roman" w:eastAsia="Times New Roman" w:cs="Times New Roman"/>
          <w:color w:val="000000"/>
          <w:spacing w:val="0"/>
          <w:w w:val="100"/>
          <w:position w:val="0"/>
          <w:sz w:val="19"/>
          <w:szCs w:val="19"/>
        </w:rPr>
        <w:t>154</w:t>
      </w:r>
      <w:r>
        <w:rPr>
          <w:color w:val="000000"/>
          <w:spacing w:val="0"/>
          <w:w w:val="100"/>
          <w:position w:val="0"/>
        </w:rPr>
        <w:t>条保留了恶意串通规则，但将 其适用限制于</w:t>
      </w:r>
      <w:r>
        <w:rPr>
          <w:color w:val="000000"/>
          <w:spacing w:val="0"/>
          <w:w w:val="100"/>
          <w:position w:val="0"/>
          <w:lang w:val="zh-CN" w:eastAsia="zh-CN" w:bidi="zh-CN"/>
        </w:rPr>
        <w:t>“损害</w:t>
      </w:r>
      <w:r>
        <w:rPr>
          <w:color w:val="000000"/>
          <w:spacing w:val="0"/>
          <w:w w:val="100"/>
          <w:position w:val="0"/>
        </w:rPr>
        <w:t>他人合法权益</w:t>
      </w:r>
      <w:r>
        <w:rPr>
          <w:color w:val="000000"/>
          <w:spacing w:val="0"/>
          <w:w w:val="100"/>
          <w:position w:val="0"/>
          <w:lang w:val="zh-CN" w:eastAsia="zh-CN" w:bidi="zh-CN"/>
        </w:rPr>
        <w:t>”的</w:t>
      </w:r>
      <w:r>
        <w:rPr>
          <w:color w:val="000000"/>
          <w:spacing w:val="0"/>
          <w:w w:val="100"/>
          <w:position w:val="0"/>
        </w:rPr>
        <w:t>情形（保护私人利益），应解释为这可避免与《民法 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款违背公序良俗的法律行为无效;保护公共利益产生无谓的竞合。本案所 涉</w:t>
      </w:r>
      <w:r>
        <w:rPr>
          <w:color w:val="000000"/>
          <w:spacing w:val="0"/>
          <w:w w:val="100"/>
          <w:position w:val="0"/>
          <w:lang w:val="zh-CN" w:eastAsia="zh-CN" w:bidi="zh-CN"/>
        </w:rPr>
        <w:t>“逃债”案</w:t>
      </w:r>
      <w:r>
        <w:rPr>
          <w:color w:val="000000"/>
          <w:spacing w:val="0"/>
          <w:w w:val="100"/>
          <w:position w:val="0"/>
        </w:rPr>
        <w:t>型通常以债权人撤销权制度处理，《民法典》第</w:t>
      </w:r>
      <w:r>
        <w:rPr>
          <w:rFonts w:ascii="Times New Roman" w:hAnsi="Times New Roman" w:eastAsia="Times New Roman" w:cs="Times New Roman"/>
          <w:color w:val="000000"/>
          <w:spacing w:val="0"/>
          <w:w w:val="100"/>
          <w:position w:val="0"/>
          <w:sz w:val="19"/>
          <w:szCs w:val="19"/>
        </w:rPr>
        <w:t>146</w:t>
      </w:r>
      <w:r>
        <w:rPr>
          <w:color w:val="000000"/>
          <w:spacing w:val="0"/>
          <w:w w:val="100"/>
          <w:position w:val="0"/>
        </w:rPr>
        <w:t>条新增的通谋虚伪表示制度 也具有相关性，因此至少仍有两项需要处理的制度界分问题。</w:t>
      </w:r>
    </w:p>
    <w:p w14:paraId="33A255F2">
      <w:pPr>
        <w:pStyle w:val="17"/>
        <w:keepNext w:val="0"/>
        <w:keepLines w:val="0"/>
        <w:widowControl w:val="0"/>
        <w:numPr>
          <w:ilvl w:val="0"/>
          <w:numId w:val="9"/>
        </w:numPr>
        <w:shd w:val="clear" w:color="auto" w:fill="auto"/>
        <w:tabs>
          <w:tab w:val="left" w:pos="685"/>
        </w:tabs>
        <w:bidi w:val="0"/>
        <w:spacing w:before="0" w:after="0" w:line="377" w:lineRule="auto"/>
        <w:ind w:left="0" w:right="0" w:firstLine="420"/>
        <w:jc w:val="both"/>
      </w:pPr>
      <w:bookmarkStart w:id="46" w:name="bookmark121"/>
      <w:bookmarkEnd w:id="46"/>
      <w:r>
        <w:rPr>
          <w:color w:val="000000"/>
          <w:spacing w:val="0"/>
          <w:w w:val="100"/>
          <w:position w:val="0"/>
        </w:rPr>
        <w:t>恶意串通与通谋虚伪表示</w:t>
      </w:r>
    </w:p>
    <w:p w14:paraId="7CA4235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此前，通谋虚伪表示问题常以恶意串通规则或者“以合法形式掩盖非法目的</w:t>
      </w:r>
      <w:r>
        <w:rPr>
          <w:color w:val="000000"/>
          <w:spacing w:val="0"/>
          <w:w w:val="100"/>
          <w:position w:val="0"/>
          <w:lang w:val="zh-CN" w:eastAsia="zh-CN" w:bidi="zh-CN"/>
        </w:rPr>
        <w:t>”规则</w:t>
      </w:r>
      <w:r>
        <w:rPr>
          <w:color w:val="000000"/>
          <w:spacing w:val="0"/>
          <w:w w:val="100"/>
          <w:position w:val="0"/>
        </w:rPr>
        <w:t>（原 《合同法》第</w:t>
      </w:r>
      <w:r>
        <w:rPr>
          <w:rFonts w:ascii="Times New Roman" w:hAnsi="Times New Roman" w:eastAsia="Times New Roman" w:cs="Times New Roman"/>
          <w:color w:val="000000"/>
          <w:spacing w:val="0"/>
          <w:w w:val="100"/>
          <w:position w:val="0"/>
          <w:sz w:val="17"/>
          <w:szCs w:val="17"/>
        </w:rPr>
        <w:t>52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项，《民法典》已删除）处理（如</w:t>
      </w:r>
      <w:r>
        <w:rPr>
          <w:color w:val="000000"/>
          <w:spacing w:val="0"/>
          <w:w w:val="100"/>
          <w:position w:val="0"/>
          <w:lang w:val="zh-CN" w:eastAsia="zh-CN" w:bidi="zh-CN"/>
        </w:rPr>
        <w:t>“徐州</w:t>
      </w:r>
      <w:r>
        <w:rPr>
          <w:color w:val="000000"/>
          <w:spacing w:val="0"/>
          <w:w w:val="100"/>
          <w:position w:val="0"/>
        </w:rPr>
        <w:t>大舜房地产开发有限公司诉王志强商品房 预售合同纠纷案</w:t>
      </w:r>
      <w:r>
        <w:rPr>
          <w:color w:val="000000"/>
          <w:spacing w:val="0"/>
          <w:w w:val="100"/>
          <w:position w:val="0"/>
          <w:lang w:val="zh-CN" w:eastAsia="zh-CN" w:bidi="zh-CN"/>
        </w:rPr>
        <w:t>”，载</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期）。原《民法总则》出台后，学者多认为， 通谋虚伪表示无效的原因是双方当事人均没有受其拘束的意旨，即当事人根本缺乏真实意 思，无由依其意思发生相应的私法效果;恶意串通行为无效的原因则是当事人具有损害他 人合法权益的主观恶意，但其意思是真实的，并非虚假的（韩世远:《虚假表示与恶意串通问题研 究》，载《法律适用》</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期）。</w:t>
      </w:r>
    </w:p>
    <w:p w14:paraId="76D8CA2F">
      <w:pPr>
        <w:pStyle w:val="17"/>
        <w:keepNext w:val="0"/>
        <w:keepLines w:val="0"/>
        <w:widowControl w:val="0"/>
        <w:shd w:val="clear" w:color="auto" w:fill="auto"/>
        <w:bidi w:val="0"/>
        <w:spacing w:before="0" w:after="140" w:line="342" w:lineRule="exact"/>
        <w:ind w:left="0" w:right="0" w:firstLine="420"/>
        <w:jc w:val="both"/>
      </w:pPr>
      <w:r>
        <w:rPr>
          <w:color w:val="000000"/>
          <w:spacing w:val="0"/>
          <w:w w:val="100"/>
          <w:position w:val="0"/>
        </w:rPr>
        <w:t>此种区分在理论上泾渭分明，但在实践中却仍可能发生争议。两项制度都涉及对当事 人</w:t>
      </w:r>
      <w:r>
        <w:rPr>
          <w:color w:val="000000"/>
          <w:spacing w:val="0"/>
          <w:w w:val="100"/>
          <w:position w:val="0"/>
          <w:lang w:val="zh-CN" w:eastAsia="zh-CN" w:bidi="zh-CN"/>
        </w:rPr>
        <w:t>“真意”乃至“动机”的</w:t>
      </w:r>
      <w:r>
        <w:rPr>
          <w:color w:val="000000"/>
          <w:spacing w:val="0"/>
          <w:w w:val="100"/>
          <w:position w:val="0"/>
        </w:rPr>
        <w:t>推测，须结合各种主客观情事综合判断（参见</w:t>
      </w:r>
      <w:r>
        <w:rPr>
          <w:color w:val="000000"/>
          <w:spacing w:val="0"/>
          <w:w w:val="100"/>
          <w:position w:val="0"/>
          <w:lang w:val="zh-CN" w:eastAsia="zh-CN" w:bidi="zh-CN"/>
        </w:rPr>
        <w:t>“陈全</w:t>
      </w:r>
      <w:r>
        <w:rPr>
          <w:color w:val="000000"/>
          <w:spacing w:val="0"/>
          <w:w w:val="100"/>
          <w:position w:val="0"/>
        </w:rPr>
        <w:t>、皮治勇诉重庆碧波 房地产开发有限公司、夏昌均、重庆奥康置业有限公司合同纠纷案</w:t>
      </w:r>
      <w:r>
        <w:rPr>
          <w:color w:val="000000"/>
          <w:spacing w:val="0"/>
          <w:w w:val="100"/>
          <w:position w:val="0"/>
          <w:lang w:val="zh-CN" w:eastAsia="zh-CN" w:bidi="zh-CN"/>
        </w:rPr>
        <w:t>”，载</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期）。在明知债务人欠债的情况下，关联公司仍然受让债务人的主要资产,这似乎既可能 是恶意串通，即交易真实，但以明显不合理的低价转让资产损害了债权人利益;也可能是通 谋虚伪表示，尤其是受让人并未实际支付对价,或可推测当事人并无真实交易的意图。因 此，在</w:t>
      </w:r>
      <w:r>
        <w:rPr>
          <w:color w:val="000000"/>
          <w:spacing w:val="0"/>
          <w:w w:val="100"/>
          <w:position w:val="0"/>
          <w:lang w:val="zh-CN" w:eastAsia="zh-CN" w:bidi="zh-CN"/>
        </w:rPr>
        <w:t>“逃债”场合</w:t>
      </w:r>
      <w:r>
        <w:rPr>
          <w:color w:val="000000"/>
          <w:spacing w:val="0"/>
          <w:w w:val="100"/>
          <w:position w:val="0"/>
        </w:rPr>
        <w:t>，尽管要证明的内容不同,两项制度似均有适用可能。另一个有意义的区 别,在于谁得主张及主张内容。恶意串通规则旨在保护受侵害的第三人，因此只能由第三 人主张合同无效，当事人自己不得主张［参见</w:t>
      </w:r>
      <w:r>
        <w:rPr>
          <w:color w:val="000000"/>
          <w:spacing w:val="0"/>
          <w:w w:val="100"/>
          <w:position w:val="0"/>
          <w:lang w:val="zh-CN" w:eastAsia="zh-CN" w:bidi="zh-CN"/>
        </w:rPr>
        <w:t>“徐峥</w:t>
      </w:r>
      <w:r>
        <w:rPr>
          <w:color w:val="000000"/>
          <w:spacing w:val="0"/>
          <w:w w:val="100"/>
          <w:position w:val="0"/>
        </w:rPr>
        <w:t>峰等六人与五矿邯邢矿业有限公司、王银陵股 权转让纠纷案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rPr>
        <w:t>号民事判决书］。通谋虚伪表示即根本没有真 实意思，合同当事人自己和第三人均可主张无效，但为保护善意第三人，有时第三人主张的 恰恰是通谋虚伪表示例外地对其有效。</w:t>
      </w:r>
    </w:p>
    <w:p w14:paraId="431D5524">
      <w:pPr>
        <w:pStyle w:val="17"/>
        <w:keepNext w:val="0"/>
        <w:keepLines w:val="0"/>
        <w:widowControl w:val="0"/>
        <w:numPr>
          <w:ilvl w:val="0"/>
          <w:numId w:val="9"/>
        </w:numPr>
        <w:shd w:val="clear" w:color="auto" w:fill="auto"/>
        <w:tabs>
          <w:tab w:val="left" w:pos="706"/>
        </w:tabs>
        <w:bidi w:val="0"/>
        <w:spacing w:before="0" w:after="0" w:line="377" w:lineRule="auto"/>
        <w:ind w:left="0" w:right="0" w:firstLine="420"/>
        <w:jc w:val="both"/>
      </w:pPr>
      <w:bookmarkStart w:id="47" w:name="bookmark122"/>
      <w:bookmarkEnd w:id="47"/>
      <w:r>
        <w:rPr>
          <w:color w:val="000000"/>
          <w:spacing w:val="0"/>
          <w:w w:val="100"/>
          <w:position w:val="0"/>
        </w:rPr>
        <w:t>恶意串通与债权人撤销权</w:t>
      </w:r>
    </w:p>
    <w:p w14:paraId="1788BE4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本案情形</w:t>
      </w:r>
      <w:r>
        <w:rPr>
          <w:color w:val="000000"/>
          <w:spacing w:val="0"/>
          <w:w w:val="100"/>
          <w:position w:val="0"/>
          <w:lang w:val="zh-CN" w:eastAsia="zh-CN" w:bidi="zh-CN"/>
        </w:rPr>
        <w:t>（“债</w:t>
      </w:r>
      <w:r>
        <w:rPr>
          <w:color w:val="000000"/>
          <w:spacing w:val="0"/>
          <w:w w:val="100"/>
          <w:position w:val="0"/>
        </w:rPr>
        <w:t>务人以明显不合理的低价转让财产，对债权人造成损害，并且受让人知道该情 形”）明显属于债权人撤销权（《民法典》第</w:t>
      </w:r>
      <w:r>
        <w:rPr>
          <w:rFonts w:ascii="Times New Roman" w:hAnsi="Times New Roman" w:eastAsia="Times New Roman" w:cs="Times New Roman"/>
          <w:color w:val="000000"/>
          <w:spacing w:val="0"/>
          <w:w w:val="100"/>
          <w:position w:val="0"/>
          <w:sz w:val="19"/>
          <w:szCs w:val="19"/>
        </w:rPr>
        <w:t>539</w:t>
      </w:r>
      <w:r>
        <w:rPr>
          <w:color w:val="000000"/>
          <w:spacing w:val="0"/>
          <w:w w:val="100"/>
          <w:position w:val="0"/>
        </w:rPr>
        <w:t>条）的适用范围。最高人民法院认为,此时恶 意串通规则与债权人撤销权均可适用。这一见解产生了重要影响［参见</w:t>
      </w:r>
      <w:r>
        <w:rPr>
          <w:color w:val="000000"/>
          <w:spacing w:val="0"/>
          <w:w w:val="100"/>
          <w:position w:val="0"/>
          <w:lang w:val="zh-CN" w:eastAsia="zh-CN" w:bidi="zh-CN"/>
        </w:rPr>
        <w:t>“武</w:t>
      </w:r>
      <w:r>
        <w:rPr>
          <w:color w:val="000000"/>
          <w:spacing w:val="0"/>
          <w:w w:val="100"/>
          <w:position w:val="0"/>
        </w:rPr>
        <w:t>汉嘉海投资有限公 司等诉郑之华执行异议纠纷案</w:t>
      </w:r>
      <w:r>
        <w:rPr>
          <w:color w:val="000000"/>
          <w:spacing w:val="0"/>
          <w:w w:val="100"/>
          <w:position w:val="0"/>
          <w:lang w:val="zh-CN" w:eastAsia="zh-CN" w:bidi="zh-CN"/>
        </w:rPr>
        <w:t>”，湖</w:t>
      </w:r>
      <w:r>
        <w:rPr>
          <w:color w:val="000000"/>
          <w:spacing w:val="0"/>
          <w:w w:val="100"/>
          <w:position w:val="0"/>
        </w:rPr>
        <w:t>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鄂民申</w:t>
      </w:r>
      <w:r>
        <w:rPr>
          <w:rFonts w:ascii="Times New Roman" w:hAnsi="Times New Roman" w:eastAsia="Times New Roman" w:cs="Times New Roman"/>
          <w:color w:val="000000"/>
          <w:spacing w:val="0"/>
          <w:w w:val="100"/>
          <w:position w:val="0"/>
          <w:sz w:val="17"/>
          <w:szCs w:val="17"/>
        </w:rPr>
        <w:t>3004</w:t>
      </w:r>
      <w:r>
        <w:rPr>
          <w:color w:val="000000"/>
          <w:spacing w:val="0"/>
          <w:w w:val="100"/>
          <w:position w:val="0"/>
        </w:rPr>
        <w:t>号民事裁定书］。有法院认 为,债权人依恶意串通规则提起确认合同无效与行使债权人撤销权，非属</w:t>
      </w:r>
      <w:r>
        <w:rPr>
          <w:color w:val="000000"/>
          <w:spacing w:val="0"/>
          <w:w w:val="100"/>
          <w:position w:val="0"/>
          <w:lang w:val="zh-CN" w:eastAsia="zh-CN" w:bidi="zh-CN"/>
        </w:rPr>
        <w:t>“一</w:t>
      </w:r>
      <w:r>
        <w:rPr>
          <w:color w:val="000000"/>
          <w:spacing w:val="0"/>
          <w:w w:val="100"/>
          <w:position w:val="0"/>
        </w:rPr>
        <w:t>事”，不构成重 复起诉［参见</w:t>
      </w:r>
      <w:r>
        <w:rPr>
          <w:color w:val="000000"/>
          <w:spacing w:val="0"/>
          <w:w w:val="100"/>
          <w:position w:val="0"/>
          <w:lang w:val="zh-CN" w:eastAsia="zh-CN" w:bidi="zh-CN"/>
        </w:rPr>
        <w:t>“亢</w:t>
      </w:r>
      <w:r>
        <w:rPr>
          <w:color w:val="000000"/>
          <w:spacing w:val="0"/>
          <w:w w:val="100"/>
          <w:position w:val="0"/>
        </w:rPr>
        <w:t>苗军、刘玉凡债权人撤销权纠纷案</w:t>
      </w:r>
      <w:r>
        <w:rPr>
          <w:color w:val="000000"/>
          <w:spacing w:val="0"/>
          <w:w w:val="100"/>
          <w:position w:val="0"/>
          <w:lang w:val="zh-CN" w:eastAsia="zh-CN" w:bidi="zh-CN"/>
        </w:rPr>
        <w:t>”，河</w:t>
      </w:r>
      <w:r>
        <w:rPr>
          <w:color w:val="000000"/>
          <w:spacing w:val="0"/>
          <w:w w:val="100"/>
          <w:position w:val="0"/>
        </w:rPr>
        <w:t>南省许昌市中级人民法院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豫</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 xml:space="preserve">民终 </w:t>
      </w:r>
      <w:r>
        <w:rPr>
          <w:rFonts w:ascii="Times New Roman" w:hAnsi="Times New Roman" w:eastAsia="Times New Roman" w:cs="Times New Roman"/>
          <w:color w:val="000000"/>
          <w:spacing w:val="0"/>
          <w:w w:val="100"/>
          <w:position w:val="0"/>
          <w:sz w:val="17"/>
          <w:szCs w:val="17"/>
        </w:rPr>
        <w:t>2822</w:t>
      </w:r>
      <w:r>
        <w:rPr>
          <w:color w:val="000000"/>
          <w:spacing w:val="0"/>
          <w:w w:val="100"/>
          <w:position w:val="0"/>
        </w:rPr>
        <w:t>号民事判决书］。恶意串通的证明标准更高（最高人民法院《关于适用〈中华人民共和国民事 诉讼法〉的解释》［法释</w:t>
      </w:r>
      <w:r>
        <w:rPr>
          <w:rFonts w:ascii="Times New Roman" w:hAnsi="Times New Roman" w:eastAsia="Times New Roman" w:cs="Times New Roman"/>
          <w:color w:val="000000"/>
          <w:spacing w:val="0"/>
          <w:w w:val="100"/>
          <w:position w:val="0"/>
          <w:sz w:val="17"/>
          <w:szCs w:val="17"/>
        </w:rPr>
        <w:t>（2015）5</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109</w:t>
      </w:r>
      <w:r>
        <w:rPr>
          <w:color w:val="000000"/>
          <w:spacing w:val="0"/>
          <w:w w:val="100"/>
          <w:position w:val="0"/>
        </w:rPr>
        <w:t xml:space="preserve">条，但债权人撤销权的行使受除斥期间限制（原《合同法》第 </w:t>
      </w:r>
      <w:r>
        <w:rPr>
          <w:rFonts w:ascii="Times New Roman" w:hAnsi="Times New Roman" w:eastAsia="Times New Roman" w:cs="Times New Roman"/>
          <w:color w:val="000000"/>
          <w:spacing w:val="0"/>
          <w:w w:val="100"/>
          <w:position w:val="0"/>
          <w:sz w:val="17"/>
          <w:szCs w:val="17"/>
        </w:rPr>
        <w:t>75</w:t>
      </w:r>
      <w:r>
        <w:rPr>
          <w:color w:val="000000"/>
          <w:spacing w:val="0"/>
          <w:w w:val="100"/>
          <w:position w:val="0"/>
        </w:rPr>
        <w:t>条），而确认合同无效似无此限制——如果此一区别确实成立，则两者确实各有利弊。</w:t>
      </w:r>
    </w:p>
    <w:p w14:paraId="5DDCBB6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这涉及对恶意串通行为之</w:t>
      </w:r>
      <w:r>
        <w:rPr>
          <w:color w:val="000000"/>
          <w:spacing w:val="0"/>
          <w:w w:val="100"/>
          <w:position w:val="0"/>
          <w:lang w:val="zh-CN" w:eastAsia="zh-CN" w:bidi="zh-CN"/>
        </w:rPr>
        <w:t>“无效”性</w:t>
      </w:r>
      <w:r>
        <w:rPr>
          <w:color w:val="000000"/>
          <w:spacing w:val="0"/>
          <w:w w:val="100"/>
          <w:position w:val="0"/>
        </w:rPr>
        <w:t>质以及恶意串通规则规范功能的理解。典型的无 效事由涉及强制秩序与公共利益（《民法典》第</w:t>
      </w:r>
      <w:r>
        <w:rPr>
          <w:rFonts w:ascii="Times New Roman" w:hAnsi="Times New Roman" w:eastAsia="Times New Roman" w:cs="Times New Roman"/>
          <w:color w:val="000000"/>
          <w:spacing w:val="0"/>
          <w:w w:val="100"/>
          <w:position w:val="0"/>
          <w:sz w:val="17"/>
          <w:szCs w:val="17"/>
        </w:rPr>
        <w:t>153</w:t>
      </w:r>
      <w:r>
        <w:rPr>
          <w:color w:val="000000"/>
          <w:spacing w:val="0"/>
          <w:w w:val="100"/>
          <w:position w:val="0"/>
        </w:rPr>
        <w:t>条），效果为绝对无效，确认合同无效并 无期限限制，并且不仅当事人和利害关系人可以主张，法院亦可依职权主动认定。然而，恶 意串通合同无效仅涉及对私人利益的保护，而非公共利益的维护，学者多认为此种无效并 非绝对无效，而仅为相对无效，只能由受保护的特定当事人自己选择是否主张（参见</w:t>
      </w:r>
      <w:r>
        <w:rPr>
          <w:color w:val="000000"/>
          <w:spacing w:val="0"/>
          <w:w w:val="100"/>
          <w:position w:val="0"/>
          <w:lang w:val="zh-CN" w:eastAsia="zh-CN" w:bidi="zh-CN"/>
        </w:rPr>
        <w:t>“浙</w:t>
      </w:r>
      <w:r>
        <w:rPr>
          <w:color w:val="000000"/>
          <w:spacing w:val="0"/>
          <w:w w:val="100"/>
          <w:position w:val="0"/>
        </w:rPr>
        <w:t>江省 乐清市乐城镇石马村村民委员会与浙江顺益房地产开发有限公司合作开发房地产合同纠纷案</w:t>
      </w:r>
      <w:r>
        <w:rPr>
          <w:color w:val="000000"/>
          <w:spacing w:val="0"/>
          <w:w w:val="100"/>
          <w:position w:val="0"/>
          <w:lang w:val="zh-CN" w:eastAsia="zh-CN" w:bidi="zh-CN"/>
        </w:rPr>
        <w:t>”，载</w:t>
      </w:r>
      <w:r>
        <w:rPr>
          <w:color w:val="000000"/>
          <w:spacing w:val="0"/>
          <w:w w:val="100"/>
          <w:position w:val="0"/>
        </w:rPr>
        <w:t>《最 高人民法院公报</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期）。最高人民法院认为债权人可以在恶意串通规则与债权人撤 销权制度之间进行选择，则意味着其并未将前者的法律效果定为绝对无效。相对无效与撤 销权更多只是技术上的差别，而与绝对无效却是价值上的差别;应当参照撤销权的规定补 充相对无效主张期限的限制，以维持法律体系内部的平衡。</w:t>
      </w:r>
    </w:p>
    <w:p w14:paraId="2D40C61A">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债权人撤销权是债权保全制度,其目的是防止债务人责任财产的不当减少，影响债权 的实现，例外地突破债之关系相对性的限制，赋予债权人干预债务人行为的权利。因其效 果剧烈，学说上多认为撤销权人可撤销的债权仅限于金钱债权，不包括特定债权。由于恶 意串通规则在主观要件上更为严格,法律效果上并无特别之处（在补充主张期限后），故在保 全一般金钱债权时，应仅适用债权人撤销权。而恶意串通规则仅适用于保护特定第三人之 特定债权的情形，目的是恢复该特定第三人获得实际履行救济的可能,最高人民法院《关于 审理商品房买卖合同纠纷案件适用法律若干问题的解释》［法释</w:t>
      </w:r>
      <w:r>
        <w:rPr>
          <w:rFonts w:ascii="Times New Roman" w:hAnsi="Times New Roman" w:eastAsia="Times New Roman" w:cs="Times New Roman"/>
          <w:color w:val="000000"/>
          <w:spacing w:val="0"/>
          <w:w w:val="100"/>
          <w:position w:val="0"/>
          <w:sz w:val="19"/>
          <w:szCs w:val="19"/>
        </w:rPr>
        <w:t>（2003）7</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条是其 最重要的类型化规定（茅少伟:《论恶意串通》，载《中外法学》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67F731D">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合同无效的法律后果</w:t>
      </w:r>
    </w:p>
    <w:p w14:paraId="6F611559">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条是关于恶意串通合同无效后果的特别规定。但在第三人并非财产 所有权人时,要求受让人向其返还财产似乎确实不妥。本判决将第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条的适用合理限制于 第三人是财产所有权人的情形。但即便适用第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条），合同无效后，有 权请求返还财产的，也应是原财产所有权人,而非第三人;且要有效救济债权人，又须使其 直接有权要求受让人向债务人（乃至向自己）返还财产。这里显然需要一个</w:t>
      </w:r>
      <w:r>
        <w:rPr>
          <w:color w:val="000000"/>
          <w:spacing w:val="0"/>
          <w:w w:val="100"/>
          <w:position w:val="0"/>
          <w:lang w:val="zh-CN" w:eastAsia="zh-CN" w:bidi="zh-CN"/>
        </w:rPr>
        <w:t>“桥</w:t>
      </w:r>
      <w:r>
        <w:rPr>
          <w:color w:val="000000"/>
          <w:spacing w:val="0"/>
          <w:w w:val="100"/>
          <w:position w:val="0"/>
        </w:rPr>
        <w:t>梁”。合适 的处理方式可能是承认此处存在法律漏洞，应在合同无效后直接赋予债权人代位权，而无 须等待</w:t>
      </w:r>
      <w:r>
        <w:rPr>
          <w:color w:val="000000"/>
          <w:spacing w:val="0"/>
          <w:w w:val="100"/>
          <w:position w:val="0"/>
          <w:lang w:val="zh-CN" w:eastAsia="zh-CN" w:bidi="zh-CN"/>
        </w:rPr>
        <w:t>“债</w:t>
      </w:r>
      <w:r>
        <w:rPr>
          <w:color w:val="000000"/>
          <w:spacing w:val="0"/>
          <w:w w:val="100"/>
          <w:position w:val="0"/>
        </w:rPr>
        <w:t>务人怠于行使其到期债权”（《民法典》第</w:t>
      </w:r>
      <w:r>
        <w:rPr>
          <w:rFonts w:ascii="Times New Roman" w:hAnsi="Times New Roman" w:eastAsia="Times New Roman" w:cs="Times New Roman"/>
          <w:color w:val="000000"/>
          <w:spacing w:val="0"/>
          <w:w w:val="100"/>
          <w:position w:val="0"/>
          <w:sz w:val="19"/>
          <w:szCs w:val="19"/>
        </w:rPr>
        <w:t>535</w:t>
      </w:r>
      <w:r>
        <w:rPr>
          <w:color w:val="000000"/>
          <w:spacing w:val="0"/>
          <w:w w:val="100"/>
          <w:position w:val="0"/>
        </w:rPr>
        <w:t>条）。最高人民法院《关于适用〈中 华人民共和国合同法〉若干问题的解释（一）》</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9"/>
          <w:szCs w:val="19"/>
        </w:rPr>
        <w:t>（1999）19</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条不恰当地将代位 权的客体限缩为金钱债权，此一障碍也需要在解释上突破。</w:t>
      </w:r>
    </w:p>
    <w:p w14:paraId="55022689">
      <w:pPr>
        <w:pStyle w:val="17"/>
        <w:keepNext w:val="0"/>
        <w:keepLines w:val="0"/>
        <w:widowControl w:val="0"/>
        <w:shd w:val="clear" w:color="auto" w:fill="auto"/>
        <w:bidi w:val="0"/>
        <w:spacing w:before="0" w:after="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6173C68D">
      <w:pPr>
        <w:pStyle w:val="17"/>
        <w:keepNext w:val="0"/>
        <w:keepLines w:val="0"/>
        <w:widowControl w:val="0"/>
        <w:shd w:val="clear" w:color="auto" w:fill="auto"/>
        <w:bidi w:val="0"/>
        <w:spacing w:before="0" w:after="360" w:line="341" w:lineRule="exact"/>
        <w:ind w:left="0" w:right="0"/>
        <w:jc w:val="both"/>
      </w:pPr>
      <w:r>
        <w:rPr>
          <w:color w:val="000000"/>
          <w:spacing w:val="0"/>
          <w:w w:val="100"/>
          <w:position w:val="0"/>
        </w:rPr>
        <w:t>虽存在上述不足，但本判决提示了两个重要的问题，可能具有超出本案的影响。一是 提示我们注意在合同无效的法律效果上,存在绝对无效（以违法背俗合同为典型）与相对无 效（以恶意串通合同为典型）之分，对相对无效的主张应施以合适的期限限制;二是为有效 救济受保护的债权人，于合同无效后（无论是基于债权人撤销权、恶意串通或者通谋虚伪表 示规则），应直接赋予其代位权，即可代位行使债务人对受让人的返还请求权。</w:t>
      </w:r>
    </w:p>
    <w:p w14:paraId="65F2E4C7">
      <w:pPr>
        <w:pStyle w:val="11"/>
        <w:keepNext w:val="0"/>
        <w:keepLines w:val="0"/>
        <w:widowControl w:val="0"/>
        <w:shd w:val="clear" w:color="auto" w:fill="auto"/>
        <w:bidi w:val="0"/>
        <w:spacing w:before="0" w:after="80" w:line="334" w:lineRule="exact"/>
        <w:ind w:left="0" w:right="0" w:firstLine="0"/>
        <w:jc w:val="left"/>
      </w:pPr>
      <w:r>
        <w:rPr>
          <w:i/>
          <w:iCs/>
          <w:color w:val="000000"/>
          <w:spacing w:val="0"/>
          <w:w w:val="100"/>
          <w:position w:val="0"/>
        </w:rPr>
        <w:t>回</w:t>
      </w:r>
      <w:r>
        <w:rPr>
          <w:color w:val="000000"/>
          <w:spacing w:val="0"/>
          <w:w w:val="100"/>
          <w:position w:val="0"/>
        </w:rPr>
        <w:t>参考文献</w:t>
      </w:r>
    </w:p>
    <w:p w14:paraId="345DB522">
      <w:pPr>
        <w:pStyle w:val="17"/>
        <w:keepNext w:val="0"/>
        <w:keepLines w:val="0"/>
        <w:widowControl w:val="0"/>
        <w:shd w:val="clear" w:color="auto" w:fill="auto"/>
        <w:bidi w:val="0"/>
        <w:spacing w:before="0" w:after="0" w:line="313" w:lineRule="exact"/>
        <w:ind w:left="160" w:right="0" w:hanging="160"/>
        <w:jc w:val="both"/>
      </w:pPr>
      <w:r>
        <w:rPr>
          <w:color w:val="000000"/>
          <w:spacing w:val="0"/>
          <w:w w:val="100"/>
          <w:position w:val="0"/>
        </w:rPr>
        <w:t>最高人民法院案例指导工作办公室、民四庭:《指导案例</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 xml:space="preserve">号〈瑞士嘉吉国际公司诉福建金石制油有限 公司等确认合同无效纠纷案〉的理解与参照——恶意串通逃债的行为无效》，载《人民司法-案例》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rPr>
        <w:t>期。</w:t>
      </w:r>
    </w:p>
    <w:p w14:paraId="2C739177">
      <w:pPr>
        <w:pStyle w:val="17"/>
        <w:keepNext w:val="0"/>
        <w:keepLines w:val="0"/>
        <w:widowControl w:val="0"/>
        <w:shd w:val="clear" w:color="auto" w:fill="auto"/>
        <w:bidi w:val="0"/>
        <w:spacing w:before="0" w:after="0" w:line="295" w:lineRule="exact"/>
        <w:ind w:left="160" w:right="0" w:hanging="160"/>
        <w:jc w:val="both"/>
      </w:pPr>
      <w:r>
        <w:rPr>
          <w:color w:val="000000"/>
          <w:spacing w:val="0"/>
          <w:w w:val="100"/>
          <w:position w:val="0"/>
        </w:rPr>
        <w:t>杨代雄:《恶意串通行为的立法取舍——以恶意串通、脱法行为与通谋虚伪表示的关系为视角》，载《比 较法研究》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9F6D4DA">
      <w:pPr>
        <w:pStyle w:val="17"/>
        <w:keepNext w:val="0"/>
        <w:keepLines w:val="0"/>
        <w:widowControl w:val="0"/>
        <w:shd w:val="clear" w:color="auto" w:fill="auto"/>
        <w:bidi w:val="0"/>
        <w:spacing w:before="0" w:after="0" w:line="295" w:lineRule="exact"/>
        <w:ind w:left="0" w:right="0" w:firstLine="0"/>
        <w:jc w:val="left"/>
      </w:pPr>
      <w:r>
        <w:rPr>
          <w:color w:val="000000"/>
          <w:spacing w:val="0"/>
          <w:w w:val="100"/>
          <w:position w:val="0"/>
        </w:rPr>
        <w:t>韩世远:《虚假表示与恶意串通问题研究》，载《法律适用》</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期。</w:t>
      </w:r>
    </w:p>
    <w:p w14:paraId="4462B219">
      <w:pPr>
        <w:pStyle w:val="17"/>
        <w:keepNext w:val="0"/>
        <w:keepLines w:val="0"/>
        <w:widowControl w:val="0"/>
        <w:shd w:val="clear" w:color="auto" w:fill="auto"/>
        <w:bidi w:val="0"/>
        <w:spacing w:before="0" w:after="80" w:line="334" w:lineRule="exact"/>
        <w:ind w:left="160" w:right="0" w:hanging="160"/>
        <w:jc w:val="both"/>
      </w:pPr>
      <w:r>
        <w:rPr>
          <w:color w:val="000000"/>
          <w:spacing w:val="0"/>
          <w:w w:val="100"/>
          <w:position w:val="0"/>
        </w:rPr>
        <w:t>冉克平:</w:t>
      </w:r>
      <w:r>
        <w:rPr>
          <w:color w:val="000000"/>
          <w:spacing w:val="0"/>
          <w:w w:val="100"/>
          <w:position w:val="0"/>
          <w:lang w:val="zh-CN" w:eastAsia="zh-CN" w:bidi="zh-CN"/>
        </w:rPr>
        <w:t>《“恶</w:t>
      </w:r>
      <w:r>
        <w:rPr>
          <w:color w:val="000000"/>
          <w:spacing w:val="0"/>
          <w:w w:val="100"/>
          <w:position w:val="0"/>
        </w:rPr>
        <w:t>意串通</w:t>
      </w:r>
      <w:r>
        <w:rPr>
          <w:color w:val="000000"/>
          <w:spacing w:val="0"/>
          <w:w w:val="100"/>
          <w:position w:val="0"/>
          <w:lang w:val="zh-CN" w:eastAsia="zh-CN" w:bidi="zh-CN"/>
        </w:rPr>
        <w:t>”与“合</w:t>
      </w:r>
      <w:r>
        <w:rPr>
          <w:color w:val="000000"/>
          <w:spacing w:val="0"/>
          <w:w w:val="100"/>
          <w:position w:val="0"/>
        </w:rPr>
        <w:t>法形式掩盖非法目的</w:t>
      </w:r>
      <w:r>
        <w:rPr>
          <w:color w:val="000000"/>
          <w:spacing w:val="0"/>
          <w:w w:val="100"/>
          <w:position w:val="0"/>
          <w:lang w:val="zh-CN" w:eastAsia="zh-CN" w:bidi="zh-CN"/>
        </w:rPr>
        <w:t>”在民</w:t>
      </w:r>
      <w:r>
        <w:rPr>
          <w:color w:val="000000"/>
          <w:spacing w:val="0"/>
          <w:w w:val="100"/>
          <w:position w:val="0"/>
        </w:rPr>
        <w:t>法典总则中的构造》，载《现代法学》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p>
    <w:p w14:paraId="4606C6E1">
      <w:pPr>
        <w:pStyle w:val="17"/>
        <w:keepNext w:val="0"/>
        <w:keepLines w:val="0"/>
        <w:widowControl w:val="0"/>
        <w:shd w:val="clear" w:color="auto" w:fill="auto"/>
        <w:bidi w:val="0"/>
        <w:spacing w:before="0" w:after="80" w:line="240" w:lineRule="auto"/>
        <w:ind w:left="0" w:right="0" w:firstLine="0"/>
        <w:jc w:val="left"/>
        <w:sectPr>
          <w:headerReference r:id="rId120" w:type="default"/>
          <w:headerReference r:id="rId121" w:type="even"/>
          <w:footnotePr>
            <w:numFmt w:val="chicago"/>
          </w:footnotePr>
          <w:pgSz w:w="10099" w:h="14782"/>
          <w:pgMar w:top="1307" w:right="1087" w:bottom="1107" w:left="1007" w:header="0" w:footer="3" w:gutter="0"/>
          <w:pgNumType w:start="82"/>
          <w:cols w:space="720" w:num="1"/>
          <w:rtlGutter w:val="0"/>
          <w:docGrid w:linePitch="360" w:charSpace="0"/>
        </w:sectPr>
      </w:pPr>
      <w:r>
        <w:rPr>
          <w:color w:val="000000"/>
          <w:spacing w:val="0"/>
          <w:w w:val="100"/>
          <w:position w:val="0"/>
        </w:rPr>
        <w:t>茅少伟:《论恶意串通》，载《中外法学》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1051DFD">
      <w:pPr>
        <w:widowControl w:val="0"/>
        <w:spacing w:line="122" w:lineRule="exact"/>
        <w:rPr>
          <w:sz w:val="10"/>
          <w:szCs w:val="10"/>
        </w:rPr>
      </w:pPr>
    </w:p>
    <w:p w14:paraId="1AF21121">
      <w:pPr>
        <w:widowControl w:val="0"/>
        <w:spacing w:line="1" w:lineRule="exact"/>
        <w:sectPr>
          <w:headerReference r:id="rId122" w:type="default"/>
          <w:headerReference r:id="rId123" w:type="even"/>
          <w:footnotePr>
            <w:numFmt w:val="chicago"/>
          </w:footnotePr>
          <w:pgSz w:w="10099" w:h="14782"/>
          <w:pgMar w:top="1269" w:right="987" w:bottom="1089" w:left="1116" w:header="0" w:footer="3" w:gutter="0"/>
          <w:pgNumType w:start="102"/>
          <w:cols w:space="720" w:num="1"/>
          <w:rtlGutter w:val="0"/>
          <w:docGrid w:linePitch="360" w:charSpace="0"/>
        </w:sectPr>
      </w:pPr>
    </w:p>
    <w:p w14:paraId="601616BE">
      <w:pPr>
        <w:widowControl w:val="0"/>
        <w:spacing w:line="1" w:lineRule="exact"/>
      </w:pPr>
      <w:r>
        <mc:AlternateContent>
          <mc:Choice Requires="wps">
            <w:drawing>
              <wp:anchor distT="0" distB="13970" distL="114300" distR="3063240" simplePos="0" relativeHeight="251660288" behindDoc="0" locked="0" layoutInCell="1" allowOverlap="1">
                <wp:simplePos x="0" y="0"/>
                <wp:positionH relativeFrom="page">
                  <wp:posOffset>774700</wp:posOffset>
                </wp:positionH>
                <wp:positionV relativeFrom="paragraph">
                  <wp:posOffset>12700</wp:posOffset>
                </wp:positionV>
                <wp:extent cx="445135" cy="304800"/>
                <wp:effectExtent l="0" t="0" r="0" b="0"/>
                <wp:wrapTopAndBottom/>
                <wp:docPr id="265" name="Shape 265"/>
                <wp:cNvGraphicFramePr/>
                <a:graphic xmlns:a="http://schemas.openxmlformats.org/drawingml/2006/main">
                  <a:graphicData uri="http://schemas.microsoft.com/office/word/2010/wordprocessingShape">
                    <wps:wsp>
                      <wps:cNvSpPr txBox="1"/>
                      <wps:spPr>
                        <a:xfrm>
                          <a:off x="0" y="0"/>
                          <a:ext cx="445135" cy="304800"/>
                        </a:xfrm>
                        <a:prstGeom prst="rect">
                          <a:avLst/>
                        </a:prstGeom>
                        <a:noFill/>
                      </wps:spPr>
                      <wps:txbx>
                        <w:txbxContent>
                          <w:p w14:paraId="780F712D">
                            <w:pPr>
                              <w:pStyle w:val="27"/>
                              <w:keepNext/>
                              <w:keepLines/>
                              <w:widowControl w:val="0"/>
                              <w:shd w:val="clear" w:color="auto" w:fill="auto"/>
                              <w:bidi w:val="0"/>
                              <w:spacing w:before="0" w:after="0" w:line="240" w:lineRule="auto"/>
                              <w:ind w:left="0" w:right="0" w:firstLine="0"/>
                              <w:jc w:val="left"/>
                            </w:pPr>
                            <w:bookmarkStart w:id="282" w:name="bookmark123"/>
                            <w:bookmarkStart w:id="283" w:name="bookmark124"/>
                            <w:bookmarkStart w:id="284" w:name="bookmark125"/>
                            <w:r>
                              <w:rPr>
                                <w:rFonts w:ascii="Times New Roman" w:hAnsi="Times New Roman" w:eastAsia="Times New Roman" w:cs="Times New Roman"/>
                                <w:color w:val="000000"/>
                                <w:spacing w:val="0"/>
                                <w:w w:val="100"/>
                                <w:position w:val="0"/>
                              </w:rPr>
                              <w:t>018</w:t>
                            </w:r>
                            <w:bookmarkEnd w:id="282"/>
                            <w:bookmarkEnd w:id="283"/>
                            <w:bookmarkEnd w:id="284"/>
                          </w:p>
                        </w:txbxContent>
                      </wps:txbx>
                      <wps:bodyPr wrap="none" lIns="0" tIns="0" rIns="0" bIns="0">
                        <a:noAutofit/>
                      </wps:bodyPr>
                    </wps:wsp>
                  </a:graphicData>
                </a:graphic>
              </wp:anchor>
            </w:drawing>
          </mc:Choice>
          <mc:Fallback>
            <w:pict>
              <v:shape id="Shape 265" o:spid="_x0000_s1026" o:spt="202" type="#_x0000_t202" style="position:absolute;left:0pt;margin-left:61pt;margin-top:1pt;height:24pt;width:35.05pt;mso-position-horizontal-relative:page;mso-wrap-distance-bottom:1.1pt;mso-wrap-distance-top:0pt;mso-wrap-style:none;z-index:251660288;mso-width-relative:page;mso-height-relative:page;" filled="f" stroked="f" coordsize="21600,21600" o:gfxdata="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y+j/3UAAAA&#10;CAEAAA8AAAAAAAAAAQAgAAAAIgAAAGRycy9kb3ducmV2LnhtbFBLAQIUABQAAAAIAIdO4kBYcN2e&#10;rwEAAHMDAAAOAAAAAAAAAAEAIAAAACMBAABkcnMvZTJvRG9jLnhtbFBLBQYAAAAABgAGAFkBAABE&#10;BQAAAAA=&#10;">
                <v:fill on="f" focussize="0,0"/>
                <v:stroke on="f"/>
                <v:imagedata o:title=""/>
                <o:lock v:ext="edit" aspectratio="f"/>
                <v:textbox inset="0mm,0mm,0mm,0mm">
                  <w:txbxContent>
                    <w:p w14:paraId="780F712D">
                      <w:pPr>
                        <w:pStyle w:val="27"/>
                        <w:keepNext/>
                        <w:keepLines/>
                        <w:widowControl w:val="0"/>
                        <w:shd w:val="clear" w:color="auto" w:fill="auto"/>
                        <w:bidi w:val="0"/>
                        <w:spacing w:before="0" w:after="0" w:line="240" w:lineRule="auto"/>
                        <w:ind w:left="0" w:right="0" w:firstLine="0"/>
                        <w:jc w:val="left"/>
                      </w:pPr>
                      <w:bookmarkStart w:id="282" w:name="bookmark123"/>
                      <w:bookmarkStart w:id="283" w:name="bookmark124"/>
                      <w:bookmarkStart w:id="284" w:name="bookmark125"/>
                      <w:r>
                        <w:rPr>
                          <w:rFonts w:ascii="Times New Roman" w:hAnsi="Times New Roman" w:eastAsia="Times New Roman" w:cs="Times New Roman"/>
                          <w:color w:val="000000"/>
                          <w:spacing w:val="0"/>
                          <w:w w:val="100"/>
                          <w:position w:val="0"/>
                        </w:rPr>
                        <w:t>018</w:t>
                      </w:r>
                      <w:bookmarkEnd w:id="282"/>
                      <w:bookmarkEnd w:id="283"/>
                      <w:bookmarkEnd w:id="284"/>
                    </w:p>
                  </w:txbxContent>
                </v:textbox>
                <w10:wrap type="topAndBottom"/>
              </v:shape>
            </w:pict>
          </mc:Fallback>
        </mc:AlternateContent>
      </w:r>
      <w:r>
        <mc:AlternateContent>
          <mc:Choice Requires="wps">
            <w:drawing>
              <wp:anchor distT="85090" distB="635" distL="699770" distR="114300" simplePos="0" relativeHeight="251660288" behindDoc="0" locked="0" layoutInCell="1" allowOverlap="1">
                <wp:simplePos x="0" y="0"/>
                <wp:positionH relativeFrom="page">
                  <wp:posOffset>1360170</wp:posOffset>
                </wp:positionH>
                <wp:positionV relativeFrom="paragraph">
                  <wp:posOffset>97790</wp:posOffset>
                </wp:positionV>
                <wp:extent cx="2808605" cy="233045"/>
                <wp:effectExtent l="0" t="0" r="0" b="0"/>
                <wp:wrapTopAndBottom/>
                <wp:docPr id="267" name="Shape 267"/>
                <wp:cNvGraphicFramePr/>
                <a:graphic xmlns:a="http://schemas.openxmlformats.org/drawingml/2006/main">
                  <a:graphicData uri="http://schemas.microsoft.com/office/word/2010/wordprocessingShape">
                    <wps:wsp>
                      <wps:cNvSpPr txBox="1"/>
                      <wps:spPr>
                        <a:xfrm>
                          <a:off x="0" y="0"/>
                          <a:ext cx="2808605" cy="233045"/>
                        </a:xfrm>
                        <a:prstGeom prst="rect">
                          <a:avLst/>
                        </a:prstGeom>
                        <a:noFill/>
                      </wps:spPr>
                      <wps:txbx>
                        <w:txbxContent>
                          <w:p w14:paraId="0B18EF03">
                            <w:pPr>
                              <w:pStyle w:val="15"/>
                              <w:keepNext/>
                              <w:keepLines/>
                              <w:widowControl w:val="0"/>
                              <w:shd w:val="clear" w:color="auto" w:fill="auto"/>
                              <w:bidi w:val="0"/>
                              <w:spacing w:before="0" w:after="0" w:line="240" w:lineRule="auto"/>
                              <w:ind w:left="0" w:right="0" w:firstLine="0"/>
                              <w:jc w:val="left"/>
                            </w:pPr>
                            <w:bookmarkStart w:id="285" w:name="bookmark127"/>
                            <w:bookmarkStart w:id="286" w:name="bookmark126"/>
                            <w:bookmarkStart w:id="287" w:name="bookmark128"/>
                            <w:r>
                              <w:rPr>
                                <w:color w:val="000000"/>
                                <w:spacing w:val="0"/>
                                <w:w w:val="100"/>
                                <w:position w:val="0"/>
                              </w:rPr>
                              <w:t>网络购物合同的成立与标价错误</w:t>
                            </w:r>
                            <w:bookmarkEnd w:id="285"/>
                            <w:bookmarkEnd w:id="286"/>
                            <w:bookmarkEnd w:id="287"/>
                          </w:p>
                        </w:txbxContent>
                      </wps:txbx>
                      <wps:bodyPr wrap="none" lIns="0" tIns="0" rIns="0" bIns="0">
                        <a:noAutofit/>
                      </wps:bodyPr>
                    </wps:wsp>
                  </a:graphicData>
                </a:graphic>
              </wp:anchor>
            </w:drawing>
          </mc:Choice>
          <mc:Fallback>
            <w:pict>
              <v:shape id="Shape 267" o:spid="_x0000_s1026" o:spt="202" type="#_x0000_t202" style="position:absolute;left:0pt;margin-left:107.1pt;margin-top:7.7pt;height:18.35pt;width:221.15pt;mso-position-horizontal-relative:page;mso-wrap-distance-bottom:0.05pt;mso-wrap-distance-top:6.7pt;mso-wrap-style:none;z-index:251660288;mso-width-relative:page;mso-height-relative:page;" filled="f" stroked="f" coordsize="21600,21600" o:gfxdata="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aNEB9YA&#10;AAAJAQAADwAAAAAAAAABACAAAAAiAAAAZHJzL2Rvd25yZXYueG1sUEsBAhQAFAAAAAgAh07iQFLe&#10;F6+vAQAAdAMAAA4AAAAAAAAAAQAgAAAAJQEAAGRycy9lMm9Eb2MueG1sUEsFBgAAAAAGAAYAWQEA&#10;AEYFAAAAAA==&#10;">
                <v:fill on="f" focussize="0,0"/>
                <v:stroke on="f"/>
                <v:imagedata o:title=""/>
                <o:lock v:ext="edit" aspectratio="f"/>
                <v:textbox inset="0mm,0mm,0mm,0mm">
                  <w:txbxContent>
                    <w:p w14:paraId="0B18EF03">
                      <w:pPr>
                        <w:pStyle w:val="15"/>
                        <w:keepNext/>
                        <w:keepLines/>
                        <w:widowControl w:val="0"/>
                        <w:shd w:val="clear" w:color="auto" w:fill="auto"/>
                        <w:bidi w:val="0"/>
                        <w:spacing w:before="0" w:after="0" w:line="240" w:lineRule="auto"/>
                        <w:ind w:left="0" w:right="0" w:firstLine="0"/>
                        <w:jc w:val="left"/>
                      </w:pPr>
                      <w:bookmarkStart w:id="285" w:name="bookmark127"/>
                      <w:bookmarkStart w:id="286" w:name="bookmark126"/>
                      <w:bookmarkStart w:id="287" w:name="bookmark128"/>
                      <w:r>
                        <w:rPr>
                          <w:color w:val="000000"/>
                          <w:spacing w:val="0"/>
                          <w:w w:val="100"/>
                          <w:position w:val="0"/>
                        </w:rPr>
                        <w:t>网络购物合同的成立与标价错误</w:t>
                      </w:r>
                      <w:bookmarkEnd w:id="285"/>
                      <w:bookmarkEnd w:id="286"/>
                      <w:bookmarkEnd w:id="287"/>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5145405</wp:posOffset>
            </wp:positionH>
            <wp:positionV relativeFrom="paragraph">
              <wp:posOffset>225425</wp:posOffset>
            </wp:positionV>
            <wp:extent cx="615950" cy="615950"/>
            <wp:effectExtent l="0" t="0" r="6350" b="6350"/>
            <wp:wrapSquare wrapText="left"/>
            <wp:docPr id="269" name="Shape 269"/>
            <wp:cNvGraphicFramePr/>
            <a:graphic xmlns:a="http://schemas.openxmlformats.org/drawingml/2006/main">
              <a:graphicData uri="http://schemas.openxmlformats.org/drawingml/2006/picture">
                <pic:pic xmlns:pic="http://schemas.openxmlformats.org/drawingml/2006/picture">
                  <pic:nvPicPr>
                    <pic:cNvPr id="269" name="Shape 269"/>
                    <pic:cNvPicPr/>
                  </pic:nvPicPr>
                  <pic:blipFill>
                    <a:blip r:embed="rId615"/>
                    <a:stretch>
                      <a:fillRect/>
                    </a:stretch>
                  </pic:blipFill>
                  <pic:spPr>
                    <a:xfrm>
                      <a:off x="0" y="0"/>
                      <a:ext cx="615950" cy="615950"/>
                    </a:xfrm>
                    <a:prstGeom prst="rect">
                      <a:avLst/>
                    </a:prstGeom>
                  </pic:spPr>
                </pic:pic>
              </a:graphicData>
            </a:graphic>
          </wp:anchor>
        </w:drawing>
      </w:r>
    </w:p>
    <w:p w14:paraId="09CA926F">
      <w:pPr>
        <w:pStyle w:val="17"/>
        <w:keepNext w:val="0"/>
        <w:keepLines w:val="0"/>
        <w:widowControl w:val="0"/>
        <w:shd w:val="clear" w:color="auto" w:fill="auto"/>
        <w:bidi w:val="0"/>
        <w:spacing w:before="0" w:after="360" w:line="322" w:lineRule="exact"/>
        <w:ind w:left="1000" w:right="0" w:firstLine="0"/>
        <w:jc w:val="both"/>
      </w:pPr>
      <w:r>
        <w:rPr>
          <w:color w:val="000000"/>
          <w:spacing w:val="0"/>
          <w:w w:val="100"/>
          <w:position w:val="0"/>
        </w:rPr>
        <w:t>北京世纪卓越信息技术有限公司与李尚辉买卖合同纠纷上诉案 北京市第三中级人民法院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京</w:t>
      </w:r>
      <w:r>
        <w:rPr>
          <w:rFonts w:ascii="Times New Roman" w:hAnsi="Times New Roman" w:eastAsia="Times New Roman" w:cs="Times New Roman"/>
          <w:color w:val="000000"/>
          <w:spacing w:val="0"/>
          <w:w w:val="100"/>
          <w:position w:val="0"/>
          <w:sz w:val="19"/>
          <w:szCs w:val="19"/>
        </w:rPr>
        <w:t>03</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1140</w:t>
      </w:r>
      <w:r>
        <w:rPr>
          <w:color w:val="000000"/>
          <w:spacing w:val="0"/>
          <w:w w:val="100"/>
          <w:position w:val="0"/>
        </w:rPr>
        <w:t>号民事判决书</w:t>
      </w:r>
    </w:p>
    <w:p w14:paraId="24D9827E">
      <w:pPr>
        <w:pStyle w:val="33"/>
        <w:keepNext w:val="0"/>
        <w:keepLines w:val="0"/>
        <w:widowControl w:val="0"/>
        <w:shd w:val="clear" w:color="auto" w:fill="auto"/>
        <w:bidi w:val="0"/>
        <w:spacing w:before="0" w:after="1380" w:line="240" w:lineRule="auto"/>
        <w:ind w:left="0" w:right="0" w:firstLine="0"/>
        <w:jc w:val="right"/>
      </w:pPr>
      <w:r>
        <w:rPr>
          <w:b/>
          <w:bCs/>
          <w:color w:val="000000"/>
          <w:spacing w:val="0"/>
          <w:w w:val="100"/>
          <w:position w:val="0"/>
          <w:sz w:val="18"/>
          <w:szCs w:val="18"/>
        </w:rPr>
        <w:t>王天凡</w:t>
      </w:r>
      <w:r>
        <w:rPr>
          <w:color w:val="000000"/>
          <w:spacing w:val="0"/>
          <w:w w:val="100"/>
          <w:position w:val="0"/>
        </w:rPr>
        <w:t>北京航空航天大学法学院</w:t>
      </w:r>
    </w:p>
    <w:p w14:paraId="7D3D1B81">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DF1A25A">
      <w:pPr>
        <w:pStyle w:val="17"/>
        <w:keepNext w:val="0"/>
        <w:keepLines w:val="0"/>
        <w:widowControl w:val="0"/>
        <w:shd w:val="clear" w:color="auto" w:fill="auto"/>
        <w:bidi w:val="0"/>
        <w:spacing w:before="0" w:after="360" w:line="343" w:lineRule="exact"/>
        <w:ind w:left="0" w:right="0"/>
        <w:jc w:val="both"/>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 xml:space="preserve">日，李尚辉在亚马逊网站下单购买了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台“</w:t>
      </w:r>
      <w:r>
        <w:rPr>
          <w:rFonts w:ascii="Times New Roman" w:hAnsi="Times New Roman" w:eastAsia="Times New Roman" w:cs="Times New Roman"/>
          <w:color w:val="000000"/>
          <w:spacing w:val="0"/>
          <w:w w:val="100"/>
          <w:position w:val="0"/>
          <w:sz w:val="19"/>
          <w:szCs w:val="19"/>
          <w:lang w:val="en-US" w:eastAsia="en-US" w:bidi="en-US"/>
        </w:rPr>
        <w:t>ECOVACS</w:t>
      </w:r>
      <w:r>
        <w:rPr>
          <w:color w:val="000000"/>
          <w:spacing w:val="0"/>
          <w:w w:val="100"/>
          <w:position w:val="0"/>
        </w:rPr>
        <w:t>科沃斯智能家用 扫地机战斧</w:t>
      </w:r>
      <w:r>
        <w:rPr>
          <w:rFonts w:ascii="Times New Roman" w:hAnsi="Times New Roman" w:eastAsia="Times New Roman" w:cs="Times New Roman"/>
          <w:color w:val="000000"/>
          <w:spacing w:val="0"/>
          <w:w w:val="100"/>
          <w:position w:val="0"/>
          <w:sz w:val="19"/>
          <w:szCs w:val="19"/>
          <w:lang w:val="en-US" w:eastAsia="en-US" w:bidi="en-US"/>
        </w:rPr>
        <w:t>CEN360”</w:t>
      </w:r>
      <w:r>
        <w:rPr>
          <w:color w:val="000000"/>
          <w:spacing w:val="0"/>
          <w:w w:val="100"/>
          <w:position w:val="0"/>
          <w:sz w:val="19"/>
          <w:szCs w:val="19"/>
          <w:lang w:val="en-US" w:eastAsia="en-US" w:bidi="en-US"/>
        </w:rPr>
        <w:t>，</w:t>
      </w:r>
      <w:r>
        <w:rPr>
          <w:color w:val="000000"/>
          <w:spacing w:val="0"/>
          <w:w w:val="100"/>
          <w:position w:val="0"/>
        </w:rPr>
        <w:t>单价</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元，订单总计</w:t>
      </w:r>
      <w:r>
        <w:rPr>
          <w:rFonts w:ascii="Times New Roman" w:hAnsi="Times New Roman" w:eastAsia="Times New Roman" w:cs="Times New Roman"/>
          <w:color w:val="000000"/>
          <w:spacing w:val="0"/>
          <w:w w:val="100"/>
          <w:position w:val="0"/>
          <w:sz w:val="19"/>
          <w:szCs w:val="19"/>
        </w:rPr>
        <w:t>282</w:t>
      </w:r>
      <w:r>
        <w:rPr>
          <w:color w:val="000000"/>
          <w:spacing w:val="0"/>
          <w:w w:val="100"/>
          <w:position w:val="0"/>
        </w:rPr>
        <w:t>元。付款方式为在线付款。北京世纪卓越 信息技术有限公司（以下简称世纪卓越公司）回复邮件称：已经收到订单，确定了预计送达 商品的时间,但有可能由于商品缺货等原因无法发货。同时也说明邮件仅确认收到订单, 并不代表接受订单，只有发出发货确认的邮件双方之间的合同才成立。诉讼中，世纪卓越 公司称将扫地机的价格标注为</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元系操作错误，此价格并非扫地机的真实售价。世纪卓越 公司未发货，并已将相应货款退还了李尚辉。</w:t>
      </w:r>
    </w:p>
    <w:p w14:paraId="255FBA8B">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7596811">
      <w:pPr>
        <w:pStyle w:val="17"/>
        <w:keepNext w:val="0"/>
        <w:keepLines w:val="0"/>
        <w:widowControl w:val="0"/>
        <w:shd w:val="clear" w:color="auto" w:fill="auto"/>
        <w:bidi w:val="0"/>
        <w:spacing w:before="0" w:after="360" w:line="336" w:lineRule="exact"/>
        <w:ind w:left="0" w:right="0"/>
        <w:jc w:val="both"/>
      </w:pPr>
      <w:r>
        <w:rPr>
          <w:color w:val="000000"/>
          <w:spacing w:val="0"/>
          <w:w w:val="100"/>
          <w:position w:val="0"/>
        </w:rPr>
        <w:t>亚马逊网站在使用条件部分明确约定商品展示的性质为要约邀请，消费者下单为要 约，只有网站发岀送货确认才构成承诺。消费者同意该使用条件，视为双方就此达成了合 意。所以，消费者下单付款后，在网站确认发货前合同并未成立。世纪卓越公司并未确认可 以向李尚辉发货，故双方之间的买卖合同关系未成立。世纪卓越公司在无法交付涉案商品 的情况下仍接受消费者下单,且并未告知消费者商品标价错误一节,其行为存在过错，应承 担缔约过失责任。因世纪卓越公司单方取消订单,致使李尚辉丧失了以</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元价格购买到扫 地机的交易机会，世纪卓越公司应向李尚辉赔偿正常销售价格与</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元之间的差价损失。</w:t>
      </w:r>
    </w:p>
    <w:p w14:paraId="33DDD2A9">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rPr>
        <w:t>■评析</w:t>
      </w:r>
    </w:p>
    <w:p w14:paraId="666E3378">
      <w:pPr>
        <w:pStyle w:val="17"/>
        <w:keepNext w:val="0"/>
        <w:keepLines w:val="0"/>
        <w:widowControl w:val="0"/>
        <w:shd w:val="clear" w:color="auto" w:fill="auto"/>
        <w:bidi w:val="0"/>
        <w:spacing w:before="0" w:after="80" w:line="338"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本裁定的思路和意义</w:t>
      </w:r>
    </w:p>
    <w:p w14:paraId="7FD6D171">
      <w:pPr>
        <w:pStyle w:val="17"/>
        <w:keepNext w:val="0"/>
        <w:keepLines w:val="0"/>
        <w:widowControl w:val="0"/>
        <w:shd w:val="clear" w:color="auto" w:fill="auto"/>
        <w:bidi w:val="0"/>
        <w:spacing w:before="0" w:after="280" w:line="338" w:lineRule="exact"/>
        <w:ind w:left="0" w:right="0"/>
        <w:jc w:val="both"/>
        <w:sectPr>
          <w:footnotePr>
            <w:numFmt w:val="chicago"/>
          </w:footnotePr>
          <w:type w:val="continuous"/>
          <w:pgSz w:w="10099" w:h="14782"/>
          <w:pgMar w:top="1269" w:right="987" w:bottom="1089" w:left="1116" w:header="841" w:footer="661" w:gutter="0"/>
          <w:cols w:space="720" w:num="1"/>
          <w:rtlGutter w:val="0"/>
          <w:docGrid w:linePitch="360" w:charSpace="0"/>
        </w:sectPr>
      </w:pPr>
      <w:r>
        <w:rPr>
          <w:color w:val="000000"/>
          <w:spacing w:val="0"/>
          <w:w w:val="100"/>
          <w:position w:val="0"/>
        </w:rPr>
        <w:t>本案中法院的裁判主要有几个层次:首先需要判断世纪卓越公司在网站中公布的</w:t>
      </w:r>
      <w:r>
        <w:rPr>
          <w:color w:val="000000"/>
          <w:spacing w:val="0"/>
          <w:w w:val="100"/>
          <w:position w:val="0"/>
          <w:lang w:val="zh-CN" w:eastAsia="zh-CN" w:bidi="zh-CN"/>
        </w:rPr>
        <w:t xml:space="preserve">“使 </w:t>
      </w:r>
      <w:r>
        <w:rPr>
          <w:color w:val="000000"/>
          <w:spacing w:val="0"/>
          <w:w w:val="100"/>
          <w:position w:val="0"/>
        </w:rPr>
        <w:t>用条件</w:t>
      </w:r>
      <w:r>
        <w:rPr>
          <w:color w:val="000000"/>
          <w:spacing w:val="0"/>
          <w:w w:val="100"/>
          <w:position w:val="0"/>
          <w:lang w:val="zh-CN" w:eastAsia="zh-CN" w:bidi="zh-CN"/>
        </w:rPr>
        <w:t>”是否</w:t>
      </w:r>
      <w:r>
        <w:rPr>
          <w:color w:val="000000"/>
          <w:spacing w:val="0"/>
          <w:w w:val="100"/>
          <w:position w:val="0"/>
        </w:rPr>
        <w:t xml:space="preserve">对双方发生约束力,该条款赋予了世纪卓越公司单方决定是否发货的权利并 免除了世纪卓越公司不予发货的违约责任。若该条款对双方有拘束力，那么世纪卓越公司 与李尚辉之间的买卖合同就尚未成立;若否定该条款的拘束力,才需依据合同法要约、承诺 的规则判断世纪卓越公司提供的商品标价页面的性质应当属于要约还是要约邀请,并进一 </w:t>
      </w:r>
    </w:p>
    <w:p w14:paraId="7F7E91C1">
      <w:pPr>
        <w:pStyle w:val="17"/>
        <w:keepNext w:val="0"/>
        <w:keepLines w:val="0"/>
        <w:widowControl w:val="0"/>
        <w:shd w:val="clear" w:color="auto" w:fill="auto"/>
        <w:bidi w:val="0"/>
        <w:spacing w:before="0" w:after="280" w:line="338" w:lineRule="exact"/>
        <w:ind w:left="0" w:right="0" w:firstLine="0"/>
        <w:jc w:val="both"/>
      </w:pPr>
      <w:r>
        <w:rPr>
          <w:color w:val="000000"/>
          <w:spacing w:val="0"/>
          <w:w w:val="100"/>
          <w:position w:val="0"/>
        </w:rPr>
        <w:t>步确定双方之间的合同是否已经成立。在此基础上，再进一步判断世纪卓越公司应当承担 何种责任。</w:t>
      </w:r>
    </w:p>
    <w:p w14:paraId="4AAA2037">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网购合同成立及标价错误的规范及学理</w:t>
      </w:r>
    </w:p>
    <w:p w14:paraId="15E7A33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判断购物网站的产品标价页面究竟属于要约抑或要约邀请，须从我国法律规定的要约 的构成要件结合意思表示的解释方法进行判断。我国《民法典》第</w:t>
      </w:r>
      <w:r>
        <w:rPr>
          <w:rFonts w:ascii="Times New Roman" w:hAnsi="Times New Roman" w:eastAsia="Times New Roman" w:cs="Times New Roman"/>
          <w:color w:val="000000"/>
          <w:spacing w:val="0"/>
          <w:w w:val="100"/>
          <w:position w:val="0"/>
          <w:sz w:val="19"/>
          <w:szCs w:val="19"/>
        </w:rPr>
        <w:t>472</w:t>
      </w:r>
      <w:r>
        <w:rPr>
          <w:color w:val="000000"/>
          <w:spacing w:val="0"/>
          <w:w w:val="100"/>
          <w:position w:val="0"/>
        </w:rPr>
        <w:t>条规定，要约的意思 表示应当符合下列条件:“（一）内容具体确定；（二）表明经受要约人承诺，要约人即受该意 思表示约束</w:t>
      </w:r>
      <w:r>
        <w:rPr>
          <w:color w:val="000000"/>
          <w:spacing w:val="0"/>
          <w:w w:val="100"/>
          <w:position w:val="0"/>
          <w:lang w:val="zh-CN" w:eastAsia="zh-CN" w:bidi="zh-CN"/>
        </w:rPr>
        <w:t>。”而</w:t>
      </w:r>
      <w:r>
        <w:rPr>
          <w:color w:val="000000"/>
          <w:spacing w:val="0"/>
          <w:w w:val="100"/>
          <w:position w:val="0"/>
        </w:rPr>
        <w:t>根据《民法典》第</w:t>
      </w:r>
      <w:r>
        <w:rPr>
          <w:rFonts w:ascii="Times New Roman" w:hAnsi="Times New Roman" w:eastAsia="Times New Roman" w:cs="Times New Roman"/>
          <w:color w:val="000000"/>
          <w:spacing w:val="0"/>
          <w:w w:val="100"/>
          <w:position w:val="0"/>
          <w:sz w:val="19"/>
          <w:szCs w:val="19"/>
        </w:rPr>
        <w:t>473</w:t>
      </w:r>
      <w:r>
        <w:rPr>
          <w:color w:val="000000"/>
          <w:spacing w:val="0"/>
          <w:w w:val="100"/>
          <w:position w:val="0"/>
        </w:rPr>
        <w:t>条,寄送的价目表、拍卖公告、招标公告、招股说明书、 商业广告等为要约邀请。商业广告和宣传的内容符合要约规定的，视为要约。内容是否具 体确定这一构成要件被认为是区分要约与要约邀请在内容方面的核心要件。对于某一具 体商品的点击购买页面而言，此类页面中通常包括待售商品的名称、型号、规格、价款、支付 方式、实物照片、发货方式等信息，国内外法院裁判在这一点上基本没有争议，都认定这类 商品下单页面符合要约内容具体且确定的要求。所以本案中真正需要进行讨论的,具有决 定意义的要件是意思表示的发出者是否有受其意思表示拘束的意思，即是否符合《民法典》 第</w:t>
      </w:r>
      <w:r>
        <w:rPr>
          <w:rFonts w:ascii="Times New Roman" w:hAnsi="Times New Roman" w:eastAsia="Times New Roman" w:cs="Times New Roman"/>
          <w:color w:val="000000"/>
          <w:spacing w:val="0"/>
          <w:w w:val="100"/>
          <w:position w:val="0"/>
          <w:sz w:val="19"/>
          <w:szCs w:val="19"/>
        </w:rPr>
        <w:t>472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项的构成要件。对此必须通过意思表示的解释予以查明。而无论要约或要约 邀请均属于需受领的意思表示，因此对其进行解释应从受领人的角度出发,探究受领人的 认识可能性，依据《民法典》第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条的规定，应适用客观解释或规范解释的规则查明意思 表示的规范意义。观察主要购物网站的商品点击购买页面，均可以比较清晰地看到</w:t>
      </w:r>
      <w:r>
        <w:rPr>
          <w:color w:val="000000"/>
          <w:spacing w:val="0"/>
          <w:w w:val="100"/>
          <w:position w:val="0"/>
          <w:lang w:val="zh-CN" w:eastAsia="zh-CN" w:bidi="zh-CN"/>
        </w:rPr>
        <w:t xml:space="preserve">“立即 </w:t>
      </w:r>
      <w:r>
        <w:rPr>
          <w:color w:val="000000"/>
          <w:spacing w:val="0"/>
          <w:w w:val="100"/>
          <w:position w:val="0"/>
        </w:rPr>
        <w:t>购买</w:t>
      </w:r>
      <w:r>
        <w:rPr>
          <w:color w:val="000000"/>
          <w:spacing w:val="0"/>
          <w:w w:val="100"/>
          <w:position w:val="0"/>
          <w:lang w:val="zh-CN" w:eastAsia="zh-CN" w:bidi="zh-CN"/>
        </w:rPr>
        <w:t>”“立</w:t>
      </w:r>
      <w:r>
        <w:rPr>
          <w:color w:val="000000"/>
          <w:spacing w:val="0"/>
          <w:w w:val="100"/>
          <w:position w:val="0"/>
        </w:rPr>
        <w:t>即抢购</w:t>
      </w:r>
      <w:r>
        <w:rPr>
          <w:color w:val="000000"/>
          <w:spacing w:val="0"/>
          <w:w w:val="100"/>
          <w:position w:val="0"/>
          <w:lang w:val="zh-CN" w:eastAsia="zh-CN" w:bidi="zh-CN"/>
        </w:rPr>
        <w:t>”等点</w:t>
      </w:r>
      <w:r>
        <w:rPr>
          <w:color w:val="000000"/>
          <w:spacing w:val="0"/>
          <w:w w:val="100"/>
          <w:position w:val="0"/>
        </w:rPr>
        <w:t>击按钮，并且在页面显著位置基本都有</w:t>
      </w:r>
      <w:r>
        <w:rPr>
          <w:color w:val="000000"/>
          <w:spacing w:val="0"/>
          <w:w w:val="100"/>
          <w:position w:val="0"/>
          <w:lang w:val="zh-CN" w:eastAsia="zh-CN" w:bidi="zh-CN"/>
        </w:rPr>
        <w:t>“现</w:t>
      </w:r>
      <w:r>
        <w:rPr>
          <w:color w:val="000000"/>
          <w:spacing w:val="0"/>
          <w:w w:val="100"/>
          <w:position w:val="0"/>
        </w:rPr>
        <w:t>在有货</w:t>
      </w:r>
      <w:r>
        <w:rPr>
          <w:color w:val="000000"/>
          <w:spacing w:val="0"/>
          <w:w w:val="100"/>
          <w:position w:val="0"/>
          <w:lang w:val="zh-CN" w:eastAsia="zh-CN" w:bidi="zh-CN"/>
        </w:rPr>
        <w:t>”“配</w:t>
      </w:r>
      <w:r>
        <w:rPr>
          <w:color w:val="000000"/>
          <w:spacing w:val="0"/>
          <w:w w:val="100"/>
          <w:position w:val="0"/>
        </w:rPr>
        <w:t>送至</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地 区（系统自动识别</w:t>
      </w:r>
      <w:r>
        <w:rPr>
          <w:rFonts w:ascii="Times New Roman" w:hAnsi="Times New Roman" w:eastAsia="Times New Roman" w:cs="Times New Roman"/>
          <w:color w:val="000000"/>
          <w:spacing w:val="0"/>
          <w:w w:val="100"/>
          <w:position w:val="0"/>
          <w:sz w:val="19"/>
          <w:szCs w:val="19"/>
          <w:lang w:val="en-US" w:eastAsia="en-US" w:bidi="en-US"/>
        </w:rPr>
        <w:t>IP</w:t>
      </w:r>
      <w:r>
        <w:rPr>
          <w:color w:val="000000"/>
          <w:spacing w:val="0"/>
          <w:w w:val="100"/>
          <w:position w:val="0"/>
        </w:rPr>
        <w:t xml:space="preserve">地址而给出默认地址，消费者可重新选择），预计送达时间” “通常需要 </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天发货</w:t>
      </w:r>
      <w:r>
        <w:rPr>
          <w:color w:val="000000"/>
          <w:spacing w:val="0"/>
          <w:w w:val="100"/>
          <w:position w:val="0"/>
          <w:lang w:val="zh-CN" w:eastAsia="zh-CN" w:bidi="zh-CN"/>
        </w:rPr>
        <w:t>”“精</w:t>
      </w:r>
      <w:r>
        <w:rPr>
          <w:color w:val="000000"/>
          <w:spacing w:val="0"/>
          <w:w w:val="100"/>
          <w:position w:val="0"/>
        </w:rPr>
        <w:t xml:space="preserve">确送达时间请于结账页面查询” </w:t>
      </w:r>
      <w:r>
        <w:rPr>
          <w:color w:val="000000"/>
          <w:spacing w:val="0"/>
          <w:w w:val="100"/>
          <w:position w:val="0"/>
          <w:lang w:val="zh-CN" w:eastAsia="zh-CN" w:bidi="zh-CN"/>
        </w:rPr>
        <w:t>“库存</w:t>
      </w:r>
      <w:r>
        <w:rPr>
          <w:color w:val="000000"/>
          <w:spacing w:val="0"/>
          <w:w w:val="100"/>
          <w:position w:val="0"/>
        </w:rPr>
        <w:t>中仅剩</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件（更多商品正在运送途 中）”</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日内无理由退换货</w:t>
      </w:r>
      <w:r>
        <w:rPr>
          <w:color w:val="000000"/>
          <w:spacing w:val="0"/>
          <w:w w:val="100"/>
          <w:position w:val="0"/>
          <w:lang w:val="zh-CN" w:eastAsia="zh-CN" w:bidi="zh-CN"/>
        </w:rPr>
        <w:t>”等</w:t>
      </w:r>
      <w:r>
        <w:rPr>
          <w:color w:val="000000"/>
          <w:spacing w:val="0"/>
          <w:w w:val="100"/>
          <w:position w:val="0"/>
        </w:rPr>
        <w:t>说明。由此从不特定第三人的角度观之，这些标注与说明都 有较为明显的暗示商家“一经接受即成立合同”或愿意接受其表示之拘束的意思。当消费 者在商品点击购买页面上点选了</w:t>
      </w:r>
      <w:r>
        <w:rPr>
          <w:color w:val="000000"/>
          <w:spacing w:val="0"/>
          <w:w w:val="100"/>
          <w:position w:val="0"/>
          <w:lang w:val="zh-CN" w:eastAsia="zh-CN" w:bidi="zh-CN"/>
        </w:rPr>
        <w:t>“加入</w:t>
      </w:r>
      <w:r>
        <w:rPr>
          <w:color w:val="000000"/>
          <w:spacing w:val="0"/>
          <w:w w:val="100"/>
          <w:position w:val="0"/>
        </w:rPr>
        <w:t>购物车</w:t>
      </w:r>
      <w:r>
        <w:rPr>
          <w:color w:val="000000"/>
          <w:spacing w:val="0"/>
          <w:w w:val="100"/>
          <w:position w:val="0"/>
          <w:lang w:val="zh-CN" w:eastAsia="zh-CN" w:bidi="zh-CN"/>
        </w:rPr>
        <w:t>”，链</w:t>
      </w:r>
      <w:r>
        <w:rPr>
          <w:color w:val="000000"/>
          <w:spacing w:val="0"/>
          <w:w w:val="100"/>
          <w:position w:val="0"/>
        </w:rPr>
        <w:t>接进入商品暂存页面，在此页面上再次 选定商品，或消费者直接点击</w:t>
      </w:r>
      <w:r>
        <w:rPr>
          <w:color w:val="000000"/>
          <w:spacing w:val="0"/>
          <w:w w:val="100"/>
          <w:position w:val="0"/>
          <w:lang w:val="zh-CN" w:eastAsia="zh-CN" w:bidi="zh-CN"/>
        </w:rPr>
        <w:t>“立即</w:t>
      </w:r>
      <w:r>
        <w:rPr>
          <w:color w:val="000000"/>
          <w:spacing w:val="0"/>
          <w:w w:val="100"/>
          <w:position w:val="0"/>
        </w:rPr>
        <w:t>购买”等按键，在链接页面上均会出现要求消费者再次 确定所选购商品的名称、型号（此处往往会设置商品的链接,供消费者再次确认）、数量、价 格、配送方式及费用、送货地址、付款方式等，然后可以点击</w:t>
      </w:r>
      <w:r>
        <w:rPr>
          <w:color w:val="000000"/>
          <w:spacing w:val="0"/>
          <w:w w:val="100"/>
          <w:position w:val="0"/>
          <w:lang w:val="zh-CN" w:eastAsia="zh-CN" w:bidi="zh-CN"/>
        </w:rPr>
        <w:t>“提交</w:t>
      </w:r>
      <w:r>
        <w:rPr>
          <w:color w:val="000000"/>
          <w:spacing w:val="0"/>
          <w:w w:val="100"/>
          <w:position w:val="0"/>
        </w:rPr>
        <w:t>订单”</w:t>
      </w:r>
      <w:r>
        <w:rPr>
          <w:color w:val="000000"/>
          <w:spacing w:val="0"/>
          <w:w w:val="100"/>
          <w:position w:val="0"/>
          <w:lang w:val="zh-CN" w:eastAsia="zh-CN" w:bidi="zh-CN"/>
        </w:rPr>
        <w:t>、“进</w:t>
      </w:r>
      <w:r>
        <w:rPr>
          <w:color w:val="000000"/>
          <w:spacing w:val="0"/>
          <w:w w:val="100"/>
          <w:position w:val="0"/>
        </w:rPr>
        <w:t>入结算中心</w:t>
      </w:r>
      <w:r>
        <w:rPr>
          <w:color w:val="000000"/>
          <w:spacing w:val="0"/>
          <w:w w:val="100"/>
          <w:position w:val="0"/>
          <w:lang w:val="zh-CN" w:eastAsia="zh-CN" w:bidi="zh-CN"/>
        </w:rPr>
        <w:t>”或 “结账”等</w:t>
      </w:r>
      <w:r>
        <w:rPr>
          <w:color w:val="000000"/>
          <w:spacing w:val="0"/>
          <w:w w:val="100"/>
          <w:position w:val="0"/>
        </w:rPr>
        <w:t>按键,之后链接到付款页面，在此页消费者可以根据商家提供的可接受的付款方 式进行选择,在线付款或货到付款等。上述购买过程中的各个步骤,依据意思表示受领人 （买方）视角,从中皆难以解释岀商家保留了最终是否订约的可能性。因此,世纪卓越公司 将其待售商品的名称、型号、价款等详细信息陈列于其网站之上，且应当认定为要约，消费 者可以直接点击购买并支付价款的应当认定合同成立。</w:t>
      </w:r>
    </w:p>
    <w:p w14:paraId="2F6E5BF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然而现有各网站规则中均可见到大量关于合同缔结条款的规定。如本案中，亚马逊网 站中公布的</w:t>
      </w:r>
      <w:r>
        <w:rPr>
          <w:color w:val="000000"/>
          <w:spacing w:val="0"/>
          <w:w w:val="100"/>
          <w:position w:val="0"/>
          <w:lang w:val="zh-CN" w:eastAsia="zh-CN" w:bidi="zh-CN"/>
        </w:rPr>
        <w:t>“使</w:t>
      </w:r>
      <w:r>
        <w:rPr>
          <w:color w:val="000000"/>
          <w:spacing w:val="0"/>
          <w:w w:val="100"/>
          <w:position w:val="0"/>
        </w:rPr>
        <w:t>用条件</w:t>
      </w:r>
      <w:r>
        <w:rPr>
          <w:color w:val="000000"/>
          <w:spacing w:val="0"/>
          <w:w w:val="100"/>
          <w:position w:val="0"/>
          <w:lang w:val="zh-CN" w:eastAsia="zh-CN" w:bidi="zh-CN"/>
        </w:rPr>
        <w:t>”中</w:t>
      </w:r>
      <w:r>
        <w:rPr>
          <w:color w:val="000000"/>
          <w:spacing w:val="0"/>
          <w:w w:val="100"/>
          <w:position w:val="0"/>
        </w:rPr>
        <w:t>载明：</w:t>
      </w:r>
      <w:r>
        <w:rPr>
          <w:color w:val="000000"/>
          <w:spacing w:val="0"/>
          <w:w w:val="100"/>
          <w:position w:val="0"/>
          <w:lang w:val="zh-CN" w:eastAsia="zh-CN" w:bidi="zh-CN"/>
        </w:rPr>
        <w:t>“如</w:t>
      </w:r>
      <w:r>
        <w:rPr>
          <w:color w:val="000000"/>
          <w:spacing w:val="0"/>
          <w:w w:val="100"/>
          <w:position w:val="0"/>
        </w:rPr>
        <w:t>果您通过本网站订购商品,本网站上展示的商品和价格 等信息仅仅是要约邀请,您的订单将成为订购商品的申请或要约。收到您的订单后，我们 将向您发送一电子邮件或短信确认我们已收到您的订单，其中载明订单的细节，但该确认 不代表我们接受您的订单。只有当我们向您发出送货确认的电子邮件或短信，通知您我们 已将您订购的商品发出时，才构成我们对您的订单的接受，我们和您之间的订购合同才成 立。</w:t>
      </w:r>
      <w:r>
        <w:rPr>
          <w:color w:val="000000"/>
          <w:spacing w:val="0"/>
          <w:w w:val="100"/>
          <w:position w:val="0"/>
          <w:lang w:val="zh-CN" w:eastAsia="zh-CN" w:bidi="zh-CN"/>
        </w:rPr>
        <w:t>”此类</w:t>
      </w:r>
      <w:r>
        <w:rPr>
          <w:color w:val="000000"/>
          <w:spacing w:val="0"/>
          <w:w w:val="100"/>
          <w:position w:val="0"/>
        </w:rPr>
        <w:t>条款属于格式条款应当无疑，因而须受到我国《民法典》、《消费者权益保护法》及 《电子商务法》等相关法律、司法解释的规制。上述网站规则实已将买卖合同由诺成合同转 变为要物合同，并且与不特定消费者在网站购物中可能获得的规范性理解并不相符，当然 应属于</w:t>
      </w:r>
      <w:r>
        <w:rPr>
          <w:color w:val="000000"/>
          <w:spacing w:val="0"/>
          <w:w w:val="100"/>
          <w:position w:val="0"/>
          <w:lang w:val="zh-CN" w:eastAsia="zh-CN" w:bidi="zh-CN"/>
        </w:rPr>
        <w:t>“与</w:t>
      </w:r>
      <w:r>
        <w:rPr>
          <w:color w:val="000000"/>
          <w:spacing w:val="0"/>
          <w:w w:val="100"/>
          <w:position w:val="0"/>
        </w:rPr>
        <w:t>消费者有重大利害关系的内容”。因而网站必须履行</w:t>
      </w:r>
      <w:r>
        <w:rPr>
          <w:color w:val="000000"/>
          <w:spacing w:val="0"/>
          <w:w w:val="100"/>
          <w:position w:val="0"/>
          <w:lang w:val="zh-CN" w:eastAsia="zh-CN" w:bidi="zh-CN"/>
        </w:rPr>
        <w:t>“以显</w:t>
      </w:r>
      <w:r>
        <w:rPr>
          <w:color w:val="000000"/>
          <w:spacing w:val="0"/>
          <w:w w:val="100"/>
          <w:position w:val="0"/>
        </w:rPr>
        <w:t>著方式提请消费者注 意”并</w:t>
      </w:r>
      <w:r>
        <w:rPr>
          <w:color w:val="000000"/>
          <w:spacing w:val="0"/>
          <w:w w:val="100"/>
          <w:position w:val="0"/>
          <w:lang w:val="zh-CN" w:eastAsia="zh-CN" w:bidi="zh-CN"/>
        </w:rPr>
        <w:t>“按照</w:t>
      </w:r>
      <w:r>
        <w:rPr>
          <w:color w:val="000000"/>
          <w:spacing w:val="0"/>
          <w:w w:val="100"/>
          <w:position w:val="0"/>
        </w:rPr>
        <w:t>消费者的要求予以说明”的义务。我国学者普遍认为原《合同法》第</w:t>
      </w:r>
      <w:r>
        <w:rPr>
          <w:rFonts w:ascii="Times New Roman" w:hAnsi="Times New Roman" w:eastAsia="Times New Roman" w:cs="Times New Roman"/>
          <w:color w:val="000000"/>
          <w:spacing w:val="0"/>
          <w:w w:val="100"/>
          <w:position w:val="0"/>
          <w:sz w:val="19"/>
          <w:szCs w:val="19"/>
        </w:rPr>
        <w:t>39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款应当被视为格式条款的订入规则［王利明：《合同法研究》（第一卷），中国人民大学出版社</w:t>
      </w:r>
      <w:r>
        <w:rPr>
          <w:rFonts w:ascii="Times New Roman" w:hAnsi="Times New Roman" w:eastAsia="Times New Roman" w:cs="Times New Roman"/>
          <w:color w:val="000000"/>
          <w:spacing w:val="0"/>
          <w:w w:val="100"/>
          <w:position w:val="0"/>
          <w:sz w:val="19"/>
          <w:szCs w:val="19"/>
        </w:rPr>
        <w:t xml:space="preserve">2015 </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405</w:t>
      </w:r>
      <w:r>
        <w:rPr>
          <w:color w:val="000000"/>
          <w:spacing w:val="0"/>
          <w:w w:val="100"/>
          <w:position w:val="0"/>
        </w:rPr>
        <w:t>页。周清林:《论格式免责条款的效力层次</w:t>
      </w:r>
      <w:r>
        <w:rPr>
          <w:color w:val="000000"/>
          <w:spacing w:val="0"/>
          <w:w w:val="100"/>
          <w:position w:val="0"/>
          <w:lang w:val="en-US" w:eastAsia="en-US" w:bidi="en-US"/>
        </w:rPr>
        <w:t>一一</w:t>
      </w:r>
      <w:r>
        <w:rPr>
          <w:color w:val="000000"/>
          <w:spacing w:val="0"/>
          <w:w w:val="100"/>
          <w:position w:val="0"/>
        </w:rPr>
        <w:t>兼谈〈合同法〉及其司法解释之间的矛盾及 其协调》，载《现代法学》</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期。刘璐、高圣平:《格式条款之订入合同规则研究》，载《广西社会 科学》</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期］。若提供格式条款的一方当事人未尽相应的提示说明义务，根据最高人 民法院《关于适用〈中华人民共和国合同法〉若干问题的解释（二）》［法释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 xml:space="preserve">9 </w:t>
      </w:r>
      <w:r>
        <w:rPr>
          <w:color w:val="000000"/>
          <w:spacing w:val="0"/>
          <w:w w:val="100"/>
          <w:position w:val="0"/>
        </w:rPr>
        <w:t>条，对方当事人可以申请撤销该格式条款。且经审查若该条款属实质性排除相对人主要权 利的条款，还应对其作出效力判断。《民法典》第</w:t>
      </w:r>
      <w:r>
        <w:rPr>
          <w:rFonts w:ascii="Times New Roman" w:hAnsi="Times New Roman" w:eastAsia="Times New Roman" w:cs="Times New Roman"/>
          <w:color w:val="000000"/>
          <w:spacing w:val="0"/>
          <w:w w:val="100"/>
          <w:position w:val="0"/>
          <w:sz w:val="19"/>
          <w:szCs w:val="19"/>
        </w:rPr>
        <w:t>496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款后句规定</w:t>
      </w:r>
      <w:r>
        <w:rPr>
          <w:color w:val="000000"/>
          <w:spacing w:val="0"/>
          <w:w w:val="100"/>
          <w:position w:val="0"/>
          <w:lang w:val="zh-CN" w:eastAsia="zh-CN" w:bidi="zh-CN"/>
        </w:rPr>
        <w:t>“提</w:t>
      </w:r>
      <w:r>
        <w:rPr>
          <w:color w:val="000000"/>
          <w:spacing w:val="0"/>
          <w:w w:val="100"/>
          <w:position w:val="0"/>
        </w:rPr>
        <w:t>供格式条款的 一方未履行提示或者说明义务,致使对方没有注意或者理解与其有重大利害关系的条款 的，对方可以主张该条款不成为合同的内容”。而本案中未能审查格式条款的问题，不知是 否因当事人未提出,但其可能会实质性地影响当事人之间的权利义务关系。</w:t>
      </w:r>
    </w:p>
    <w:p w14:paraId="527B941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网站商品展示页面虽然标价错误，但消费者却已点选下单，根据</w:t>
      </w:r>
      <w:r>
        <w:rPr>
          <w:color w:val="000000"/>
          <w:spacing w:val="0"/>
          <w:w w:val="100"/>
          <w:position w:val="0"/>
          <w:lang w:val="zh-CN" w:eastAsia="zh-CN" w:bidi="zh-CN"/>
        </w:rPr>
        <w:t>“解</w:t>
      </w:r>
      <w:r>
        <w:rPr>
          <w:color w:val="000000"/>
          <w:spacing w:val="0"/>
          <w:w w:val="100"/>
          <w:position w:val="0"/>
        </w:rPr>
        <w:t>释先于撤销</w:t>
      </w:r>
      <w:r>
        <w:rPr>
          <w:color w:val="000000"/>
          <w:spacing w:val="0"/>
          <w:w w:val="100"/>
          <w:position w:val="0"/>
          <w:lang w:val="zh-CN" w:eastAsia="zh-CN" w:bidi="zh-CN"/>
        </w:rPr>
        <w:t xml:space="preserve">”的原 </w:t>
      </w:r>
      <w:r>
        <w:rPr>
          <w:color w:val="000000"/>
          <w:spacing w:val="0"/>
          <w:w w:val="100"/>
          <w:position w:val="0"/>
        </w:rPr>
        <w:t>则，此时商家在商品标价页面作出的表示（标定的价格），在客观规范意义上与作为消费者 的受领人通过下单而作出的意思表示达成一致，因此合同在网站所标定的（错误的）价格之 上成立。此时,商家是否可依据重大误解而撤销？我国原《民法总则》与原《合同法》中的 “重大误解”担负着传统民法中错误制度的功能（王利明主编:《民法》，中国人民大学出版社</w:t>
      </w:r>
      <w:r>
        <w:rPr>
          <w:rFonts w:ascii="Times New Roman" w:hAnsi="Times New Roman" w:eastAsia="Times New Roman" w:cs="Times New Roman"/>
          <w:color w:val="000000"/>
          <w:spacing w:val="0"/>
          <w:w w:val="100"/>
          <w:position w:val="0"/>
          <w:sz w:val="19"/>
          <w:szCs w:val="19"/>
        </w:rPr>
        <w:t xml:space="preserve">2018 </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113</w:t>
      </w:r>
      <w:r>
        <w:rPr>
          <w:color w:val="000000"/>
          <w:spacing w:val="0"/>
          <w:w w:val="100"/>
          <w:position w:val="0"/>
        </w:rPr>
        <w:t>页），但两部法律中都没有明确规定构成要件。最高人民法院《关于贯彻执行〈中 华人民共和国民法通则〉若干问题的意见》［法（办）发</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1988）6</w:t>
      </w:r>
      <w:r>
        <w:rPr>
          <w:color w:val="000000"/>
          <w:spacing w:val="0"/>
          <w:w w:val="100"/>
          <w:position w:val="0"/>
        </w:rPr>
        <w:t>号］（以下简称《民通意见》） 第</w:t>
      </w:r>
      <w:r>
        <w:rPr>
          <w:rFonts w:ascii="Times New Roman" w:hAnsi="Times New Roman" w:eastAsia="Times New Roman" w:cs="Times New Roman"/>
          <w:color w:val="000000"/>
          <w:spacing w:val="0"/>
          <w:w w:val="100"/>
          <w:position w:val="0"/>
          <w:sz w:val="19"/>
          <w:szCs w:val="19"/>
        </w:rPr>
        <w:t>71</w:t>
      </w:r>
      <w:r>
        <w:rPr>
          <w:color w:val="000000"/>
          <w:spacing w:val="0"/>
          <w:w w:val="100"/>
          <w:position w:val="0"/>
        </w:rPr>
        <w:t>条要求重大误解首先必须满足</w:t>
      </w:r>
      <w:r>
        <w:rPr>
          <w:color w:val="000000"/>
          <w:spacing w:val="0"/>
          <w:w w:val="100"/>
          <w:position w:val="0"/>
          <w:lang w:val="zh-CN" w:eastAsia="zh-CN" w:bidi="zh-CN"/>
        </w:rPr>
        <w:t>“行为</w:t>
      </w:r>
      <w:r>
        <w:rPr>
          <w:color w:val="000000"/>
          <w:spacing w:val="0"/>
          <w:w w:val="100"/>
          <w:position w:val="0"/>
        </w:rPr>
        <w:t>的后果与自己的意思相悖”这一构成要件，亦即 要求只有发生在意思已经正确形成之后的对外表示阶段的错误才属于可撤销的范围。这 与民法传统错误理论相合,但这种区分错误发生的阶段的做法在网络交易环境下存在一定 的判断困难,尤其最终会体现在主张发生错误一方的举证责任上。如本案中的情形,应属 于典型的表示错误，属于可以撤销的错误。另一个问题是</w:t>
      </w:r>
      <w:r>
        <w:rPr>
          <w:color w:val="000000"/>
          <w:spacing w:val="0"/>
          <w:w w:val="100"/>
          <w:position w:val="0"/>
          <w:lang w:val="zh-CN" w:eastAsia="zh-CN" w:bidi="zh-CN"/>
        </w:rPr>
        <w:t>，“价</w:t>
      </w:r>
      <w:r>
        <w:rPr>
          <w:color w:val="000000"/>
          <w:spacing w:val="0"/>
          <w:w w:val="100"/>
          <w:position w:val="0"/>
        </w:rPr>
        <w:t>格”并未在《民通意见》第</w:t>
      </w:r>
      <w:r>
        <w:rPr>
          <w:rFonts w:ascii="Times New Roman" w:hAnsi="Times New Roman" w:eastAsia="Times New Roman" w:cs="Times New Roman"/>
          <w:color w:val="000000"/>
          <w:spacing w:val="0"/>
          <w:w w:val="100"/>
          <w:position w:val="0"/>
          <w:sz w:val="19"/>
          <w:szCs w:val="19"/>
        </w:rPr>
        <w:t xml:space="preserve">71 </w:t>
      </w:r>
      <w:r>
        <w:rPr>
          <w:color w:val="000000"/>
          <w:spacing w:val="0"/>
          <w:w w:val="100"/>
          <w:position w:val="0"/>
        </w:rPr>
        <w:t>条列明的项目中，但从条文推论,价格理应也属于与所列举事项同等的对合同内容有重要 意义的因素。因而本案中世纪卓越公司在举证证明其属于纯粹表示错误的情形下可依重 大误解而撤销合同。</w:t>
      </w:r>
    </w:p>
    <w:p w14:paraId="16A793B6">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在消费者是否具有合理信赖的问题上，我国《民通意见》中并没有把相对人是否存在合 理信赖作为判断错误是否可撤销的要件,因而也并非允许撤销与否的事由。在撤销的后果 方面，我国《民法典》第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条的规定仅处理了因错误而撤销中过失的问题,并未言及相对 人信赖的问题。然而</w:t>
      </w:r>
      <w:r>
        <w:rPr>
          <w:color w:val="000000"/>
          <w:spacing w:val="0"/>
          <w:w w:val="100"/>
          <w:position w:val="0"/>
          <w:lang w:val="zh-CN" w:eastAsia="zh-CN" w:bidi="zh-CN"/>
        </w:rPr>
        <w:t>，“合</w:t>
      </w:r>
      <w:r>
        <w:rPr>
          <w:color w:val="000000"/>
          <w:spacing w:val="0"/>
          <w:w w:val="100"/>
          <w:position w:val="0"/>
        </w:rPr>
        <w:t>理信赖</w:t>
      </w:r>
      <w:r>
        <w:rPr>
          <w:color w:val="000000"/>
          <w:spacing w:val="0"/>
          <w:w w:val="100"/>
          <w:position w:val="0"/>
          <w:lang w:val="zh-CN" w:eastAsia="zh-CN" w:bidi="zh-CN"/>
        </w:rPr>
        <w:t>”本身</w:t>
      </w:r>
      <w:r>
        <w:rPr>
          <w:color w:val="000000"/>
          <w:spacing w:val="0"/>
          <w:w w:val="100"/>
          <w:position w:val="0"/>
        </w:rPr>
        <w:t>即包含</w:t>
      </w:r>
      <w:r>
        <w:rPr>
          <w:color w:val="000000"/>
          <w:spacing w:val="0"/>
          <w:w w:val="100"/>
          <w:position w:val="0"/>
          <w:lang w:val="zh-CN" w:eastAsia="zh-CN" w:bidi="zh-CN"/>
        </w:rPr>
        <w:t>“无</w:t>
      </w:r>
      <w:r>
        <w:rPr>
          <w:color w:val="000000"/>
          <w:spacing w:val="0"/>
          <w:w w:val="100"/>
          <w:position w:val="0"/>
        </w:rPr>
        <w:t xml:space="preserve">过失”而不知的要件，相对方若经规范解 释认定其并不存在合理信赖，则虽由撤销受有损害也不能获得赔偿。本案中商家并非在 </w:t>
      </w:r>
      <w:r>
        <w:rPr>
          <w:color w:val="000000"/>
          <w:spacing w:val="0"/>
          <w:w w:val="100"/>
          <w:position w:val="0"/>
          <w:lang w:val="zh-CN" w:eastAsia="zh-CN" w:bidi="zh-CN"/>
        </w:rPr>
        <w:t>“秒杀”等明</w:t>
      </w:r>
      <w:r>
        <w:rPr>
          <w:color w:val="000000"/>
          <w:spacing w:val="0"/>
          <w:w w:val="100"/>
          <w:position w:val="0"/>
        </w:rPr>
        <w:t>显促销活动中，难以认为不特定第三人作为消费者对</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元的价格存在合理信 赖，本案</w:t>
      </w:r>
      <w:r>
        <w:rPr>
          <w:color w:val="000000"/>
          <w:spacing w:val="0"/>
          <w:w w:val="100"/>
          <w:position w:val="0"/>
          <w:lang w:val="zh-CN" w:eastAsia="zh-CN" w:bidi="zh-CN"/>
        </w:rPr>
        <w:t>“代</w:t>
      </w:r>
      <w:r>
        <w:rPr>
          <w:color w:val="000000"/>
          <w:spacing w:val="0"/>
          <w:w w:val="100"/>
          <w:position w:val="0"/>
        </w:rPr>
        <w:t>理人在一审中亦明确表示李尚辉是在某</w:t>
      </w:r>
      <w:r>
        <w:rPr>
          <w:rFonts w:ascii="Times New Roman" w:hAnsi="Times New Roman" w:eastAsia="Times New Roman" w:cs="Times New Roman"/>
          <w:color w:val="000000"/>
          <w:spacing w:val="0"/>
          <w:w w:val="100"/>
          <w:position w:val="0"/>
          <w:sz w:val="19"/>
          <w:szCs w:val="19"/>
          <w:lang w:val="en-US" w:eastAsia="en-US" w:bidi="en-US"/>
        </w:rPr>
        <w:t>QQ</w:t>
      </w:r>
      <w:r>
        <w:rPr>
          <w:color w:val="000000"/>
          <w:spacing w:val="0"/>
          <w:w w:val="100"/>
          <w:position w:val="0"/>
        </w:rPr>
        <w:t>平台得知涉诉商品的错价信息后 才下单购买的</w:t>
      </w:r>
      <w:r>
        <w:rPr>
          <w:color w:val="000000"/>
          <w:spacing w:val="0"/>
          <w:w w:val="100"/>
          <w:position w:val="0"/>
          <w:lang w:val="zh-CN" w:eastAsia="zh-CN" w:bidi="zh-CN"/>
        </w:rPr>
        <w:t>”，这</w:t>
      </w:r>
      <w:r>
        <w:rPr>
          <w:color w:val="000000"/>
          <w:spacing w:val="0"/>
          <w:w w:val="100"/>
          <w:position w:val="0"/>
        </w:rPr>
        <w:t>种情况下裁判依然认为“李尚辉丧失了以</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元价格购买到扫地机的交 易机会，世纪卓越公司应向李尚辉赔偿正常销售价格与</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元之间的差价损失”，恐失妥当。</w:t>
      </w:r>
    </w:p>
    <w:p w14:paraId="7F38E8C3">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3BB4388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我国法院在处理标价错误的案件中，对商家提供的商品标价页面的性质给出了完全不 同的判断，有认为属于要约者，也有认为属于要约邀请者，由此也直接影响后续对合同成立 与否的判断。</w:t>
      </w:r>
    </w:p>
    <w:p w14:paraId="152C188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 xml:space="preserve">关于现有的各网站规则中关于合同缔结条款的规定的效力及对当事人之间合同成立 的影响，法院裁判不尽相同。有法院认为，此类规则排除了其商品陈列系要约以及消费者 基于要约进行承诺的权利，其实质和后果是赋予了 </w:t>
      </w:r>
      <w:r>
        <w:rPr>
          <w:rFonts w:ascii="Times New Roman" w:hAnsi="Times New Roman" w:eastAsia="Times New Roman" w:cs="Times New Roman"/>
          <w:color w:val="000000"/>
          <w:spacing w:val="0"/>
          <w:w w:val="100"/>
          <w:position w:val="0"/>
          <w:sz w:val="17"/>
          <w:szCs w:val="17"/>
        </w:rPr>
        <w:t>X X</w:t>
      </w:r>
      <w:r>
        <w:rPr>
          <w:color w:val="000000"/>
          <w:spacing w:val="0"/>
          <w:w w:val="100"/>
          <w:position w:val="0"/>
        </w:rPr>
        <w:t xml:space="preserve">公司单方决定是否发货的权利并免 除了 </w:t>
      </w:r>
      <w:r>
        <w:rPr>
          <w:rFonts w:ascii="Times New Roman" w:hAnsi="Times New Roman" w:eastAsia="Times New Roman" w:cs="Times New Roman"/>
          <w:color w:val="000000"/>
          <w:spacing w:val="0"/>
          <w:w w:val="100"/>
          <w:position w:val="0"/>
          <w:sz w:val="17"/>
          <w:szCs w:val="17"/>
        </w:rPr>
        <w:t>X X</w:t>
      </w:r>
      <w:r>
        <w:rPr>
          <w:color w:val="000000"/>
          <w:spacing w:val="0"/>
          <w:w w:val="100"/>
          <w:position w:val="0"/>
        </w:rPr>
        <w:t>公司不予发货的违约责任，但这是对消费者基于一般的消费习惯所认知的交易模 式的重大改变，因而对消费者的合同利益会产生实质的影响,购物网站对此应当作出合理 的、充分的提示，提醒消费者注意该项特别约定,并判断选择是否从事此项交易［参见</w:t>
      </w:r>
      <w:r>
        <w:rPr>
          <w:color w:val="000000"/>
          <w:spacing w:val="0"/>
          <w:w w:val="100"/>
          <w:position w:val="0"/>
          <w:lang w:val="zh-CN" w:eastAsia="zh-CN" w:bidi="zh-CN"/>
        </w:rPr>
        <w:t>“北</w:t>
      </w:r>
      <w:r>
        <w:rPr>
          <w:color w:val="000000"/>
          <w:spacing w:val="0"/>
          <w:w w:val="100"/>
          <w:position w:val="0"/>
        </w:rPr>
        <w:t>京世 纪卓越信息技术有限公司与宁炳峰买卖合同纠纷上诉案</w:t>
      </w:r>
      <w:r>
        <w:rPr>
          <w:color w:val="000000"/>
          <w:spacing w:val="0"/>
          <w:w w:val="100"/>
          <w:position w:val="0"/>
          <w:lang w:val="zh-CN" w:eastAsia="zh-CN" w:bidi="zh-CN"/>
        </w:rPr>
        <w:t>”，北</w:t>
      </w:r>
      <w:r>
        <w:rPr>
          <w:color w:val="000000"/>
          <w:spacing w:val="0"/>
          <w:w w:val="100"/>
          <w:position w:val="0"/>
        </w:rPr>
        <w:t>京市第三中级人民法院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三中民终 字第</w:t>
      </w:r>
      <w:r>
        <w:rPr>
          <w:rFonts w:ascii="Times New Roman" w:hAnsi="Times New Roman" w:eastAsia="Times New Roman" w:cs="Times New Roman"/>
          <w:color w:val="000000"/>
          <w:spacing w:val="0"/>
          <w:w w:val="100"/>
          <w:position w:val="0"/>
          <w:sz w:val="17"/>
          <w:szCs w:val="17"/>
        </w:rPr>
        <w:t>09381</w:t>
      </w:r>
      <w:r>
        <w:rPr>
          <w:color w:val="000000"/>
          <w:spacing w:val="0"/>
          <w:w w:val="100"/>
          <w:position w:val="0"/>
        </w:rPr>
        <w:t>号民事判决书］;也有法院认为，该约定并未排除对方主要权利,加重对方责任，符 合法律规定［参见</w:t>
      </w:r>
      <w:r>
        <w:rPr>
          <w:color w:val="000000"/>
          <w:spacing w:val="0"/>
          <w:w w:val="100"/>
          <w:position w:val="0"/>
          <w:lang w:val="zh-CN" w:eastAsia="zh-CN" w:bidi="zh-CN"/>
        </w:rPr>
        <w:t>“徐</w:t>
      </w:r>
      <w:r>
        <w:rPr>
          <w:color w:val="000000"/>
          <w:spacing w:val="0"/>
          <w:w w:val="100"/>
          <w:position w:val="0"/>
        </w:rPr>
        <w:t>冰诉北京世纪卓越信息技术有限公司买卖合同纠纷案</w:t>
      </w:r>
      <w:r>
        <w:rPr>
          <w:color w:val="000000"/>
          <w:spacing w:val="0"/>
          <w:w w:val="100"/>
          <w:position w:val="0"/>
          <w:lang w:val="zh-CN" w:eastAsia="zh-CN" w:bidi="zh-CN"/>
        </w:rPr>
        <w:t>”，上</w:t>
      </w:r>
      <w:r>
        <w:rPr>
          <w:color w:val="000000"/>
          <w:spacing w:val="0"/>
          <w:w w:val="100"/>
          <w:position w:val="0"/>
        </w:rPr>
        <w:t>海市浦东新区人民法 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浦民一（民）初字第</w:t>
      </w:r>
      <w:r>
        <w:rPr>
          <w:rFonts w:ascii="Times New Roman" w:hAnsi="Times New Roman" w:eastAsia="Times New Roman" w:cs="Times New Roman"/>
          <w:color w:val="000000"/>
          <w:spacing w:val="0"/>
          <w:w w:val="100"/>
          <w:position w:val="0"/>
          <w:sz w:val="17"/>
          <w:szCs w:val="17"/>
        </w:rPr>
        <w:t>22960</w:t>
      </w:r>
      <w:r>
        <w:rPr>
          <w:color w:val="000000"/>
          <w:spacing w:val="0"/>
          <w:w w:val="100"/>
          <w:position w:val="0"/>
        </w:rPr>
        <w:t>号民事判决书］;还有法院认为，条款内容没有违背公平原则， 导致权利义务失衡，申请人可以根据个人情况选择是否接受协议条款［参见</w:t>
      </w:r>
      <w:r>
        <w:rPr>
          <w:color w:val="000000"/>
          <w:spacing w:val="0"/>
          <w:w w:val="100"/>
          <w:position w:val="0"/>
          <w:lang w:val="zh-CN" w:eastAsia="zh-CN" w:bidi="zh-CN"/>
        </w:rPr>
        <w:t>“陈</w:t>
      </w:r>
      <w:r>
        <w:rPr>
          <w:color w:val="000000"/>
          <w:spacing w:val="0"/>
          <w:w w:val="100"/>
          <w:position w:val="0"/>
        </w:rPr>
        <w:t>卯诉深圳走秀 网络科技有限公司网络购物合同纠纷上诉案”，上海市第一中级人民法院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沪一中民一（民）终字 第</w:t>
      </w:r>
      <w:r>
        <w:rPr>
          <w:rFonts w:ascii="Times New Roman" w:hAnsi="Times New Roman" w:eastAsia="Times New Roman" w:cs="Times New Roman"/>
          <w:color w:val="000000"/>
          <w:spacing w:val="0"/>
          <w:w w:val="100"/>
          <w:position w:val="0"/>
          <w:sz w:val="17"/>
          <w:szCs w:val="17"/>
        </w:rPr>
        <w:t>1696</w:t>
      </w:r>
      <w:r>
        <w:rPr>
          <w:color w:val="000000"/>
          <w:spacing w:val="0"/>
          <w:w w:val="100"/>
          <w:position w:val="0"/>
        </w:rPr>
        <w:t>号民事判决书］。在提示义务方面，有法院认为网站尽到了提示义务，因而该格式条款 应对消费者发生效力［参见</w:t>
      </w:r>
      <w:r>
        <w:rPr>
          <w:color w:val="000000"/>
          <w:spacing w:val="0"/>
          <w:w w:val="100"/>
          <w:position w:val="0"/>
          <w:lang w:val="zh-CN" w:eastAsia="zh-CN" w:bidi="zh-CN"/>
        </w:rPr>
        <w:t>“宋</w:t>
      </w:r>
      <w:r>
        <w:rPr>
          <w:color w:val="000000"/>
          <w:spacing w:val="0"/>
          <w:w w:val="100"/>
          <w:position w:val="0"/>
        </w:rPr>
        <w:t>宁与深圳走秀网络科技有限公司网络购物合同纠纷案</w:t>
      </w:r>
      <w:r>
        <w:rPr>
          <w:color w:val="000000"/>
          <w:spacing w:val="0"/>
          <w:w w:val="100"/>
          <w:position w:val="0"/>
          <w:lang w:val="zh-CN" w:eastAsia="zh-CN" w:bidi="zh-CN"/>
        </w:rPr>
        <w:t>”，天</w:t>
      </w:r>
      <w:r>
        <w:rPr>
          <w:color w:val="000000"/>
          <w:spacing w:val="0"/>
          <w:w w:val="100"/>
          <w:position w:val="0"/>
        </w:rPr>
        <w:t>津市第一 中级人民法院</w:t>
      </w:r>
      <w:r>
        <w:rPr>
          <w:rFonts w:ascii="Times New Roman" w:hAnsi="Times New Roman" w:eastAsia="Times New Roman" w:cs="Times New Roman"/>
          <w:color w:val="000000"/>
          <w:spacing w:val="0"/>
          <w:w w:val="100"/>
          <w:position w:val="0"/>
          <w:sz w:val="17"/>
          <w:szCs w:val="17"/>
        </w:rPr>
        <w:t>（2015） —</w:t>
      </w:r>
      <w:r>
        <w:rPr>
          <w:color w:val="000000"/>
          <w:spacing w:val="0"/>
          <w:w w:val="100"/>
          <w:position w:val="0"/>
        </w:rPr>
        <w:t>中民二终字第</w:t>
      </w:r>
      <w:r>
        <w:rPr>
          <w:rFonts w:ascii="Times New Roman" w:hAnsi="Times New Roman" w:eastAsia="Times New Roman" w:cs="Times New Roman"/>
          <w:color w:val="000000"/>
          <w:spacing w:val="0"/>
          <w:w w:val="100"/>
          <w:position w:val="0"/>
          <w:sz w:val="17"/>
          <w:szCs w:val="17"/>
        </w:rPr>
        <w:t>0588</w:t>
      </w:r>
      <w:r>
        <w:rPr>
          <w:color w:val="000000"/>
          <w:spacing w:val="0"/>
          <w:w w:val="100"/>
          <w:position w:val="0"/>
        </w:rPr>
        <w:t>号民事判决书］;也有法院认为商家未就格式条款以合 理的方式提请消费者注意</w:t>
      </w:r>
      <w:r>
        <w:rPr>
          <w:color w:val="000000"/>
          <w:spacing w:val="0"/>
          <w:w w:val="100"/>
          <w:position w:val="0"/>
          <w:lang w:val="zh-CN" w:eastAsia="zh-CN" w:bidi="zh-CN"/>
        </w:rPr>
        <w:t>，“特</w:t>
      </w:r>
      <w:r>
        <w:rPr>
          <w:color w:val="000000"/>
          <w:spacing w:val="0"/>
          <w:w w:val="100"/>
          <w:position w:val="0"/>
        </w:rPr>
        <w:t>别是没有在消费者提交订单之前予以明确提示</w:t>
      </w:r>
      <w:r>
        <w:rPr>
          <w:color w:val="000000"/>
          <w:spacing w:val="0"/>
          <w:w w:val="100"/>
          <w:position w:val="0"/>
          <w:lang w:val="zh-CN" w:eastAsia="zh-CN" w:bidi="zh-CN"/>
        </w:rPr>
        <w:t>”，因</w:t>
      </w:r>
      <w:r>
        <w:rPr>
          <w:color w:val="000000"/>
          <w:spacing w:val="0"/>
          <w:w w:val="100"/>
          <w:position w:val="0"/>
        </w:rPr>
        <w:t>而该格 式条款视为未订入合同,也不发生效力［参见</w:t>
      </w:r>
      <w:r>
        <w:rPr>
          <w:color w:val="000000"/>
          <w:spacing w:val="0"/>
          <w:w w:val="100"/>
          <w:position w:val="0"/>
          <w:lang w:val="zh-CN" w:eastAsia="zh-CN" w:bidi="zh-CN"/>
        </w:rPr>
        <w:t>“艺</w:t>
      </w:r>
      <w:r>
        <w:rPr>
          <w:color w:val="000000"/>
          <w:spacing w:val="0"/>
          <w:w w:val="100"/>
          <w:position w:val="0"/>
        </w:rPr>
        <w:t>鉴典藏（北京）网络科技有限公司与王猛网络购物 合同纠纷上诉案”，北京市第三中级人民法院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三中民（商）终字第</w:t>
      </w:r>
      <w:r>
        <w:rPr>
          <w:rFonts w:ascii="Times New Roman" w:hAnsi="Times New Roman" w:eastAsia="Times New Roman" w:cs="Times New Roman"/>
          <w:color w:val="000000"/>
          <w:spacing w:val="0"/>
          <w:w w:val="100"/>
          <w:position w:val="0"/>
          <w:sz w:val="17"/>
          <w:szCs w:val="17"/>
        </w:rPr>
        <w:t>04671</w:t>
      </w:r>
      <w:r>
        <w:rPr>
          <w:color w:val="000000"/>
          <w:spacing w:val="0"/>
          <w:w w:val="100"/>
          <w:position w:val="0"/>
        </w:rPr>
        <w:t>号民事判决书］。</w:t>
      </w:r>
    </w:p>
    <w:p w14:paraId="7FD33F8E">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由于对合同的成立与效力的认定不同，法院对法律效果的认定也不同。在判断合同不 成立的情形中，法院有认为存在缔约过失责任者，也有不支持继续履行而未论及缔约过失 者;判断合同成立的情形中,法院有认为合同继续有效应当继续履行者，也有认为合同可因 重大误解或显失公平而撤销者，还有认定为《消费者保护法》中的价格欺诈。</w:t>
      </w:r>
    </w:p>
    <w:p w14:paraId="306BC2B0">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本裁定的参考意义及将来的课题</w:t>
      </w:r>
    </w:p>
    <w:p w14:paraId="2C43A19C">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关于意思表示的解释，《民法典》第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条有明确规定，对带有“点击购买</w:t>
      </w:r>
      <w:r>
        <w:rPr>
          <w:color w:val="000000"/>
          <w:spacing w:val="0"/>
          <w:w w:val="100"/>
          <w:position w:val="0"/>
          <w:lang w:val="zh-CN" w:eastAsia="zh-CN" w:bidi="zh-CN"/>
        </w:rPr>
        <w:t>”标识</w:t>
      </w:r>
      <w:r>
        <w:rPr>
          <w:color w:val="000000"/>
          <w:spacing w:val="0"/>
          <w:w w:val="100"/>
          <w:position w:val="0"/>
        </w:rPr>
        <w:t>的标价 页面的网站,须依照意思表示的解释规则判断其是否符合要约的构成要件。</w:t>
      </w:r>
    </w:p>
    <w:p w14:paraId="617B8C96">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《电子商务法》第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款规定:“电子商务经营者不得以格式条款等方式约定消费 者支付价款后合同不成立;格式条款等含有该内容的,其内容无效。</w:t>
      </w:r>
      <w:r>
        <w:rPr>
          <w:color w:val="000000"/>
          <w:spacing w:val="0"/>
          <w:w w:val="100"/>
          <w:position w:val="0"/>
          <w:lang w:val="zh-CN" w:eastAsia="zh-CN" w:bidi="zh-CN"/>
        </w:rPr>
        <w:t>”《民</w:t>
      </w:r>
      <w:r>
        <w:rPr>
          <w:color w:val="000000"/>
          <w:spacing w:val="0"/>
          <w:w w:val="100"/>
          <w:position w:val="0"/>
        </w:rPr>
        <w:t>法典》第</w:t>
      </w:r>
      <w:r>
        <w:rPr>
          <w:rFonts w:ascii="Times New Roman" w:hAnsi="Times New Roman" w:eastAsia="Times New Roman" w:cs="Times New Roman"/>
          <w:color w:val="000000"/>
          <w:spacing w:val="0"/>
          <w:w w:val="100"/>
          <w:position w:val="0"/>
          <w:sz w:val="19"/>
          <w:szCs w:val="19"/>
        </w:rPr>
        <w:t>491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款规定:“当事人一方通过互联网等信息网络发布的商品或者服务信息符合要约条件的，对 方选择该商品或者服务并提交订单成功时合同成立,但是当事人另有约定的除外</w:t>
      </w:r>
      <w:r>
        <w:rPr>
          <w:color w:val="000000"/>
          <w:spacing w:val="0"/>
          <w:w w:val="100"/>
          <w:position w:val="0"/>
          <w:lang w:val="zh-CN" w:eastAsia="zh-CN" w:bidi="zh-CN"/>
        </w:rPr>
        <w:t>。”这</w:t>
      </w:r>
      <w:r>
        <w:rPr>
          <w:color w:val="000000"/>
          <w:spacing w:val="0"/>
          <w:w w:val="100"/>
          <w:position w:val="0"/>
        </w:rPr>
        <w:t>一规 定出台后，对认定电子商务平台及平台内经营者所公布的</w:t>
      </w:r>
      <w:r>
        <w:rPr>
          <w:color w:val="000000"/>
          <w:spacing w:val="0"/>
          <w:w w:val="100"/>
          <w:position w:val="0"/>
          <w:lang w:val="zh-CN" w:eastAsia="zh-CN" w:bidi="zh-CN"/>
        </w:rPr>
        <w:t>“使用</w:t>
      </w:r>
      <w:r>
        <w:rPr>
          <w:color w:val="000000"/>
          <w:spacing w:val="0"/>
          <w:w w:val="100"/>
          <w:position w:val="0"/>
        </w:rPr>
        <w:t>条件”等规则的效力有重要 意义。《民法典》第</w:t>
      </w:r>
      <w:r>
        <w:rPr>
          <w:rFonts w:ascii="Times New Roman" w:hAnsi="Times New Roman" w:eastAsia="Times New Roman" w:cs="Times New Roman"/>
          <w:color w:val="000000"/>
          <w:spacing w:val="0"/>
          <w:w w:val="100"/>
          <w:position w:val="0"/>
          <w:sz w:val="19"/>
          <w:szCs w:val="19"/>
        </w:rPr>
        <w:t>496</w:t>
      </w:r>
      <w:r>
        <w:rPr>
          <w:color w:val="000000"/>
          <w:spacing w:val="0"/>
          <w:w w:val="100"/>
          <w:position w:val="0"/>
        </w:rPr>
        <w:t>条规定:“格式条款是当事人为了重复使用而预先拟定，并在订立合 同时未与对方协商的条款。采用格式条款订立合同的,提供格式条款的一方应当遵循公平 原则确定当事人之间的权利和义务，并采取合理的方式提示对方注意免除或者减轻其责任 等与对方有重大利害关系的条款，按照对方的要求,对该条款予以说明。提供格式条款的 一方未履行提示或者说明义务,致使对方没有注意或者理解与其有重大利害关系的条款 的，对方可以主张该条款不成为合同的内容</w:t>
      </w:r>
      <w:r>
        <w:rPr>
          <w:color w:val="000000"/>
          <w:spacing w:val="0"/>
          <w:w w:val="100"/>
          <w:position w:val="0"/>
          <w:lang w:val="zh-CN" w:eastAsia="zh-CN" w:bidi="zh-CN"/>
        </w:rPr>
        <w:t>。”这</w:t>
      </w:r>
      <w:r>
        <w:rPr>
          <w:color w:val="000000"/>
          <w:spacing w:val="0"/>
          <w:w w:val="100"/>
          <w:position w:val="0"/>
        </w:rPr>
        <w:t>一规定首先确定了格式条款的定义与要 件，其次明确了格式条款的提示说明义务的订入控制的性质,但未如《电子商务法》第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款设定禁止性规范，未来的司法实践中须区别情况而适用。</w:t>
      </w:r>
    </w:p>
    <w:p w14:paraId="6A4A0C8F">
      <w:pPr>
        <w:pStyle w:val="11"/>
        <w:keepNext w:val="0"/>
        <w:keepLines w:val="0"/>
        <w:widowControl w:val="0"/>
        <w:shd w:val="clear" w:color="auto" w:fill="auto"/>
        <w:bidi w:val="0"/>
        <w:spacing w:before="0" w:after="40" w:line="341" w:lineRule="exact"/>
        <w:ind w:left="0" w:right="0" w:firstLine="0"/>
        <w:jc w:val="left"/>
      </w:pPr>
      <w:r>
        <w:rPr>
          <w:color w:val="000000"/>
          <w:spacing w:val="0"/>
          <w:w w:val="100"/>
          <w:position w:val="0"/>
        </w:rPr>
        <w:t>回参考文献</w:t>
      </w:r>
    </w:p>
    <w:p w14:paraId="69D48479">
      <w:pPr>
        <w:pStyle w:val="17"/>
        <w:keepNext w:val="0"/>
        <w:keepLines w:val="0"/>
        <w:widowControl w:val="0"/>
        <w:shd w:val="clear" w:color="auto" w:fill="auto"/>
        <w:bidi w:val="0"/>
        <w:spacing w:before="0" w:after="0" w:line="341" w:lineRule="exact"/>
        <w:ind w:left="0" w:right="0" w:firstLine="0"/>
        <w:jc w:val="left"/>
      </w:pPr>
      <w:r>
        <w:rPr>
          <w:color w:val="000000"/>
          <w:spacing w:val="0"/>
          <w:w w:val="100"/>
          <w:position w:val="0"/>
        </w:rPr>
        <w:t>王利明主编:《民法》（第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0F190A0A">
      <w:pPr>
        <w:pStyle w:val="17"/>
        <w:keepNext w:val="0"/>
        <w:keepLines w:val="0"/>
        <w:widowControl w:val="0"/>
        <w:shd w:val="clear" w:color="auto" w:fill="auto"/>
        <w:bidi w:val="0"/>
        <w:spacing w:before="0" w:after="100" w:line="341" w:lineRule="exact"/>
        <w:ind w:left="0" w:right="0" w:firstLine="0"/>
        <w:jc w:val="left"/>
      </w:pPr>
      <w:r>
        <w:rPr>
          <w:color w:val="000000"/>
          <w:spacing w:val="0"/>
          <w:w w:val="100"/>
          <w:position w:val="0"/>
        </w:rPr>
        <w:t>梁慧星：《民法总论》（第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545950C9">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张俊浩主编:《民法学原理》，中国政法大学出版社</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rPr>
        <w:t>年版。</w:t>
      </w:r>
    </w:p>
    <w:p w14:paraId="528A98A2">
      <w:pPr>
        <w:pStyle w:val="17"/>
        <w:keepNext w:val="0"/>
        <w:keepLines w:val="0"/>
        <w:widowControl w:val="0"/>
        <w:shd w:val="clear" w:color="auto" w:fill="auto"/>
        <w:bidi w:val="0"/>
        <w:spacing w:before="0" w:after="100" w:line="240" w:lineRule="auto"/>
        <w:ind w:left="0" w:right="0" w:firstLine="0"/>
        <w:jc w:val="left"/>
        <w:sectPr>
          <w:headerReference r:id="rId124" w:type="default"/>
          <w:headerReference r:id="rId125" w:type="even"/>
          <w:footnotePr>
            <w:numFmt w:val="chicago"/>
          </w:footnotePr>
          <w:pgSz w:w="10099" w:h="14782"/>
          <w:pgMar w:top="1269" w:right="987" w:bottom="1089" w:left="1116" w:header="0" w:footer="3" w:gutter="0"/>
          <w:pgNumType w:start="87"/>
          <w:cols w:space="720" w:num="1"/>
          <w:rtlGutter w:val="0"/>
          <w:docGrid w:linePitch="360" w:charSpace="0"/>
        </w:sectPr>
      </w:pPr>
      <w:r>
        <w:rPr>
          <w:color w:val="000000"/>
          <w:spacing w:val="0"/>
          <w:w w:val="100"/>
          <w:position w:val="0"/>
        </w:rPr>
        <w:t>王泽鉴:《民法总则》，北京大学出版社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69331F32">
      <w:pPr>
        <w:widowControl w:val="0"/>
        <w:spacing w:line="22" w:lineRule="exact"/>
        <w:rPr>
          <w:sz w:val="2"/>
          <w:szCs w:val="2"/>
        </w:rPr>
      </w:pPr>
    </w:p>
    <w:p w14:paraId="64FACCB1">
      <w:pPr>
        <w:widowControl w:val="0"/>
        <w:spacing w:line="1" w:lineRule="exact"/>
        <w:sectPr>
          <w:headerReference r:id="rId126" w:type="default"/>
          <w:headerReference r:id="rId127" w:type="even"/>
          <w:footnotePr>
            <w:numFmt w:val="chicago"/>
          </w:footnotePr>
          <w:pgSz w:w="10099" w:h="14782"/>
          <w:pgMar w:top="1238" w:right="1080" w:bottom="1153" w:left="1022" w:header="0" w:footer="3" w:gutter="0"/>
          <w:pgNumType w:start="107"/>
          <w:cols w:space="720" w:num="1"/>
          <w:rtlGutter w:val="0"/>
          <w:docGrid w:linePitch="360" w:charSpace="0"/>
        </w:sectPr>
      </w:pPr>
    </w:p>
    <w:p w14:paraId="1C5F526F">
      <w:pPr>
        <w:widowControl w:val="0"/>
        <w:spacing w:line="1" w:lineRule="exact"/>
      </w:pPr>
      <w:r>
        <w:drawing>
          <wp:anchor distT="0" distB="0" distL="114300" distR="1891665" simplePos="0" relativeHeight="251660288" behindDoc="0" locked="0" layoutInCell="1" allowOverlap="1">
            <wp:simplePos x="0" y="0"/>
            <wp:positionH relativeFrom="page">
              <wp:posOffset>681990</wp:posOffset>
            </wp:positionH>
            <wp:positionV relativeFrom="paragraph">
              <wp:posOffset>12700</wp:posOffset>
            </wp:positionV>
            <wp:extent cx="481330" cy="414655"/>
            <wp:effectExtent l="0" t="0" r="1270" b="4445"/>
            <wp:wrapTopAndBottom/>
            <wp:docPr id="275" name="Shape 275"/>
            <wp:cNvGraphicFramePr/>
            <a:graphic xmlns:a="http://schemas.openxmlformats.org/drawingml/2006/main">
              <a:graphicData uri="http://schemas.openxmlformats.org/drawingml/2006/picture">
                <pic:pic xmlns:pic="http://schemas.openxmlformats.org/drawingml/2006/picture">
                  <pic:nvPicPr>
                    <pic:cNvPr id="275" name="Shape 275"/>
                    <pic:cNvPicPr/>
                  </pic:nvPicPr>
                  <pic:blipFill>
                    <a:blip r:embed="rId616"/>
                    <a:stretch>
                      <a:fillRect/>
                    </a:stretch>
                  </pic:blipFill>
                  <pic:spPr>
                    <a:xfrm>
                      <a:off x="0" y="0"/>
                      <a:ext cx="481330" cy="414655"/>
                    </a:xfrm>
                    <a:prstGeom prst="rect">
                      <a:avLst/>
                    </a:prstGeom>
                  </pic:spPr>
                </pic:pic>
              </a:graphicData>
            </a:graphic>
          </wp:anchor>
        </w:drawing>
      </w:r>
      <w:r>
        <mc:AlternateContent>
          <mc:Choice Requires="wps">
            <w:drawing>
              <wp:anchor distT="136525" distB="43815" distL="730250" distR="113665" simplePos="0" relativeHeight="251660288" behindDoc="0" locked="0" layoutInCell="1" allowOverlap="1">
                <wp:simplePos x="0" y="0"/>
                <wp:positionH relativeFrom="page">
                  <wp:posOffset>1297940</wp:posOffset>
                </wp:positionH>
                <wp:positionV relativeFrom="paragraph">
                  <wp:posOffset>149225</wp:posOffset>
                </wp:positionV>
                <wp:extent cx="1644015" cy="234950"/>
                <wp:effectExtent l="0" t="0" r="0" b="0"/>
                <wp:wrapTopAndBottom/>
                <wp:docPr id="277" name="Shape 277"/>
                <wp:cNvGraphicFramePr/>
                <a:graphic xmlns:a="http://schemas.openxmlformats.org/drawingml/2006/main">
                  <a:graphicData uri="http://schemas.microsoft.com/office/word/2010/wordprocessingShape">
                    <wps:wsp>
                      <wps:cNvSpPr txBox="1"/>
                      <wps:spPr>
                        <a:xfrm>
                          <a:off x="0" y="0"/>
                          <a:ext cx="1644015" cy="234950"/>
                        </a:xfrm>
                        <a:prstGeom prst="rect">
                          <a:avLst/>
                        </a:prstGeom>
                        <a:noFill/>
                      </wps:spPr>
                      <wps:txbx>
                        <w:txbxContent>
                          <w:p w14:paraId="06B62E7E">
                            <w:pPr>
                              <w:pStyle w:val="15"/>
                              <w:keepNext/>
                              <w:keepLines/>
                              <w:widowControl w:val="0"/>
                              <w:shd w:val="clear" w:color="auto" w:fill="auto"/>
                              <w:bidi w:val="0"/>
                              <w:spacing w:before="0" w:after="0" w:line="240" w:lineRule="auto"/>
                              <w:ind w:left="0" w:right="0" w:firstLine="0"/>
                              <w:jc w:val="left"/>
                            </w:pPr>
                            <w:bookmarkStart w:id="288" w:name="bookmark129"/>
                            <w:bookmarkStart w:id="289" w:name="bookmark130"/>
                            <w:bookmarkStart w:id="290" w:name="bookmark131"/>
                            <w:r>
                              <w:rPr>
                                <w:color w:val="000000"/>
                                <w:spacing w:val="0"/>
                                <w:w w:val="100"/>
                                <w:position w:val="0"/>
                                <w:lang w:val="zh-CN" w:eastAsia="zh-CN" w:bidi="zh-CN"/>
                              </w:rPr>
                              <w:t>“过失</w:t>
                            </w:r>
                            <w:r>
                              <w:rPr>
                                <w:color w:val="000000"/>
                                <w:spacing w:val="0"/>
                                <w:w w:val="100"/>
                                <w:position w:val="0"/>
                              </w:rPr>
                              <w:t>欺诈”的可能</w:t>
                            </w:r>
                            <w:bookmarkEnd w:id="288"/>
                            <w:bookmarkEnd w:id="289"/>
                            <w:bookmarkEnd w:id="290"/>
                          </w:p>
                        </w:txbxContent>
                      </wps:txbx>
                      <wps:bodyPr wrap="none" lIns="0" tIns="0" rIns="0" bIns="0">
                        <a:noAutofit/>
                      </wps:bodyPr>
                    </wps:wsp>
                  </a:graphicData>
                </a:graphic>
              </wp:anchor>
            </w:drawing>
          </mc:Choice>
          <mc:Fallback>
            <w:pict>
              <v:shape id="Shape 277" o:spid="_x0000_s1026" o:spt="202" type="#_x0000_t202" style="position:absolute;left:0pt;margin-left:102.2pt;margin-top:11.75pt;height:18.5pt;width:129.45pt;mso-position-horizontal-relative:page;mso-wrap-distance-bottom:3.45pt;mso-wrap-distance-top:10.75pt;mso-wrap-style:none;z-index:251660288;mso-width-relative:page;mso-height-relative:page;" filled="f" stroked="f" coordsize="21600,21600" o:gfxdata="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A23W&#10;1wAAAAkBAAAPAAAAAAAAAAEAIAAAACIAAABkcnMvZG93bnJldi54bWxQSwECFAAUAAAACACHTuJA&#10;dO0F1rABAAB0AwAADgAAAAAAAAABACAAAAAmAQAAZHJzL2Uyb0RvYy54bWxQSwUGAAAAAAYABgBZ&#10;AQAASAUAAAAA&#10;">
                <v:fill on="f" focussize="0,0"/>
                <v:stroke on="f"/>
                <v:imagedata o:title=""/>
                <o:lock v:ext="edit" aspectratio="f"/>
                <v:textbox inset="0mm,0mm,0mm,0mm">
                  <w:txbxContent>
                    <w:p w14:paraId="06B62E7E">
                      <w:pPr>
                        <w:pStyle w:val="15"/>
                        <w:keepNext/>
                        <w:keepLines/>
                        <w:widowControl w:val="0"/>
                        <w:shd w:val="clear" w:color="auto" w:fill="auto"/>
                        <w:bidi w:val="0"/>
                        <w:spacing w:before="0" w:after="0" w:line="240" w:lineRule="auto"/>
                        <w:ind w:left="0" w:right="0" w:firstLine="0"/>
                        <w:jc w:val="left"/>
                      </w:pPr>
                      <w:bookmarkStart w:id="288" w:name="bookmark129"/>
                      <w:bookmarkStart w:id="289" w:name="bookmark130"/>
                      <w:bookmarkStart w:id="290" w:name="bookmark131"/>
                      <w:r>
                        <w:rPr>
                          <w:color w:val="000000"/>
                          <w:spacing w:val="0"/>
                          <w:w w:val="100"/>
                          <w:position w:val="0"/>
                          <w:lang w:val="zh-CN" w:eastAsia="zh-CN" w:bidi="zh-CN"/>
                        </w:rPr>
                        <w:t>“过失</w:t>
                      </w:r>
                      <w:r>
                        <w:rPr>
                          <w:color w:val="000000"/>
                          <w:spacing w:val="0"/>
                          <w:w w:val="100"/>
                          <w:position w:val="0"/>
                        </w:rPr>
                        <w:t>欺诈”的可能</w:t>
                      </w:r>
                      <w:bookmarkEnd w:id="288"/>
                      <w:bookmarkEnd w:id="289"/>
                      <w:bookmarkEnd w:id="290"/>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5125085</wp:posOffset>
            </wp:positionH>
            <wp:positionV relativeFrom="paragraph">
              <wp:posOffset>327660</wp:posOffset>
            </wp:positionV>
            <wp:extent cx="548640" cy="548640"/>
            <wp:effectExtent l="0" t="0" r="10160" b="10160"/>
            <wp:wrapSquare wrapText="left"/>
            <wp:docPr id="279" name="Shape 279"/>
            <wp:cNvGraphicFramePr/>
            <a:graphic xmlns:a="http://schemas.openxmlformats.org/drawingml/2006/main">
              <a:graphicData uri="http://schemas.openxmlformats.org/drawingml/2006/picture">
                <pic:pic xmlns:pic="http://schemas.openxmlformats.org/drawingml/2006/picture">
                  <pic:nvPicPr>
                    <pic:cNvPr id="279" name="Shape 279"/>
                    <pic:cNvPicPr/>
                  </pic:nvPicPr>
                  <pic:blipFill>
                    <a:blip r:embed="rId617"/>
                    <a:stretch>
                      <a:fillRect/>
                    </a:stretch>
                  </pic:blipFill>
                  <pic:spPr>
                    <a:xfrm>
                      <a:off x="0" y="0"/>
                      <a:ext cx="548640" cy="548640"/>
                    </a:xfrm>
                    <a:prstGeom prst="rect">
                      <a:avLst/>
                    </a:prstGeom>
                  </pic:spPr>
                </pic:pic>
              </a:graphicData>
            </a:graphic>
          </wp:anchor>
        </w:drawing>
      </w:r>
    </w:p>
    <w:p w14:paraId="0858BB51">
      <w:pPr>
        <w:pStyle w:val="17"/>
        <w:keepNext w:val="0"/>
        <w:keepLines w:val="0"/>
        <w:widowControl w:val="0"/>
        <w:shd w:val="clear" w:color="auto" w:fill="auto"/>
        <w:bidi w:val="0"/>
        <w:spacing w:before="0" w:after="340" w:line="322" w:lineRule="exact"/>
        <w:ind w:left="1000" w:right="0" w:firstLine="20"/>
        <w:jc w:val="left"/>
      </w:pPr>
      <w:r>
        <w:rPr>
          <w:color w:val="000000"/>
          <w:spacing w:val="0"/>
          <w:w w:val="100"/>
          <w:position w:val="0"/>
        </w:rPr>
        <w:t>刘向前诉安邦财产保险公司保险合同纠纷案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《最高人民法院公 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期</w:t>
      </w:r>
    </w:p>
    <w:p w14:paraId="6F0FD93E">
      <w:pPr>
        <w:pStyle w:val="33"/>
        <w:keepNext w:val="0"/>
        <w:keepLines w:val="0"/>
        <w:widowControl w:val="0"/>
        <w:shd w:val="clear" w:color="auto" w:fill="auto"/>
        <w:bidi w:val="0"/>
        <w:spacing w:before="0" w:after="1320" w:line="240" w:lineRule="auto"/>
        <w:ind w:left="0" w:right="0" w:firstLine="0"/>
        <w:jc w:val="right"/>
      </w:pPr>
      <w:r>
        <w:rPr>
          <w:color w:val="000000"/>
          <w:spacing w:val="0"/>
          <w:w w:val="100"/>
          <w:position w:val="0"/>
          <w:lang w:val="zh-CN" w:eastAsia="zh-CN" w:bidi="zh-CN"/>
        </w:rPr>
        <w:t>文</w:t>
      </w:r>
      <w:r>
        <w:rPr>
          <w:rFonts w:ascii="Times New Roman" w:hAnsi="Times New Roman" w:eastAsia="Times New Roman" w:cs="Times New Roman"/>
          <w:color w:val="000000"/>
          <w:spacing w:val="0"/>
          <w:w w:val="100"/>
          <w:position w:val="0"/>
          <w:sz w:val="26"/>
          <w:szCs w:val="26"/>
          <w:lang w:val="en-US" w:eastAsia="en-US" w:bidi="en-US"/>
        </w:rPr>
        <w:t xml:space="preserve">|J </w:t>
      </w:r>
      <w:r>
        <w:rPr>
          <w:color w:val="000000"/>
          <w:spacing w:val="0"/>
          <w:w w:val="100"/>
          <w:position w:val="0"/>
        </w:rPr>
        <w:t>勇南京大学法学院</w:t>
      </w:r>
    </w:p>
    <w:p w14:paraId="4B382B79">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5B4F5EFD">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日，被上诉人刘向前在上诉人安邦公司处为其货运车辆投保了机动 车商业保险和机动车交通事故责任强制保险。保险期间内，刘向前驾驶上述车辆刮倒路 上线路，导致他人损失并已实际赔付</w:t>
      </w:r>
      <w:r>
        <w:rPr>
          <w:rFonts w:ascii="Times New Roman" w:hAnsi="Times New Roman" w:eastAsia="Times New Roman" w:cs="Times New Roman"/>
          <w:color w:val="000000"/>
          <w:spacing w:val="0"/>
          <w:w w:val="100"/>
          <w:position w:val="0"/>
          <w:sz w:val="19"/>
          <w:szCs w:val="19"/>
        </w:rPr>
        <w:t>51,215</w:t>
      </w:r>
      <w:r>
        <w:rPr>
          <w:color w:val="000000"/>
          <w:spacing w:val="0"/>
          <w:w w:val="100"/>
          <w:position w:val="0"/>
        </w:rPr>
        <w:t>元。在被上诉人向上诉人申请理赔的过程 中，上诉人岀具拒赔通知，拒赔的理由是</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上述车辆未投保货险且车辆所载货物超高</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 在后续的电话回访中，被上诉人表示放弃理赔,并同意作销案处理。后被上诉人认为自 已是在上诉人的欺诈下放弃了理赔请求，请求法院判令撤销其与上诉人达成的销案协 议。</w:t>
      </w:r>
    </w:p>
    <w:p w14:paraId="0F88298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一审法院认为，根据保险合同的约定，涉案保险事故理应在赔偿范围内，而被上诉人口 头同意销案是以上诉人为实现欺诈而实施的诱问为基础，保险公司拒赔存在欺诈,故销案 协议应予撤销。</w:t>
      </w:r>
    </w:p>
    <w:p w14:paraId="7411A81B">
      <w:pPr>
        <w:pStyle w:val="17"/>
        <w:keepNext w:val="0"/>
        <w:keepLines w:val="0"/>
        <w:widowControl w:val="0"/>
        <w:shd w:val="clear" w:color="auto" w:fill="auto"/>
        <w:bidi w:val="0"/>
        <w:spacing w:before="0" w:after="340" w:line="341" w:lineRule="exact"/>
        <w:ind w:left="0" w:right="0" w:firstLine="420"/>
        <w:jc w:val="both"/>
      </w:pPr>
      <w:r>
        <w:rPr>
          <w:color w:val="000000"/>
          <w:spacing w:val="0"/>
          <w:w w:val="100"/>
          <w:position w:val="0"/>
        </w:rPr>
        <w:t>上诉人就此提起上诉，理由为:被上诉人具有完全的民事行为能力；被上诉人在对话中 已明确表示放弃理赔;双方关于销案的协议系自愿达成，是合法有效的。</w:t>
      </w:r>
    </w:p>
    <w:p w14:paraId="2B06EDD1">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rPr>
        <w:t>■判决要旨</w:t>
      </w:r>
    </w:p>
    <w:p w14:paraId="5815BECB">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驳回上诉，维持原判。</w:t>
      </w:r>
    </w:p>
    <w:p w14:paraId="26AEB4EE">
      <w:pPr>
        <w:pStyle w:val="17"/>
        <w:keepNext w:val="0"/>
        <w:keepLines w:val="0"/>
        <w:widowControl w:val="0"/>
        <w:shd w:val="clear" w:color="auto" w:fill="auto"/>
        <w:bidi w:val="0"/>
        <w:spacing w:before="0" w:after="440" w:line="336" w:lineRule="exact"/>
        <w:ind w:left="0" w:right="0" w:firstLine="420"/>
        <w:jc w:val="both"/>
      </w:pPr>
      <w:r>
        <w:rPr>
          <w:color w:val="000000"/>
          <w:spacing w:val="0"/>
          <w:w w:val="100"/>
          <w:position w:val="0"/>
        </w:rPr>
        <w:t>二审法院认为，拒赔通知中的理由在保险合同并无对应免责条款。上诉人作为专业保 险公司，明知或应知本案保险事故在其赔偿范围之内，对被上诉人作岀拒赔表示，有违诚实 信用原则。上诉人故意隐瞒被上诉人可以获得保险赔偿的重要事实，对被上诉人进行错误 诱导，致使被上诉人误以为不能从保险公司获得赔偿，并作出同意销案的意思表示。因此, 上诉人的行为构成欺诈。</w:t>
      </w:r>
    </w:p>
    <w:p w14:paraId="1033D2E0">
      <w:pPr>
        <w:pStyle w:val="11"/>
        <w:keepNext w:val="0"/>
        <w:keepLines w:val="0"/>
        <w:widowControl w:val="0"/>
        <w:shd w:val="clear" w:color="auto" w:fill="auto"/>
        <w:bidi w:val="0"/>
        <w:spacing w:before="0" w:after="200" w:line="240" w:lineRule="auto"/>
        <w:ind w:left="0" w:right="0" w:firstLine="0"/>
        <w:jc w:val="both"/>
      </w:pPr>
      <w:r>
        <w:rPr>
          <w:color w:val="000000"/>
          <w:spacing w:val="0"/>
          <w:w w:val="100"/>
          <w:position w:val="0"/>
        </w:rPr>
        <w:t>■评析</w:t>
      </w:r>
    </w:p>
    <w:p w14:paraId="6236A249">
      <w:pPr>
        <w:pStyle w:val="17"/>
        <w:keepNext w:val="0"/>
        <w:keepLines w:val="0"/>
        <w:widowControl w:val="0"/>
        <w:shd w:val="clear" w:color="auto" w:fill="auto"/>
        <w:bidi w:val="0"/>
        <w:spacing w:before="0" w:after="200" w:line="240" w:lineRule="auto"/>
        <w:ind w:left="0" w:right="0" w:firstLine="0"/>
        <w:jc w:val="both"/>
      </w:pPr>
      <w:r>
        <w:rPr>
          <w:color w:val="000000"/>
          <w:spacing w:val="0"/>
          <w:w w:val="100"/>
          <w:position w:val="0"/>
        </w:rPr>
        <w:t>田本判决的解说</w:t>
      </w:r>
    </w:p>
    <w:p w14:paraId="7E8DA557">
      <w:pPr>
        <w:pStyle w:val="17"/>
        <w:keepNext w:val="0"/>
        <w:keepLines w:val="0"/>
        <w:widowControl w:val="0"/>
        <w:shd w:val="clear" w:color="auto" w:fill="auto"/>
        <w:bidi w:val="0"/>
        <w:spacing w:before="0" w:after="280" w:line="240" w:lineRule="auto"/>
        <w:ind w:left="0" w:right="0"/>
        <w:jc w:val="both"/>
        <w:sectPr>
          <w:footnotePr>
            <w:numFmt w:val="chicago"/>
          </w:footnotePr>
          <w:type w:val="continuous"/>
          <w:pgSz w:w="10099" w:h="14782"/>
          <w:pgMar w:top="1238" w:right="1080" w:bottom="1153" w:left="1022" w:header="810" w:footer="725" w:gutter="0"/>
          <w:cols w:space="720" w:num="1"/>
          <w:rtlGutter w:val="0"/>
          <w:docGrid w:linePitch="360" w:charSpace="0"/>
        </w:sectPr>
      </w:pPr>
      <w:r>
        <w:rPr>
          <w:color w:val="000000"/>
          <w:spacing w:val="0"/>
          <w:w w:val="100"/>
          <w:position w:val="0"/>
        </w:rPr>
        <w:t>本案中，保险金请求权人为投保人，其以受到欺诈为由请求撤销</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销案协议</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 xml:space="preserve">，即其与保 </w:t>
      </w:r>
    </w:p>
    <w:p w14:paraId="151AABA2">
      <w:pPr>
        <w:pStyle w:val="17"/>
        <w:keepNext w:val="0"/>
        <w:keepLines w:val="0"/>
        <w:widowControl w:val="0"/>
        <w:shd w:val="clear" w:color="auto" w:fill="auto"/>
        <w:bidi w:val="0"/>
        <w:spacing w:before="0" w:after="280" w:line="240" w:lineRule="auto"/>
        <w:ind w:left="0" w:right="0" w:firstLine="0"/>
        <w:jc w:val="both"/>
      </w:pPr>
      <w:r>
        <w:rPr>
          <w:color w:val="000000"/>
          <w:spacing w:val="0"/>
          <w:w w:val="100"/>
          <w:position w:val="0"/>
        </w:rPr>
        <w:t>险人就保险理赔达成</w:t>
      </w:r>
      <w:r>
        <w:rPr>
          <w:color w:val="000000"/>
          <w:spacing w:val="0"/>
          <w:w w:val="100"/>
          <w:position w:val="0"/>
          <w:lang w:val="zh-CN" w:eastAsia="zh-CN" w:bidi="zh-CN"/>
        </w:rPr>
        <w:t>“和解</w:t>
      </w:r>
      <w:r>
        <w:rPr>
          <w:color w:val="000000"/>
          <w:spacing w:val="0"/>
          <w:w w:val="100"/>
          <w:position w:val="0"/>
        </w:rPr>
        <w:t xml:space="preserve">协议”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二审法院认为，投保人对是否能够获得保险金发生错 误，且该错误系由保险人隐瞒真实情况、告知虚假情况所导致，即保险人存在欺罔行为，且 该行为与投保人的错误之间存在因果关系。而对于保险人的主观样态，法院则认为保险人 作为专业保险公司</w:t>
      </w:r>
      <w:r>
        <w:rPr>
          <w:color w:val="000000"/>
          <w:spacing w:val="0"/>
          <w:w w:val="100"/>
          <w:position w:val="0"/>
          <w:lang w:val="zh-CN" w:eastAsia="zh-CN" w:bidi="zh-CN"/>
        </w:rPr>
        <w:t>，“明</w:t>
      </w:r>
      <w:r>
        <w:rPr>
          <w:color w:val="000000"/>
          <w:spacing w:val="0"/>
          <w:w w:val="100"/>
          <w:position w:val="0"/>
        </w:rPr>
        <w:t>知或应知”保险金赔付义务的存在，并就此认定保险人存在</w:t>
      </w:r>
      <w:r>
        <w:rPr>
          <w:color w:val="000000"/>
          <w:spacing w:val="0"/>
          <w:w w:val="100"/>
          <w:position w:val="0"/>
          <w:lang w:val="zh-CN" w:eastAsia="zh-CN" w:bidi="zh-CN"/>
        </w:rPr>
        <w:t>“故</w:t>
      </w:r>
      <w:r>
        <w:rPr>
          <w:color w:val="000000"/>
          <w:spacing w:val="0"/>
          <w:w w:val="100"/>
          <w:position w:val="0"/>
        </w:rPr>
        <w:t>意”。 显然,在欺诈故意要件的认定方面，法院以客观上的</w:t>
      </w:r>
      <w:r>
        <w:rPr>
          <w:color w:val="000000"/>
          <w:spacing w:val="0"/>
          <w:w w:val="100"/>
          <w:position w:val="0"/>
          <w:lang w:val="zh-CN" w:eastAsia="zh-CN" w:bidi="zh-CN"/>
        </w:rPr>
        <w:t>“明知”或评</w:t>
      </w:r>
      <w:r>
        <w:rPr>
          <w:color w:val="000000"/>
          <w:spacing w:val="0"/>
          <w:w w:val="100"/>
          <w:position w:val="0"/>
        </w:rPr>
        <w:t>价上的</w:t>
      </w:r>
      <w:r>
        <w:rPr>
          <w:color w:val="000000"/>
          <w:spacing w:val="0"/>
          <w:w w:val="100"/>
          <w:position w:val="0"/>
          <w:lang w:val="zh-CN" w:eastAsia="zh-CN" w:bidi="zh-CN"/>
        </w:rPr>
        <w:t>“应知”作为</w:t>
      </w:r>
      <w:r>
        <w:rPr>
          <w:color w:val="000000"/>
          <w:spacing w:val="0"/>
          <w:w w:val="100"/>
          <w:position w:val="0"/>
        </w:rPr>
        <w:t>判断的 基准。行为的心理状态包括</w:t>
      </w:r>
      <w:r>
        <w:rPr>
          <w:color w:val="000000"/>
          <w:spacing w:val="0"/>
          <w:w w:val="100"/>
          <w:position w:val="0"/>
          <w:lang w:val="zh-CN" w:eastAsia="zh-CN" w:bidi="zh-CN"/>
        </w:rPr>
        <w:t>“认知”和“意欲”两个</w:t>
      </w:r>
      <w:r>
        <w:rPr>
          <w:color w:val="000000"/>
          <w:spacing w:val="0"/>
          <w:w w:val="100"/>
          <w:position w:val="0"/>
        </w:rPr>
        <w:t xml:space="preserve">方面的内容,在故意的场合，认知层面是 </w:t>
      </w:r>
      <w:r>
        <w:rPr>
          <w:color w:val="000000"/>
          <w:spacing w:val="0"/>
          <w:w w:val="100"/>
          <w:position w:val="0"/>
          <w:lang w:val="zh-CN" w:eastAsia="zh-CN" w:bidi="zh-CN"/>
        </w:rPr>
        <w:t>“明知”，意</w:t>
      </w:r>
      <w:r>
        <w:rPr>
          <w:color w:val="000000"/>
          <w:spacing w:val="0"/>
          <w:w w:val="100"/>
          <w:position w:val="0"/>
        </w:rPr>
        <w:t>欲层面是“放任或追求”；而</w:t>
      </w:r>
      <w:r>
        <w:rPr>
          <w:color w:val="000000"/>
          <w:spacing w:val="0"/>
          <w:w w:val="100"/>
          <w:position w:val="0"/>
          <w:lang w:val="zh-CN" w:eastAsia="zh-CN" w:bidi="zh-CN"/>
        </w:rPr>
        <w:t>“应知”则是“过失”在认</w:t>
      </w:r>
      <w:r>
        <w:rPr>
          <w:color w:val="000000"/>
          <w:spacing w:val="0"/>
          <w:w w:val="100"/>
          <w:position w:val="0"/>
        </w:rPr>
        <w:t>知层面的表现之一。本案的 判决实际上暗示了过失构成欺诈的可能。并且,法院认为保险人应当告知的并非单纯的事 实,而是“能够获得理赔</w:t>
      </w:r>
      <w:r>
        <w:rPr>
          <w:color w:val="000000"/>
          <w:spacing w:val="0"/>
          <w:w w:val="100"/>
          <w:position w:val="0"/>
          <w:lang w:val="zh-CN" w:eastAsia="zh-CN" w:bidi="zh-CN"/>
        </w:rPr>
        <w:t>”的“</w:t>
      </w:r>
      <w:r>
        <w:rPr>
          <w:color w:val="000000"/>
          <w:spacing w:val="0"/>
          <w:w w:val="100"/>
          <w:position w:val="0"/>
        </w:rPr>
        <w:t xml:space="preserve">意见”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此外，法院认为保险人不予理赔的立场违反了诚信原 则，显然是在对保险人的行为进行的客观评价,即认定其行为具有违法性。</w:t>
      </w:r>
    </w:p>
    <w:p w14:paraId="5D1640E4">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学说的整理与分析</w:t>
      </w:r>
    </w:p>
    <w:p w14:paraId="25B73D9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对于欺诈的构成，通说认为包括三个方面的要件:行为人存在欺罔行为、欺罔行为与表 意人的意思表示存在因果关系以及行为人具有欺诈的故意（朱庆育:《民法总论》，北京大学出版 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273 </w:t>
      </w:r>
      <w:r>
        <w:rPr>
          <w:rFonts w:ascii="Times New Roman" w:hAnsi="Times New Roman" w:eastAsia="Times New Roman" w:cs="Times New Roman"/>
          <w:color w:val="000000"/>
          <w:spacing w:val="0"/>
          <w:w w:val="100"/>
          <w:position w:val="0"/>
          <w:sz w:val="17"/>
          <w:szCs w:val="17"/>
          <w:lang w:val="en-US" w:eastAsia="en-US" w:bidi="en-US"/>
        </w:rPr>
        <w:t>-275</w:t>
      </w:r>
      <w:r>
        <w:rPr>
          <w:color w:val="000000"/>
          <w:spacing w:val="0"/>
          <w:w w:val="100"/>
          <w:position w:val="0"/>
        </w:rPr>
        <w:t>页）。其中,欺诈的</w:t>
      </w:r>
      <w:r>
        <w:rPr>
          <w:color w:val="000000"/>
          <w:spacing w:val="0"/>
          <w:w w:val="100"/>
          <w:position w:val="0"/>
          <w:lang w:val="zh-CN" w:eastAsia="zh-CN" w:bidi="zh-CN"/>
        </w:rPr>
        <w:t>“故意”，是</w:t>
      </w:r>
      <w:r>
        <w:rPr>
          <w:color w:val="000000"/>
          <w:spacing w:val="0"/>
          <w:w w:val="100"/>
          <w:position w:val="0"/>
        </w:rPr>
        <w:t>指行为人具有</w:t>
      </w:r>
      <w:r>
        <w:rPr>
          <w:color w:val="000000"/>
          <w:spacing w:val="0"/>
          <w:w w:val="100"/>
          <w:position w:val="0"/>
          <w:lang w:val="zh-CN" w:eastAsia="zh-CN" w:bidi="zh-CN"/>
        </w:rPr>
        <w:t>“二重</w:t>
      </w:r>
      <w:r>
        <w:rPr>
          <w:color w:val="000000"/>
          <w:spacing w:val="0"/>
          <w:w w:val="100"/>
          <w:position w:val="0"/>
        </w:rPr>
        <w:t>故意”——欺骗他 人、欲使他人陷入错误的故意;欲使相对人因错误而作出一定的意思表示的故意（韩世远: 《合同法总论》，法律出版社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254</w:t>
      </w:r>
      <w:r>
        <w:rPr>
          <w:color w:val="000000"/>
          <w:spacing w:val="0"/>
          <w:w w:val="100"/>
          <w:position w:val="0"/>
        </w:rPr>
        <w:t>页）。近年来,关于欺诈的</w:t>
      </w:r>
      <w:r>
        <w:rPr>
          <w:color w:val="000000"/>
          <w:spacing w:val="0"/>
          <w:w w:val="100"/>
          <w:position w:val="0"/>
          <w:lang w:val="zh-CN" w:eastAsia="zh-CN" w:bidi="zh-CN"/>
        </w:rPr>
        <w:t>“故意”要</w:t>
      </w:r>
      <w:r>
        <w:rPr>
          <w:color w:val="000000"/>
          <w:spacing w:val="0"/>
          <w:w w:val="100"/>
          <w:position w:val="0"/>
        </w:rPr>
        <w:t>件能否被缓和 至</w:t>
      </w:r>
      <w:r>
        <w:rPr>
          <w:color w:val="000000"/>
          <w:spacing w:val="0"/>
          <w:w w:val="100"/>
          <w:position w:val="0"/>
          <w:lang w:val="zh-CN" w:eastAsia="zh-CN" w:bidi="zh-CN"/>
        </w:rPr>
        <w:t>“应知”的</w:t>
      </w:r>
      <w:r>
        <w:rPr>
          <w:color w:val="000000"/>
          <w:spacing w:val="0"/>
          <w:w w:val="100"/>
          <w:position w:val="0"/>
        </w:rPr>
        <w:t>情形，即是否需要承认过失的欺诈,学说存在较为明显的分歧。</w:t>
      </w:r>
    </w:p>
    <w:p w14:paraId="581DFD0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主流观点认为，欺诈的主观要件应限定为行为人的故意。其中，近来的学说基于欺诈 的恶意，在维持故意要件的基础上，将当事人之间的信义关系等非要件的要素也纳入考虑 的范畴，通过放宽因果关系等其他要件以及综合运用救济手段，来实现欺诈制度的规范目 的。这样的立场采取了“故意要件固定+其他要件、要素动态化</w:t>
      </w:r>
      <w:r>
        <w:rPr>
          <w:color w:val="000000"/>
          <w:spacing w:val="0"/>
          <w:w w:val="100"/>
          <w:position w:val="0"/>
          <w:lang w:val="zh-CN" w:eastAsia="zh-CN" w:bidi="zh-CN"/>
        </w:rPr>
        <w:t>”的</w:t>
      </w:r>
      <w:r>
        <w:rPr>
          <w:color w:val="000000"/>
          <w:spacing w:val="0"/>
          <w:w w:val="100"/>
          <w:position w:val="0"/>
        </w:rPr>
        <w:t>构成，可以被概括为欺 诈要件的“半动态体系化说</w:t>
      </w:r>
      <w:r>
        <w:rPr>
          <w:color w:val="000000"/>
          <w:spacing w:val="0"/>
          <w:w w:val="100"/>
          <w:position w:val="0"/>
          <w:lang w:val="zh-CN" w:eastAsia="zh-CN" w:bidi="zh-CN"/>
        </w:rPr>
        <w:t>”（许</w:t>
      </w:r>
      <w:r>
        <w:rPr>
          <w:color w:val="000000"/>
          <w:spacing w:val="0"/>
          <w:w w:val="100"/>
          <w:position w:val="0"/>
        </w:rPr>
        <w:t>德风:《欺诈的民法规制》，载《政法论坛》</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期）。也有学 者认为在消费者合同法的领域中，欺诈具有导致惩罚性赔偿的“强</w:t>
      </w:r>
      <w:r>
        <w:rPr>
          <w:color w:val="000000"/>
          <w:spacing w:val="0"/>
          <w:w w:val="100"/>
          <w:position w:val="0"/>
          <w:lang w:val="zh-CN" w:eastAsia="zh-CN" w:bidi="zh-CN"/>
        </w:rPr>
        <w:t>”效果</w:t>
      </w:r>
      <w:r>
        <w:rPr>
          <w:color w:val="000000"/>
          <w:spacing w:val="0"/>
          <w:w w:val="100"/>
          <w:position w:val="0"/>
        </w:rPr>
        <w:t>，因此在主观方面 应维持较高强度的故意要件。从反对解释的立场来看，若非消费者合同，似乎仍然有缓和 故意要件的可能，因此，上述观点或许可以被称为欺诈要件的</w:t>
      </w:r>
      <w:r>
        <w:rPr>
          <w:color w:val="000000"/>
          <w:spacing w:val="0"/>
          <w:w w:val="100"/>
          <w:position w:val="0"/>
          <w:lang w:val="zh-CN" w:eastAsia="zh-CN" w:bidi="zh-CN"/>
        </w:rPr>
        <w:t>“故</w:t>
      </w:r>
      <w:r>
        <w:rPr>
          <w:color w:val="000000"/>
          <w:spacing w:val="0"/>
          <w:w w:val="100"/>
          <w:position w:val="0"/>
        </w:rPr>
        <w:t>意有限维持说</w:t>
      </w:r>
      <w:r>
        <w:rPr>
          <w:color w:val="000000"/>
          <w:spacing w:val="0"/>
          <w:w w:val="100"/>
          <w:position w:val="0"/>
          <w:lang w:val="zh-CN" w:eastAsia="zh-CN" w:bidi="zh-CN"/>
        </w:rPr>
        <w:t>”（冉</w:t>
      </w:r>
      <w:r>
        <w:rPr>
          <w:color w:val="000000"/>
          <w:spacing w:val="0"/>
          <w:w w:val="100"/>
          <w:position w:val="0"/>
        </w:rPr>
        <w:t>克平: 《论汽车经销商的缔约欺诈及惩罚性赔偿》，载《广东社会科学》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期）。还有学者从法律行 为论的整体出发,指出相对人过失违反信息提供义务（告知义务）的情形可以通过错误制度 加以解决,没有必要扩张欺诈的适用。由于传统的错误理论并不考虑相对人的行为样态, 因此,重视错误功能的观点可以被理解为</w:t>
      </w:r>
      <w:r>
        <w:rPr>
          <w:color w:val="000000"/>
          <w:spacing w:val="0"/>
          <w:w w:val="100"/>
          <w:position w:val="0"/>
          <w:lang w:val="zh-CN" w:eastAsia="zh-CN" w:bidi="zh-CN"/>
        </w:rPr>
        <w:t>“错误</w:t>
      </w:r>
      <w:r>
        <w:rPr>
          <w:color w:val="000000"/>
          <w:spacing w:val="0"/>
          <w:w w:val="100"/>
          <w:position w:val="0"/>
        </w:rPr>
        <w:t>扩张说</w:t>
      </w:r>
      <w:r>
        <w:rPr>
          <w:color w:val="000000"/>
          <w:spacing w:val="0"/>
          <w:w w:val="100"/>
          <w:position w:val="0"/>
          <w:lang w:val="zh-CN" w:eastAsia="zh-CN" w:bidi="zh-CN"/>
        </w:rPr>
        <w:t>”（尚</w:t>
      </w:r>
      <w:r>
        <w:rPr>
          <w:color w:val="000000"/>
          <w:spacing w:val="0"/>
          <w:w w:val="100"/>
          <w:position w:val="0"/>
        </w:rPr>
        <w:t>连杰:《缔约过失与欺诈的关系再 造——以错误理论的功能介入为辅线》，载《法学家》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期）。此外，有学者指出，所谓过失 欺诈的问题，存在通过瑕疵担保责任予以解决的可能，没有必要改变欺诈制度的构成（韩世 远:《合同法总论》，法律出版社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254</w:t>
      </w:r>
      <w:r>
        <w:rPr>
          <w:color w:val="000000"/>
          <w:spacing w:val="0"/>
          <w:w w:val="100"/>
          <w:position w:val="0"/>
        </w:rPr>
        <w:t>页）。这样的观点将合同最终缔结前的情事与合 同内容确定的作业连接起来，隐含着“合同解释扩张说</w:t>
      </w:r>
      <w:r>
        <w:rPr>
          <w:color w:val="000000"/>
          <w:spacing w:val="0"/>
          <w:w w:val="100"/>
          <w:position w:val="0"/>
          <w:lang w:val="zh-CN" w:eastAsia="zh-CN" w:bidi="zh-CN"/>
        </w:rPr>
        <w:t>”的</w:t>
      </w:r>
      <w:r>
        <w:rPr>
          <w:color w:val="000000"/>
          <w:spacing w:val="0"/>
          <w:w w:val="100"/>
          <w:position w:val="0"/>
        </w:rPr>
        <w:t>立场。</w:t>
      </w:r>
    </w:p>
    <w:p w14:paraId="03CB8DA8">
      <w:pPr>
        <w:pStyle w:val="17"/>
        <w:keepNext w:val="0"/>
        <w:keepLines w:val="0"/>
        <w:widowControl w:val="0"/>
        <w:shd w:val="clear" w:color="auto" w:fill="auto"/>
        <w:bidi w:val="0"/>
        <w:spacing w:before="0" w:after="0" w:line="342" w:lineRule="exact"/>
        <w:ind w:left="0" w:right="0" w:firstLine="420"/>
        <w:jc w:val="both"/>
        <w:sectPr>
          <w:headerReference r:id="rId128" w:type="default"/>
          <w:headerReference r:id="rId129" w:type="even"/>
          <w:footnotePr>
            <w:numFmt w:val="chicago"/>
          </w:footnotePr>
          <w:pgSz w:w="10099" w:h="14782"/>
          <w:pgMar w:top="1238" w:right="1080" w:bottom="1153" w:left="1022" w:header="0" w:footer="725" w:gutter="0"/>
          <w:pgNumType w:start="92"/>
          <w:cols w:space="720" w:num="1"/>
          <w:rtlGutter w:val="0"/>
          <w:docGrid w:linePitch="360" w:charSpace="0"/>
        </w:sectPr>
      </w:pPr>
      <w:r>
        <w:rPr>
          <w:color w:val="000000"/>
          <w:spacing w:val="0"/>
          <w:w w:val="100"/>
          <w:position w:val="0"/>
        </w:rPr>
        <w:t>作为少数说的</w:t>
      </w:r>
      <w:r>
        <w:rPr>
          <w:color w:val="000000"/>
          <w:spacing w:val="0"/>
          <w:w w:val="100"/>
          <w:position w:val="0"/>
          <w:lang w:val="zh-CN" w:eastAsia="zh-CN" w:bidi="zh-CN"/>
        </w:rPr>
        <w:t>“故</w:t>
      </w:r>
      <w:r>
        <w:rPr>
          <w:color w:val="000000"/>
          <w:spacing w:val="0"/>
          <w:w w:val="100"/>
          <w:position w:val="0"/>
        </w:rPr>
        <w:t>意要件缓和说</w:t>
      </w:r>
      <w:r>
        <w:rPr>
          <w:color w:val="000000"/>
          <w:spacing w:val="0"/>
          <w:w w:val="100"/>
          <w:position w:val="0"/>
          <w:lang w:val="zh-CN" w:eastAsia="zh-CN" w:bidi="zh-CN"/>
        </w:rPr>
        <w:t>”则基</w:t>
      </w:r>
      <w:r>
        <w:rPr>
          <w:color w:val="000000"/>
          <w:spacing w:val="0"/>
          <w:w w:val="100"/>
          <w:position w:val="0"/>
        </w:rPr>
        <w:t xml:space="preserve">于信息不对称的交易构造,认为应承认一般性的 信息提供义务。在信息提供义务存在的场合,欺诈的故意要件存在缓和的必要（牟宪魁:《说 </w:t>
      </w:r>
    </w:p>
    <w:p w14:paraId="44F0512B">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明义务违反与沉默的民事欺诈构成——以“信息上的弱者</w:t>
      </w:r>
      <w:r>
        <w:rPr>
          <w:color w:val="000000"/>
          <w:spacing w:val="0"/>
          <w:w w:val="100"/>
          <w:position w:val="0"/>
          <w:lang w:val="zh-CN" w:eastAsia="zh-CN" w:bidi="zh-CN"/>
        </w:rPr>
        <w:t>”之</w:t>
      </w:r>
      <w:r>
        <w:rPr>
          <w:color w:val="000000"/>
          <w:spacing w:val="0"/>
          <w:w w:val="100"/>
          <w:position w:val="0"/>
        </w:rPr>
        <w:t>保护为中心》，载《法律科学》</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期）。而</w:t>
      </w:r>
      <w:r>
        <w:rPr>
          <w:color w:val="000000"/>
          <w:spacing w:val="0"/>
          <w:w w:val="100"/>
          <w:position w:val="0"/>
          <w:lang w:val="zh-CN" w:eastAsia="zh-CN" w:bidi="zh-CN"/>
        </w:rPr>
        <w:t>“过失</w:t>
      </w:r>
      <w:r>
        <w:rPr>
          <w:color w:val="000000"/>
          <w:spacing w:val="0"/>
          <w:w w:val="100"/>
          <w:position w:val="0"/>
        </w:rPr>
        <w:t>欺诈说</w:t>
      </w:r>
      <w:r>
        <w:rPr>
          <w:color w:val="000000"/>
          <w:spacing w:val="0"/>
          <w:w w:val="100"/>
          <w:position w:val="0"/>
          <w:lang w:val="zh-CN" w:eastAsia="zh-CN" w:bidi="zh-CN"/>
        </w:rPr>
        <w:t>”则</w:t>
      </w:r>
      <w:r>
        <w:rPr>
          <w:color w:val="000000"/>
          <w:spacing w:val="0"/>
          <w:w w:val="100"/>
          <w:position w:val="0"/>
        </w:rPr>
        <w:t>进一步认为应脱离功能上的考量，在逻辑上避免重大误解规范造 成的欺诈制度空洞化;欺诈的故意要件造成了法律行为法内部以及欺诈与缔约过失、侵权 行为对于</w:t>
      </w:r>
      <w:r>
        <w:rPr>
          <w:color w:val="000000"/>
          <w:spacing w:val="0"/>
          <w:w w:val="100"/>
          <w:position w:val="0"/>
          <w:lang w:val="zh-CN" w:eastAsia="zh-CN" w:bidi="zh-CN"/>
        </w:rPr>
        <w:t>“缔约</w:t>
      </w:r>
      <w:r>
        <w:rPr>
          <w:color w:val="000000"/>
          <w:spacing w:val="0"/>
          <w:w w:val="100"/>
          <w:position w:val="0"/>
        </w:rPr>
        <w:t>时隐匿信息或告知虚假信息</w:t>
      </w:r>
      <w:r>
        <w:rPr>
          <w:color w:val="000000"/>
          <w:spacing w:val="0"/>
          <w:w w:val="100"/>
          <w:position w:val="0"/>
          <w:lang w:val="zh-CN" w:eastAsia="zh-CN" w:bidi="zh-CN"/>
        </w:rPr>
        <w:t>”的评</w:t>
      </w:r>
      <w:r>
        <w:rPr>
          <w:color w:val="000000"/>
          <w:spacing w:val="0"/>
          <w:w w:val="100"/>
          <w:position w:val="0"/>
        </w:rPr>
        <w:t>价矛盾，形成了典型的制度竞合,解释论 的努力应当以承认过失的欺诈为方向（刘勇：《缔约过失与欺诈的制度竞合——以欺诈的</w:t>
      </w:r>
      <w:r>
        <w:rPr>
          <w:color w:val="000000"/>
          <w:spacing w:val="0"/>
          <w:w w:val="100"/>
          <w:position w:val="0"/>
          <w:lang w:val="zh-CN" w:eastAsia="zh-CN" w:bidi="zh-CN"/>
        </w:rPr>
        <w:t xml:space="preserve">“故意”要 </w:t>
      </w:r>
      <w:r>
        <w:rPr>
          <w:color w:val="000000"/>
          <w:spacing w:val="0"/>
          <w:w w:val="100"/>
          <w:position w:val="0"/>
        </w:rPr>
        <w:t>件为中心》，载《法学研究》</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1924488F">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学说上的分歧或许与对欺诈要件的认定有关。少数说认为在前述要件以外,欺诈的构 成还需要行为</w:t>
      </w:r>
      <w:r>
        <w:rPr>
          <w:color w:val="000000"/>
          <w:spacing w:val="0"/>
          <w:w w:val="100"/>
          <w:position w:val="0"/>
          <w:lang w:val="zh-CN" w:eastAsia="zh-CN" w:bidi="zh-CN"/>
        </w:rPr>
        <w:t>“违</w:t>
      </w:r>
      <w:r>
        <w:rPr>
          <w:color w:val="000000"/>
          <w:spacing w:val="0"/>
          <w:w w:val="100"/>
          <w:position w:val="0"/>
        </w:rPr>
        <w:t>法性”的存在，并且违法性要件可以作为缓和故意要件的调节阀。虽然并 未得到多数论著的认同，但</w:t>
      </w:r>
      <w:r>
        <w:rPr>
          <w:color w:val="000000"/>
          <w:spacing w:val="0"/>
          <w:w w:val="100"/>
          <w:position w:val="0"/>
          <w:lang w:val="zh-CN" w:eastAsia="zh-CN" w:bidi="zh-CN"/>
        </w:rPr>
        <w:t>“违</w:t>
      </w:r>
      <w:r>
        <w:rPr>
          <w:color w:val="000000"/>
          <w:spacing w:val="0"/>
          <w:w w:val="100"/>
          <w:position w:val="0"/>
        </w:rPr>
        <w:t>法性”要件的存在似乎并未被完全否认。有学者就指出，并 非所有与事实不一致的陈述都会构成欺诈，一定程度的</w:t>
      </w:r>
      <w:r>
        <w:rPr>
          <w:color w:val="000000"/>
          <w:spacing w:val="0"/>
          <w:w w:val="100"/>
          <w:position w:val="0"/>
          <w:lang w:val="zh-CN" w:eastAsia="zh-CN" w:bidi="zh-CN"/>
        </w:rPr>
        <w:t>“修辞”或</w:t>
      </w:r>
      <w:r>
        <w:rPr>
          <w:color w:val="000000"/>
          <w:spacing w:val="0"/>
          <w:w w:val="100"/>
          <w:position w:val="0"/>
        </w:rPr>
        <w:t>夸张是应当被允许的（朱庆 育:《民法总论》，北京大学出版社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274</w:t>
      </w:r>
      <w:r>
        <w:rPr>
          <w:color w:val="000000"/>
          <w:spacing w:val="0"/>
          <w:w w:val="100"/>
          <w:position w:val="0"/>
        </w:rPr>
        <w:t>页）。若将违法性界定为</w:t>
      </w:r>
      <w:r>
        <w:rPr>
          <w:color w:val="000000"/>
          <w:spacing w:val="0"/>
          <w:w w:val="100"/>
          <w:position w:val="0"/>
          <w:lang w:val="zh-CN" w:eastAsia="zh-CN" w:bidi="zh-CN"/>
        </w:rPr>
        <w:t>“超过</w:t>
      </w:r>
      <w:r>
        <w:rPr>
          <w:color w:val="000000"/>
          <w:spacing w:val="0"/>
          <w:w w:val="100"/>
          <w:position w:val="0"/>
        </w:rPr>
        <w:t>社会观念上允 许的限度</w:t>
      </w:r>
      <w:r>
        <w:rPr>
          <w:color w:val="000000"/>
          <w:spacing w:val="0"/>
          <w:w w:val="100"/>
          <w:position w:val="0"/>
          <w:lang w:val="zh-CN" w:eastAsia="zh-CN" w:bidi="zh-CN"/>
        </w:rPr>
        <w:t>”［韩</w:t>
      </w:r>
      <w:r>
        <w:rPr>
          <w:color w:val="000000"/>
          <w:spacing w:val="0"/>
          <w:w w:val="100"/>
          <w:position w:val="0"/>
        </w:rPr>
        <w:t>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257</w:t>
      </w:r>
      <w:r>
        <w:rPr>
          <w:color w:val="000000"/>
          <w:spacing w:val="0"/>
          <w:w w:val="100"/>
          <w:position w:val="0"/>
        </w:rPr>
        <w:t>页］，那么以上的表达 实际上就可以被概括为“缺乏违法性的欺罔行为不构成欺诈”。但主流观点对于违法性要 件的重视程度与少数说是有差别的。</w:t>
      </w:r>
    </w:p>
    <w:p w14:paraId="46B3E028">
      <w:pPr>
        <w:pStyle w:val="17"/>
        <w:keepNext w:val="0"/>
        <w:keepLines w:val="0"/>
        <w:widowControl w:val="0"/>
        <w:shd w:val="clear" w:color="auto" w:fill="auto"/>
        <w:bidi w:val="0"/>
        <w:spacing w:before="0" w:after="280" w:line="343" w:lineRule="exact"/>
        <w:ind w:left="0" w:right="0"/>
        <w:jc w:val="both"/>
      </w:pPr>
      <w:r>
        <w:rPr>
          <w:color w:val="000000"/>
          <w:spacing w:val="0"/>
          <w:w w:val="100"/>
          <w:position w:val="0"/>
        </w:rPr>
        <w:t>另外,需要说明的是，主流观点实际上并未完全否定故意要件的“高强度</w:t>
      </w:r>
      <w:r>
        <w:rPr>
          <w:color w:val="000000"/>
          <w:spacing w:val="0"/>
          <w:w w:val="100"/>
          <w:position w:val="0"/>
          <w:lang w:val="zh-CN" w:eastAsia="zh-CN" w:bidi="zh-CN"/>
        </w:rPr>
        <w:t>”以及</w:t>
      </w:r>
      <w:r>
        <w:rPr>
          <w:color w:val="000000"/>
          <w:spacing w:val="0"/>
          <w:w w:val="100"/>
          <w:position w:val="0"/>
        </w:rPr>
        <w:t>可能的 评价矛盾，只是将解释论的重心置于故意以外的其他要件，或者重视法效果层面的相似性 及替代性。而且，主流观点也普遍考虑了信息提供义务与欺诈，乃至与整个法律行为法的 关联。就此而言，主流观点与少数观点的问题意识是存在共通之处的。</w:t>
      </w:r>
    </w:p>
    <w:p w14:paraId="100D5498">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司法的状况与本判决的定位</w:t>
      </w:r>
    </w:p>
    <w:p w14:paraId="049489B9">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裁判实务中，行为人不存在故意是法院否定欺诈构成的重要理由，由此可见实务对故 意要件的坚持［最高人民法院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212</w:t>
      </w:r>
      <w:r>
        <w:rPr>
          <w:color w:val="000000"/>
          <w:spacing w:val="0"/>
          <w:w w:val="100"/>
          <w:position w:val="0"/>
        </w:rPr>
        <w:t>号民事判决书，载《最高人民法院公报》</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期］。故意的构成则需要行为人对特定信息的</w:t>
      </w:r>
      <w:r>
        <w:rPr>
          <w:color w:val="000000"/>
          <w:spacing w:val="0"/>
          <w:w w:val="100"/>
          <w:position w:val="0"/>
          <w:lang w:val="zh-CN" w:eastAsia="zh-CN" w:bidi="zh-CN"/>
        </w:rPr>
        <w:t>“明知”，例</w:t>
      </w:r>
      <w:r>
        <w:rPr>
          <w:color w:val="000000"/>
          <w:spacing w:val="0"/>
          <w:w w:val="100"/>
          <w:position w:val="0"/>
        </w:rPr>
        <w:t>如，入职时提供虚假学历证明 的行为就被法院认定构成欺诈</w:t>
      </w:r>
      <w:r>
        <w:rPr>
          <w:color w:val="000000"/>
          <w:spacing w:val="0"/>
          <w:w w:val="100"/>
          <w:position w:val="0"/>
          <w:lang w:val="zh-CN" w:eastAsia="zh-CN" w:bidi="zh-CN"/>
        </w:rPr>
        <w:t>（“明</w:t>
      </w:r>
      <w:r>
        <w:rPr>
          <w:color w:val="000000"/>
          <w:spacing w:val="0"/>
          <w:w w:val="100"/>
          <w:position w:val="0"/>
        </w:rPr>
        <w:t>知型欺诈”；参见</w:t>
      </w:r>
      <w:r>
        <w:rPr>
          <w:color w:val="000000"/>
          <w:spacing w:val="0"/>
          <w:w w:val="100"/>
          <w:position w:val="0"/>
          <w:lang w:val="zh-CN" w:eastAsia="zh-CN" w:bidi="zh-CN"/>
        </w:rPr>
        <w:t>“上</w:t>
      </w:r>
      <w:r>
        <w:rPr>
          <w:color w:val="000000"/>
          <w:spacing w:val="0"/>
          <w:w w:val="100"/>
          <w:position w:val="0"/>
        </w:rPr>
        <w:t>海冠龙阀门机械有限公司诉唐茂林劳动合 同纠纷案</w:t>
      </w:r>
      <w:r>
        <w:rPr>
          <w:color w:val="000000"/>
          <w:spacing w:val="0"/>
          <w:w w:val="100"/>
          <w:position w:val="0"/>
          <w:lang w:val="zh-CN" w:eastAsia="zh-CN" w:bidi="zh-CN"/>
        </w:rPr>
        <w:t>”，载</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2E26C808">
      <w:pPr>
        <w:pStyle w:val="17"/>
        <w:keepNext w:val="0"/>
        <w:keepLines w:val="0"/>
        <w:widowControl w:val="0"/>
        <w:shd w:val="clear" w:color="auto" w:fill="auto"/>
        <w:bidi w:val="0"/>
        <w:spacing w:before="0" w:after="0" w:line="342" w:lineRule="exact"/>
        <w:ind w:left="0" w:right="0"/>
        <w:jc w:val="both"/>
        <w:sectPr>
          <w:headerReference r:id="rId130" w:type="default"/>
          <w:headerReference r:id="rId131" w:type="even"/>
          <w:footnotePr>
            <w:numFmt w:val="chicago"/>
          </w:footnotePr>
          <w:pgSz w:w="10099" w:h="14782"/>
          <w:pgMar w:top="1238" w:right="1080" w:bottom="1153" w:left="1022" w:header="0" w:footer="725" w:gutter="0"/>
          <w:pgNumType w:start="109"/>
          <w:cols w:space="720" w:num="1"/>
          <w:rtlGutter w:val="0"/>
          <w:docGrid w:linePitch="360" w:charSpace="0"/>
        </w:sectPr>
      </w:pPr>
      <w:r>
        <w:rPr>
          <w:color w:val="000000"/>
          <w:spacing w:val="0"/>
          <w:w w:val="100"/>
          <w:position w:val="0"/>
        </w:rPr>
        <w:t>但实际上，在本案被刊载之前，缓和故意要件的实务裁判已经出现。在最高人民法院 公报所刊载的案例中，就有法院认为经营者</w:t>
      </w:r>
      <w:r>
        <w:rPr>
          <w:color w:val="000000"/>
          <w:spacing w:val="0"/>
          <w:w w:val="100"/>
          <w:position w:val="0"/>
          <w:lang w:val="zh-CN" w:eastAsia="zh-CN" w:bidi="zh-CN"/>
        </w:rPr>
        <w:t>“应知”存在</w:t>
      </w:r>
      <w:r>
        <w:rPr>
          <w:color w:val="000000"/>
          <w:spacing w:val="0"/>
          <w:w w:val="100"/>
          <w:position w:val="0"/>
        </w:rPr>
        <w:t>提供单证的法定义务，但因未提供 单证而被认定为欺诈的例子</w:t>
      </w:r>
      <w:r>
        <w:rPr>
          <w:color w:val="000000"/>
          <w:spacing w:val="0"/>
          <w:w w:val="100"/>
          <w:position w:val="0"/>
          <w:lang w:val="zh-CN" w:eastAsia="zh-CN" w:bidi="zh-CN"/>
        </w:rPr>
        <w:t>（“应</w:t>
      </w:r>
      <w:r>
        <w:rPr>
          <w:color w:val="000000"/>
          <w:spacing w:val="0"/>
          <w:w w:val="100"/>
          <w:position w:val="0"/>
        </w:rPr>
        <w:t>知型欺诈”；参见</w:t>
      </w:r>
      <w:r>
        <w:rPr>
          <w:color w:val="000000"/>
          <w:spacing w:val="0"/>
          <w:w w:val="100"/>
          <w:position w:val="0"/>
          <w:lang w:val="zh-CN" w:eastAsia="zh-CN" w:bidi="zh-CN"/>
        </w:rPr>
        <w:t>“张志</w:t>
      </w:r>
      <w:r>
        <w:rPr>
          <w:color w:val="000000"/>
          <w:spacing w:val="0"/>
          <w:w w:val="100"/>
          <w:position w:val="0"/>
        </w:rPr>
        <w:t>强诉徐州苏宁电器有限公司侵犯消费者权 益纠纷案</w:t>
      </w:r>
      <w:r>
        <w:rPr>
          <w:color w:val="000000"/>
          <w:spacing w:val="0"/>
          <w:w w:val="100"/>
          <w:position w:val="0"/>
          <w:lang w:val="zh-CN" w:eastAsia="zh-CN" w:bidi="zh-CN"/>
        </w:rPr>
        <w:t>”，载</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期）。不过,该案所涉及的</w:t>
      </w:r>
      <w:r>
        <w:rPr>
          <w:color w:val="000000"/>
          <w:spacing w:val="0"/>
          <w:w w:val="100"/>
          <w:position w:val="0"/>
          <w:lang w:val="zh-CN" w:eastAsia="zh-CN" w:bidi="zh-CN"/>
        </w:rPr>
        <w:t>“应知”的</w:t>
      </w:r>
      <w:r>
        <w:rPr>
          <w:color w:val="000000"/>
          <w:spacing w:val="0"/>
          <w:w w:val="100"/>
          <w:position w:val="0"/>
        </w:rPr>
        <w:t xml:space="preserve">内容是确定 的事实，而本案则是有关“意见的提供”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在本案被刊载后不久，还出现了超市经营者因“未 对其外包装盒上粘贴的产品标识进行核准，导致冒用他人产品标识的行为发生”而被认定 构成欺诈的例子（参见</w:t>
      </w:r>
      <w:r>
        <w:rPr>
          <w:color w:val="000000"/>
          <w:spacing w:val="0"/>
          <w:w w:val="100"/>
          <w:position w:val="0"/>
          <w:lang w:val="zh-CN" w:eastAsia="zh-CN" w:bidi="zh-CN"/>
        </w:rPr>
        <w:t>“苏向</w:t>
      </w:r>
      <w:r>
        <w:rPr>
          <w:color w:val="000000"/>
          <w:spacing w:val="0"/>
          <w:w w:val="100"/>
          <w:position w:val="0"/>
        </w:rPr>
        <w:t>前与徐州百鑫商业有限责任公司百惠超市分公司、徐州百鑫商业有限责 任公司侵犯消费者权益纠纷案</w:t>
      </w:r>
      <w:r>
        <w:rPr>
          <w:color w:val="000000"/>
          <w:spacing w:val="0"/>
          <w:w w:val="100"/>
          <w:position w:val="0"/>
          <w:lang w:val="zh-CN" w:eastAsia="zh-CN" w:bidi="zh-CN"/>
        </w:rPr>
        <w:t>”，载</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期）。很显然，法院认为超市 经营者应当实施核准行为，从而</w:t>
      </w:r>
      <w:r>
        <w:rPr>
          <w:color w:val="000000"/>
          <w:spacing w:val="0"/>
          <w:w w:val="100"/>
          <w:position w:val="0"/>
          <w:lang w:val="zh-CN" w:eastAsia="zh-CN" w:bidi="zh-CN"/>
        </w:rPr>
        <w:t>“应知”假冒</w:t>
      </w:r>
      <w:r>
        <w:rPr>
          <w:color w:val="000000"/>
          <w:spacing w:val="0"/>
          <w:w w:val="100"/>
          <w:position w:val="0"/>
        </w:rPr>
        <w:t>产品的存在。就此而言，本案可以被看作是</w:t>
      </w:r>
      <w:r>
        <w:rPr>
          <w:color w:val="000000"/>
          <w:spacing w:val="0"/>
          <w:w w:val="100"/>
          <w:position w:val="0"/>
          <w:lang w:val="zh-CN" w:eastAsia="zh-CN" w:bidi="zh-CN"/>
        </w:rPr>
        <w:t xml:space="preserve">“应 </w:t>
      </w:r>
      <w:r>
        <w:rPr>
          <w:color w:val="000000"/>
          <w:spacing w:val="0"/>
          <w:w w:val="100"/>
          <w:position w:val="0"/>
        </w:rPr>
        <w:t>知型欺诈”承上启下的典型案例。虽然如此，但在下级法院的裁判中，即便当事人的行为样 态被法院认定为</w:t>
      </w:r>
      <w:r>
        <w:rPr>
          <w:color w:val="000000"/>
          <w:spacing w:val="0"/>
          <w:w w:val="100"/>
          <w:position w:val="0"/>
          <w:lang w:val="zh-CN" w:eastAsia="zh-CN" w:bidi="zh-CN"/>
        </w:rPr>
        <w:t>“应知</w:t>
      </w:r>
      <w:r>
        <w:rPr>
          <w:color w:val="000000"/>
          <w:spacing w:val="0"/>
          <w:w w:val="100"/>
          <w:position w:val="0"/>
        </w:rPr>
        <w:t xml:space="preserve">相关信息而未告知”，法院也并不必然因此而认定行为人存在欺诈的 </w:t>
      </w:r>
    </w:p>
    <w:p w14:paraId="67B8FBDB">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故意［参见湖南省长沙市中级人民法院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湘</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3603</w:t>
      </w:r>
      <w:r>
        <w:rPr>
          <w:color w:val="000000"/>
          <w:spacing w:val="0"/>
          <w:w w:val="100"/>
          <w:position w:val="0"/>
        </w:rPr>
        <w:t>号民事判决书］。</w:t>
      </w:r>
    </w:p>
    <w:p w14:paraId="158BEA0E">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至于本案所暗示的违法性要件,虽然在实务裁判中难觅其直接表达，但内容相近的判 断仍然是存在的。有法院认为广告主违反了《广告法》的规定，进而径直认定广告主存在欺 诈［参见四川省泸州市中级人民法院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泸民终字第</w:t>
      </w:r>
      <w:r>
        <w:rPr>
          <w:rFonts w:ascii="Times New Roman" w:hAnsi="Times New Roman" w:eastAsia="Times New Roman" w:cs="Times New Roman"/>
          <w:color w:val="000000"/>
          <w:spacing w:val="0"/>
          <w:w w:val="100"/>
          <w:position w:val="0"/>
          <w:sz w:val="17"/>
          <w:szCs w:val="17"/>
        </w:rPr>
        <w:t>783</w:t>
      </w:r>
      <w:r>
        <w:rPr>
          <w:color w:val="000000"/>
          <w:spacing w:val="0"/>
          <w:w w:val="100"/>
          <w:position w:val="0"/>
        </w:rPr>
        <w:t xml:space="preserve">号民事判决书，载《最高人民法院公报》 </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期］。行为人的特定行为对法定规范的背离程度，显然属于行为违法性方面的判 断。</w:t>
      </w:r>
    </w:p>
    <w:p w14:paraId="0337CA6F">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近来，最高人民法院不仅对信息提供义务与欺诈进行了一定程度的分离判断,并且在 欺诈的要件之外，增加了是否影响到消费者缔约的根本目的、问题是否严重及相应处理措 施是否复杂、是否给消费者造成较大不利影响等方面的因素，从而呈现更为强烈的实质主 义倾向［参见最高人民法院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号民事判决书］。</w:t>
      </w:r>
    </w:p>
    <w:p w14:paraId="45EF3447">
      <w:pPr>
        <w:pStyle w:val="17"/>
        <w:keepNext w:val="0"/>
        <w:keepLines w:val="0"/>
        <w:widowControl w:val="0"/>
        <w:shd w:val="clear" w:color="auto" w:fill="auto"/>
        <w:bidi w:val="0"/>
        <w:spacing w:before="0" w:after="280" w:line="347" w:lineRule="exact"/>
        <w:ind w:left="0" w:right="0" w:firstLine="420"/>
        <w:jc w:val="both"/>
      </w:pPr>
      <w:r>
        <w:rPr>
          <w:color w:val="000000"/>
          <w:spacing w:val="0"/>
          <w:w w:val="100"/>
          <w:position w:val="0"/>
        </w:rPr>
        <w:t>此外，学说上逐渐受到重视的欺诈与重大误解的关联在实务中也得到了体现。在原告 主张受欺诈请求撤销合同的场合，有法院未经释明，主动将原告的请求权基础变更为重大 误解，从而判决撤销合同［参见最高人民法院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2216</w:t>
      </w:r>
      <w:r>
        <w:rPr>
          <w:color w:val="000000"/>
          <w:spacing w:val="0"/>
          <w:w w:val="100"/>
          <w:position w:val="0"/>
        </w:rPr>
        <w:t>号民事裁定书］。基于重视 实质结果的立场,该裁判在表明欺诈证明困难的同时，也说明了欺诈与重大误解之间的</w:t>
      </w:r>
      <w:r>
        <w:rPr>
          <w:color w:val="000000"/>
          <w:spacing w:val="0"/>
          <w:w w:val="100"/>
          <w:position w:val="0"/>
          <w:lang w:val="zh-CN" w:eastAsia="zh-CN" w:bidi="zh-CN"/>
        </w:rPr>
        <w:t xml:space="preserve">“流 </w:t>
      </w:r>
      <w:r>
        <w:rPr>
          <w:color w:val="000000"/>
          <w:spacing w:val="0"/>
          <w:w w:val="100"/>
          <w:position w:val="0"/>
        </w:rPr>
        <w:t>动性”。</w:t>
      </w:r>
    </w:p>
    <w:p w14:paraId="13CC0601">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本判决的意义与射程</w:t>
      </w:r>
    </w:p>
    <w:p w14:paraId="04B3E4E7">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本判决的意义，主要在于以过失的判断框架来认定欺诈行为的故意，同时以认定行为 具有违法性强化了欺诈的构成。此外，本案判决扩张了行为人信息提供义务的具体范畴, 将</w:t>
      </w:r>
      <w:r>
        <w:rPr>
          <w:color w:val="000000"/>
          <w:spacing w:val="0"/>
          <w:w w:val="100"/>
          <w:position w:val="0"/>
          <w:lang w:val="zh-CN" w:eastAsia="zh-CN" w:bidi="zh-CN"/>
        </w:rPr>
        <w:t>“意见</w:t>
      </w:r>
      <w:r>
        <w:rPr>
          <w:color w:val="000000"/>
          <w:spacing w:val="0"/>
          <w:w w:val="100"/>
          <w:position w:val="0"/>
        </w:rPr>
        <w:t>的提供</w:t>
      </w:r>
      <w:r>
        <w:rPr>
          <w:color w:val="000000"/>
          <w:spacing w:val="0"/>
          <w:w w:val="100"/>
          <w:position w:val="0"/>
          <w:lang w:val="zh-CN" w:eastAsia="zh-CN" w:bidi="zh-CN"/>
        </w:rPr>
        <w:t>”纳</w:t>
      </w:r>
      <w:r>
        <w:rPr>
          <w:color w:val="000000"/>
          <w:spacing w:val="0"/>
          <w:w w:val="100"/>
          <w:position w:val="0"/>
        </w:rPr>
        <w:t>入欺诈构成中</w:t>
      </w:r>
      <w:r>
        <w:rPr>
          <w:color w:val="000000"/>
          <w:spacing w:val="0"/>
          <w:w w:val="100"/>
          <w:position w:val="0"/>
          <w:lang w:val="zh-CN" w:eastAsia="zh-CN" w:bidi="zh-CN"/>
        </w:rPr>
        <w:t>“真</w:t>
      </w:r>
      <w:r>
        <w:rPr>
          <w:color w:val="000000"/>
          <w:spacing w:val="0"/>
          <w:w w:val="100"/>
          <w:position w:val="0"/>
        </w:rPr>
        <w:t>实情况</w:t>
      </w:r>
      <w:r>
        <w:rPr>
          <w:color w:val="000000"/>
          <w:spacing w:val="0"/>
          <w:w w:val="100"/>
          <w:position w:val="0"/>
          <w:lang w:val="zh-CN" w:eastAsia="zh-CN" w:bidi="zh-CN"/>
        </w:rPr>
        <w:t>”的</w:t>
      </w:r>
      <w:r>
        <w:rPr>
          <w:color w:val="000000"/>
          <w:spacing w:val="0"/>
          <w:w w:val="100"/>
          <w:position w:val="0"/>
        </w:rPr>
        <w:t>范畴。</w:t>
      </w:r>
    </w:p>
    <w:p w14:paraId="015250D6">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针对保险金支付请求，本案中保险人的抗辩包括了“货物超高”。实际上，保险人是主 张《保险法》第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条规定的“法定拒赔</w:t>
      </w:r>
      <w:r>
        <w:rPr>
          <w:color w:val="000000"/>
          <w:spacing w:val="0"/>
          <w:w w:val="100"/>
          <w:position w:val="0"/>
          <w:lang w:val="zh-CN" w:eastAsia="zh-CN" w:bidi="zh-CN"/>
        </w:rPr>
        <w:t>”：投</w:t>
      </w:r>
      <w:r>
        <w:rPr>
          <w:color w:val="000000"/>
          <w:spacing w:val="0"/>
          <w:w w:val="100"/>
          <w:position w:val="0"/>
        </w:rPr>
        <w:t>保人“未通知</w:t>
      </w:r>
      <w:r>
        <w:rPr>
          <w:color w:val="000000"/>
          <w:spacing w:val="0"/>
          <w:w w:val="100"/>
          <w:position w:val="0"/>
          <w:lang w:val="zh-CN" w:eastAsia="zh-CN" w:bidi="zh-CN"/>
        </w:rPr>
        <w:t>”的货</w:t>
      </w:r>
      <w:r>
        <w:rPr>
          <w:color w:val="000000"/>
          <w:spacing w:val="0"/>
          <w:w w:val="100"/>
          <w:position w:val="0"/>
        </w:rPr>
        <w:t>物超高显著增加了保险标的 的危险程度，并且与事故发生（刮倒路上线路）存在明显的因果关系。很难想象，被法院认 为</w:t>
      </w:r>
      <w:r>
        <w:rPr>
          <w:color w:val="000000"/>
          <w:spacing w:val="0"/>
          <w:w w:val="100"/>
          <w:position w:val="0"/>
          <w:lang w:val="zh-CN" w:eastAsia="zh-CN" w:bidi="zh-CN"/>
        </w:rPr>
        <w:t>“专业”的</w:t>
      </w:r>
      <w:r>
        <w:rPr>
          <w:color w:val="000000"/>
          <w:spacing w:val="0"/>
          <w:w w:val="100"/>
          <w:position w:val="0"/>
        </w:rPr>
        <w:t>保险人会出具毫无依据的拒赔理由，而法院对此会完全不加考虑。就此而言, 对于被刊登于《最高人民法院公报》的本案,其裁判的射程应抽离保险合同的背景,从而适 用于一般意义上的民事合同。</w:t>
      </w:r>
    </w:p>
    <w:p w14:paraId="639CEA08">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同时，本案投保人驾驶的是货运挂车，通常情形下其应为职业货车驾驶员。根据本案 审理时有效的交通运输部《关于发布中华人民共和国道路旅客运输驾驶员及道路货物运输 驾驶员从业资格考试大纲的通知》［交运发</w:t>
      </w:r>
      <w:r>
        <w:rPr>
          <w:rFonts w:ascii="Times New Roman" w:hAnsi="Times New Roman" w:eastAsia="Times New Roman" w:cs="Times New Roman"/>
          <w:color w:val="000000"/>
          <w:spacing w:val="0"/>
          <w:w w:val="100"/>
          <w:position w:val="0"/>
          <w:sz w:val="19"/>
          <w:szCs w:val="19"/>
        </w:rPr>
        <w:t>（2012）339</w:t>
      </w:r>
      <w:r>
        <w:rPr>
          <w:color w:val="000000"/>
          <w:spacing w:val="0"/>
          <w:w w:val="100"/>
          <w:position w:val="0"/>
        </w:rPr>
        <w:t>号〕等规定，货运驾驶员应“熟知货运 合同和保险知识”。况且，拒赔理由在保险合同上是否有对应条款也并非难以查对的。或 许在电话中达成销案协议具有远程缔约的特点，但法院对此并无特别的关注。因此，本案 并无消费者合同的典型特征。</w:t>
      </w:r>
    </w:p>
    <w:p w14:paraId="30496FCB">
      <w:pPr>
        <w:pStyle w:val="17"/>
        <w:keepNext w:val="0"/>
        <w:keepLines w:val="0"/>
        <w:widowControl w:val="0"/>
        <w:shd w:val="clear" w:color="auto" w:fill="auto"/>
        <w:bidi w:val="0"/>
        <w:spacing w:before="0" w:after="280" w:line="340" w:lineRule="exact"/>
        <w:ind w:left="0" w:right="0" w:firstLine="420"/>
        <w:jc w:val="both"/>
        <w:sectPr>
          <w:headerReference r:id="rId132" w:type="default"/>
          <w:headerReference r:id="rId133" w:type="even"/>
          <w:footnotePr>
            <w:numFmt w:val="chicago"/>
          </w:footnotePr>
          <w:pgSz w:w="10099" w:h="14782"/>
          <w:pgMar w:top="1238" w:right="1080" w:bottom="1153" w:left="1022" w:header="0" w:footer="725" w:gutter="0"/>
          <w:pgNumType w:start="94"/>
          <w:cols w:space="720" w:num="1"/>
          <w:rtlGutter w:val="0"/>
          <w:docGrid w:linePitch="360" w:charSpace="0"/>
        </w:sectPr>
      </w:pPr>
      <w:r>
        <w:rPr>
          <w:color w:val="000000"/>
          <w:spacing w:val="0"/>
          <w:w w:val="100"/>
          <w:position w:val="0"/>
        </w:rPr>
        <w:t>本案的事实与结论之间存在相当的跳跃与空白，由此推知，最高人民法院的意图并非 强调个案的妥当性，而是表明本案法律论的辐射意味（本案判决内容为撤销“销案协议</w:t>
      </w:r>
      <w:r>
        <w:rPr>
          <w:color w:val="000000"/>
          <w:spacing w:val="0"/>
          <w:w w:val="100"/>
          <w:position w:val="0"/>
          <w:lang w:val="zh-CN" w:eastAsia="zh-CN" w:bidi="zh-CN"/>
        </w:rPr>
        <w:t>”，逻</w:t>
      </w:r>
      <w:r>
        <w:rPr>
          <w:color w:val="000000"/>
          <w:spacing w:val="0"/>
          <w:w w:val="100"/>
          <w:position w:val="0"/>
        </w:rPr>
        <w:t>辑上 并不意味着投保人能直接获得保险金,保险人仍然可以就保险金请求提出抗辩;但法院在判决理由中作 出了</w:t>
      </w:r>
      <w:r>
        <w:rPr>
          <w:color w:val="000000"/>
          <w:spacing w:val="0"/>
          <w:w w:val="100"/>
          <w:position w:val="0"/>
          <w:lang w:val="zh-CN" w:eastAsia="zh-CN" w:bidi="zh-CN"/>
        </w:rPr>
        <w:t>“明</w:t>
      </w:r>
      <w:r>
        <w:rPr>
          <w:color w:val="000000"/>
          <w:spacing w:val="0"/>
          <w:w w:val="100"/>
          <w:position w:val="0"/>
        </w:rPr>
        <w:t>知或应知本案保险事故在其赔偿范围之内</w:t>
      </w:r>
      <w:r>
        <w:rPr>
          <w:color w:val="000000"/>
          <w:spacing w:val="0"/>
          <w:w w:val="100"/>
          <w:position w:val="0"/>
          <w:lang w:val="zh-CN" w:eastAsia="zh-CN" w:bidi="zh-CN"/>
        </w:rPr>
        <w:t>”的</w:t>
      </w:r>
      <w:r>
        <w:rPr>
          <w:color w:val="000000"/>
          <w:spacing w:val="0"/>
          <w:w w:val="100"/>
          <w:position w:val="0"/>
        </w:rPr>
        <w:t xml:space="preserve">表述。上述判决与理由在保险法上的意义，也是 </w:t>
      </w:r>
    </w:p>
    <w:p w14:paraId="5C4C8016">
      <w:pPr>
        <w:pStyle w:val="17"/>
        <w:keepNext w:val="0"/>
        <w:keepLines w:val="0"/>
        <w:widowControl w:val="0"/>
        <w:shd w:val="clear" w:color="auto" w:fill="auto"/>
        <w:bidi w:val="0"/>
        <w:spacing w:before="0" w:after="280" w:line="340" w:lineRule="exact"/>
        <w:ind w:left="0" w:right="0" w:firstLine="0"/>
        <w:jc w:val="both"/>
      </w:pPr>
      <w:r>
        <w:rPr>
          <w:color w:val="000000"/>
          <w:spacing w:val="0"/>
          <w:w w:val="100"/>
          <w:position w:val="0"/>
        </w:rPr>
        <w:t>颇有趣味的问题）。</w:t>
      </w:r>
    </w:p>
    <w:p w14:paraId="5F228548">
      <w:pPr>
        <w:pStyle w:val="17"/>
        <w:keepNext w:val="0"/>
        <w:keepLines w:val="0"/>
        <w:widowControl w:val="0"/>
        <w:shd w:val="clear" w:color="auto" w:fill="auto"/>
        <w:bidi w:val="0"/>
        <w:spacing w:before="0" w:after="0" w:line="401" w:lineRule="auto"/>
        <w:ind w:left="0" w:right="0" w:firstLine="0"/>
        <w:jc w:val="both"/>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残留的课题</w:t>
      </w:r>
    </w:p>
    <w:p w14:paraId="74425C39">
      <w:pPr>
        <w:pStyle w:val="17"/>
        <w:keepNext w:val="0"/>
        <w:keepLines w:val="0"/>
        <w:widowControl w:val="0"/>
        <w:shd w:val="clear" w:color="auto" w:fill="auto"/>
        <w:bidi w:val="0"/>
        <w:spacing w:before="0" w:after="380" w:line="340" w:lineRule="exact"/>
        <w:ind w:left="0" w:right="0"/>
        <w:jc w:val="both"/>
      </w:pPr>
      <w:r>
        <w:rPr>
          <w:color w:val="000000"/>
          <w:spacing w:val="0"/>
          <w:w w:val="100"/>
          <w:position w:val="0"/>
        </w:rPr>
        <w:t xml:space="preserve">有关欺诈的研究近年来逐渐增多，尤其注重将围绕信息提供义务的讨论置于民法与特 别法的整体图景之中。若肯定信息提供义务的存在，则会在法律行为法内部产生如何处理 </w:t>
      </w:r>
      <w:r>
        <w:rPr>
          <w:color w:val="000000"/>
          <w:spacing w:val="0"/>
          <w:w w:val="100"/>
          <w:position w:val="0"/>
          <w:lang w:val="zh-CN" w:eastAsia="zh-CN" w:bidi="zh-CN"/>
        </w:rPr>
        <w:t>“相</w:t>
      </w:r>
      <w:r>
        <w:rPr>
          <w:color w:val="000000"/>
          <w:spacing w:val="0"/>
          <w:w w:val="100"/>
          <w:position w:val="0"/>
        </w:rPr>
        <w:t>对人过失引发错误”的问题，错误与欺诈之间、意思表示不一致与意思表示不自由之间 的界限是否应当维持以及如何维持，可能需要进一步的讨论。同时，欺诈、错误与合同内容 的关联也使传统的合同解释论存在转换视角的必要。另外，即便不考虑信息提供义务而专 注于欺诈的传统构成要件，对</w:t>
      </w:r>
      <w:r>
        <w:rPr>
          <w:color w:val="000000"/>
          <w:spacing w:val="0"/>
          <w:w w:val="100"/>
          <w:position w:val="0"/>
          <w:lang w:val="zh-CN" w:eastAsia="zh-CN" w:bidi="zh-CN"/>
        </w:rPr>
        <w:t>“故意”的民</w:t>
      </w:r>
      <w:r>
        <w:rPr>
          <w:color w:val="000000"/>
          <w:spacing w:val="0"/>
          <w:w w:val="100"/>
          <w:position w:val="0"/>
        </w:rPr>
        <w:t>法研究显然未达精致的程度,是否有必要以及在 多大程度上有必要接近刑法学的研究，或许也是残留课题之一。</w:t>
      </w:r>
    </w:p>
    <w:p w14:paraId="625251C0">
      <w:pPr>
        <w:pStyle w:val="11"/>
        <w:keepNext w:val="0"/>
        <w:keepLines w:val="0"/>
        <w:widowControl w:val="0"/>
        <w:shd w:val="clear" w:color="auto" w:fill="auto"/>
        <w:bidi w:val="0"/>
        <w:spacing w:before="0" w:after="60" w:line="325" w:lineRule="exact"/>
        <w:ind w:left="0" w:right="0" w:firstLine="0"/>
        <w:jc w:val="left"/>
      </w:pPr>
      <w:r>
        <w:rPr>
          <w:color w:val="000000"/>
          <w:spacing w:val="0"/>
          <w:w w:val="100"/>
          <w:position w:val="0"/>
        </w:rPr>
        <w:t>回参考文献</w:t>
      </w:r>
    </w:p>
    <w:p w14:paraId="14C3C164">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朱庆育：《民法总论》，北京大学出版社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5E6C3B21">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3F42C6D7">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许德风:《欺诈的民法规制》，载《政法论坛》</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44656611">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冉克平:《论汽车经销商的缔约欺诈及惩罚性赔偿》，载《广东社会科学》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65608D79">
      <w:pPr>
        <w:pStyle w:val="17"/>
        <w:keepNext w:val="0"/>
        <w:keepLines w:val="0"/>
        <w:widowControl w:val="0"/>
        <w:shd w:val="clear" w:color="auto" w:fill="auto"/>
        <w:bidi w:val="0"/>
        <w:spacing w:before="0" w:after="0" w:line="311" w:lineRule="exact"/>
        <w:ind w:left="0" w:right="0" w:firstLine="0"/>
        <w:jc w:val="both"/>
        <w:sectPr>
          <w:headerReference r:id="rId134" w:type="default"/>
          <w:headerReference r:id="rId135" w:type="even"/>
          <w:footnotePr>
            <w:numFmt w:val="chicago"/>
          </w:footnotePr>
          <w:pgSz w:w="10099" w:h="14782"/>
          <w:pgMar w:top="1238" w:right="1080" w:bottom="1153" w:left="1022" w:header="0" w:footer="725" w:gutter="0"/>
          <w:pgNumType w:start="111"/>
          <w:cols w:space="720" w:num="1"/>
          <w:rtlGutter w:val="0"/>
          <w:docGrid w:linePitch="360" w:charSpace="0"/>
        </w:sectPr>
      </w:pPr>
      <w:r>
        <w:rPr>
          <w:color w:val="000000"/>
          <w:spacing w:val="0"/>
          <w:w w:val="100"/>
          <w:position w:val="0"/>
        </w:rPr>
        <w:t>尚连杰:《缔约过失与欺诈的关系再造——以错误理论的功能介入为辅线》，载《法学家》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牟宪魁:《说明义务违反与沉默的民事欺诈构成——以“信息上的弱者</w:t>
      </w:r>
      <w:r>
        <w:rPr>
          <w:color w:val="000000"/>
          <w:spacing w:val="0"/>
          <w:w w:val="100"/>
          <w:position w:val="0"/>
          <w:lang w:val="zh-CN" w:eastAsia="zh-CN" w:bidi="zh-CN"/>
        </w:rPr>
        <w:t>”之</w:t>
      </w:r>
      <w:r>
        <w:rPr>
          <w:color w:val="000000"/>
          <w:spacing w:val="0"/>
          <w:w w:val="100"/>
          <w:position w:val="0"/>
        </w:rPr>
        <w:t xml:space="preserve">保护为中心》，载《法律科学》 </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700A0BF5">
      <w:pPr>
        <w:widowControl w:val="0"/>
        <w:spacing w:line="32" w:lineRule="exact"/>
        <w:rPr>
          <w:sz w:val="3"/>
          <w:szCs w:val="3"/>
        </w:rPr>
      </w:pPr>
    </w:p>
    <w:p w14:paraId="6C136562">
      <w:pPr>
        <w:widowControl w:val="0"/>
        <w:spacing w:line="1" w:lineRule="exact"/>
        <w:sectPr>
          <w:headerReference r:id="rId138" w:type="first"/>
          <w:headerReference r:id="rId136" w:type="default"/>
          <w:headerReference r:id="rId137" w:type="even"/>
          <w:footnotePr>
            <w:numFmt w:val="chicago"/>
          </w:footnotePr>
          <w:pgSz w:w="10099" w:h="14782"/>
          <w:pgMar w:top="1197" w:right="996" w:bottom="1169" w:left="1097" w:header="0" w:footer="3" w:gutter="0"/>
          <w:cols w:space="720" w:num="1"/>
          <w:titlePg/>
          <w:rtlGutter w:val="0"/>
          <w:docGrid w:linePitch="360" w:charSpace="0"/>
        </w:sectPr>
      </w:pPr>
    </w:p>
    <w:p w14:paraId="1D2ACF1D">
      <w:pPr>
        <w:widowControl w:val="0"/>
        <w:spacing w:line="1" w:lineRule="exact"/>
      </w:pPr>
      <w:r>
        <w:drawing>
          <wp:anchor distT="0" distB="0" distL="0" distR="0" simplePos="0" relativeHeight="251660288" behindDoc="0" locked="0" layoutInCell="1" allowOverlap="1">
            <wp:simplePos x="0" y="0"/>
            <wp:positionH relativeFrom="page">
              <wp:posOffset>735965</wp:posOffset>
            </wp:positionH>
            <wp:positionV relativeFrom="paragraph">
              <wp:posOffset>0</wp:posOffset>
            </wp:positionV>
            <wp:extent cx="481330" cy="408305"/>
            <wp:effectExtent l="0" t="0" r="1270" b="10795"/>
            <wp:wrapTopAndBottom/>
            <wp:docPr id="301" name="Shape 301"/>
            <wp:cNvGraphicFramePr/>
            <a:graphic xmlns:a="http://schemas.openxmlformats.org/drawingml/2006/main">
              <a:graphicData uri="http://schemas.openxmlformats.org/drawingml/2006/picture">
                <pic:pic xmlns:pic="http://schemas.openxmlformats.org/drawingml/2006/picture">
                  <pic:nvPicPr>
                    <pic:cNvPr id="301" name="Shape 301"/>
                    <pic:cNvPicPr/>
                  </pic:nvPicPr>
                  <pic:blipFill>
                    <a:blip r:embed="rId618"/>
                    <a:stretch>
                      <a:fillRect/>
                    </a:stretch>
                  </pic:blipFill>
                  <pic:spPr>
                    <a:xfrm>
                      <a:off x="0" y="0"/>
                      <a:ext cx="481330" cy="408305"/>
                    </a:xfrm>
                    <a:prstGeom prst="rect">
                      <a:avLst/>
                    </a:prstGeom>
                  </pic:spPr>
                </pic:pic>
              </a:graphicData>
            </a:graphic>
          </wp:anchor>
        </w:drawing>
      </w:r>
      <w:r>
        <mc:AlternateContent>
          <mc:Choice Requires="wps">
            <w:drawing>
              <wp:anchor distT="130810" distB="44450" distL="0" distR="0" simplePos="0" relativeHeight="251660288" behindDoc="0" locked="0" layoutInCell="1" allowOverlap="1">
                <wp:simplePos x="0" y="0"/>
                <wp:positionH relativeFrom="page">
                  <wp:posOffset>1348740</wp:posOffset>
                </wp:positionH>
                <wp:positionV relativeFrom="paragraph">
                  <wp:posOffset>130810</wp:posOffset>
                </wp:positionV>
                <wp:extent cx="2819400" cy="233045"/>
                <wp:effectExtent l="0" t="0" r="0" b="0"/>
                <wp:wrapTopAndBottom/>
                <wp:docPr id="303" name="Shape 303"/>
                <wp:cNvGraphicFramePr/>
                <a:graphic xmlns:a="http://schemas.openxmlformats.org/drawingml/2006/main">
                  <a:graphicData uri="http://schemas.microsoft.com/office/word/2010/wordprocessingShape">
                    <wps:wsp>
                      <wps:cNvSpPr txBox="1"/>
                      <wps:spPr>
                        <a:xfrm>
                          <a:off x="0" y="0"/>
                          <a:ext cx="2819400" cy="233045"/>
                        </a:xfrm>
                        <a:prstGeom prst="rect">
                          <a:avLst/>
                        </a:prstGeom>
                        <a:noFill/>
                      </wps:spPr>
                      <wps:txbx>
                        <w:txbxContent>
                          <w:p w14:paraId="155E05AD">
                            <w:pPr>
                              <w:pStyle w:val="15"/>
                              <w:keepNext/>
                              <w:keepLines/>
                              <w:widowControl w:val="0"/>
                              <w:shd w:val="clear" w:color="auto" w:fill="auto"/>
                              <w:bidi w:val="0"/>
                              <w:spacing w:before="0" w:after="0" w:line="240" w:lineRule="auto"/>
                              <w:ind w:left="0" w:right="0" w:firstLine="0"/>
                              <w:jc w:val="left"/>
                            </w:pPr>
                            <w:bookmarkStart w:id="291" w:name="bookmark134"/>
                            <w:bookmarkStart w:id="292" w:name="bookmark133"/>
                            <w:bookmarkStart w:id="293" w:name="bookmark132"/>
                            <w:r>
                              <w:rPr>
                                <w:color w:val="000000"/>
                                <w:spacing w:val="0"/>
                                <w:w w:val="100"/>
                                <w:position w:val="0"/>
                              </w:rPr>
                              <w:t>违反强制性规范的合同效力认定</w:t>
                            </w:r>
                            <w:bookmarkEnd w:id="291"/>
                            <w:bookmarkEnd w:id="292"/>
                            <w:bookmarkEnd w:id="293"/>
                          </w:p>
                        </w:txbxContent>
                      </wps:txbx>
                      <wps:bodyPr wrap="none" lIns="0" tIns="0" rIns="0" bIns="0">
                        <a:noAutofit/>
                      </wps:bodyPr>
                    </wps:wsp>
                  </a:graphicData>
                </a:graphic>
              </wp:anchor>
            </w:drawing>
          </mc:Choice>
          <mc:Fallback>
            <w:pict>
              <v:shape id="Shape 303" o:spid="_x0000_s1026" o:spt="202" type="#_x0000_t202" style="position:absolute;left:0pt;margin-left:106.2pt;margin-top:10.3pt;height:18.35pt;width:222pt;mso-position-horizontal-relative:page;mso-wrap-distance-bottom:3.5pt;mso-wrap-distance-top:10.3pt;mso-wrap-style:none;z-index:251660288;mso-width-relative:page;mso-height-relative:page;" filled="f" stroked="f" coordsize="21600,21600" o:gfxdata="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o7Evn1gAA&#10;AAkBAAAPAAAAAAAAAAEAIAAAACIAAABkcnMvZG93bnJldi54bWxQSwECFAAUAAAACACHTuJAGsop&#10;564BAAB0AwAADgAAAAAAAAABACAAAAAlAQAAZHJzL2Uyb0RvYy54bWxQSwUGAAAAAAYABgBZAQAA&#10;RQUAAAAA&#10;">
                <v:fill on="f" focussize="0,0"/>
                <v:stroke on="f"/>
                <v:imagedata o:title=""/>
                <o:lock v:ext="edit" aspectratio="f"/>
                <v:textbox inset="0mm,0mm,0mm,0mm">
                  <w:txbxContent>
                    <w:p w14:paraId="155E05AD">
                      <w:pPr>
                        <w:pStyle w:val="15"/>
                        <w:keepNext/>
                        <w:keepLines/>
                        <w:widowControl w:val="0"/>
                        <w:shd w:val="clear" w:color="auto" w:fill="auto"/>
                        <w:bidi w:val="0"/>
                        <w:spacing w:before="0" w:after="0" w:line="240" w:lineRule="auto"/>
                        <w:ind w:left="0" w:right="0" w:firstLine="0"/>
                        <w:jc w:val="left"/>
                      </w:pPr>
                      <w:bookmarkStart w:id="291" w:name="bookmark134"/>
                      <w:bookmarkStart w:id="292" w:name="bookmark133"/>
                      <w:bookmarkStart w:id="293" w:name="bookmark132"/>
                      <w:r>
                        <w:rPr>
                          <w:color w:val="000000"/>
                          <w:spacing w:val="0"/>
                          <w:w w:val="100"/>
                          <w:position w:val="0"/>
                        </w:rPr>
                        <w:t>违反强制性规范的合同效力认定</w:t>
                      </w:r>
                      <w:bookmarkEnd w:id="291"/>
                      <w:bookmarkEnd w:id="292"/>
                      <w:bookmarkEnd w:id="293"/>
                    </w:p>
                  </w:txbxContent>
                </v:textbox>
                <w10:wrap type="topAndBottom"/>
              </v:shape>
            </w:pict>
          </mc:Fallback>
        </mc:AlternateContent>
      </w:r>
    </w:p>
    <w:p w14:paraId="4AAA5FAB">
      <w:pPr>
        <w:pStyle w:val="17"/>
        <w:keepNext w:val="0"/>
        <w:keepLines w:val="0"/>
        <w:widowControl w:val="0"/>
        <w:shd w:val="clear" w:color="auto" w:fill="auto"/>
        <w:bidi w:val="0"/>
        <w:spacing w:before="0" w:after="420" w:line="336" w:lineRule="exact"/>
        <w:ind w:left="1020" w:right="0" w:firstLine="20"/>
        <w:jc w:val="both"/>
      </w:pPr>
      <w:r>
        <w:drawing>
          <wp:anchor distT="0" distB="0" distL="114300" distR="114300" simplePos="0" relativeHeight="251660288" behindDoc="0" locked="0" layoutInCell="1" allowOverlap="1">
            <wp:simplePos x="0" y="0"/>
            <wp:positionH relativeFrom="page">
              <wp:posOffset>5180330</wp:posOffset>
            </wp:positionH>
            <wp:positionV relativeFrom="paragraph">
              <wp:posOffset>63500</wp:posOffset>
            </wp:positionV>
            <wp:extent cx="585470" cy="579120"/>
            <wp:effectExtent l="0" t="0" r="11430" b="5080"/>
            <wp:wrapSquare wrapText="left"/>
            <wp:docPr id="305" name="Shape 305"/>
            <wp:cNvGraphicFramePr/>
            <a:graphic xmlns:a="http://schemas.openxmlformats.org/drawingml/2006/main">
              <a:graphicData uri="http://schemas.openxmlformats.org/drawingml/2006/picture">
                <pic:pic xmlns:pic="http://schemas.openxmlformats.org/drawingml/2006/picture">
                  <pic:nvPicPr>
                    <pic:cNvPr id="305" name="Shape 305"/>
                    <pic:cNvPicPr/>
                  </pic:nvPicPr>
                  <pic:blipFill>
                    <a:blip r:embed="rId619"/>
                    <a:stretch>
                      <a:fillRect/>
                    </a:stretch>
                  </pic:blipFill>
                  <pic:spPr>
                    <a:xfrm>
                      <a:off x="0" y="0"/>
                      <a:ext cx="585470" cy="579120"/>
                    </a:xfrm>
                    <a:prstGeom prst="rect">
                      <a:avLst/>
                    </a:prstGeom>
                  </pic:spPr>
                </pic:pic>
              </a:graphicData>
            </a:graphic>
          </wp:anchor>
        </w:drawing>
      </w:r>
      <w:r>
        <w:rPr>
          <w:color w:val="000000"/>
          <w:spacing w:val="0"/>
          <w:w w:val="100"/>
          <w:position w:val="0"/>
        </w:rPr>
        <w:t>四川金核矿业有限公司与新疆临钢资源投资股份有限公司特殊区 域合作勘查合同纠纷案丨最高人民法院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 xml:space="preserve">167 </w:t>
      </w:r>
      <w:r>
        <w:rPr>
          <w:color w:val="000000"/>
          <w:spacing w:val="0"/>
          <w:w w:val="100"/>
          <w:position w:val="0"/>
        </w:rPr>
        <w:t>号民事判决书</w:t>
      </w:r>
    </w:p>
    <w:p w14:paraId="66D80318">
      <w:pPr>
        <w:pStyle w:val="17"/>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车中瑞栋温州大学法学院</w:t>
      </w:r>
    </w:p>
    <w:p w14:paraId="358ACDF5">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B291E7A">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日，临钢公司（甲方）与金核公司（乙方）签订《新疆塔什库尔干县乌如 克铅多金属矿普查探矿权合作勘查开发协议》（以下简称《合作勘查开发协议》），双方约定， 甲方补偿乙方</w:t>
      </w:r>
      <w:r>
        <w:rPr>
          <w:rFonts w:ascii="Times New Roman" w:hAnsi="Times New Roman" w:eastAsia="Times New Roman" w:cs="Times New Roman"/>
          <w:color w:val="000000"/>
          <w:spacing w:val="0"/>
          <w:w w:val="100"/>
          <w:position w:val="0"/>
          <w:sz w:val="19"/>
          <w:szCs w:val="19"/>
        </w:rPr>
        <w:t>3500</w:t>
      </w:r>
      <w:r>
        <w:rPr>
          <w:color w:val="000000"/>
          <w:spacing w:val="0"/>
          <w:w w:val="100"/>
          <w:position w:val="0"/>
        </w:rPr>
        <w:t>万元后，乙方愿意以本协议规定之对价及本协议所规定的其他条款和条 件将其持有的新疆塔什库尔干县乌如克铅多金属矿普查探矿权（以下简称矿权）注入甲乙 双方设立的项目公司，甲方以现金出资、乙方以持有矿权出资共同设立该项目公司,公司注 册资本暂定为</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万元，其中甲方占</w:t>
      </w:r>
      <w:r>
        <w:rPr>
          <w:rFonts w:ascii="Times New Roman" w:hAnsi="Times New Roman" w:eastAsia="Times New Roman" w:cs="Times New Roman"/>
          <w:color w:val="000000"/>
          <w:spacing w:val="0"/>
          <w:w w:val="100"/>
          <w:position w:val="0"/>
          <w:sz w:val="19"/>
          <w:szCs w:val="19"/>
        </w:rPr>
        <w:t xml:space="preserve">80% </w:t>
      </w:r>
      <w:r>
        <w:rPr>
          <w:color w:val="000000"/>
          <w:spacing w:val="0"/>
          <w:w w:val="100"/>
          <w:position w:val="0"/>
        </w:rPr>
        <w:t>,乙方占</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。相关成果及风险均由项目公司承 担。</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日，项目公司成立。</w:t>
      </w:r>
    </w:p>
    <w:p w14:paraId="0D875EBE">
      <w:pPr>
        <w:pStyle w:val="17"/>
        <w:keepNext w:val="0"/>
        <w:keepLines w:val="0"/>
        <w:widowControl w:val="0"/>
        <w:shd w:val="clear" w:color="auto" w:fill="auto"/>
        <w:bidi w:val="0"/>
        <w:spacing w:before="0" w:after="360" w:line="343" w:lineRule="exact"/>
        <w:ind w:left="0" w:right="0" w:firstLine="420"/>
        <w:jc w:val="both"/>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日，临钢公司以</w:t>
      </w:r>
      <w:r>
        <w:rPr>
          <w:color w:val="000000"/>
          <w:spacing w:val="0"/>
          <w:w w:val="100"/>
          <w:position w:val="0"/>
          <w:lang w:val="zh-CN" w:eastAsia="zh-CN" w:bidi="zh-CN"/>
        </w:rPr>
        <w:t>“案</w:t>
      </w:r>
      <w:r>
        <w:rPr>
          <w:color w:val="000000"/>
          <w:spacing w:val="0"/>
          <w:w w:val="100"/>
          <w:position w:val="0"/>
        </w:rPr>
        <w:t>涉合作开发的项目位于新疆塔什库尔干野生动物 自然保护区（以下简称保护区）中心区域，金核公司自合作至今未告知临钢公司</w:t>
      </w:r>
      <w:r>
        <w:rPr>
          <w:color w:val="000000"/>
          <w:spacing w:val="0"/>
          <w:w w:val="100"/>
          <w:position w:val="0"/>
          <w:lang w:val="zh-CN" w:eastAsia="zh-CN" w:bidi="zh-CN"/>
        </w:rPr>
        <w:t>”为由</w:t>
      </w:r>
      <w:r>
        <w:rPr>
          <w:color w:val="000000"/>
          <w:spacing w:val="0"/>
          <w:w w:val="100"/>
          <w:position w:val="0"/>
        </w:rPr>
        <w:t xml:space="preserve">，向金 核公司出具《合作勘查开发协议》解除函，决定终止合作，并由金核公司承担相应责任。 </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日，金核公司向临钢公司出具《复函》指出，现项目公司已设立，各项工作依 次展开,到目前为止未有管理部门对该项目的矿产开发明确禁止，故主张双方应继续履行 合同。金核公司向一审法院提起诉讼请求</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确认临钢公司解除《合作勘查开发协议》的 行为无效;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确认《合作勘查开发协议》有效，金核公司无需退还临钢公司已支付的矿权合 作补偿价款</w:t>
      </w:r>
      <w:r>
        <w:rPr>
          <w:rFonts w:ascii="Times New Roman" w:hAnsi="Times New Roman" w:eastAsia="Times New Roman" w:cs="Times New Roman"/>
          <w:color w:val="000000"/>
          <w:spacing w:val="0"/>
          <w:w w:val="100"/>
          <w:position w:val="0"/>
          <w:sz w:val="19"/>
          <w:szCs w:val="19"/>
        </w:rPr>
        <w:t>3500</w:t>
      </w:r>
      <w:r>
        <w:rPr>
          <w:color w:val="000000"/>
          <w:spacing w:val="0"/>
          <w:w w:val="100"/>
          <w:position w:val="0"/>
        </w:rPr>
        <w:t>万元。临钢公司向一审法院提起反诉，请求判令：（</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解除双方签订的《合 作勘查开发协议》</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金核公司向临钢公司返还矿权合作补偿价款</w:t>
      </w:r>
      <w:r>
        <w:rPr>
          <w:rFonts w:ascii="Times New Roman" w:hAnsi="Times New Roman" w:eastAsia="Times New Roman" w:cs="Times New Roman"/>
          <w:color w:val="000000"/>
          <w:spacing w:val="0"/>
          <w:w w:val="100"/>
          <w:position w:val="0"/>
          <w:sz w:val="19"/>
          <w:szCs w:val="19"/>
        </w:rPr>
        <w:t>3500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金核公 司赔偿临钢公司支出的勘查费用损失及律师费等共计</w:t>
      </w:r>
      <w:r>
        <w:rPr>
          <w:rFonts w:ascii="Times New Roman" w:hAnsi="Times New Roman" w:eastAsia="Times New Roman" w:cs="Times New Roman"/>
          <w:color w:val="000000"/>
          <w:spacing w:val="0"/>
          <w:w w:val="100"/>
          <w:position w:val="0"/>
          <w:sz w:val="19"/>
          <w:szCs w:val="19"/>
        </w:rPr>
        <w:t>5700</w:t>
      </w:r>
      <w:r>
        <w:rPr>
          <w:color w:val="000000"/>
          <w:spacing w:val="0"/>
          <w:w w:val="100"/>
          <w:position w:val="0"/>
        </w:rPr>
        <w:t>余万元。</w:t>
      </w:r>
    </w:p>
    <w:p w14:paraId="18608F81">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214DAF22">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金核公司向临钢公司返还矿权合作补偿价款</w:t>
      </w:r>
      <w:r>
        <w:rPr>
          <w:rFonts w:ascii="Times New Roman" w:hAnsi="Times New Roman" w:eastAsia="Times New Roman" w:cs="Times New Roman"/>
          <w:b/>
          <w:bCs/>
          <w:color w:val="000000"/>
          <w:spacing w:val="0"/>
          <w:w w:val="100"/>
          <w:position w:val="0"/>
          <w:sz w:val="19"/>
          <w:szCs w:val="19"/>
        </w:rPr>
        <w:t>3500</w:t>
      </w:r>
      <w:r>
        <w:rPr>
          <w:color w:val="000000"/>
          <w:spacing w:val="0"/>
          <w:w w:val="100"/>
          <w:position w:val="0"/>
        </w:rPr>
        <w:t xml:space="preserve">万元并赔偿临钢公司修路费用损失 </w:t>
      </w:r>
      <w:r>
        <w:rPr>
          <w:rFonts w:ascii="Times New Roman" w:hAnsi="Times New Roman" w:eastAsia="Times New Roman" w:cs="Times New Roman"/>
          <w:b/>
          <w:bCs/>
          <w:color w:val="000000"/>
          <w:spacing w:val="0"/>
          <w:w w:val="100"/>
          <w:position w:val="0"/>
          <w:sz w:val="19"/>
          <w:szCs w:val="19"/>
        </w:rPr>
        <w:t>250</w:t>
      </w:r>
      <w:r>
        <w:rPr>
          <w:color w:val="000000"/>
          <w:spacing w:val="0"/>
          <w:w w:val="100"/>
          <w:position w:val="0"/>
        </w:rPr>
        <w:t>万元，驳回双方的其他诉讼请求，一审、二审案件受理费由双方均摊。</w:t>
      </w:r>
    </w:p>
    <w:p w14:paraId="7B714B0D">
      <w:pPr>
        <w:pStyle w:val="17"/>
        <w:keepNext w:val="0"/>
        <w:keepLines w:val="0"/>
        <w:widowControl w:val="0"/>
        <w:shd w:val="clear" w:color="auto" w:fill="auto"/>
        <w:bidi w:val="0"/>
        <w:spacing w:before="0" w:after="360" w:line="347" w:lineRule="exact"/>
        <w:ind w:left="0" w:right="0" w:firstLine="420"/>
        <w:jc w:val="both"/>
      </w:pPr>
      <w:r>
        <w:rPr>
          <w:color w:val="000000"/>
          <w:spacing w:val="0"/>
          <w:w w:val="100"/>
          <w:position w:val="0"/>
        </w:rPr>
        <w:t>当事人关于在自然保护区、风景名胜区、重点生态功能区、生态环境敏感区和脆弱区等 区域内勘查开采矿产资源的合同约定，不得违反法律、行政法规的强制性规定或者损害环 境公共利益，否则应依法认定无效。环境资源法律法规中的禁止性规定，即便未明确指出 违反相关规定将导致合同无效，但若认定合同有效并继续履行将损害环境公共利益的，应 当认定合同无效。一审法院判决临钢公司解除《合作勘查开发协议》的行为无效，双方继续 履行《合作勘查开发协议》;驳回临钢公司的反诉请求。二审法院对一审法院查明的事实予 以确认，但认为双方签订的《合作勘探开发协议》违反了《中华人民共和国自然保护区条例》 的禁止性规定，如果认定该协议有效并继续履行，将对自然环境和生态造成严重破坏，损 害环境公共利益。根据《合同法》第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项之规定，《合作勘查开发协议》应属无 效。</w:t>
      </w:r>
    </w:p>
    <w:p w14:paraId="29A4E3C3">
      <w:pPr>
        <w:pStyle w:val="11"/>
        <w:keepNext w:val="0"/>
        <w:keepLines w:val="0"/>
        <w:widowControl w:val="0"/>
        <w:shd w:val="clear" w:color="auto" w:fill="auto"/>
        <w:bidi w:val="0"/>
        <w:spacing w:before="0" w:after="260" w:line="344" w:lineRule="exact"/>
        <w:ind w:left="0" w:right="0" w:firstLine="0"/>
        <w:jc w:val="left"/>
      </w:pPr>
      <w:r>
        <w:rPr>
          <w:color w:val="000000"/>
          <w:spacing w:val="0"/>
          <w:w w:val="100"/>
          <w:position w:val="0"/>
        </w:rPr>
        <w:t>■评析</w:t>
      </w:r>
    </w:p>
    <w:p w14:paraId="456705D3">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21FA8D1B">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本案的争议焦点虽然是临钢公司与金核公司签订的《合作勘查开发协议》应否解除，但 核心和前提问题则是该《合作勘查开发协议》是否有效。《合作勘查开发协议》项下的探矿 权位于新疆塔什库尔干野生动物自然保护区范围内，该自然保护区设立在先,金核公司的 探矿权取得在后，双方当事人均知道或者应当知道在自然保护区内不允许进行矿产资源的 勘探和开发。《自然保护区条例》第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条规定：“禁止在自然保护区内进行砍伐、放牧、狩 猎、捕捞、采药、开垦、烧荒、开矿、采石、挖沙等活动</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w:t>
      </w:r>
      <w:r>
        <w:rPr>
          <w:color w:val="000000"/>
          <w:spacing w:val="0"/>
          <w:w w:val="100"/>
          <w:position w:val="0"/>
          <w:lang w:val="zh-CN" w:eastAsia="zh-CN" w:bidi="zh-CN"/>
        </w:rPr>
        <w:t>……</w:t>
      </w:r>
      <w:r>
        <w:rPr>
          <w:color w:val="000000"/>
          <w:spacing w:val="0"/>
          <w:w w:val="100"/>
          <w:position w:val="0"/>
        </w:rPr>
        <w:t>核心 区外围可以划定一定面积的缓冲区，只准进入从事科学研究观测活动。缓冲区外围划为实 验区，可以进入从事科学试验、教学实习、参观考察、旅游以及驯化、繁殖珍稀、濒危野生动植 物等活动。</w:t>
      </w:r>
      <w:r>
        <w:rPr>
          <w:color w:val="000000"/>
          <w:spacing w:val="0"/>
          <w:w w:val="100"/>
          <w:position w:val="0"/>
          <w:lang w:val="zh-CN" w:eastAsia="zh-CN" w:bidi="zh-CN"/>
        </w:rPr>
        <w:t>”金核</w:t>
      </w:r>
      <w:r>
        <w:rPr>
          <w:color w:val="000000"/>
          <w:spacing w:val="0"/>
          <w:w w:val="100"/>
          <w:position w:val="0"/>
        </w:rPr>
        <w:t>公司主张案涉矿权虽在自然保护区范围内，但处于实验区和缓冲区，探矿 属于</w:t>
      </w:r>
      <w:r>
        <w:rPr>
          <w:color w:val="000000"/>
          <w:spacing w:val="0"/>
          <w:w w:val="100"/>
          <w:position w:val="0"/>
          <w:lang w:val="zh-CN" w:eastAsia="zh-CN" w:bidi="zh-CN"/>
        </w:rPr>
        <w:t>“等</w:t>
      </w:r>
      <w:r>
        <w:rPr>
          <w:color w:val="000000"/>
          <w:spacing w:val="0"/>
          <w:w w:val="100"/>
          <w:position w:val="0"/>
        </w:rPr>
        <w:t>活动”的范围，依法允许勘探。二审法院认为，开矿属于《自然保护区条例》第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 明令禁止的行为，显然不包含在该条例第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条所允许的活动范围内。金核公司的该项主 张,缺乏法律依据，不能成立。因此，双方签订的《合作勘探开发协议》违反了《自然保护区 条例》的禁止性规定，如果认定该协议有效并继续履行,将对自然环境和生态造成严重破 坏,损害环境公共利益。根据原《合同法》第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项之规定，《合作勘查开发协议》应 属无效。无效合同不存在解除的问题，故对金核公司要求确认临钢公司解除《合作勘查开 发协议》的行为无效的本诉请求,以及临钢公司要求判决解除《合作勘查开发协议》的反诉 请求,均不予支持。</w:t>
      </w:r>
    </w:p>
    <w:p w14:paraId="4CB5D567">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违法强制性规范合同效力认定的规范及学理</w:t>
      </w:r>
    </w:p>
    <w:p w14:paraId="6CB90C23">
      <w:pPr>
        <w:pStyle w:val="17"/>
        <w:keepNext w:val="0"/>
        <w:keepLines w:val="0"/>
        <w:widowControl w:val="0"/>
        <w:shd w:val="clear" w:color="auto" w:fill="auto"/>
        <w:bidi w:val="0"/>
        <w:spacing w:before="0" w:after="120" w:line="350" w:lineRule="exact"/>
        <w:ind w:left="0" w:right="0" w:firstLine="420"/>
        <w:jc w:val="both"/>
        <w:sectPr>
          <w:footnotePr>
            <w:numFmt w:val="chicago"/>
          </w:footnotePr>
          <w:type w:val="continuous"/>
          <w:pgSz w:w="10099" w:h="14782"/>
          <w:pgMar w:top="1197" w:right="996" w:bottom="1169" w:left="1097" w:header="0" w:footer="3" w:gutter="0"/>
          <w:cols w:space="720" w:num="1"/>
          <w:rtlGutter w:val="0"/>
          <w:docGrid w:linePitch="360" w:charSpace="0"/>
        </w:sectPr>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项分别规定了</w:t>
      </w:r>
      <w:r>
        <w:rPr>
          <w:color w:val="000000"/>
          <w:spacing w:val="0"/>
          <w:w w:val="100"/>
          <w:position w:val="0"/>
          <w:lang w:val="zh-CN" w:eastAsia="zh-CN" w:bidi="zh-CN"/>
        </w:rPr>
        <w:t>“损害</w:t>
      </w:r>
      <w:r>
        <w:rPr>
          <w:color w:val="000000"/>
          <w:spacing w:val="0"/>
          <w:w w:val="100"/>
          <w:position w:val="0"/>
        </w:rPr>
        <w:t>社会公共利益</w:t>
      </w:r>
      <w:r>
        <w:rPr>
          <w:color w:val="000000"/>
          <w:spacing w:val="0"/>
          <w:w w:val="100"/>
          <w:position w:val="0"/>
          <w:lang w:val="zh-CN" w:eastAsia="zh-CN" w:bidi="zh-CN"/>
        </w:rPr>
        <w:t>”及“违</w:t>
      </w:r>
      <w:r>
        <w:rPr>
          <w:color w:val="000000"/>
          <w:spacing w:val="0"/>
          <w:w w:val="100"/>
          <w:position w:val="0"/>
        </w:rPr>
        <w:t>反法律、行 政法规的强制性规定</w:t>
      </w:r>
      <w:r>
        <w:rPr>
          <w:color w:val="000000"/>
          <w:spacing w:val="0"/>
          <w:w w:val="100"/>
          <w:position w:val="0"/>
          <w:lang w:val="zh-CN" w:eastAsia="zh-CN" w:bidi="zh-CN"/>
        </w:rPr>
        <w:t>”的合</w:t>
      </w:r>
      <w:r>
        <w:rPr>
          <w:color w:val="000000"/>
          <w:spacing w:val="0"/>
          <w:w w:val="100"/>
          <w:position w:val="0"/>
        </w:rPr>
        <w:t>同无效（《民法典》第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w:t>
      </w:r>
      <w:r>
        <w:rPr>
          <w:color w:val="000000"/>
          <w:spacing w:val="0"/>
          <w:w w:val="100"/>
          <w:position w:val="0"/>
          <w:lang w:val="zh-CN" w:eastAsia="zh-CN" w:bidi="zh-CN"/>
        </w:rPr>
        <w:t>“违背</w:t>
      </w:r>
      <w:r>
        <w:rPr>
          <w:color w:val="000000"/>
          <w:spacing w:val="0"/>
          <w:w w:val="100"/>
          <w:position w:val="0"/>
        </w:rPr>
        <w:t>公序良俗的民事法律 行为无效。”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由于强制性规定的概念过于宽泛,最高人民法院《关于适用〈中华人民共和 国合同法〉若干问题的解释（一）》</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9"/>
          <w:szCs w:val="19"/>
        </w:rPr>
        <w:t>（1999）19</w:t>
      </w:r>
      <w:r>
        <w:rPr>
          <w:color w:val="000000"/>
          <w:spacing w:val="0"/>
          <w:w w:val="100"/>
          <w:position w:val="0"/>
        </w:rPr>
        <w:t>号］（以下简称《合同法司法解释一》）第</w:t>
      </w:r>
      <w:r>
        <w:rPr>
          <w:rFonts w:ascii="Times New Roman" w:hAnsi="Times New Roman" w:eastAsia="Times New Roman" w:cs="Times New Roman"/>
          <w:color w:val="000000"/>
          <w:spacing w:val="0"/>
          <w:w w:val="100"/>
          <w:position w:val="0"/>
          <w:sz w:val="19"/>
          <w:szCs w:val="19"/>
        </w:rPr>
        <w:t xml:space="preserve">4 </w:t>
      </w:r>
      <w:r>
        <w:rPr>
          <w:color w:val="000000"/>
          <w:spacing w:val="0"/>
          <w:w w:val="100"/>
          <w:position w:val="0"/>
        </w:rPr>
        <w:t xml:space="preserve">条明确将无效依据限定于全国人大及其常委会制定的法律与国务院制定的行政法规，排除 </w:t>
      </w:r>
    </w:p>
    <w:p w14:paraId="355C0F0C">
      <w:pPr>
        <w:pStyle w:val="17"/>
        <w:keepNext w:val="0"/>
        <w:keepLines w:val="0"/>
        <w:widowControl w:val="0"/>
        <w:shd w:val="clear" w:color="auto" w:fill="auto"/>
        <w:bidi w:val="0"/>
        <w:spacing w:before="0" w:after="120" w:line="350" w:lineRule="exact"/>
        <w:ind w:left="0" w:right="0" w:firstLine="0"/>
        <w:jc w:val="both"/>
      </w:pPr>
      <w:r>
        <w:rPr>
          <w:color w:val="000000"/>
          <w:spacing w:val="0"/>
          <w:w w:val="100"/>
          <w:position w:val="0"/>
        </w:rPr>
        <w:t>地方性法规与行政规章;最高人民法院《关于适用〈中华人民共和国合同法〉若干问题的解 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号］（以下简称《合同法司法解释二》）第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条将</w:t>
      </w:r>
      <w:r>
        <w:rPr>
          <w:color w:val="000000"/>
          <w:spacing w:val="0"/>
          <w:w w:val="100"/>
          <w:position w:val="0"/>
          <w:lang w:val="zh-CN" w:eastAsia="zh-CN" w:bidi="zh-CN"/>
        </w:rPr>
        <w:t>“强制</w:t>
      </w:r>
      <w:r>
        <w:rPr>
          <w:color w:val="000000"/>
          <w:spacing w:val="0"/>
          <w:w w:val="100"/>
          <w:position w:val="0"/>
        </w:rPr>
        <w:t>性规定</w:t>
      </w:r>
      <w:r>
        <w:rPr>
          <w:color w:val="000000"/>
          <w:spacing w:val="0"/>
          <w:w w:val="100"/>
          <w:position w:val="0"/>
          <w:lang w:val="zh-CN" w:eastAsia="zh-CN" w:bidi="zh-CN"/>
        </w:rPr>
        <w:t xml:space="preserve">”限缩 </w:t>
      </w:r>
      <w:r>
        <w:rPr>
          <w:color w:val="000000"/>
          <w:spacing w:val="0"/>
          <w:w w:val="100"/>
          <w:position w:val="0"/>
        </w:rPr>
        <w:t>为“效力性强制性规定”；最高人民法院《关于当前形势下审理民商事合同纠纷案件若干问 题的指导意见》［法发</w:t>
      </w:r>
      <w:r>
        <w:rPr>
          <w:rFonts w:ascii="Times New Roman" w:hAnsi="Times New Roman" w:eastAsia="Times New Roman" w:cs="Times New Roman"/>
          <w:color w:val="000000"/>
          <w:spacing w:val="0"/>
          <w:w w:val="100"/>
          <w:position w:val="0"/>
          <w:sz w:val="19"/>
          <w:szCs w:val="19"/>
        </w:rPr>
        <w:t>（2009）40</w:t>
      </w:r>
      <w:r>
        <w:rPr>
          <w:color w:val="000000"/>
          <w:spacing w:val="0"/>
          <w:w w:val="100"/>
          <w:position w:val="0"/>
        </w:rPr>
        <w:t>号］（以下简称《民商事合同案件指导意见》）第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条进一步 将强制性规定区分为</w:t>
      </w:r>
      <w:r>
        <w:rPr>
          <w:color w:val="000000"/>
          <w:spacing w:val="0"/>
          <w:w w:val="100"/>
          <w:position w:val="0"/>
          <w:lang w:val="zh-CN" w:eastAsia="zh-CN" w:bidi="zh-CN"/>
        </w:rPr>
        <w:t>“效</w:t>
      </w:r>
      <w:r>
        <w:rPr>
          <w:color w:val="000000"/>
          <w:spacing w:val="0"/>
          <w:w w:val="100"/>
          <w:position w:val="0"/>
        </w:rPr>
        <w:t>力性强制规定</w:t>
      </w:r>
      <w:r>
        <w:rPr>
          <w:color w:val="000000"/>
          <w:spacing w:val="0"/>
          <w:w w:val="100"/>
          <w:position w:val="0"/>
          <w:lang w:val="zh-CN" w:eastAsia="zh-CN" w:bidi="zh-CN"/>
        </w:rPr>
        <w:t>”和“管</w:t>
      </w:r>
      <w:r>
        <w:rPr>
          <w:color w:val="000000"/>
          <w:spacing w:val="0"/>
          <w:w w:val="100"/>
          <w:position w:val="0"/>
        </w:rPr>
        <w:t>理性强制规定</w:t>
      </w:r>
      <w:r>
        <w:rPr>
          <w:color w:val="000000"/>
          <w:spacing w:val="0"/>
          <w:w w:val="100"/>
          <w:position w:val="0"/>
          <w:lang w:val="zh-CN" w:eastAsia="zh-CN" w:bidi="zh-CN"/>
        </w:rPr>
        <w:t>”，并</w:t>
      </w:r>
      <w:r>
        <w:rPr>
          <w:color w:val="000000"/>
          <w:spacing w:val="0"/>
          <w:w w:val="100"/>
          <w:position w:val="0"/>
        </w:rPr>
        <w:t>明确:</w:t>
      </w:r>
      <w:r>
        <w:rPr>
          <w:color w:val="000000"/>
          <w:spacing w:val="0"/>
          <w:w w:val="100"/>
          <w:position w:val="0"/>
          <w:lang w:val="zh-CN" w:eastAsia="zh-CN" w:bidi="zh-CN"/>
        </w:rPr>
        <w:t>“违反</w:t>
      </w:r>
      <w:r>
        <w:rPr>
          <w:color w:val="000000"/>
          <w:spacing w:val="0"/>
          <w:w w:val="100"/>
          <w:position w:val="0"/>
        </w:rPr>
        <w:t>效力性强制规 定的，人民法院应当认定合同无效;违反管理性强制规定的，人民法院应当根据具体情形认 定其效力</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条规定:“人民法院应当综合法律法规的意旨,权衡相互冲突的权益，诸如 权益的种类、交易安全以及其所规制的对象等，综合认定强制性规定的类型。如果强制性 规范规制的是合同行为本身即只要该合同行为发生即绝对地损害国家利益或者社会公共 利益的，人民法院应当认定合同无效……</w:t>
      </w:r>
      <w:r>
        <w:rPr>
          <w:color w:val="000000"/>
          <w:spacing w:val="0"/>
          <w:w w:val="100"/>
          <w:position w:val="0"/>
          <w:lang w:val="zh-CN" w:eastAsia="zh-CN" w:bidi="zh-CN"/>
        </w:rPr>
        <w:t>”为区</w:t>
      </w:r>
      <w:r>
        <w:rPr>
          <w:color w:val="000000"/>
          <w:spacing w:val="0"/>
          <w:w w:val="100"/>
          <w:position w:val="0"/>
        </w:rPr>
        <w:t>分效力性与管理性强制规定提供了基本判 准。</w:t>
      </w:r>
    </w:p>
    <w:p w14:paraId="0961470B">
      <w:pPr>
        <w:pStyle w:val="17"/>
        <w:keepNext w:val="0"/>
        <w:keepLines w:val="0"/>
        <w:widowControl w:val="0"/>
        <w:numPr>
          <w:ilvl w:val="0"/>
          <w:numId w:val="10"/>
        </w:numPr>
        <w:shd w:val="clear" w:color="auto" w:fill="auto"/>
        <w:tabs>
          <w:tab w:val="left" w:pos="667"/>
        </w:tabs>
        <w:bidi w:val="0"/>
        <w:spacing w:before="0" w:after="0" w:line="377" w:lineRule="auto"/>
        <w:ind w:left="0" w:right="0"/>
        <w:jc w:val="both"/>
      </w:pPr>
      <w:bookmarkStart w:id="48" w:name="bookmark135"/>
      <w:bookmarkEnd w:id="48"/>
      <w:r>
        <w:rPr>
          <w:color w:val="000000"/>
          <w:spacing w:val="0"/>
          <w:w w:val="100"/>
          <w:position w:val="0"/>
        </w:rPr>
        <w:t>强行性规范还是强制性规范？</w:t>
      </w:r>
    </w:p>
    <w:p w14:paraId="6A6D7C25">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以史尚宽先生为代表的民法学者，对强制性规范的分类问题作了系统的研究。在名称 上，一般把强行性规范作为上位概念,涵摄强制性规范和禁止性规范,禁止性规范又包括效 力规范和取缔规范。在划分方法上，采用的是民法规范</w:t>
      </w:r>
      <w:r>
        <w:rPr>
          <w:color w:val="000000"/>
          <w:spacing w:val="0"/>
          <w:w w:val="100"/>
          <w:position w:val="0"/>
          <w:lang w:val="zh-CN" w:eastAsia="zh-CN" w:bidi="zh-CN"/>
        </w:rPr>
        <w:t>“二元</w:t>
      </w:r>
      <w:r>
        <w:rPr>
          <w:color w:val="000000"/>
          <w:spacing w:val="0"/>
          <w:w w:val="100"/>
          <w:position w:val="0"/>
        </w:rPr>
        <w:t>化”思想下的</w:t>
      </w:r>
      <w:r>
        <w:rPr>
          <w:color w:val="000000"/>
          <w:spacing w:val="0"/>
          <w:w w:val="100"/>
          <w:position w:val="0"/>
          <w:lang w:val="zh-CN" w:eastAsia="zh-CN" w:bidi="zh-CN"/>
        </w:rPr>
        <w:t>“二</w:t>
      </w:r>
      <w:r>
        <w:rPr>
          <w:color w:val="000000"/>
          <w:spacing w:val="0"/>
          <w:w w:val="100"/>
          <w:position w:val="0"/>
        </w:rPr>
        <w:t>分法”（史尚 宽:《民法总论》，中国政法大学出版社</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329</w:t>
      </w:r>
      <w:r>
        <w:rPr>
          <w:color w:val="000000"/>
          <w:spacing w:val="0"/>
          <w:w w:val="100"/>
          <w:position w:val="0"/>
        </w:rPr>
        <w:t>页）。史尚宽上述理论的优越之处不仅在 于</w:t>
      </w:r>
      <w:r>
        <w:rPr>
          <w:color w:val="000000"/>
          <w:spacing w:val="0"/>
          <w:w w:val="100"/>
          <w:position w:val="0"/>
          <w:lang w:val="zh-CN" w:eastAsia="zh-CN" w:bidi="zh-CN"/>
        </w:rPr>
        <w:t>“简单</w:t>
      </w:r>
      <w:r>
        <w:rPr>
          <w:color w:val="000000"/>
          <w:spacing w:val="0"/>
          <w:w w:val="100"/>
          <w:position w:val="0"/>
        </w:rPr>
        <w:t>清晰,一目了然”</w:t>
      </w:r>
      <w:r>
        <w:rPr>
          <w:color w:val="000000"/>
          <w:spacing w:val="0"/>
          <w:w w:val="100"/>
          <w:position w:val="0"/>
          <w:lang w:val="zh-CN" w:eastAsia="zh-CN" w:bidi="zh-CN"/>
        </w:rPr>
        <w:t>，“二</w:t>
      </w:r>
      <w:r>
        <w:rPr>
          <w:color w:val="000000"/>
          <w:spacing w:val="0"/>
          <w:w w:val="100"/>
          <w:position w:val="0"/>
        </w:rPr>
        <w:t>元化</w:t>
      </w:r>
      <w:r>
        <w:rPr>
          <w:color w:val="000000"/>
          <w:spacing w:val="0"/>
          <w:w w:val="100"/>
          <w:position w:val="0"/>
          <w:lang w:val="zh-CN" w:eastAsia="zh-CN" w:bidi="zh-CN"/>
        </w:rPr>
        <w:t>”的</w:t>
      </w:r>
      <w:r>
        <w:rPr>
          <w:color w:val="000000"/>
          <w:spacing w:val="0"/>
          <w:w w:val="100"/>
          <w:position w:val="0"/>
        </w:rPr>
        <w:t>思想和</w:t>
      </w:r>
      <w:r>
        <w:rPr>
          <w:color w:val="000000"/>
          <w:spacing w:val="0"/>
          <w:w w:val="100"/>
          <w:position w:val="0"/>
          <w:lang w:val="zh-CN" w:eastAsia="zh-CN" w:bidi="zh-CN"/>
        </w:rPr>
        <w:t>“二</w:t>
      </w:r>
      <w:r>
        <w:rPr>
          <w:color w:val="000000"/>
          <w:spacing w:val="0"/>
          <w:w w:val="100"/>
          <w:position w:val="0"/>
        </w:rPr>
        <w:t>进制”的方法也特别符合普通人的认知规 律和思维习惯，更为重要的是，上述理论与我国台湾地区</w:t>
      </w:r>
      <w:r>
        <w:rPr>
          <w:color w:val="000000"/>
          <w:spacing w:val="0"/>
          <w:w w:val="100"/>
          <w:position w:val="0"/>
          <w:lang w:val="zh-CN" w:eastAsia="zh-CN" w:bidi="zh-CN"/>
        </w:rPr>
        <w:t>“民法”的规</w:t>
      </w:r>
      <w:r>
        <w:rPr>
          <w:color w:val="000000"/>
          <w:spacing w:val="0"/>
          <w:w w:val="100"/>
          <w:position w:val="0"/>
        </w:rPr>
        <w:t>定在称谓和实质含义 上都是一致的。该“法</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71</w:t>
      </w:r>
      <w:r>
        <w:rPr>
          <w:color w:val="000000"/>
          <w:spacing w:val="0"/>
          <w:w w:val="100"/>
          <w:position w:val="0"/>
        </w:rPr>
        <w:t>条规定:“法律行为，违反强制或禁止之规定者，无效。但其规 定并不以之为无效者，不在此限</w:t>
      </w:r>
      <w:r>
        <w:rPr>
          <w:color w:val="000000"/>
          <w:spacing w:val="0"/>
          <w:w w:val="100"/>
          <w:position w:val="0"/>
          <w:lang w:val="zh-CN" w:eastAsia="zh-CN" w:bidi="zh-CN"/>
        </w:rPr>
        <w:t>。”在</w:t>
      </w:r>
      <w:r>
        <w:rPr>
          <w:color w:val="000000"/>
          <w:spacing w:val="0"/>
          <w:w w:val="100"/>
          <w:position w:val="0"/>
        </w:rPr>
        <w:t>这条规定中</w:t>
      </w:r>
      <w:r>
        <w:rPr>
          <w:color w:val="000000"/>
          <w:spacing w:val="0"/>
          <w:w w:val="100"/>
          <w:position w:val="0"/>
          <w:lang w:val="zh-CN" w:eastAsia="zh-CN" w:bidi="zh-CN"/>
        </w:rPr>
        <w:t>，“强</w:t>
      </w:r>
      <w:r>
        <w:rPr>
          <w:color w:val="000000"/>
          <w:spacing w:val="0"/>
          <w:w w:val="100"/>
          <w:position w:val="0"/>
        </w:rPr>
        <w:t>制”与</w:t>
      </w:r>
      <w:r>
        <w:rPr>
          <w:color w:val="000000"/>
          <w:spacing w:val="0"/>
          <w:w w:val="100"/>
          <w:position w:val="0"/>
          <w:lang w:val="zh-CN" w:eastAsia="zh-CN" w:bidi="zh-CN"/>
        </w:rPr>
        <w:t>“禁止”并行</w:t>
      </w:r>
      <w:r>
        <w:rPr>
          <w:color w:val="000000"/>
          <w:spacing w:val="0"/>
          <w:w w:val="100"/>
          <w:position w:val="0"/>
        </w:rPr>
        <w:t>使用,若要在理论上 概括二者，只能采用</w:t>
      </w:r>
      <w:r>
        <w:rPr>
          <w:color w:val="000000"/>
          <w:spacing w:val="0"/>
          <w:w w:val="100"/>
          <w:position w:val="0"/>
          <w:lang w:val="zh-CN" w:eastAsia="zh-CN" w:bidi="zh-CN"/>
        </w:rPr>
        <w:t>“强行”一</w:t>
      </w:r>
      <w:r>
        <w:rPr>
          <w:color w:val="000000"/>
          <w:spacing w:val="0"/>
          <w:w w:val="100"/>
          <w:position w:val="0"/>
        </w:rPr>
        <w:t>词。其思维逻辑是，先有</w:t>
      </w:r>
      <w:r>
        <w:rPr>
          <w:color w:val="000000"/>
          <w:spacing w:val="0"/>
          <w:w w:val="100"/>
          <w:position w:val="0"/>
          <w:lang w:val="zh-CN" w:eastAsia="zh-CN" w:bidi="zh-CN"/>
        </w:rPr>
        <w:t>“强制”与“禁止”这两</w:t>
      </w:r>
      <w:r>
        <w:rPr>
          <w:color w:val="000000"/>
          <w:spacing w:val="0"/>
          <w:w w:val="100"/>
          <w:position w:val="0"/>
        </w:rPr>
        <w:t>个下位概念, 再（在理论上）寻找一个上位概念。而我国的原《合同法》第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条只规定了“强制性规范”， 其思维逻辑理应是,根据这个上位概念，再（在理论上）推演出其应有的下位概念。这样，以 强制性规范作为上位概念，涵摄</w:t>
      </w:r>
      <w:r>
        <w:rPr>
          <w:color w:val="000000"/>
          <w:spacing w:val="0"/>
          <w:w w:val="100"/>
          <w:position w:val="0"/>
          <w:lang w:val="zh-CN" w:eastAsia="zh-CN" w:bidi="zh-CN"/>
        </w:rPr>
        <w:t>“强行</w:t>
      </w:r>
      <w:r>
        <w:rPr>
          <w:color w:val="000000"/>
          <w:spacing w:val="0"/>
          <w:w w:val="100"/>
          <w:position w:val="0"/>
        </w:rPr>
        <w:t>性规范”和</w:t>
      </w:r>
      <w:r>
        <w:rPr>
          <w:color w:val="000000"/>
          <w:spacing w:val="0"/>
          <w:w w:val="100"/>
          <w:position w:val="0"/>
          <w:lang w:val="zh-CN" w:eastAsia="zh-CN" w:bidi="zh-CN"/>
        </w:rPr>
        <w:t>“禁止</w:t>
      </w:r>
      <w:r>
        <w:rPr>
          <w:color w:val="000000"/>
          <w:spacing w:val="0"/>
          <w:w w:val="100"/>
          <w:position w:val="0"/>
        </w:rPr>
        <w:t>性规范”这两个下位概念,似乎是顺 理成章的（钟瑞栋:《〈合同法〉第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项的三个争议问题》，载《私法研究》</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w:t>
      </w:r>
    </w:p>
    <w:p w14:paraId="00318C04">
      <w:pPr>
        <w:pStyle w:val="17"/>
        <w:keepNext w:val="0"/>
        <w:keepLines w:val="0"/>
        <w:widowControl w:val="0"/>
        <w:numPr>
          <w:ilvl w:val="0"/>
          <w:numId w:val="10"/>
        </w:numPr>
        <w:shd w:val="clear" w:color="auto" w:fill="auto"/>
        <w:tabs>
          <w:tab w:val="left" w:pos="702"/>
        </w:tabs>
        <w:bidi w:val="0"/>
        <w:spacing w:before="0" w:after="0" w:line="377" w:lineRule="auto"/>
        <w:ind w:left="0" w:right="0" w:firstLine="420"/>
        <w:jc w:val="both"/>
      </w:pPr>
      <w:bookmarkStart w:id="49" w:name="bookmark136"/>
      <w:bookmarkEnd w:id="49"/>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项可否同时适用？</w:t>
      </w:r>
    </w:p>
    <w:p w14:paraId="72C8990E">
      <w:pPr>
        <w:pStyle w:val="17"/>
        <w:keepNext w:val="0"/>
        <w:keepLines w:val="0"/>
        <w:widowControl w:val="0"/>
        <w:shd w:val="clear" w:color="auto" w:fill="auto"/>
        <w:bidi w:val="0"/>
        <w:spacing w:before="0" w:after="280" w:line="342" w:lineRule="exact"/>
        <w:ind w:left="0" w:right="0" w:firstLine="420"/>
        <w:jc w:val="both"/>
        <w:sectPr>
          <w:headerReference r:id="rId139" w:type="default"/>
          <w:headerReference r:id="rId140" w:type="even"/>
          <w:footnotePr>
            <w:numFmt w:val="chicago"/>
          </w:footnotePr>
          <w:pgSz w:w="10099" w:h="14782"/>
          <w:pgMar w:top="1197" w:right="996" w:bottom="1169" w:left="1097" w:header="0" w:footer="741" w:gutter="0"/>
          <w:pgNumType w:start="98"/>
          <w:cols w:space="720" w:num="1"/>
          <w:rtlGutter w:val="0"/>
          <w:docGrid w:linePitch="360" w:charSpace="0"/>
        </w:sectPr>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项规定的合同无效事由是</w:t>
      </w:r>
      <w:r>
        <w:rPr>
          <w:color w:val="000000"/>
          <w:spacing w:val="0"/>
          <w:w w:val="100"/>
          <w:position w:val="0"/>
          <w:lang w:val="zh-CN" w:eastAsia="zh-CN" w:bidi="zh-CN"/>
        </w:rPr>
        <w:t>“损害</w:t>
      </w:r>
      <w:r>
        <w:rPr>
          <w:color w:val="000000"/>
          <w:spacing w:val="0"/>
          <w:w w:val="100"/>
          <w:position w:val="0"/>
        </w:rPr>
        <w:t>社会公共利益</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项规定 的是</w:t>
      </w:r>
      <w:r>
        <w:rPr>
          <w:color w:val="000000"/>
          <w:spacing w:val="0"/>
          <w:w w:val="100"/>
          <w:position w:val="0"/>
          <w:lang w:val="zh-CN" w:eastAsia="zh-CN" w:bidi="zh-CN"/>
        </w:rPr>
        <w:t>“违反</w:t>
      </w:r>
      <w:r>
        <w:rPr>
          <w:color w:val="000000"/>
          <w:spacing w:val="0"/>
          <w:w w:val="100"/>
          <w:position w:val="0"/>
        </w:rPr>
        <w:t>法律、行政法规的强制性规定”。本案中，作为二审法院的最高人民法院将二者 均作为判定《合作勘探开发协议》无效的事由，在法理上值得商榷。有学者指出，该条所列</w:t>
      </w: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rPr>
        <w:t>项无效事由，在适用时应呈并列故而相互排斥的关系。第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项与第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项均明确与 </w:t>
      </w:r>
      <w:r>
        <w:rPr>
          <w:color w:val="000000"/>
          <w:spacing w:val="0"/>
          <w:w w:val="100"/>
          <w:position w:val="0"/>
          <w:lang w:val="zh-CN" w:eastAsia="zh-CN" w:bidi="zh-CN"/>
        </w:rPr>
        <w:t>“国</w:t>
      </w:r>
      <w:r>
        <w:rPr>
          <w:color w:val="000000"/>
          <w:spacing w:val="0"/>
          <w:w w:val="100"/>
          <w:position w:val="0"/>
        </w:rPr>
        <w:t>家利益</w:t>
      </w:r>
      <w:r>
        <w:rPr>
          <w:color w:val="000000"/>
          <w:spacing w:val="0"/>
          <w:w w:val="100"/>
          <w:position w:val="0"/>
          <w:lang w:val="zh-CN" w:eastAsia="zh-CN" w:bidi="zh-CN"/>
        </w:rPr>
        <w:t>”或“</w:t>
      </w:r>
      <w:r>
        <w:rPr>
          <w:color w:val="000000"/>
          <w:spacing w:val="0"/>
          <w:w w:val="100"/>
          <w:position w:val="0"/>
        </w:rPr>
        <w:t>社会公共利益</w:t>
      </w:r>
      <w:r>
        <w:rPr>
          <w:color w:val="000000"/>
          <w:spacing w:val="0"/>
          <w:w w:val="100"/>
          <w:position w:val="0"/>
          <w:lang w:val="zh-CN" w:eastAsia="zh-CN" w:bidi="zh-CN"/>
        </w:rPr>
        <w:t>”相关</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项之</w:t>
      </w:r>
      <w:r>
        <w:rPr>
          <w:color w:val="000000"/>
          <w:spacing w:val="0"/>
          <w:w w:val="100"/>
          <w:position w:val="0"/>
          <w:lang w:val="zh-CN" w:eastAsia="zh-CN" w:bidi="zh-CN"/>
        </w:rPr>
        <w:t>“目的”既称“非</w:t>
      </w:r>
      <w:r>
        <w:rPr>
          <w:color w:val="000000"/>
          <w:spacing w:val="0"/>
          <w:w w:val="100"/>
          <w:position w:val="0"/>
        </w:rPr>
        <w:t>法”，自然有违</w:t>
      </w:r>
      <w:r>
        <w:rPr>
          <w:color w:val="000000"/>
          <w:spacing w:val="0"/>
          <w:w w:val="100"/>
          <w:position w:val="0"/>
          <w:lang w:val="zh-CN" w:eastAsia="zh-CN" w:bidi="zh-CN"/>
        </w:rPr>
        <w:t>“国家</w:t>
      </w:r>
      <w:r>
        <w:rPr>
          <w:color w:val="000000"/>
          <w:spacing w:val="0"/>
          <w:w w:val="100"/>
          <w:position w:val="0"/>
        </w:rPr>
        <w:t>利益或 者社会公共利益”。若违反强制性规定的合同被认定损害“国家利益或者社会公共利益”， 视其满足的构成要件之情形，分别适用第</w:t>
      </w:r>
      <w:r>
        <w:rPr>
          <w:rFonts w:ascii="Times New Roman" w:hAnsi="Times New Roman" w:eastAsia="Times New Roman" w:cs="Times New Roman"/>
          <w:color w:val="000000"/>
          <w:spacing w:val="0"/>
          <w:w w:val="100"/>
          <w:position w:val="0"/>
          <w:sz w:val="19"/>
          <w:szCs w:val="19"/>
        </w:rPr>
        <w:t>1 ~4</w:t>
      </w:r>
      <w:r>
        <w:rPr>
          <w:color w:val="000000"/>
          <w:spacing w:val="0"/>
          <w:w w:val="100"/>
          <w:position w:val="0"/>
        </w:rPr>
        <w:t>项即为已足，何须假借第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项转介参引？（朱 庆育:《〈合同法〉第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项评注》，载《法学家》</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期）此夕卜，在原《民法总贝</w:t>
      </w:r>
      <w:r>
        <w:rPr>
          <w:rFonts w:ascii="Times New Roman" w:hAnsi="Times New Roman" w:eastAsia="Times New Roman" w:cs="Times New Roman"/>
          <w:color w:val="000000"/>
          <w:spacing w:val="0"/>
          <w:w w:val="100"/>
          <w:position w:val="0"/>
          <w:sz w:val="19"/>
          <w:szCs w:val="19"/>
        </w:rPr>
        <w:t>0</w:t>
      </w:r>
      <w:r>
        <w:rPr>
          <w:color w:val="000000"/>
          <w:spacing w:val="0"/>
          <w:w w:val="100"/>
          <w:position w:val="0"/>
        </w:rPr>
        <w:t>》颁布之 前,我国原《合同法》所规定的“社会公共利益</w:t>
      </w:r>
      <w:r>
        <w:rPr>
          <w:color w:val="000000"/>
          <w:spacing w:val="0"/>
          <w:w w:val="100"/>
          <w:position w:val="0"/>
          <w:lang w:val="zh-CN" w:eastAsia="zh-CN" w:bidi="zh-CN"/>
        </w:rPr>
        <w:t>”相</w:t>
      </w:r>
      <w:r>
        <w:rPr>
          <w:color w:val="000000"/>
          <w:spacing w:val="0"/>
          <w:w w:val="100"/>
          <w:position w:val="0"/>
        </w:rPr>
        <w:t xml:space="preserve">当于原《民法总贝!）》所规定的“公序良俗”， 而强制性规范是公序良俗原则的具体体现。换言之，公序良俗原则包含两层含义:一是已 </w:t>
      </w:r>
    </w:p>
    <w:p w14:paraId="13EF35A0">
      <w:pPr>
        <w:pStyle w:val="17"/>
        <w:keepNext w:val="0"/>
        <w:keepLines w:val="0"/>
        <w:widowControl w:val="0"/>
        <w:shd w:val="clear" w:color="auto" w:fill="auto"/>
        <w:bidi w:val="0"/>
        <w:spacing w:before="0" w:after="280" w:line="342" w:lineRule="exact"/>
        <w:ind w:left="0" w:right="0" w:firstLine="0"/>
        <w:jc w:val="both"/>
      </w:pPr>
      <w:r>
        <w:rPr>
          <w:color w:val="000000"/>
          <w:spacing w:val="0"/>
          <w:w w:val="100"/>
          <w:position w:val="0"/>
        </w:rPr>
        <w:t>经具体化为民法规范的强制性规范，二是对强制性规范进行漏洞补充的民法基本原则。因 此，从法理逻辑上看</w:t>
      </w:r>
      <w:r>
        <w:rPr>
          <w:color w:val="000000"/>
          <w:spacing w:val="0"/>
          <w:w w:val="100"/>
          <w:position w:val="0"/>
          <w:lang w:val="zh-CN" w:eastAsia="zh-CN" w:bidi="zh-CN"/>
        </w:rPr>
        <w:t>，“社</w:t>
      </w:r>
      <w:r>
        <w:rPr>
          <w:color w:val="000000"/>
          <w:spacing w:val="0"/>
          <w:w w:val="100"/>
          <w:position w:val="0"/>
        </w:rPr>
        <w:t>会公共利益</w:t>
      </w:r>
      <w:r>
        <w:rPr>
          <w:color w:val="000000"/>
          <w:spacing w:val="0"/>
          <w:w w:val="100"/>
          <w:position w:val="0"/>
          <w:lang w:val="zh-CN" w:eastAsia="zh-CN" w:bidi="zh-CN"/>
        </w:rPr>
        <w:t>”实际</w:t>
      </w:r>
      <w:r>
        <w:rPr>
          <w:color w:val="000000"/>
          <w:spacing w:val="0"/>
          <w:w w:val="100"/>
          <w:position w:val="0"/>
        </w:rPr>
        <w:t>是强制性规范的一般条款。本案二审判决将原 《合同法》第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项同时作为判决《合作勘探开发协议》无效的事由，虽回避 了效力性强制性规定与管理性强制性规定之争，却有</w:t>
      </w:r>
      <w:r>
        <w:rPr>
          <w:color w:val="000000"/>
          <w:spacing w:val="0"/>
          <w:w w:val="100"/>
          <w:position w:val="0"/>
          <w:lang w:val="zh-CN" w:eastAsia="zh-CN" w:bidi="zh-CN"/>
        </w:rPr>
        <w:t>“向一</w:t>
      </w:r>
      <w:r>
        <w:rPr>
          <w:color w:val="000000"/>
          <w:spacing w:val="0"/>
          <w:w w:val="100"/>
          <w:position w:val="0"/>
        </w:rPr>
        <w:t>般条款逃逸”之嫌。</w:t>
      </w:r>
    </w:p>
    <w:p w14:paraId="13F84334">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267A3BE4">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《最高人民法院公报》在</w:t>
      </w:r>
      <w:r>
        <w:rPr>
          <w:color w:val="000000"/>
          <w:spacing w:val="0"/>
          <w:w w:val="100"/>
          <w:position w:val="0"/>
          <w:lang w:val="zh-CN" w:eastAsia="zh-CN" w:bidi="zh-CN"/>
        </w:rPr>
        <w:t>“梅州</w:t>
      </w:r>
      <w:r>
        <w:rPr>
          <w:color w:val="000000"/>
          <w:spacing w:val="0"/>
          <w:w w:val="100"/>
          <w:position w:val="0"/>
        </w:rPr>
        <w:t>市梅江区农村信用合作联社江南信用社诉罗苑玲储蓄合 同纠纷案”（《最高人民法院公报》</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期）的内容提要中指出：</w:t>
      </w:r>
      <w:r>
        <w:rPr>
          <w:color w:val="000000"/>
          <w:spacing w:val="0"/>
          <w:w w:val="100"/>
          <w:position w:val="0"/>
          <w:lang w:val="zh-CN" w:eastAsia="zh-CN" w:bidi="zh-CN"/>
        </w:rPr>
        <w:t>“仅</w:t>
      </w:r>
      <w:r>
        <w:rPr>
          <w:color w:val="000000"/>
          <w:spacing w:val="0"/>
          <w:w w:val="100"/>
          <w:position w:val="0"/>
        </w:rPr>
        <w:t>是针对特定主体的对 内管理行为、不涉及公共利益的规定，不属于效力性强制性规定，违反该规定不能导致合同 无效</w:t>
      </w:r>
      <w:r>
        <w:rPr>
          <w:color w:val="000000"/>
          <w:spacing w:val="0"/>
          <w:w w:val="100"/>
          <w:position w:val="0"/>
          <w:lang w:val="zh-CN" w:eastAsia="zh-CN" w:bidi="zh-CN"/>
        </w:rPr>
        <w:t>。”该</w:t>
      </w:r>
      <w:r>
        <w:rPr>
          <w:color w:val="000000"/>
          <w:spacing w:val="0"/>
          <w:w w:val="100"/>
          <w:position w:val="0"/>
        </w:rPr>
        <w:t>案二审法院认为，中国人民银行广东省分行于</w:t>
      </w:r>
      <w:r>
        <w:rPr>
          <w:rFonts w:ascii="Times New Roman" w:hAnsi="Times New Roman" w:eastAsia="Times New Roman" w:cs="Times New Roman"/>
          <w:color w:val="000000"/>
          <w:spacing w:val="0"/>
          <w:w w:val="100"/>
          <w:position w:val="0"/>
          <w:sz w:val="19"/>
          <w:szCs w:val="19"/>
        </w:rPr>
        <w:t>1996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月发布的《转发中国人民 银行总行关于降低金融机构存、贷款利率的通知》第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条关于取消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年期存款利率种类的规 定，属于部门规章,不属法律法规，不能导致双方签订的合同条款无效。在没有法律法规明 确规定涉案存单关于</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年存期的约定为无效条款的情况下，不能仅根据上述规定确认该约 定无效。江西省高级人民法院在“崇仁县百兴小额贷款有限公司与崇仁县仁杰水电发展有 限公司、张子杰小额借款合同纠纷案</w:t>
      </w:r>
      <w:r>
        <w:rPr>
          <w:color w:val="000000"/>
          <w:spacing w:val="0"/>
          <w:w w:val="100"/>
          <w:position w:val="0"/>
          <w:lang w:val="zh-CN" w:eastAsia="zh-CN" w:bidi="zh-CN"/>
        </w:rPr>
        <w:t>”二审</w:t>
      </w:r>
      <w:r>
        <w:rPr>
          <w:color w:val="000000"/>
          <w:spacing w:val="0"/>
          <w:w w:val="100"/>
          <w:position w:val="0"/>
        </w:rPr>
        <w:t>民事判决书中，更是明确指出：</w:t>
      </w:r>
      <w:r>
        <w:rPr>
          <w:color w:val="000000"/>
          <w:spacing w:val="0"/>
          <w:w w:val="100"/>
          <w:position w:val="0"/>
          <w:lang w:val="zh-CN" w:eastAsia="zh-CN" w:bidi="zh-CN"/>
        </w:rPr>
        <w:t>“效</w:t>
      </w:r>
      <w:r>
        <w:rPr>
          <w:color w:val="000000"/>
          <w:spacing w:val="0"/>
          <w:w w:val="100"/>
          <w:position w:val="0"/>
        </w:rPr>
        <w:t>力性强制性规 定是指法律及行政法规明确规定违反该类规范将导致合同无效的规范，或者虽未明确规定 违反之后将导致合同无效，但若使合同继续有效将损害国家利益和社会公共利益的规范。” 并进而认定,</w:t>
      </w:r>
      <w:r>
        <w:rPr>
          <w:color w:val="000000"/>
          <w:spacing w:val="0"/>
          <w:w w:val="100"/>
          <w:position w:val="0"/>
          <w:lang w:val="zh-CN" w:eastAsia="zh-CN" w:bidi="zh-CN"/>
        </w:rPr>
        <w:t>“《中</w:t>
      </w:r>
      <w:r>
        <w:rPr>
          <w:color w:val="000000"/>
          <w:spacing w:val="0"/>
          <w:w w:val="100"/>
          <w:position w:val="0"/>
        </w:rPr>
        <w:t>华人民共和国公司法》第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款并不属于效力性强制性规定，违反 该条款并不导致本案保证合同无效</w:t>
      </w:r>
      <w:r>
        <w:rPr>
          <w:rFonts w:ascii="Times New Roman" w:hAnsi="Times New Roman" w:eastAsia="Times New Roman" w:cs="Times New Roman"/>
          <w:color w:val="000000"/>
          <w:spacing w:val="0"/>
          <w:w w:val="100"/>
          <w:position w:val="0"/>
          <w:sz w:val="19"/>
          <w:szCs w:val="19"/>
          <w:lang w:val="en-US" w:eastAsia="en-US" w:bidi="en-US"/>
        </w:rPr>
        <w:t xml:space="preserve">o </w:t>
      </w:r>
      <w:r>
        <w:rPr>
          <w:color w:val="000000"/>
          <w:spacing w:val="0"/>
          <w:w w:val="100"/>
          <w:position w:val="0"/>
          <w:lang w:val="zh-CN" w:eastAsia="zh-CN" w:bidi="zh-CN"/>
        </w:rPr>
        <w:t>”概</w:t>
      </w:r>
      <w:r>
        <w:rPr>
          <w:color w:val="000000"/>
          <w:spacing w:val="0"/>
          <w:w w:val="100"/>
          <w:position w:val="0"/>
        </w:rPr>
        <w:t>言之，既往的司法实践一般将违反是否产生损害国 家利益或者社会公共利益的后果,作为认定某项规定是否属于效力性强制性规定的根本标 准。</w:t>
      </w:r>
    </w:p>
    <w:p w14:paraId="77B105D8">
      <w:pPr>
        <w:pStyle w:val="17"/>
        <w:keepNext w:val="0"/>
        <w:keepLines w:val="0"/>
        <w:widowControl w:val="0"/>
        <w:shd w:val="clear" w:color="auto" w:fill="auto"/>
        <w:bidi w:val="0"/>
        <w:spacing w:before="0" w:after="140" w:line="343" w:lineRule="exact"/>
        <w:ind w:left="0" w:right="0" w:firstLine="0"/>
        <w:jc w:val="both"/>
      </w:pPr>
      <w:r>
        <w:rPr>
          <w:color w:val="000000"/>
          <w:spacing w:val="0"/>
          <w:w w:val="100"/>
          <w:position w:val="0"/>
          <w:lang w:val="en-US" w:eastAsia="en-US" w:bidi="en-US"/>
        </w:rPr>
        <w:t>®</w:t>
      </w:r>
      <w:r>
        <w:rPr>
          <w:color w:val="000000"/>
          <w:spacing w:val="0"/>
          <w:w w:val="100"/>
          <w:position w:val="0"/>
        </w:rPr>
        <w:t>本裁定的参考意义及将来的课题</w:t>
      </w:r>
    </w:p>
    <w:p w14:paraId="4B21434C">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在</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吉民再</w:t>
      </w:r>
      <w:r>
        <w:rPr>
          <w:rFonts w:ascii="Times New Roman" w:hAnsi="Times New Roman" w:eastAsia="Times New Roman" w:cs="Times New Roman"/>
          <w:color w:val="000000"/>
          <w:spacing w:val="0"/>
          <w:w w:val="100"/>
          <w:position w:val="0"/>
          <w:sz w:val="19"/>
          <w:szCs w:val="19"/>
        </w:rPr>
        <w:t>103</w:t>
      </w:r>
      <w:r>
        <w:rPr>
          <w:color w:val="000000"/>
          <w:spacing w:val="0"/>
          <w:w w:val="100"/>
          <w:position w:val="0"/>
        </w:rPr>
        <w:t>号民事裁定书中,吉林省高级人民法院认为：</w:t>
      </w:r>
      <w:r>
        <w:rPr>
          <w:color w:val="000000"/>
          <w:spacing w:val="0"/>
          <w:w w:val="100"/>
          <w:position w:val="0"/>
          <w:lang w:val="zh-CN" w:eastAsia="zh-CN" w:bidi="zh-CN"/>
        </w:rPr>
        <w:t>“姚晓</w:t>
      </w:r>
      <w:r>
        <w:rPr>
          <w:color w:val="000000"/>
          <w:spacing w:val="0"/>
          <w:w w:val="100"/>
          <w:position w:val="0"/>
        </w:rPr>
        <w:t>东承包的草原 位于吉林莫莫格国家级自然保护区核心区，该区域为国家环境保护局发布的第一批国家重 点保护湿地。《承包合同书》违反了《自然保护区条例》的禁止性规定，姚晓东自认在承包区 域存在捕捞、放牧等行为，破坏了莫莫格国家级自然保护区的生态环境，损害了社会公共利 益。涉案合同损害社会公共利益、违反行政法规的强制性规定,属于无效合同。”但裁定书 中只援引原《合同法》第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项作为判决依据，并未同时引用第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项。在同一地区发生 的另一类似</w:t>
      </w:r>
      <w:r>
        <w:rPr>
          <w:color w:val="000000"/>
          <w:spacing w:val="0"/>
          <w:w w:val="100"/>
          <w:position w:val="0"/>
          <w:lang w:val="zh-CN" w:eastAsia="zh-CN" w:bidi="zh-CN"/>
        </w:rPr>
        <w:t>“案例</w:t>
      </w:r>
      <w:r>
        <w:rPr>
          <w:color w:val="000000"/>
          <w:spacing w:val="0"/>
          <w:w w:val="100"/>
          <w:position w:val="0"/>
        </w:rPr>
        <w:t>吉林省高级人民法院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吉</w:t>
      </w:r>
      <w:r>
        <w:rPr>
          <w:rFonts w:ascii="Times New Roman" w:hAnsi="Times New Roman" w:eastAsia="Times New Roman" w:cs="Times New Roman"/>
          <w:color w:val="000000"/>
          <w:spacing w:val="0"/>
          <w:w w:val="100"/>
          <w:position w:val="0"/>
          <w:sz w:val="19"/>
          <w:szCs w:val="19"/>
        </w:rPr>
        <w:t>08</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1008</w:t>
      </w:r>
      <w:r>
        <w:rPr>
          <w:color w:val="000000"/>
          <w:spacing w:val="0"/>
          <w:w w:val="100"/>
          <w:position w:val="0"/>
        </w:rPr>
        <w:t>号民事判决书</w:t>
      </w:r>
      <w:r>
        <w:rPr>
          <w:color w:val="000000"/>
          <w:spacing w:val="0"/>
          <w:w w:val="100"/>
          <w:position w:val="0"/>
          <w:lang w:val="zh-CN" w:eastAsia="zh-CN" w:bidi="zh-CN"/>
        </w:rPr>
        <w:t>”中</w:t>
      </w:r>
      <w:r>
        <w:rPr>
          <w:color w:val="000000"/>
          <w:spacing w:val="0"/>
          <w:w w:val="100"/>
          <w:position w:val="0"/>
        </w:rPr>
        <w:t>，一审、二 审法院的表述与上述案例如出一辙。类似的判决还有湖南省高级人民法院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 xml:space="preserve">湘民申 </w:t>
      </w:r>
      <w:r>
        <w:rPr>
          <w:rFonts w:ascii="Times New Roman" w:hAnsi="Times New Roman" w:eastAsia="Times New Roman" w:cs="Times New Roman"/>
          <w:color w:val="000000"/>
          <w:spacing w:val="0"/>
          <w:w w:val="100"/>
          <w:position w:val="0"/>
          <w:sz w:val="19"/>
          <w:szCs w:val="19"/>
        </w:rPr>
        <w:t>2944</w:t>
      </w:r>
      <w:r>
        <w:rPr>
          <w:color w:val="000000"/>
          <w:spacing w:val="0"/>
          <w:w w:val="100"/>
          <w:position w:val="0"/>
        </w:rPr>
        <w:t>号民事裁定书。</w:t>
      </w:r>
    </w:p>
    <w:p w14:paraId="0BFEC8E3">
      <w:pPr>
        <w:pStyle w:val="17"/>
        <w:keepNext w:val="0"/>
        <w:keepLines w:val="0"/>
        <w:widowControl w:val="0"/>
        <w:shd w:val="clear" w:color="auto" w:fill="auto"/>
        <w:bidi w:val="0"/>
        <w:spacing w:before="0" w:after="360" w:line="340" w:lineRule="exact"/>
        <w:ind w:left="0" w:right="0" w:firstLine="420"/>
        <w:jc w:val="both"/>
        <w:sectPr>
          <w:headerReference r:id="rId141" w:type="default"/>
          <w:headerReference r:id="rId142" w:type="even"/>
          <w:footnotePr>
            <w:numFmt w:val="chicago"/>
          </w:footnotePr>
          <w:pgSz w:w="10099" w:h="14782"/>
          <w:pgMar w:top="1197" w:right="996" w:bottom="1169" w:left="1097" w:header="0" w:footer="741" w:gutter="0"/>
          <w:pgNumType w:start="115"/>
          <w:cols w:space="720" w:num="1"/>
          <w:rtlGutter w:val="0"/>
          <w:docGrid w:linePitch="360" w:charSpace="0"/>
        </w:sectPr>
      </w:pPr>
      <w:r>
        <w:rPr>
          <w:color w:val="000000"/>
          <w:spacing w:val="0"/>
          <w:w w:val="100"/>
          <w:position w:val="0"/>
        </w:rPr>
        <w:t>虽然《民商事合同案件指导意见》第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条为区分效力性与管理性强制性规定提供了基 本判准，但由于该条规定采用了许多不确定性概念，如规范意旨、利益权衡、交易安全、公共 利益等,导致该判准仍显得过于笼统,招致部分学者的批判。有学者认为，二分格局更是从 概念、判准与司法适用各方面均制造混乱（朱庆育:《〈合同法〉第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 xml:space="preserve">项评注》，载《法学家》 </w:t>
      </w:r>
    </w:p>
    <w:p w14:paraId="55806C46">
      <w:pPr>
        <w:pStyle w:val="17"/>
        <w:keepNext w:val="0"/>
        <w:keepLines w:val="0"/>
        <w:widowControl w:val="0"/>
        <w:shd w:val="clear" w:color="auto" w:fill="auto"/>
        <w:bidi w:val="0"/>
        <w:spacing w:before="0" w:after="360" w:line="340" w:lineRule="exact"/>
        <w:ind w:left="0" w:right="0" w:firstLine="0"/>
        <w:jc w:val="both"/>
      </w:pP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期）。也有学者指出，提出管理性强制性规定的概念,虽有利于从反面认识、排除 效力性强制性规定,但其误导性影响亦不容忽视:易使人误认为存在效力性和管理性强制 性规定</w:t>
      </w:r>
      <w:r>
        <w:rPr>
          <w:color w:val="000000"/>
          <w:spacing w:val="0"/>
          <w:w w:val="100"/>
          <w:position w:val="0"/>
          <w:lang w:val="zh-CN" w:eastAsia="zh-CN" w:bidi="zh-CN"/>
        </w:rPr>
        <w:t>“二</w:t>
      </w:r>
      <w:r>
        <w:rPr>
          <w:color w:val="000000"/>
          <w:spacing w:val="0"/>
          <w:w w:val="100"/>
          <w:position w:val="0"/>
        </w:rPr>
        <w:t>分法”，从而将既不是效力性强制性规定、又不是管理性强制性规定的其他强制 性规定，强行塞入二者概念框架。逻辑上也不可能构成二分,效力性强制性规定和管理性 强制性规定并非排他概念，二者不能穷尽强制性规定的全貌（李宇:《民法总则要义:规范释论与 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644</w:t>
      </w:r>
      <w:r>
        <w:rPr>
          <w:color w:val="000000"/>
          <w:spacing w:val="0"/>
          <w:w w:val="100"/>
          <w:position w:val="0"/>
        </w:rPr>
        <w:t>页）。本案中，二审法院在判决《合作勘探开发协议》无 效时,并未就《自然保护区条例》第</w:t>
      </w:r>
      <w:r>
        <w:rPr>
          <w:rFonts w:ascii="Times New Roman" w:hAnsi="Times New Roman" w:eastAsia="Times New Roman" w:cs="Times New Roman"/>
          <w:color w:val="000000"/>
          <w:spacing w:val="0"/>
          <w:w w:val="100"/>
          <w:position w:val="0"/>
          <w:sz w:val="17"/>
          <w:szCs w:val="17"/>
        </w:rPr>
        <w:t>26</w:t>
      </w:r>
      <w:r>
        <w:rPr>
          <w:color w:val="000000"/>
          <w:spacing w:val="0"/>
          <w:w w:val="100"/>
          <w:position w:val="0"/>
        </w:rPr>
        <w:t>条和第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rPr>
        <w:t>条强制性规定究竟是效力性强制性规定还 是管理性强制性规定进行定性并说理，但从判决结果来看，二审法院显然是将其作为效力 性强制性规定来认定的。效力性强制性规定与管理性强制性规定的区分，仍然是一笔糊涂 账,有待理论界与司法实务界继续协力探讨。</w:t>
      </w:r>
    </w:p>
    <w:p w14:paraId="487C9873">
      <w:pPr>
        <w:pStyle w:val="11"/>
        <w:keepNext w:val="0"/>
        <w:keepLines w:val="0"/>
        <w:widowControl w:val="0"/>
        <w:shd w:val="clear" w:color="auto" w:fill="auto"/>
        <w:bidi w:val="0"/>
        <w:spacing w:before="0" w:after="60" w:line="342" w:lineRule="exact"/>
        <w:ind w:left="0" w:right="0" w:firstLine="0"/>
        <w:jc w:val="both"/>
      </w:pPr>
      <w:r>
        <w:rPr>
          <w:i/>
          <w:iCs/>
          <w:color w:val="000000"/>
          <w:spacing w:val="0"/>
          <w:w w:val="100"/>
          <w:position w:val="0"/>
        </w:rPr>
        <w:t>回</w:t>
      </w:r>
      <w:r>
        <w:rPr>
          <w:color w:val="000000"/>
          <w:spacing w:val="0"/>
          <w:w w:val="100"/>
          <w:position w:val="0"/>
        </w:rPr>
        <w:t>参考文献</w:t>
      </w:r>
    </w:p>
    <w:p w14:paraId="50DD87EB">
      <w:pPr>
        <w:pStyle w:val="17"/>
        <w:keepNext w:val="0"/>
        <w:keepLines w:val="0"/>
        <w:widowControl w:val="0"/>
        <w:shd w:val="clear" w:color="auto" w:fill="auto"/>
        <w:bidi w:val="0"/>
        <w:spacing w:before="0" w:after="0" w:line="317" w:lineRule="exact"/>
        <w:ind w:left="0" w:right="0" w:firstLine="0"/>
        <w:jc w:val="both"/>
      </w:pPr>
      <w:r>
        <w:rPr>
          <w:color w:val="000000"/>
          <w:spacing w:val="0"/>
          <w:w w:val="100"/>
          <w:position w:val="0"/>
        </w:rPr>
        <w:t>史尚宽:《民法总论》，中国政法大学出版社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0F21BDF1">
      <w:pPr>
        <w:pStyle w:val="17"/>
        <w:keepNext w:val="0"/>
        <w:keepLines w:val="0"/>
        <w:widowControl w:val="0"/>
        <w:shd w:val="clear" w:color="auto" w:fill="auto"/>
        <w:bidi w:val="0"/>
        <w:spacing w:before="0" w:after="0" w:line="317" w:lineRule="exact"/>
        <w:ind w:left="0" w:right="0" w:firstLine="0"/>
        <w:jc w:val="both"/>
      </w:pPr>
      <w:r>
        <w:rPr>
          <w:color w:val="000000"/>
          <w:spacing w:val="0"/>
          <w:w w:val="100"/>
          <w:position w:val="0"/>
        </w:rPr>
        <w:t>朱庆育:《〈合同法〉第</w:t>
      </w:r>
      <w:r>
        <w:rPr>
          <w:rFonts w:ascii="Times New Roman" w:hAnsi="Times New Roman" w:eastAsia="Times New Roman" w:cs="Times New Roman"/>
          <w:color w:val="000000"/>
          <w:spacing w:val="0"/>
          <w:w w:val="100"/>
          <w:position w:val="0"/>
          <w:sz w:val="17"/>
          <w:szCs w:val="17"/>
        </w:rPr>
        <w:t>52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项评注》，载《法学家》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0F59E9E9">
      <w:pPr>
        <w:pStyle w:val="17"/>
        <w:keepNext w:val="0"/>
        <w:keepLines w:val="0"/>
        <w:widowControl w:val="0"/>
        <w:shd w:val="clear" w:color="auto" w:fill="auto"/>
        <w:bidi w:val="0"/>
        <w:spacing w:before="0" w:after="200" w:line="317" w:lineRule="exact"/>
        <w:ind w:left="0" w:right="0" w:firstLine="0"/>
        <w:jc w:val="both"/>
        <w:sectPr>
          <w:headerReference r:id="rId143" w:type="default"/>
          <w:headerReference r:id="rId144" w:type="even"/>
          <w:footnotePr>
            <w:numFmt w:val="chicago"/>
          </w:footnotePr>
          <w:pgSz w:w="10099" w:h="14782"/>
          <w:pgMar w:top="1197" w:right="996" w:bottom="1169" w:left="1097" w:header="0" w:footer="741" w:gutter="0"/>
          <w:pgNumType w:start="100"/>
          <w:cols w:space="720" w:num="1"/>
          <w:rtlGutter w:val="0"/>
          <w:docGrid w:linePitch="360" w:charSpace="0"/>
        </w:sectPr>
      </w:pPr>
      <w:r>
        <w:rPr>
          <w:color w:val="000000"/>
          <w:spacing w:val="0"/>
          <w:w w:val="100"/>
          <w:position w:val="0"/>
        </w:rPr>
        <w:t>钟瑞栋:《〈合同法〉第</w:t>
      </w:r>
      <w:r>
        <w:rPr>
          <w:rFonts w:ascii="Times New Roman" w:hAnsi="Times New Roman" w:eastAsia="Times New Roman" w:cs="Times New Roman"/>
          <w:color w:val="000000"/>
          <w:spacing w:val="0"/>
          <w:w w:val="100"/>
          <w:position w:val="0"/>
          <w:sz w:val="17"/>
          <w:szCs w:val="17"/>
        </w:rPr>
        <w:t>52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项的三个争议问题》，载《私法研究》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53DCABB">
      <w:pPr>
        <w:widowControl w:val="0"/>
        <w:spacing w:line="1" w:lineRule="exact"/>
      </w:pPr>
      <w:r>
        <w:drawing>
          <wp:anchor distT="0" distB="0" distL="114300" distR="3863340" simplePos="0" relativeHeight="251660288" behindDoc="0" locked="0" layoutInCell="1" allowOverlap="1">
            <wp:simplePos x="0" y="0"/>
            <wp:positionH relativeFrom="page">
              <wp:posOffset>666115</wp:posOffset>
            </wp:positionH>
            <wp:positionV relativeFrom="paragraph">
              <wp:posOffset>12700</wp:posOffset>
            </wp:positionV>
            <wp:extent cx="499745" cy="438785"/>
            <wp:effectExtent l="0" t="0" r="8255" b="5715"/>
            <wp:wrapTopAndBottom/>
            <wp:docPr id="319" name="Shape 319"/>
            <wp:cNvGraphicFramePr/>
            <a:graphic xmlns:a="http://schemas.openxmlformats.org/drawingml/2006/main">
              <a:graphicData uri="http://schemas.openxmlformats.org/drawingml/2006/picture">
                <pic:pic xmlns:pic="http://schemas.openxmlformats.org/drawingml/2006/picture">
                  <pic:nvPicPr>
                    <pic:cNvPr id="319" name="Shape 319"/>
                    <pic:cNvPicPr/>
                  </pic:nvPicPr>
                  <pic:blipFill>
                    <a:blip r:embed="rId620"/>
                    <a:stretch>
                      <a:fillRect/>
                    </a:stretch>
                  </pic:blipFill>
                  <pic:spPr>
                    <a:xfrm>
                      <a:off x="0" y="0"/>
                      <a:ext cx="499745" cy="438785"/>
                    </a:xfrm>
                    <a:prstGeom prst="rect">
                      <a:avLst/>
                    </a:prstGeom>
                  </pic:spPr>
                </pic:pic>
              </a:graphicData>
            </a:graphic>
          </wp:anchor>
        </w:drawing>
      </w:r>
      <w:r>
        <mc:AlternateContent>
          <mc:Choice Requires="wps">
            <w:drawing>
              <wp:anchor distT="152400" distB="51435" distL="742315" distR="113665" simplePos="0" relativeHeight="251660288" behindDoc="0" locked="0" layoutInCell="1" allowOverlap="1">
                <wp:simplePos x="0" y="0"/>
                <wp:positionH relativeFrom="page">
                  <wp:posOffset>1294130</wp:posOffset>
                </wp:positionH>
                <wp:positionV relativeFrom="paragraph">
                  <wp:posOffset>165100</wp:posOffset>
                </wp:positionV>
                <wp:extent cx="3618230" cy="234950"/>
                <wp:effectExtent l="0" t="0" r="0" b="0"/>
                <wp:wrapTopAndBottom/>
                <wp:docPr id="321" name="Shape 321"/>
                <wp:cNvGraphicFramePr/>
                <a:graphic xmlns:a="http://schemas.openxmlformats.org/drawingml/2006/main">
                  <a:graphicData uri="http://schemas.microsoft.com/office/word/2010/wordprocessingShape">
                    <wps:wsp>
                      <wps:cNvSpPr txBox="1"/>
                      <wps:spPr>
                        <a:xfrm>
                          <a:off x="0" y="0"/>
                          <a:ext cx="3618230" cy="234950"/>
                        </a:xfrm>
                        <a:prstGeom prst="rect">
                          <a:avLst/>
                        </a:prstGeom>
                        <a:noFill/>
                      </wps:spPr>
                      <wps:txbx>
                        <w:txbxContent>
                          <w:p w14:paraId="0C9992DC">
                            <w:pPr>
                              <w:pStyle w:val="15"/>
                              <w:keepNext/>
                              <w:keepLines/>
                              <w:widowControl w:val="0"/>
                              <w:shd w:val="clear" w:color="auto" w:fill="auto"/>
                              <w:bidi w:val="0"/>
                              <w:spacing w:before="0" w:after="0" w:line="240" w:lineRule="auto"/>
                              <w:ind w:left="0" w:right="0" w:firstLine="0"/>
                              <w:jc w:val="left"/>
                            </w:pPr>
                            <w:bookmarkStart w:id="294" w:name="bookmark138"/>
                            <w:bookmarkStart w:id="295" w:name="bookmark137"/>
                            <w:bookmarkStart w:id="296" w:name="bookmark139"/>
                            <w:r>
                              <w:rPr>
                                <w:color w:val="000000"/>
                                <w:spacing w:val="0"/>
                                <w:w w:val="100"/>
                                <w:position w:val="0"/>
                              </w:rPr>
                              <w:t>非法吸收公众存款罪所涉合同的效力认定</w:t>
                            </w:r>
                            <w:bookmarkEnd w:id="294"/>
                            <w:bookmarkEnd w:id="295"/>
                            <w:bookmarkEnd w:id="296"/>
                          </w:p>
                        </w:txbxContent>
                      </wps:txbx>
                      <wps:bodyPr wrap="none" lIns="0" tIns="0" rIns="0" bIns="0">
                        <a:noAutofit/>
                      </wps:bodyPr>
                    </wps:wsp>
                  </a:graphicData>
                </a:graphic>
              </wp:anchor>
            </w:drawing>
          </mc:Choice>
          <mc:Fallback>
            <w:pict>
              <v:shape id="Shape 321" o:spid="_x0000_s1026" o:spt="202" type="#_x0000_t202" style="position:absolute;left:0pt;margin-left:101.9pt;margin-top:13pt;height:18.5pt;width:284.9pt;mso-position-horizontal-relative:page;mso-wrap-distance-bottom:4.05pt;mso-wrap-distance-top:12pt;mso-wrap-style:none;z-index:251660288;mso-width-relative:page;mso-height-relative:page;" filled="f" stroked="f" coordsize="21600,21600" o:gfxdata="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nM20tYA&#10;AAAJAQAADwAAAAAAAAABACAAAAAiAAAAZHJzL2Rvd25yZXYueG1sUEsBAhQAFAAAAAgAh07iQGYP&#10;VQyvAQAAdAMAAA4AAAAAAAAAAQAgAAAAJQEAAGRycy9lMm9Eb2MueG1sUEsFBgAAAAAGAAYAWQEA&#10;AEYFAAAAAA==&#10;">
                <v:fill on="f" focussize="0,0"/>
                <v:stroke on="f"/>
                <v:imagedata o:title=""/>
                <o:lock v:ext="edit" aspectratio="f"/>
                <v:textbox inset="0mm,0mm,0mm,0mm">
                  <w:txbxContent>
                    <w:p w14:paraId="0C9992DC">
                      <w:pPr>
                        <w:pStyle w:val="15"/>
                        <w:keepNext/>
                        <w:keepLines/>
                        <w:widowControl w:val="0"/>
                        <w:shd w:val="clear" w:color="auto" w:fill="auto"/>
                        <w:bidi w:val="0"/>
                        <w:spacing w:before="0" w:after="0" w:line="240" w:lineRule="auto"/>
                        <w:ind w:left="0" w:right="0" w:firstLine="0"/>
                        <w:jc w:val="left"/>
                      </w:pPr>
                      <w:bookmarkStart w:id="294" w:name="bookmark138"/>
                      <w:bookmarkStart w:id="295" w:name="bookmark137"/>
                      <w:bookmarkStart w:id="296" w:name="bookmark139"/>
                      <w:r>
                        <w:rPr>
                          <w:color w:val="000000"/>
                          <w:spacing w:val="0"/>
                          <w:w w:val="100"/>
                          <w:position w:val="0"/>
                        </w:rPr>
                        <w:t>非法吸收公众存款罪所涉合同的效力认定</w:t>
                      </w:r>
                      <w:bookmarkEnd w:id="294"/>
                      <w:bookmarkEnd w:id="295"/>
                      <w:bookmarkEnd w:id="29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5128260</wp:posOffset>
            </wp:positionH>
            <wp:positionV relativeFrom="paragraph">
              <wp:posOffset>332105</wp:posOffset>
            </wp:positionV>
            <wp:extent cx="542290" cy="548640"/>
            <wp:effectExtent l="0" t="0" r="3810" b="10160"/>
            <wp:wrapSquare wrapText="left"/>
            <wp:docPr id="323" name="Shape 323"/>
            <wp:cNvGraphicFramePr/>
            <a:graphic xmlns:a="http://schemas.openxmlformats.org/drawingml/2006/main">
              <a:graphicData uri="http://schemas.openxmlformats.org/drawingml/2006/picture">
                <pic:pic xmlns:pic="http://schemas.openxmlformats.org/drawingml/2006/picture">
                  <pic:nvPicPr>
                    <pic:cNvPr id="323" name="Shape 323"/>
                    <pic:cNvPicPr/>
                  </pic:nvPicPr>
                  <pic:blipFill>
                    <a:blip r:embed="rId621"/>
                    <a:stretch>
                      <a:fillRect/>
                    </a:stretch>
                  </pic:blipFill>
                  <pic:spPr>
                    <a:xfrm>
                      <a:off x="0" y="0"/>
                      <a:ext cx="542290" cy="548640"/>
                    </a:xfrm>
                    <a:prstGeom prst="rect">
                      <a:avLst/>
                    </a:prstGeom>
                  </pic:spPr>
                </pic:pic>
              </a:graphicData>
            </a:graphic>
          </wp:anchor>
        </w:drawing>
      </w:r>
    </w:p>
    <w:p w14:paraId="102538C3">
      <w:pPr>
        <w:pStyle w:val="17"/>
        <w:keepNext w:val="0"/>
        <w:keepLines w:val="0"/>
        <w:widowControl w:val="0"/>
        <w:shd w:val="clear" w:color="auto" w:fill="auto"/>
        <w:bidi w:val="0"/>
        <w:spacing w:before="0" w:after="380" w:line="317" w:lineRule="exact"/>
        <w:ind w:left="1020" w:right="0" w:firstLine="0"/>
        <w:jc w:val="both"/>
      </w:pPr>
      <w:r>
        <w:rPr>
          <w:color w:val="000000"/>
          <w:spacing w:val="0"/>
          <w:w w:val="100"/>
          <w:position w:val="0"/>
        </w:rPr>
        <w:t>吴国军诉陈晓富、王克祥、德清县中建房地产开发有限公司民间借 贷纠纷案丨《最高人民法院公报》</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鄭</w:t>
      </w:r>
    </w:p>
    <w:p w14:paraId="54932612">
      <w:pPr>
        <w:pStyle w:val="33"/>
        <w:keepNext w:val="0"/>
        <w:keepLines w:val="0"/>
        <w:widowControl w:val="0"/>
        <w:shd w:val="clear" w:color="auto" w:fill="auto"/>
        <w:bidi w:val="0"/>
        <w:spacing w:before="0" w:after="1360" w:line="240" w:lineRule="auto"/>
        <w:ind w:left="0" w:right="0" w:firstLine="0"/>
        <w:jc w:val="right"/>
      </w:pPr>
      <w:r>
        <w:rPr>
          <w:rFonts w:ascii="Times New Roman" w:hAnsi="Times New Roman" w:eastAsia="Times New Roman" w:cs="Times New Roman"/>
          <w:color w:val="000000"/>
          <w:spacing w:val="0"/>
          <w:w w:val="100"/>
          <w:position w:val="0"/>
          <w:sz w:val="26"/>
          <w:szCs w:val="26"/>
        </w:rPr>
        <w:t xml:space="preserve">6 </w:t>
      </w:r>
      <w:r>
        <w:rPr>
          <w:color w:val="000000"/>
          <w:spacing w:val="0"/>
          <w:w w:val="100"/>
          <w:position w:val="0"/>
        </w:rPr>
        <w:t>兵澳门大学法学院</w:t>
      </w:r>
    </w:p>
    <w:p w14:paraId="4DAB13C7">
      <w:pPr>
        <w:pStyle w:val="11"/>
        <w:keepNext w:val="0"/>
        <w:keepLines w:val="0"/>
        <w:widowControl w:val="0"/>
        <w:shd w:val="clear" w:color="auto" w:fill="auto"/>
        <w:tabs>
          <w:tab w:val="left" w:pos="5426"/>
        </w:tabs>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r>
        <w:rPr>
          <w:color w:val="000000"/>
          <w:spacing w:val="0"/>
          <w:w w:val="100"/>
          <w:position w:val="0"/>
        </w:rPr>
        <w:tab/>
      </w:r>
      <w:r>
        <w:rPr>
          <w:color w:val="000000"/>
          <w:spacing w:val="0"/>
          <w:w w:val="100"/>
          <w:position w:val="0"/>
        </w:rPr>
        <w:t>/</w:t>
      </w:r>
    </w:p>
    <w:p w14:paraId="51C7FE8B">
      <w:pPr>
        <w:pStyle w:val="17"/>
        <w:keepNext w:val="0"/>
        <w:keepLines w:val="0"/>
        <w:widowControl w:val="0"/>
        <w:shd w:val="clear" w:color="auto" w:fill="auto"/>
        <w:bidi w:val="0"/>
        <w:spacing w:before="0" w:after="380" w:line="345" w:lineRule="exact"/>
        <w:ind w:left="0" w:right="0" w:firstLine="42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日，原告、被告签订一借款协议，被告陈晓富向原告吴国军借款人民币 </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万元，借款期限为</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日，并由被告王克祥和被告中建公 司提供连带责任担保，原告于当日履行了出借义务，陈晓富于当日收到原告</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万元的借 款。陈晓富拖欠其他债权人款项无法及时偿还，数额较大，并已严重丧失信誉</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12 </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日陈晓富因故下落不明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日陈晓富因涉嫌合同诈骗和非法吸收公众存 款罪被公安机关立案侦查。依照协议，吴国军遂起诉要求陈晓富提前归还借款，王克祥、中 建公司承担连带责任。被告王克祥和被告中建公司辩称，本案被告陈晓富涉嫌犯罪，借款 性质不明，本案应中止审理,待刑事诉讼审理终结后再恢复审理本案。二审中法院查明，陈 晓富构成非法吸收公众存款罪,该判决已生效。</w:t>
      </w:r>
    </w:p>
    <w:p w14:paraId="3399DF5E">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6FC7B3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驳回上诉，维持原判。</w:t>
      </w:r>
    </w:p>
    <w:p w14:paraId="3D94E65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单个的借款并不构成非法吸收公众存款的刑事法律事实，因为非法吸收公众存款的刑 事法律事实是数个</w:t>
      </w:r>
      <w:r>
        <w:rPr>
          <w:color w:val="000000"/>
          <w:spacing w:val="0"/>
          <w:w w:val="100"/>
          <w:position w:val="0"/>
          <w:lang w:val="zh-CN" w:eastAsia="zh-CN" w:bidi="zh-CN"/>
        </w:rPr>
        <w:t>“向</w:t>
      </w:r>
      <w:r>
        <w:rPr>
          <w:color w:val="000000"/>
          <w:spacing w:val="0"/>
          <w:w w:val="100"/>
          <w:position w:val="0"/>
        </w:rPr>
        <w:t>不特定人借款</w:t>
      </w:r>
      <w:r>
        <w:rPr>
          <w:color w:val="000000"/>
          <w:spacing w:val="0"/>
          <w:w w:val="100"/>
          <w:position w:val="0"/>
          <w:lang w:val="zh-CN" w:eastAsia="zh-CN" w:bidi="zh-CN"/>
        </w:rPr>
        <w:t>”行为</w:t>
      </w:r>
      <w:r>
        <w:rPr>
          <w:color w:val="000000"/>
          <w:spacing w:val="0"/>
          <w:w w:val="100"/>
          <w:position w:val="0"/>
        </w:rPr>
        <w:t>的总和，从而从量变到质变。当事人在订立民间 借贷合同时，主观上可能确实基于借贷的真实意思表示。</w:t>
      </w:r>
    </w:p>
    <w:p w14:paraId="0613286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 xml:space="preserve">最高人民法院《关于适用〈中华人民共和国合同法〉若干问题的解释（二）》［法释 </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条将《合同法》第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项的</w:t>
      </w:r>
      <w:r>
        <w:rPr>
          <w:color w:val="000000"/>
          <w:spacing w:val="0"/>
          <w:w w:val="100"/>
          <w:position w:val="0"/>
          <w:lang w:val="zh-CN" w:eastAsia="zh-CN" w:bidi="zh-CN"/>
        </w:rPr>
        <w:t>“强制</w:t>
      </w:r>
      <w:r>
        <w:rPr>
          <w:color w:val="000000"/>
          <w:spacing w:val="0"/>
          <w:w w:val="100"/>
          <w:position w:val="0"/>
        </w:rPr>
        <w:t>性规定</w:t>
      </w:r>
      <w:r>
        <w:rPr>
          <w:color w:val="000000"/>
          <w:spacing w:val="0"/>
          <w:w w:val="100"/>
          <w:position w:val="0"/>
          <w:lang w:val="zh-CN" w:eastAsia="zh-CN" w:bidi="zh-CN"/>
        </w:rPr>
        <w:t>”解</w:t>
      </w:r>
      <w:r>
        <w:rPr>
          <w:color w:val="000000"/>
          <w:spacing w:val="0"/>
          <w:w w:val="100"/>
          <w:position w:val="0"/>
        </w:rPr>
        <w:t>释为效力性强制性规 定,本案原审被告陈晓富触犯刑律的犯罪行为，并不必然导致借款合同无效。因为借款合 同的订立没有违反法律、行政法规效力性的强制性规定。效力上采取从宽认定，是该司法 解释的本意，也可在最大程度上尊重当事人的意思自治。</w:t>
      </w:r>
    </w:p>
    <w:p w14:paraId="616A7EEB">
      <w:pPr>
        <w:pStyle w:val="17"/>
        <w:keepNext w:val="0"/>
        <w:keepLines w:val="0"/>
        <w:widowControl w:val="0"/>
        <w:shd w:val="clear" w:color="auto" w:fill="auto"/>
        <w:bidi w:val="0"/>
        <w:spacing w:before="0" w:after="360" w:line="343" w:lineRule="exact"/>
        <w:ind w:left="0" w:right="0" w:firstLine="420"/>
        <w:jc w:val="both"/>
        <w:sectPr>
          <w:headerReference r:id="rId145" w:type="default"/>
          <w:headerReference r:id="rId146" w:type="even"/>
          <w:footnotePr>
            <w:numFmt w:val="chicago"/>
          </w:footnotePr>
          <w:pgSz w:w="10099" w:h="14782"/>
          <w:pgMar w:top="1258" w:right="1080" w:bottom="1168" w:left="1020" w:header="830" w:footer="740" w:gutter="0"/>
          <w:pgNumType w:start="117"/>
          <w:cols w:space="720" w:num="1"/>
          <w:rtlGutter w:val="0"/>
          <w:docGrid w:linePitch="360" w:charSpace="0"/>
        </w:sectPr>
      </w:pPr>
      <w:r>
        <w:rPr>
          <w:color w:val="000000"/>
          <w:spacing w:val="0"/>
          <w:w w:val="100"/>
          <w:position w:val="0"/>
        </w:rPr>
        <w:t>根据担保法的有关规定，如债权人与债务人恶意串通或债权人知道或应当知道主合同 债务人采取欺诈手段，使保证人违背真实意思提供保证的,则保证人应免除保证责任。现 王克祥和中建公司未能提供相关证据佐证债权人与债务人之间</w:t>
      </w:r>
      <w:r>
        <w:rPr>
          <w:color w:val="000000"/>
          <w:spacing w:val="0"/>
          <w:w w:val="100"/>
          <w:position w:val="0"/>
          <w:lang w:val="zh-CN" w:eastAsia="zh-CN" w:bidi="zh-CN"/>
        </w:rPr>
        <w:t>“恶</w:t>
      </w:r>
      <w:r>
        <w:rPr>
          <w:color w:val="000000"/>
          <w:spacing w:val="0"/>
          <w:w w:val="100"/>
          <w:position w:val="0"/>
        </w:rPr>
        <w:t>意串通</w:t>
      </w:r>
      <w:r>
        <w:rPr>
          <w:color w:val="000000"/>
          <w:spacing w:val="0"/>
          <w:w w:val="100"/>
          <w:position w:val="0"/>
          <w:lang w:val="zh-CN" w:eastAsia="zh-CN" w:bidi="zh-CN"/>
        </w:rPr>
        <w:t>”或</w:t>
      </w:r>
      <w:r>
        <w:rPr>
          <w:color w:val="000000"/>
          <w:spacing w:val="0"/>
          <w:w w:val="100"/>
          <w:position w:val="0"/>
        </w:rPr>
        <w:t>债权人</w:t>
      </w:r>
      <w:r>
        <w:rPr>
          <w:color w:val="000000"/>
          <w:spacing w:val="0"/>
          <w:w w:val="100"/>
          <w:position w:val="0"/>
          <w:lang w:val="zh-CN" w:eastAsia="zh-CN" w:bidi="zh-CN"/>
        </w:rPr>
        <w:t xml:space="preserve">“知道 </w:t>
      </w:r>
      <w:r>
        <w:rPr>
          <w:color w:val="000000"/>
          <w:spacing w:val="0"/>
          <w:w w:val="100"/>
          <w:position w:val="0"/>
        </w:rPr>
        <w:t xml:space="preserve">或应当知道”。在主合同（借款合同）有效,从合同（担保合同）本身无瑕疵的情况下，民间借 </w:t>
      </w:r>
    </w:p>
    <w:p w14:paraId="047A7749">
      <w:pPr>
        <w:pStyle w:val="17"/>
        <w:keepNext w:val="0"/>
        <w:keepLines w:val="0"/>
        <w:widowControl w:val="0"/>
        <w:shd w:val="clear" w:color="auto" w:fill="auto"/>
        <w:bidi w:val="0"/>
        <w:spacing w:before="0" w:after="360" w:line="343" w:lineRule="exact"/>
        <w:ind w:left="0" w:right="0" w:firstLine="0"/>
        <w:jc w:val="both"/>
      </w:pPr>
      <w:r>
        <w:rPr>
          <w:color w:val="000000"/>
          <w:spacing w:val="0"/>
          <w:w w:val="100"/>
          <w:position w:val="0"/>
        </w:rPr>
        <w:t>贷中的担保合同也属有效。保证人同意提供担保，应当推定为充分了解行为的后果。</w:t>
      </w:r>
    </w:p>
    <w:p w14:paraId="3AF7459D">
      <w:pPr>
        <w:pStyle w:val="11"/>
        <w:keepNext w:val="0"/>
        <w:keepLines w:val="0"/>
        <w:widowControl w:val="0"/>
        <w:shd w:val="clear" w:color="auto" w:fill="auto"/>
        <w:bidi w:val="0"/>
        <w:spacing w:before="0" w:after="100" w:line="339" w:lineRule="exact"/>
        <w:ind w:left="0" w:right="0" w:firstLine="0"/>
        <w:jc w:val="left"/>
      </w:pPr>
      <w:r>
        <w:rPr>
          <w:color w:val="000000"/>
          <w:spacing w:val="0"/>
          <w:w w:val="100"/>
          <w:position w:val="0"/>
        </w:rPr>
        <w:t>■评析</w:t>
      </w:r>
    </w:p>
    <w:p w14:paraId="0D044CA6">
      <w:pPr>
        <w:pStyle w:val="17"/>
        <w:keepNext w:val="0"/>
        <w:keepLines w:val="0"/>
        <w:widowControl w:val="0"/>
        <w:shd w:val="clear" w:color="auto" w:fill="auto"/>
        <w:bidi w:val="0"/>
        <w:spacing w:before="0" w:after="300" w:line="332" w:lineRule="exact"/>
        <w:ind w:left="0" w:right="0" w:firstLine="420"/>
        <w:jc w:val="both"/>
      </w:pPr>
      <w:r>
        <w:rPr>
          <w:color w:val="000000"/>
          <w:spacing w:val="0"/>
          <w:w w:val="100"/>
          <w:position w:val="0"/>
        </w:rPr>
        <w:t>本案中，合同的效力评价对当事人利益的影响甚巨。借贷合同一旦无效，作为从合同 的担保合同则自应无效，原告吴国军既不能向被告陈晓富主张债权,亦不能向被告王克祥 和被告中建公司主张保证责任,只能向陈晓富主张合同无效后的不当得利返还。根据最高 人民法院《关于适用〈中华人民共和国担保法〉若干问题的解释》［法释（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 xml:space="preserve">8 </w:t>
      </w:r>
      <w:r>
        <w:rPr>
          <w:color w:val="000000"/>
          <w:spacing w:val="0"/>
          <w:w w:val="100"/>
          <w:position w:val="0"/>
        </w:rPr>
        <w:t>条，即使被告王克祥和被告中建公司有过错，也只应承担陈晓富不能清偿部分的</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。因 此，在陈晓富涉嫌构成非法吸收公众存款罪的情形下,借贷合同与担保合同的效力评价就 成为本案裁判的关键之所在。</w:t>
      </w:r>
    </w:p>
    <w:p w14:paraId="1456A10F">
      <w:pPr>
        <w:pStyle w:val="17"/>
        <w:keepNext w:val="0"/>
        <w:keepLines w:val="0"/>
        <w:widowControl w:val="0"/>
        <w:shd w:val="clear" w:color="auto" w:fill="auto"/>
        <w:bidi w:val="0"/>
        <w:spacing w:before="0" w:after="160" w:line="374"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量变论:本案的裁判逻辑</w:t>
      </w:r>
    </w:p>
    <w:p w14:paraId="6B616614">
      <w:pPr>
        <w:pStyle w:val="17"/>
        <w:keepNext w:val="0"/>
        <w:keepLines w:val="0"/>
        <w:widowControl w:val="0"/>
        <w:numPr>
          <w:ilvl w:val="0"/>
          <w:numId w:val="11"/>
        </w:numPr>
        <w:shd w:val="clear" w:color="auto" w:fill="auto"/>
        <w:tabs>
          <w:tab w:val="left" w:pos="685"/>
        </w:tabs>
        <w:bidi w:val="0"/>
        <w:spacing w:before="0" w:after="0" w:line="374" w:lineRule="auto"/>
        <w:ind w:left="0" w:right="0" w:firstLine="420"/>
        <w:jc w:val="both"/>
      </w:pPr>
      <w:bookmarkStart w:id="50" w:name="bookmark140"/>
      <w:bookmarkEnd w:id="50"/>
      <w:r>
        <w:rPr>
          <w:color w:val="000000"/>
          <w:spacing w:val="0"/>
          <w:w w:val="100"/>
          <w:position w:val="0"/>
        </w:rPr>
        <w:t>推理过程</w:t>
      </w:r>
    </w:p>
    <w:p w14:paraId="1BA9224E">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考察本案的裁判文本，在涉案民间借贷合同和担保合同的效力问题上，判决书包含了 逻辑推理的三段论结构：</w:t>
      </w:r>
    </w:p>
    <w:p w14:paraId="6C1B1BD6">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大前提:刑事法律事实尹民事法律事实；</w:t>
      </w:r>
    </w:p>
    <w:p w14:paraId="4B1E9524">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小前提：非法吸收公众存款的犯罪行为是刑事法律事实；</w:t>
      </w:r>
    </w:p>
    <w:p w14:paraId="4BB89CC2">
      <w:pPr>
        <w:pStyle w:val="17"/>
        <w:keepNext w:val="0"/>
        <w:keepLines w:val="0"/>
        <w:widowControl w:val="0"/>
        <w:shd w:val="clear" w:color="auto" w:fill="auto"/>
        <w:bidi w:val="0"/>
        <w:spacing w:before="0" w:after="0" w:line="339" w:lineRule="exact"/>
        <w:ind w:left="0" w:right="0"/>
        <w:jc w:val="left"/>
      </w:pPr>
      <w:r>
        <w:rPr>
          <w:color w:val="000000"/>
          <w:spacing w:val="0"/>
          <w:w w:val="100"/>
          <w:position w:val="0"/>
        </w:rPr>
        <w:t>结论:非法吸收公众存款的犯罪行为夭民事法律事实。</w:t>
      </w:r>
    </w:p>
    <w:p w14:paraId="66C11139">
      <w:pPr>
        <w:pStyle w:val="17"/>
        <w:keepNext w:val="0"/>
        <w:keepLines w:val="0"/>
        <w:widowControl w:val="0"/>
        <w:shd w:val="clear" w:color="auto" w:fill="auto"/>
        <w:bidi w:val="0"/>
        <w:spacing w:before="0" w:after="100" w:line="339" w:lineRule="exact"/>
        <w:ind w:left="0" w:right="0" w:firstLine="420"/>
        <w:jc w:val="both"/>
      </w:pPr>
      <w:r>
        <w:rPr>
          <w:color w:val="000000"/>
          <w:spacing w:val="0"/>
          <w:w w:val="100"/>
          <w:position w:val="0"/>
        </w:rPr>
        <w:t>此三段论的推理过程存在两个逻辑瑕疵。其一，大前提的不周延导致推理结论不具有 完全的有效性</w:t>
      </w:r>
      <w:r>
        <w:rPr>
          <w:color w:val="000000"/>
          <w:spacing w:val="0"/>
          <w:w w:val="100"/>
          <w:position w:val="0"/>
          <w:lang w:val="zh-CN" w:eastAsia="zh-CN" w:bidi="zh-CN"/>
        </w:rPr>
        <w:t>。“刑</w:t>
      </w:r>
      <w:r>
        <w:rPr>
          <w:color w:val="000000"/>
          <w:spacing w:val="0"/>
          <w:w w:val="100"/>
          <w:position w:val="0"/>
        </w:rPr>
        <w:t>事法律事实尹民事法律事实</w:t>
      </w:r>
      <w:r>
        <w:rPr>
          <w:color w:val="000000"/>
          <w:spacing w:val="0"/>
          <w:w w:val="100"/>
          <w:position w:val="0"/>
          <w:lang w:val="zh-CN" w:eastAsia="zh-CN" w:bidi="zh-CN"/>
        </w:rPr>
        <w:t>”并非</w:t>
      </w:r>
      <w:r>
        <w:rPr>
          <w:color w:val="000000"/>
          <w:spacing w:val="0"/>
          <w:w w:val="100"/>
          <w:position w:val="0"/>
        </w:rPr>
        <w:t>一个全称判断，因为同时被刑法与民 法调整的法律事实比比皆是。依照三段论推理“前提中不周延的词项，在结论中也不得周 延”的规则（雍琦:《法律逻辑学》，法律出版社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195</w:t>
      </w:r>
      <w:r>
        <w:rPr>
          <w:color w:val="000000"/>
          <w:spacing w:val="0"/>
          <w:w w:val="100"/>
          <w:position w:val="0"/>
        </w:rPr>
        <w:t>页），推理</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和推理</w:t>
      </w:r>
      <w:r>
        <w:rPr>
          <w:rFonts w:ascii="Times New Roman" w:hAnsi="Times New Roman" w:eastAsia="Times New Roman" w:cs="Times New Roman"/>
          <w:color w:val="000000"/>
          <w:spacing w:val="0"/>
          <w:w w:val="100"/>
          <w:position w:val="0"/>
          <w:sz w:val="19"/>
          <w:szCs w:val="19"/>
        </w:rPr>
        <w:t>II</w:t>
      </w:r>
      <w:r>
        <w:rPr>
          <w:color w:val="000000"/>
          <w:spacing w:val="0"/>
          <w:w w:val="100"/>
          <w:position w:val="0"/>
        </w:rPr>
        <w:t>的结论不应 该是一个全称判断,故推理</w:t>
      </w: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就不能为真。其二，该推理具有</w:t>
      </w:r>
      <w:r>
        <w:rPr>
          <w:color w:val="000000"/>
          <w:spacing w:val="0"/>
          <w:w w:val="100"/>
          <w:position w:val="0"/>
          <w:lang w:val="zh-CN" w:eastAsia="zh-CN" w:bidi="zh-CN"/>
        </w:rPr>
        <w:t>“四</w:t>
      </w:r>
      <w:r>
        <w:rPr>
          <w:color w:val="000000"/>
          <w:spacing w:val="0"/>
          <w:w w:val="100"/>
          <w:position w:val="0"/>
        </w:rPr>
        <w:t>概念</w:t>
      </w:r>
      <w:r>
        <w:rPr>
          <w:color w:val="000000"/>
          <w:spacing w:val="0"/>
          <w:w w:val="100"/>
          <w:position w:val="0"/>
          <w:lang w:val="zh-CN" w:eastAsia="zh-CN" w:bidi="zh-CN"/>
        </w:rPr>
        <w:t>”错误</w:t>
      </w:r>
      <w:r>
        <w:rPr>
          <w:color w:val="000000"/>
          <w:spacing w:val="0"/>
          <w:w w:val="100"/>
          <w:position w:val="0"/>
        </w:rPr>
        <w:t>，大小前提是两 个没有逻辑关联的命题，不仅谈不上推理形式的有效性，也无所谓推理的合理性（雍琦:《法 律逻辑学》，法律出版社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195</w:t>
      </w:r>
      <w:r>
        <w:rPr>
          <w:color w:val="000000"/>
          <w:spacing w:val="0"/>
          <w:w w:val="100"/>
          <w:position w:val="0"/>
        </w:rPr>
        <w:t>页）。具体而言</w:t>
      </w:r>
      <w:r>
        <w:rPr>
          <w:color w:val="000000"/>
          <w:spacing w:val="0"/>
          <w:w w:val="100"/>
          <w:position w:val="0"/>
          <w:lang w:val="zh-CN" w:eastAsia="zh-CN" w:bidi="zh-CN"/>
        </w:rPr>
        <w:t>，“刑</w:t>
      </w:r>
      <w:r>
        <w:rPr>
          <w:color w:val="000000"/>
          <w:spacing w:val="0"/>
          <w:w w:val="100"/>
          <w:position w:val="0"/>
        </w:rPr>
        <w:t>事法律事实不等于民事法律事实” 是从法律效果的角度来陈述的</w:t>
      </w:r>
      <w:r>
        <w:rPr>
          <w:color w:val="000000"/>
          <w:spacing w:val="0"/>
          <w:w w:val="100"/>
          <w:position w:val="0"/>
          <w:lang w:val="zh-CN" w:eastAsia="zh-CN" w:bidi="zh-CN"/>
        </w:rPr>
        <w:t>，“非</w:t>
      </w:r>
      <w:r>
        <w:rPr>
          <w:color w:val="000000"/>
          <w:spacing w:val="0"/>
          <w:w w:val="100"/>
          <w:position w:val="0"/>
        </w:rPr>
        <w:t>法吸收公众存款的犯罪行为是刑事法律事实”与</w:t>
      </w:r>
      <w:r>
        <w:rPr>
          <w:color w:val="000000"/>
          <w:spacing w:val="0"/>
          <w:w w:val="100"/>
          <w:position w:val="0"/>
          <w:lang w:val="zh-CN" w:eastAsia="zh-CN" w:bidi="zh-CN"/>
        </w:rPr>
        <w:t xml:space="preserve">“民间 </w:t>
      </w:r>
      <w:r>
        <w:rPr>
          <w:color w:val="000000"/>
          <w:spacing w:val="0"/>
          <w:w w:val="100"/>
          <w:position w:val="0"/>
        </w:rPr>
        <w:t>借贷行为是民事法律事实</w:t>
      </w:r>
      <w:r>
        <w:rPr>
          <w:color w:val="000000"/>
          <w:spacing w:val="0"/>
          <w:w w:val="100"/>
          <w:position w:val="0"/>
          <w:lang w:val="zh-CN" w:eastAsia="zh-CN" w:bidi="zh-CN"/>
        </w:rPr>
        <w:t>”是</w:t>
      </w:r>
      <w:r>
        <w:rPr>
          <w:color w:val="000000"/>
          <w:spacing w:val="0"/>
          <w:w w:val="100"/>
          <w:position w:val="0"/>
        </w:rPr>
        <w:t>从行为定性的角度来陈述的，概念内涵不一致,在逻辑上就站 不住脚。</w:t>
      </w:r>
    </w:p>
    <w:p w14:paraId="0AD215B8">
      <w:pPr>
        <w:pStyle w:val="17"/>
        <w:keepNext w:val="0"/>
        <w:keepLines w:val="0"/>
        <w:widowControl w:val="0"/>
        <w:numPr>
          <w:ilvl w:val="0"/>
          <w:numId w:val="11"/>
        </w:numPr>
        <w:shd w:val="clear" w:color="auto" w:fill="auto"/>
        <w:tabs>
          <w:tab w:val="left" w:pos="702"/>
        </w:tabs>
        <w:bidi w:val="0"/>
        <w:spacing w:before="0" w:after="0" w:line="374" w:lineRule="auto"/>
        <w:ind w:left="0" w:right="0" w:firstLine="420"/>
        <w:jc w:val="both"/>
      </w:pPr>
      <w:bookmarkStart w:id="51" w:name="bookmark141"/>
      <w:bookmarkEnd w:id="51"/>
      <w:r>
        <w:rPr>
          <w:color w:val="000000"/>
          <w:spacing w:val="0"/>
          <w:w w:val="100"/>
          <w:position w:val="0"/>
        </w:rPr>
        <w:t>裁判逻辑的论证漏洞</w:t>
      </w:r>
    </w:p>
    <w:p w14:paraId="4F46D49B">
      <w:pPr>
        <w:pStyle w:val="17"/>
        <w:keepNext w:val="0"/>
        <w:keepLines w:val="0"/>
        <w:widowControl w:val="0"/>
        <w:shd w:val="clear" w:color="auto" w:fill="auto"/>
        <w:bidi w:val="0"/>
        <w:spacing w:before="0" w:after="120" w:line="339" w:lineRule="exact"/>
        <w:ind w:left="0" w:right="0" w:firstLine="420"/>
        <w:jc w:val="both"/>
      </w:pPr>
      <w:r>
        <w:rPr>
          <w:color w:val="000000"/>
          <w:spacing w:val="0"/>
          <w:w w:val="100"/>
          <w:position w:val="0"/>
        </w:rPr>
        <w:t>法律论证不是一个单纯的形式逻辑推演活动，“逻辑并不提供用以评价法律论证实质 向度和程序向度的规范”（［荷</w:t>
      </w:r>
      <w:r>
        <w:rPr>
          <w:color w:val="000000"/>
          <w:spacing w:val="0"/>
          <w:w w:val="100"/>
          <w:position w:val="0"/>
          <w:lang w:val="en-US" w:eastAsia="en-US" w:bidi="en-US"/>
        </w:rPr>
        <w:t>］</w:t>
      </w:r>
      <w:r>
        <w:rPr>
          <w:color w:val="000000"/>
          <w:spacing w:val="0"/>
          <w:w w:val="100"/>
          <w:position w:val="0"/>
        </w:rPr>
        <w:t>伊芙琳</w:t>
      </w:r>
      <w:r>
        <w:rPr>
          <w:color w:val="000000"/>
          <w:spacing w:val="0"/>
          <w:w w:val="100"/>
          <w:position w:val="0"/>
          <w:lang w:val="en-US" w:eastAsia="en-US" w:bidi="en-US"/>
        </w:rPr>
        <w:t>•</w:t>
      </w:r>
      <w:r>
        <w:rPr>
          <w:color w:val="000000"/>
          <w:spacing w:val="0"/>
          <w:w w:val="100"/>
          <w:position w:val="0"/>
        </w:rPr>
        <w:t>菲特丽丝:《法律论证原理》，张其山等译，商务印书馆</w:t>
      </w:r>
      <w:r>
        <w:rPr>
          <w:rFonts w:ascii="Times New Roman" w:hAnsi="Times New Roman" w:eastAsia="Times New Roman" w:cs="Times New Roman"/>
          <w:color w:val="000000"/>
          <w:spacing w:val="0"/>
          <w:w w:val="100"/>
          <w:position w:val="0"/>
          <w:sz w:val="17"/>
          <w:szCs w:val="17"/>
        </w:rPr>
        <w:t xml:space="preserve">2005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rPr>
        <w:t>页）。换言之，形式逻辑的推理不能替代法律论证。在裁判文书的说理部分，法官 用了</w:t>
      </w:r>
      <w:r>
        <w:rPr>
          <w:color w:val="000000"/>
          <w:spacing w:val="0"/>
          <w:w w:val="100"/>
          <w:position w:val="0"/>
          <w:lang w:val="zh-CN" w:eastAsia="zh-CN" w:bidi="zh-CN"/>
        </w:rPr>
        <w:t>“量变</w:t>
      </w:r>
      <w:r>
        <w:rPr>
          <w:color w:val="000000"/>
          <w:spacing w:val="0"/>
          <w:w w:val="100"/>
          <w:position w:val="0"/>
        </w:rPr>
        <w:t>到质变</w:t>
      </w:r>
      <w:r>
        <w:rPr>
          <w:color w:val="000000"/>
          <w:spacing w:val="0"/>
          <w:w w:val="100"/>
          <w:position w:val="0"/>
          <w:lang w:val="zh-CN" w:eastAsia="zh-CN" w:bidi="zh-CN"/>
        </w:rPr>
        <w:t>”的哲</w:t>
      </w:r>
      <w:r>
        <w:rPr>
          <w:color w:val="000000"/>
          <w:spacing w:val="0"/>
          <w:w w:val="100"/>
          <w:position w:val="0"/>
        </w:rPr>
        <w:t>学原理，但哲学原理与法学原理之间存在方法论上的</w:t>
      </w:r>
      <w:r>
        <w:rPr>
          <w:color w:val="000000"/>
          <w:spacing w:val="0"/>
          <w:w w:val="100"/>
          <w:position w:val="0"/>
          <w:lang w:val="zh-CN" w:eastAsia="zh-CN" w:bidi="zh-CN"/>
        </w:rPr>
        <w:t>“不</w:t>
      </w:r>
      <w:r>
        <w:rPr>
          <w:color w:val="000000"/>
          <w:spacing w:val="0"/>
          <w:w w:val="100"/>
          <w:position w:val="0"/>
        </w:rPr>
        <w:t>可通约 性</w:t>
      </w:r>
      <w:r>
        <w:rPr>
          <w:color w:val="000000"/>
          <w:spacing w:val="0"/>
          <w:w w:val="100"/>
          <w:position w:val="0"/>
          <w:lang w:val="zh-CN" w:eastAsia="zh-CN" w:bidi="zh-CN"/>
        </w:rPr>
        <w:t>”，用</w:t>
      </w:r>
      <w:r>
        <w:rPr>
          <w:color w:val="000000"/>
          <w:spacing w:val="0"/>
          <w:w w:val="100"/>
          <w:position w:val="0"/>
        </w:rPr>
        <w:t>抽象的哲学原理来诠释具体的法律规则缺乏足够的说服力。尤为重要的是，量变质 变规律揭示了同一事物的发展变化过程，这属于事实描述;而违法性效力的转换过程蕴含 着价值判断，二者之间不具有类推解释的适用空间。</w:t>
      </w:r>
    </w:p>
    <w:p w14:paraId="4D7FAFC2">
      <w:pPr>
        <w:pStyle w:val="17"/>
        <w:keepNext w:val="0"/>
        <w:keepLines w:val="0"/>
        <w:widowControl w:val="0"/>
        <w:shd w:val="clear" w:color="auto" w:fill="auto"/>
        <w:bidi w:val="0"/>
        <w:spacing w:before="0" w:after="180" w:line="343"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本案的学理展开</w:t>
      </w:r>
    </w:p>
    <w:p w14:paraId="7F927350">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.犯罪所涉合同是否当然无效？</w:t>
      </w:r>
    </w:p>
    <w:p w14:paraId="0CAD00C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犯罪行为所涉及的合同是否属于《民法典》第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条的无效情形，存在</w:t>
      </w:r>
      <w:r>
        <w:rPr>
          <w:color w:val="000000"/>
          <w:spacing w:val="0"/>
          <w:w w:val="100"/>
          <w:position w:val="0"/>
          <w:lang w:val="zh-CN" w:eastAsia="zh-CN" w:bidi="zh-CN"/>
        </w:rPr>
        <w:t>“当然</w:t>
      </w:r>
      <w:r>
        <w:rPr>
          <w:color w:val="000000"/>
          <w:spacing w:val="0"/>
          <w:w w:val="100"/>
          <w:position w:val="0"/>
        </w:rPr>
        <w:t>无效说</w:t>
      </w:r>
      <w:r>
        <w:rPr>
          <w:color w:val="000000"/>
          <w:spacing w:val="0"/>
          <w:w w:val="100"/>
          <w:position w:val="0"/>
          <w:lang w:val="zh-CN" w:eastAsia="zh-CN" w:bidi="zh-CN"/>
        </w:rPr>
        <w:t xml:space="preserve">”与 </w:t>
      </w:r>
      <w:r>
        <w:rPr>
          <w:color w:val="000000"/>
          <w:spacing w:val="0"/>
          <w:w w:val="100"/>
          <w:position w:val="0"/>
        </w:rPr>
        <w:t>“部门法自洽说</w:t>
      </w:r>
      <w:r>
        <w:rPr>
          <w:color w:val="000000"/>
          <w:spacing w:val="0"/>
          <w:w w:val="100"/>
          <w:position w:val="0"/>
          <w:lang w:val="zh-CN" w:eastAsia="zh-CN" w:bidi="zh-CN"/>
        </w:rPr>
        <w:t>”两</w:t>
      </w:r>
      <w:r>
        <w:rPr>
          <w:color w:val="000000"/>
          <w:spacing w:val="0"/>
          <w:w w:val="100"/>
          <w:position w:val="0"/>
        </w:rPr>
        <w:t>种截然相反的观点。</w:t>
      </w:r>
      <w:r>
        <w:rPr>
          <w:color w:val="000000"/>
          <w:spacing w:val="0"/>
          <w:w w:val="100"/>
          <w:position w:val="0"/>
          <w:lang w:val="zh-CN" w:eastAsia="zh-CN" w:bidi="zh-CN"/>
        </w:rPr>
        <w:t>“当</w:t>
      </w:r>
      <w:r>
        <w:rPr>
          <w:color w:val="000000"/>
          <w:spacing w:val="0"/>
          <w:w w:val="100"/>
          <w:position w:val="0"/>
        </w:rPr>
        <w:t>然无效说</w:t>
      </w:r>
      <w:r>
        <w:rPr>
          <w:color w:val="000000"/>
          <w:spacing w:val="0"/>
          <w:w w:val="100"/>
          <w:position w:val="0"/>
          <w:lang w:val="zh-CN" w:eastAsia="zh-CN" w:bidi="zh-CN"/>
        </w:rPr>
        <w:t>”认为</w:t>
      </w:r>
      <w:r>
        <w:rPr>
          <w:color w:val="000000"/>
          <w:spacing w:val="0"/>
          <w:w w:val="100"/>
          <w:position w:val="0"/>
        </w:rPr>
        <w:t>,犯罪行为被法律所禁止,实施 犯罪的合同是一种违反公共秩序的合同，当然无效。</w:t>
      </w:r>
      <w:r>
        <w:rPr>
          <w:color w:val="000000"/>
          <w:spacing w:val="0"/>
          <w:w w:val="100"/>
          <w:position w:val="0"/>
          <w:lang w:val="zh-CN" w:eastAsia="zh-CN" w:bidi="zh-CN"/>
        </w:rPr>
        <w:t>“部</w:t>
      </w:r>
      <w:r>
        <w:rPr>
          <w:color w:val="000000"/>
          <w:spacing w:val="0"/>
          <w:w w:val="100"/>
          <w:position w:val="0"/>
        </w:rPr>
        <w:t>门法自洽说”从公私法分立的大陆 法系传统出发，围绕民法与刑法在构成要件上的差异性，强调私法的独立性，期冀</w:t>
      </w:r>
      <w:r>
        <w:rPr>
          <w:color w:val="000000"/>
          <w:spacing w:val="0"/>
          <w:w w:val="100"/>
          <w:position w:val="0"/>
          <w:lang w:val="zh-CN" w:eastAsia="zh-CN" w:bidi="zh-CN"/>
        </w:rPr>
        <w:t>“排</w:t>
      </w:r>
      <w:r>
        <w:rPr>
          <w:color w:val="000000"/>
          <w:spacing w:val="0"/>
          <w:w w:val="100"/>
          <w:position w:val="0"/>
        </w:rPr>
        <w:t>除公 法尤其是刑法的不当侵越</w:t>
      </w:r>
      <w:r>
        <w:rPr>
          <w:color w:val="000000"/>
          <w:spacing w:val="0"/>
          <w:w w:val="100"/>
          <w:position w:val="0"/>
          <w:lang w:val="zh-CN" w:eastAsia="zh-CN" w:bidi="zh-CN"/>
        </w:rPr>
        <w:t>”（叶</w:t>
      </w:r>
      <w:r>
        <w:rPr>
          <w:color w:val="000000"/>
          <w:spacing w:val="0"/>
          <w:w w:val="100"/>
          <w:position w:val="0"/>
        </w:rPr>
        <w:t>名怡：《涉合同诈骗的民法规制》，载《中国法学》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xml:space="preserve">期）。 </w:t>
      </w:r>
      <w:r>
        <w:rPr>
          <w:color w:val="000000"/>
          <w:spacing w:val="0"/>
          <w:w w:val="100"/>
          <w:position w:val="0"/>
          <w:lang w:val="zh-CN" w:eastAsia="zh-CN" w:bidi="zh-CN"/>
        </w:rPr>
        <w:t>“部</w:t>
      </w:r>
      <w:r>
        <w:rPr>
          <w:color w:val="000000"/>
          <w:spacing w:val="0"/>
          <w:w w:val="100"/>
          <w:position w:val="0"/>
        </w:rPr>
        <w:t>门法自洽说”固然具有批驳</w:t>
      </w:r>
      <w:r>
        <w:rPr>
          <w:color w:val="000000"/>
          <w:spacing w:val="0"/>
          <w:w w:val="100"/>
          <w:position w:val="0"/>
          <w:lang w:val="zh-CN" w:eastAsia="zh-CN" w:bidi="zh-CN"/>
        </w:rPr>
        <w:t>“当然</w:t>
      </w:r>
      <w:r>
        <w:rPr>
          <w:color w:val="000000"/>
          <w:spacing w:val="0"/>
          <w:w w:val="100"/>
          <w:position w:val="0"/>
        </w:rPr>
        <w:t>无效说</w:t>
      </w:r>
      <w:r>
        <w:rPr>
          <w:color w:val="000000"/>
          <w:spacing w:val="0"/>
          <w:w w:val="100"/>
          <w:position w:val="0"/>
          <w:lang w:val="zh-CN" w:eastAsia="zh-CN" w:bidi="zh-CN"/>
        </w:rPr>
        <w:t>”的理</w:t>
      </w:r>
      <w:r>
        <w:rPr>
          <w:color w:val="000000"/>
          <w:spacing w:val="0"/>
          <w:w w:val="100"/>
          <w:position w:val="0"/>
        </w:rPr>
        <w:t>论功效，但过度渲染了私法与公法的分 野。毕竟从法秩序的一致性原理来看，部门法的规则自洽存在无形的边界,就是法律秩序 的内在统一。</w:t>
      </w:r>
    </w:p>
    <w:p w14:paraId="17D2F12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lang w:val="zh-CN" w:eastAsia="zh-CN" w:bidi="zh-CN"/>
        </w:rPr>
        <w:t>“当然</w:t>
      </w:r>
      <w:r>
        <w:rPr>
          <w:color w:val="000000"/>
          <w:spacing w:val="0"/>
          <w:w w:val="100"/>
          <w:position w:val="0"/>
        </w:rPr>
        <w:t>无效说</w:t>
      </w:r>
      <w:r>
        <w:rPr>
          <w:color w:val="000000"/>
          <w:spacing w:val="0"/>
          <w:w w:val="100"/>
          <w:position w:val="0"/>
          <w:lang w:val="zh-CN" w:eastAsia="zh-CN" w:bidi="zh-CN"/>
        </w:rPr>
        <w:t>”固</w:t>
      </w:r>
      <w:r>
        <w:rPr>
          <w:color w:val="000000"/>
          <w:spacing w:val="0"/>
          <w:w w:val="100"/>
          <w:position w:val="0"/>
        </w:rPr>
        <w:t>然清晰明白，却失之偏颇。依照刑法的谦抑性原理，刑罚权的发动是 国家维护社会秩序的最后一道防线。刑事责任与民事责任只存在强弱之差,不存在高下之 别。换言之，刑事责任的成立，并非</w:t>
      </w:r>
      <w:r>
        <w:rPr>
          <w:color w:val="000000"/>
          <w:spacing w:val="0"/>
          <w:w w:val="100"/>
          <w:position w:val="0"/>
          <w:lang w:val="zh-CN" w:eastAsia="zh-CN" w:bidi="zh-CN"/>
        </w:rPr>
        <w:t>“自</w:t>
      </w:r>
      <w:r>
        <w:rPr>
          <w:color w:val="000000"/>
          <w:spacing w:val="0"/>
          <w:w w:val="100"/>
          <w:position w:val="0"/>
        </w:rPr>
        <w:t>动对应</w:t>
      </w:r>
      <w:r>
        <w:rPr>
          <w:color w:val="000000"/>
          <w:spacing w:val="0"/>
          <w:w w:val="100"/>
          <w:position w:val="0"/>
          <w:lang w:val="zh-CN" w:eastAsia="zh-CN" w:bidi="zh-CN"/>
        </w:rPr>
        <w:t>”最严</w:t>
      </w:r>
      <w:r>
        <w:rPr>
          <w:color w:val="000000"/>
          <w:spacing w:val="0"/>
          <w:w w:val="100"/>
          <w:position w:val="0"/>
        </w:rPr>
        <w:t>厉的民事责任</w:t>
      </w:r>
      <w:r>
        <w:rPr>
          <w:color w:val="000000"/>
          <w:spacing w:val="0"/>
          <w:w w:val="100"/>
          <w:position w:val="0"/>
          <w:lang w:val="en-US" w:eastAsia="en-US" w:bidi="en-US"/>
        </w:rPr>
        <w:t>一一</w:t>
      </w:r>
      <w:r>
        <w:rPr>
          <w:color w:val="000000"/>
          <w:spacing w:val="0"/>
          <w:w w:val="100"/>
          <w:position w:val="0"/>
        </w:rPr>
        <w:t>以无效制度来彻底 否定当事人的意思表示。理由在于两个方面：</w:t>
      </w:r>
    </w:p>
    <w:p w14:paraId="5B93828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一方面，就私法效果而言,</w:t>
      </w:r>
      <w:r>
        <w:rPr>
          <w:color w:val="000000"/>
          <w:spacing w:val="0"/>
          <w:w w:val="100"/>
          <w:position w:val="0"/>
          <w:lang w:val="zh-CN" w:eastAsia="zh-CN" w:bidi="zh-CN"/>
        </w:rPr>
        <w:t>“当然</w:t>
      </w:r>
      <w:r>
        <w:rPr>
          <w:color w:val="000000"/>
          <w:spacing w:val="0"/>
          <w:w w:val="100"/>
          <w:position w:val="0"/>
        </w:rPr>
        <w:t>无效说</w:t>
      </w:r>
      <w:r>
        <w:rPr>
          <w:color w:val="000000"/>
          <w:spacing w:val="0"/>
          <w:w w:val="100"/>
          <w:position w:val="0"/>
          <w:lang w:val="zh-CN" w:eastAsia="zh-CN" w:bidi="zh-CN"/>
        </w:rPr>
        <w:t>”会导</w:t>
      </w:r>
      <w:r>
        <w:rPr>
          <w:color w:val="000000"/>
          <w:spacing w:val="0"/>
          <w:w w:val="100"/>
          <w:position w:val="0"/>
        </w:rPr>
        <w:t>致私益上的不公正。</w:t>
      </w:r>
      <w:r>
        <w:rPr>
          <w:color w:val="000000"/>
          <w:spacing w:val="0"/>
          <w:w w:val="100"/>
          <w:position w:val="0"/>
          <w:lang w:val="zh-CN" w:eastAsia="zh-CN" w:bidi="zh-CN"/>
        </w:rPr>
        <w:t>“一</w:t>
      </w:r>
      <w:r>
        <w:rPr>
          <w:color w:val="000000"/>
          <w:spacing w:val="0"/>
          <w:w w:val="100"/>
          <w:position w:val="0"/>
        </w:rPr>
        <w:t>切法律,不论公 法或私法，都同时以保护公共利益和个人利益为目的”（［葡</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Carlos Alberto da Mota Pinto</w:t>
      </w:r>
      <w:r>
        <w:rPr>
          <w:color w:val="000000"/>
          <w:spacing w:val="0"/>
          <w:w w:val="100"/>
          <w:position w:val="0"/>
          <w:lang w:val="en-US" w:eastAsia="en-US" w:bidi="en-US"/>
        </w:rPr>
        <w:t>：（</w:t>
      </w:r>
      <w:r>
        <w:rPr>
          <w:color w:val="000000"/>
          <w:spacing w:val="0"/>
          <w:w w:val="100"/>
          <w:position w:val="0"/>
        </w:rPr>
        <w:t>民法 总论》（第</w:t>
      </w:r>
      <w:r>
        <w:rPr>
          <w:rFonts w:ascii="Times New Roman" w:hAnsi="Times New Roman" w:eastAsia="Times New Roman" w:cs="Times New Roman"/>
          <w:color w:val="000000"/>
          <w:spacing w:val="0"/>
          <w:w w:val="100"/>
          <w:position w:val="0"/>
          <w:sz w:val="17"/>
          <w:szCs w:val="17"/>
          <w:lang w:val="en-US" w:eastAsia="en-US" w:bidi="en-US"/>
        </w:rPr>
        <w:t>5</w:t>
      </w:r>
      <w:r>
        <w:rPr>
          <w:color w:val="000000"/>
          <w:spacing w:val="0"/>
          <w:w w:val="100"/>
          <w:position w:val="0"/>
        </w:rPr>
        <w:t>版），林炳辉等译，澳门法务局、澳门大学法学院</w:t>
      </w:r>
      <w:r>
        <w:rPr>
          <w:rFonts w:ascii="Times New Roman" w:hAnsi="Times New Roman" w:eastAsia="Times New Roman" w:cs="Times New Roman"/>
          <w:color w:val="000000"/>
          <w:spacing w:val="0"/>
          <w:w w:val="100"/>
          <w:position w:val="0"/>
          <w:sz w:val="17"/>
          <w:szCs w:val="17"/>
          <w:lang w:val="en-US" w:eastAsia="en-US" w:bidi="en-US"/>
        </w:rPr>
        <w:t>1999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7</w:t>
      </w:r>
      <w:r>
        <w:rPr>
          <w:color w:val="000000"/>
          <w:spacing w:val="0"/>
          <w:w w:val="100"/>
          <w:position w:val="0"/>
        </w:rPr>
        <w:t>页）。把对公共利益的侵 害作为合同无效的原因是两大法系公认的法理，无可指摘。“当然无效说</w:t>
      </w:r>
      <w:r>
        <w:rPr>
          <w:color w:val="000000"/>
          <w:spacing w:val="0"/>
          <w:w w:val="100"/>
          <w:position w:val="0"/>
          <w:lang w:val="zh-CN" w:eastAsia="zh-CN" w:bidi="zh-CN"/>
        </w:rPr>
        <w:t>”的硬</w:t>
      </w:r>
      <w:r>
        <w:rPr>
          <w:color w:val="000000"/>
          <w:spacing w:val="0"/>
          <w:w w:val="100"/>
          <w:position w:val="0"/>
        </w:rPr>
        <w:t>伤在于，姑 且无论公法与私法在法益位阶上的高低,至少可以明确的是,无条件、无例外地否定犯罪所 涉合同效力，未必能够保护公共利益,反倒可能造成私益保护的不公正。</w:t>
      </w:r>
    </w:p>
    <w:p w14:paraId="4746682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另一方面，就刑罚功能而言,</w:t>
      </w:r>
      <w:r>
        <w:rPr>
          <w:color w:val="000000"/>
          <w:spacing w:val="0"/>
          <w:w w:val="100"/>
          <w:position w:val="0"/>
          <w:lang w:val="zh-CN" w:eastAsia="zh-CN" w:bidi="zh-CN"/>
        </w:rPr>
        <w:t>“当然</w:t>
      </w:r>
      <w:r>
        <w:rPr>
          <w:color w:val="000000"/>
          <w:spacing w:val="0"/>
          <w:w w:val="100"/>
          <w:position w:val="0"/>
        </w:rPr>
        <w:t>无效说</w:t>
      </w:r>
      <w:r>
        <w:rPr>
          <w:color w:val="000000"/>
          <w:spacing w:val="0"/>
          <w:w w:val="100"/>
          <w:position w:val="0"/>
          <w:lang w:val="zh-CN" w:eastAsia="zh-CN" w:bidi="zh-CN"/>
        </w:rPr>
        <w:t>”有悖</w:t>
      </w:r>
      <w:r>
        <w:rPr>
          <w:color w:val="000000"/>
          <w:spacing w:val="0"/>
          <w:w w:val="100"/>
          <w:position w:val="0"/>
        </w:rPr>
        <w:t>于刑法的规范意义。刑事责任是加害 人对国家承担的责任，民事责任是加害人对受害人承担的责任，二者之间,不是择一关系， 而是叠加关系。无论是把刑罚功能理解为报应还是预防，如果完全漠视受害人利益，刑罚 功能的实现都是大打折扣的。</w:t>
      </w:r>
    </w:p>
    <w:p w14:paraId="1B034BCE">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犯罪所涉合同在何种情形下有效？</w:t>
      </w:r>
    </w:p>
    <w:p w14:paraId="02F5A03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法律行为的实施满足犯罪构成要件时,其欲生效力，除须具备一般法律行为的生效要 件外,还应从以下几步逐次测试：</w:t>
      </w:r>
    </w:p>
    <w:p w14:paraId="45B5830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第一步测试:犯罪主体。具体而言，观察犯罪主体是否为双方当事人，这应该是效力考 量的首要因素。如弗卢梅所言</w:t>
      </w:r>
      <w:r>
        <w:rPr>
          <w:color w:val="000000"/>
          <w:spacing w:val="0"/>
          <w:w w:val="100"/>
          <w:position w:val="0"/>
          <w:lang w:val="zh-CN" w:eastAsia="zh-CN" w:bidi="zh-CN"/>
        </w:rPr>
        <w:t>，“只</w:t>
      </w:r>
      <w:r>
        <w:rPr>
          <w:color w:val="000000"/>
          <w:spacing w:val="0"/>
          <w:w w:val="100"/>
          <w:position w:val="0"/>
        </w:rPr>
        <w:t>有当所有参与法律行为的当事人都触犯刑法规范，或明 知或能够预见到其中一人的行为触犯刑法规范，却仍然为自己的利益实施法律行为时，才 能将禁止实施某一行为的刑法规范作为禁止性规范适用于该法律行为本身”（［德</w:t>
      </w:r>
      <w:r>
        <w:rPr>
          <w:color w:val="000000"/>
          <w:spacing w:val="0"/>
          <w:w w:val="100"/>
          <w:position w:val="0"/>
          <w:lang w:val="en-US" w:eastAsia="en-US" w:bidi="en-US"/>
        </w:rPr>
        <w:t>］</w:t>
      </w:r>
      <w:r>
        <w:rPr>
          <w:color w:val="000000"/>
          <w:spacing w:val="0"/>
          <w:w w:val="100"/>
          <w:position w:val="0"/>
        </w:rPr>
        <w:t>维尔纳・ 弗卢梅:《法律行为论》，迟颖译，法律出版社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406</w:t>
      </w:r>
      <w:r>
        <w:rPr>
          <w:color w:val="000000"/>
          <w:spacing w:val="0"/>
          <w:w w:val="100"/>
          <w:position w:val="0"/>
        </w:rPr>
        <w:t>页）。在合同当事人一方构成犯罪 时，合同相对方通过法律行为所追求的私法效果不应因合同无效而被彻底剥夺，合同效力 需结合后述因素加以考量。</w:t>
      </w:r>
    </w:p>
    <w:p w14:paraId="7A3ACCF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第二步测试:合同时点。如果是单方犯罪，应审查犯罪时点为缔约阶段还是履约阶段。 如果合同的缔结并不构成犯罪，犯罪行为发生在合同履行阶段，犯罪所涉合同通常应认定 为有效。以《刑法修正案（八）》所规定的恶意欠薪罪为例，劳动者与雇佣者之间订立的劳动 报酬合同必然是有效的,恶意欠薪行为只能发生在合同履行阶段。申言之，恶意欠薪罪的 成立,不仅无法否定合同的有效性，还以刑罚制裁来强化合同效力，通过</w:t>
      </w:r>
      <w:r>
        <w:rPr>
          <w:color w:val="000000"/>
          <w:spacing w:val="0"/>
          <w:w w:val="100"/>
          <w:position w:val="0"/>
          <w:lang w:val="zh-CN" w:eastAsia="zh-CN" w:bidi="zh-CN"/>
        </w:rPr>
        <w:t>“入罪</w:t>
      </w:r>
      <w:r>
        <w:rPr>
          <w:color w:val="000000"/>
          <w:spacing w:val="0"/>
          <w:w w:val="100"/>
          <w:position w:val="0"/>
        </w:rPr>
        <w:t>化”的刑事政 策来保障合同权利的实现。</w:t>
      </w:r>
    </w:p>
    <w:p w14:paraId="6D9964F9">
      <w:pPr>
        <w:pStyle w:val="17"/>
        <w:keepNext w:val="0"/>
        <w:keepLines w:val="0"/>
        <w:widowControl w:val="0"/>
        <w:shd w:val="clear" w:color="auto" w:fill="auto"/>
        <w:bidi w:val="0"/>
        <w:spacing w:before="0" w:after="180" w:line="339" w:lineRule="exact"/>
        <w:ind w:left="0" w:right="0" w:firstLine="420"/>
        <w:jc w:val="both"/>
      </w:pPr>
      <w:r>
        <w:rPr>
          <w:color w:val="000000"/>
          <w:spacing w:val="0"/>
          <w:w w:val="100"/>
          <w:position w:val="0"/>
        </w:rPr>
        <w:t>第三步测试:合同目的。如果犯罪时点是在缔约阶段，应探究是否以追求犯罪结果为 合同目的。阻断涉罪合同的私法效力应符合刑法的规范意旨。</w:t>
      </w:r>
      <w:r>
        <w:rPr>
          <w:color w:val="000000"/>
          <w:spacing w:val="0"/>
          <w:w w:val="100"/>
          <w:position w:val="0"/>
          <w:lang w:val="zh-CN" w:eastAsia="zh-CN" w:bidi="zh-CN"/>
        </w:rPr>
        <w:t>“对那</w:t>
      </w:r>
      <w:r>
        <w:rPr>
          <w:color w:val="000000"/>
          <w:spacing w:val="0"/>
          <w:w w:val="100"/>
          <w:position w:val="0"/>
        </w:rPr>
        <w:t>些不畏公法制裁而实 施违法行为者，在私法上也拒绝对其保护，是法政策上最为妥善的选择。</w:t>
      </w:r>
      <w:r>
        <w:rPr>
          <w:color w:val="000000"/>
          <w:spacing w:val="0"/>
          <w:w w:val="100"/>
          <w:position w:val="0"/>
          <w:lang w:val="zh-CN" w:eastAsia="zh-CN" w:bidi="zh-CN"/>
        </w:rPr>
        <w:t>”（孙</w:t>
      </w:r>
      <w:r>
        <w:rPr>
          <w:color w:val="000000"/>
          <w:spacing w:val="0"/>
          <w:w w:val="100"/>
          <w:position w:val="0"/>
        </w:rPr>
        <w:t>鹏:《私法自治与 公法强制</w:t>
      </w:r>
      <w:r>
        <w:rPr>
          <w:color w:val="000000"/>
          <w:spacing w:val="0"/>
          <w:w w:val="100"/>
          <w:position w:val="0"/>
          <w:lang w:val="en-US" w:eastAsia="en-US" w:bidi="en-US"/>
        </w:rPr>
        <w:t>一一</w:t>
      </w:r>
      <w:r>
        <w:rPr>
          <w:color w:val="000000"/>
          <w:spacing w:val="0"/>
          <w:w w:val="100"/>
          <w:position w:val="0"/>
        </w:rPr>
        <w:t>日本强制性法规违反行为效力论之展开》，载《环球法律评论》</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期）反之，倘 若缔约并非以犯罪为目的,就应当尽量维护合同效力。在三步测试过程中,合同目的评价 是最难审查的环节,只能综合诸多因素加以判断（例如，英格兰及威尔士法律委员会在</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年的 法律改革报告中，建议从法律秩序的一致性、违法性程度、威慑效果、比例原则、缔约及履约情景五个方 面来审查涉罪合同的效力。</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See Law Commission of England and Wales, The Illegality Defence</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000000"/>
          <w:spacing w:val="0"/>
          <w:w w:val="100"/>
          <w:position w:val="0"/>
          <w:sz w:val="17"/>
          <w:szCs w:val="17"/>
          <w:lang w:val="en-US" w:eastAsia="en-US" w:bidi="en-US"/>
        </w:rPr>
        <w:t>A Con</w:t>
      </w:r>
      <w:r>
        <w:rPr>
          <w:rFonts w:ascii="Times New Roman" w:hAnsi="Times New Roman" w:eastAsia="Times New Roman" w:cs="Times New Roman"/>
          <w:color w:val="000000"/>
          <w:spacing w:val="0"/>
          <w:w w:val="100"/>
          <w:position w:val="0"/>
          <w:sz w:val="17"/>
          <w:szCs w:val="17"/>
          <w:lang w:val="en-US" w:eastAsia="en-US" w:bidi="en-US"/>
        </w:rPr>
        <w:softHyphen/>
      </w:r>
      <w:r>
        <w:rPr>
          <w:rFonts w:ascii="Times New Roman" w:hAnsi="Times New Roman" w:eastAsia="Times New Roman" w:cs="Times New Roman"/>
          <w:color w:val="000000"/>
          <w:spacing w:val="0"/>
          <w:w w:val="100"/>
          <w:position w:val="0"/>
          <w:sz w:val="17"/>
          <w:szCs w:val="17"/>
          <w:lang w:val="en-US" w:eastAsia="en-US" w:bidi="en-US"/>
        </w:rPr>
        <w:t>sultative Report （Consultation Paper No 189）</w:t>
      </w:r>
      <w:r>
        <w:rPr>
          <w:color w:val="000000"/>
          <w:spacing w:val="0"/>
          <w:w w:val="100"/>
          <w:position w:val="0"/>
          <w:lang w:val="en-US" w:eastAsia="en-US" w:bidi="en-US"/>
        </w:rPr>
        <w:t>］</w:t>
      </w:r>
    </w:p>
    <w:p w14:paraId="6133069D">
      <w:pPr>
        <w:pStyle w:val="17"/>
        <w:keepNext w:val="0"/>
        <w:keepLines w:val="0"/>
        <w:widowControl w:val="0"/>
        <w:shd w:val="clear" w:color="auto" w:fill="auto"/>
        <w:bidi w:val="0"/>
        <w:spacing w:before="0" w:after="180" w:line="341" w:lineRule="exact"/>
        <w:ind w:left="0" w:right="0" w:firstLine="0"/>
        <w:jc w:val="both"/>
      </w:pPr>
      <w:r>
        <w:rPr>
          <w:color w:val="000000"/>
          <w:spacing w:val="0"/>
          <w:w w:val="100"/>
          <w:position w:val="0"/>
          <w:lang w:val="en-US" w:eastAsia="en-US" w:bidi="en-US"/>
        </w:rPr>
        <w:t>®</w:t>
      </w:r>
      <w:r>
        <w:rPr>
          <w:color w:val="000000"/>
          <w:spacing w:val="0"/>
          <w:w w:val="100"/>
          <w:position w:val="0"/>
        </w:rPr>
        <w:t>民间借贷案件涉嫌非法吸收公众存款犯罪，如何认定借贷合同的效力？</w:t>
      </w:r>
    </w:p>
    <w:p w14:paraId="6D1F0712">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犯罪行为必然导致合同无效的观点不能成立，但不能反过来说犯罪行为与合同效力无 逻辑关系。在涉嫌非法吸收公众存款罪案件（以下简称</w:t>
      </w:r>
      <w:r>
        <w:rPr>
          <w:color w:val="000000"/>
          <w:spacing w:val="0"/>
          <w:w w:val="100"/>
          <w:position w:val="0"/>
          <w:lang w:val="zh-CN" w:eastAsia="zh-CN" w:bidi="zh-CN"/>
        </w:rPr>
        <w:t>“非</w:t>
      </w:r>
      <w:r>
        <w:rPr>
          <w:color w:val="000000"/>
          <w:spacing w:val="0"/>
          <w:w w:val="100"/>
          <w:position w:val="0"/>
        </w:rPr>
        <w:t>吸罪”）中，出借人与借款人、担 保人签订的主从合同的效力认定，同样可以适用前述</w:t>
      </w:r>
      <w:r>
        <w:rPr>
          <w:color w:val="000000"/>
          <w:spacing w:val="0"/>
          <w:w w:val="100"/>
          <w:position w:val="0"/>
          <w:lang w:val="zh-CN" w:eastAsia="zh-CN" w:bidi="zh-CN"/>
        </w:rPr>
        <w:t>“三</w:t>
      </w:r>
      <w:r>
        <w:rPr>
          <w:color w:val="000000"/>
          <w:spacing w:val="0"/>
          <w:w w:val="100"/>
          <w:position w:val="0"/>
        </w:rPr>
        <w:t>步法</w:t>
      </w:r>
      <w:r>
        <w:rPr>
          <w:color w:val="000000"/>
          <w:spacing w:val="0"/>
          <w:w w:val="100"/>
          <w:position w:val="0"/>
          <w:lang w:val="zh-CN" w:eastAsia="zh-CN" w:bidi="zh-CN"/>
        </w:rPr>
        <w:t>”进行</w:t>
      </w:r>
      <w:r>
        <w:rPr>
          <w:color w:val="000000"/>
          <w:spacing w:val="0"/>
          <w:w w:val="100"/>
          <w:position w:val="0"/>
        </w:rPr>
        <w:t>判断。</w:t>
      </w:r>
    </w:p>
    <w:p w14:paraId="2FBA165E">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就犯罪主体而言</w:t>
      </w:r>
      <w:r>
        <w:rPr>
          <w:color w:val="000000"/>
          <w:spacing w:val="0"/>
          <w:w w:val="100"/>
          <w:position w:val="0"/>
          <w:lang w:val="zh-CN" w:eastAsia="zh-CN" w:bidi="zh-CN"/>
        </w:rPr>
        <w:t>，“非</w:t>
      </w:r>
      <w:r>
        <w:rPr>
          <w:color w:val="000000"/>
          <w:spacing w:val="0"/>
          <w:w w:val="100"/>
          <w:position w:val="0"/>
        </w:rPr>
        <w:t>吸罪</w:t>
      </w:r>
      <w:r>
        <w:rPr>
          <w:color w:val="000000"/>
          <w:spacing w:val="0"/>
          <w:w w:val="100"/>
          <w:position w:val="0"/>
          <w:lang w:val="zh-CN" w:eastAsia="zh-CN" w:bidi="zh-CN"/>
        </w:rPr>
        <w:t>”的</w:t>
      </w:r>
      <w:r>
        <w:rPr>
          <w:color w:val="000000"/>
          <w:spacing w:val="0"/>
          <w:w w:val="100"/>
          <w:position w:val="0"/>
        </w:rPr>
        <w:t>犯罪主体限于一方当事人即借贷人，出借人存在主观过 错（如明知违反国家金融政策而以高息出借）并不构成犯罪。因此，涉嫌</w:t>
      </w:r>
      <w:r>
        <w:rPr>
          <w:color w:val="000000"/>
          <w:spacing w:val="0"/>
          <w:w w:val="100"/>
          <w:position w:val="0"/>
          <w:lang w:val="zh-CN" w:eastAsia="zh-CN" w:bidi="zh-CN"/>
        </w:rPr>
        <w:t>“非</w:t>
      </w:r>
      <w:r>
        <w:rPr>
          <w:color w:val="000000"/>
          <w:spacing w:val="0"/>
          <w:w w:val="100"/>
          <w:position w:val="0"/>
        </w:rPr>
        <w:t>吸罪</w:t>
      </w:r>
      <w:r>
        <w:rPr>
          <w:color w:val="000000"/>
          <w:spacing w:val="0"/>
          <w:w w:val="100"/>
          <w:position w:val="0"/>
          <w:lang w:val="zh-CN" w:eastAsia="zh-CN" w:bidi="zh-CN"/>
        </w:rPr>
        <w:t>”的</w:t>
      </w:r>
      <w:r>
        <w:rPr>
          <w:color w:val="000000"/>
          <w:spacing w:val="0"/>
          <w:w w:val="100"/>
          <w:position w:val="0"/>
        </w:rPr>
        <w:t>民间借 贷合同符合有效情形的第一项要件。</w:t>
      </w:r>
    </w:p>
    <w:p w14:paraId="0A26CD68">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就合同时点而言，涉嫌</w:t>
      </w:r>
      <w:r>
        <w:rPr>
          <w:color w:val="000000"/>
          <w:spacing w:val="0"/>
          <w:w w:val="100"/>
          <w:position w:val="0"/>
          <w:lang w:val="zh-CN" w:eastAsia="zh-CN" w:bidi="zh-CN"/>
        </w:rPr>
        <w:t>“非</w:t>
      </w:r>
      <w:r>
        <w:rPr>
          <w:color w:val="000000"/>
          <w:spacing w:val="0"/>
          <w:w w:val="100"/>
          <w:position w:val="0"/>
        </w:rPr>
        <w:t>吸罪”借贷合同的犯罪时点是在缔约阶段而非履约阶段，因 此需要进入第三步测试，探求是否以追求犯罪结果为合同目的。</w:t>
      </w:r>
    </w:p>
    <w:p w14:paraId="34643656">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就合同目的评价而言,有如下问题需要厘清：</w:t>
      </w:r>
    </w:p>
    <w:p w14:paraId="0AB8EB69">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第一，涉嫌</w:t>
      </w:r>
      <w:r>
        <w:rPr>
          <w:color w:val="000000"/>
          <w:spacing w:val="0"/>
          <w:w w:val="100"/>
          <w:position w:val="0"/>
          <w:lang w:val="zh-CN" w:eastAsia="zh-CN" w:bidi="zh-CN"/>
        </w:rPr>
        <w:t>“非</w:t>
      </w:r>
      <w:r>
        <w:rPr>
          <w:color w:val="000000"/>
          <w:spacing w:val="0"/>
          <w:w w:val="100"/>
          <w:position w:val="0"/>
        </w:rPr>
        <w:t>吸罪</w:t>
      </w:r>
      <w:r>
        <w:rPr>
          <w:color w:val="000000"/>
          <w:spacing w:val="0"/>
          <w:w w:val="100"/>
          <w:position w:val="0"/>
          <w:lang w:val="zh-CN" w:eastAsia="zh-CN" w:bidi="zh-CN"/>
        </w:rPr>
        <w:t>”的借</w:t>
      </w:r>
      <w:r>
        <w:rPr>
          <w:color w:val="000000"/>
          <w:spacing w:val="0"/>
          <w:w w:val="100"/>
          <w:position w:val="0"/>
        </w:rPr>
        <w:t>贷合同不属于</w:t>
      </w:r>
      <w:r>
        <w:rPr>
          <w:color w:val="000000"/>
          <w:spacing w:val="0"/>
          <w:w w:val="100"/>
          <w:position w:val="0"/>
          <w:lang w:val="zh-CN" w:eastAsia="zh-CN" w:bidi="zh-CN"/>
        </w:rPr>
        <w:t>“以</w:t>
      </w:r>
      <w:r>
        <w:rPr>
          <w:color w:val="000000"/>
          <w:spacing w:val="0"/>
          <w:w w:val="100"/>
          <w:position w:val="0"/>
        </w:rPr>
        <w:t xml:space="preserve">合法形式掩盖非法目的”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根据最高人民法 院《关于审理非法集资刑事案件具体应用法律若干问题的解释》［法释</w:t>
      </w:r>
      <w:r>
        <w:rPr>
          <w:rFonts w:ascii="Times New Roman" w:hAnsi="Times New Roman" w:eastAsia="Times New Roman" w:cs="Times New Roman"/>
          <w:color w:val="000000"/>
          <w:spacing w:val="0"/>
          <w:w w:val="100"/>
          <w:position w:val="0"/>
          <w:sz w:val="17"/>
          <w:szCs w:val="17"/>
        </w:rPr>
        <w:t>（2010）18</w:t>
      </w:r>
      <w:r>
        <w:rPr>
          <w:color w:val="000000"/>
          <w:spacing w:val="0"/>
          <w:w w:val="100"/>
          <w:position w:val="0"/>
        </w:rPr>
        <w:t>号］，民间 借贷纠纷案件涉嫌非法吸收公众存款犯罪的，一般分为两种类型:一是以投资为名行诈骗 之实的群体性敛财活动;二是以生产经营为目的，但因缺少其他融资途径而向社会公众集 资,只要具备了“非法性,公开性,利诱性,社会性</w:t>
      </w:r>
      <w:r>
        <w:rPr>
          <w:color w:val="000000"/>
          <w:spacing w:val="0"/>
          <w:w w:val="100"/>
          <w:position w:val="0"/>
          <w:lang w:val="zh-CN" w:eastAsia="zh-CN" w:bidi="zh-CN"/>
        </w:rPr>
        <w:t>”四</w:t>
      </w:r>
      <w:r>
        <w:rPr>
          <w:color w:val="000000"/>
          <w:spacing w:val="0"/>
          <w:w w:val="100"/>
          <w:position w:val="0"/>
        </w:rPr>
        <w:t>个构成要件,即可构成犯罪。前述两种 情形，都不构成伪装行为的法律特征。涉嫌“非吸罪</w:t>
      </w:r>
      <w:r>
        <w:rPr>
          <w:color w:val="000000"/>
          <w:spacing w:val="0"/>
          <w:w w:val="100"/>
          <w:position w:val="0"/>
          <w:lang w:val="zh-CN" w:eastAsia="zh-CN" w:bidi="zh-CN"/>
        </w:rPr>
        <w:t>”的借</w:t>
      </w:r>
      <w:r>
        <w:rPr>
          <w:color w:val="000000"/>
          <w:spacing w:val="0"/>
          <w:w w:val="100"/>
          <w:position w:val="0"/>
        </w:rPr>
        <w:t>贷合同不存在串谋意思表示，故 不构成伪装行为，不属于原《合同法》第</w:t>
      </w:r>
      <w:r>
        <w:rPr>
          <w:rFonts w:ascii="Times New Roman" w:hAnsi="Times New Roman" w:eastAsia="Times New Roman" w:cs="Times New Roman"/>
          <w:color w:val="000000"/>
          <w:spacing w:val="0"/>
          <w:w w:val="100"/>
          <w:position w:val="0"/>
          <w:sz w:val="17"/>
          <w:szCs w:val="17"/>
        </w:rPr>
        <w:t>52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项（《民法典》已删除）所规定的无效情形 （［德</w:t>
      </w:r>
      <w:r>
        <w:rPr>
          <w:color w:val="000000"/>
          <w:spacing w:val="0"/>
          <w:w w:val="100"/>
          <w:position w:val="0"/>
          <w:lang w:val="en-US" w:eastAsia="en-US" w:bidi="en-US"/>
        </w:rPr>
        <w:t>］</w:t>
      </w:r>
      <w:r>
        <w:rPr>
          <w:color w:val="000000"/>
          <w:spacing w:val="0"/>
          <w:w w:val="100"/>
          <w:position w:val="0"/>
        </w:rPr>
        <w:t>维尔纳-弗卢梅:《法律行为论》，迟颖译，法律出版社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480 </w:t>
      </w:r>
      <w:r>
        <w:rPr>
          <w:rFonts w:ascii="Times New Roman" w:hAnsi="Times New Roman" w:eastAsia="Times New Roman" w:cs="Times New Roman"/>
          <w:color w:val="000000"/>
          <w:spacing w:val="0"/>
          <w:w w:val="100"/>
          <w:position w:val="0"/>
          <w:sz w:val="17"/>
          <w:szCs w:val="17"/>
          <w:lang w:val="en-US" w:eastAsia="en-US" w:bidi="en-US"/>
        </w:rPr>
        <w:t>-482</w:t>
      </w:r>
      <w:r>
        <w:rPr>
          <w:color w:val="000000"/>
          <w:spacing w:val="0"/>
          <w:w w:val="100"/>
          <w:position w:val="0"/>
        </w:rPr>
        <w:t>页）。</w:t>
      </w:r>
    </w:p>
    <w:p w14:paraId="7B19C7C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第二，涉嫌</w:t>
      </w:r>
      <w:r>
        <w:rPr>
          <w:color w:val="000000"/>
          <w:spacing w:val="0"/>
          <w:w w:val="100"/>
          <w:position w:val="0"/>
          <w:lang w:val="zh-CN" w:eastAsia="zh-CN" w:bidi="zh-CN"/>
        </w:rPr>
        <w:t>“非</w:t>
      </w:r>
      <w:r>
        <w:rPr>
          <w:color w:val="000000"/>
          <w:spacing w:val="0"/>
          <w:w w:val="100"/>
          <w:position w:val="0"/>
        </w:rPr>
        <w:t>吸罪</w:t>
      </w:r>
      <w:r>
        <w:rPr>
          <w:color w:val="000000"/>
          <w:spacing w:val="0"/>
          <w:w w:val="100"/>
          <w:position w:val="0"/>
          <w:lang w:val="zh-CN" w:eastAsia="zh-CN" w:bidi="zh-CN"/>
        </w:rPr>
        <w:t>”的</w:t>
      </w:r>
      <w:r>
        <w:rPr>
          <w:color w:val="000000"/>
          <w:spacing w:val="0"/>
          <w:w w:val="100"/>
          <w:position w:val="0"/>
        </w:rPr>
        <w:t>借贷合同所违反的不是效力性强制性规定，而是管理性强制性 规定。就民间借贷涉嫌非法吸收公众存款犯罪而言，受到侵害的是国家对金融业的特许经 营，应当属于市场准入资格。涉嫌“非吸罪</w:t>
      </w:r>
      <w:r>
        <w:rPr>
          <w:color w:val="000000"/>
          <w:spacing w:val="0"/>
          <w:w w:val="100"/>
          <w:position w:val="0"/>
          <w:lang w:val="zh-CN" w:eastAsia="zh-CN" w:bidi="zh-CN"/>
        </w:rPr>
        <w:t>”的借</w:t>
      </w:r>
      <w:r>
        <w:rPr>
          <w:color w:val="000000"/>
          <w:spacing w:val="0"/>
          <w:w w:val="100"/>
          <w:position w:val="0"/>
        </w:rPr>
        <w:t>贷合同不属于该合同行为发生即绝对地损 害国家利益或社会公众利益的行为，违反的是管理性强制性规定，不属于原《合同法》第</w:t>
      </w:r>
      <w:r>
        <w:rPr>
          <w:rFonts w:ascii="Times New Roman" w:hAnsi="Times New Roman" w:eastAsia="Times New Roman" w:cs="Times New Roman"/>
          <w:color w:val="000000"/>
          <w:spacing w:val="0"/>
          <w:w w:val="100"/>
          <w:position w:val="0"/>
          <w:sz w:val="19"/>
          <w:szCs w:val="19"/>
        </w:rPr>
        <w:t xml:space="preserve">52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项规定的无效情形。</w:t>
      </w:r>
    </w:p>
    <w:p w14:paraId="3E6B4997">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第三，关于出借人明知借贷人涉嫌犯罪时合同效力问题,江苏省高级人民法院《关于审 理民间借贷纠纷案件若干问题的指导意见》（征求意见稿）第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条规定</w:t>
      </w:r>
      <w:r>
        <w:rPr>
          <w:color w:val="000000"/>
          <w:spacing w:val="0"/>
          <w:w w:val="100"/>
          <w:position w:val="0"/>
          <w:lang w:val="zh-CN" w:eastAsia="zh-CN" w:bidi="zh-CN"/>
        </w:rPr>
        <w:t>，“借</w:t>
      </w:r>
      <w:r>
        <w:rPr>
          <w:color w:val="000000"/>
          <w:spacing w:val="0"/>
          <w:w w:val="100"/>
          <w:position w:val="0"/>
        </w:rPr>
        <w:t>款人的借款行 为已经人民法院生效判决认定构成集资诈骗或非法吸收公众存款等犯罪，债权人起诉保证 人要求承担保证责任的,借款合同和保证合同并不因此无效，人民法院应当按照《担保法》 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条的规定确定保证人的民事责任，但有证据证明债权人明知债务人涉嫌犯罪的除外”。 此裁判立场可资借鉴。出借人明知借贷人涉嫌犯罪,纵然不由此承担刑事责任，但因其纵 容犯罪,其民事利益不应受到保护，属于不法原因给付,不具有诉请执行力。如果出借人与 借款人、担保人之间存在恶意串通行为，当然认定为无效。</w:t>
      </w:r>
    </w:p>
    <w:p w14:paraId="07DE0223">
      <w:pPr>
        <w:pStyle w:val="11"/>
        <w:keepNext w:val="0"/>
        <w:keepLines w:val="0"/>
        <w:widowControl w:val="0"/>
        <w:shd w:val="clear" w:color="auto" w:fill="auto"/>
        <w:bidi w:val="0"/>
        <w:spacing w:before="0" w:after="60" w:line="342" w:lineRule="exact"/>
        <w:ind w:left="0" w:right="0" w:firstLine="0"/>
        <w:jc w:val="both"/>
      </w:pPr>
      <w:r>
        <w:rPr>
          <w:color w:val="000000"/>
          <w:spacing w:val="0"/>
          <w:w w:val="100"/>
          <w:position w:val="0"/>
        </w:rPr>
        <w:t>回参考文献</w:t>
      </w:r>
    </w:p>
    <w:p w14:paraId="3543177F">
      <w:pPr>
        <w:pStyle w:val="17"/>
        <w:keepNext w:val="0"/>
        <w:keepLines w:val="0"/>
        <w:widowControl w:val="0"/>
        <w:shd w:val="clear" w:color="auto" w:fill="auto"/>
        <w:bidi w:val="0"/>
        <w:spacing w:before="0" w:after="60" w:line="314" w:lineRule="exact"/>
        <w:ind w:left="0" w:right="0" w:firstLine="0"/>
        <w:jc w:val="both"/>
        <w:sectPr>
          <w:headerReference r:id="rId147" w:type="default"/>
          <w:headerReference r:id="rId148" w:type="even"/>
          <w:footnotePr>
            <w:numFmt w:val="chicago"/>
          </w:footnotePr>
          <w:pgSz w:w="10099" w:h="14782"/>
          <w:pgMar w:top="1258" w:right="1080" w:bottom="1168" w:left="1020" w:header="0" w:footer="3" w:gutter="0"/>
          <w:pgNumType w:start="102"/>
          <w:cols w:space="720" w:num="1"/>
          <w:rtlGutter w:val="0"/>
          <w:docGrid w:linePitch="360" w:charSpace="0"/>
        </w:sectPr>
      </w:pPr>
      <w:r>
        <w:rPr>
          <w:color w:val="000000"/>
          <w:spacing w:val="0"/>
          <w:w w:val="100"/>
          <w:position w:val="0"/>
        </w:rPr>
        <w:t>［德］维尔纳-弗卢梅:《法律行为论》，迟颖译，法律出版社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 税兵:《超越民法的民法解释学》，北京大学出版社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18C4B9E1">
      <w:pPr>
        <w:widowControl w:val="0"/>
        <w:spacing w:line="72" w:lineRule="exact"/>
        <w:rPr>
          <w:sz w:val="6"/>
          <w:szCs w:val="6"/>
        </w:rPr>
      </w:pPr>
    </w:p>
    <w:p w14:paraId="2C7E9691">
      <w:pPr>
        <w:widowControl w:val="0"/>
        <w:spacing w:line="1" w:lineRule="exact"/>
        <w:sectPr>
          <w:headerReference r:id="rId149" w:type="default"/>
          <w:headerReference r:id="rId150" w:type="even"/>
          <w:footnotePr>
            <w:numFmt w:val="chicago"/>
          </w:footnotePr>
          <w:pgSz w:w="10099" w:h="14782"/>
          <w:pgMar w:top="1301" w:right="995" w:bottom="1114" w:left="1110" w:header="0" w:footer="3" w:gutter="0"/>
          <w:pgNumType w:start="122"/>
          <w:cols w:space="720" w:num="1"/>
          <w:rtlGutter w:val="0"/>
          <w:docGrid w:linePitch="360" w:charSpace="0"/>
        </w:sectPr>
      </w:pPr>
    </w:p>
    <w:p w14:paraId="0624A501">
      <w:pPr>
        <w:widowControl w:val="0"/>
        <w:spacing w:line="1" w:lineRule="exact"/>
      </w:pPr>
      <w:r>
        <w:drawing>
          <wp:anchor distT="0" distB="0" distL="114300" distR="2272030" simplePos="0" relativeHeight="251660288" behindDoc="0" locked="0" layoutInCell="1" allowOverlap="1">
            <wp:simplePos x="0" y="0"/>
            <wp:positionH relativeFrom="page">
              <wp:posOffset>732155</wp:posOffset>
            </wp:positionH>
            <wp:positionV relativeFrom="paragraph">
              <wp:posOffset>12700</wp:posOffset>
            </wp:positionV>
            <wp:extent cx="481330" cy="414655"/>
            <wp:effectExtent l="0" t="0" r="1270" b="4445"/>
            <wp:wrapTopAndBottom/>
            <wp:docPr id="329" name="Shape 329"/>
            <wp:cNvGraphicFramePr/>
            <a:graphic xmlns:a="http://schemas.openxmlformats.org/drawingml/2006/main">
              <a:graphicData uri="http://schemas.openxmlformats.org/drawingml/2006/picture">
                <pic:pic xmlns:pic="http://schemas.openxmlformats.org/drawingml/2006/picture">
                  <pic:nvPicPr>
                    <pic:cNvPr id="329" name="Shape 329"/>
                    <pic:cNvPicPr/>
                  </pic:nvPicPr>
                  <pic:blipFill>
                    <a:blip r:embed="rId622"/>
                    <a:stretch>
                      <a:fillRect/>
                    </a:stretch>
                  </pic:blipFill>
                  <pic:spPr>
                    <a:xfrm>
                      <a:off x="0" y="0"/>
                      <a:ext cx="481330" cy="414655"/>
                    </a:xfrm>
                    <a:prstGeom prst="rect">
                      <a:avLst/>
                    </a:prstGeom>
                  </pic:spPr>
                </pic:pic>
              </a:graphicData>
            </a:graphic>
          </wp:anchor>
        </w:drawing>
      </w:r>
      <w:r>
        <mc:AlternateContent>
          <mc:Choice Requires="wps">
            <w:drawing>
              <wp:anchor distT="137160" distB="44450" distL="727075" distR="114300" simplePos="0" relativeHeight="251660288" behindDoc="0" locked="0" layoutInCell="1" allowOverlap="1">
                <wp:simplePos x="0" y="0"/>
                <wp:positionH relativeFrom="page">
                  <wp:posOffset>1344930</wp:posOffset>
                </wp:positionH>
                <wp:positionV relativeFrom="paragraph">
                  <wp:posOffset>149860</wp:posOffset>
                </wp:positionV>
                <wp:extent cx="2023745" cy="229870"/>
                <wp:effectExtent l="0" t="0" r="0" b="0"/>
                <wp:wrapTopAndBottom/>
                <wp:docPr id="331" name="Shape 331"/>
                <wp:cNvGraphicFramePr/>
                <a:graphic xmlns:a="http://schemas.openxmlformats.org/drawingml/2006/main">
                  <a:graphicData uri="http://schemas.microsoft.com/office/word/2010/wordprocessingShape">
                    <wps:wsp>
                      <wps:cNvSpPr txBox="1"/>
                      <wps:spPr>
                        <a:xfrm>
                          <a:off x="0" y="0"/>
                          <a:ext cx="2023745" cy="229870"/>
                        </a:xfrm>
                        <a:prstGeom prst="rect">
                          <a:avLst/>
                        </a:prstGeom>
                        <a:noFill/>
                      </wps:spPr>
                      <wps:txbx>
                        <w:txbxContent>
                          <w:p w14:paraId="4D1E827B">
                            <w:pPr>
                              <w:pStyle w:val="15"/>
                              <w:keepNext/>
                              <w:keepLines/>
                              <w:widowControl w:val="0"/>
                              <w:shd w:val="clear" w:color="auto" w:fill="auto"/>
                              <w:bidi w:val="0"/>
                              <w:spacing w:before="0" w:after="0" w:line="240" w:lineRule="auto"/>
                              <w:ind w:left="0" w:right="0" w:firstLine="0"/>
                              <w:jc w:val="left"/>
                            </w:pPr>
                            <w:bookmarkStart w:id="297" w:name="bookmark143"/>
                            <w:bookmarkStart w:id="298" w:name="bookmark142"/>
                            <w:bookmarkStart w:id="299" w:name="bookmark144"/>
                            <w:r>
                              <w:rPr>
                                <w:color w:val="000000"/>
                                <w:spacing w:val="0"/>
                                <w:w w:val="100"/>
                                <w:position w:val="0"/>
                              </w:rPr>
                              <w:t>无权代理人的赔偿责任</w:t>
                            </w:r>
                            <w:bookmarkEnd w:id="297"/>
                            <w:bookmarkEnd w:id="298"/>
                            <w:bookmarkEnd w:id="299"/>
                          </w:p>
                        </w:txbxContent>
                      </wps:txbx>
                      <wps:bodyPr wrap="none" lIns="0" tIns="0" rIns="0" bIns="0">
                        <a:noAutofit/>
                      </wps:bodyPr>
                    </wps:wsp>
                  </a:graphicData>
                </a:graphic>
              </wp:anchor>
            </w:drawing>
          </mc:Choice>
          <mc:Fallback>
            <w:pict>
              <v:shape id="Shape 331" o:spid="_x0000_s1026" o:spt="202" type="#_x0000_t202" style="position:absolute;left:0pt;margin-left:105.9pt;margin-top:11.8pt;height:18.1pt;width:159.35pt;mso-position-horizontal-relative:page;mso-wrap-distance-bottom:3.5pt;mso-wrap-distance-top:10.8pt;mso-wrap-style:none;z-index:251660288;mso-width-relative:page;mso-height-relative:page;" filled="f" stroked="f" coordsize="21600,21600" o:gfxdata="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BuY6t&#10;1gAAAAkBAAAPAAAAAAAAAAEAIAAAACIAAABkcnMvZG93bnJldi54bWxQSwECFAAUAAAACACHTuJA&#10;hajSPLEBAAB0AwAADgAAAAAAAAABACAAAAAlAQAAZHJzL2Uyb0RvYy54bWxQSwUGAAAAAAYABgBZ&#10;AQAASAUAAAAA&#10;">
                <v:fill on="f" focussize="0,0"/>
                <v:stroke on="f"/>
                <v:imagedata o:title=""/>
                <o:lock v:ext="edit" aspectratio="f"/>
                <v:textbox inset="0mm,0mm,0mm,0mm">
                  <w:txbxContent>
                    <w:p w14:paraId="4D1E827B">
                      <w:pPr>
                        <w:pStyle w:val="15"/>
                        <w:keepNext/>
                        <w:keepLines/>
                        <w:widowControl w:val="0"/>
                        <w:shd w:val="clear" w:color="auto" w:fill="auto"/>
                        <w:bidi w:val="0"/>
                        <w:spacing w:before="0" w:after="0" w:line="240" w:lineRule="auto"/>
                        <w:ind w:left="0" w:right="0" w:firstLine="0"/>
                        <w:jc w:val="left"/>
                      </w:pPr>
                      <w:bookmarkStart w:id="297" w:name="bookmark143"/>
                      <w:bookmarkStart w:id="298" w:name="bookmark142"/>
                      <w:bookmarkStart w:id="299" w:name="bookmark144"/>
                      <w:r>
                        <w:rPr>
                          <w:color w:val="000000"/>
                          <w:spacing w:val="0"/>
                          <w:w w:val="100"/>
                          <w:position w:val="0"/>
                        </w:rPr>
                        <w:t>无权代理人的赔偿责任</w:t>
                      </w:r>
                      <w:bookmarkEnd w:id="297"/>
                      <w:bookmarkEnd w:id="298"/>
                      <w:bookmarkEnd w:id="299"/>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5173345</wp:posOffset>
            </wp:positionH>
            <wp:positionV relativeFrom="paragraph">
              <wp:posOffset>311150</wp:posOffset>
            </wp:positionV>
            <wp:extent cx="579120" cy="579120"/>
            <wp:effectExtent l="0" t="0" r="5080" b="5080"/>
            <wp:wrapSquare wrapText="left"/>
            <wp:docPr id="333" name="Shape 333"/>
            <wp:cNvGraphicFramePr/>
            <a:graphic xmlns:a="http://schemas.openxmlformats.org/drawingml/2006/main">
              <a:graphicData uri="http://schemas.openxmlformats.org/drawingml/2006/picture">
                <pic:pic xmlns:pic="http://schemas.openxmlformats.org/drawingml/2006/picture">
                  <pic:nvPicPr>
                    <pic:cNvPr id="333" name="Shape 333"/>
                    <pic:cNvPicPr/>
                  </pic:nvPicPr>
                  <pic:blipFill>
                    <a:blip r:embed="rId623"/>
                    <a:stretch>
                      <a:fillRect/>
                    </a:stretch>
                  </pic:blipFill>
                  <pic:spPr>
                    <a:xfrm>
                      <a:off x="0" y="0"/>
                      <a:ext cx="579120" cy="579120"/>
                    </a:xfrm>
                    <a:prstGeom prst="rect">
                      <a:avLst/>
                    </a:prstGeom>
                  </pic:spPr>
                </pic:pic>
              </a:graphicData>
            </a:graphic>
          </wp:anchor>
        </w:drawing>
      </w:r>
    </w:p>
    <w:p w14:paraId="7B91DF88">
      <w:pPr>
        <w:pStyle w:val="17"/>
        <w:keepNext w:val="0"/>
        <w:keepLines w:val="0"/>
        <w:widowControl w:val="0"/>
        <w:shd w:val="clear" w:color="auto" w:fill="auto"/>
        <w:bidi w:val="0"/>
        <w:spacing w:before="0" w:after="100" w:line="240" w:lineRule="auto"/>
        <w:ind w:left="0" w:right="0" w:firstLine="1000"/>
        <w:jc w:val="left"/>
      </w:pPr>
      <w:r>
        <w:rPr>
          <w:color w:val="000000"/>
          <w:spacing w:val="0"/>
          <w:w w:val="100"/>
          <w:position w:val="0"/>
        </w:rPr>
        <w:t>刘昕、彭某良房屋买卖合同纠纷案丨广东省佛山市中级人民法院</w:t>
      </w:r>
    </w:p>
    <w:p w14:paraId="6E133DAB">
      <w:pPr>
        <w:pStyle w:val="21"/>
        <w:keepNext w:val="0"/>
        <w:keepLines w:val="0"/>
        <w:widowControl w:val="0"/>
        <w:shd w:val="clear" w:color="auto" w:fill="auto"/>
        <w:bidi w:val="0"/>
        <w:spacing w:before="0" w:after="360" w:line="240" w:lineRule="auto"/>
        <w:ind w:left="0" w:right="0" w:firstLine="1000"/>
        <w:jc w:val="left"/>
        <w:rPr>
          <w:sz w:val="18"/>
          <w:szCs w:val="18"/>
        </w:rPr>
      </w:pPr>
      <w:r>
        <w:rPr>
          <w:rFonts w:ascii="Times New Roman" w:hAnsi="Times New Roman" w:eastAsia="Times New Roman" w:cs="Times New Roman"/>
          <w:color w:val="000000"/>
          <w:spacing w:val="0"/>
          <w:w w:val="100"/>
          <w:position w:val="0"/>
          <w:sz w:val="19"/>
          <w:szCs w:val="19"/>
        </w:rPr>
        <w:t>（2018）</w:t>
      </w:r>
      <w:r>
        <w:rPr>
          <w:rFonts w:ascii="宋体" w:hAnsi="宋体" w:eastAsia="宋体" w:cs="宋体"/>
          <w:color w:val="000000"/>
          <w:spacing w:val="0"/>
          <w:w w:val="100"/>
          <w:position w:val="0"/>
          <w:sz w:val="18"/>
          <w:szCs w:val="18"/>
        </w:rPr>
        <w:t>粤</w:t>
      </w:r>
      <w:r>
        <w:rPr>
          <w:rFonts w:ascii="Times New Roman" w:hAnsi="Times New Roman" w:eastAsia="Times New Roman" w:cs="Times New Roman"/>
          <w:color w:val="000000"/>
          <w:spacing w:val="0"/>
          <w:w w:val="100"/>
          <w:position w:val="0"/>
          <w:sz w:val="19"/>
          <w:szCs w:val="19"/>
        </w:rPr>
        <w:t>06</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3076</w:t>
      </w:r>
      <w:r>
        <w:rPr>
          <w:rFonts w:ascii="宋体" w:hAnsi="宋体" w:eastAsia="宋体" w:cs="宋体"/>
          <w:color w:val="000000"/>
          <w:spacing w:val="0"/>
          <w:w w:val="100"/>
          <w:position w:val="0"/>
          <w:sz w:val="18"/>
          <w:szCs w:val="18"/>
        </w:rPr>
        <w:t>号民事判决书</w:t>
      </w:r>
    </w:p>
    <w:p w14:paraId="5CDEFEC2">
      <w:pPr>
        <w:pStyle w:val="33"/>
        <w:keepNext w:val="0"/>
        <w:keepLines w:val="0"/>
        <w:widowControl w:val="0"/>
        <w:shd w:val="clear" w:color="auto" w:fill="auto"/>
        <w:bidi w:val="0"/>
        <w:spacing w:before="0" w:after="1360" w:line="240" w:lineRule="auto"/>
        <w:ind w:left="0" w:right="0" w:firstLine="0"/>
        <w:jc w:val="right"/>
      </w:pPr>
      <w:r>
        <w:rPr>
          <w:b/>
          <w:bCs/>
          <w:color w:val="000000"/>
          <w:spacing w:val="0"/>
          <w:w w:val="100"/>
          <w:position w:val="0"/>
          <w:sz w:val="18"/>
          <w:szCs w:val="18"/>
        </w:rPr>
        <w:t>弓长家勇</w:t>
      </w:r>
      <w:r>
        <w:rPr>
          <w:color w:val="000000"/>
          <w:spacing w:val="0"/>
          <w:w w:val="100"/>
          <w:position w:val="0"/>
        </w:rPr>
        <w:t>中南财经政法大学</w:t>
      </w:r>
    </w:p>
    <w:p w14:paraId="53EF041F">
      <w:pPr>
        <w:pStyle w:val="11"/>
        <w:keepNext w:val="0"/>
        <w:keepLines w:val="0"/>
        <w:widowControl w:val="0"/>
        <w:shd w:val="clear" w:color="auto" w:fill="auto"/>
        <w:bidi w:val="0"/>
        <w:spacing w:before="0" w:after="40" w:line="338"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3FA8BA40">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刘昕作为买方，彭某良作为范某铃（系彭某良之亡夫，故于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日）、梁某娇 （系范某铃之母）的卖方代理人于</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日签订《房屋买卖合同》，约定:买卖坐落 在佛山市顺德区</w:t>
      </w:r>
      <w:r>
        <w:rPr>
          <w:rFonts w:ascii="Times New Roman" w:hAnsi="Times New Roman" w:eastAsia="Times New Roman" w:cs="Times New Roman"/>
          <w:color w:val="000000"/>
          <w:spacing w:val="0"/>
          <w:w w:val="100"/>
          <w:position w:val="0"/>
          <w:sz w:val="19"/>
          <w:szCs w:val="19"/>
          <w:lang w:val="en-US" w:eastAsia="en-US" w:bidi="en-US"/>
        </w:rPr>
        <w:t>T03</w:t>
      </w:r>
      <w:r>
        <w:rPr>
          <w:color w:val="000000"/>
          <w:spacing w:val="0"/>
          <w:w w:val="100"/>
          <w:position w:val="0"/>
        </w:rPr>
        <w:t>的房屋一套（登记产权人为范某铃、梁某娇），成交价为人民币</w:t>
      </w:r>
      <w:r>
        <w:rPr>
          <w:rFonts w:ascii="Times New Roman" w:hAnsi="Times New Roman" w:eastAsia="Times New Roman" w:cs="Times New Roman"/>
          <w:color w:val="000000"/>
          <w:spacing w:val="0"/>
          <w:w w:val="100"/>
          <w:position w:val="0"/>
          <w:sz w:val="19"/>
          <w:szCs w:val="19"/>
        </w:rPr>
        <w:t xml:space="preserve">955, 000 </w:t>
      </w:r>
      <w:r>
        <w:rPr>
          <w:color w:val="000000"/>
          <w:spacing w:val="0"/>
          <w:w w:val="100"/>
          <w:position w:val="0"/>
        </w:rPr>
        <w:t>元;卖方不能按本合同约定将该物业售予买方,或者因违约而无法将该物业售予买方的，应 向买方支付该物业成交价的</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作为违约金，并须退回买方已付的所有费用。当日，彭某 良作为代理人收取刘昕交来的房屋承购定金</w:t>
      </w:r>
      <w:r>
        <w:rPr>
          <w:rFonts w:ascii="Times New Roman" w:hAnsi="Times New Roman" w:eastAsia="Times New Roman" w:cs="Times New Roman"/>
          <w:color w:val="000000"/>
          <w:spacing w:val="0"/>
          <w:w w:val="100"/>
          <w:position w:val="0"/>
          <w:sz w:val="19"/>
          <w:szCs w:val="19"/>
        </w:rPr>
        <w:t>50, 000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日，彭某良作为卖 方代理人与刘昕签订《补充协议》，约定过户时间延后至</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日前。因无法取得 案涉房屋，刘昕遂提起本诉，要求:解除案涉《房屋买卖合同》；彭某良立即退还定金</w:t>
      </w:r>
      <w:r>
        <w:rPr>
          <w:rFonts w:ascii="Times New Roman" w:hAnsi="Times New Roman" w:eastAsia="Times New Roman" w:cs="Times New Roman"/>
          <w:color w:val="000000"/>
          <w:spacing w:val="0"/>
          <w:w w:val="100"/>
          <w:position w:val="0"/>
          <w:sz w:val="19"/>
          <w:szCs w:val="19"/>
        </w:rPr>
        <w:t xml:space="preserve">50,000 </w:t>
      </w:r>
      <w:r>
        <w:rPr>
          <w:color w:val="000000"/>
          <w:spacing w:val="0"/>
          <w:w w:val="100"/>
          <w:position w:val="0"/>
        </w:rPr>
        <w:t>元,支付违约金</w:t>
      </w:r>
      <w:r>
        <w:rPr>
          <w:rFonts w:ascii="Times New Roman" w:hAnsi="Times New Roman" w:eastAsia="Times New Roman" w:cs="Times New Roman"/>
          <w:color w:val="000000"/>
          <w:spacing w:val="0"/>
          <w:w w:val="100"/>
          <w:position w:val="0"/>
          <w:sz w:val="19"/>
          <w:szCs w:val="19"/>
        </w:rPr>
        <w:t>95, 500</w:t>
      </w:r>
      <w:r>
        <w:rPr>
          <w:color w:val="000000"/>
          <w:spacing w:val="0"/>
          <w:w w:val="100"/>
          <w:position w:val="0"/>
        </w:rPr>
        <w:t>元,并赔偿损失</w:t>
      </w:r>
      <w:r>
        <w:rPr>
          <w:rFonts w:ascii="Times New Roman" w:hAnsi="Times New Roman" w:eastAsia="Times New Roman" w:cs="Times New Roman"/>
          <w:color w:val="000000"/>
          <w:spacing w:val="0"/>
          <w:w w:val="100"/>
          <w:position w:val="0"/>
          <w:sz w:val="19"/>
          <w:szCs w:val="19"/>
        </w:rPr>
        <w:t>235, 620</w:t>
      </w:r>
      <w:r>
        <w:rPr>
          <w:color w:val="000000"/>
          <w:spacing w:val="0"/>
          <w:w w:val="100"/>
          <w:position w:val="0"/>
        </w:rPr>
        <w:t>元，等等。诉讼中，刘昕申请就案涉房屋起 诉时的市场价值进行评估。</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日，国众联公司出具《房地产估价报告》，表明佛 山市顺德区</w:t>
      </w:r>
      <w:r>
        <w:rPr>
          <w:rFonts w:ascii="Times New Roman" w:hAnsi="Times New Roman" w:eastAsia="Times New Roman" w:cs="Times New Roman"/>
          <w:color w:val="000000"/>
          <w:spacing w:val="0"/>
          <w:w w:val="100"/>
          <w:position w:val="0"/>
          <w:sz w:val="19"/>
          <w:szCs w:val="19"/>
          <w:lang w:val="en-US" w:eastAsia="en-US" w:bidi="en-US"/>
        </w:rPr>
        <w:t>T03</w:t>
      </w:r>
      <w:r>
        <w:rPr>
          <w:color w:val="000000"/>
          <w:spacing w:val="0"/>
          <w:w w:val="100"/>
          <w:position w:val="0"/>
        </w:rPr>
        <w:t>房屋</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日的评估价值为</w:t>
      </w:r>
      <w:r>
        <w:rPr>
          <w:rFonts w:ascii="Times New Roman" w:hAnsi="Times New Roman" w:eastAsia="Times New Roman" w:cs="Times New Roman"/>
          <w:color w:val="000000"/>
          <w:spacing w:val="0"/>
          <w:w w:val="100"/>
          <w:position w:val="0"/>
          <w:sz w:val="19"/>
          <w:szCs w:val="19"/>
        </w:rPr>
        <w:t>1,124, 550</w:t>
      </w:r>
      <w:r>
        <w:rPr>
          <w:color w:val="000000"/>
          <w:spacing w:val="0"/>
          <w:w w:val="100"/>
          <w:position w:val="0"/>
        </w:rPr>
        <w:t>元。一审法院认为，双方 案涉合同系无权代理所为，尚未生效;刘昕明知案涉房产权属人不明,且彭某良没有取得代 理权仍与其签订合同，存在过错。据此，依照《合同法》第</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 xml:space="preserve">条判决彭某良向刘昕返还定金 </w:t>
      </w:r>
      <w:r>
        <w:rPr>
          <w:rFonts w:ascii="Times New Roman" w:hAnsi="Times New Roman" w:eastAsia="Times New Roman" w:cs="Times New Roman"/>
          <w:color w:val="000000"/>
          <w:spacing w:val="0"/>
          <w:w w:val="100"/>
          <w:position w:val="0"/>
          <w:sz w:val="19"/>
          <w:szCs w:val="19"/>
        </w:rPr>
        <w:t>50, 000</w:t>
      </w:r>
      <w:r>
        <w:rPr>
          <w:color w:val="000000"/>
          <w:spacing w:val="0"/>
          <w:w w:val="100"/>
          <w:position w:val="0"/>
        </w:rPr>
        <w:t>元,驳回刘昕的其他诉讼请求。二审期间，案涉房屋产权人变更为梁某娇、彭某良、 范某耀。</w:t>
      </w:r>
    </w:p>
    <w:p w14:paraId="69E7B7A2">
      <w:pPr>
        <w:pStyle w:val="11"/>
        <w:keepNext w:val="0"/>
        <w:keepLines w:val="0"/>
        <w:widowControl w:val="0"/>
        <w:shd w:val="clear" w:color="auto" w:fill="auto"/>
        <w:bidi w:val="0"/>
        <w:spacing w:before="0" w:after="40" w:line="338"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52BB8EC4">
      <w:pPr>
        <w:pStyle w:val="17"/>
        <w:keepNext w:val="0"/>
        <w:keepLines w:val="0"/>
        <w:widowControl w:val="0"/>
        <w:shd w:val="clear" w:color="auto" w:fill="auto"/>
        <w:bidi w:val="0"/>
        <w:spacing w:before="0" w:after="0" w:line="331" w:lineRule="exact"/>
        <w:ind w:left="0" w:right="0" w:firstLine="420"/>
        <w:jc w:val="both"/>
      </w:pPr>
      <w:r>
        <w:rPr>
          <w:color w:val="000000"/>
          <w:spacing w:val="0"/>
          <w:w w:val="100"/>
          <w:position w:val="0"/>
        </w:rPr>
        <w:t>二审法院依《民法总则》第</w:t>
      </w:r>
      <w:r>
        <w:rPr>
          <w:rFonts w:ascii="Times New Roman" w:hAnsi="Times New Roman" w:eastAsia="Times New Roman" w:cs="Times New Roman"/>
          <w:b/>
          <w:bCs/>
          <w:color w:val="000000"/>
          <w:spacing w:val="0"/>
          <w:w w:val="100"/>
          <w:position w:val="0"/>
          <w:sz w:val="19"/>
          <w:szCs w:val="19"/>
        </w:rPr>
        <w:t>171</w:t>
      </w:r>
      <w:r>
        <w:rPr>
          <w:color w:val="000000"/>
          <w:spacing w:val="0"/>
          <w:w w:val="100"/>
          <w:position w:val="0"/>
        </w:rPr>
        <w:t xml:space="preserve">条维持原审返还定金判决，改判彭某良赔偿刘昕损失 </w:t>
      </w:r>
      <w:r>
        <w:rPr>
          <w:rFonts w:ascii="Times New Roman" w:hAnsi="Times New Roman" w:eastAsia="Times New Roman" w:cs="Times New Roman"/>
          <w:b/>
          <w:bCs/>
          <w:color w:val="000000"/>
          <w:spacing w:val="0"/>
          <w:w w:val="100"/>
          <w:position w:val="0"/>
          <w:sz w:val="19"/>
          <w:szCs w:val="19"/>
        </w:rPr>
        <w:t xml:space="preserve">95,500 </w:t>
      </w:r>
      <w:r>
        <w:rPr>
          <w:color w:val="000000"/>
          <w:spacing w:val="0"/>
          <w:w w:val="100"/>
          <w:position w:val="0"/>
          <w:lang w:val="zh-CN" w:eastAsia="zh-CN" w:bidi="zh-CN"/>
        </w:rPr>
        <w:t>元。</w:t>
      </w:r>
    </w:p>
    <w:p w14:paraId="5A442769">
      <w:pPr>
        <w:pStyle w:val="17"/>
        <w:keepNext w:val="0"/>
        <w:keepLines w:val="0"/>
        <w:widowControl w:val="0"/>
        <w:shd w:val="clear" w:color="auto" w:fill="auto"/>
        <w:bidi w:val="0"/>
        <w:spacing w:before="0" w:after="220" w:line="336" w:lineRule="exact"/>
        <w:ind w:left="0" w:right="0" w:firstLine="420"/>
        <w:jc w:val="both"/>
        <w:sectPr>
          <w:footnotePr>
            <w:numFmt w:val="chicago"/>
          </w:footnotePr>
          <w:type w:val="continuous"/>
          <w:pgSz w:w="10099" w:h="14782"/>
          <w:pgMar w:top="1301" w:right="995" w:bottom="1114" w:left="1110" w:header="873" w:footer="686" w:gutter="0"/>
          <w:cols w:space="720" w:num="1"/>
          <w:rtlGutter w:val="0"/>
          <w:docGrid w:linePitch="360" w:charSpace="0"/>
        </w:sectPr>
      </w:pPr>
      <w:r>
        <w:rPr>
          <w:color w:val="000000"/>
          <w:spacing w:val="0"/>
          <w:w w:val="100"/>
          <w:position w:val="0"/>
        </w:rPr>
        <w:t>继承人之一以被继承人与其他共有人的代理人名义出卖共有房屋，在未获追认的情况 下构成无权代理,所签合同不发生效力。相对人虽然知道继承事实,但基于行为人（被继承 人之一）与案涉房屋产权人之间的亲属关系而相信其有代理权,不构成过错。房屋升值数 额相较于案涉合同的成交价格比例较大，行为人在签订合同时难以预见，实际赔偿额应结 合双方签订合同的情况、定金支付情况及过错程度等因素予以酌定。</w:t>
      </w:r>
    </w:p>
    <w:p w14:paraId="382A7AA3">
      <w:pPr>
        <w:pStyle w:val="11"/>
        <w:keepNext w:val="0"/>
        <w:keepLines w:val="0"/>
        <w:widowControl w:val="0"/>
        <w:shd w:val="clear" w:color="auto" w:fill="auto"/>
        <w:bidi w:val="0"/>
        <w:spacing w:before="0" w:after="140" w:line="342" w:lineRule="exact"/>
        <w:ind w:left="0" w:right="0" w:firstLine="0"/>
        <w:jc w:val="left"/>
      </w:pPr>
      <w:r>
        <w:rPr>
          <w:color w:val="000000"/>
          <w:spacing w:val="0"/>
          <w:w w:val="100"/>
          <w:position w:val="0"/>
        </w:rPr>
        <w:t>■评析</w:t>
      </w:r>
    </w:p>
    <w:p w14:paraId="3B75CD44">
      <w:pPr>
        <w:pStyle w:val="17"/>
        <w:keepNext w:val="0"/>
        <w:keepLines w:val="0"/>
        <w:widowControl w:val="0"/>
        <w:shd w:val="clear" w:color="auto" w:fill="auto"/>
        <w:bidi w:val="0"/>
        <w:spacing w:before="0" w:after="140" w:line="342" w:lineRule="exact"/>
        <w:ind w:left="0" w:right="0" w:firstLine="30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本判决的裁判思路和意义</w:t>
      </w:r>
    </w:p>
    <w:p w14:paraId="203C2BB7">
      <w:pPr>
        <w:pStyle w:val="17"/>
        <w:keepNext w:val="0"/>
        <w:keepLines w:val="0"/>
        <w:widowControl w:val="0"/>
        <w:shd w:val="clear" w:color="auto" w:fill="auto"/>
        <w:bidi w:val="0"/>
        <w:spacing w:before="0" w:after="180" w:line="345" w:lineRule="exact"/>
        <w:ind w:left="0" w:right="0" w:firstLine="420"/>
        <w:jc w:val="both"/>
      </w:pPr>
      <w:r>
        <w:rPr>
          <w:color w:val="000000"/>
          <w:spacing w:val="0"/>
          <w:w w:val="100"/>
          <w:position w:val="0"/>
        </w:rPr>
        <w:t>案涉《房屋买卖合同》因涉及未受追认的无权代理，系未生效合同，既不生解除问题，亦 不生违约问题。购房人刘昕知晓登记名义人之一已经死亡的事实，不构成过错，其有权作 为善意相对人请求赔偿，但赔偿范围不能超过案涉各房产权属人追认时所能获得的利益。 因案涉房屋升值部分的数额相较于案涉合同约定的成交价格而言比例较大,彭某良在签订 合同时显然难以预见，故不应以该升值部分的数额确定赔偿数额。合同中违约金条款的约 定应为双方对所涉损失的合理预见，从该具体约定违约金数额综合考虑刘昕在本案中所受 的实际损失更为合理。</w:t>
      </w:r>
    </w:p>
    <w:p w14:paraId="530D4B3C">
      <w:pPr>
        <w:pStyle w:val="17"/>
        <w:keepNext w:val="0"/>
        <w:keepLines w:val="0"/>
        <w:widowControl w:val="0"/>
        <w:shd w:val="clear" w:color="auto" w:fill="auto"/>
        <w:bidi w:val="0"/>
        <w:spacing w:before="0" w:after="14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无权代理人对善意相对人的赔偿责任规范及学理</w:t>
      </w:r>
    </w:p>
    <w:p w14:paraId="4982F04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首先需要指出，本案纠纷发生在《民法典》施行前，故该法无法直接适用。得直接适用 原《合同法》第</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款的规定,未受追认的无权代理</w:t>
      </w:r>
      <w:r>
        <w:rPr>
          <w:color w:val="000000"/>
          <w:spacing w:val="0"/>
          <w:w w:val="100"/>
          <w:position w:val="0"/>
          <w:lang w:val="zh-CN" w:eastAsia="zh-CN" w:bidi="zh-CN"/>
        </w:rPr>
        <w:t>“由行</w:t>
      </w:r>
      <w:r>
        <w:rPr>
          <w:color w:val="000000"/>
          <w:spacing w:val="0"/>
          <w:w w:val="100"/>
          <w:position w:val="0"/>
        </w:rPr>
        <w:t>为人承担责任</w:t>
      </w:r>
      <w:r>
        <w:rPr>
          <w:color w:val="000000"/>
          <w:spacing w:val="0"/>
          <w:w w:val="100"/>
          <w:position w:val="0"/>
          <w:lang w:val="zh-CN" w:eastAsia="zh-CN" w:bidi="zh-CN"/>
        </w:rPr>
        <w:t>”。但</w:t>
      </w:r>
      <w:r>
        <w:rPr>
          <w:color w:val="000000"/>
          <w:spacing w:val="0"/>
          <w:w w:val="100"/>
          <w:position w:val="0"/>
        </w:rPr>
        <w:t>该责任 属于履行责任还是赔偿责任？赔偿责任的要件和范围如何？这些关键问题均付阙如。依循 最高人民法院《关于适用〈中华人民共和国合同法〉若干问题的解释（一）》［法释</w:t>
      </w:r>
      <w:r>
        <w:rPr>
          <w:rFonts w:ascii="Times New Roman" w:hAnsi="Times New Roman" w:eastAsia="Times New Roman" w:cs="Times New Roman"/>
          <w:color w:val="000000"/>
          <w:spacing w:val="0"/>
          <w:w w:val="100"/>
          <w:position w:val="0"/>
          <w:sz w:val="19"/>
          <w:szCs w:val="19"/>
        </w:rPr>
        <w:t xml:space="preserve">（1999）19 </w:t>
      </w:r>
      <w:r>
        <w:rPr>
          <w:color w:val="000000"/>
          <w:spacing w:val="0"/>
          <w:w w:val="100"/>
          <w:position w:val="0"/>
        </w:rPr>
        <w:t>号］（以下简称《合同法司法解释一》）第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条的解释逻辑，因合同法没有明确规定（情况与 《民法通则》第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w:t>
      </w:r>
      <w:r>
        <w:rPr>
          <w:color w:val="000000"/>
          <w:spacing w:val="0"/>
          <w:w w:val="100"/>
          <w:position w:val="0"/>
          <w:lang w:val="zh-CN" w:eastAsia="zh-CN" w:bidi="zh-CN"/>
        </w:rPr>
        <w:t>“由行</w:t>
      </w:r>
      <w:r>
        <w:rPr>
          <w:color w:val="000000"/>
          <w:spacing w:val="0"/>
          <w:w w:val="100"/>
          <w:position w:val="0"/>
        </w:rPr>
        <w:t>为人承担民事责任”一致），若将不明规定与</w:t>
      </w:r>
      <w:r>
        <w:rPr>
          <w:color w:val="000000"/>
          <w:spacing w:val="0"/>
          <w:w w:val="100"/>
          <w:position w:val="0"/>
          <w:lang w:val="zh-CN" w:eastAsia="zh-CN" w:bidi="zh-CN"/>
        </w:rPr>
        <w:t xml:space="preserve">“当时 </w:t>
      </w:r>
      <w:r>
        <w:rPr>
          <w:color w:val="000000"/>
          <w:spacing w:val="0"/>
          <w:w w:val="100"/>
          <w:position w:val="0"/>
        </w:rPr>
        <w:t>没有法律规定的”情形同视，从而可参照适用《民法典》第</w:t>
      </w:r>
      <w:r>
        <w:rPr>
          <w:rFonts w:ascii="Times New Roman" w:hAnsi="Times New Roman" w:eastAsia="Times New Roman" w:cs="Times New Roman"/>
          <w:color w:val="000000"/>
          <w:spacing w:val="0"/>
          <w:w w:val="100"/>
          <w:position w:val="0"/>
          <w:sz w:val="19"/>
          <w:szCs w:val="19"/>
        </w:rPr>
        <w:t>171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款之规定</w:t>
      </w:r>
      <w:r>
        <w:rPr>
          <w:color w:val="000000"/>
          <w:spacing w:val="0"/>
          <w:w w:val="100"/>
          <w:position w:val="0"/>
          <w:lang w:val="zh-CN" w:eastAsia="zh-CN" w:bidi="zh-CN"/>
        </w:rPr>
        <w:t>，“行</w:t>
      </w:r>
      <w:r>
        <w:rPr>
          <w:color w:val="000000"/>
          <w:spacing w:val="0"/>
          <w:w w:val="100"/>
          <w:position w:val="0"/>
        </w:rPr>
        <w:t>为人实 施的行为未被追认的，善意相对人有权请求行为人履行债务或者就其受到的损害请求行为 人赔偿。但是，赔偿的范围不得超过被代理人追认时相对人所能获得的利益”</w:t>
      </w:r>
      <w:r>
        <w:rPr>
          <w:color w:val="000000"/>
          <w:spacing w:val="0"/>
          <w:w w:val="100"/>
          <w:position w:val="0"/>
          <w:lang w:val="en-US" w:eastAsia="en-US" w:bidi="en-US"/>
        </w:rPr>
        <w:t>［</w:t>
      </w:r>
      <w:r>
        <w:rPr>
          <w:color w:val="000000"/>
          <w:spacing w:val="0"/>
          <w:w w:val="100"/>
          <w:position w:val="0"/>
        </w:rPr>
        <w:t xml:space="preserve">类似案例参见 </w:t>
      </w:r>
      <w:r>
        <w:rPr>
          <w:color w:val="000000"/>
          <w:spacing w:val="0"/>
          <w:w w:val="100"/>
          <w:position w:val="0"/>
          <w:lang w:val="zh-CN" w:eastAsia="zh-CN" w:bidi="zh-CN"/>
        </w:rPr>
        <w:t>“张</w:t>
      </w:r>
      <w:r>
        <w:rPr>
          <w:color w:val="000000"/>
          <w:spacing w:val="0"/>
          <w:w w:val="100"/>
          <w:position w:val="0"/>
        </w:rPr>
        <w:t>小东、甘肃千鹤食品有限公司民间借贷纠纷案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420</w:t>
      </w:r>
      <w:r>
        <w:rPr>
          <w:color w:val="000000"/>
          <w:spacing w:val="0"/>
          <w:w w:val="100"/>
          <w:position w:val="0"/>
        </w:rPr>
        <w:t>号民事裁定 书］。后文阐述即以此为前提展开。</w:t>
      </w:r>
    </w:p>
    <w:p w14:paraId="2B99745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就《民法典》前引规定的解释，理论上一致肯定该赔偿责任系属特殊的无过失责任，无 须行为人（无权代理人，下同）于行为时有故意或过失,但就相对人</w:t>
      </w:r>
      <w:r>
        <w:rPr>
          <w:color w:val="000000"/>
          <w:spacing w:val="0"/>
          <w:w w:val="100"/>
          <w:position w:val="0"/>
          <w:lang w:val="zh-CN" w:eastAsia="zh-CN" w:bidi="zh-CN"/>
        </w:rPr>
        <w:t>“善意”的</w:t>
      </w:r>
      <w:r>
        <w:rPr>
          <w:color w:val="000000"/>
          <w:spacing w:val="0"/>
          <w:w w:val="100"/>
          <w:position w:val="0"/>
        </w:rPr>
        <w:t>认定标准及行 为人赔偿责任之范围则有不同看法。第一种观点将责任双方的主观状态与损害赔偿责任 范围结合,其认为，只有非因故意或重大过失而不知代理权欠缺才成立善意,且仅明知的行 为人承担期待利益的赔偿责任,否则只负不超过期待利益的信赖损失赔偿责任;第二种观 点将相对人</w:t>
      </w:r>
      <w:r>
        <w:rPr>
          <w:color w:val="000000"/>
          <w:spacing w:val="0"/>
          <w:w w:val="100"/>
          <w:position w:val="0"/>
          <w:lang w:val="zh-CN" w:eastAsia="zh-CN" w:bidi="zh-CN"/>
        </w:rPr>
        <w:t>“善意”限定</w:t>
      </w:r>
      <w:r>
        <w:rPr>
          <w:color w:val="000000"/>
          <w:spacing w:val="0"/>
          <w:w w:val="100"/>
          <w:position w:val="0"/>
        </w:rPr>
        <w:t>于“无过失不知代理权欠缺</w:t>
      </w:r>
      <w:r>
        <w:rPr>
          <w:color w:val="000000"/>
          <w:spacing w:val="0"/>
          <w:w w:val="100"/>
          <w:position w:val="0"/>
          <w:lang w:val="zh-CN" w:eastAsia="zh-CN" w:bidi="zh-CN"/>
        </w:rPr>
        <w:t>”，行</w:t>
      </w:r>
      <w:r>
        <w:rPr>
          <w:color w:val="000000"/>
          <w:spacing w:val="0"/>
          <w:w w:val="100"/>
          <w:position w:val="0"/>
        </w:rPr>
        <w:t>为人的赔偿责任原则上以履行利益 为原则，但相对人可选择主张不超过履行利益的信赖利益损害赔偿;第三种观点不对相对 人的善意作任何限制，认为赔偿范围仅为不超过履行利益的信赖损失;第四种观点同样不 对相对人善意作特别限制，但认为损害赔偿原则上应为履行利益，但善意相对人可以选择 主张不超过履行利益的信赖利益赔偿（张家勇：《论无权代理人赔偿责任的双层结构》，载《中国法 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w:t>
      </w:r>
    </w:p>
    <w:p w14:paraId="735E76C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因相对人善意时行为人承担的是无过失责任（也称担保责任），内容上包括履行债务或 赔偿责任，若将赔偿责任限定于信赖赔偿，与“履行债务”对应的“不履行赔偿责任</w:t>
      </w:r>
      <w:r>
        <w:rPr>
          <w:color w:val="000000"/>
          <w:spacing w:val="0"/>
          <w:w w:val="100"/>
          <w:position w:val="0"/>
          <w:lang w:val="en-US" w:eastAsia="en-US" w:bidi="en-US"/>
        </w:rPr>
        <w:t>"</w:t>
      </w:r>
      <w:r>
        <w:rPr>
          <w:color w:val="000000"/>
          <w:spacing w:val="0"/>
          <w:w w:val="100"/>
          <w:position w:val="0"/>
        </w:rPr>
        <w:t>即无所 依凭，故多数说的观点，即该款规定的“赔偿责任</w:t>
      </w:r>
      <w:r>
        <w:rPr>
          <w:color w:val="000000"/>
          <w:spacing w:val="0"/>
          <w:w w:val="100"/>
          <w:position w:val="0"/>
          <w:lang w:val="zh-CN" w:eastAsia="zh-CN" w:bidi="zh-CN"/>
        </w:rPr>
        <w:t>”同时</w:t>
      </w:r>
      <w:r>
        <w:rPr>
          <w:color w:val="000000"/>
          <w:spacing w:val="0"/>
          <w:w w:val="100"/>
          <w:position w:val="0"/>
        </w:rPr>
        <w:t>包含履行利益损失的赔偿责任与信 赖利益的赔偿责任两种形式，与法律文义与规范逻辑更相符，实堪肯定。为期实现利益平 衡，部分观点借用德国民法典的做法，区分行为人明知与否而施予不同责任范围，业已超出 规范文义而有</w:t>
      </w:r>
      <w:r>
        <w:rPr>
          <w:color w:val="000000"/>
          <w:spacing w:val="0"/>
          <w:w w:val="100"/>
          <w:position w:val="0"/>
          <w:lang w:val="zh-CN" w:eastAsia="zh-CN" w:bidi="zh-CN"/>
        </w:rPr>
        <w:t>“法外</w:t>
      </w:r>
      <w:r>
        <w:rPr>
          <w:color w:val="000000"/>
          <w:spacing w:val="0"/>
          <w:w w:val="100"/>
          <w:position w:val="0"/>
        </w:rPr>
        <w:t>造法”之嫌。因履行责任与表见代理的实质效果相同，故在相对人善意 标准上采纳相同做法</w:t>
      </w:r>
      <w:r>
        <w:rPr>
          <w:color w:val="000000"/>
          <w:spacing w:val="0"/>
          <w:w w:val="100"/>
          <w:position w:val="0"/>
          <w:lang w:val="zh-CN" w:eastAsia="zh-CN" w:bidi="zh-CN"/>
        </w:rPr>
        <w:t>，“即</w:t>
      </w:r>
      <w:r>
        <w:rPr>
          <w:color w:val="000000"/>
          <w:spacing w:val="0"/>
          <w:w w:val="100"/>
          <w:position w:val="0"/>
        </w:rPr>
        <w:t>无过失地不知代理权欠缺”。通过提升相对人的主观标准，能够 实际发挥限制行为人责任之效果，在现有立法的规范框架下应属更为妥当的解释选择。</w:t>
      </w:r>
    </w:p>
    <w:p w14:paraId="366F7E6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实务中真正成为问题的是</w:t>
      </w:r>
      <w:r>
        <w:rPr>
          <w:color w:val="000000"/>
          <w:spacing w:val="0"/>
          <w:w w:val="100"/>
          <w:position w:val="0"/>
          <w:lang w:val="zh-CN" w:eastAsia="zh-CN" w:bidi="zh-CN"/>
        </w:rPr>
        <w:t>“善意”内</w:t>
      </w:r>
      <w:r>
        <w:rPr>
          <w:color w:val="000000"/>
          <w:spacing w:val="0"/>
          <w:w w:val="100"/>
          <w:position w:val="0"/>
        </w:rPr>
        <w:t>容的确定。我国理论上通常将表见代理视为无权 代理之类型,只有不构成表见代理的无权代理才涉及无权代理人责任问题</w:t>
      </w:r>
      <w:r>
        <w:rPr>
          <w:color w:val="000000"/>
          <w:spacing w:val="0"/>
          <w:w w:val="100"/>
          <w:position w:val="0"/>
          <w:lang w:val="zh-CN" w:eastAsia="zh-CN" w:bidi="zh-CN"/>
        </w:rPr>
        <w:t>［“江</w:t>
      </w:r>
      <w:r>
        <w:rPr>
          <w:color w:val="000000"/>
          <w:spacing w:val="0"/>
          <w:w w:val="100"/>
          <w:position w:val="0"/>
        </w:rPr>
        <w:t>西宏安房地产 开发有限责任公司诉南昌县兆丰小额贷款股份有限公司等借款合同纠纷再审案</w:t>
      </w:r>
      <w:r>
        <w:rPr>
          <w:color w:val="000000"/>
          <w:spacing w:val="0"/>
          <w:w w:val="100"/>
          <w:position w:val="0"/>
          <w:lang w:val="zh-CN" w:eastAsia="zh-CN" w:bidi="zh-CN"/>
        </w:rPr>
        <w:t>”，最</w:t>
      </w:r>
      <w:r>
        <w:rPr>
          <w:color w:val="000000"/>
          <w:spacing w:val="0"/>
          <w:w w:val="100"/>
          <w:position w:val="0"/>
        </w:rPr>
        <w:t xml:space="preserve">高人民法院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209</w:t>
      </w:r>
      <w:r>
        <w:rPr>
          <w:color w:val="000000"/>
          <w:spacing w:val="0"/>
          <w:w w:val="100"/>
          <w:position w:val="0"/>
        </w:rPr>
        <w:t>号民事判决书］，由此，很容易将成立表见代理的</w:t>
      </w:r>
      <w:r>
        <w:rPr>
          <w:color w:val="000000"/>
          <w:spacing w:val="0"/>
          <w:w w:val="100"/>
          <w:position w:val="0"/>
          <w:lang w:val="zh-CN" w:eastAsia="zh-CN" w:bidi="zh-CN"/>
        </w:rPr>
        <w:t>“相对</w:t>
      </w:r>
      <w:r>
        <w:rPr>
          <w:color w:val="000000"/>
          <w:spacing w:val="0"/>
          <w:w w:val="100"/>
          <w:position w:val="0"/>
        </w:rPr>
        <w:t>人善意</w:t>
      </w:r>
      <w:r>
        <w:rPr>
          <w:color w:val="000000"/>
          <w:spacing w:val="0"/>
          <w:w w:val="100"/>
          <w:position w:val="0"/>
          <w:lang w:val="zh-CN" w:eastAsia="zh-CN" w:bidi="zh-CN"/>
        </w:rPr>
        <w:t>”与</w:t>
      </w:r>
      <w:r>
        <w:rPr>
          <w:color w:val="000000"/>
          <w:spacing w:val="0"/>
          <w:w w:val="100"/>
          <w:position w:val="0"/>
        </w:rPr>
        <w:t>成立无 权代理人赔偿责任的</w:t>
      </w:r>
      <w:r>
        <w:rPr>
          <w:color w:val="000000"/>
          <w:spacing w:val="0"/>
          <w:w w:val="100"/>
          <w:position w:val="0"/>
          <w:lang w:val="zh-CN" w:eastAsia="zh-CN" w:bidi="zh-CN"/>
        </w:rPr>
        <w:t>“相对</w:t>
      </w:r>
      <w:r>
        <w:rPr>
          <w:color w:val="000000"/>
          <w:spacing w:val="0"/>
          <w:w w:val="100"/>
          <w:position w:val="0"/>
        </w:rPr>
        <w:t>人善意</w:t>
      </w:r>
      <w:r>
        <w:rPr>
          <w:color w:val="000000"/>
          <w:spacing w:val="0"/>
          <w:w w:val="100"/>
          <w:position w:val="0"/>
          <w:lang w:val="zh-CN" w:eastAsia="zh-CN" w:bidi="zh-CN"/>
        </w:rPr>
        <w:t>”在判</w:t>
      </w:r>
      <w:r>
        <w:rPr>
          <w:color w:val="000000"/>
          <w:spacing w:val="0"/>
          <w:w w:val="100"/>
          <w:position w:val="0"/>
        </w:rPr>
        <w:t>定标准上混淆</w:t>
      </w:r>
      <w:r>
        <w:rPr>
          <w:color w:val="000000"/>
          <w:spacing w:val="0"/>
          <w:w w:val="100"/>
          <w:position w:val="0"/>
          <w:lang w:val="zh-CN" w:eastAsia="zh-CN" w:bidi="zh-CN"/>
        </w:rPr>
        <w:t>［“抚</w:t>
      </w:r>
      <w:r>
        <w:rPr>
          <w:color w:val="000000"/>
          <w:spacing w:val="0"/>
          <w:w w:val="100"/>
          <w:position w:val="0"/>
        </w:rPr>
        <w:t>州市金锋房地产开发有限公司与福 建三盛房地产开发有限公司等股权转让合同纠纷再审案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2719</w:t>
      </w:r>
      <w:r>
        <w:rPr>
          <w:color w:val="000000"/>
          <w:spacing w:val="0"/>
          <w:w w:val="100"/>
          <w:position w:val="0"/>
        </w:rPr>
        <w:t>号民 事裁定书；“浙江天宇建设有限公司与上海仓驰贸易有限公司、马鞍山迪嘉特科技发展有限公司等买卖 合同纠纷再审案</w:t>
      </w:r>
      <w:r>
        <w:rPr>
          <w:color w:val="000000"/>
          <w:spacing w:val="0"/>
          <w:w w:val="100"/>
          <w:position w:val="0"/>
          <w:lang w:val="zh-CN" w:eastAsia="zh-CN" w:bidi="zh-CN"/>
        </w:rPr>
        <w:t>”，上</w:t>
      </w:r>
      <w:r>
        <w:rPr>
          <w:color w:val="000000"/>
          <w:spacing w:val="0"/>
          <w:w w:val="100"/>
          <w:position w:val="0"/>
        </w:rPr>
        <w:t>海市高级人民法院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沪高民二（商）再提字第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号民事判决书］。未受追认 时行为人责任和表见代理时本人责任均以相对人</w:t>
      </w:r>
      <w:r>
        <w:rPr>
          <w:color w:val="000000"/>
          <w:spacing w:val="0"/>
          <w:w w:val="100"/>
          <w:position w:val="0"/>
          <w:lang w:val="zh-CN" w:eastAsia="zh-CN" w:bidi="zh-CN"/>
        </w:rPr>
        <w:t>“无</w:t>
      </w:r>
      <w:r>
        <w:rPr>
          <w:color w:val="000000"/>
          <w:spacing w:val="0"/>
          <w:w w:val="100"/>
          <w:position w:val="0"/>
        </w:rPr>
        <w:t>过失不知代理权欠缺</w:t>
      </w:r>
      <w:r>
        <w:rPr>
          <w:color w:val="000000"/>
          <w:spacing w:val="0"/>
          <w:w w:val="100"/>
          <w:position w:val="0"/>
          <w:lang w:val="zh-CN" w:eastAsia="zh-CN" w:bidi="zh-CN"/>
        </w:rPr>
        <w:t>”为</w:t>
      </w:r>
      <w:r>
        <w:rPr>
          <w:color w:val="000000"/>
          <w:spacing w:val="0"/>
          <w:w w:val="100"/>
          <w:position w:val="0"/>
        </w:rPr>
        <w:t>必要,但在具 体内容上二者仍有差异:在无权代理行为人负责的场合，相对人是对行为人的代理人身份 （代理权声明）的消极信赖，是对声明虚假的不知;在表见代理情形，相对人则是对代理权外 观的积极信赖，是对外观虚假的无过失不知（最高人民法院《关于当前形势下审理民商事合同纠 纷案件若干问题的指导意见》［法发</w:t>
      </w:r>
      <w:r>
        <w:rPr>
          <w:rFonts w:ascii="Times New Roman" w:hAnsi="Times New Roman" w:eastAsia="Times New Roman" w:cs="Times New Roman"/>
          <w:color w:val="000000"/>
          <w:spacing w:val="0"/>
          <w:w w:val="100"/>
          <w:position w:val="0"/>
          <w:sz w:val="17"/>
          <w:szCs w:val="17"/>
        </w:rPr>
        <w:t>（2009）40</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条）。据此，在前者,相对人原则上无须对 代理权存否与否的问题作调查与核实;在后者,相对人必须</w:t>
      </w:r>
      <w:r>
        <w:rPr>
          <w:color w:val="000000"/>
          <w:spacing w:val="0"/>
          <w:w w:val="100"/>
          <w:position w:val="0"/>
          <w:lang w:val="zh-CN" w:eastAsia="zh-CN" w:bidi="zh-CN"/>
        </w:rPr>
        <w:t>“有理</w:t>
      </w:r>
      <w:r>
        <w:rPr>
          <w:color w:val="000000"/>
          <w:spacing w:val="0"/>
          <w:w w:val="100"/>
          <w:position w:val="0"/>
        </w:rPr>
        <w:t>由相信</w:t>
      </w:r>
      <w:r>
        <w:rPr>
          <w:color w:val="000000"/>
          <w:spacing w:val="0"/>
          <w:w w:val="100"/>
          <w:position w:val="0"/>
          <w:lang w:val="zh-CN" w:eastAsia="zh-CN" w:bidi="zh-CN"/>
        </w:rPr>
        <w:t>”代</w:t>
      </w:r>
      <w:r>
        <w:rPr>
          <w:color w:val="000000"/>
          <w:spacing w:val="0"/>
          <w:w w:val="100"/>
          <w:position w:val="0"/>
        </w:rPr>
        <w:t>理权外观事实 真实、有效。可见，无权代理时相对人信赖的确立基础更为宽松,而表见代理时则更为严格。 原因在于，行为人是直接参与交易的行为人，而表见代理的本人则根本未直接参与交易。 防止无权代理发生的主体主要是行为人,而防止表见代理的主体必须包括相对人。</w:t>
      </w:r>
    </w:p>
    <w:p w14:paraId="2445A62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本案一审以刘昕明知被代理人之一已死亡致被代理人（房屋产权人）不明的事实，认定 其有过错，从而不构成善意相对人。二审法院则以遗产待分配不属于权利人不明，且彭某 良与其他产权人（包括事后因继承而取得遗产之人）有亲属关系为由,认为刘昕对彭某良代 理权的信赖无过错，属于善意相对人。尽管两审法院对于刘昕善意与否的认定截然相反, 但都未以积极的代理权外观作为判定因素，值得关注。</w:t>
      </w:r>
    </w:p>
    <w:p w14:paraId="3B7B82D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如前所述，现有理论就善意相对人的履行利益赔偿请求权多持肯定见解。但是，就其 具体内涵尚非清晰。理论上认为，行为人所承担的是行为人若有代理权，相对人本可由被 代理人处获得的利益，因此，该利益就是代理行为有效时的履行利益。由此,获得履行利益 的要件为:一是行为人与相对人所为法律行为仅涉及代理权欠缺之瑕疵，不存在使行为无 效的其他效力瑕疵。二是相对人的利益在行为人有代理权时能够从被代理人处实现，即至 少应受违约赔偿限制规则的约束（如《民法典》第</w:t>
      </w:r>
      <w:r>
        <w:rPr>
          <w:rFonts w:ascii="Times New Roman" w:hAnsi="Times New Roman" w:eastAsia="Times New Roman" w:cs="Times New Roman"/>
          <w:color w:val="000000"/>
          <w:spacing w:val="0"/>
          <w:w w:val="100"/>
          <w:position w:val="0"/>
          <w:sz w:val="19"/>
          <w:szCs w:val="19"/>
        </w:rPr>
        <w:t>584</w:t>
      </w:r>
      <w:r>
        <w:rPr>
          <w:color w:val="000000"/>
          <w:spacing w:val="0"/>
          <w:w w:val="100"/>
          <w:position w:val="0"/>
        </w:rPr>
        <w:t>条</w:t>
      </w:r>
      <w:r>
        <w:rPr>
          <w:color w:val="000000"/>
          <w:spacing w:val="0"/>
          <w:w w:val="100"/>
          <w:position w:val="0"/>
          <w:lang w:val="zh-CN" w:eastAsia="zh-CN" w:bidi="zh-CN"/>
        </w:rPr>
        <w:t>“但书”规</w:t>
      </w:r>
      <w:r>
        <w:rPr>
          <w:color w:val="000000"/>
          <w:spacing w:val="0"/>
          <w:w w:val="100"/>
          <w:position w:val="0"/>
        </w:rPr>
        <w:t>定），并排除源自被代理人 自身的给付障碍。</w:t>
      </w:r>
    </w:p>
    <w:p w14:paraId="75D91442">
      <w:pPr>
        <w:pStyle w:val="17"/>
        <w:keepNext w:val="0"/>
        <w:keepLines w:val="0"/>
        <w:widowControl w:val="0"/>
        <w:shd w:val="clear" w:color="auto" w:fill="auto"/>
        <w:bidi w:val="0"/>
        <w:spacing w:before="0" w:after="0" w:line="342" w:lineRule="exact"/>
        <w:ind w:left="0" w:right="0" w:firstLine="420"/>
        <w:jc w:val="both"/>
        <w:sectPr>
          <w:headerReference r:id="rId153" w:type="first"/>
          <w:headerReference r:id="rId151" w:type="default"/>
          <w:headerReference r:id="rId152" w:type="even"/>
          <w:footnotePr>
            <w:numFmt w:val="chicago"/>
          </w:footnotePr>
          <w:pgSz w:w="10099" w:h="14782"/>
          <w:pgMar w:top="1301" w:right="995" w:bottom="1114" w:left="1110" w:header="0" w:footer="3" w:gutter="0"/>
          <w:pgNumType w:start="107"/>
          <w:cols w:space="720" w:num="1"/>
          <w:titlePg/>
          <w:rtlGutter w:val="0"/>
          <w:docGrid w:linePitch="360" w:charSpace="0"/>
        </w:sectPr>
      </w:pPr>
      <w:r>
        <w:rPr>
          <w:color w:val="000000"/>
          <w:spacing w:val="0"/>
          <w:w w:val="100"/>
          <w:position w:val="0"/>
        </w:rPr>
        <w:t>就第一项要件而言，原则上强调</w:t>
      </w:r>
      <w:r>
        <w:rPr>
          <w:color w:val="000000"/>
          <w:spacing w:val="0"/>
          <w:w w:val="100"/>
          <w:position w:val="0"/>
          <w:lang w:val="zh-CN" w:eastAsia="zh-CN" w:bidi="zh-CN"/>
        </w:rPr>
        <w:t>“代理</w:t>
      </w:r>
      <w:r>
        <w:rPr>
          <w:color w:val="000000"/>
          <w:spacing w:val="0"/>
          <w:w w:val="100"/>
          <w:position w:val="0"/>
        </w:rPr>
        <w:t>权欠缺</w:t>
      </w:r>
      <w:r>
        <w:rPr>
          <w:color w:val="000000"/>
          <w:spacing w:val="0"/>
          <w:w w:val="100"/>
          <w:position w:val="0"/>
          <w:lang w:val="zh-CN" w:eastAsia="zh-CN" w:bidi="zh-CN"/>
        </w:rPr>
        <w:t>”的行</w:t>
      </w:r>
      <w:r>
        <w:rPr>
          <w:color w:val="000000"/>
          <w:spacing w:val="0"/>
          <w:w w:val="100"/>
          <w:position w:val="0"/>
        </w:rPr>
        <w:t xml:space="preserve">为效力瑕疵事由的唯一性。但是, </w:t>
      </w:r>
    </w:p>
    <w:p w14:paraId="4A3F61C1">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若存在仅相对人有撤销权的瑕疵事由，如行为人欺诈、胁迫等,只要相对人未行使撤销权, 行为人应不受影响。与之不同，若法律行为成立时被代理人即无清偿能力，此种风险属交 易本身风险，与代理权欠缺无关，亦应由相对人承担。</w:t>
      </w:r>
    </w:p>
    <w:p w14:paraId="79ADB46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涉及损害赔偿范围的其他问题，尤其是可预见性规则与违约金条款的适用问题对于行 为人责任的影响亦应予以明确。</w:t>
      </w:r>
      <w:r>
        <w:rPr>
          <w:color w:val="000000"/>
          <w:spacing w:val="0"/>
          <w:w w:val="100"/>
          <w:position w:val="0"/>
          <w:lang w:val="zh-CN" w:eastAsia="zh-CN" w:bidi="zh-CN"/>
        </w:rPr>
        <w:t>“可预</w:t>
      </w:r>
      <w:r>
        <w:rPr>
          <w:color w:val="000000"/>
          <w:spacing w:val="0"/>
          <w:w w:val="100"/>
          <w:position w:val="0"/>
        </w:rPr>
        <w:t>见性规则”限制违约时的赔偿范围，既然行为人负担 的是相对人本可从被代理人处获得的利益，该利益范围自当受可预见性规则的限制。不 过，预见主体应是“被代理人</w:t>
      </w:r>
      <w:r>
        <w:rPr>
          <w:color w:val="000000"/>
          <w:spacing w:val="0"/>
          <w:w w:val="100"/>
          <w:position w:val="0"/>
          <w:lang w:val="zh-CN" w:eastAsia="zh-CN" w:bidi="zh-CN"/>
        </w:rPr>
        <w:t>”而非</w:t>
      </w:r>
      <w:r>
        <w:rPr>
          <w:color w:val="000000"/>
          <w:spacing w:val="0"/>
          <w:w w:val="100"/>
          <w:position w:val="0"/>
        </w:rPr>
        <w:t>行为人，因为仅</w:t>
      </w:r>
      <w:r>
        <w:rPr>
          <w:color w:val="000000"/>
          <w:spacing w:val="0"/>
          <w:w w:val="100"/>
          <w:position w:val="0"/>
          <w:lang w:val="zh-CN" w:eastAsia="zh-CN" w:bidi="zh-CN"/>
        </w:rPr>
        <w:t>“被代</w:t>
      </w:r>
      <w:r>
        <w:rPr>
          <w:color w:val="000000"/>
          <w:spacing w:val="0"/>
          <w:w w:val="100"/>
          <w:position w:val="0"/>
        </w:rPr>
        <w:t xml:space="preserve">理人”在地位上等同于法律规定的 </w:t>
      </w:r>
      <w:r>
        <w:rPr>
          <w:color w:val="000000"/>
          <w:spacing w:val="0"/>
          <w:w w:val="100"/>
          <w:position w:val="0"/>
          <w:lang w:val="zh-CN" w:eastAsia="zh-CN" w:bidi="zh-CN"/>
        </w:rPr>
        <w:t>“违</w:t>
      </w:r>
      <w:r>
        <w:rPr>
          <w:color w:val="000000"/>
          <w:spacing w:val="0"/>
          <w:w w:val="100"/>
          <w:position w:val="0"/>
        </w:rPr>
        <w:t xml:space="preserve">约方”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虽然行为人是涉案行为事实上的缔约人，但可预见性规则以“处于当事人相同 地位的理性人</w:t>
      </w:r>
      <w:r>
        <w:rPr>
          <w:color w:val="000000"/>
          <w:spacing w:val="0"/>
          <w:w w:val="100"/>
          <w:position w:val="0"/>
          <w:lang w:val="zh-CN" w:eastAsia="zh-CN" w:bidi="zh-CN"/>
        </w:rPr>
        <w:t>”为</w:t>
      </w:r>
      <w:r>
        <w:rPr>
          <w:color w:val="000000"/>
          <w:spacing w:val="0"/>
          <w:w w:val="100"/>
          <w:position w:val="0"/>
        </w:rPr>
        <w:t>判准。据此以观，本案二审判决以彭某良在行为时难以预见房屋较大升 值为理由否定刘昕的差价赔偿要求，应属不当。</w:t>
      </w:r>
    </w:p>
    <w:p w14:paraId="10B67B6B">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违约金乃预定的损害赔偿金，但其并不限制赔偿范围，否则，《民法典》第</w:t>
      </w:r>
      <w:r>
        <w:rPr>
          <w:rFonts w:ascii="Times New Roman" w:hAnsi="Times New Roman" w:eastAsia="Times New Roman" w:cs="Times New Roman"/>
          <w:color w:val="000000"/>
          <w:spacing w:val="0"/>
          <w:w w:val="100"/>
          <w:position w:val="0"/>
          <w:sz w:val="19"/>
          <w:szCs w:val="19"/>
        </w:rPr>
        <w:t>585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 违约金调整的规定将失去意义。是故本案二审法院以违约金为基础，考虑定金支付情况与 行为人过错因素，酌定损害赔偿额应属不当行使</w:t>
      </w:r>
      <w:r>
        <w:rPr>
          <w:color w:val="000000"/>
          <w:spacing w:val="0"/>
          <w:w w:val="100"/>
          <w:position w:val="0"/>
          <w:lang w:val="zh-CN" w:eastAsia="zh-CN" w:bidi="zh-CN"/>
        </w:rPr>
        <w:t>“酌定</w:t>
      </w:r>
      <w:r>
        <w:rPr>
          <w:color w:val="000000"/>
          <w:spacing w:val="0"/>
          <w:w w:val="100"/>
          <w:position w:val="0"/>
        </w:rPr>
        <w:t>权”。当然，违约金和房屋差值损失 在功能上有包含关系，差值损失赔偿已包含了与违约金相应的损害赔偿,故不得并用。</w:t>
      </w:r>
    </w:p>
    <w:p w14:paraId="60E76123">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既往理论与实践状况</w:t>
      </w:r>
    </w:p>
    <w:p w14:paraId="4759919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由于原《民法通则》第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条与原《合同法》第</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条就未受追认的无权代理人责任语焉 不详,解释上留下很大空间，并引发司法实践的分歧。</w:t>
      </w:r>
    </w:p>
    <w:p w14:paraId="4882A4E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有关原《民法通则》和原《合同法》中无权代理人承担民事责任的性质和内容，理论上主 要有三种观点:一是合同责任说，认为无权代理人替代被代理人成为合同当事人，享有和履 行该合同项下的权利和义务。二是缔约过失责任说，认为无权代理人承担的是缔约过失责 任，内容为信赖利益的赔偿。三是法定特别责任说，认为无权代理人责任是一种法定的担 保责任或信赖责任,不以无权代理人过错为要件，责任内容可以为履行义务或赔偿履行利 益或信赖利益。不难看出,尽管原《民法总则》在责任内容上作出了明确规定，但目前关于 行为人责任性质的学说并没有发生明显的变化(纪海龙:《〈合同法〉第</w:t>
      </w:r>
      <w:r>
        <w:rPr>
          <w:rFonts w:ascii="Times New Roman" w:hAnsi="Times New Roman" w:eastAsia="Times New Roman" w:cs="Times New Roman"/>
          <w:color w:val="000000"/>
          <w:spacing w:val="0"/>
          <w:w w:val="100"/>
          <w:position w:val="0"/>
          <w:sz w:val="17"/>
          <w:szCs w:val="17"/>
        </w:rPr>
        <w:t>48</w:t>
      </w:r>
      <w:r>
        <w:rPr>
          <w:color w:val="000000"/>
          <w:spacing w:val="0"/>
          <w:w w:val="100"/>
          <w:position w:val="0"/>
        </w:rPr>
        <w:t>条(无权代理规则)评 注》，载《法学家》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3B0FB43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从司法实践来看，采纳第一种观点的案例如</w:t>
      </w:r>
      <w:r>
        <w:rPr>
          <w:color w:val="000000"/>
          <w:spacing w:val="0"/>
          <w:w w:val="100"/>
          <w:position w:val="0"/>
          <w:lang w:val="zh-CN" w:eastAsia="zh-CN" w:bidi="zh-CN"/>
        </w:rPr>
        <w:t>“张敏</w:t>
      </w:r>
      <w:r>
        <w:rPr>
          <w:color w:val="000000"/>
          <w:spacing w:val="0"/>
          <w:w w:val="100"/>
          <w:position w:val="0"/>
        </w:rPr>
        <w:t>敏与河北建设集团买卖合同纠纷申 请再审案</w:t>
      </w:r>
      <w:r>
        <w:rPr>
          <w:color w:val="000000"/>
          <w:spacing w:val="0"/>
          <w:w w:val="100"/>
          <w:position w:val="0"/>
          <w:lang w:val="zh-CN" w:eastAsia="zh-CN" w:bidi="zh-CN"/>
        </w:rPr>
        <w:t>”［青</w:t>
      </w:r>
      <w:r>
        <w:rPr>
          <w:color w:val="000000"/>
          <w:spacing w:val="0"/>
          <w:w w:val="100"/>
          <w:position w:val="0"/>
        </w:rPr>
        <w:t>海省高级人民法院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青民申字第</w:t>
      </w:r>
      <w:r>
        <w:rPr>
          <w:rFonts w:ascii="Times New Roman" w:hAnsi="Times New Roman" w:eastAsia="Times New Roman" w:cs="Times New Roman"/>
          <w:color w:val="000000"/>
          <w:spacing w:val="0"/>
          <w:w w:val="100"/>
          <w:position w:val="0"/>
          <w:sz w:val="17"/>
          <w:szCs w:val="17"/>
        </w:rPr>
        <w:t>275</w:t>
      </w:r>
      <w:r>
        <w:rPr>
          <w:color w:val="000000"/>
          <w:spacing w:val="0"/>
          <w:w w:val="100"/>
          <w:position w:val="0"/>
        </w:rPr>
        <w:t>号民事裁定书］，法院裁定由无权代理人 履行合同义务并承担违约责任。采纳第二种观点的案例如</w:t>
      </w:r>
      <w:r>
        <w:rPr>
          <w:color w:val="000000"/>
          <w:spacing w:val="0"/>
          <w:w w:val="100"/>
          <w:position w:val="0"/>
          <w:lang w:val="zh-CN" w:eastAsia="zh-CN" w:bidi="zh-CN"/>
        </w:rPr>
        <w:t>“惠</w:t>
      </w:r>
      <w:r>
        <w:rPr>
          <w:color w:val="000000"/>
          <w:spacing w:val="0"/>
          <w:w w:val="100"/>
          <w:position w:val="0"/>
        </w:rPr>
        <w:t>州市惠阳区南凯实业有限公 司、王飞缔约过失责任纠纷审查与审判监督案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2158</w:t>
      </w:r>
      <w:r>
        <w:rPr>
          <w:color w:val="000000"/>
          <w:spacing w:val="0"/>
          <w:w w:val="100"/>
          <w:position w:val="0"/>
        </w:rPr>
        <w:t>号民事裁 定书］，法院认为，行为人采用欺诈手段,提供虚假证明、作虚假陈述,使相对人相信其与被代 理人仍为夫妻关系，其作为法定代理人有权签署协议，相对人无过错,应由行为人承担全部 缔约过失责任。由于第三种观点下的履行责任与第一种观点下的履行责任实际上不容易 区分,实践中存在以无法履行作为承担赔偿责任前提的情况。</w:t>
      </w:r>
    </w:p>
    <w:p w14:paraId="77FE44D5">
      <w:pPr>
        <w:pStyle w:val="17"/>
        <w:keepNext w:val="0"/>
        <w:keepLines w:val="0"/>
        <w:widowControl w:val="0"/>
        <w:shd w:val="clear" w:color="auto" w:fill="auto"/>
        <w:bidi w:val="0"/>
        <w:spacing w:before="0" w:after="280" w:line="302" w:lineRule="exact"/>
        <w:ind w:left="0" w:right="0" w:firstLine="420"/>
        <w:jc w:val="both"/>
        <w:sectPr>
          <w:headerReference r:id="rId154" w:type="default"/>
          <w:headerReference r:id="rId155" w:type="even"/>
          <w:footnotePr>
            <w:numFmt w:val="chicago"/>
          </w:footnotePr>
          <w:pgSz w:w="10099" w:h="14782"/>
          <w:pgMar w:top="1301" w:right="995" w:bottom="1114" w:left="1110" w:header="0" w:footer="686" w:gutter="0"/>
          <w:pgNumType w:start="125"/>
          <w:cols w:space="720" w:num="1"/>
          <w:rtlGutter w:val="0"/>
          <w:docGrid w:linePitch="360" w:charSpace="0"/>
        </w:sectPr>
      </w:pPr>
      <w:r>
        <w:rPr>
          <w:color w:val="000000"/>
          <w:spacing w:val="0"/>
          <w:w w:val="100"/>
          <w:position w:val="0"/>
        </w:rPr>
        <w:t>值得注意的是，由于原《民法通则》和原《合同法》就无权代理人责任均只规定</w:t>
      </w:r>
      <w:r>
        <w:rPr>
          <w:color w:val="000000"/>
          <w:spacing w:val="0"/>
          <w:w w:val="100"/>
          <w:position w:val="0"/>
          <w:lang w:val="zh-CN" w:eastAsia="zh-CN" w:bidi="zh-CN"/>
        </w:rPr>
        <w:t>“未</w:t>
      </w:r>
      <w:r>
        <w:rPr>
          <w:color w:val="000000"/>
          <w:spacing w:val="0"/>
          <w:w w:val="100"/>
          <w:position w:val="0"/>
        </w:rPr>
        <w:t>受追 认</w:t>
      </w:r>
      <w:r>
        <w:rPr>
          <w:color w:val="000000"/>
          <w:spacing w:val="0"/>
          <w:w w:val="100"/>
          <w:position w:val="0"/>
          <w:lang w:val="zh-CN" w:eastAsia="zh-CN" w:bidi="zh-CN"/>
        </w:rPr>
        <w:t>”，而</w:t>
      </w:r>
      <w:r>
        <w:rPr>
          <w:color w:val="000000"/>
          <w:spacing w:val="0"/>
          <w:w w:val="100"/>
          <w:position w:val="0"/>
        </w:rPr>
        <w:t xml:space="preserve">无其他要件,以致实践中可见应知代理权欠缺的相对人也可以请求行为人实际履行 </w:t>
      </w:r>
    </w:p>
    <w:p w14:paraId="21C9D678">
      <w:pPr>
        <w:pStyle w:val="17"/>
        <w:keepNext w:val="0"/>
        <w:keepLines w:val="0"/>
        <w:widowControl w:val="0"/>
        <w:shd w:val="clear" w:color="auto" w:fill="auto"/>
        <w:bidi w:val="0"/>
        <w:spacing w:before="0" w:after="280" w:line="302" w:lineRule="exact"/>
        <w:ind w:left="0" w:right="0" w:firstLine="0"/>
        <w:jc w:val="both"/>
      </w:pPr>
      <w:r>
        <w:rPr>
          <w:color w:val="000000"/>
          <w:spacing w:val="0"/>
          <w:w w:val="100"/>
          <w:position w:val="0"/>
        </w:rPr>
        <w:t>的案例，如“宁波绣丰彩印实业有限公司、浙江杭州湾汽配机电市场经营服务有限公司、慈 溪逍新投资咨询有限公司、慈溪逍新汽配贸易有限公司、慈溪市一得工贸有限公司以及孙 跃生合同纠纷案”［最高人民法院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208</w:t>
      </w:r>
      <w:r>
        <w:rPr>
          <w:color w:val="000000"/>
          <w:spacing w:val="0"/>
          <w:w w:val="100"/>
          <w:position w:val="0"/>
        </w:rPr>
        <w:t>号民事判决书］;或者根本不提及无权代理 人承担责任时相对人主观要素的，如“鄂州中博经济贸易有限公司、达拉特旗物华煤炭有限 责任公司等与张增华一般买卖合同纠纷申请再审案”［最高人民法院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828</w:t>
      </w:r>
      <w:r>
        <w:rPr>
          <w:color w:val="000000"/>
          <w:spacing w:val="0"/>
          <w:w w:val="100"/>
          <w:position w:val="0"/>
        </w:rPr>
        <w:t>号民 事裁定书］。可见，立法规定的模糊不仅影响到理论上的解释构造，也必然影响法律适用的 统一性。</w:t>
      </w:r>
    </w:p>
    <w:p w14:paraId="39CD35E7">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本判决的参考意义及将来的课题</w:t>
      </w:r>
    </w:p>
    <w:p w14:paraId="6B175E6F">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 xml:space="preserve">本案判决实际上确立了无权代理相对人无过失的善意标准，有助于澄清《民法典》第 </w:t>
      </w:r>
      <w:r>
        <w:rPr>
          <w:rFonts w:ascii="Times New Roman" w:hAnsi="Times New Roman" w:eastAsia="Times New Roman" w:cs="Times New Roman"/>
          <w:color w:val="000000"/>
          <w:spacing w:val="0"/>
          <w:w w:val="100"/>
          <w:position w:val="0"/>
          <w:sz w:val="19"/>
          <w:szCs w:val="19"/>
        </w:rPr>
        <w:t>171</w:t>
      </w:r>
      <w:r>
        <w:rPr>
          <w:color w:val="000000"/>
          <w:spacing w:val="0"/>
          <w:w w:val="100"/>
          <w:position w:val="0"/>
        </w:rPr>
        <w:t>条规定存在的解释分歧。在有关善意相对人赔偿范围的认识上,本案判决说理尚非清 晰，其引发的裁判启示价值相比于其提出的解决思路更值得关注，未来的理论研讨与实践 探索均需着力于此。就本案针对赔偿范围提出的裁判规则而言，其妥当性堪值怀疑，未来 类似案件的处理不宜参照。</w:t>
      </w:r>
    </w:p>
    <w:p w14:paraId="709655E9">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回参考文献</w:t>
      </w:r>
    </w:p>
    <w:p w14:paraId="0D9FDA88">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36383A2E">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王利明主编:《中华人民共和国民法总则详解》，中国法制出版社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75F4BADB">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李适时主编:《中华人民共和国民法总则释义》，法律出版社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A82E5EF">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51294972">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纪海龙:《〈合同法〉第</w:t>
      </w:r>
      <w:r>
        <w:rPr>
          <w:rFonts w:ascii="Times New Roman" w:hAnsi="Times New Roman" w:eastAsia="Times New Roman" w:cs="Times New Roman"/>
          <w:color w:val="000000"/>
          <w:spacing w:val="0"/>
          <w:w w:val="100"/>
          <w:position w:val="0"/>
          <w:sz w:val="17"/>
          <w:szCs w:val="17"/>
        </w:rPr>
        <w:t>48</w:t>
      </w:r>
      <w:r>
        <w:rPr>
          <w:color w:val="000000"/>
          <w:spacing w:val="0"/>
          <w:w w:val="100"/>
          <w:position w:val="0"/>
        </w:rPr>
        <w:t>条（无权代理规则）评注》，载《法学家》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31CA5EC2">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张家勇：《论无权代理人赔偿责任的双层结构》，载《中国法学》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CA71105">
      <w:pPr>
        <w:pStyle w:val="17"/>
        <w:keepNext w:val="0"/>
        <w:keepLines w:val="0"/>
        <w:widowControl w:val="0"/>
        <w:shd w:val="clear" w:color="auto" w:fill="auto"/>
        <w:bidi w:val="0"/>
        <w:spacing w:before="0" w:after="140" w:line="339" w:lineRule="exact"/>
        <w:ind w:left="0" w:right="0" w:firstLine="0"/>
        <w:jc w:val="left"/>
        <w:sectPr>
          <w:headerReference r:id="rId156" w:type="default"/>
          <w:headerReference r:id="rId157" w:type="even"/>
          <w:footnotePr>
            <w:numFmt w:val="chicago"/>
          </w:footnotePr>
          <w:pgSz w:w="10099" w:h="14782"/>
          <w:pgMar w:top="1301" w:right="995" w:bottom="1114" w:left="1110" w:header="0" w:footer="686" w:gutter="0"/>
          <w:pgNumType w:start="110"/>
          <w:cols w:space="720" w:num="1"/>
          <w:rtlGutter w:val="0"/>
          <w:docGrid w:linePitch="360" w:charSpace="0"/>
        </w:sectPr>
      </w:pPr>
      <w:r>
        <w:rPr>
          <w:color w:val="000000"/>
          <w:spacing w:val="0"/>
          <w:w w:val="100"/>
          <w:position w:val="0"/>
        </w:rPr>
        <w:t>夏昊啥:《无权代理中相对人善意的判断标准》，载《法学》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47E7BC7">
      <w:pPr>
        <w:widowControl w:val="0"/>
        <w:spacing w:line="6" w:lineRule="exact"/>
        <w:rPr>
          <w:sz w:val="2"/>
          <w:szCs w:val="2"/>
        </w:rPr>
      </w:pPr>
    </w:p>
    <w:p w14:paraId="3B9479FB">
      <w:pPr>
        <w:widowControl w:val="0"/>
        <w:spacing w:line="1" w:lineRule="exact"/>
        <w:sectPr>
          <w:headerReference r:id="rId158" w:type="default"/>
          <w:headerReference r:id="rId159" w:type="even"/>
          <w:footnotePr>
            <w:numFmt w:val="chicago"/>
          </w:footnotePr>
          <w:pgSz w:w="10099" w:h="14782"/>
          <w:pgMar w:top="1296" w:right="1085" w:bottom="1127" w:left="1004" w:header="0" w:footer="3" w:gutter="0"/>
          <w:pgNumType w:start="127"/>
          <w:cols w:space="720" w:num="1"/>
          <w:rtlGutter w:val="0"/>
          <w:docGrid w:linePitch="360" w:charSpace="0"/>
        </w:sectPr>
      </w:pPr>
    </w:p>
    <w:p w14:paraId="4463DFE2">
      <w:pPr>
        <w:widowControl w:val="0"/>
        <w:spacing w:line="1" w:lineRule="exact"/>
      </w:pPr>
      <w:r>
        <mc:AlternateContent>
          <mc:Choice Requires="wps">
            <w:drawing>
              <wp:anchor distT="0" distB="16510" distL="114300" distR="3447415" simplePos="0" relativeHeight="251660288" behindDoc="0" locked="0" layoutInCell="1" allowOverlap="1">
                <wp:simplePos x="0" y="0"/>
                <wp:positionH relativeFrom="page">
                  <wp:posOffset>740410</wp:posOffset>
                </wp:positionH>
                <wp:positionV relativeFrom="paragraph">
                  <wp:posOffset>12700</wp:posOffset>
                </wp:positionV>
                <wp:extent cx="449580" cy="304800"/>
                <wp:effectExtent l="0" t="0" r="0" b="0"/>
                <wp:wrapTopAndBottom/>
                <wp:docPr id="349" name="Shape 34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77BBFC3">
                            <w:pPr>
                              <w:pStyle w:val="27"/>
                              <w:keepNext/>
                              <w:keepLines/>
                              <w:widowControl w:val="0"/>
                              <w:shd w:val="clear" w:color="auto" w:fill="auto"/>
                              <w:bidi w:val="0"/>
                              <w:spacing w:before="0" w:after="0" w:line="240" w:lineRule="auto"/>
                              <w:ind w:left="0" w:right="0" w:firstLine="0"/>
                              <w:jc w:val="both"/>
                            </w:pPr>
                            <w:bookmarkStart w:id="300" w:name="bookmark146"/>
                            <w:bookmarkStart w:id="301" w:name="bookmark147"/>
                            <w:bookmarkStart w:id="302" w:name="bookmark145"/>
                            <w:r>
                              <w:rPr>
                                <w:rFonts w:ascii="Times New Roman" w:hAnsi="Times New Roman" w:eastAsia="Times New Roman" w:cs="Times New Roman"/>
                                <w:color w:val="000000"/>
                                <w:spacing w:val="0"/>
                                <w:w w:val="100"/>
                                <w:position w:val="0"/>
                              </w:rPr>
                              <w:t>023</w:t>
                            </w:r>
                            <w:bookmarkEnd w:id="300"/>
                            <w:bookmarkEnd w:id="301"/>
                            <w:bookmarkEnd w:id="302"/>
                          </w:p>
                        </w:txbxContent>
                      </wps:txbx>
                      <wps:bodyPr wrap="none" lIns="0" tIns="0" rIns="0" bIns="0">
                        <a:noAutofit/>
                      </wps:bodyPr>
                    </wps:wsp>
                  </a:graphicData>
                </a:graphic>
              </wp:anchor>
            </w:drawing>
          </mc:Choice>
          <mc:Fallback>
            <w:pict>
              <v:shape id="Shape 349" o:spid="_x0000_s1026" o:spt="202" type="#_x0000_t202" style="position:absolute;left:0pt;margin-left:58.3pt;margin-top:1pt;height:24pt;width:35.4pt;mso-position-horizontal-relative:page;mso-wrap-distance-bottom:1.3pt;mso-wrap-distance-top:0pt;mso-wrap-style:none;z-index:251660288;mso-width-relative:page;mso-height-relative:page;" filled="f" stroked="f" coordsize="21600,21600" o:gfxdata="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OxVUjUAAAA&#10;CAEAAA8AAAAAAAAAAQAgAAAAIgAAAGRycy9kb3ducmV2LnhtbFBLAQIUABQAAAAIAIdO4kAY53yZ&#10;rwEAAHMDAAAOAAAAAAAAAAEAIAAAACMBAABkcnMvZTJvRG9jLnhtbFBLBQYAAAAABgAGAFkBAABE&#10;BQAAAAA=&#10;">
                <v:fill on="f" focussize="0,0"/>
                <v:stroke on="f"/>
                <v:imagedata o:title=""/>
                <o:lock v:ext="edit" aspectratio="f"/>
                <v:textbox inset="0mm,0mm,0mm,0mm">
                  <w:txbxContent>
                    <w:p w14:paraId="777BBFC3">
                      <w:pPr>
                        <w:pStyle w:val="27"/>
                        <w:keepNext/>
                        <w:keepLines/>
                        <w:widowControl w:val="0"/>
                        <w:shd w:val="clear" w:color="auto" w:fill="auto"/>
                        <w:bidi w:val="0"/>
                        <w:spacing w:before="0" w:after="0" w:line="240" w:lineRule="auto"/>
                        <w:ind w:left="0" w:right="0" w:firstLine="0"/>
                        <w:jc w:val="both"/>
                      </w:pPr>
                      <w:bookmarkStart w:id="300" w:name="bookmark146"/>
                      <w:bookmarkStart w:id="301" w:name="bookmark147"/>
                      <w:bookmarkStart w:id="302" w:name="bookmark145"/>
                      <w:r>
                        <w:rPr>
                          <w:rFonts w:ascii="Times New Roman" w:hAnsi="Times New Roman" w:eastAsia="Times New Roman" w:cs="Times New Roman"/>
                          <w:color w:val="000000"/>
                          <w:spacing w:val="0"/>
                          <w:w w:val="100"/>
                          <w:position w:val="0"/>
                        </w:rPr>
                        <w:t>023</w:t>
                      </w:r>
                      <w:bookmarkEnd w:id="300"/>
                      <w:bookmarkEnd w:id="301"/>
                      <w:bookmarkEnd w:id="302"/>
                    </w:p>
                  </w:txbxContent>
                </v:textbox>
                <w10:wrap type="topAndBottom"/>
              </v:shape>
            </w:pict>
          </mc:Fallback>
        </mc:AlternateContent>
      </w:r>
      <w:r>
        <mc:AlternateContent>
          <mc:Choice Requires="wps">
            <w:drawing>
              <wp:anchor distT="79375" distB="0" distL="690245" distR="114300" simplePos="0" relativeHeight="251660288" behindDoc="0" locked="0" layoutInCell="1" allowOverlap="1">
                <wp:simplePos x="0" y="0"/>
                <wp:positionH relativeFrom="page">
                  <wp:posOffset>1316355</wp:posOffset>
                </wp:positionH>
                <wp:positionV relativeFrom="paragraph">
                  <wp:posOffset>92075</wp:posOffset>
                </wp:positionV>
                <wp:extent cx="3206750" cy="242570"/>
                <wp:effectExtent l="0" t="0" r="0" b="0"/>
                <wp:wrapTopAndBottom/>
                <wp:docPr id="351" name="Shape 351"/>
                <wp:cNvGraphicFramePr/>
                <a:graphic xmlns:a="http://schemas.openxmlformats.org/drawingml/2006/main">
                  <a:graphicData uri="http://schemas.microsoft.com/office/word/2010/wordprocessingShape">
                    <wps:wsp>
                      <wps:cNvSpPr txBox="1"/>
                      <wps:spPr>
                        <a:xfrm>
                          <a:off x="0" y="0"/>
                          <a:ext cx="3206750" cy="242570"/>
                        </a:xfrm>
                        <a:prstGeom prst="rect">
                          <a:avLst/>
                        </a:prstGeom>
                        <a:noFill/>
                      </wps:spPr>
                      <wps:txbx>
                        <w:txbxContent>
                          <w:p w14:paraId="4074B0E1">
                            <w:pPr>
                              <w:pStyle w:val="15"/>
                              <w:keepNext/>
                              <w:keepLines/>
                              <w:widowControl w:val="0"/>
                              <w:shd w:val="clear" w:color="auto" w:fill="auto"/>
                              <w:bidi w:val="0"/>
                              <w:spacing w:before="0" w:after="0" w:line="240" w:lineRule="auto"/>
                              <w:ind w:left="0" w:right="0" w:firstLine="0"/>
                              <w:jc w:val="left"/>
                            </w:pPr>
                            <w:bookmarkStart w:id="303" w:name="bookmark148"/>
                            <w:bookmarkStart w:id="304" w:name="bookmark149"/>
                            <w:bookmarkStart w:id="305" w:name="bookmark150"/>
                            <w:r>
                              <w:rPr>
                                <w:color w:val="000000"/>
                                <w:spacing w:val="0"/>
                                <w:w w:val="100"/>
                                <w:position w:val="0"/>
                              </w:rPr>
                              <w:t>表见代理构成中的被代理人可归责性</w:t>
                            </w:r>
                            <w:bookmarkEnd w:id="303"/>
                            <w:bookmarkEnd w:id="304"/>
                            <w:bookmarkEnd w:id="305"/>
                          </w:p>
                        </w:txbxContent>
                      </wps:txbx>
                      <wps:bodyPr wrap="none" lIns="0" tIns="0" rIns="0" bIns="0">
                        <a:noAutofit/>
                      </wps:bodyPr>
                    </wps:wsp>
                  </a:graphicData>
                </a:graphic>
              </wp:anchor>
            </w:drawing>
          </mc:Choice>
          <mc:Fallback>
            <w:pict>
              <v:shape id="Shape 351" o:spid="_x0000_s1026" o:spt="202" type="#_x0000_t202" style="position:absolute;left:0pt;margin-left:103.65pt;margin-top:7.25pt;height:19.1pt;width:252.5pt;mso-position-horizontal-relative:page;mso-wrap-distance-bottom:0pt;mso-wrap-distance-top:6.25pt;mso-wrap-style:none;z-index:251660288;mso-width-relative:page;mso-height-relative:page;" filled="f" stroked="f" coordsize="21600,21600" o:gfxdata="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qesjTW&#10;AAAACQEAAA8AAAAAAAAAAQAgAAAAIgAAAGRycy9kb3ducmV2LnhtbFBLAQIUABQAAAAIAIdO4kBQ&#10;GNkZsAEAAHQDAAAOAAAAAAAAAAEAIAAAACUBAABkcnMvZTJvRG9jLnhtbFBLBQYAAAAABgAGAFkB&#10;AABHBQAAAAA=&#10;">
                <v:fill on="f" focussize="0,0"/>
                <v:stroke on="f"/>
                <v:imagedata o:title=""/>
                <o:lock v:ext="edit" aspectratio="f"/>
                <v:textbox inset="0mm,0mm,0mm,0mm">
                  <w:txbxContent>
                    <w:p w14:paraId="4074B0E1">
                      <w:pPr>
                        <w:pStyle w:val="15"/>
                        <w:keepNext/>
                        <w:keepLines/>
                        <w:widowControl w:val="0"/>
                        <w:shd w:val="clear" w:color="auto" w:fill="auto"/>
                        <w:bidi w:val="0"/>
                        <w:spacing w:before="0" w:after="0" w:line="240" w:lineRule="auto"/>
                        <w:ind w:left="0" w:right="0" w:firstLine="0"/>
                        <w:jc w:val="left"/>
                      </w:pPr>
                      <w:bookmarkStart w:id="303" w:name="bookmark148"/>
                      <w:bookmarkStart w:id="304" w:name="bookmark149"/>
                      <w:bookmarkStart w:id="305" w:name="bookmark150"/>
                      <w:r>
                        <w:rPr>
                          <w:color w:val="000000"/>
                          <w:spacing w:val="0"/>
                          <w:w w:val="100"/>
                          <w:position w:val="0"/>
                        </w:rPr>
                        <w:t>表见代理构成中的被代理人可归责性</w:t>
                      </w:r>
                      <w:bookmarkEnd w:id="303"/>
                      <w:bookmarkEnd w:id="304"/>
                      <w:bookmarkEnd w:id="305"/>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5107940</wp:posOffset>
            </wp:positionH>
            <wp:positionV relativeFrom="paragraph">
              <wp:posOffset>231775</wp:posOffset>
            </wp:positionV>
            <wp:extent cx="628015" cy="621665"/>
            <wp:effectExtent l="0" t="0" r="6985" b="635"/>
            <wp:wrapSquare wrapText="left"/>
            <wp:docPr id="353" name="Shape 353"/>
            <wp:cNvGraphicFramePr/>
            <a:graphic xmlns:a="http://schemas.openxmlformats.org/drawingml/2006/main">
              <a:graphicData uri="http://schemas.openxmlformats.org/drawingml/2006/picture">
                <pic:pic xmlns:pic="http://schemas.openxmlformats.org/drawingml/2006/picture">
                  <pic:nvPicPr>
                    <pic:cNvPr id="353" name="Shape 353"/>
                    <pic:cNvPicPr/>
                  </pic:nvPicPr>
                  <pic:blipFill>
                    <a:blip r:embed="rId624"/>
                    <a:stretch>
                      <a:fillRect/>
                    </a:stretch>
                  </pic:blipFill>
                  <pic:spPr>
                    <a:xfrm>
                      <a:off x="0" y="0"/>
                      <a:ext cx="628015" cy="621665"/>
                    </a:xfrm>
                    <a:prstGeom prst="rect">
                      <a:avLst/>
                    </a:prstGeom>
                  </pic:spPr>
                </pic:pic>
              </a:graphicData>
            </a:graphic>
          </wp:anchor>
        </w:drawing>
      </w:r>
    </w:p>
    <w:p w14:paraId="254DD7FC">
      <w:pPr>
        <w:pStyle w:val="17"/>
        <w:keepNext w:val="0"/>
        <w:keepLines w:val="0"/>
        <w:widowControl w:val="0"/>
        <w:shd w:val="clear" w:color="auto" w:fill="auto"/>
        <w:bidi w:val="0"/>
        <w:spacing w:before="0" w:after="420" w:line="326" w:lineRule="exact"/>
        <w:ind w:left="1040" w:right="0" w:firstLine="20"/>
        <w:jc w:val="both"/>
      </w:pPr>
      <w:r>
        <w:rPr>
          <w:color w:val="000000"/>
          <w:spacing w:val="0"/>
          <w:w w:val="100"/>
          <w:position w:val="0"/>
        </w:rPr>
        <w:t>山东宝华耐磨钢有限公司、方大特钢科技股份有限公司买卖合同纠 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9"/>
          <w:szCs w:val="19"/>
        </w:rPr>
        <w:t>122</w:t>
      </w:r>
      <w:r>
        <w:rPr>
          <w:color w:val="000000"/>
          <w:spacing w:val="0"/>
          <w:w w:val="100"/>
          <w:position w:val="0"/>
        </w:rPr>
        <w:t>号民事判决书</w:t>
      </w:r>
    </w:p>
    <w:p w14:paraId="4DA14197">
      <w:pPr>
        <w:pStyle w:val="17"/>
        <w:keepNext w:val="0"/>
        <w:keepLines w:val="0"/>
        <w:widowControl w:val="0"/>
        <w:shd w:val="clear" w:color="auto" w:fill="auto"/>
        <w:bidi w:val="0"/>
        <w:spacing w:before="0" w:after="1480" w:line="240" w:lineRule="auto"/>
        <w:ind w:left="0" w:right="0" w:firstLine="0"/>
        <w:jc w:val="right"/>
      </w:pPr>
      <w:r>
        <w:rPr>
          <w:color w:val="000000"/>
          <w:spacing w:val="0"/>
          <w:w w:val="100"/>
          <w:position w:val="0"/>
        </w:rPr>
        <w:t>朱虎中国人民大学法学院</w:t>
      </w:r>
    </w:p>
    <w:p w14:paraId="2D211E54">
      <w:pPr>
        <w:pStyle w:val="11"/>
        <w:keepNext w:val="0"/>
        <w:keepLines w:val="0"/>
        <w:widowControl w:val="0"/>
        <w:shd w:val="clear" w:color="auto" w:fill="auto"/>
        <w:bidi w:val="0"/>
        <w:spacing w:before="0" w:after="100" w:line="240" w:lineRule="auto"/>
        <w:ind w:left="0" w:right="0" w:firstLine="0"/>
        <w:jc w:val="both"/>
      </w:pPr>
      <w:r>
        <w:rPr>
          <w:color w:val="000000"/>
          <w:spacing w:val="0"/>
          <w:w w:val="100"/>
          <w:position w:val="0"/>
        </w:rPr>
        <w:t>■事实概要</w:t>
      </w:r>
    </w:p>
    <w:p w14:paraId="3E7BDC4D">
      <w:pPr>
        <w:pStyle w:val="17"/>
        <w:keepNext w:val="0"/>
        <w:keepLines w:val="0"/>
        <w:widowControl w:val="0"/>
        <w:shd w:val="clear" w:color="auto" w:fill="auto"/>
        <w:bidi w:val="0"/>
        <w:spacing w:before="0" w:after="0" w:line="348" w:lineRule="exact"/>
        <w:ind w:left="0" w:right="0" w:firstLine="440"/>
        <w:jc w:val="both"/>
      </w:pP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月，通过上海米钢电子商务有限公司（以下简称米钢公司）的实际控制人朱志 生、马阿君的积极引荐和洽谈，山东宝华耐磨钢有限公司（以下简称宝华公司）与方大特钢 公司（以下简称方大公司）签订《钢材购销协议》，约定</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6~12</w:t>
      </w:r>
      <w:r>
        <w:rPr>
          <w:color w:val="000000"/>
          <w:spacing w:val="0"/>
          <w:w w:val="100"/>
          <w:position w:val="0"/>
        </w:rPr>
        <w:t>月宝华公司向方大公 司采用每旬预付货款的方式购买钢材。宝华公司据此与米钢公司按月签订</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份《工业品买 卖合同》,将购买的钢材加价销售给米钢公司。宝华公司每次在收到米钢公司应付货款的 </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之后向方大公司预付全部货款,方大公司收款后发货，待米钢公司支付剩余货款后宝华 公司将货物所有权转移给米钢公司。</w:t>
      </w:r>
    </w:p>
    <w:p w14:paraId="30F2AAAF">
      <w:pPr>
        <w:pStyle w:val="17"/>
        <w:keepNext w:val="0"/>
        <w:keepLines w:val="0"/>
        <w:widowControl w:val="0"/>
        <w:shd w:val="clear" w:color="auto" w:fill="auto"/>
        <w:bidi w:val="0"/>
        <w:spacing w:before="0" w:after="0" w:line="324" w:lineRule="exact"/>
        <w:ind w:left="0" w:right="0" w:firstLine="440"/>
        <w:jc w:val="both"/>
        <w:rPr>
          <w:sz w:val="19"/>
          <w:szCs w:val="19"/>
        </w:rPr>
      </w:pPr>
      <w:r>
        <w:rPr>
          <w:color w:val="000000"/>
          <w:spacing w:val="0"/>
          <w:w w:val="100"/>
          <w:position w:val="0"/>
          <w:sz w:val="18"/>
          <w:szCs w:val="18"/>
        </w:rPr>
        <w:t>在《钢材购销协议》的履行过程中，各种履行行为均是通过马阿君相互传递。</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sz w:val="18"/>
          <w:szCs w:val="18"/>
        </w:rPr>
        <w:t xml:space="preserve">年 </w:t>
      </w:r>
      <w:r>
        <w:rPr>
          <w:rFonts w:ascii="Times New Roman" w:hAnsi="Times New Roman" w:eastAsia="Times New Roman" w:cs="Times New Roman"/>
          <w:color w:val="000000"/>
          <w:spacing w:val="0"/>
          <w:w w:val="100"/>
          <w:position w:val="0"/>
          <w:sz w:val="19"/>
          <w:szCs w:val="19"/>
        </w:rPr>
        <w:t>10</w:t>
      </w:r>
      <w:r>
        <w:rPr>
          <w:color w:val="000000"/>
          <w:spacing w:val="0"/>
          <w:w w:val="100"/>
          <w:position w:val="0"/>
          <w:sz w:val="18"/>
          <w:szCs w:val="18"/>
        </w:rPr>
        <w:t>月，宝华公司开具了《关于购销业务货权转移流程确认函》，其中载明方大公司未接到宝 华公司的《货权转移函》时不能将具有宝华公司货权的货物转移至其他人。该函件交给马 阿君,马阿君未转交给方大公司。朱志生、马阿君伪造了宝华公司的《运输委托书》,方大公 司按此通知将宝华公司购买的钢材提走并运至其他仓库，钢材被朱志生、马阿君卖给其他 客户。朱志生、马阿君在资金回笼后将剩余</w:t>
      </w:r>
      <w:r>
        <w:rPr>
          <w:rFonts w:ascii="Times New Roman" w:hAnsi="Times New Roman" w:eastAsia="Times New Roman" w:cs="Times New Roman"/>
          <w:color w:val="000000"/>
          <w:spacing w:val="0"/>
          <w:w w:val="100"/>
          <w:position w:val="0"/>
          <w:sz w:val="19"/>
          <w:szCs w:val="19"/>
        </w:rPr>
        <w:t>85%</w:t>
      </w:r>
      <w:r>
        <w:rPr>
          <w:color w:val="000000"/>
          <w:spacing w:val="0"/>
          <w:w w:val="100"/>
          <w:position w:val="0"/>
          <w:sz w:val="18"/>
          <w:szCs w:val="18"/>
        </w:rPr>
        <w:t>的货款再汇给宝华公司，造成宝华公司误 以为米钢公司付清了剩余</w:t>
      </w:r>
      <w:r>
        <w:rPr>
          <w:rFonts w:ascii="Times New Roman" w:hAnsi="Times New Roman" w:eastAsia="Times New Roman" w:cs="Times New Roman"/>
          <w:color w:val="000000"/>
          <w:spacing w:val="0"/>
          <w:w w:val="100"/>
          <w:position w:val="0"/>
          <w:sz w:val="19"/>
          <w:szCs w:val="19"/>
        </w:rPr>
        <w:t>85%</w:t>
      </w:r>
      <w:r>
        <w:rPr>
          <w:color w:val="000000"/>
          <w:spacing w:val="0"/>
          <w:w w:val="100"/>
          <w:position w:val="0"/>
          <w:sz w:val="18"/>
          <w:szCs w:val="18"/>
        </w:rPr>
        <w:t>的货款，遂通过马阿君向方大公司发出货权转移函，但该函 被朱志生、马阿君截留，朱志生、马阿君又伪造《方大特钢销售清单》向宝华公司回复。朱志 生、马阿君靠上述手段，完成了米钢公司与宝华公司签订的前三份《工业品买卖合同》。后 三份《工业品买卖合同》宝华公司仅收到米钢公司支付的</w:t>
      </w:r>
      <w:r>
        <w:rPr>
          <w:rFonts w:ascii="Times New Roman" w:hAnsi="Times New Roman" w:eastAsia="Times New Roman" w:cs="Times New Roman"/>
          <w:color w:val="000000"/>
          <w:spacing w:val="0"/>
          <w:w w:val="100"/>
          <w:position w:val="0"/>
          <w:sz w:val="19"/>
          <w:szCs w:val="19"/>
        </w:rPr>
        <w:t>15%</w:t>
      </w:r>
      <w:r>
        <w:rPr>
          <w:color w:val="000000"/>
          <w:spacing w:val="0"/>
          <w:w w:val="100"/>
          <w:position w:val="0"/>
          <w:sz w:val="18"/>
          <w:szCs w:val="18"/>
        </w:rPr>
        <w:t xml:space="preserve">货款保证金，剩余货款均未收 </w:t>
      </w:r>
      <w:r>
        <w:rPr>
          <w:rFonts w:ascii="Times New Roman" w:hAnsi="Times New Roman" w:eastAsia="Times New Roman" w:cs="Times New Roman"/>
          <w:color w:val="000000"/>
          <w:spacing w:val="0"/>
          <w:w w:val="100"/>
          <w:position w:val="0"/>
          <w:sz w:val="19"/>
          <w:szCs w:val="19"/>
          <w:lang w:val="en-US" w:eastAsia="en-US" w:bidi="en-US"/>
        </w:rPr>
        <w:t>r</w:t>
      </w:r>
    </w:p>
    <w:p w14:paraId="2BE2E0CD">
      <w:pPr>
        <w:pStyle w:val="17"/>
        <w:keepNext w:val="0"/>
        <w:keepLines w:val="0"/>
        <w:widowControl w:val="0"/>
        <w:shd w:val="clear" w:color="auto" w:fill="auto"/>
        <w:bidi w:val="0"/>
        <w:spacing w:before="0" w:after="420" w:line="240" w:lineRule="auto"/>
        <w:ind w:left="0" w:right="0" w:firstLine="0"/>
        <w:jc w:val="both"/>
      </w:pPr>
      <w:r>
        <w:rPr>
          <w:color w:val="000000"/>
          <w:spacing w:val="0"/>
          <w:w w:val="100"/>
          <w:position w:val="0"/>
        </w:rPr>
        <w:t>到。</w:t>
      </w:r>
    </w:p>
    <w:p w14:paraId="7114EAA8">
      <w:pPr>
        <w:pStyle w:val="11"/>
        <w:keepNext w:val="0"/>
        <w:keepLines w:val="0"/>
        <w:widowControl w:val="0"/>
        <w:shd w:val="clear" w:color="auto" w:fill="auto"/>
        <w:tabs>
          <w:tab w:val="left" w:pos="2587"/>
        </w:tabs>
        <w:bidi w:val="0"/>
        <w:spacing w:before="0" w:after="100" w:line="341" w:lineRule="exact"/>
        <w:ind w:left="0" w:right="0" w:firstLine="0"/>
        <w:jc w:val="both"/>
      </w:pPr>
      <w:r>
        <w:rPr>
          <w:color w:val="000000"/>
          <w:spacing w:val="0"/>
          <w:w w:val="100"/>
          <w:position w:val="0"/>
        </w:rPr>
        <w:t>■判决要旨</w:t>
      </w:r>
      <w:r>
        <w:rPr>
          <w:rFonts w:ascii="Times New Roman" w:hAnsi="Times New Roman" w:eastAsia="Times New Roman" w:cs="Times New Roman"/>
          <w:color w:val="000000"/>
          <w:spacing w:val="0"/>
          <w:w w:val="100"/>
          <w:position w:val="0"/>
          <w:sz w:val="38"/>
          <w:szCs w:val="38"/>
        </w:rPr>
        <w:t>I</w:t>
      </w:r>
      <w:r>
        <w:rPr>
          <w:rFonts w:ascii="Times New Roman" w:hAnsi="Times New Roman" w:eastAsia="Times New Roman" w:cs="Times New Roman"/>
          <w:color w:val="000000"/>
          <w:spacing w:val="0"/>
          <w:w w:val="100"/>
          <w:position w:val="0"/>
          <w:sz w:val="38"/>
          <w:szCs w:val="38"/>
        </w:rPr>
        <w:tab/>
      </w:r>
      <w:r>
        <w:rPr>
          <w:color w:val="000000"/>
          <w:spacing w:val="0"/>
          <w:w w:val="100"/>
          <w:position w:val="0"/>
        </w:rPr>
        <w:t>喊 刁</w:t>
      </w:r>
    </w:p>
    <w:p w14:paraId="7ED0691E">
      <w:pPr>
        <w:pStyle w:val="17"/>
        <w:keepNext w:val="0"/>
        <w:keepLines w:val="0"/>
        <w:widowControl w:val="0"/>
        <w:shd w:val="clear" w:color="auto" w:fill="auto"/>
        <w:bidi w:val="0"/>
        <w:spacing w:before="0" w:after="360" w:line="341" w:lineRule="exact"/>
        <w:ind w:left="0" w:right="0" w:firstLine="440"/>
        <w:jc w:val="both"/>
        <w:sectPr>
          <w:footnotePr>
            <w:numFmt w:val="chicago"/>
          </w:footnotePr>
          <w:type w:val="continuous"/>
          <w:pgSz w:w="10099" w:h="14782"/>
          <w:pgMar w:top="1296" w:right="1085" w:bottom="1127" w:left="1004" w:header="868" w:footer="699" w:gutter="0"/>
          <w:cols w:space="720" w:num="1"/>
          <w:rtlGutter w:val="0"/>
          <w:docGrid w:linePitch="360" w:charSpace="0"/>
        </w:sectPr>
      </w:pPr>
      <w:r>
        <w:rPr>
          <w:color w:val="000000"/>
          <w:spacing w:val="0"/>
          <w:w w:val="100"/>
          <w:position w:val="0"/>
        </w:rPr>
        <w:t xml:space="preserve">在判断相对人是否有理由相信行为人有代理权时，应从是否具有表征代理权存在的外 观、相对人对相关权利外观的信赖是否合理、被代理人对该权利外观的存在是否具有可归 责性及其程度这三个方面进行综合考量。本案中，马阿君具有代理宝华公司办理有关提货 手续的代理权外观，方大公司对马阿君权利外观的信赖具有合理性，宝华公司对于自身权 </w:t>
      </w:r>
    </w:p>
    <w:p w14:paraId="20B2860E">
      <w:pPr>
        <w:pStyle w:val="17"/>
        <w:keepNext w:val="0"/>
        <w:keepLines w:val="0"/>
        <w:widowControl w:val="0"/>
        <w:shd w:val="clear" w:color="auto" w:fill="auto"/>
        <w:bidi w:val="0"/>
        <w:spacing w:before="0" w:after="360" w:line="341" w:lineRule="exact"/>
        <w:ind w:left="0" w:right="0" w:firstLine="0"/>
        <w:jc w:val="both"/>
      </w:pPr>
      <w:r>
        <w:rPr>
          <w:color w:val="000000"/>
          <w:spacing w:val="0"/>
          <w:w w:val="100"/>
          <w:position w:val="0"/>
        </w:rPr>
        <w:t>利的疏于管理客观上导致马阿君得以利用中间人的身份以宝华公司的名义向方大公司提 货,产生了马阿君具有提货权的外观。故方大公司收到宝华公司支付的货款后通知马阿君 提货的行为应当视为向宝华公司交货。</w:t>
      </w:r>
    </w:p>
    <w:p w14:paraId="35853476">
      <w:pPr>
        <w:pStyle w:val="11"/>
        <w:keepNext w:val="0"/>
        <w:keepLines w:val="0"/>
        <w:widowControl w:val="0"/>
        <w:shd w:val="clear" w:color="auto" w:fill="auto"/>
        <w:bidi w:val="0"/>
        <w:spacing w:before="0" w:after="260" w:line="343" w:lineRule="exact"/>
        <w:ind w:left="0" w:right="0" w:firstLine="0"/>
        <w:jc w:val="both"/>
      </w:pPr>
      <w:r>
        <w:rPr>
          <w:color w:val="000000"/>
          <w:spacing w:val="0"/>
          <w:w w:val="100"/>
          <w:position w:val="0"/>
        </w:rPr>
        <w:t>■评析</w:t>
      </w:r>
    </w:p>
    <w:p w14:paraId="00E10ED0">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668CB60C">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本案的争议焦点是马阿君的提货行为是否构成表见代理，方大公司是否履行了向宝华 公司的交付义务。裁判要旨明确了判断相对人是否有理由相信行为人有代理权时，除了考 虑代理权外观和相对人的合理信赖外，还应当考虑被代理人对权利外观的存在是否具有可 归责性。在本案的合作模式中，宝华公司确保合同目的实现的重要方式是米钢公司支付剩 余货款前控制货物所有权作为回收货款的保障，但是《钢材购销协议》中仅简单约定交货地 点为方大公司仓库,对于如何交货、向谁交货、依据何种手续交货均未约定。直至</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月宝华公司才向方大公司出具《关于购销业务货权转移流程确认函》，确立了以宝华公司 的《货权转移函》作为货权移转依据的交货方式,但仍未将该函件直接交与方大公司，而是 交由马阿君并导致该文件被马阿君截留。故宝华公司对代理权外观的存在具有可归责性。 这对于立法、司法和学说中争议较大的问题，即表见代理构成中是否应当考虑以及如何考 虑被代理人的可归责性,具有重要意义。</w:t>
      </w:r>
    </w:p>
    <w:p w14:paraId="441416A9">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表见代理中被代理人可归责性的规范及学理</w:t>
      </w:r>
    </w:p>
    <w:p w14:paraId="58F2DF1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条规定:</w:t>
      </w:r>
      <w:r>
        <w:rPr>
          <w:color w:val="000000"/>
          <w:spacing w:val="0"/>
          <w:w w:val="100"/>
          <w:position w:val="0"/>
          <w:lang w:val="zh-CN" w:eastAsia="zh-CN" w:bidi="zh-CN"/>
        </w:rPr>
        <w:t>“行为</w:t>
      </w:r>
      <w:r>
        <w:rPr>
          <w:color w:val="000000"/>
          <w:spacing w:val="0"/>
          <w:w w:val="100"/>
          <w:position w:val="0"/>
        </w:rPr>
        <w:t>人没有代理权、超越代理权或者代理权终止后以被代 理人名义订立合同，相对人有理由相信行为人有代理权的，该代理行为有效。</w:t>
      </w:r>
      <w:r>
        <w:rPr>
          <w:color w:val="000000"/>
          <w:spacing w:val="0"/>
          <w:w w:val="100"/>
          <w:position w:val="0"/>
          <w:lang w:val="zh-CN" w:eastAsia="zh-CN" w:bidi="zh-CN"/>
        </w:rPr>
        <w:t>”官方</w:t>
      </w:r>
      <w:r>
        <w:rPr>
          <w:color w:val="000000"/>
          <w:spacing w:val="0"/>
          <w:w w:val="100"/>
          <w:position w:val="0"/>
        </w:rPr>
        <w:t>释义书 中认为表见代理的构成无需考虑被代理人的因素（胡康生主编:《〈中华人民共和国合同法〉释 义》，法律出版社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97</w:t>
      </w:r>
      <w:r>
        <w:rPr>
          <w:color w:val="000000"/>
          <w:spacing w:val="0"/>
          <w:w w:val="100"/>
          <w:position w:val="0"/>
        </w:rPr>
        <w:t>页）。《民法典》第</w:t>
      </w:r>
      <w:r>
        <w:rPr>
          <w:rFonts w:ascii="Times New Roman" w:hAnsi="Times New Roman" w:eastAsia="Times New Roman" w:cs="Times New Roman"/>
          <w:color w:val="000000"/>
          <w:spacing w:val="0"/>
          <w:w w:val="100"/>
          <w:position w:val="0"/>
          <w:sz w:val="19"/>
          <w:szCs w:val="19"/>
        </w:rPr>
        <w:t>172</w:t>
      </w:r>
      <w:r>
        <w:rPr>
          <w:color w:val="000000"/>
          <w:spacing w:val="0"/>
          <w:w w:val="100"/>
          <w:position w:val="0"/>
        </w:rPr>
        <w:t>条基本延续了原《合同法》第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条的规 定，但是，在立法过程中，《民法总则（草案）三审稿》第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条曾规定了表见代理的构成中要 考虑被代理人的因素，在</w:t>
      </w:r>
      <w:r>
        <w:rPr>
          <w:color w:val="000000"/>
          <w:spacing w:val="0"/>
          <w:w w:val="100"/>
          <w:position w:val="0"/>
          <w:lang w:val="zh-CN" w:eastAsia="zh-CN" w:bidi="zh-CN"/>
        </w:rPr>
        <w:t>“行</w:t>
      </w:r>
      <w:r>
        <w:rPr>
          <w:color w:val="000000"/>
          <w:spacing w:val="0"/>
          <w:w w:val="100"/>
          <w:position w:val="0"/>
        </w:rPr>
        <w:t>为人伪造他人的公章、合同书或者授权委托书等，假冒他人的 名义实施民事法律行为的</w:t>
      </w:r>
      <w:r>
        <w:rPr>
          <w:color w:val="000000"/>
          <w:spacing w:val="0"/>
          <w:w w:val="100"/>
          <w:position w:val="0"/>
          <w:lang w:val="zh-CN" w:eastAsia="zh-CN" w:bidi="zh-CN"/>
        </w:rPr>
        <w:t>”和“被</w:t>
      </w:r>
      <w:r>
        <w:rPr>
          <w:color w:val="000000"/>
          <w:spacing w:val="0"/>
          <w:w w:val="100"/>
          <w:position w:val="0"/>
        </w:rPr>
        <w:t>代理人的公章、合同书或者授权委托书等遗失、被盗，或者 与行为人特定的职务关系已经终止，并且已经以合理方式公告或者通知，相对人应当知悉 的”情形中，不构成表见代理。但这些例外规定最终被删除，官方释义书中说明基本采纳了 不考虑被代理人是否具有可归责性的观点（石宏主编:《中华人民共和国民法总则：条文说明、立法 理由及相关规定》，北京大学出版社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405</w:t>
      </w:r>
      <w:r>
        <w:rPr>
          <w:color w:val="000000"/>
          <w:spacing w:val="0"/>
          <w:w w:val="100"/>
          <w:position w:val="0"/>
        </w:rPr>
        <w:t>页）。</w:t>
      </w:r>
    </w:p>
    <w:p w14:paraId="5EE50510">
      <w:pPr>
        <w:pStyle w:val="17"/>
        <w:keepNext w:val="0"/>
        <w:keepLines w:val="0"/>
        <w:widowControl w:val="0"/>
        <w:shd w:val="clear" w:color="auto" w:fill="auto"/>
        <w:bidi w:val="0"/>
        <w:spacing w:before="0" w:after="260" w:line="343" w:lineRule="exact"/>
        <w:ind w:left="0" w:right="0" w:firstLine="420"/>
        <w:jc w:val="both"/>
        <w:sectPr>
          <w:headerReference r:id="rId160" w:type="default"/>
          <w:headerReference r:id="rId161" w:type="even"/>
          <w:footnotePr>
            <w:numFmt w:val="chicago"/>
          </w:footnotePr>
          <w:pgSz w:w="10099" w:h="14782"/>
          <w:pgMar w:top="1296" w:right="1085" w:bottom="1127" w:left="1004" w:header="0" w:footer="699" w:gutter="0"/>
          <w:pgNumType w:start="112"/>
          <w:cols w:space="720" w:num="1"/>
          <w:rtlGutter w:val="0"/>
          <w:docGrid w:linePitch="360" w:charSpace="0"/>
        </w:sectPr>
      </w:pPr>
      <w:r>
        <w:rPr>
          <w:color w:val="000000"/>
          <w:spacing w:val="0"/>
          <w:w w:val="100"/>
          <w:position w:val="0"/>
        </w:rPr>
        <w:t>但是，学说对此仍持续争论。有的主张无须考虑被代理人因素（单一要件说）。更多观 点主张应当考虑，但其中仍存在区别:第一个区别是形式上的，即纳入“相对人有理由相信” 中考虑（新单一要件说），还是独立考虑（双重要件说）；第二个区别是实质上的，即被代理人 因素的判断标准，是被代理人对代理权外观产生是否具有过错（过错归责），或者代理权外 观的产生是否与被代理人存在关联（诱因归责），或者是否属于被代理人应承担的风险范围</w:t>
      </w:r>
    </w:p>
    <w:p w14:paraId="7DAFB6E4">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（风险归责），抑或综合考量所有因素（多重归责）［对学说的系统梳理，参见朱虎:《表见代理中的 被代理人可归责性》，载《法学研究》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期；杨芳：《〈合同法〉第</w:t>
      </w:r>
      <w:r>
        <w:rPr>
          <w:rFonts w:ascii="Times New Roman" w:hAnsi="Times New Roman" w:eastAsia="Times New Roman" w:cs="Times New Roman"/>
          <w:color w:val="000000"/>
          <w:spacing w:val="0"/>
          <w:w w:val="100"/>
          <w:position w:val="0"/>
          <w:sz w:val="17"/>
          <w:szCs w:val="17"/>
        </w:rPr>
        <w:t>489</w:t>
      </w:r>
      <w:r>
        <w:rPr>
          <w:color w:val="000000"/>
          <w:spacing w:val="0"/>
          <w:w w:val="100"/>
          <w:position w:val="0"/>
        </w:rPr>
        <w:t>条（表见代理规则）评注》， 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4324D89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主张无须考虑被代理人因素的理由是，表见代理规则的目的是保护交易安全,且相对 人难以证明被代理人因素。主张需要考虑的理由是:第一，交易安全保护了相对人的利益， 但并未表明为何要牺牲被代理人的利益,将行为人所作行为的不利效果归属于被代理人， 仍需要正当理由;第二,表见代理与善意取得具有基本利益结构的相似性，善意取得的现有 规则中隐含了占有委托物和占有脱离物的区分,这已在构成中考虑了权利人的可归责性， 为实现法秩序内的融贯，表见代理的构成中也应考虑被代理人的可归责性;第三，考虑被代 理人的可归责性，能够在不同情形中，具体考量被代理人和相对人控制权利外观风险的成 本（包括信息的获知成本、防免成本）、救济成本和获益，有助于降低整体的社会成本。第 四，被代理人应当证明自己不具有可归责性,毕竟其是否有可归责性取决于他这一方的因 素以及被代理人和行为人之间的关系，故被代理人较之相对人更具有举证可能性，不会出 现相对人证明困难的问题。</w:t>
      </w:r>
    </w:p>
    <w:p w14:paraId="61D3C927">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关于被代理人因素的判断标准，诱因归责的批评者认为这实质上是纯粹结果责任而放 弃了归责要求（杨代雄:《表见代理的特别构成要件》，载《法学》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期）；过错归责的批评 者认为被代理人并非违反了法定义务,保管代理权外观证明有过失,可能意味着要承担缔 约过失责任，但并不必然意味着一定要承担履行责任（王浩:《表见代理中的本人可归责性问题 研究》，载《华东政法大学学报》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期）；风险责任和多重归责都着眼于动态的综合考量， 批评者认为该标准难以捉摸，不利于法的安定性（李宇:《民法总则要义:规范释论与判解集注》， 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830</w:t>
      </w:r>
      <w:r>
        <w:rPr>
          <w:color w:val="000000"/>
          <w:spacing w:val="0"/>
          <w:w w:val="100"/>
          <w:position w:val="0"/>
        </w:rPr>
        <w:t>页）。采用不同的判断标准，虽然在一些情形中会出现结果的差 异，但在很多情形中都会出现结果的重合。例如，在本案中，基于被代理人和相对人间订立 和履行合同的过程,已经形成了行为人具有代理权的外观，被代理人未积极地摧毁已经形 成的外观，即具有可归责性,无论采取上述何种判断标准，都会推导出相同的结论。</w:t>
      </w:r>
    </w:p>
    <w:p w14:paraId="3B76B23E">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7645C720">
      <w:pPr>
        <w:pStyle w:val="17"/>
        <w:keepNext w:val="0"/>
        <w:keepLines w:val="0"/>
        <w:widowControl w:val="0"/>
        <w:shd w:val="clear" w:color="auto" w:fill="auto"/>
        <w:bidi w:val="0"/>
        <w:spacing w:before="0" w:after="0" w:line="341" w:lineRule="exact"/>
        <w:ind w:left="0" w:right="0" w:firstLine="420"/>
        <w:jc w:val="both"/>
        <w:sectPr>
          <w:headerReference r:id="rId162" w:type="default"/>
          <w:headerReference r:id="rId163" w:type="even"/>
          <w:footnotePr>
            <w:numFmt w:val="chicago"/>
          </w:footnotePr>
          <w:pgSz w:w="10099" w:h="14782"/>
          <w:pgMar w:top="1296" w:right="1085" w:bottom="1127" w:left="1004" w:header="0" w:footer="699" w:gutter="0"/>
          <w:pgNumType w:start="129"/>
          <w:cols w:space="720" w:num="1"/>
          <w:rtlGutter w:val="0"/>
          <w:docGrid w:linePitch="360" w:charSpace="0"/>
        </w:sectPr>
      </w:pPr>
      <w:r>
        <w:rPr>
          <w:color w:val="000000"/>
          <w:spacing w:val="0"/>
          <w:w w:val="100"/>
          <w:position w:val="0"/>
        </w:rPr>
        <w:t>最高人民法院《关于当前形势下审理民商事合同纠纷案件若干问题的指导意见》</w:t>
      </w:r>
      <w:r>
        <w:rPr>
          <w:color w:val="000000"/>
          <w:spacing w:val="0"/>
          <w:w w:val="100"/>
          <w:position w:val="0"/>
          <w:lang w:val="en-US" w:eastAsia="en-US" w:bidi="en-US"/>
        </w:rPr>
        <w:t>［</w:t>
      </w:r>
      <w:r>
        <w:rPr>
          <w:color w:val="000000"/>
          <w:spacing w:val="0"/>
          <w:w w:val="100"/>
          <w:position w:val="0"/>
        </w:rPr>
        <w:t xml:space="preserve">法发 </w:t>
      </w:r>
      <w:r>
        <w:rPr>
          <w:rFonts w:ascii="Times New Roman" w:hAnsi="Times New Roman" w:eastAsia="Times New Roman" w:cs="Times New Roman"/>
          <w:color w:val="000000"/>
          <w:spacing w:val="0"/>
          <w:w w:val="100"/>
          <w:position w:val="0"/>
          <w:sz w:val="19"/>
          <w:szCs w:val="19"/>
        </w:rPr>
        <w:t>（2009）40</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条没有将被代理人的可归责性作为表见代理的独立要件，但是，第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 提出要考虑多种因素，其中</w:t>
      </w:r>
      <w:r>
        <w:rPr>
          <w:color w:val="000000"/>
          <w:spacing w:val="0"/>
          <w:w w:val="100"/>
          <w:position w:val="0"/>
          <w:lang w:val="zh-CN" w:eastAsia="zh-CN" w:bidi="zh-CN"/>
        </w:rPr>
        <w:t>“建</w:t>
      </w:r>
      <w:r>
        <w:rPr>
          <w:color w:val="000000"/>
          <w:spacing w:val="0"/>
          <w:w w:val="100"/>
          <w:position w:val="0"/>
        </w:rPr>
        <w:t>筑单位是否知道项目经理的行为</w:t>
      </w:r>
      <w:r>
        <w:rPr>
          <w:color w:val="000000"/>
          <w:spacing w:val="0"/>
          <w:w w:val="100"/>
          <w:position w:val="0"/>
          <w:lang w:val="zh-CN" w:eastAsia="zh-CN" w:bidi="zh-CN"/>
        </w:rPr>
        <w:t>”体现</w:t>
      </w:r>
      <w:r>
        <w:rPr>
          <w:color w:val="000000"/>
          <w:spacing w:val="0"/>
          <w:w w:val="100"/>
          <w:position w:val="0"/>
        </w:rPr>
        <w:t>了被代理人的因素。 最高人民法院《关于在审理经济纠纷案件中涉及经济犯罪嫌疑若干问题的规定》</w:t>
      </w:r>
      <w:r>
        <w:rPr>
          <w:color w:val="000000"/>
          <w:spacing w:val="0"/>
          <w:w w:val="100"/>
          <w:position w:val="0"/>
          <w:lang w:val="en-US" w:eastAsia="en-US" w:bidi="en-US"/>
        </w:rPr>
        <w:t>［</w:t>
      </w:r>
      <w:r>
        <w:rPr>
          <w:color w:val="000000"/>
          <w:spacing w:val="0"/>
          <w:w w:val="100"/>
          <w:position w:val="0"/>
        </w:rPr>
        <w:t xml:space="preserve">法释 </w:t>
      </w:r>
      <w:r>
        <w:rPr>
          <w:rFonts w:ascii="Times New Roman" w:hAnsi="Times New Roman" w:eastAsia="Times New Roman" w:cs="Times New Roman"/>
          <w:color w:val="000000"/>
          <w:spacing w:val="0"/>
          <w:w w:val="100"/>
          <w:position w:val="0"/>
          <w:sz w:val="19"/>
          <w:szCs w:val="19"/>
        </w:rPr>
        <w:t>（1998）7</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条区分了代理权外观证明被借用、作为被代理人的企业未收回代理权 外观证明或未通知第三人的情形,和行为人盗用、伪造、擅自保留代理权外观证明的情形， 作为被代理人的单位在前种情形中应对善意相对人承担赔偿责任，在后种情形中则不承担 赔偿责任，这似乎是认为后种情形不构成表见代理，已考虑了被代理人的因素。细究其规 范逻辑，似并未采纳过错归责原则，因为被代理人对代理权外观证明被盗用等可能是具有 过错的，但却不构成表见代理。但是，该解释第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款又规定行为人私刻单位公章或擅 </w:t>
      </w:r>
    </w:p>
    <w:p w14:paraId="3EF98723">
      <w:pPr>
        <w:pStyle w:val="17"/>
        <w:keepNext w:val="0"/>
        <w:keepLines w:val="0"/>
        <w:widowControl w:val="0"/>
        <w:shd w:val="clear" w:color="auto" w:fill="auto"/>
        <w:bidi w:val="0"/>
        <w:spacing w:before="0" w:after="0" w:line="341" w:lineRule="exact"/>
        <w:ind w:left="0" w:right="0" w:firstLine="0"/>
        <w:jc w:val="both"/>
      </w:pPr>
      <w:r>
        <w:rPr>
          <w:color w:val="000000"/>
          <w:spacing w:val="0"/>
          <w:w w:val="100"/>
          <w:position w:val="0"/>
        </w:rPr>
        <w:t>自使用代理权外观证明，如果被代理人有明显过错，则要对相对人承担赔偿责任。有观点 将该款中的赔偿责任理解为并非构成表见代理而将效果归属于被代理人的履行责任，即积 极信赖保护的责任，而仅仅是缔约过失责任或者侵权责任，即消极信赖保护的责任。</w:t>
      </w:r>
    </w:p>
    <w:p w14:paraId="2D2331D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在各地方高院的意见中,有些未明确提出但却考虑了被代理人因素，例如</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年上海 高院《商事合同案件适用表见代理要件指引（试行）》第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条，没有将被代理人的可归责性作 为表见代理的构成要件，但第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条“关于权利外观的主要考量因素</w:t>
      </w:r>
      <w:r>
        <w:rPr>
          <w:color w:val="000000"/>
          <w:spacing w:val="0"/>
          <w:w w:val="100"/>
          <w:position w:val="0"/>
          <w:lang w:val="zh-CN" w:eastAsia="zh-CN" w:bidi="zh-CN"/>
        </w:rPr>
        <w:t>”中</w:t>
      </w:r>
      <w:r>
        <w:rPr>
          <w:color w:val="000000"/>
          <w:spacing w:val="0"/>
          <w:w w:val="100"/>
          <w:position w:val="0"/>
        </w:rPr>
        <w:t>却考虑了被代理人的 一些因素。有些明确提出要考虑被代理人因素，但却在如何具体考虑被代理人因素上观点 不一，例如</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年《江苏省高级人民法院民二庭——民商事审判中的若干问题》第四部分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条规定</w:t>
      </w:r>
      <w:r>
        <w:rPr>
          <w:color w:val="000000"/>
          <w:spacing w:val="0"/>
          <w:w w:val="100"/>
          <w:position w:val="0"/>
          <w:lang w:val="zh-CN" w:eastAsia="zh-CN" w:bidi="zh-CN"/>
        </w:rPr>
        <w:t>“本</w:t>
      </w:r>
      <w:r>
        <w:rPr>
          <w:color w:val="000000"/>
          <w:spacing w:val="0"/>
          <w:w w:val="100"/>
          <w:position w:val="0"/>
        </w:rPr>
        <w:t>人有过错并非表见代理的构成要件</w:t>
      </w:r>
      <w:r>
        <w:rPr>
          <w:color w:val="000000"/>
          <w:spacing w:val="0"/>
          <w:w w:val="100"/>
          <w:position w:val="0"/>
          <w:lang w:val="zh-CN" w:eastAsia="zh-CN" w:bidi="zh-CN"/>
        </w:rPr>
        <w:t>”，但</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年江苏省高级人民法院《关于 适用〈中华人民共和国合同法〉若干问题的讨论纪要（一）》则在第四部分第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条规定表见 代理“应当以被代理人的行为与外观的形成具有一定的牵连性即被代理人具有一定的过错 为前提</w:t>
      </w:r>
      <w:r>
        <w:rPr>
          <w:color w:val="000000"/>
          <w:spacing w:val="0"/>
          <w:w w:val="100"/>
          <w:position w:val="0"/>
          <w:lang w:val="zh-CN" w:eastAsia="zh-CN" w:bidi="zh-CN"/>
        </w:rPr>
        <w:t>”，混</w:t>
      </w:r>
      <w:r>
        <w:rPr>
          <w:color w:val="000000"/>
          <w:spacing w:val="0"/>
          <w:w w:val="100"/>
          <w:position w:val="0"/>
        </w:rPr>
        <w:t>合了诱因归责和过错归责;</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年北京市高级人民法院《关于审理房屋买卖合 同纠纷案件若干疑难问题的会议纪要》第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款则规定</w:t>
      </w:r>
      <w:r>
        <w:rPr>
          <w:color w:val="000000"/>
          <w:spacing w:val="0"/>
          <w:w w:val="100"/>
          <w:position w:val="0"/>
          <w:lang w:val="zh-CN" w:eastAsia="zh-CN" w:bidi="zh-CN"/>
        </w:rPr>
        <w:t>，“买</w:t>
      </w:r>
      <w:r>
        <w:rPr>
          <w:color w:val="000000"/>
          <w:spacing w:val="0"/>
          <w:w w:val="100"/>
          <w:position w:val="0"/>
        </w:rPr>
        <w:t>受人信赖出卖人享有代理 权法律外观的形成系不可归因于房屋所有权人的，不构成前款规定的表见代理</w:t>
      </w:r>
      <w:r>
        <w:rPr>
          <w:color w:val="000000"/>
          <w:spacing w:val="0"/>
          <w:w w:val="100"/>
          <w:position w:val="0"/>
          <w:lang w:val="zh-CN" w:eastAsia="zh-CN" w:bidi="zh-CN"/>
        </w:rPr>
        <w:t>”，未</w:t>
      </w:r>
      <w:r>
        <w:rPr>
          <w:color w:val="000000"/>
          <w:spacing w:val="0"/>
          <w:w w:val="100"/>
          <w:position w:val="0"/>
        </w:rPr>
        <w:t>采过错 归责。</w:t>
      </w:r>
    </w:p>
    <w:p w14:paraId="0FEBFAC6">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既有案例多依据现有规范展开论证，并未明确将被代理人因素作为表见代理的独立要 件，但有大量判例在认定相对人有理由相信时考虑到了被代理人因素。在本案例之前，也 有最高法院的案例采取了与本案例要旨基本相同的观点［如最高人民法院（</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 xml:space="preserve">最高法民再 </w:t>
      </w:r>
      <w:r>
        <w:rPr>
          <w:rFonts w:ascii="Times New Roman" w:hAnsi="Times New Roman" w:eastAsia="Times New Roman" w:cs="Times New Roman"/>
          <w:color w:val="000000"/>
          <w:spacing w:val="0"/>
          <w:w w:val="100"/>
          <w:position w:val="0"/>
          <w:sz w:val="19"/>
          <w:szCs w:val="19"/>
        </w:rPr>
        <w:t>209</w:t>
      </w:r>
      <w:r>
        <w:rPr>
          <w:color w:val="000000"/>
          <w:spacing w:val="0"/>
          <w:w w:val="100"/>
          <w:position w:val="0"/>
        </w:rPr>
        <w:t>号民事裁定书］。据统计，至</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日，涉及表见代理的大量案例中，仅有</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个案 例明确提出被代理人的可归责性，最高人民法院的判决书有</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个，高级人民法院的有</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 中级人民法院的判决书有</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个，基层人民法院的判决书有</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 xml:space="preserve">个，江苏和广东的案例共有 </w:t>
      </w:r>
      <w:r>
        <w:rPr>
          <w:rFonts w:ascii="Times New Roman" w:hAnsi="Times New Roman" w:eastAsia="Times New Roman" w:cs="Times New Roman"/>
          <w:color w:val="000000"/>
          <w:spacing w:val="0"/>
          <w:w w:val="100"/>
          <w:position w:val="0"/>
          <w:sz w:val="19"/>
          <w:szCs w:val="19"/>
        </w:rPr>
        <w:t>37</w:t>
      </w:r>
      <w:r>
        <w:rPr>
          <w:color w:val="000000"/>
          <w:spacing w:val="0"/>
          <w:w w:val="100"/>
          <w:position w:val="0"/>
        </w:rPr>
        <w:t xml:space="preserve">个。其中，最终认定构成表见代理，并对被代理人具有可归责性进行了分析的占 </w:t>
      </w:r>
      <w:r>
        <w:rPr>
          <w:rFonts w:ascii="Times New Roman" w:hAnsi="Times New Roman" w:eastAsia="Times New Roman" w:cs="Times New Roman"/>
          <w:color w:val="000000"/>
          <w:spacing w:val="0"/>
          <w:w w:val="100"/>
          <w:position w:val="0"/>
          <w:sz w:val="19"/>
          <w:szCs w:val="19"/>
          <w:lang w:val="en-US" w:eastAsia="en-US" w:bidi="en-US"/>
        </w:rPr>
        <w:t xml:space="preserve">35. </w:t>
      </w:r>
      <w:r>
        <w:rPr>
          <w:rFonts w:ascii="Times New Roman" w:hAnsi="Times New Roman" w:eastAsia="Times New Roman" w:cs="Times New Roman"/>
          <w:color w:val="000000"/>
          <w:spacing w:val="0"/>
          <w:w w:val="100"/>
          <w:position w:val="0"/>
          <w:sz w:val="19"/>
          <w:szCs w:val="19"/>
        </w:rPr>
        <w:t xml:space="preserve">59% </w:t>
      </w:r>
      <w:r>
        <w:rPr>
          <w:color w:val="000000"/>
          <w:spacing w:val="0"/>
          <w:w w:val="100"/>
          <w:position w:val="0"/>
          <w:sz w:val="19"/>
          <w:szCs w:val="19"/>
        </w:rPr>
        <w:t>；</w:t>
      </w:r>
      <w:r>
        <w:rPr>
          <w:color w:val="000000"/>
          <w:spacing w:val="0"/>
          <w:w w:val="100"/>
          <w:position w:val="0"/>
        </w:rPr>
        <w:t>认定不构成表见代理，在讨论不存在代理权外观或（且）相对人非善意无过失的同 时，在表见代理的构成要件中对被代理人的可归责性进行了提及和分析，或结合具体案情 对被代理人不具有可归责性进行了分析的占</w:t>
      </w:r>
      <w:r>
        <w:rPr>
          <w:rFonts w:ascii="Times New Roman" w:hAnsi="Times New Roman" w:eastAsia="Times New Roman" w:cs="Times New Roman"/>
          <w:color w:val="000000"/>
          <w:spacing w:val="0"/>
          <w:w w:val="100"/>
          <w:position w:val="0"/>
          <w:sz w:val="19"/>
          <w:szCs w:val="19"/>
        </w:rPr>
        <w:t xml:space="preserve">55.93% </w:t>
      </w:r>
      <w:r>
        <w:rPr>
          <w:color w:val="000000"/>
          <w:spacing w:val="0"/>
          <w:w w:val="100"/>
          <w:position w:val="0"/>
        </w:rPr>
        <w:t>；在存在代理权外观且相对人善意无 过失的情况下，认定不构成表见代理，原因在于被代理人不具有可归责性的占</w:t>
      </w:r>
      <w:r>
        <w:rPr>
          <w:rFonts w:ascii="Times New Roman" w:hAnsi="Times New Roman" w:eastAsia="Times New Roman" w:cs="Times New Roman"/>
          <w:color w:val="000000"/>
          <w:spacing w:val="0"/>
          <w:w w:val="100"/>
          <w:position w:val="0"/>
          <w:sz w:val="19"/>
          <w:szCs w:val="19"/>
        </w:rPr>
        <w:t>5.09%</w:t>
      </w:r>
      <w:r>
        <w:rPr>
          <w:color w:val="000000"/>
          <w:spacing w:val="0"/>
          <w:w w:val="100"/>
          <w:position w:val="0"/>
          <w:sz w:val="19"/>
          <w:szCs w:val="19"/>
        </w:rPr>
        <w:t>；</w:t>
      </w:r>
      <w:r>
        <w:rPr>
          <w:color w:val="000000"/>
          <w:spacing w:val="0"/>
          <w:w w:val="100"/>
          <w:position w:val="0"/>
        </w:rPr>
        <w:t>法院 因为不存在代理权外观或（且）相对人非善意，认定不构成表见代理,但是因被代理人具有 过错,让被代理人承担一定比例的赔偿责任的占</w:t>
      </w:r>
      <w:r>
        <w:rPr>
          <w:rFonts w:ascii="Times New Roman" w:hAnsi="Times New Roman" w:eastAsia="Times New Roman" w:cs="Times New Roman"/>
          <w:color w:val="000000"/>
          <w:spacing w:val="0"/>
          <w:w w:val="100"/>
          <w:position w:val="0"/>
          <w:sz w:val="19"/>
          <w:szCs w:val="19"/>
          <w:lang w:val="en-US" w:eastAsia="en-US" w:bidi="en-US"/>
        </w:rPr>
        <w:t xml:space="preserve">3. </w:t>
      </w:r>
      <w:r>
        <w:rPr>
          <w:rFonts w:ascii="Times New Roman" w:hAnsi="Times New Roman" w:eastAsia="Times New Roman" w:cs="Times New Roman"/>
          <w:color w:val="000000"/>
          <w:spacing w:val="0"/>
          <w:w w:val="100"/>
          <w:position w:val="0"/>
          <w:sz w:val="19"/>
          <w:szCs w:val="19"/>
        </w:rPr>
        <w:t xml:space="preserve">39% </w:t>
      </w:r>
      <w:r>
        <w:rPr>
          <w:color w:val="000000"/>
          <w:spacing w:val="0"/>
          <w:w w:val="100"/>
          <w:position w:val="0"/>
        </w:rPr>
        <w:t>（韩康麒、丁俊峰:《表见代理中被代理人 可归责性的实证研究》，载《法律适用》</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期）。</w:t>
      </w:r>
    </w:p>
    <w:p w14:paraId="5C9E4287">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22970E77">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本案例明确认为在判断相对人是否有理由相信时，被代理人的可归责性应当作为考虑 因素之一，似乎采取了新单一要件说。但是，仍然存留着一些课题。第一，本案例所采取的 这种观点在司法实践中能够发挥多大影响，仍有待观察，真正确立被代理人可归责性作为 表见代理构成的,应当是纯粹以被代理人不具有可归责性为理由否定成立表见代理的案 例，且其正当性也有待结合意思表示、善意取得等规则进一步体系、融贯和实质地论证。第 二，本案例对于在考量被代理人可归责性时究竟采取何种判断标准是不清晰的，之后仍会 涉及何种标准更具有正当性的论证，不同的判断标准更可能出现</w:t>
      </w:r>
      <w:r>
        <w:rPr>
          <w:color w:val="000000"/>
          <w:spacing w:val="0"/>
          <w:w w:val="100"/>
          <w:position w:val="0"/>
          <w:lang w:val="zh-CN" w:eastAsia="zh-CN" w:bidi="zh-CN"/>
        </w:rPr>
        <w:t>“广泛</w:t>
      </w:r>
      <w:r>
        <w:rPr>
          <w:color w:val="000000"/>
          <w:spacing w:val="0"/>
          <w:w w:val="100"/>
          <w:position w:val="0"/>
        </w:rPr>
        <w:t>的反思性均衡</w:t>
      </w:r>
      <w:r>
        <w:rPr>
          <w:color w:val="000000"/>
          <w:spacing w:val="0"/>
          <w:w w:val="100"/>
          <w:position w:val="0"/>
          <w:lang w:val="zh-CN" w:eastAsia="zh-CN" w:bidi="zh-CN"/>
        </w:rPr>
        <w:t xml:space="preserve">”后的 </w:t>
      </w:r>
      <w:r>
        <w:rPr>
          <w:color w:val="000000"/>
          <w:spacing w:val="0"/>
          <w:w w:val="100"/>
          <w:position w:val="0"/>
        </w:rPr>
        <w:t>“重叠共识”，在较多情况下，最终结论也是通过釆用不同标准而得以充分证成，而非采取某 一特定标准的深度证成，不同判断标准的结果差异是否以及在哪些类案中会出现,也有待 观察。第三，该构成的实践作用领域最主要是伪造、私刻、盗窃公章或者空白合同书的情形, 这就会出现《民法典》第</w:t>
      </w:r>
      <w:r>
        <w:rPr>
          <w:rFonts w:ascii="Times New Roman" w:hAnsi="Times New Roman" w:eastAsia="Times New Roman" w:cs="Times New Roman"/>
          <w:color w:val="000000"/>
          <w:spacing w:val="0"/>
          <w:w w:val="100"/>
          <w:position w:val="0"/>
          <w:sz w:val="19"/>
          <w:szCs w:val="19"/>
        </w:rPr>
        <w:t>172</w:t>
      </w:r>
      <w:r>
        <w:rPr>
          <w:color w:val="000000"/>
          <w:spacing w:val="0"/>
          <w:w w:val="100"/>
          <w:position w:val="0"/>
        </w:rPr>
        <w:t>条中的</w:t>
      </w:r>
      <w:r>
        <w:rPr>
          <w:color w:val="000000"/>
          <w:spacing w:val="0"/>
          <w:w w:val="100"/>
          <w:position w:val="0"/>
          <w:lang w:val="zh-CN" w:eastAsia="zh-CN" w:bidi="zh-CN"/>
        </w:rPr>
        <w:t>“相对</w:t>
      </w:r>
      <w:r>
        <w:rPr>
          <w:color w:val="000000"/>
          <w:spacing w:val="0"/>
          <w:w w:val="100"/>
          <w:position w:val="0"/>
        </w:rPr>
        <w:t>人有理由相信</w:t>
      </w:r>
      <w:r>
        <w:rPr>
          <w:color w:val="000000"/>
          <w:spacing w:val="0"/>
          <w:w w:val="100"/>
          <w:position w:val="0"/>
          <w:lang w:val="zh-CN" w:eastAsia="zh-CN" w:bidi="zh-CN"/>
        </w:rPr>
        <w:t>”和第</w:t>
      </w:r>
      <w:r>
        <w:rPr>
          <w:rFonts w:ascii="Times New Roman" w:hAnsi="Times New Roman" w:eastAsia="Times New Roman" w:cs="Times New Roman"/>
          <w:color w:val="000000"/>
          <w:spacing w:val="0"/>
          <w:w w:val="100"/>
          <w:position w:val="0"/>
          <w:sz w:val="19"/>
          <w:szCs w:val="19"/>
        </w:rPr>
        <w:t>171</w:t>
      </w:r>
      <w:r>
        <w:rPr>
          <w:color w:val="000000"/>
          <w:spacing w:val="0"/>
          <w:w w:val="100"/>
          <w:position w:val="0"/>
        </w:rPr>
        <w:t>条中的</w:t>
      </w:r>
      <w:r>
        <w:rPr>
          <w:color w:val="000000"/>
          <w:spacing w:val="0"/>
          <w:w w:val="100"/>
          <w:position w:val="0"/>
          <w:lang w:val="zh-CN" w:eastAsia="zh-CN" w:bidi="zh-CN"/>
        </w:rPr>
        <w:t>“善意</w:t>
      </w:r>
      <w:r>
        <w:rPr>
          <w:color w:val="000000"/>
          <w:spacing w:val="0"/>
          <w:w w:val="100"/>
          <w:position w:val="0"/>
        </w:rPr>
        <w:t>相对人</w:t>
      </w:r>
      <w:r>
        <w:rPr>
          <w:color w:val="000000"/>
          <w:spacing w:val="0"/>
          <w:w w:val="100"/>
          <w:position w:val="0"/>
          <w:lang w:val="zh-CN" w:eastAsia="zh-CN" w:bidi="zh-CN"/>
        </w:rPr>
        <w:t xml:space="preserve">”是 </w:t>
      </w:r>
      <w:r>
        <w:rPr>
          <w:color w:val="000000"/>
          <w:spacing w:val="0"/>
          <w:w w:val="100"/>
          <w:position w:val="0"/>
        </w:rPr>
        <w:t>否应当区分以及应当如何区分的问题。第四,在不构成表见代理时,被代理人对相对人的 损失是否承担以及如何承担责任，也即是否有必要区分积极信赖保护和消极信赖保护，还 有待进一步思考。</w:t>
      </w:r>
    </w:p>
    <w:p w14:paraId="0676E0CD">
      <w:pPr>
        <w:pStyle w:val="11"/>
        <w:keepNext w:val="0"/>
        <w:keepLines w:val="0"/>
        <w:widowControl w:val="0"/>
        <w:shd w:val="clear" w:color="auto" w:fill="auto"/>
        <w:bidi w:val="0"/>
        <w:spacing w:before="0" w:after="60" w:line="340" w:lineRule="exact"/>
        <w:ind w:left="0" w:right="0" w:firstLine="0"/>
        <w:jc w:val="both"/>
      </w:pPr>
      <w:r>
        <w:rPr>
          <w:color w:val="000000"/>
          <w:spacing w:val="0"/>
          <w:w w:val="100"/>
          <w:position w:val="0"/>
        </w:rPr>
        <w:t>回参考文献</w:t>
      </w:r>
    </w:p>
    <w:p w14:paraId="2CB20EB3">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叶金强:《表见代理中的本人归责性要件》，载《法律科学》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ABC5C5B">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罗瑶:《法国表见代理构成要件研究——兼评我国〈合同法〉第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条》，载《比较法研究》</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杨代雄:《表见代理的特别构成要件》，载《法学》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617AB8BA">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冉克平:《表见代理本人归责性要件的反思与重构》，载《法律科学》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34C9158">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朱虎：《表见代理中的被代理人可归责性》，载《法学研究》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4CBAA99">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杨芳：《〈合同法〉第</w:t>
      </w:r>
      <w:r>
        <w:rPr>
          <w:rFonts w:ascii="Times New Roman" w:hAnsi="Times New Roman" w:eastAsia="Times New Roman" w:cs="Times New Roman"/>
          <w:color w:val="000000"/>
          <w:spacing w:val="0"/>
          <w:w w:val="100"/>
          <w:position w:val="0"/>
          <w:sz w:val="17"/>
          <w:szCs w:val="17"/>
        </w:rPr>
        <w:t>489</w:t>
      </w:r>
      <w:r>
        <w:rPr>
          <w:color w:val="000000"/>
          <w:spacing w:val="0"/>
          <w:w w:val="100"/>
          <w:position w:val="0"/>
        </w:rPr>
        <w:t>条（表见代理规则）评注》，载《法学家》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7C3CCADD">
      <w:pPr>
        <w:pStyle w:val="17"/>
        <w:keepNext w:val="0"/>
        <w:keepLines w:val="0"/>
        <w:widowControl w:val="0"/>
        <w:shd w:val="clear" w:color="auto" w:fill="auto"/>
        <w:bidi w:val="0"/>
        <w:spacing w:before="0" w:after="60" w:line="310" w:lineRule="exact"/>
        <w:ind w:left="0" w:right="0" w:firstLine="0"/>
        <w:jc w:val="both"/>
        <w:sectPr>
          <w:headerReference r:id="rId166" w:type="first"/>
          <w:headerReference r:id="rId164" w:type="default"/>
          <w:headerReference r:id="rId165" w:type="even"/>
          <w:footnotePr>
            <w:numFmt w:val="chicago"/>
          </w:footnotePr>
          <w:pgSz w:w="10099" w:h="14782"/>
          <w:pgMar w:top="1296" w:right="1085" w:bottom="1127" w:left="1004" w:header="0" w:footer="3" w:gutter="0"/>
          <w:pgNumType w:start="114"/>
          <w:cols w:space="720" w:num="1"/>
          <w:titlePg/>
          <w:rtlGutter w:val="0"/>
          <w:docGrid w:linePitch="360" w:charSpace="0"/>
        </w:sectPr>
      </w:pPr>
      <w:r>
        <w:rPr>
          <w:color w:val="000000"/>
          <w:spacing w:val="0"/>
          <w:w w:val="100"/>
          <w:position w:val="0"/>
        </w:rPr>
        <w:t>韩康麒、丁俊峰:《表见代理中被代理人可归责性的实证研究》，载《法律适用》</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期。</w:t>
      </w:r>
    </w:p>
    <w:p w14:paraId="62BD5D72">
      <w:pPr>
        <w:widowControl w:val="0"/>
        <w:spacing w:line="171" w:lineRule="exact"/>
        <w:rPr>
          <w:sz w:val="14"/>
          <w:szCs w:val="14"/>
        </w:rPr>
      </w:pPr>
    </w:p>
    <w:p w14:paraId="02E22AF5">
      <w:pPr>
        <w:widowControl w:val="0"/>
        <w:spacing w:line="1" w:lineRule="exact"/>
        <w:sectPr>
          <w:headerReference r:id="rId167" w:type="default"/>
          <w:headerReference r:id="rId168" w:type="even"/>
          <w:footnotePr>
            <w:numFmt w:val="chicago"/>
          </w:footnotePr>
          <w:pgSz w:w="10099" w:h="14782"/>
          <w:pgMar w:top="1332" w:right="988" w:bottom="1077" w:left="1112" w:header="0" w:footer="3" w:gutter="0"/>
          <w:pgNumType w:start="132"/>
          <w:cols w:space="720" w:num="1"/>
          <w:rtlGutter w:val="0"/>
          <w:docGrid w:linePitch="360" w:charSpace="0"/>
        </w:sectPr>
      </w:pPr>
    </w:p>
    <w:p w14:paraId="6891C5BC">
      <w:pPr>
        <w:widowControl w:val="0"/>
        <w:spacing w:line="1" w:lineRule="exact"/>
      </w:pPr>
      <w:r>
        <mc:AlternateContent>
          <mc:Choice Requires="wps">
            <w:drawing>
              <wp:anchor distT="0" distB="80010" distL="0" distR="0" simplePos="0" relativeHeight="251660288" behindDoc="0" locked="0" layoutInCell="1" allowOverlap="1">
                <wp:simplePos x="0" y="0"/>
                <wp:positionH relativeFrom="page">
                  <wp:posOffset>770255</wp:posOffset>
                </wp:positionH>
                <wp:positionV relativeFrom="paragraph">
                  <wp:posOffset>0</wp:posOffset>
                </wp:positionV>
                <wp:extent cx="450850" cy="304800"/>
                <wp:effectExtent l="0" t="0" r="0" b="0"/>
                <wp:wrapTopAndBottom/>
                <wp:docPr id="369" name="Shape 369"/>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21BF7ADB">
                            <w:pPr>
                              <w:pStyle w:val="27"/>
                              <w:keepNext/>
                              <w:keepLines/>
                              <w:widowControl w:val="0"/>
                              <w:shd w:val="clear" w:color="auto" w:fill="auto"/>
                              <w:bidi w:val="0"/>
                              <w:spacing w:before="0" w:after="0" w:line="240" w:lineRule="auto"/>
                              <w:ind w:left="0" w:right="0" w:firstLine="0"/>
                              <w:jc w:val="both"/>
                            </w:pPr>
                            <w:bookmarkStart w:id="306" w:name="bookmark151"/>
                            <w:bookmarkStart w:id="307" w:name="bookmark152"/>
                            <w:bookmarkStart w:id="308" w:name="bookmark153"/>
                            <w:r>
                              <w:rPr>
                                <w:rFonts w:ascii="Times New Roman" w:hAnsi="Times New Roman" w:eastAsia="Times New Roman" w:cs="Times New Roman"/>
                                <w:color w:val="000000"/>
                                <w:spacing w:val="0"/>
                                <w:w w:val="100"/>
                                <w:position w:val="0"/>
                              </w:rPr>
                              <w:t>024</w:t>
                            </w:r>
                            <w:bookmarkEnd w:id="306"/>
                            <w:bookmarkEnd w:id="307"/>
                            <w:bookmarkEnd w:id="308"/>
                          </w:p>
                        </w:txbxContent>
                      </wps:txbx>
                      <wps:bodyPr wrap="none" lIns="0" tIns="0" rIns="0" bIns="0">
                        <a:noAutofit/>
                      </wps:bodyPr>
                    </wps:wsp>
                  </a:graphicData>
                </a:graphic>
              </wp:anchor>
            </w:drawing>
          </mc:Choice>
          <mc:Fallback>
            <w:pict>
              <v:shape id="Shape 369" o:spid="_x0000_s1026" o:spt="202" type="#_x0000_t202" style="position:absolute;left:0pt;margin-left:60.65pt;margin-top:0pt;height:24pt;width:35.5pt;mso-position-horizontal-relative:page;mso-wrap-distance-bottom:6.3pt;mso-wrap-distance-top:0pt;mso-wrap-style:none;z-index:251660288;mso-width-relative:page;mso-height-relative:page;" filled="f" stroked="f" coordsize="21600,21600" o:gfxdata="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mWmX3SAAAABwEA&#10;AA8AAAAAAAAAAQAgAAAAIgAAAGRycy9kb3ducmV2LnhtbFBLAQIUABQAAAAIAIdO4kDdpo54rgEA&#10;AHMDAAAOAAAAAAAAAAEAIAAAACEBAABkcnMvZTJvRG9jLnhtbFBLBQYAAAAABgAGAFkBAABBBQAA&#10;AAA=&#10;">
                <v:fill on="f" focussize="0,0"/>
                <v:stroke on="f"/>
                <v:imagedata o:title=""/>
                <o:lock v:ext="edit" aspectratio="f"/>
                <v:textbox inset="0mm,0mm,0mm,0mm">
                  <w:txbxContent>
                    <w:p w14:paraId="21BF7ADB">
                      <w:pPr>
                        <w:pStyle w:val="27"/>
                        <w:keepNext/>
                        <w:keepLines/>
                        <w:widowControl w:val="0"/>
                        <w:shd w:val="clear" w:color="auto" w:fill="auto"/>
                        <w:bidi w:val="0"/>
                        <w:spacing w:before="0" w:after="0" w:line="240" w:lineRule="auto"/>
                        <w:ind w:left="0" w:right="0" w:firstLine="0"/>
                        <w:jc w:val="both"/>
                      </w:pPr>
                      <w:bookmarkStart w:id="306" w:name="bookmark151"/>
                      <w:bookmarkStart w:id="307" w:name="bookmark152"/>
                      <w:bookmarkStart w:id="308" w:name="bookmark153"/>
                      <w:r>
                        <w:rPr>
                          <w:rFonts w:ascii="Times New Roman" w:hAnsi="Times New Roman" w:eastAsia="Times New Roman" w:cs="Times New Roman"/>
                          <w:color w:val="000000"/>
                          <w:spacing w:val="0"/>
                          <w:w w:val="100"/>
                          <w:position w:val="0"/>
                        </w:rPr>
                        <w:t>024</w:t>
                      </w:r>
                      <w:bookmarkEnd w:id="306"/>
                      <w:bookmarkEnd w:id="307"/>
                      <w:bookmarkEnd w:id="308"/>
                    </w:p>
                  </w:txbxContent>
                </v:textbox>
                <w10:wrap type="topAndBottom"/>
              </v:shape>
            </w:pict>
          </mc:Fallback>
        </mc:AlternateContent>
      </w:r>
      <w:r>
        <mc:AlternateContent>
          <mc:Choice Requires="wps">
            <w:drawing>
              <wp:anchor distT="88265" distB="63500" distL="0" distR="0" simplePos="0" relativeHeight="251660288" behindDoc="0" locked="0" layoutInCell="1" allowOverlap="1">
                <wp:simplePos x="0" y="0"/>
                <wp:positionH relativeFrom="page">
                  <wp:posOffset>1348105</wp:posOffset>
                </wp:positionH>
                <wp:positionV relativeFrom="paragraph">
                  <wp:posOffset>88265</wp:posOffset>
                </wp:positionV>
                <wp:extent cx="2030095" cy="233045"/>
                <wp:effectExtent l="0" t="0" r="0" b="0"/>
                <wp:wrapTopAndBottom/>
                <wp:docPr id="371" name="Shape 371"/>
                <wp:cNvGraphicFramePr/>
                <a:graphic xmlns:a="http://schemas.openxmlformats.org/drawingml/2006/main">
                  <a:graphicData uri="http://schemas.microsoft.com/office/word/2010/wordprocessingShape">
                    <wps:wsp>
                      <wps:cNvSpPr txBox="1"/>
                      <wps:spPr>
                        <a:xfrm>
                          <a:off x="0" y="0"/>
                          <a:ext cx="2030095" cy="233045"/>
                        </a:xfrm>
                        <a:prstGeom prst="rect">
                          <a:avLst/>
                        </a:prstGeom>
                        <a:noFill/>
                      </wps:spPr>
                      <wps:txbx>
                        <w:txbxContent>
                          <w:p w14:paraId="41A8F7FA">
                            <w:pPr>
                              <w:pStyle w:val="15"/>
                              <w:keepNext/>
                              <w:keepLines/>
                              <w:widowControl w:val="0"/>
                              <w:shd w:val="clear" w:color="auto" w:fill="auto"/>
                              <w:bidi w:val="0"/>
                              <w:spacing w:before="0" w:after="0" w:line="240" w:lineRule="auto"/>
                              <w:ind w:left="0" w:right="0" w:firstLine="0"/>
                              <w:jc w:val="left"/>
                            </w:pPr>
                            <w:bookmarkStart w:id="309" w:name="bookmark155"/>
                            <w:bookmarkStart w:id="310" w:name="bookmark154"/>
                            <w:bookmarkStart w:id="311" w:name="bookmark156"/>
                            <w:r>
                              <w:rPr>
                                <w:color w:val="000000"/>
                                <w:spacing w:val="0"/>
                                <w:w w:val="100"/>
                                <w:position w:val="0"/>
                              </w:rPr>
                              <w:t>违法代理与本人的责任</w:t>
                            </w:r>
                            <w:bookmarkEnd w:id="309"/>
                            <w:bookmarkEnd w:id="310"/>
                            <w:bookmarkEnd w:id="311"/>
                          </w:p>
                        </w:txbxContent>
                      </wps:txbx>
                      <wps:bodyPr wrap="none" lIns="0" tIns="0" rIns="0" bIns="0">
                        <a:noAutofit/>
                      </wps:bodyPr>
                    </wps:wsp>
                  </a:graphicData>
                </a:graphic>
              </wp:anchor>
            </w:drawing>
          </mc:Choice>
          <mc:Fallback>
            <w:pict>
              <v:shape id="Shape 371" o:spid="_x0000_s1026" o:spt="202" type="#_x0000_t202" style="position:absolute;left:0pt;margin-left:106.15pt;margin-top:6.95pt;height:18.35pt;width:159.85pt;mso-position-horizontal-relative:page;mso-wrap-distance-bottom:5pt;mso-wrap-distance-top:6.95pt;mso-wrap-style:none;z-index:251660288;mso-width-relative:page;mso-height-relative:page;" filled="f" stroked="f" coordsize="21600,21600" o:gfxdata="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pkmfW&#10;AAAACQEAAA8AAAAAAAAAAQAgAAAAIgAAAGRycy9kb3ducmV2LnhtbFBLAQIUABQAAAAIAIdO4kDj&#10;UyG+sAEAAHQDAAAOAAAAAAAAAAEAIAAAACUBAABkcnMvZTJvRG9jLnhtbFBLBQYAAAAABgAGAFkB&#10;AABHBQAAAAA=&#10;">
                <v:fill on="f" focussize="0,0"/>
                <v:stroke on="f"/>
                <v:imagedata o:title=""/>
                <o:lock v:ext="edit" aspectratio="f"/>
                <v:textbox inset="0mm,0mm,0mm,0mm">
                  <w:txbxContent>
                    <w:p w14:paraId="41A8F7FA">
                      <w:pPr>
                        <w:pStyle w:val="15"/>
                        <w:keepNext/>
                        <w:keepLines/>
                        <w:widowControl w:val="0"/>
                        <w:shd w:val="clear" w:color="auto" w:fill="auto"/>
                        <w:bidi w:val="0"/>
                        <w:spacing w:before="0" w:after="0" w:line="240" w:lineRule="auto"/>
                        <w:ind w:left="0" w:right="0" w:firstLine="0"/>
                        <w:jc w:val="left"/>
                      </w:pPr>
                      <w:bookmarkStart w:id="309" w:name="bookmark155"/>
                      <w:bookmarkStart w:id="310" w:name="bookmark154"/>
                      <w:bookmarkStart w:id="311" w:name="bookmark156"/>
                      <w:r>
                        <w:rPr>
                          <w:color w:val="000000"/>
                          <w:spacing w:val="0"/>
                          <w:w w:val="100"/>
                          <w:position w:val="0"/>
                        </w:rPr>
                        <w:t>违法代理与本人的责任</w:t>
                      </w:r>
                      <w:bookmarkEnd w:id="309"/>
                      <w:bookmarkEnd w:id="310"/>
                      <w:bookmarkEnd w:id="311"/>
                    </w:p>
                  </w:txbxContent>
                </v:textbox>
                <w10:wrap type="topAndBottom"/>
              </v:shape>
            </w:pict>
          </mc:Fallback>
        </mc:AlternateContent>
      </w:r>
    </w:p>
    <w:p w14:paraId="1049C9AF">
      <w:pPr>
        <w:pStyle w:val="17"/>
        <w:keepNext w:val="0"/>
        <w:keepLines w:val="0"/>
        <w:widowControl w:val="0"/>
        <w:shd w:val="clear" w:color="auto" w:fill="auto"/>
        <w:bidi w:val="0"/>
        <w:spacing w:before="0" w:after="0" w:line="240" w:lineRule="auto"/>
        <w:ind w:left="1020" w:right="0" w:firstLine="0"/>
        <w:jc w:val="both"/>
      </w:pPr>
      <w:r>
        <w:rPr>
          <w:color w:val="000000"/>
          <w:spacing w:val="0"/>
          <w:w w:val="100"/>
          <w:position w:val="0"/>
        </w:rPr>
        <w:t>郑州市财务开发公司、中国长城资产管理公司郑州办事处与郑州市</w:t>
      </w:r>
    </w:p>
    <w:p w14:paraId="61BD7B9D">
      <w:pPr>
        <w:pStyle w:val="17"/>
        <w:keepNext w:val="0"/>
        <w:keepLines w:val="0"/>
        <w:widowControl w:val="0"/>
        <w:shd w:val="clear" w:color="auto" w:fill="auto"/>
        <w:bidi w:val="0"/>
        <w:spacing w:before="0" w:after="400" w:line="337" w:lineRule="exact"/>
        <w:ind w:left="1020" w:right="0" w:firstLine="0"/>
        <w:jc w:val="both"/>
      </w:pPr>
      <w:r>
        <w:drawing>
          <wp:anchor distT="0" distB="0" distL="114300" distR="114300" simplePos="0" relativeHeight="251660288" behindDoc="0" locked="0" layoutInCell="1" allowOverlap="1">
            <wp:simplePos x="0" y="0"/>
            <wp:positionH relativeFrom="page">
              <wp:posOffset>5145405</wp:posOffset>
            </wp:positionH>
            <wp:positionV relativeFrom="paragraph">
              <wp:posOffset>63500</wp:posOffset>
            </wp:positionV>
            <wp:extent cx="615950" cy="615950"/>
            <wp:effectExtent l="0" t="0" r="6350" b="6350"/>
            <wp:wrapSquare wrapText="left"/>
            <wp:docPr id="373" name="Shape 373"/>
            <wp:cNvGraphicFramePr/>
            <a:graphic xmlns:a="http://schemas.openxmlformats.org/drawingml/2006/main">
              <a:graphicData uri="http://schemas.openxmlformats.org/drawingml/2006/picture">
                <pic:pic xmlns:pic="http://schemas.openxmlformats.org/drawingml/2006/picture">
                  <pic:nvPicPr>
                    <pic:cNvPr id="373" name="Shape 373"/>
                    <pic:cNvPicPr/>
                  </pic:nvPicPr>
                  <pic:blipFill>
                    <a:blip r:embed="rId625"/>
                    <a:stretch>
                      <a:fillRect/>
                    </a:stretch>
                  </pic:blipFill>
                  <pic:spPr>
                    <a:xfrm>
                      <a:off x="0" y="0"/>
                      <a:ext cx="615950" cy="615950"/>
                    </a:xfrm>
                    <a:prstGeom prst="rect">
                      <a:avLst/>
                    </a:prstGeom>
                  </pic:spPr>
                </pic:pic>
              </a:graphicData>
            </a:graphic>
          </wp:anchor>
        </w:drawing>
      </w:r>
      <w:r>
        <w:rPr>
          <w:color w:val="000000"/>
          <w:spacing w:val="0"/>
          <w:w w:val="100"/>
          <w:position w:val="0"/>
        </w:rPr>
        <w:t>财政局、郑州市人民政府、中国工商银行河南省分行营业部债券认 购款返还纠纷上诉案丨最高人民法院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号民 事判决书</w:t>
      </w:r>
    </w:p>
    <w:p w14:paraId="76881234">
      <w:pPr>
        <w:pStyle w:val="17"/>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王浩华东政法大学法律学院</w:t>
      </w:r>
    </w:p>
    <w:p w14:paraId="0117C648">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BC6D6C8">
      <w:pPr>
        <w:pStyle w:val="17"/>
        <w:keepNext w:val="0"/>
        <w:keepLines w:val="0"/>
        <w:widowControl w:val="0"/>
        <w:shd w:val="clear" w:color="auto" w:fill="auto"/>
        <w:bidi w:val="0"/>
        <w:spacing w:before="0" w:after="0" w:line="344" w:lineRule="exact"/>
        <w:ind w:left="0" w:right="0" w:firstLine="420"/>
        <w:jc w:val="both"/>
      </w:pPr>
      <w:r>
        <w:rPr>
          <w:rFonts w:ascii="Times New Roman" w:hAnsi="Times New Roman" w:eastAsia="Times New Roman" w:cs="Times New Roman"/>
          <w:color w:val="000000"/>
          <w:spacing w:val="0"/>
          <w:w w:val="100"/>
          <w:position w:val="0"/>
          <w:sz w:val="19"/>
          <w:szCs w:val="19"/>
        </w:rPr>
        <w:t>1990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.1991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日，财务开发公司受郑州市财政局（以下简称财政局） 委托,以财政局名义与中国工商银行郑州市支行（以下简称支行）两次签订协议，由支行购 买市财政发行的建设债券</w:t>
      </w:r>
      <w:r>
        <w:rPr>
          <w:rFonts w:ascii="Times New Roman" w:hAnsi="Times New Roman" w:eastAsia="Times New Roman" w:cs="Times New Roman"/>
          <w:color w:val="000000"/>
          <w:spacing w:val="0"/>
          <w:w w:val="100"/>
          <w:position w:val="0"/>
          <w:sz w:val="19"/>
          <w:szCs w:val="19"/>
        </w:rPr>
        <w:t>1300</w:t>
      </w:r>
      <w:r>
        <w:rPr>
          <w:color w:val="000000"/>
          <w:spacing w:val="0"/>
          <w:w w:val="100"/>
          <w:position w:val="0"/>
        </w:rPr>
        <w:t xml:space="preserve">万元。后支行将全部债券款分两次转给财务开发公司。 </w:t>
      </w:r>
      <w:r>
        <w:rPr>
          <w:rFonts w:ascii="Times New Roman" w:hAnsi="Times New Roman" w:eastAsia="Times New Roman" w:cs="Times New Roman"/>
          <w:color w:val="000000"/>
          <w:spacing w:val="0"/>
          <w:w w:val="100"/>
          <w:position w:val="0"/>
          <w:sz w:val="19"/>
          <w:szCs w:val="19"/>
        </w:rPr>
        <w:t>1994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月到</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月，财务开发公司分多次偿付支行建设债券本金共计</w:t>
      </w:r>
      <w:r>
        <w:rPr>
          <w:rFonts w:ascii="Times New Roman" w:hAnsi="Times New Roman" w:eastAsia="Times New Roman" w:cs="Times New Roman"/>
          <w:color w:val="000000"/>
          <w:spacing w:val="0"/>
          <w:w w:val="100"/>
          <w:position w:val="0"/>
          <w:sz w:val="19"/>
          <w:szCs w:val="19"/>
        </w:rPr>
        <w:t>1040</w:t>
      </w:r>
      <w:r>
        <w:rPr>
          <w:color w:val="000000"/>
          <w:spacing w:val="0"/>
          <w:w w:val="100"/>
          <w:position w:val="0"/>
        </w:rPr>
        <w:t>万元, 利息共计</w:t>
      </w:r>
      <w:r>
        <w:rPr>
          <w:rFonts w:ascii="Times New Roman" w:hAnsi="Times New Roman" w:eastAsia="Times New Roman" w:cs="Times New Roman"/>
          <w:color w:val="000000"/>
          <w:spacing w:val="0"/>
          <w:w w:val="100"/>
          <w:position w:val="0"/>
          <w:sz w:val="19"/>
          <w:szCs w:val="19"/>
        </w:rPr>
        <w:t>65</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1993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 xml:space="preserve">月，财务开发公司又以自己名义向支行出售短期融资债券 </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万元。后支行被撤销，其所辖机构并入工行营业部。</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日，工行营业部向 河南省高级人民法院提起诉讼，请求判令财务开发公司、财政局等兑付建设债券、短期融资 债券共计</w:t>
      </w:r>
      <w:r>
        <w:rPr>
          <w:rFonts w:ascii="Times New Roman" w:hAnsi="Times New Roman" w:eastAsia="Times New Roman" w:cs="Times New Roman"/>
          <w:color w:val="000000"/>
          <w:spacing w:val="0"/>
          <w:w w:val="100"/>
          <w:position w:val="0"/>
          <w:sz w:val="19"/>
          <w:szCs w:val="19"/>
        </w:rPr>
        <w:t>3200</w:t>
      </w:r>
      <w:r>
        <w:rPr>
          <w:color w:val="000000"/>
          <w:spacing w:val="0"/>
          <w:w w:val="100"/>
          <w:position w:val="0"/>
        </w:rPr>
        <w:t>万元。</w:t>
      </w:r>
    </w:p>
    <w:p w14:paraId="1853DB21">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河南省高级人民法院认为,本案所涉债券的发行购买均因违反国务院办公厅《关于暂 不发行地方政府债券的通知》而无效。财务开发公司作为建设债券发行的经办人和合同相 对人，应返还工行营业部该债券的剩余购券款</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万元，以及兑付</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万元短期融资债券。</w:t>
      </w:r>
    </w:p>
    <w:p w14:paraId="5A4A8BF9">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财务开发公司、中国长城资产管理公司郑州办事处不服上述民事判决，向最高人民法 院提起上诉。</w:t>
      </w:r>
    </w:p>
    <w:p w14:paraId="2161C669">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4FF26179">
      <w:pPr>
        <w:pStyle w:val="17"/>
        <w:keepNext w:val="0"/>
        <w:keepLines w:val="0"/>
        <w:widowControl w:val="0"/>
        <w:shd w:val="clear" w:color="auto" w:fill="auto"/>
        <w:bidi w:val="0"/>
        <w:spacing w:before="0" w:after="380" w:line="344" w:lineRule="exact"/>
        <w:ind w:left="0" w:right="0" w:firstLine="420"/>
        <w:jc w:val="both"/>
        <w:sectPr>
          <w:footnotePr>
            <w:numFmt w:val="chicago"/>
          </w:footnotePr>
          <w:type w:val="continuous"/>
          <w:pgSz w:w="10099" w:h="14782"/>
          <w:pgMar w:top="1332" w:right="988" w:bottom="1077" w:left="1112" w:header="904" w:footer="649" w:gutter="0"/>
          <w:cols w:space="720" w:num="1"/>
          <w:rtlGutter w:val="0"/>
          <w:docGrid w:linePitch="360" w:charSpace="0"/>
        </w:sectPr>
      </w:pPr>
      <w:r>
        <w:rPr>
          <w:color w:val="000000"/>
          <w:spacing w:val="0"/>
          <w:w w:val="100"/>
          <w:position w:val="0"/>
        </w:rPr>
        <w:t>最高人民法院经审理认为，财政局作为政府职能部门，财务开发公司作为受郑州市政 府和财政局委托发行证券的专门机构,均应知道地方政府债券发行受国务院有关规定规 范;融资债券的发行受《企业债券管理条例》调整，应获得中国人民银行各分行会同同级计 划主管部门审批。但财政局和财务开发公司没有按照国务院有关规定发行了地方政府债 券性质的建设债券，财务开发公司没有获得批准发行了融资债券，故财政局和财务开发公 司应对建设债券和融资债券的无效发行承担过错责任。根据原《民法通则》第</w:t>
      </w:r>
      <w:r>
        <w:rPr>
          <w:rFonts w:ascii="Times New Roman" w:hAnsi="Times New Roman" w:eastAsia="Times New Roman" w:cs="Times New Roman"/>
          <w:color w:val="000000"/>
          <w:spacing w:val="0"/>
          <w:w w:val="100"/>
          <w:position w:val="0"/>
          <w:sz w:val="19"/>
          <w:szCs w:val="19"/>
          <w:lang w:val="en-US" w:eastAsia="en-US" w:bidi="en-US"/>
        </w:rPr>
        <w:t>61.67</w:t>
      </w:r>
      <w:r>
        <w:rPr>
          <w:color w:val="000000"/>
          <w:spacing w:val="0"/>
          <w:w w:val="100"/>
          <w:position w:val="0"/>
        </w:rPr>
        <w:t xml:space="preserve">条的 规定,财政局作为建设债券的发行人,财务开发公司作为建设债券发行的代理人，应当共同 </w:t>
      </w:r>
    </w:p>
    <w:p w14:paraId="79619247">
      <w:pPr>
        <w:pStyle w:val="17"/>
        <w:keepNext w:val="0"/>
        <w:keepLines w:val="0"/>
        <w:widowControl w:val="0"/>
        <w:shd w:val="clear" w:color="auto" w:fill="auto"/>
        <w:bidi w:val="0"/>
        <w:spacing w:before="0" w:after="380" w:line="344" w:lineRule="exact"/>
        <w:ind w:left="0" w:right="0" w:firstLine="0"/>
        <w:jc w:val="both"/>
      </w:pPr>
      <w:r>
        <w:rPr>
          <w:color w:val="000000"/>
          <w:spacing w:val="0"/>
          <w:w w:val="100"/>
          <w:position w:val="0"/>
        </w:rPr>
        <w:t>返还尚欠的建设债券认购余款</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万元,并按同期贷款利率赔偿利息损失;财务开发公司应 当承担返还</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万元短期融资债券认购款项，并按同期贷款利率赔偿利息损失。</w:t>
      </w:r>
    </w:p>
    <w:p w14:paraId="6C31FCD7">
      <w:pPr>
        <w:pStyle w:val="11"/>
        <w:keepNext w:val="0"/>
        <w:keepLines w:val="0"/>
        <w:widowControl w:val="0"/>
        <w:shd w:val="clear" w:color="auto" w:fill="auto"/>
        <w:bidi w:val="0"/>
        <w:spacing w:before="0" w:after="260" w:line="342" w:lineRule="exact"/>
        <w:ind w:left="0" w:right="0" w:firstLine="0"/>
        <w:jc w:val="both"/>
      </w:pPr>
      <w:r>
        <w:rPr>
          <w:color w:val="000000"/>
          <w:spacing w:val="0"/>
          <w:w w:val="100"/>
          <w:position w:val="0"/>
        </w:rPr>
        <w:t>■评析</w:t>
      </w:r>
    </w:p>
    <w:p w14:paraId="5D769644">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40F28FB6">
      <w:pPr>
        <w:pStyle w:val="17"/>
        <w:keepNext w:val="0"/>
        <w:keepLines w:val="0"/>
        <w:widowControl w:val="0"/>
        <w:shd w:val="clear" w:color="auto" w:fill="auto"/>
        <w:bidi w:val="0"/>
        <w:spacing w:before="0" w:after="160" w:line="344" w:lineRule="exact"/>
        <w:ind w:left="0" w:right="0"/>
        <w:jc w:val="both"/>
      </w:pPr>
      <w:r>
        <w:rPr>
          <w:color w:val="000000"/>
          <w:spacing w:val="0"/>
          <w:w w:val="100"/>
          <w:position w:val="0"/>
        </w:rPr>
        <w:t>本判决的一大争点是财政局是否也须就债券销售合同无效给买方造成的损失承担责 任。一审判决认定财务开发公司作为合同缔结方应承担返还财产的责任。本判决则以财 政局与财务开发公司之间存在代理关系且均有过错为由，认定双方应就返还财产、赔偿损 失承担连带责任,依据为《民法通则》第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条，也即《民法总则》第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条。本判决是对这些 规定的直接适用，进一步明确了这些规定的规范意旨。首先,这些规定涉及的并非合同责 任，而是适用过错归责的侵权责任（李宇:《民法总则要义》，法律出版社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784</w:t>
      </w:r>
      <w:r>
        <w:rPr>
          <w:color w:val="000000"/>
          <w:spacing w:val="0"/>
          <w:w w:val="100"/>
          <w:position w:val="0"/>
        </w:rPr>
        <w:t>页）。其 次，致相对人损失的行为看似由代理人实施，但本人有承担全部或连带责任之余地。</w:t>
      </w:r>
    </w:p>
    <w:p w14:paraId="4F9D4438">
      <w:pPr>
        <w:pStyle w:val="17"/>
        <w:keepNext w:val="0"/>
        <w:keepLines w:val="0"/>
        <w:widowControl w:val="0"/>
        <w:shd w:val="clear" w:color="auto" w:fill="auto"/>
        <w:bidi w:val="0"/>
        <w:spacing w:before="0" w:after="16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从代理的本质看本人的责任及责任类型</w:t>
      </w:r>
    </w:p>
    <w:p w14:paraId="4E72AD0E">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本人应否承担全部侵权责任，事关如何理解代理的本质。以德国为首的大陆法系代理 法认为，代理人才是法律行为的实施者，本人只是效果归属者。此即</w:t>
      </w:r>
      <w:r>
        <w:rPr>
          <w:color w:val="000000"/>
          <w:spacing w:val="0"/>
          <w:w w:val="100"/>
          <w:position w:val="0"/>
          <w:lang w:val="zh-CN" w:eastAsia="zh-CN" w:bidi="zh-CN"/>
        </w:rPr>
        <w:t>“代理</w:t>
      </w:r>
      <w:r>
        <w:rPr>
          <w:color w:val="000000"/>
          <w:spacing w:val="0"/>
          <w:w w:val="100"/>
          <w:position w:val="0"/>
        </w:rPr>
        <w:t>人行为说”。在 该说看来，本人虽实施了代理权授予行为,但其与代理人的法律行为分属两个独立的行为。 如是代理人于行为时有过错的，自须承担责任。但若代理人无过错而本人于授权时有过 错，则由谁承担全部责任,便成了难题。</w:t>
      </w:r>
    </w:p>
    <w:p w14:paraId="34096483">
      <w:pPr>
        <w:pStyle w:val="17"/>
        <w:keepNext w:val="0"/>
        <w:keepLines w:val="0"/>
        <w:widowControl w:val="0"/>
        <w:shd w:val="clear" w:color="auto" w:fill="auto"/>
        <w:bidi w:val="0"/>
        <w:spacing w:before="0" w:after="200" w:line="342" w:lineRule="exact"/>
        <w:ind w:left="0" w:right="0"/>
        <w:jc w:val="both"/>
      </w:pPr>
      <w:r>
        <w:rPr>
          <w:color w:val="000000"/>
          <w:spacing w:val="0"/>
          <w:w w:val="100"/>
          <w:position w:val="0"/>
        </w:rPr>
        <w:t>在英美法系代理法看来，这样的难题并不存在。《美国代理法重述三》（以下简称《重述 三》）第</w:t>
      </w:r>
      <w:r>
        <w:rPr>
          <w:rFonts w:ascii="Times New Roman" w:hAnsi="Times New Roman" w:eastAsia="Times New Roman" w:cs="Times New Roman"/>
          <w:color w:val="000000"/>
          <w:spacing w:val="0"/>
          <w:w w:val="100"/>
          <w:position w:val="0"/>
          <w:sz w:val="19"/>
          <w:szCs w:val="19"/>
          <w:lang w:val="en-US" w:eastAsia="en-US" w:bidi="en-US"/>
        </w:rPr>
        <w:t>7.</w:t>
      </w:r>
      <w:r>
        <w:rPr>
          <w:rFonts w:ascii="Times New Roman" w:hAnsi="Times New Roman" w:eastAsia="Times New Roman" w:cs="Times New Roman"/>
          <w:color w:val="000000"/>
          <w:spacing w:val="0"/>
          <w:w w:val="100"/>
          <w:position w:val="0"/>
          <w:sz w:val="19"/>
          <w:szCs w:val="19"/>
        </w:rPr>
        <w:t>04</w:t>
      </w:r>
      <w:r>
        <w:rPr>
          <w:color w:val="000000"/>
          <w:spacing w:val="0"/>
          <w:w w:val="100"/>
          <w:position w:val="0"/>
        </w:rPr>
        <w:t>条就规定:</w:t>
      </w:r>
      <w:r>
        <w:rPr>
          <w:color w:val="000000"/>
          <w:spacing w:val="0"/>
          <w:w w:val="100"/>
          <w:position w:val="0"/>
          <w:lang w:val="zh-CN" w:eastAsia="zh-CN" w:bidi="zh-CN"/>
        </w:rPr>
        <w:t>“如</w:t>
      </w:r>
      <w:r>
        <w:rPr>
          <w:color w:val="000000"/>
          <w:spacing w:val="0"/>
          <w:w w:val="100"/>
          <w:position w:val="0"/>
        </w:rPr>
        <w:t>果代理人的行为在实际的代理权范围内或得到本人追认,且有 下列情形之一的,本人应当对代理人的行为所侵害的第三人承担侵权责任</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代理人的行 为是侵权行为；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代理人的行为若由本人所实施，则将导致本人承担侵权责任。</w:t>
      </w:r>
      <w:r>
        <w:rPr>
          <w:color w:val="000000"/>
          <w:spacing w:val="0"/>
          <w:w w:val="100"/>
          <w:position w:val="0"/>
          <w:lang w:val="zh-CN" w:eastAsia="zh-CN" w:bidi="zh-CN"/>
        </w:rPr>
        <w:t>”根据</w:t>
      </w:r>
      <w:r>
        <w:rPr>
          <w:color w:val="000000"/>
          <w:spacing w:val="0"/>
          <w:w w:val="100"/>
          <w:position w:val="0"/>
        </w:rPr>
        <w:t>《重 述三》第</w:t>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01</w:t>
      </w:r>
      <w:r>
        <w:rPr>
          <w:color w:val="000000"/>
          <w:spacing w:val="0"/>
          <w:w w:val="100"/>
          <w:position w:val="0"/>
        </w:rPr>
        <w:t>条,“所谓代理,即一种信义关系,它产生自这样的场合:一方（即'本人</w:t>
      </w:r>
      <w:r>
        <w:rPr>
          <w:color w:val="000000"/>
          <w:spacing w:val="0"/>
          <w:w w:val="100"/>
          <w:position w:val="0"/>
          <w:lang w:val="en-US" w:eastAsia="en-US" w:bidi="en-US"/>
        </w:rPr>
        <w:t>’）</w:t>
      </w:r>
      <w:r>
        <w:rPr>
          <w:color w:val="000000"/>
          <w:spacing w:val="0"/>
          <w:w w:val="100"/>
          <w:position w:val="0"/>
        </w:rPr>
        <w:t>表明 其认可另一方（即'代理人</w:t>
      </w:r>
      <w:r>
        <w:rPr>
          <w:color w:val="000000"/>
          <w:spacing w:val="0"/>
          <w:w w:val="100"/>
          <w:position w:val="0"/>
          <w:lang w:val="en-US" w:eastAsia="en-US" w:bidi="en-US"/>
        </w:rPr>
        <w:t>'）</w:t>
      </w:r>
      <w:r>
        <w:rPr>
          <w:color w:val="000000"/>
          <w:spacing w:val="0"/>
          <w:w w:val="100"/>
          <w:position w:val="0"/>
        </w:rPr>
        <w:t xml:space="preserve">在本人的监管下为了本人的利益进行活动，而代理人表明其也 认可或以其他方式同意这种活动”。也即在美国代理法之下,代理不过就是本人实现其意 思或目的的手段,而当代理人缔约致人损害时，本人自然有对外承担全部责任的余地。与 之相对，以德国为首的大陆法系代理法则偏重于法律构造的抽象化:首先从委托中分离出 </w:t>
      </w:r>
      <w:r>
        <w:rPr>
          <w:color w:val="000000"/>
          <w:spacing w:val="0"/>
          <w:w w:val="100"/>
          <w:position w:val="0"/>
          <w:lang w:val="zh-CN" w:eastAsia="zh-CN" w:bidi="zh-CN"/>
        </w:rPr>
        <w:t>“代</w:t>
      </w:r>
      <w:r>
        <w:rPr>
          <w:color w:val="000000"/>
          <w:spacing w:val="0"/>
          <w:w w:val="100"/>
          <w:position w:val="0"/>
        </w:rPr>
        <w:t>理权授予行为</w:t>
      </w:r>
      <w:r>
        <w:rPr>
          <w:color w:val="000000"/>
          <w:spacing w:val="0"/>
          <w:w w:val="100"/>
          <w:position w:val="0"/>
          <w:lang w:val="zh-CN" w:eastAsia="zh-CN" w:bidi="zh-CN"/>
        </w:rPr>
        <w:t>”，进</w:t>
      </w:r>
      <w:r>
        <w:rPr>
          <w:color w:val="000000"/>
          <w:spacing w:val="0"/>
          <w:w w:val="100"/>
          <w:position w:val="0"/>
        </w:rPr>
        <w:t>而再割裂代理权授予行为与代理人的行为之间的联系，最终以</w:t>
      </w:r>
      <w:r>
        <w:rPr>
          <w:color w:val="000000"/>
          <w:spacing w:val="0"/>
          <w:w w:val="100"/>
          <w:position w:val="0"/>
          <w:lang w:val="zh-CN" w:eastAsia="zh-CN" w:bidi="zh-CN"/>
        </w:rPr>
        <w:t xml:space="preserve">“代理 </w:t>
      </w:r>
      <w:r>
        <w:rPr>
          <w:color w:val="000000"/>
          <w:spacing w:val="0"/>
          <w:w w:val="100"/>
          <w:position w:val="0"/>
        </w:rPr>
        <w:t>人的行为”为中心创设出一个统一的代理概念。前述</w:t>
      </w:r>
      <w:r>
        <w:rPr>
          <w:color w:val="000000"/>
          <w:spacing w:val="0"/>
          <w:w w:val="100"/>
          <w:position w:val="0"/>
          <w:lang w:val="zh-CN" w:eastAsia="zh-CN" w:bidi="zh-CN"/>
        </w:rPr>
        <w:t>“代</w:t>
      </w:r>
      <w:r>
        <w:rPr>
          <w:color w:val="000000"/>
          <w:spacing w:val="0"/>
          <w:w w:val="100"/>
          <w:position w:val="0"/>
        </w:rPr>
        <w:t>理人行为说”也因此成为诠释代理 之本质的支配性学说。但如此一来,本人视角也随抽象化而最终缺席代理的法律构成，代 理制度的规范重心只剩下代理人的行为了。这种过度的抽象化，不仅阻碍了人们更好地认 识代理的本质，而且在具体问题的处理上也未必能导出契合利益状况的结论。所以，近来 有学说就主张，本人的授权行为（或追认）与代理人的行为密不可分,两者共同构成了一个 法律行为（王浩:《论代理的本质》，载《中外法学》</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w:t>
      </w:r>
    </w:p>
    <w:p w14:paraId="51527ED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若从这种立场出发，则即便认为委托与代理权授予相区分，本人作为</w:t>
      </w:r>
      <w:r>
        <w:rPr>
          <w:color w:val="000000"/>
          <w:spacing w:val="0"/>
          <w:w w:val="100"/>
          <w:position w:val="0"/>
          <w:lang w:val="zh-CN" w:eastAsia="zh-CN" w:bidi="zh-CN"/>
        </w:rPr>
        <w:t>“代</w:t>
      </w:r>
      <w:r>
        <w:rPr>
          <w:color w:val="000000"/>
          <w:spacing w:val="0"/>
          <w:w w:val="100"/>
          <w:position w:val="0"/>
        </w:rPr>
        <w:t>理法律行为” （致相对人损害的行为）的共同实施者，也不乏承担全部侵权责任之可能。关键在于代理权 授予行为本身有无过错，比如代理事项是否违法;又或者代理人的行为存在过错时,本人是 否对之容忍或追认，比如本人是否知道代理行为违法却不反对。据此以下几种情形中，本 人都可能承担全部责任:</w:t>
      </w:r>
      <w:r>
        <w:rPr>
          <w:color w:val="000000"/>
          <w:spacing w:val="0"/>
          <w:w w:val="100"/>
          <w:position w:val="0"/>
          <w:lang w:val="zh-CN" w:eastAsia="zh-CN" w:bidi="zh-CN"/>
        </w:rPr>
        <w:t>“甲</w:t>
      </w:r>
      <w:r>
        <w:rPr>
          <w:color w:val="000000"/>
          <w:spacing w:val="0"/>
          <w:w w:val="100"/>
          <w:position w:val="0"/>
        </w:rPr>
        <w:t>将假冒伪劣产品委托乙代为销售,但乙不知道该产品为假冒伪 劣产品”</w:t>
      </w:r>
      <w:r>
        <w:rPr>
          <w:color w:val="000000"/>
          <w:spacing w:val="0"/>
          <w:w w:val="100"/>
          <w:position w:val="0"/>
          <w:lang w:val="zh-CN" w:eastAsia="zh-CN" w:bidi="zh-CN"/>
        </w:rPr>
        <w:t>，“甲</w:t>
      </w:r>
      <w:r>
        <w:rPr>
          <w:color w:val="000000"/>
          <w:spacing w:val="0"/>
          <w:w w:val="100"/>
          <w:position w:val="0"/>
        </w:rPr>
        <w:t>将假冒伪劣产品委托乙代为销售，乙知道该产品为假冒伪劣产品仍然对外销 售”</w:t>
      </w:r>
      <w:r>
        <w:rPr>
          <w:color w:val="000000"/>
          <w:spacing w:val="0"/>
          <w:w w:val="100"/>
          <w:position w:val="0"/>
          <w:lang w:val="zh-CN" w:eastAsia="zh-CN" w:bidi="zh-CN"/>
        </w:rPr>
        <w:t>，“甲</w:t>
      </w:r>
      <w:r>
        <w:rPr>
          <w:color w:val="000000"/>
          <w:spacing w:val="0"/>
          <w:w w:val="100"/>
          <w:position w:val="0"/>
        </w:rPr>
        <w:t>委托乙销售合法产品，乙将该产品贴上假冒商标进行销售，甲知道后装作不知情” （李适时主编:《中华人民共和国民法总则释义》，法律出版社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518-519</w:t>
      </w:r>
      <w:r>
        <w:rPr>
          <w:color w:val="000000"/>
          <w:spacing w:val="0"/>
          <w:w w:val="100"/>
          <w:position w:val="0"/>
        </w:rPr>
        <w:t>页；石宏主编： 《〈中华人民共和国民法总则〉条文说明、立法理由及相关规定》，北京大学出版社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392 ~ 393</w:t>
      </w:r>
      <w:r>
        <w:rPr>
          <w:color w:val="000000"/>
          <w:spacing w:val="0"/>
          <w:w w:val="100"/>
          <w:position w:val="0"/>
        </w:rPr>
        <w:t xml:space="preserve">页）。总之，如果将代理法律行为理解为本人和代理人的共同行为，则原《民法通则》第 </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条这样的规定便是理所当然的。也因此，对于检视我国的代理理论而言,这种规定的存 在其实不乏意义,尽管学者大多认为我国代理法也以代理人行为说为基础（如汪渊智:《代理 法论》，北京大学出版社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288</w:t>
      </w:r>
      <w:r>
        <w:rPr>
          <w:color w:val="000000"/>
          <w:spacing w:val="0"/>
          <w:w w:val="100"/>
          <w:position w:val="0"/>
        </w:rPr>
        <w:t>页）。</w:t>
      </w:r>
    </w:p>
    <w:p w14:paraId="6AC59A1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当然，由代理的本质出发所论及的本人责任，只是本人承担全责的一种类型。这种责 任仍是本人以自身过错为前提的</w:t>
      </w:r>
      <w:r>
        <w:rPr>
          <w:color w:val="000000"/>
          <w:spacing w:val="0"/>
          <w:w w:val="100"/>
          <w:position w:val="0"/>
          <w:lang w:val="zh-CN" w:eastAsia="zh-CN" w:bidi="zh-CN"/>
        </w:rPr>
        <w:t>“直接</w:t>
      </w:r>
      <w:r>
        <w:rPr>
          <w:color w:val="000000"/>
          <w:spacing w:val="0"/>
          <w:w w:val="100"/>
          <w:position w:val="0"/>
        </w:rPr>
        <w:t xml:space="preserve">责任”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与之相对,本人即使未实施任何过错行为， 也可能依据《民法典》第</w:t>
      </w:r>
      <w:r>
        <w:rPr>
          <w:rFonts w:ascii="Times New Roman" w:hAnsi="Times New Roman" w:eastAsia="Times New Roman" w:cs="Times New Roman"/>
          <w:color w:val="000000"/>
          <w:spacing w:val="0"/>
          <w:w w:val="100"/>
          <w:position w:val="0"/>
          <w:sz w:val="17"/>
          <w:szCs w:val="17"/>
          <w:lang w:val="en-US" w:eastAsia="en-US" w:bidi="en-US"/>
        </w:rPr>
        <w:t>1191.1192</w:t>
      </w:r>
      <w:r>
        <w:rPr>
          <w:color w:val="000000"/>
          <w:spacing w:val="0"/>
          <w:w w:val="100"/>
          <w:position w:val="0"/>
        </w:rPr>
        <w:t>条对外承担全部责任，也即</w:t>
      </w:r>
      <w:r>
        <w:rPr>
          <w:color w:val="000000"/>
          <w:spacing w:val="0"/>
          <w:w w:val="100"/>
          <w:position w:val="0"/>
          <w:lang w:val="zh-CN" w:eastAsia="zh-CN" w:bidi="zh-CN"/>
        </w:rPr>
        <w:t>“用人</w:t>
      </w:r>
      <w:r>
        <w:rPr>
          <w:color w:val="000000"/>
          <w:spacing w:val="0"/>
          <w:w w:val="100"/>
          <w:position w:val="0"/>
        </w:rPr>
        <w:t>者责任</w:t>
      </w:r>
      <w:r>
        <w:rPr>
          <w:color w:val="000000"/>
          <w:spacing w:val="0"/>
          <w:w w:val="100"/>
          <w:position w:val="0"/>
          <w:lang w:val="zh-CN" w:eastAsia="zh-CN" w:bidi="zh-CN"/>
        </w:rPr>
        <w:t>”，属“替</w:t>
      </w:r>
      <w:r>
        <w:rPr>
          <w:color w:val="000000"/>
          <w:spacing w:val="0"/>
          <w:w w:val="100"/>
          <w:position w:val="0"/>
        </w:rPr>
        <w:t>代责 任”之范畴。不过，这不意味着本人即使没有过错，也必然会因《民法典》第</w:t>
      </w:r>
      <w:r>
        <w:rPr>
          <w:rFonts w:ascii="Times New Roman" w:hAnsi="Times New Roman" w:eastAsia="Times New Roman" w:cs="Times New Roman"/>
          <w:color w:val="000000"/>
          <w:spacing w:val="0"/>
          <w:w w:val="100"/>
          <w:position w:val="0"/>
          <w:sz w:val="17"/>
          <w:szCs w:val="17"/>
          <w:lang w:val="en-US" w:eastAsia="en-US" w:bidi="en-US"/>
        </w:rPr>
        <w:t>1191.1192</w:t>
      </w:r>
      <w:r>
        <w:rPr>
          <w:color w:val="000000"/>
          <w:spacing w:val="0"/>
          <w:w w:val="100"/>
          <w:position w:val="0"/>
        </w:rPr>
        <w:t>条承 担责任。就第</w:t>
      </w:r>
      <w:r>
        <w:rPr>
          <w:rFonts w:ascii="Times New Roman" w:hAnsi="Times New Roman" w:eastAsia="Times New Roman" w:cs="Times New Roman"/>
          <w:color w:val="000000"/>
          <w:spacing w:val="0"/>
          <w:w w:val="100"/>
          <w:position w:val="0"/>
          <w:sz w:val="17"/>
          <w:szCs w:val="17"/>
        </w:rPr>
        <w:t>1191</w:t>
      </w:r>
      <w:r>
        <w:rPr>
          <w:color w:val="000000"/>
          <w:spacing w:val="0"/>
          <w:w w:val="100"/>
          <w:position w:val="0"/>
        </w:rPr>
        <w:t>条的适用而言，本人与代理人之间须为雇佣关系，且构成侵权的代理行 为属执行工作任务之范畴。就第</w:t>
      </w:r>
      <w:r>
        <w:rPr>
          <w:rFonts w:ascii="Times New Roman" w:hAnsi="Times New Roman" w:eastAsia="Times New Roman" w:cs="Times New Roman"/>
          <w:color w:val="000000"/>
          <w:spacing w:val="0"/>
          <w:w w:val="100"/>
          <w:position w:val="0"/>
          <w:sz w:val="17"/>
          <w:szCs w:val="17"/>
          <w:lang w:val="en-US" w:eastAsia="en-US" w:bidi="en-US"/>
        </w:rPr>
        <w:t>H92</w:t>
      </w:r>
      <w:r>
        <w:rPr>
          <w:color w:val="000000"/>
          <w:spacing w:val="0"/>
          <w:w w:val="100"/>
          <w:position w:val="0"/>
        </w:rPr>
        <w:t>条的适用而言，本人与代理人之间须为劳务关系，且 构成侵权的代理行为属劳务提供之范畴。无论雇佣还是劳务关系，皆具支配从属、命令服 从之特点（程啸:《侵权责任法》，法律出版社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409,411</w:t>
      </w:r>
      <w:r>
        <w:rPr>
          <w:color w:val="000000"/>
          <w:spacing w:val="0"/>
          <w:w w:val="100"/>
          <w:position w:val="0"/>
        </w:rPr>
        <w:t>页）。而本人与代理人之间的 关系未必总是如此，很多时候代理人具有独立地位,无须服从本人的指挥命令。比如，就本 案而言，代理人是具有一定独立性的组织，与本人之间并不当然存在命令服从关系，故对本 人适用用人者责任规定似有困难。</w:t>
      </w:r>
    </w:p>
    <w:p w14:paraId="63B90B3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本人的</w:t>
      </w:r>
      <w:r>
        <w:rPr>
          <w:color w:val="000000"/>
          <w:spacing w:val="0"/>
          <w:w w:val="100"/>
          <w:position w:val="0"/>
          <w:lang w:val="zh-CN" w:eastAsia="zh-CN" w:bidi="zh-CN"/>
        </w:rPr>
        <w:t>“替</w:t>
      </w:r>
      <w:r>
        <w:rPr>
          <w:color w:val="000000"/>
          <w:spacing w:val="0"/>
          <w:w w:val="100"/>
          <w:position w:val="0"/>
        </w:rPr>
        <w:t>代责任</w:t>
      </w:r>
      <w:r>
        <w:rPr>
          <w:color w:val="000000"/>
          <w:spacing w:val="0"/>
          <w:w w:val="100"/>
          <w:position w:val="0"/>
          <w:lang w:val="zh-CN" w:eastAsia="zh-CN" w:bidi="zh-CN"/>
        </w:rPr>
        <w:t>”是否</w:t>
      </w:r>
      <w:r>
        <w:rPr>
          <w:color w:val="000000"/>
          <w:spacing w:val="0"/>
          <w:w w:val="100"/>
          <w:position w:val="0"/>
        </w:rPr>
        <w:t>仅限于《民法典》第</w:t>
      </w:r>
      <w:r>
        <w:rPr>
          <w:rFonts w:ascii="Times New Roman" w:hAnsi="Times New Roman" w:eastAsia="Times New Roman" w:cs="Times New Roman"/>
          <w:color w:val="000000"/>
          <w:spacing w:val="0"/>
          <w:w w:val="100"/>
          <w:position w:val="0"/>
          <w:sz w:val="17"/>
          <w:szCs w:val="17"/>
          <w:lang w:val="en-US" w:eastAsia="en-US" w:bidi="en-US"/>
        </w:rPr>
        <w:t>H91J192</w:t>
      </w:r>
      <w:r>
        <w:rPr>
          <w:color w:val="000000"/>
          <w:spacing w:val="0"/>
          <w:w w:val="100"/>
          <w:position w:val="0"/>
        </w:rPr>
        <w:t>条？有学者借鉴德国学说主张, 债务履行辅助人法理亦可适用于代理人的缔约过失，故本人即使无过错，也须为代理人的 过错行为承担全部责任［陈甦主编：《民法总则评注》（下册），法律出版社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1185</w:t>
      </w:r>
      <w:r>
        <w:rPr>
          <w:color w:val="000000"/>
          <w:spacing w:val="0"/>
          <w:w w:val="100"/>
          <w:position w:val="0"/>
        </w:rPr>
        <w:t>页］。 但是,我国原《合同法》第</w:t>
      </w:r>
      <w:r>
        <w:rPr>
          <w:rFonts w:ascii="Times New Roman" w:hAnsi="Times New Roman" w:eastAsia="Times New Roman" w:cs="Times New Roman"/>
          <w:color w:val="000000"/>
          <w:spacing w:val="0"/>
          <w:w w:val="100"/>
          <w:position w:val="0"/>
          <w:sz w:val="17"/>
          <w:szCs w:val="17"/>
        </w:rPr>
        <w:t>121</w:t>
      </w:r>
      <w:r>
        <w:rPr>
          <w:color w:val="000000"/>
          <w:spacing w:val="0"/>
          <w:w w:val="100"/>
          <w:position w:val="0"/>
        </w:rPr>
        <w:t>条这一涵盖了债务履行辅助人法理的规定针对的是“违约责 任”，可否借用于</w:t>
      </w:r>
      <w:r>
        <w:rPr>
          <w:color w:val="000000"/>
          <w:spacing w:val="0"/>
          <w:w w:val="100"/>
          <w:position w:val="0"/>
          <w:lang w:val="zh-CN" w:eastAsia="zh-CN" w:bidi="zh-CN"/>
        </w:rPr>
        <w:t>“侵权</w:t>
      </w:r>
      <w:r>
        <w:rPr>
          <w:color w:val="000000"/>
          <w:spacing w:val="0"/>
          <w:w w:val="100"/>
          <w:position w:val="0"/>
        </w:rPr>
        <w:t>责任”，不无疑问。假如本人因为使用了代理人就总要为代理人的过 错行为承担责任，那么在代理人侵权问题上，《民法典》第</w:t>
      </w:r>
      <w:r>
        <w:rPr>
          <w:rFonts w:ascii="Times New Roman" w:hAnsi="Times New Roman" w:eastAsia="Times New Roman" w:cs="Times New Roman"/>
          <w:color w:val="000000"/>
          <w:spacing w:val="0"/>
          <w:w w:val="100"/>
          <w:position w:val="0"/>
          <w:sz w:val="17"/>
          <w:szCs w:val="17"/>
          <w:lang w:val="en-US" w:eastAsia="en-US" w:bidi="en-US"/>
        </w:rPr>
        <w:t>H91J192</w:t>
      </w:r>
      <w:r>
        <w:rPr>
          <w:color w:val="000000"/>
          <w:spacing w:val="0"/>
          <w:w w:val="100"/>
          <w:position w:val="0"/>
        </w:rPr>
        <w:t>条恐怕就将失去存在 的意义。正如《重述三》所言</w:t>
      </w:r>
      <w:r>
        <w:rPr>
          <w:color w:val="000000"/>
          <w:spacing w:val="0"/>
          <w:w w:val="100"/>
          <w:position w:val="0"/>
          <w:lang w:val="zh-CN" w:eastAsia="zh-CN" w:bidi="zh-CN"/>
        </w:rPr>
        <w:t>，“用</w:t>
      </w:r>
      <w:r>
        <w:rPr>
          <w:color w:val="000000"/>
          <w:spacing w:val="0"/>
          <w:w w:val="100"/>
          <w:position w:val="0"/>
        </w:rPr>
        <w:t xml:space="preserve">人者并非保险公司，无须就第三人因与被用者交往而蒙受 之全部损失承担责任” </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 xml:space="preserve">Restatement （Third） of Agency § 7. 07 cmt. b （at 201） </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rPr>
        <w:t>即便在德国学 者看来，扩张适用履行辅助人法理的关键理由，也</w:t>
      </w:r>
      <w:r>
        <w:rPr>
          <w:color w:val="000000"/>
          <w:spacing w:val="0"/>
          <w:w w:val="100"/>
          <w:position w:val="0"/>
          <w:lang w:val="zh-CN" w:eastAsia="zh-CN" w:bidi="zh-CN"/>
        </w:rPr>
        <w:t>“并不</w:t>
      </w:r>
      <w:r>
        <w:rPr>
          <w:color w:val="000000"/>
          <w:spacing w:val="0"/>
          <w:w w:val="100"/>
          <w:position w:val="0"/>
        </w:rPr>
        <w:t>是因为代理人是为其完成法律行为 或应为其完成法律行为的代理人,而是因为被代理人在履行其自身所负有的照顾和说明义 务时使用代理人”（［德</w:t>
      </w:r>
      <w:r>
        <w:rPr>
          <w:color w:val="000000"/>
          <w:spacing w:val="0"/>
          <w:w w:val="100"/>
          <w:position w:val="0"/>
          <w:lang w:val="en-US" w:eastAsia="en-US" w:bidi="en-US"/>
        </w:rPr>
        <w:t>］</w:t>
      </w:r>
      <w:r>
        <w:rPr>
          <w:color w:val="000000"/>
          <w:spacing w:val="0"/>
          <w:w w:val="100"/>
          <w:position w:val="0"/>
        </w:rPr>
        <w:t>维尔纳</w:t>
      </w:r>
      <w:r>
        <w:rPr>
          <w:color w:val="000000"/>
          <w:spacing w:val="0"/>
          <w:w w:val="100"/>
          <w:position w:val="0"/>
          <w:lang w:val="en-US" w:eastAsia="en-US" w:bidi="en-US"/>
        </w:rPr>
        <w:t>•</w:t>
      </w:r>
      <w:r>
        <w:rPr>
          <w:color w:val="000000"/>
          <w:spacing w:val="0"/>
          <w:w w:val="100"/>
          <w:position w:val="0"/>
        </w:rPr>
        <w:t>弗卢梅:《法律行为论》，迟颖译，法律出版社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950 ~ 951</w:t>
      </w:r>
      <w:r>
        <w:rPr>
          <w:color w:val="000000"/>
          <w:spacing w:val="0"/>
          <w:w w:val="100"/>
          <w:position w:val="0"/>
        </w:rPr>
        <w:t>页）。换言之，本人一旦对交易相对人负起某种特定义务，就不能将该义务随意委托代理 人履行;因该义务之懈怠致相对人受有损害时，本人不能借口代理人的过错进行抗辩。故 而实际上，本人仍是就自己怠于履行义务承担“直接责任”。</w:t>
      </w:r>
    </w:p>
    <w:p w14:paraId="42A58FB1">
      <w:pPr>
        <w:pStyle w:val="17"/>
        <w:keepNext w:val="0"/>
        <w:keepLines w:val="0"/>
        <w:widowControl w:val="0"/>
        <w:shd w:val="clear" w:color="auto" w:fill="auto"/>
        <w:bidi w:val="0"/>
        <w:spacing w:before="0" w:after="280" w:line="345"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lang w:val="en-US" w:eastAsia="en-US" w:bidi="en-US"/>
        </w:rPr>
        <w:t>1191.1192</w:t>
      </w:r>
      <w:r>
        <w:rPr>
          <w:color w:val="000000"/>
          <w:spacing w:val="0"/>
          <w:w w:val="100"/>
          <w:position w:val="0"/>
        </w:rPr>
        <w:t>条之外，真正可能成立“替代责任</w:t>
      </w:r>
      <w:r>
        <w:rPr>
          <w:color w:val="000000"/>
          <w:spacing w:val="0"/>
          <w:w w:val="100"/>
          <w:position w:val="0"/>
          <w:lang w:val="zh-CN" w:eastAsia="zh-CN" w:bidi="zh-CN"/>
        </w:rPr>
        <w:t>”的</w:t>
      </w:r>
      <w:r>
        <w:rPr>
          <w:color w:val="000000"/>
          <w:spacing w:val="0"/>
          <w:w w:val="100"/>
          <w:position w:val="0"/>
        </w:rPr>
        <w:t>，如《重述三》第</w:t>
      </w:r>
      <w:r>
        <w:rPr>
          <w:rFonts w:ascii="Times New Roman" w:hAnsi="Times New Roman" w:eastAsia="Times New Roman" w:cs="Times New Roman"/>
          <w:color w:val="000000"/>
          <w:spacing w:val="0"/>
          <w:w w:val="100"/>
          <w:position w:val="0"/>
          <w:sz w:val="19"/>
          <w:szCs w:val="19"/>
          <w:lang w:val="en-US" w:eastAsia="en-US" w:bidi="en-US"/>
        </w:rPr>
        <w:t>7.</w:t>
      </w:r>
      <w:r>
        <w:rPr>
          <w:rFonts w:ascii="Times New Roman" w:hAnsi="Times New Roman" w:eastAsia="Times New Roman" w:cs="Times New Roman"/>
          <w:color w:val="000000"/>
          <w:spacing w:val="0"/>
          <w:w w:val="100"/>
          <w:position w:val="0"/>
          <w:sz w:val="19"/>
          <w:szCs w:val="19"/>
        </w:rPr>
        <w:t>08</w:t>
      </w:r>
      <w:r>
        <w:rPr>
          <w:color w:val="000000"/>
          <w:spacing w:val="0"/>
          <w:w w:val="100"/>
          <w:position w:val="0"/>
        </w:rPr>
        <w:t>条所 示，恐怕是以下场合。比如,</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对外声称将委托</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发行债券,但后来并未真正授权，而</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却 乘机以</w:t>
      </w:r>
      <w:r>
        <w:rPr>
          <w:rFonts w:ascii="Times New Roman" w:hAnsi="Times New Roman" w:eastAsia="Times New Roman" w:cs="Times New Roman"/>
          <w:color w:val="000000"/>
          <w:spacing w:val="0"/>
          <w:w w:val="100"/>
          <w:position w:val="0"/>
          <w:sz w:val="19"/>
          <w:szCs w:val="19"/>
          <w:lang w:val="en-US" w:eastAsia="en-US" w:bidi="en-US"/>
        </w:rPr>
        <w:t>P</w:t>
      </w:r>
      <w:r>
        <w:rPr>
          <w:color w:val="000000"/>
          <w:spacing w:val="0"/>
          <w:w w:val="100"/>
          <w:position w:val="0"/>
        </w:rPr>
        <w:t>之名发行了债券，结果该发行行为因违法而无效，相对人因此蒙受了损失。正如 表见代理之成立不以本人有过错为限,本人对此种基于表见授权的侵权行为是否具有过 错,也在所不问。需注意，本人承担此种责任的前提是本人的表示引发了代理权外观，且行 为人据此实施了构成侵权的代理行为。所以，如果本人并未作出此类表示，又或者行为人 所实施的侵权行为与表见授权无关，那么本人就不需要承担责任。</w:t>
      </w:r>
    </w:p>
    <w:p w14:paraId="2905442C">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1D8F00DF">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最高人民法院除依据原《民法通则》第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条、原《民法总则》第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条审理实际纠纷外， 也在一些司法解释中融入了这些规定的规范意旨。比如最高人民法院《关于审理海上货运 代理纠纷案件若干问题的规定》［法释</w:t>
      </w:r>
      <w:r>
        <w:rPr>
          <w:rFonts w:ascii="Times New Roman" w:hAnsi="Times New Roman" w:eastAsia="Times New Roman" w:cs="Times New Roman"/>
          <w:color w:val="000000"/>
          <w:spacing w:val="0"/>
          <w:w w:val="100"/>
          <w:position w:val="0"/>
          <w:sz w:val="19"/>
          <w:szCs w:val="19"/>
        </w:rPr>
        <w:t>（2012）3</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款就规定:“货运代理企业 接受未在我国交通主管部门办理提单登记的无船承运业务经营者的委托签发提单，当事人 主张由货运代理企业和无船承运业务经营者对提单项下的损失承担连带责任的，人民法院 应予支持</w:t>
      </w:r>
      <w:r>
        <w:rPr>
          <w:color w:val="000000"/>
          <w:spacing w:val="0"/>
          <w:w w:val="100"/>
          <w:position w:val="0"/>
          <w:lang w:val="zh-CN" w:eastAsia="zh-CN" w:bidi="zh-CN"/>
        </w:rPr>
        <w:t>。”不</w:t>
      </w:r>
      <w:r>
        <w:rPr>
          <w:color w:val="000000"/>
          <w:spacing w:val="0"/>
          <w:w w:val="100"/>
          <w:position w:val="0"/>
        </w:rPr>
        <w:t xml:space="preserve">过,审判实践中也存在一些错误扩张适用这些规定的现象。比如，在行为人 以本人之名缔结建筑工程合同后应由谁来开具发票的问题上,有法院就以原《民法通则》第 </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条为据，以本人明知行为人没有资质却仍将名义借予其使用为由，认定本人与行为人应 承担“开具发票的连带责任</w:t>
      </w:r>
      <w:r>
        <w:rPr>
          <w:color w:val="000000"/>
          <w:spacing w:val="0"/>
          <w:w w:val="100"/>
          <w:position w:val="0"/>
          <w:lang w:val="zh-CN" w:eastAsia="zh-CN" w:bidi="zh-CN"/>
        </w:rPr>
        <w:t>”［四</w:t>
      </w:r>
      <w:r>
        <w:rPr>
          <w:color w:val="000000"/>
          <w:spacing w:val="0"/>
          <w:w w:val="100"/>
          <w:position w:val="0"/>
        </w:rPr>
        <w:t>川省髙级人民法院</w:t>
      </w:r>
      <w:r>
        <w:rPr>
          <w:rFonts w:ascii="Times New Roman" w:hAnsi="Times New Roman" w:eastAsia="Times New Roman" w:cs="Times New Roman"/>
          <w:color w:val="000000"/>
          <w:spacing w:val="0"/>
          <w:w w:val="100"/>
          <w:position w:val="0"/>
          <w:sz w:val="17"/>
          <w:szCs w:val="17"/>
          <w:lang w:val="en-US" w:eastAsia="en-US" w:bidi="en-US"/>
        </w:rPr>
        <w:t>（2（H6）</w:t>
      </w:r>
      <w:r>
        <w:rPr>
          <w:color w:val="000000"/>
          <w:spacing w:val="0"/>
          <w:w w:val="100"/>
          <w:position w:val="0"/>
        </w:rPr>
        <w:t>川民再</w:t>
      </w:r>
      <w:r>
        <w:rPr>
          <w:rFonts w:ascii="Times New Roman" w:hAnsi="Times New Roman" w:eastAsia="Times New Roman" w:cs="Times New Roman"/>
          <w:color w:val="000000"/>
          <w:spacing w:val="0"/>
          <w:w w:val="100"/>
          <w:position w:val="0"/>
          <w:sz w:val="17"/>
          <w:szCs w:val="17"/>
        </w:rPr>
        <w:t>31</w:t>
      </w:r>
      <w:r>
        <w:rPr>
          <w:color w:val="000000"/>
          <w:spacing w:val="0"/>
          <w:w w:val="100"/>
          <w:position w:val="0"/>
        </w:rPr>
        <w:t>号民事判决书］。如前所述， 原《民法通则》第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条等所涉及的仅是侵权责任。至于合同有效所引发的合同责任，比如 开具发票这样的从给付义务，自然只能由本人承担，原则上并无本人与代理人承担连带责 任之余地（李宇：《民法总则要义:规范释论与判解集注》，法律出版社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784</w:t>
      </w:r>
      <w:r>
        <w:rPr>
          <w:color w:val="000000"/>
          <w:spacing w:val="0"/>
          <w:w w:val="100"/>
          <w:position w:val="0"/>
        </w:rPr>
        <w:t>页）。</w:t>
      </w:r>
    </w:p>
    <w:p w14:paraId="50492846">
      <w:pPr>
        <w:pStyle w:val="17"/>
        <w:keepNext w:val="0"/>
        <w:keepLines w:val="0"/>
        <w:widowControl w:val="0"/>
        <w:shd w:val="clear" w:color="auto" w:fill="auto"/>
        <w:bidi w:val="0"/>
        <w:spacing w:before="0" w:after="160" w:line="344"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68A00C0A">
      <w:pPr>
        <w:pStyle w:val="17"/>
        <w:keepNext w:val="0"/>
        <w:keepLines w:val="0"/>
        <w:widowControl w:val="0"/>
        <w:shd w:val="clear" w:color="auto" w:fill="auto"/>
        <w:bidi w:val="0"/>
        <w:spacing w:before="0" w:after="360" w:line="344" w:lineRule="exact"/>
        <w:ind w:left="0" w:right="0" w:firstLine="420"/>
        <w:jc w:val="both"/>
      </w:pPr>
      <w:r>
        <w:rPr>
          <w:color w:val="000000"/>
          <w:spacing w:val="0"/>
          <w:w w:val="100"/>
          <w:position w:val="0"/>
        </w:rPr>
        <w:t>本判决虽然援引了原《民法通则》第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条，但在说明当事人的过错时使用了</w:t>
      </w:r>
      <w:r>
        <w:rPr>
          <w:color w:val="000000"/>
          <w:spacing w:val="0"/>
          <w:w w:val="100"/>
          <w:position w:val="0"/>
          <w:lang w:val="zh-CN" w:eastAsia="zh-CN" w:bidi="zh-CN"/>
        </w:rPr>
        <w:t>“应</w:t>
      </w:r>
      <w:r>
        <w:rPr>
          <w:color w:val="000000"/>
          <w:spacing w:val="0"/>
          <w:w w:val="100"/>
          <w:position w:val="0"/>
        </w:rPr>
        <w:t>知道 （违法）”一语。这倒与《民法典》第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条的表述较接近。在此意义上，本判决于今天也仍 具参考意义。不过，原《民法总则》的这一变化本身是否正确，还是说原《民法通则》的规定 更加合适,仍有待进一步研究。诚然</w:t>
      </w:r>
      <w:r>
        <w:rPr>
          <w:color w:val="000000"/>
          <w:spacing w:val="0"/>
          <w:w w:val="100"/>
          <w:position w:val="0"/>
          <w:lang w:val="zh-CN" w:eastAsia="zh-CN" w:bidi="zh-CN"/>
        </w:rPr>
        <w:t>，“知</w:t>
      </w:r>
      <w:r>
        <w:rPr>
          <w:color w:val="000000"/>
          <w:spacing w:val="0"/>
          <w:w w:val="100"/>
          <w:position w:val="0"/>
        </w:rPr>
        <w:t>道”与</w:t>
      </w:r>
      <w:r>
        <w:rPr>
          <w:color w:val="000000"/>
          <w:spacing w:val="0"/>
          <w:w w:val="100"/>
          <w:position w:val="0"/>
          <w:lang w:val="zh-CN" w:eastAsia="zh-CN" w:bidi="zh-CN"/>
        </w:rPr>
        <w:t>“应</w:t>
      </w:r>
      <w:r>
        <w:rPr>
          <w:color w:val="000000"/>
          <w:spacing w:val="0"/>
          <w:w w:val="100"/>
          <w:position w:val="0"/>
        </w:rPr>
        <w:t>当知道</w:t>
      </w:r>
      <w:r>
        <w:rPr>
          <w:color w:val="000000"/>
          <w:spacing w:val="0"/>
          <w:w w:val="100"/>
          <w:position w:val="0"/>
          <w:lang w:val="zh-CN" w:eastAsia="zh-CN" w:bidi="zh-CN"/>
        </w:rPr>
        <w:t>”皆表</w:t>
      </w:r>
      <w:r>
        <w:rPr>
          <w:color w:val="000000"/>
          <w:spacing w:val="0"/>
          <w:w w:val="100"/>
          <w:position w:val="0"/>
        </w:rPr>
        <w:t>明当事人存在</w:t>
      </w:r>
      <w:r>
        <w:rPr>
          <w:color w:val="000000"/>
          <w:spacing w:val="0"/>
          <w:w w:val="100"/>
          <w:position w:val="0"/>
          <w:lang w:val="zh-CN" w:eastAsia="zh-CN" w:bidi="zh-CN"/>
        </w:rPr>
        <w:t xml:space="preserve">“过错”，可 </w:t>
      </w:r>
      <w:r>
        <w:rPr>
          <w:color w:val="000000"/>
          <w:spacing w:val="0"/>
          <w:w w:val="100"/>
          <w:position w:val="0"/>
        </w:rPr>
        <w:t>引发侵权责任。但这两者是否均可让当事人承担全部责任，则是另一问题。比如，代理事项 合法而代理行为违法，且本人只是</w:t>
      </w:r>
      <w:r>
        <w:rPr>
          <w:color w:val="000000"/>
          <w:spacing w:val="0"/>
          <w:w w:val="100"/>
          <w:position w:val="0"/>
          <w:lang w:val="zh-CN" w:eastAsia="zh-CN" w:bidi="zh-CN"/>
        </w:rPr>
        <w:t>“应</w:t>
      </w:r>
      <w:r>
        <w:rPr>
          <w:color w:val="000000"/>
          <w:spacing w:val="0"/>
          <w:w w:val="100"/>
          <w:position w:val="0"/>
        </w:rPr>
        <w:t>当知道</w:t>
      </w:r>
      <w:r>
        <w:rPr>
          <w:color w:val="000000"/>
          <w:spacing w:val="0"/>
          <w:w w:val="100"/>
          <w:position w:val="0"/>
          <w:lang w:val="zh-CN" w:eastAsia="zh-CN" w:bidi="zh-CN"/>
        </w:rPr>
        <w:t>”代</w:t>
      </w:r>
      <w:r>
        <w:rPr>
          <w:color w:val="000000"/>
          <w:spacing w:val="0"/>
          <w:w w:val="100"/>
          <w:position w:val="0"/>
        </w:rPr>
        <w:t>理行为违法的，是否真的足以让其承担连 带责任（全部责任），抑或依据《民法典》第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条对外承担按份责任（部分责任）？如前所 述,从代理的本质来看,让本人对外承担全部责任确属可能，但前提是本人实施了——由授 权行为或追认与代理行为共同构成的——代理法律行为，且具有过错。也即本人的代理权 授予原本就存在过错（如本判决），或者本人追认了代理人的过错行为。当“代理行为</w:t>
      </w:r>
      <w:r>
        <w:rPr>
          <w:color w:val="000000"/>
          <w:spacing w:val="0"/>
          <w:w w:val="100"/>
          <w:position w:val="0"/>
          <w:lang w:val="zh-CN" w:eastAsia="zh-CN" w:bidi="zh-CN"/>
        </w:rPr>
        <w:t xml:space="preserve">”未得 </w:t>
      </w:r>
      <w:r>
        <w:rPr>
          <w:color w:val="000000"/>
          <w:spacing w:val="0"/>
          <w:w w:val="100"/>
          <w:position w:val="0"/>
        </w:rPr>
        <w:t>到本人的授权或追认时，就不能认为本人实施了代理法律行为。而依据原《民法通则》第</w:t>
      </w:r>
      <w:r>
        <w:rPr>
          <w:rFonts w:ascii="Times New Roman" w:hAnsi="Times New Roman" w:eastAsia="Times New Roman" w:cs="Times New Roman"/>
          <w:color w:val="000000"/>
          <w:spacing w:val="0"/>
          <w:w w:val="100"/>
          <w:position w:val="0"/>
          <w:sz w:val="19"/>
          <w:szCs w:val="19"/>
        </w:rPr>
        <w:t xml:space="preserve">66 </w:t>
      </w:r>
      <w:r>
        <w:rPr>
          <w:color w:val="000000"/>
          <w:spacing w:val="0"/>
          <w:w w:val="100"/>
          <w:position w:val="0"/>
        </w:rPr>
        <w:t>条（《民法典》已删去），只有</w:t>
      </w:r>
      <w:r>
        <w:rPr>
          <w:color w:val="000000"/>
          <w:spacing w:val="0"/>
          <w:w w:val="100"/>
          <w:position w:val="0"/>
          <w:lang w:val="zh-CN" w:eastAsia="zh-CN" w:bidi="zh-CN"/>
        </w:rPr>
        <w:t>“本</w:t>
      </w:r>
      <w:r>
        <w:rPr>
          <w:color w:val="000000"/>
          <w:spacing w:val="0"/>
          <w:w w:val="100"/>
          <w:position w:val="0"/>
        </w:rPr>
        <w:t>人知道他人以本人名义实施民事行为而不作否认表示的”， 才可视作“同意”。此外，《民法典》第</w:t>
      </w:r>
      <w:r>
        <w:rPr>
          <w:rFonts w:ascii="Times New Roman" w:hAnsi="Times New Roman" w:eastAsia="Times New Roman" w:cs="Times New Roman"/>
          <w:color w:val="000000"/>
          <w:spacing w:val="0"/>
          <w:w w:val="100"/>
          <w:position w:val="0"/>
          <w:sz w:val="17"/>
          <w:szCs w:val="17"/>
          <w:lang w:val="en-US" w:eastAsia="en-US" w:bidi="en-US"/>
        </w:rPr>
        <w:t>H68</w:t>
      </w:r>
      <w:r>
        <w:rPr>
          <w:color w:val="000000"/>
          <w:spacing w:val="0"/>
          <w:w w:val="100"/>
          <w:position w:val="0"/>
        </w:rPr>
        <w:t>条规定的“连带责任</w:t>
      </w:r>
      <w:r>
        <w:rPr>
          <w:color w:val="000000"/>
          <w:spacing w:val="0"/>
          <w:w w:val="100"/>
          <w:position w:val="0"/>
          <w:lang w:val="zh-CN" w:eastAsia="zh-CN" w:bidi="zh-CN"/>
        </w:rPr>
        <w:t>”也要</w:t>
      </w:r>
      <w:r>
        <w:rPr>
          <w:color w:val="000000"/>
          <w:spacing w:val="0"/>
          <w:w w:val="100"/>
          <w:position w:val="0"/>
        </w:rPr>
        <w:t>求行为人“共同实施 侵权行为”。依据有力说,</w:t>
      </w:r>
      <w:r>
        <w:rPr>
          <w:color w:val="000000"/>
          <w:spacing w:val="0"/>
          <w:w w:val="100"/>
          <w:position w:val="0"/>
          <w:lang w:val="zh-CN" w:eastAsia="zh-CN" w:bidi="zh-CN"/>
        </w:rPr>
        <w:t>“共同”应仅</w:t>
      </w:r>
      <w:r>
        <w:rPr>
          <w:color w:val="000000"/>
          <w:spacing w:val="0"/>
          <w:w w:val="100"/>
          <w:position w:val="0"/>
        </w:rPr>
        <w:t>指“共同故意</w:t>
      </w:r>
      <w:r>
        <w:rPr>
          <w:color w:val="000000"/>
          <w:spacing w:val="0"/>
          <w:w w:val="100"/>
          <w:position w:val="0"/>
          <w:lang w:val="zh-CN" w:eastAsia="zh-CN" w:bidi="zh-CN"/>
        </w:rPr>
        <w:t>”［程</w:t>
      </w:r>
      <w:r>
        <w:rPr>
          <w:color w:val="000000"/>
          <w:spacing w:val="0"/>
          <w:w w:val="100"/>
          <w:position w:val="0"/>
        </w:rPr>
        <w:t>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 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348</w:t>
      </w:r>
      <w:r>
        <w:rPr>
          <w:color w:val="000000"/>
          <w:spacing w:val="0"/>
          <w:w w:val="100"/>
          <w:position w:val="0"/>
        </w:rPr>
        <w:t>页］。本人仅仅“应当知道</w:t>
      </w:r>
      <w:r>
        <w:rPr>
          <w:color w:val="000000"/>
          <w:spacing w:val="0"/>
          <w:w w:val="100"/>
          <w:position w:val="0"/>
          <w:lang w:val="zh-CN" w:eastAsia="zh-CN" w:bidi="zh-CN"/>
        </w:rPr>
        <w:t>”代</w:t>
      </w:r>
      <w:r>
        <w:rPr>
          <w:color w:val="000000"/>
          <w:spacing w:val="0"/>
          <w:w w:val="100"/>
          <w:position w:val="0"/>
        </w:rPr>
        <w:t>理行为违法的，恐怕难谓“共同故意”。另 外，虽有观点认为本人对代理行为的</w:t>
      </w:r>
      <w:r>
        <w:rPr>
          <w:color w:val="000000"/>
          <w:spacing w:val="0"/>
          <w:w w:val="100"/>
          <w:position w:val="0"/>
          <w:lang w:val="zh-CN" w:eastAsia="zh-CN" w:bidi="zh-CN"/>
        </w:rPr>
        <w:t>“容忍”也可</w:t>
      </w:r>
      <w:r>
        <w:rPr>
          <w:color w:val="000000"/>
          <w:spacing w:val="0"/>
          <w:w w:val="100"/>
          <w:position w:val="0"/>
        </w:rPr>
        <w:t>成立表见授权，但本人仅仅</w:t>
      </w:r>
      <w:r>
        <w:rPr>
          <w:color w:val="000000"/>
          <w:spacing w:val="0"/>
          <w:w w:val="100"/>
          <w:position w:val="0"/>
          <w:lang w:val="zh-CN" w:eastAsia="zh-CN" w:bidi="zh-CN"/>
        </w:rPr>
        <w:t>“应</w:t>
      </w:r>
      <w:r>
        <w:rPr>
          <w:color w:val="000000"/>
          <w:spacing w:val="0"/>
          <w:w w:val="100"/>
          <w:position w:val="0"/>
        </w:rPr>
        <w:t>当知道</w:t>
      </w:r>
      <w:r>
        <w:rPr>
          <w:color w:val="000000"/>
          <w:spacing w:val="0"/>
          <w:w w:val="100"/>
          <w:position w:val="0"/>
          <w:lang w:val="zh-CN" w:eastAsia="zh-CN" w:bidi="zh-CN"/>
        </w:rPr>
        <w:t xml:space="preserve">”而 </w:t>
      </w:r>
      <w:r>
        <w:rPr>
          <w:color w:val="000000"/>
          <w:spacing w:val="0"/>
          <w:w w:val="100"/>
          <w:position w:val="0"/>
        </w:rPr>
        <w:t>不否认的，可否构成</w:t>
      </w:r>
      <w:r>
        <w:rPr>
          <w:color w:val="000000"/>
          <w:spacing w:val="0"/>
          <w:w w:val="100"/>
          <w:position w:val="0"/>
          <w:lang w:val="zh-CN" w:eastAsia="zh-CN" w:bidi="zh-CN"/>
        </w:rPr>
        <w:t>“容忍”之表</w:t>
      </w:r>
      <w:r>
        <w:rPr>
          <w:color w:val="000000"/>
          <w:spacing w:val="0"/>
          <w:w w:val="100"/>
          <w:position w:val="0"/>
        </w:rPr>
        <w:t>示和表见授权，不无疑问（王浩:《表见代理中的本人可归责性问 题研究》，载《华东政法大学学报》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期）。所以，本人是否须就表见授权以及代理人据 此所实施的过错行为承担</w:t>
      </w:r>
      <w:r>
        <w:rPr>
          <w:color w:val="000000"/>
          <w:spacing w:val="0"/>
          <w:w w:val="100"/>
          <w:position w:val="0"/>
          <w:lang w:val="zh-CN" w:eastAsia="zh-CN" w:bidi="zh-CN"/>
        </w:rPr>
        <w:t>“替</w:t>
      </w:r>
      <w:r>
        <w:rPr>
          <w:color w:val="000000"/>
          <w:spacing w:val="0"/>
          <w:w w:val="100"/>
          <w:position w:val="0"/>
        </w:rPr>
        <w:t>代责任</w:t>
      </w:r>
      <w:r>
        <w:rPr>
          <w:color w:val="000000"/>
          <w:spacing w:val="0"/>
          <w:w w:val="100"/>
          <w:position w:val="0"/>
          <w:lang w:val="zh-CN" w:eastAsia="zh-CN" w:bidi="zh-CN"/>
        </w:rPr>
        <w:t>”，也</w:t>
      </w:r>
      <w:r>
        <w:rPr>
          <w:color w:val="000000"/>
          <w:spacing w:val="0"/>
          <w:w w:val="100"/>
          <w:position w:val="0"/>
        </w:rPr>
        <w:t>不无疑问。</w:t>
      </w:r>
    </w:p>
    <w:p w14:paraId="456FF7B4">
      <w:pPr>
        <w:pStyle w:val="11"/>
        <w:keepNext w:val="0"/>
        <w:keepLines w:val="0"/>
        <w:widowControl w:val="0"/>
        <w:shd w:val="clear" w:color="auto" w:fill="auto"/>
        <w:bidi w:val="0"/>
        <w:spacing w:before="0" w:after="60" w:line="325" w:lineRule="exact"/>
        <w:ind w:left="0" w:right="0" w:firstLine="0"/>
        <w:jc w:val="both"/>
      </w:pPr>
      <w:r>
        <w:rPr>
          <w:color w:val="000000"/>
          <w:spacing w:val="0"/>
          <w:w w:val="100"/>
          <w:position w:val="0"/>
        </w:rPr>
        <w:t>回参考文献</w:t>
      </w:r>
    </w:p>
    <w:p w14:paraId="23B9DB3A">
      <w:pPr>
        <w:pStyle w:val="17"/>
        <w:keepNext w:val="0"/>
        <w:keepLines w:val="0"/>
        <w:widowControl w:val="0"/>
        <w:shd w:val="clear" w:color="auto" w:fill="auto"/>
        <w:bidi w:val="0"/>
        <w:spacing w:before="0" w:after="0" w:line="311" w:lineRule="exact"/>
        <w:ind w:left="0" w:right="0" w:firstLine="0"/>
        <w:jc w:val="both"/>
      </w:pPr>
      <w:r>
        <w:rPr>
          <w:color w:val="000000"/>
          <w:spacing w:val="0"/>
          <w:w w:val="100"/>
          <w:position w:val="0"/>
        </w:rPr>
        <w:t>李适时主编:《中华人民共和国民法总则释义》，法律出版社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147D4A5">
      <w:pPr>
        <w:pStyle w:val="17"/>
        <w:keepNext w:val="0"/>
        <w:keepLines w:val="0"/>
        <w:widowControl w:val="0"/>
        <w:shd w:val="clear" w:color="auto" w:fill="auto"/>
        <w:bidi w:val="0"/>
        <w:spacing w:before="0" w:after="0" w:line="311" w:lineRule="exact"/>
        <w:ind w:left="0" w:right="0" w:firstLine="0"/>
        <w:jc w:val="both"/>
      </w:pPr>
      <w:r>
        <w:rPr>
          <w:color w:val="000000"/>
          <w:spacing w:val="0"/>
          <w:w w:val="100"/>
          <w:position w:val="0"/>
        </w:rPr>
        <w:t>石宏主编:《〈中华人民共和国民法总则〉条文说明、立法理由及相关规定》，北京大学出版社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 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6CF5A3D0">
      <w:pPr>
        <w:pStyle w:val="17"/>
        <w:keepNext w:val="0"/>
        <w:keepLines w:val="0"/>
        <w:widowControl w:val="0"/>
        <w:shd w:val="clear" w:color="auto" w:fill="auto"/>
        <w:bidi w:val="0"/>
        <w:spacing w:before="0" w:after="0" w:line="311" w:lineRule="exact"/>
        <w:ind w:left="0" w:right="0" w:firstLine="0"/>
        <w:jc w:val="both"/>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6F1F19E3">
      <w:pPr>
        <w:pStyle w:val="17"/>
        <w:keepNext w:val="0"/>
        <w:keepLines w:val="0"/>
        <w:widowControl w:val="0"/>
        <w:shd w:val="clear" w:color="auto" w:fill="auto"/>
        <w:bidi w:val="0"/>
        <w:spacing w:before="0" w:after="0" w:line="311" w:lineRule="exact"/>
        <w:ind w:left="0" w:right="0" w:firstLine="0"/>
        <w:jc w:val="both"/>
      </w:pPr>
      <w:r>
        <w:rPr>
          <w:color w:val="000000"/>
          <w:spacing w:val="0"/>
          <w:w w:val="100"/>
          <w:position w:val="0"/>
        </w:rPr>
        <w:t>汪渊智：《代理法论》，北京大学出版社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253D6FC0">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29B59CB2">
      <w:pPr>
        <w:pStyle w:val="17"/>
        <w:keepNext w:val="0"/>
        <w:keepLines w:val="0"/>
        <w:widowControl w:val="0"/>
        <w:shd w:val="clear" w:color="auto" w:fill="auto"/>
        <w:bidi w:val="0"/>
        <w:spacing w:before="0" w:after="0" w:line="311" w:lineRule="exact"/>
        <w:ind w:left="0" w:right="0" w:firstLine="0"/>
        <w:jc w:val="left"/>
      </w:pPr>
      <w:r>
        <w:rPr>
          <w:color w:val="000000"/>
          <w:spacing w:val="0"/>
          <w:w w:val="100"/>
          <w:position w:val="0"/>
        </w:rPr>
        <w:t>［德］弗卢梅:《法律行为论》，迟颖译，法律出版社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1EC69B03">
      <w:pPr>
        <w:pStyle w:val="17"/>
        <w:keepNext w:val="0"/>
        <w:keepLines w:val="0"/>
        <w:widowControl w:val="0"/>
        <w:shd w:val="clear" w:color="auto" w:fill="auto"/>
        <w:bidi w:val="0"/>
        <w:spacing w:before="0" w:after="0" w:line="311" w:lineRule="exact"/>
        <w:ind w:left="0" w:right="0" w:firstLine="0"/>
        <w:jc w:val="both"/>
        <w:sectPr>
          <w:headerReference r:id="rId169" w:type="default"/>
          <w:headerReference r:id="rId170" w:type="even"/>
          <w:footnotePr>
            <w:numFmt w:val="chicago"/>
          </w:footnotePr>
          <w:pgSz w:w="10099" w:h="14782"/>
          <w:pgMar w:top="1332" w:right="988" w:bottom="1077" w:left="1112" w:header="0" w:footer="3" w:gutter="0"/>
          <w:pgNumType w:start="117"/>
          <w:cols w:space="720" w:num="1"/>
          <w:rtlGutter w:val="0"/>
          <w:docGrid w:linePitch="360" w:charSpace="0"/>
        </w:sectPr>
      </w:pPr>
      <w:r>
        <w:rPr>
          <w:color w:val="000000"/>
          <w:spacing w:val="0"/>
          <w:w w:val="100"/>
          <w:position w:val="0"/>
        </w:rPr>
        <w:t>王浩:《论代理的本质——以代理权授予时的意思瑕疵问题为契机》，载《中外法学》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王浩:《表见代理中的本人可归责性问题研究》，载《华东政法大学学报》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BB60102">
      <w:pPr>
        <w:widowControl w:val="0"/>
        <w:spacing w:line="150" w:lineRule="exact"/>
        <w:rPr>
          <w:sz w:val="12"/>
          <w:szCs w:val="12"/>
        </w:rPr>
      </w:pPr>
    </w:p>
    <w:p w14:paraId="14087B4A">
      <w:pPr>
        <w:widowControl w:val="0"/>
        <w:spacing w:line="1" w:lineRule="exact"/>
        <w:sectPr>
          <w:headerReference r:id="rId171" w:type="default"/>
          <w:headerReference r:id="rId172" w:type="even"/>
          <w:footnotePr>
            <w:numFmt w:val="chicago"/>
          </w:footnotePr>
          <w:pgSz w:w="10099" w:h="14782"/>
          <w:pgMar w:top="1284" w:right="1068" w:bottom="1125" w:left="1024" w:header="0" w:footer="3" w:gutter="0"/>
          <w:pgNumType w:start="137"/>
          <w:cols w:space="720" w:num="1"/>
          <w:rtlGutter w:val="0"/>
          <w:docGrid w:linePitch="360" w:charSpace="0"/>
        </w:sectPr>
      </w:pPr>
    </w:p>
    <w:p w14:paraId="79808062">
      <w:pPr>
        <w:widowControl w:val="0"/>
        <w:spacing w:line="1" w:lineRule="exact"/>
      </w:pPr>
      <w:r>
        <mc:AlternateContent>
          <mc:Choice Requires="wps">
            <w:drawing>
              <wp:anchor distT="0" distB="26670" distL="0" distR="0" simplePos="0" relativeHeight="251660288" behindDoc="0" locked="0" layoutInCell="1" allowOverlap="1">
                <wp:simplePos x="0" y="0"/>
                <wp:positionH relativeFrom="page">
                  <wp:posOffset>717550</wp:posOffset>
                </wp:positionH>
                <wp:positionV relativeFrom="paragraph">
                  <wp:posOffset>0</wp:posOffset>
                </wp:positionV>
                <wp:extent cx="448310" cy="304800"/>
                <wp:effectExtent l="0" t="0" r="0" b="0"/>
                <wp:wrapTopAndBottom/>
                <wp:docPr id="379" name="Shape 379"/>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57B54EBA">
                            <w:pPr>
                              <w:pStyle w:val="27"/>
                              <w:keepNext/>
                              <w:keepLines/>
                              <w:widowControl w:val="0"/>
                              <w:shd w:val="clear" w:color="auto" w:fill="auto"/>
                              <w:bidi w:val="0"/>
                              <w:spacing w:before="0" w:after="0" w:line="240" w:lineRule="auto"/>
                              <w:ind w:left="0" w:right="0" w:firstLine="0"/>
                              <w:jc w:val="both"/>
                            </w:pPr>
                            <w:bookmarkStart w:id="312" w:name="bookmark157"/>
                            <w:bookmarkStart w:id="313" w:name="bookmark158"/>
                            <w:bookmarkStart w:id="314" w:name="bookmark159"/>
                            <w:r>
                              <w:rPr>
                                <w:rFonts w:ascii="Times New Roman" w:hAnsi="Times New Roman" w:eastAsia="Times New Roman" w:cs="Times New Roman"/>
                                <w:color w:val="000000"/>
                                <w:spacing w:val="0"/>
                                <w:w w:val="100"/>
                                <w:position w:val="0"/>
                              </w:rPr>
                              <w:t>025</w:t>
                            </w:r>
                            <w:bookmarkEnd w:id="312"/>
                            <w:bookmarkEnd w:id="313"/>
                            <w:bookmarkEnd w:id="314"/>
                          </w:p>
                        </w:txbxContent>
                      </wps:txbx>
                      <wps:bodyPr wrap="none" lIns="0" tIns="0" rIns="0" bIns="0">
                        <a:noAutofit/>
                      </wps:bodyPr>
                    </wps:wsp>
                  </a:graphicData>
                </a:graphic>
              </wp:anchor>
            </w:drawing>
          </mc:Choice>
          <mc:Fallback>
            <w:pict>
              <v:shape id="Shape 379" o:spid="_x0000_s1026" o:spt="202" type="#_x0000_t202" style="position:absolute;left:0pt;margin-left:56.5pt;margin-top:0pt;height:24pt;width:35.3pt;mso-position-horizontal-relative:page;mso-wrap-distance-bottom:2.1pt;mso-wrap-distance-top:0pt;mso-wrap-style:none;z-index:251660288;mso-width-relative:page;mso-height-relative:page;" filled="f" stroked="f" coordsize="21600,21600" o:gfxdata="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yC2NQAAAAH&#10;AQAADwAAAAAAAAABACAAAAAiAAAAZHJzL2Rvd25yZXYueG1sUEsBAhQAFAAAAAgAh07iQFrZr4Gu&#10;AQAAcwMAAA4AAAAAAAAAAQAgAAAAIwEAAGRycy9lMm9Eb2MueG1sUEsFBgAAAAAGAAYAWQEAAEMF&#10;AAAAAA==&#10;">
                <v:fill on="f" focussize="0,0"/>
                <v:stroke on="f"/>
                <v:imagedata o:title=""/>
                <o:lock v:ext="edit" aspectratio="f"/>
                <v:textbox inset="0mm,0mm,0mm,0mm">
                  <w:txbxContent>
                    <w:p w14:paraId="57B54EBA">
                      <w:pPr>
                        <w:pStyle w:val="27"/>
                        <w:keepNext/>
                        <w:keepLines/>
                        <w:widowControl w:val="0"/>
                        <w:shd w:val="clear" w:color="auto" w:fill="auto"/>
                        <w:bidi w:val="0"/>
                        <w:spacing w:before="0" w:after="0" w:line="240" w:lineRule="auto"/>
                        <w:ind w:left="0" w:right="0" w:firstLine="0"/>
                        <w:jc w:val="both"/>
                      </w:pPr>
                      <w:bookmarkStart w:id="312" w:name="bookmark157"/>
                      <w:bookmarkStart w:id="313" w:name="bookmark158"/>
                      <w:bookmarkStart w:id="314" w:name="bookmark159"/>
                      <w:r>
                        <w:rPr>
                          <w:rFonts w:ascii="Times New Roman" w:hAnsi="Times New Roman" w:eastAsia="Times New Roman" w:cs="Times New Roman"/>
                          <w:color w:val="000000"/>
                          <w:spacing w:val="0"/>
                          <w:w w:val="100"/>
                          <w:position w:val="0"/>
                        </w:rPr>
                        <w:t>025</w:t>
                      </w:r>
                      <w:bookmarkEnd w:id="312"/>
                      <w:bookmarkEnd w:id="313"/>
                      <w:bookmarkEnd w:id="314"/>
                    </w:p>
                  </w:txbxContent>
                </v:textbox>
                <w10:wrap type="topAndBottom"/>
              </v:shape>
            </w:pict>
          </mc:Fallback>
        </mc:AlternateContent>
      </w:r>
      <w:r>
        <mc:AlternateContent>
          <mc:Choice Requires="wps">
            <w:drawing>
              <wp:anchor distT="85090" distB="13335" distL="0" distR="0" simplePos="0" relativeHeight="251660288" behindDoc="0" locked="0" layoutInCell="1" allowOverlap="1">
                <wp:simplePos x="0" y="0"/>
                <wp:positionH relativeFrom="page">
                  <wp:posOffset>1295400</wp:posOffset>
                </wp:positionH>
                <wp:positionV relativeFrom="paragraph">
                  <wp:posOffset>85090</wp:posOffset>
                </wp:positionV>
                <wp:extent cx="3631565" cy="233045"/>
                <wp:effectExtent l="0" t="0" r="0" b="0"/>
                <wp:wrapTopAndBottom/>
                <wp:docPr id="381" name="Shape 381"/>
                <wp:cNvGraphicFramePr/>
                <a:graphic xmlns:a="http://schemas.openxmlformats.org/drawingml/2006/main">
                  <a:graphicData uri="http://schemas.microsoft.com/office/word/2010/wordprocessingShape">
                    <wps:wsp>
                      <wps:cNvSpPr txBox="1"/>
                      <wps:spPr>
                        <a:xfrm>
                          <a:off x="0" y="0"/>
                          <a:ext cx="3631565" cy="233045"/>
                        </a:xfrm>
                        <a:prstGeom prst="rect">
                          <a:avLst/>
                        </a:prstGeom>
                        <a:noFill/>
                      </wps:spPr>
                      <wps:txbx>
                        <w:txbxContent>
                          <w:p w14:paraId="04DCE67D">
                            <w:pPr>
                              <w:pStyle w:val="15"/>
                              <w:keepNext/>
                              <w:keepLines/>
                              <w:widowControl w:val="0"/>
                              <w:shd w:val="clear" w:color="auto" w:fill="auto"/>
                              <w:bidi w:val="0"/>
                              <w:spacing w:before="0" w:after="0" w:line="240" w:lineRule="auto"/>
                              <w:ind w:left="0" w:right="0" w:firstLine="0"/>
                              <w:jc w:val="left"/>
                            </w:pPr>
                            <w:bookmarkStart w:id="315" w:name="bookmark162"/>
                            <w:bookmarkStart w:id="316" w:name="bookmark161"/>
                            <w:bookmarkStart w:id="317" w:name="bookmark160"/>
                            <w:r>
                              <w:rPr>
                                <w:color w:val="000000"/>
                                <w:spacing w:val="0"/>
                                <w:w w:val="100"/>
                                <w:position w:val="0"/>
                              </w:rPr>
                              <w:t>禁止</w:t>
                            </w:r>
                            <w:r>
                              <w:rPr>
                                <w:color w:val="000000"/>
                                <w:spacing w:val="0"/>
                                <w:w w:val="100"/>
                                <w:position w:val="0"/>
                                <w:lang w:val="zh-CN" w:eastAsia="zh-CN" w:bidi="zh-CN"/>
                              </w:rPr>
                              <w:t>“跳单”条</w:t>
                            </w:r>
                            <w:r>
                              <w:rPr>
                                <w:color w:val="000000"/>
                                <w:spacing w:val="0"/>
                                <w:w w:val="100"/>
                                <w:position w:val="0"/>
                              </w:rPr>
                              <w:t>款的效力和</w:t>
                            </w:r>
                            <w:r>
                              <w:rPr>
                                <w:color w:val="000000"/>
                                <w:spacing w:val="0"/>
                                <w:w w:val="100"/>
                                <w:position w:val="0"/>
                                <w:lang w:val="zh-CN" w:eastAsia="zh-CN" w:bidi="zh-CN"/>
                              </w:rPr>
                              <w:t>“跳单”违</w:t>
                            </w:r>
                            <w:r>
                              <w:rPr>
                                <w:color w:val="000000"/>
                                <w:spacing w:val="0"/>
                                <w:w w:val="100"/>
                                <w:position w:val="0"/>
                              </w:rPr>
                              <w:t>约的</w:t>
                            </w:r>
                            <w:bookmarkEnd w:id="315"/>
                            <w:bookmarkEnd w:id="316"/>
                            <w:bookmarkEnd w:id="317"/>
                          </w:p>
                        </w:txbxContent>
                      </wps:txbx>
                      <wps:bodyPr wrap="none" lIns="0" tIns="0" rIns="0" bIns="0">
                        <a:noAutofit/>
                      </wps:bodyPr>
                    </wps:wsp>
                  </a:graphicData>
                </a:graphic>
              </wp:anchor>
            </w:drawing>
          </mc:Choice>
          <mc:Fallback>
            <w:pict>
              <v:shape id="Shape 381" o:spid="_x0000_s1026" o:spt="202" type="#_x0000_t202" style="position:absolute;left:0pt;margin-left:102pt;margin-top:6.7pt;height:18.35pt;width:285.95pt;mso-position-horizontal-relative:page;mso-wrap-distance-bottom:1.05pt;mso-wrap-distance-top:6.7pt;mso-wrap-style:none;z-index:251660288;mso-width-relative:page;mso-height-relative:page;" filled="f" stroked="f" coordsize="21600,21600" o:gfxdata="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6rownX&#10;AAAACQEAAA8AAAAAAAAAAQAgAAAAIgAAAGRycy9kb3ducmV2LnhtbFBLAQIUABQAAAAIAIdO4kCO&#10;A4YVrwEAAHQDAAAOAAAAAAAAAAEAIAAAACYBAABkcnMvZTJvRG9jLnhtbFBLBQYAAAAABgAGAFkB&#10;AABHBQAAAAA=&#10;">
                <v:fill on="f" focussize="0,0"/>
                <v:stroke on="f"/>
                <v:imagedata o:title=""/>
                <o:lock v:ext="edit" aspectratio="f"/>
                <v:textbox inset="0mm,0mm,0mm,0mm">
                  <w:txbxContent>
                    <w:p w14:paraId="04DCE67D">
                      <w:pPr>
                        <w:pStyle w:val="15"/>
                        <w:keepNext/>
                        <w:keepLines/>
                        <w:widowControl w:val="0"/>
                        <w:shd w:val="clear" w:color="auto" w:fill="auto"/>
                        <w:bidi w:val="0"/>
                        <w:spacing w:before="0" w:after="0" w:line="240" w:lineRule="auto"/>
                        <w:ind w:left="0" w:right="0" w:firstLine="0"/>
                        <w:jc w:val="left"/>
                      </w:pPr>
                      <w:bookmarkStart w:id="315" w:name="bookmark162"/>
                      <w:bookmarkStart w:id="316" w:name="bookmark161"/>
                      <w:bookmarkStart w:id="317" w:name="bookmark160"/>
                      <w:r>
                        <w:rPr>
                          <w:color w:val="000000"/>
                          <w:spacing w:val="0"/>
                          <w:w w:val="100"/>
                          <w:position w:val="0"/>
                        </w:rPr>
                        <w:t>禁止</w:t>
                      </w:r>
                      <w:r>
                        <w:rPr>
                          <w:color w:val="000000"/>
                          <w:spacing w:val="0"/>
                          <w:w w:val="100"/>
                          <w:position w:val="0"/>
                          <w:lang w:val="zh-CN" w:eastAsia="zh-CN" w:bidi="zh-CN"/>
                        </w:rPr>
                        <w:t>“跳单”条</w:t>
                      </w:r>
                      <w:r>
                        <w:rPr>
                          <w:color w:val="000000"/>
                          <w:spacing w:val="0"/>
                          <w:w w:val="100"/>
                          <w:position w:val="0"/>
                        </w:rPr>
                        <w:t>款的效力和</w:t>
                      </w:r>
                      <w:r>
                        <w:rPr>
                          <w:color w:val="000000"/>
                          <w:spacing w:val="0"/>
                          <w:w w:val="100"/>
                          <w:position w:val="0"/>
                          <w:lang w:val="zh-CN" w:eastAsia="zh-CN" w:bidi="zh-CN"/>
                        </w:rPr>
                        <w:t>“跳单”违</w:t>
                      </w:r>
                      <w:r>
                        <w:rPr>
                          <w:color w:val="000000"/>
                          <w:spacing w:val="0"/>
                          <w:w w:val="100"/>
                          <w:position w:val="0"/>
                        </w:rPr>
                        <w:t>约的</w:t>
                      </w:r>
                      <w:bookmarkEnd w:id="315"/>
                      <w:bookmarkEnd w:id="316"/>
                      <w:bookmarkEnd w:id="317"/>
                    </w:p>
                  </w:txbxContent>
                </v:textbox>
                <w10:wrap type="topAndBottom"/>
              </v:shape>
            </w:pict>
          </mc:Fallback>
        </mc:AlternateContent>
      </w:r>
    </w:p>
    <w:p w14:paraId="2635CC81">
      <w:pPr>
        <w:pStyle w:val="15"/>
        <w:keepNext/>
        <w:keepLines/>
        <w:widowControl w:val="0"/>
        <w:shd w:val="clear" w:color="auto" w:fill="auto"/>
        <w:bidi w:val="0"/>
        <w:spacing w:before="0" w:after="0" w:line="240" w:lineRule="auto"/>
        <w:ind w:left="0" w:right="0" w:firstLine="1000"/>
        <w:jc w:val="left"/>
      </w:pPr>
      <w:r>
        <w:drawing>
          <wp:anchor distT="0" distB="0" distL="114300" distR="114300" simplePos="0" relativeHeight="251660288" behindDoc="0" locked="0" layoutInCell="1" allowOverlap="1">
            <wp:simplePos x="0" y="0"/>
            <wp:positionH relativeFrom="page">
              <wp:posOffset>5091430</wp:posOffset>
            </wp:positionH>
            <wp:positionV relativeFrom="paragraph">
              <wp:posOffset>38100</wp:posOffset>
            </wp:positionV>
            <wp:extent cx="615950" cy="615950"/>
            <wp:effectExtent l="0" t="0" r="6350" b="6350"/>
            <wp:wrapSquare wrapText="left"/>
            <wp:docPr id="383" name="Shape 383"/>
            <wp:cNvGraphicFramePr/>
            <a:graphic xmlns:a="http://schemas.openxmlformats.org/drawingml/2006/main">
              <a:graphicData uri="http://schemas.openxmlformats.org/drawingml/2006/picture">
                <pic:pic xmlns:pic="http://schemas.openxmlformats.org/drawingml/2006/picture">
                  <pic:nvPicPr>
                    <pic:cNvPr id="383" name="Shape 383"/>
                    <pic:cNvPicPr/>
                  </pic:nvPicPr>
                  <pic:blipFill>
                    <a:blip r:embed="rId626"/>
                    <a:stretch>
                      <a:fillRect/>
                    </a:stretch>
                  </pic:blipFill>
                  <pic:spPr>
                    <a:xfrm>
                      <a:off x="0" y="0"/>
                      <a:ext cx="615950" cy="615950"/>
                    </a:xfrm>
                    <a:prstGeom prst="rect">
                      <a:avLst/>
                    </a:prstGeom>
                  </pic:spPr>
                </pic:pic>
              </a:graphicData>
            </a:graphic>
          </wp:anchor>
        </w:drawing>
      </w:r>
      <w:bookmarkStart w:id="52" w:name="bookmark164"/>
      <w:bookmarkStart w:id="53" w:name="bookmark163"/>
      <w:bookmarkStart w:id="54" w:name="bookmark165"/>
      <w:r>
        <w:rPr>
          <w:color w:val="000000"/>
          <w:spacing w:val="0"/>
          <w:w w:val="100"/>
          <w:position w:val="0"/>
        </w:rPr>
        <w:t>裁判标准</w:t>
      </w:r>
      <w:bookmarkEnd w:id="52"/>
      <w:bookmarkEnd w:id="53"/>
      <w:bookmarkEnd w:id="54"/>
    </w:p>
    <w:p w14:paraId="2E481852">
      <w:pPr>
        <w:pStyle w:val="17"/>
        <w:keepNext w:val="0"/>
        <w:keepLines w:val="0"/>
        <w:widowControl w:val="0"/>
        <w:shd w:val="clear" w:color="auto" w:fill="auto"/>
        <w:bidi w:val="0"/>
        <w:spacing w:before="0" w:after="420" w:line="343" w:lineRule="exact"/>
        <w:ind w:left="1000" w:right="0" w:firstLine="20"/>
        <w:jc w:val="both"/>
      </w:pPr>
      <w:r>
        <w:rPr>
          <w:color w:val="000000"/>
          <w:spacing w:val="0"/>
          <w:w w:val="100"/>
          <w:position w:val="0"/>
        </w:rPr>
        <w:t>上海中原物业顾问有限公司诉陶德华居间合同纠纷案丨最高人 民法院第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号指导性案例</w:t>
      </w:r>
    </w:p>
    <w:p w14:paraId="4D6EDA75">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戴孟勇</w:t>
      </w:r>
      <w:r>
        <w:rPr>
          <w:color w:val="000000"/>
          <w:spacing w:val="0"/>
          <w:w w:val="100"/>
          <w:position w:val="0"/>
        </w:rPr>
        <w:t>中国政法大学民商经济法学院</w:t>
      </w:r>
    </w:p>
    <w:p w14:paraId="1FD553F3">
      <w:pPr>
        <w:pStyle w:val="11"/>
        <w:keepNext w:val="0"/>
        <w:keepLines w:val="0"/>
        <w:widowControl w:val="0"/>
        <w:shd w:val="clear" w:color="auto" w:fill="auto"/>
        <w:bidi w:val="0"/>
        <w:spacing w:before="0" w:after="100" w:line="341"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A4C7FB5">
      <w:pPr>
        <w:pStyle w:val="17"/>
        <w:keepNext w:val="0"/>
        <w:keepLines w:val="0"/>
        <w:widowControl w:val="0"/>
        <w:shd w:val="clear" w:color="auto" w:fill="auto"/>
        <w:bidi w:val="0"/>
        <w:spacing w:before="0" w:after="0" w:line="341" w:lineRule="exact"/>
        <w:ind w:left="0" w:right="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年下半年,原产权人李某到多家房屋中介公司挂牌销售涉案房屋。</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p>
    <w:p w14:paraId="0B9D94A9">
      <w:pPr>
        <w:pStyle w:val="17"/>
        <w:keepNext w:val="0"/>
        <w:keepLines w:val="0"/>
        <w:widowControl w:val="0"/>
        <w:shd w:val="clear" w:color="auto" w:fill="auto"/>
        <w:bidi w:val="0"/>
        <w:spacing w:before="0" w:after="0" w:line="341" w:lineRule="exact"/>
        <w:ind w:left="0" w:right="0" w:firstLine="0"/>
        <w:jc w:val="both"/>
      </w:pP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日，甲中介公司带陶德华看了该房屋;</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日，乙中介公司带陶德华之妻曹某看了该 房屋;</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日，上海中原物业顾问有限公司（以下简称中原公司）带陶德华看了该房屋， 同日与陶德华签订《房地产求购确认书》（以下简称《确认书》）。《确认书》第</w:t>
      </w:r>
      <w:r>
        <w:rPr>
          <w:rFonts w:ascii="Times New Roman" w:hAnsi="Times New Roman" w:eastAsia="Times New Roman" w:cs="Times New Roman"/>
          <w:color w:val="000000"/>
          <w:spacing w:val="0"/>
          <w:w w:val="100"/>
          <w:position w:val="0"/>
          <w:sz w:val="19"/>
          <w:szCs w:val="19"/>
          <w:lang w:val="en-US" w:eastAsia="en-US" w:bidi="en-US"/>
        </w:rPr>
        <w:t>2.4</w:t>
      </w:r>
      <w:r>
        <w:rPr>
          <w:color w:val="000000"/>
          <w:spacing w:val="0"/>
          <w:w w:val="100"/>
          <w:position w:val="0"/>
        </w:rPr>
        <w:t>条约定, 陶德华在验看过该房地产后</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个月内，陶德华或其委托人、代理人、代表人、承办人等与陶德 华有关联的人，利用中原公司提供的信息、机会等条件但未通过中原公司而与第三方达成 买卖交易的，陶德华应按照与出卖方就该房地产买卖达成的实际成交价的</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,向中原公司 支付违约金。当时中原公司对该房屋报价</w:t>
      </w:r>
      <w:r>
        <w:rPr>
          <w:rFonts w:ascii="Times New Roman" w:hAnsi="Times New Roman" w:eastAsia="Times New Roman" w:cs="Times New Roman"/>
          <w:color w:val="000000"/>
          <w:spacing w:val="0"/>
          <w:w w:val="100"/>
          <w:position w:val="0"/>
          <w:sz w:val="19"/>
          <w:szCs w:val="19"/>
        </w:rPr>
        <w:t>165</w:t>
      </w:r>
      <w:r>
        <w:rPr>
          <w:color w:val="000000"/>
          <w:spacing w:val="0"/>
          <w:w w:val="100"/>
          <w:position w:val="0"/>
        </w:rPr>
        <w:t>万元，而乙中介公司报价</w:t>
      </w:r>
      <w:r>
        <w:rPr>
          <w:rFonts w:ascii="Times New Roman" w:hAnsi="Times New Roman" w:eastAsia="Times New Roman" w:cs="Times New Roman"/>
          <w:color w:val="000000"/>
          <w:spacing w:val="0"/>
          <w:w w:val="100"/>
          <w:position w:val="0"/>
          <w:sz w:val="19"/>
          <w:szCs w:val="19"/>
        </w:rPr>
        <w:t>145</w:t>
      </w:r>
      <w:r>
        <w:rPr>
          <w:color w:val="000000"/>
          <w:spacing w:val="0"/>
          <w:w w:val="100"/>
          <w:position w:val="0"/>
        </w:rPr>
        <w:t>万元，并积极与 卖方协商价格。</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日，在乙中介公司居间下，陶德华与卖方签订了房屋买卖合同，成 交价</w:t>
      </w:r>
      <w:r>
        <w:rPr>
          <w:rFonts w:ascii="Times New Roman" w:hAnsi="Times New Roman" w:eastAsia="Times New Roman" w:cs="Times New Roman"/>
          <w:color w:val="000000"/>
          <w:spacing w:val="0"/>
          <w:w w:val="100"/>
          <w:position w:val="0"/>
          <w:sz w:val="19"/>
          <w:szCs w:val="19"/>
        </w:rPr>
        <w:t>138</w:t>
      </w:r>
      <w:r>
        <w:rPr>
          <w:color w:val="000000"/>
          <w:spacing w:val="0"/>
          <w:w w:val="100"/>
          <w:position w:val="0"/>
        </w:rPr>
        <w:t>万元。后买卖双方办理了过户手续，陶德华向乙中介公司支付佣金</w:t>
      </w:r>
      <w:r>
        <w:rPr>
          <w:rFonts w:ascii="Times New Roman" w:hAnsi="Times New Roman" w:eastAsia="Times New Roman" w:cs="Times New Roman"/>
          <w:color w:val="000000"/>
          <w:spacing w:val="0"/>
          <w:w w:val="100"/>
          <w:position w:val="0"/>
          <w:sz w:val="19"/>
          <w:szCs w:val="19"/>
          <w:lang w:val="en-US" w:eastAsia="en-US" w:bidi="en-US"/>
        </w:rPr>
        <w:t>1.38</w:t>
      </w:r>
      <w:r>
        <w:rPr>
          <w:color w:val="000000"/>
          <w:spacing w:val="0"/>
          <w:w w:val="100"/>
          <w:position w:val="0"/>
        </w:rPr>
        <w:t>万元。</w:t>
      </w:r>
    </w:p>
    <w:p w14:paraId="0BEDB0F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原告中原公司诉称，被告陶德华利用中原公司提供的房屋销售信息，故意跳过中介，私 自与卖方直接签订购房合同，违反了《确认书》的约定，属于恶意</w:t>
      </w:r>
      <w:r>
        <w:rPr>
          <w:color w:val="000000"/>
          <w:spacing w:val="0"/>
          <w:w w:val="100"/>
          <w:position w:val="0"/>
          <w:lang w:val="zh-CN" w:eastAsia="zh-CN" w:bidi="zh-CN"/>
        </w:rPr>
        <w:t>“跳单”行为</w:t>
      </w:r>
      <w:r>
        <w:rPr>
          <w:color w:val="000000"/>
          <w:spacing w:val="0"/>
          <w:w w:val="100"/>
          <w:position w:val="0"/>
        </w:rPr>
        <w:t>，请求法院判令 陶德华按约支付违约金</w:t>
      </w:r>
      <w:r>
        <w:rPr>
          <w:rFonts w:ascii="Times New Roman" w:hAnsi="Times New Roman" w:eastAsia="Times New Roman" w:cs="Times New Roman"/>
          <w:color w:val="000000"/>
          <w:spacing w:val="0"/>
          <w:w w:val="100"/>
          <w:position w:val="0"/>
          <w:sz w:val="19"/>
          <w:szCs w:val="19"/>
          <w:lang w:val="en-US" w:eastAsia="en-US" w:bidi="en-US"/>
        </w:rPr>
        <w:t>1.65</w:t>
      </w:r>
      <w:r>
        <w:rPr>
          <w:color w:val="000000"/>
          <w:spacing w:val="0"/>
          <w:w w:val="100"/>
          <w:position w:val="0"/>
        </w:rPr>
        <w:t>万元。</w:t>
      </w:r>
    </w:p>
    <w:p w14:paraId="5F561CC4">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被告陶德华辩称，涉案房屋原产权人李某委托多家中介公司出售房屋，中原公司并非 独家掌握该房源信息，也非独家代理销售。陶德华并没有利用中原公司提供的信息，不存 在</w:t>
      </w:r>
      <w:r>
        <w:rPr>
          <w:color w:val="000000"/>
          <w:spacing w:val="0"/>
          <w:w w:val="100"/>
          <w:position w:val="0"/>
          <w:lang w:val="zh-CN" w:eastAsia="zh-CN" w:bidi="zh-CN"/>
        </w:rPr>
        <w:t>“跳单”违约</w:t>
      </w:r>
      <w:r>
        <w:rPr>
          <w:color w:val="000000"/>
          <w:spacing w:val="0"/>
          <w:w w:val="100"/>
          <w:position w:val="0"/>
        </w:rPr>
        <w:t>行为。</w:t>
      </w:r>
    </w:p>
    <w:p w14:paraId="14C3693D">
      <w:pPr>
        <w:pStyle w:val="11"/>
        <w:keepNext w:val="0"/>
        <w:keepLines w:val="0"/>
        <w:widowControl w:val="0"/>
        <w:shd w:val="clear" w:color="auto" w:fill="auto"/>
        <w:bidi w:val="0"/>
        <w:spacing w:before="0" w:after="100" w:line="341"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083BE5C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撤销一审判决，对中原公司的诉讼请求不予支持。</w:t>
      </w:r>
    </w:p>
    <w:p w14:paraId="7309CE23">
      <w:pPr>
        <w:pStyle w:val="17"/>
        <w:keepNext w:val="0"/>
        <w:keepLines w:val="0"/>
        <w:widowControl w:val="0"/>
        <w:shd w:val="clear" w:color="auto" w:fill="auto"/>
        <w:bidi w:val="0"/>
        <w:spacing w:before="0" w:after="360" w:line="343" w:lineRule="exact"/>
        <w:ind w:left="0" w:right="0" w:firstLine="420"/>
        <w:jc w:val="both"/>
        <w:sectPr>
          <w:footnotePr>
            <w:numFmt w:val="chicago"/>
          </w:footnotePr>
          <w:type w:val="continuous"/>
          <w:pgSz w:w="10099" w:h="14782"/>
          <w:pgMar w:top="1284" w:right="1068" w:bottom="1125" w:left="1024" w:header="856" w:footer="697" w:gutter="0"/>
          <w:cols w:space="720" w:num="1"/>
          <w:rtlGutter w:val="0"/>
          <w:docGrid w:linePitch="360" w:charSpace="0"/>
        </w:sectPr>
      </w:pPr>
      <w:r>
        <w:rPr>
          <w:color w:val="000000"/>
          <w:spacing w:val="0"/>
          <w:w w:val="100"/>
          <w:position w:val="0"/>
        </w:rPr>
        <w:t xml:space="preserve">房屋买卖居间合同中关于禁止买方利用中介公司提供的房源信息却绕开该中介公司 与卖方签订房屋买卖合同的约定合法有效。但是，当卖方将同一房屋通过多个中介公司挂 牌出售时，买方通过其他公众可以获知的正当途径获得相同房源信息的，买方有权选择报 价低、服务好的中介公司促成房屋买卖合同成立，其行为并没有利用先前与之签约中介公 </w:t>
      </w:r>
    </w:p>
    <w:p w14:paraId="75FAD6A3">
      <w:pPr>
        <w:pStyle w:val="17"/>
        <w:keepNext w:val="0"/>
        <w:keepLines w:val="0"/>
        <w:widowControl w:val="0"/>
        <w:shd w:val="clear" w:color="auto" w:fill="auto"/>
        <w:bidi w:val="0"/>
        <w:spacing w:before="0" w:after="360" w:line="343" w:lineRule="exact"/>
        <w:ind w:left="0" w:right="0" w:firstLine="0"/>
        <w:jc w:val="both"/>
      </w:pPr>
      <w:r>
        <w:rPr>
          <w:color w:val="000000"/>
          <w:spacing w:val="0"/>
          <w:w w:val="100"/>
          <w:position w:val="0"/>
        </w:rPr>
        <w:t>司的房源信息，故不构成违约。</w:t>
      </w:r>
    </w:p>
    <w:p w14:paraId="211A5F76">
      <w:pPr>
        <w:pStyle w:val="11"/>
        <w:keepNext w:val="0"/>
        <w:keepLines w:val="0"/>
        <w:widowControl w:val="0"/>
        <w:shd w:val="clear" w:color="auto" w:fill="auto"/>
        <w:bidi w:val="0"/>
        <w:spacing w:before="0" w:after="260" w:line="344" w:lineRule="exact"/>
        <w:ind w:left="0" w:right="0" w:firstLine="0"/>
        <w:jc w:val="left"/>
      </w:pPr>
      <w:r>
        <w:rPr>
          <w:color w:val="000000"/>
          <w:spacing w:val="0"/>
          <w:w w:val="100"/>
          <w:position w:val="0"/>
        </w:rPr>
        <w:t>■评析</w:t>
      </w:r>
    </w:p>
    <w:p w14:paraId="612AB522">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085BCBC6">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本案涉及的主要争议有二:一是房屋买卖居间合同中约定的禁止</w:t>
      </w:r>
      <w:r>
        <w:rPr>
          <w:color w:val="000000"/>
          <w:spacing w:val="0"/>
          <w:w w:val="100"/>
          <w:position w:val="0"/>
          <w:lang w:val="zh-CN" w:eastAsia="zh-CN" w:bidi="zh-CN"/>
        </w:rPr>
        <w:t>“跳单”格</w:t>
      </w:r>
      <w:r>
        <w:rPr>
          <w:color w:val="000000"/>
          <w:spacing w:val="0"/>
          <w:w w:val="100"/>
          <w:position w:val="0"/>
        </w:rPr>
        <w:t>式条款是否 有效;二是如何判断委托人绕开居间人与第三人签订房屋买卖合同的行为是否构成</w:t>
      </w:r>
      <w:r>
        <w:rPr>
          <w:color w:val="000000"/>
          <w:spacing w:val="0"/>
          <w:w w:val="100"/>
          <w:position w:val="0"/>
          <w:lang w:val="zh-CN" w:eastAsia="zh-CN" w:bidi="zh-CN"/>
        </w:rPr>
        <w:t>“跳</w:t>
      </w:r>
      <w:r>
        <w:rPr>
          <w:color w:val="000000"/>
          <w:spacing w:val="0"/>
          <w:w w:val="100"/>
          <w:position w:val="0"/>
        </w:rPr>
        <w:t>单” 违约。与之对应，本判决的思路也分两步:第一，认定禁止</w:t>
      </w:r>
      <w:r>
        <w:rPr>
          <w:color w:val="000000"/>
          <w:spacing w:val="0"/>
          <w:w w:val="100"/>
          <w:position w:val="0"/>
          <w:lang w:val="zh-CN" w:eastAsia="zh-CN" w:bidi="zh-CN"/>
        </w:rPr>
        <w:t>“跳单”条款</w:t>
      </w:r>
      <w:r>
        <w:rPr>
          <w:color w:val="000000"/>
          <w:spacing w:val="0"/>
          <w:w w:val="100"/>
          <w:position w:val="0"/>
        </w:rPr>
        <w:t>有效。生效裁判认 为，该条款本意是为防止委托人利用居间人提供的房源信息却</w:t>
      </w:r>
      <w:r>
        <w:rPr>
          <w:color w:val="000000"/>
          <w:spacing w:val="0"/>
          <w:w w:val="100"/>
          <w:position w:val="0"/>
          <w:lang w:val="zh-CN" w:eastAsia="zh-CN" w:bidi="zh-CN"/>
        </w:rPr>
        <w:t>“跳”过居</w:t>
      </w:r>
      <w:r>
        <w:rPr>
          <w:color w:val="000000"/>
          <w:spacing w:val="0"/>
          <w:w w:val="100"/>
          <w:position w:val="0"/>
        </w:rPr>
        <w:t>间人购买房屋，从 而使居间人无法得到应得的佣金，不存在免除一方责任、加重对方责任、排除对方主要权利 的情形，应认定有效。第二，认定委托人不构成</w:t>
      </w:r>
      <w:r>
        <w:rPr>
          <w:color w:val="000000"/>
          <w:spacing w:val="0"/>
          <w:w w:val="100"/>
          <w:position w:val="0"/>
          <w:lang w:val="zh-CN" w:eastAsia="zh-CN" w:bidi="zh-CN"/>
        </w:rPr>
        <w:t>“跳单”违</w:t>
      </w:r>
      <w:r>
        <w:rPr>
          <w:color w:val="000000"/>
          <w:spacing w:val="0"/>
          <w:w w:val="100"/>
          <w:position w:val="0"/>
        </w:rPr>
        <w:t>约。生效裁判认为，如果委托人并 未利用居间人提供的信息、机会等条件，而是通过其他公众可以获知的正当途径获得同一 房源信息，则委托人有权选择报价低、服务好的中介公司促成合同成立，而不构成</w:t>
      </w:r>
      <w:r>
        <w:rPr>
          <w:color w:val="000000"/>
          <w:spacing w:val="0"/>
          <w:w w:val="100"/>
          <w:position w:val="0"/>
          <w:lang w:val="zh-CN" w:eastAsia="zh-CN" w:bidi="zh-CN"/>
        </w:rPr>
        <w:t xml:space="preserve">“跳单”违 </w:t>
      </w:r>
      <w:r>
        <w:rPr>
          <w:color w:val="000000"/>
          <w:spacing w:val="0"/>
          <w:w w:val="100"/>
          <w:position w:val="0"/>
        </w:rPr>
        <w:t>约。本案中，原产权人通过多家中介公司挂牌出售同一房屋，陶德华及其家人分别通过不 同的中介公司了解到同一房源信息，并通过其他中介公司促成了房屋买卖合同成立。因 此，陶德华没有利用中原公司的信息、机会，不构成违约。本判决的思路与实务中法院审理 违约纠纷案件的裁判思路是一致的，即先确定当事人之间的合同或者合同条款是否有效, 然后认定被告是否存在原告主张的违约行为。</w:t>
      </w:r>
      <w:r>
        <w:rPr>
          <w:color w:val="000000"/>
          <w:spacing w:val="0"/>
          <w:w w:val="100"/>
          <w:position w:val="0"/>
          <w:lang w:val="en-US" w:eastAsia="en-US" w:bidi="en-US"/>
        </w:rPr>
        <w:t>.</w:t>
      </w:r>
    </w:p>
    <w:p w14:paraId="792E389A">
      <w:pPr>
        <w:pStyle w:val="17"/>
        <w:keepNext w:val="0"/>
        <w:keepLines w:val="0"/>
        <w:widowControl w:val="0"/>
        <w:shd w:val="clear" w:color="auto" w:fill="auto"/>
        <w:bidi w:val="0"/>
        <w:spacing w:before="0" w:after="160" w:line="353" w:lineRule="exact"/>
        <w:ind w:left="0" w:right="0"/>
        <w:jc w:val="both"/>
      </w:pPr>
      <w:r>
        <w:rPr>
          <w:color w:val="000000"/>
          <w:spacing w:val="0"/>
          <w:w w:val="100"/>
          <w:position w:val="0"/>
        </w:rPr>
        <w:t>本判决的意义在于:承认禁止</w:t>
      </w:r>
      <w:r>
        <w:rPr>
          <w:color w:val="000000"/>
          <w:spacing w:val="0"/>
          <w:w w:val="100"/>
          <w:position w:val="0"/>
          <w:lang w:val="zh-CN" w:eastAsia="zh-CN" w:bidi="zh-CN"/>
        </w:rPr>
        <w:t>“跳单”条款</w:t>
      </w:r>
      <w:r>
        <w:rPr>
          <w:color w:val="000000"/>
          <w:spacing w:val="0"/>
          <w:w w:val="100"/>
          <w:position w:val="0"/>
        </w:rPr>
        <w:t>具有正当性,不违反《合同法》第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497</w:t>
      </w:r>
      <w:r>
        <w:rPr>
          <w:color w:val="000000"/>
          <w:spacing w:val="0"/>
          <w:w w:val="100"/>
          <w:position w:val="0"/>
        </w:rPr>
        <w:t>条），是合法有效的;确立了委托人不构成</w:t>
      </w:r>
      <w:r>
        <w:rPr>
          <w:color w:val="000000"/>
          <w:spacing w:val="0"/>
          <w:w w:val="100"/>
          <w:position w:val="0"/>
          <w:lang w:val="zh-CN" w:eastAsia="zh-CN" w:bidi="zh-CN"/>
        </w:rPr>
        <w:t>“跳单”违约</w:t>
      </w:r>
      <w:r>
        <w:rPr>
          <w:color w:val="000000"/>
          <w:spacing w:val="0"/>
          <w:w w:val="100"/>
          <w:position w:val="0"/>
        </w:rPr>
        <w:t>的裁判标准,从而间接地提 出了委托人构成</w:t>
      </w:r>
      <w:r>
        <w:rPr>
          <w:color w:val="000000"/>
          <w:spacing w:val="0"/>
          <w:w w:val="100"/>
          <w:position w:val="0"/>
          <w:lang w:val="zh-CN" w:eastAsia="zh-CN" w:bidi="zh-CN"/>
        </w:rPr>
        <w:t>“跳单”违</w:t>
      </w:r>
      <w:r>
        <w:rPr>
          <w:color w:val="000000"/>
          <w:spacing w:val="0"/>
          <w:w w:val="100"/>
          <w:position w:val="0"/>
        </w:rPr>
        <w:t>约的判断标准。</w:t>
      </w:r>
    </w:p>
    <w:p w14:paraId="29DE300C">
      <w:pPr>
        <w:pStyle w:val="17"/>
        <w:keepNext w:val="0"/>
        <w:keepLines w:val="0"/>
        <w:widowControl w:val="0"/>
        <w:shd w:val="clear" w:color="auto" w:fill="auto"/>
        <w:bidi w:val="0"/>
        <w:spacing w:before="0" w:after="160" w:line="344"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禁止</w:t>
      </w:r>
      <w:r>
        <w:rPr>
          <w:color w:val="000000"/>
          <w:spacing w:val="0"/>
          <w:w w:val="100"/>
          <w:position w:val="0"/>
          <w:lang w:val="zh-CN" w:eastAsia="zh-CN" w:bidi="zh-CN"/>
        </w:rPr>
        <w:t>“跳单”条</w:t>
      </w:r>
      <w:r>
        <w:rPr>
          <w:color w:val="000000"/>
          <w:spacing w:val="0"/>
          <w:w w:val="100"/>
          <w:position w:val="0"/>
        </w:rPr>
        <w:t>款的效力和</w:t>
      </w:r>
      <w:r>
        <w:rPr>
          <w:color w:val="000000"/>
          <w:spacing w:val="0"/>
          <w:w w:val="100"/>
          <w:position w:val="0"/>
          <w:lang w:val="zh-CN" w:eastAsia="zh-CN" w:bidi="zh-CN"/>
        </w:rPr>
        <w:t>“跳单”违</w:t>
      </w:r>
      <w:r>
        <w:rPr>
          <w:color w:val="000000"/>
          <w:spacing w:val="0"/>
          <w:w w:val="100"/>
          <w:position w:val="0"/>
        </w:rPr>
        <w:t>约的裁判标准的规范及学理</w:t>
      </w:r>
    </w:p>
    <w:p w14:paraId="4B187E97">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在房地产居间实务中，居间人往往会在居间合同中约定禁止</w:t>
      </w:r>
      <w:r>
        <w:rPr>
          <w:color w:val="000000"/>
          <w:spacing w:val="0"/>
          <w:w w:val="100"/>
          <w:position w:val="0"/>
          <w:lang w:val="zh-CN" w:eastAsia="zh-CN" w:bidi="zh-CN"/>
        </w:rPr>
        <w:t>“跳单”条款</w:t>
      </w:r>
      <w:r>
        <w:rPr>
          <w:color w:val="000000"/>
          <w:spacing w:val="0"/>
          <w:w w:val="100"/>
          <w:position w:val="0"/>
        </w:rPr>
        <w:t>，规定在委托 人签订看房确认书、验看房屋或者撤销委托后的一定期限（一般为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个月或</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个月）内，委 托人或其配偶、亲属、朋友、受托人以及所在单位等与委托人有关联关系的人，不得利用居 间人提供的房源信息或交易机会，直接或通过其他居间人与第三人缔约，否则视为居间人 居间成功或者委托人违约，委托人应向居间人支付报酬或违约金。</w:t>
      </w:r>
    </w:p>
    <w:p w14:paraId="76360D99">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判断禁止</w:t>
      </w:r>
      <w:r>
        <w:rPr>
          <w:color w:val="000000"/>
          <w:spacing w:val="0"/>
          <w:w w:val="100"/>
          <w:position w:val="0"/>
          <w:lang w:val="zh-CN" w:eastAsia="zh-CN" w:bidi="zh-CN"/>
        </w:rPr>
        <w:t>“跳单”条款</w:t>
      </w:r>
      <w:r>
        <w:rPr>
          <w:color w:val="000000"/>
          <w:spacing w:val="0"/>
          <w:w w:val="100"/>
          <w:position w:val="0"/>
        </w:rPr>
        <w:t>的效力，主要涉及《民法典》第</w:t>
      </w:r>
      <w:r>
        <w:rPr>
          <w:rFonts w:ascii="Times New Roman" w:hAnsi="Times New Roman" w:eastAsia="Times New Roman" w:cs="Times New Roman"/>
          <w:color w:val="000000"/>
          <w:spacing w:val="0"/>
          <w:w w:val="100"/>
          <w:position w:val="0"/>
          <w:sz w:val="19"/>
          <w:szCs w:val="19"/>
        </w:rPr>
        <w:t>496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497</w:t>
      </w:r>
      <w:r>
        <w:rPr>
          <w:color w:val="000000"/>
          <w:spacing w:val="0"/>
          <w:w w:val="100"/>
          <w:position w:val="0"/>
        </w:rPr>
        <w:t>条。学理上 对此存在不同观点。无效说主张，在居间人并非独家代理的情形，该条款排除了委托人的 主要权利，加重了委托人的责任,应依原《合同法》第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条认定无效。有效说认为,该条款 旨在防止委托人逃避支付报酬的不诚信行为，是借助意思自治对居间人合法利益的正当保 护，有利于促进居间人的正常经营发展和鼓励诚信交易，不属于原《合同法》第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53 </w:t>
      </w:r>
      <w:r>
        <w:rPr>
          <w:color w:val="000000"/>
          <w:spacing w:val="0"/>
          <w:w w:val="100"/>
          <w:position w:val="0"/>
        </w:rPr>
        <w:t>条及第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条规定的无效情形［对两种学说的介绍及评论见戴孟勇：《民法原理与实例研究》（第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册），中国政法大学出版社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lang w:val="en-US" w:eastAsia="en-US" w:bidi="en-US"/>
        </w:rPr>
        <w:t>310-318</w:t>
      </w:r>
      <w:r>
        <w:rPr>
          <w:color w:val="000000"/>
          <w:spacing w:val="0"/>
          <w:w w:val="100"/>
          <w:position w:val="0"/>
        </w:rPr>
        <w:t>页；周江洪：</w:t>
      </w:r>
      <w:r>
        <w:rPr>
          <w:color w:val="000000"/>
          <w:spacing w:val="0"/>
          <w:w w:val="100"/>
          <w:position w:val="0"/>
          <w:lang w:val="zh-CN" w:eastAsia="zh-CN" w:bidi="zh-CN"/>
        </w:rPr>
        <w:t>《“上</w:t>
      </w:r>
      <w:r>
        <w:rPr>
          <w:color w:val="000000"/>
          <w:spacing w:val="0"/>
          <w:w w:val="100"/>
          <w:position w:val="0"/>
        </w:rPr>
        <w:t>海中原物业顾问有限公司诉陶德华 居间合同纠纷案”评释》，载《浙江社会科学》</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期，第</w:t>
      </w:r>
      <w:r>
        <w:rPr>
          <w:rFonts w:ascii="Times New Roman" w:hAnsi="Times New Roman" w:eastAsia="Times New Roman" w:cs="Times New Roman"/>
          <w:color w:val="000000"/>
          <w:spacing w:val="0"/>
          <w:w w:val="100"/>
          <w:position w:val="0"/>
          <w:sz w:val="19"/>
          <w:szCs w:val="19"/>
        </w:rPr>
        <w:t>81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82</w:t>
      </w:r>
      <w:r>
        <w:rPr>
          <w:color w:val="000000"/>
          <w:spacing w:val="0"/>
          <w:w w:val="100"/>
          <w:position w:val="0"/>
        </w:rPr>
        <w:t>页］。可撤销说主张，该条款 如果显失公平，委托人可依原《合同法》第</w:t>
      </w:r>
      <w:r>
        <w:rPr>
          <w:rFonts w:ascii="Times New Roman" w:hAnsi="Times New Roman" w:eastAsia="Times New Roman" w:cs="Times New Roman"/>
          <w:color w:val="000000"/>
          <w:spacing w:val="0"/>
          <w:w w:val="100"/>
          <w:position w:val="0"/>
          <w:sz w:val="19"/>
          <w:szCs w:val="19"/>
        </w:rPr>
        <w:t>54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款请求裁判机构予以变更或撤销。还 有观点认为，禁止</w:t>
      </w:r>
      <w:r>
        <w:rPr>
          <w:color w:val="000000"/>
          <w:spacing w:val="0"/>
          <w:w w:val="100"/>
          <w:position w:val="0"/>
          <w:lang w:val="zh-CN" w:eastAsia="zh-CN" w:bidi="zh-CN"/>
        </w:rPr>
        <w:t>“跳单”条</w:t>
      </w:r>
      <w:r>
        <w:rPr>
          <w:color w:val="000000"/>
          <w:spacing w:val="0"/>
          <w:w w:val="100"/>
          <w:position w:val="0"/>
        </w:rPr>
        <w:t>款既不属于免责条款，也未概括地限制或剥夺委托人的缔约自 由,未排除委托人的主要权利;仅在约定的违约金过高时，该条款才属于加重对方责任条 款,应依原《合同法》第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条认定无效（对两种观点的介绍及讨论见戴孟勇：《民法原理与实例研 究》，中国政法大学出版社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311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315</w:t>
      </w:r>
      <w:r>
        <w:rPr>
          <w:color w:val="000000"/>
          <w:spacing w:val="0"/>
          <w:w w:val="100"/>
          <w:position w:val="0"/>
        </w:rPr>
        <w:t>页）。</w:t>
      </w:r>
    </w:p>
    <w:p w14:paraId="47DBA09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当存在有效的禁止</w:t>
      </w:r>
      <w:r>
        <w:rPr>
          <w:color w:val="000000"/>
          <w:spacing w:val="0"/>
          <w:w w:val="100"/>
          <w:position w:val="0"/>
          <w:lang w:val="zh-CN" w:eastAsia="zh-CN" w:bidi="zh-CN"/>
        </w:rPr>
        <w:t>“跳单”条</w:t>
      </w:r>
      <w:r>
        <w:rPr>
          <w:color w:val="000000"/>
          <w:spacing w:val="0"/>
          <w:w w:val="100"/>
          <w:position w:val="0"/>
        </w:rPr>
        <w:t>款时,如何认定委托人构成</w:t>
      </w:r>
      <w:r>
        <w:rPr>
          <w:color w:val="000000"/>
          <w:spacing w:val="0"/>
          <w:w w:val="100"/>
          <w:position w:val="0"/>
          <w:lang w:val="zh-CN" w:eastAsia="zh-CN" w:bidi="zh-CN"/>
        </w:rPr>
        <w:t>“跳单”违</w:t>
      </w:r>
      <w:r>
        <w:rPr>
          <w:color w:val="000000"/>
          <w:spacing w:val="0"/>
          <w:w w:val="100"/>
          <w:position w:val="0"/>
        </w:rPr>
        <w:t>约？本判决未从正面 给出裁判标准，而是从反面列岀不构成</w:t>
      </w:r>
      <w:r>
        <w:rPr>
          <w:color w:val="000000"/>
          <w:spacing w:val="0"/>
          <w:w w:val="100"/>
          <w:position w:val="0"/>
          <w:lang w:val="zh-CN" w:eastAsia="zh-CN" w:bidi="zh-CN"/>
        </w:rPr>
        <w:t>“跳单”违</w:t>
      </w:r>
      <w:r>
        <w:rPr>
          <w:color w:val="000000"/>
          <w:spacing w:val="0"/>
          <w:w w:val="100"/>
          <w:position w:val="0"/>
        </w:rPr>
        <w:t>约的条件:一是卖方将同一房屋通过多个 中介公司挂牌出售,即居间人没有独家垄断房源信息;二是买方通过其他公众可以获知的 正当途径获得相同房源信息;三是买方选择了报价低、服务好的中介公司促成房屋买卖合 同成立。对于如何判断委托人构成</w:t>
      </w:r>
      <w:r>
        <w:rPr>
          <w:color w:val="000000"/>
          <w:spacing w:val="0"/>
          <w:w w:val="100"/>
          <w:position w:val="0"/>
          <w:lang w:val="zh-CN" w:eastAsia="zh-CN" w:bidi="zh-CN"/>
        </w:rPr>
        <w:t>“跳单”违约</w:t>
      </w:r>
      <w:r>
        <w:rPr>
          <w:color w:val="000000"/>
          <w:spacing w:val="0"/>
          <w:w w:val="100"/>
          <w:position w:val="0"/>
        </w:rPr>
        <w:t>,有观点认为,委托人主观上须具有逃避支 付报酬的恶意;如果委托人跳过居间人直接与第三人缔约，一般可认定委托人构成</w:t>
      </w:r>
      <w:r>
        <w:rPr>
          <w:color w:val="000000"/>
          <w:spacing w:val="0"/>
          <w:w w:val="100"/>
          <w:position w:val="0"/>
          <w:lang w:val="zh-CN" w:eastAsia="zh-CN" w:bidi="zh-CN"/>
        </w:rPr>
        <w:t>“跳</w:t>
      </w:r>
      <w:r>
        <w:rPr>
          <w:color w:val="000000"/>
          <w:spacing w:val="0"/>
          <w:w w:val="100"/>
          <w:position w:val="0"/>
        </w:rPr>
        <w:t>单”； 如果委托人通过其他居间人与第三人缔约，通常可认定委托人不构成</w:t>
      </w:r>
      <w:r>
        <w:rPr>
          <w:color w:val="000000"/>
          <w:spacing w:val="0"/>
          <w:w w:val="100"/>
          <w:position w:val="0"/>
          <w:lang w:val="zh-CN" w:eastAsia="zh-CN" w:bidi="zh-CN"/>
        </w:rPr>
        <w:t>“跳单”，除</w:t>
      </w:r>
      <w:r>
        <w:rPr>
          <w:color w:val="000000"/>
          <w:spacing w:val="0"/>
          <w:w w:val="100"/>
          <w:position w:val="0"/>
        </w:rPr>
        <w:t>非居间人 证明委托人将房源信息泄露给了其他居间人，或者委托人与其他居间人恶意串通阻止该居 间人获得报酬（戴孟勇：《民法原理与实例研究》，中国政法大学出版社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301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310</w:t>
      </w:r>
      <w:r>
        <w:rPr>
          <w:color w:val="000000"/>
          <w:spacing w:val="0"/>
          <w:w w:val="100"/>
          <w:position w:val="0"/>
        </w:rPr>
        <w:t>页）。</w:t>
      </w:r>
    </w:p>
    <w:p w14:paraId="5E3E192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根据《民法典》第</w:t>
      </w:r>
      <w:r>
        <w:rPr>
          <w:rFonts w:ascii="Times New Roman" w:hAnsi="Times New Roman" w:eastAsia="Times New Roman" w:cs="Times New Roman"/>
          <w:color w:val="000000"/>
          <w:spacing w:val="0"/>
          <w:w w:val="100"/>
          <w:position w:val="0"/>
          <w:sz w:val="19"/>
          <w:szCs w:val="19"/>
        </w:rPr>
        <w:t>963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964</w:t>
      </w:r>
      <w:r>
        <w:rPr>
          <w:color w:val="000000"/>
          <w:spacing w:val="0"/>
          <w:w w:val="100"/>
          <w:position w:val="0"/>
        </w:rPr>
        <w:t>条，居间人促成合同成立的,才享有报酬请求权； 未促成合同成立的，仅享有必要费用返还请求权。在禁止</w:t>
      </w:r>
      <w:r>
        <w:rPr>
          <w:color w:val="000000"/>
          <w:spacing w:val="0"/>
          <w:w w:val="100"/>
          <w:position w:val="0"/>
          <w:lang w:val="zh-CN" w:eastAsia="zh-CN" w:bidi="zh-CN"/>
        </w:rPr>
        <w:t>“跳单”条款</w:t>
      </w:r>
      <w:r>
        <w:rPr>
          <w:color w:val="000000"/>
          <w:spacing w:val="0"/>
          <w:w w:val="100"/>
          <w:position w:val="0"/>
        </w:rPr>
        <w:t>有效时,如果委托人 构成</w:t>
      </w:r>
      <w:r>
        <w:rPr>
          <w:color w:val="000000"/>
          <w:spacing w:val="0"/>
          <w:w w:val="100"/>
          <w:position w:val="0"/>
          <w:lang w:val="zh-CN" w:eastAsia="zh-CN" w:bidi="zh-CN"/>
        </w:rPr>
        <w:t>“跳单”违约</w:t>
      </w:r>
      <w:r>
        <w:rPr>
          <w:color w:val="000000"/>
          <w:spacing w:val="0"/>
          <w:w w:val="100"/>
          <w:position w:val="0"/>
        </w:rPr>
        <w:t>，居间人有何请求权？有观点认为，因居间人未促成合同成立，故无报酬请 求权，只能享有必要费用返还请求权（税兵:《居间合同中的双边道德风险——以</w:t>
      </w:r>
      <w:r>
        <w:rPr>
          <w:color w:val="000000"/>
          <w:spacing w:val="0"/>
          <w:w w:val="100"/>
          <w:position w:val="0"/>
          <w:lang w:val="zh-CN" w:eastAsia="zh-CN" w:bidi="zh-CN"/>
        </w:rPr>
        <w:t>“跳单”现</w:t>
      </w:r>
      <w:r>
        <w:rPr>
          <w:color w:val="000000"/>
          <w:spacing w:val="0"/>
          <w:w w:val="100"/>
          <w:position w:val="0"/>
        </w:rPr>
        <w:t>象为 例》，载《法学》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期）。也有观点认为，原则上委托人应依约支付违约金或者报酬，但 因居间人实际提供的媒介服务少于其居间成功时所应提供的服务，导致约定的违约金或者 报酬可能过分高于居间人遭受的损失,故委托人有权依照或参照原《合同法》第</w:t>
      </w:r>
      <w:r>
        <w:rPr>
          <w:rFonts w:ascii="Times New Roman" w:hAnsi="Times New Roman" w:eastAsia="Times New Roman" w:cs="Times New Roman"/>
          <w:color w:val="000000"/>
          <w:spacing w:val="0"/>
          <w:w w:val="100"/>
          <w:position w:val="0"/>
          <w:sz w:val="19"/>
          <w:szCs w:val="19"/>
          <w:lang w:val="en-US" w:eastAsia="en-US" w:bidi="en-US"/>
        </w:rPr>
        <w:t>H4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款请求法院酌情减少违约金或者报酬数额（相关文献及论证见戴孟勇：《民法原理与实例研究》， 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319</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321</w:t>
      </w:r>
      <w:r>
        <w:rPr>
          <w:color w:val="000000"/>
          <w:spacing w:val="0"/>
          <w:w w:val="100"/>
          <w:position w:val="0"/>
        </w:rPr>
        <w:t>页）。</w:t>
      </w:r>
    </w:p>
    <w:p w14:paraId="0CAF09F5">
      <w:pPr>
        <w:pStyle w:val="17"/>
        <w:keepNext w:val="0"/>
        <w:keepLines w:val="0"/>
        <w:widowControl w:val="0"/>
        <w:shd w:val="clear" w:color="auto" w:fill="auto"/>
        <w:bidi w:val="0"/>
        <w:spacing w:before="0" w:after="300" w:line="339" w:lineRule="exact"/>
        <w:ind w:left="0" w:right="0" w:firstLine="420"/>
        <w:jc w:val="both"/>
      </w:pPr>
      <w:r>
        <w:rPr>
          <w:color w:val="000000"/>
          <w:spacing w:val="0"/>
          <w:w w:val="100"/>
          <w:position w:val="0"/>
        </w:rPr>
        <w:t>当不存在有效的禁止</w:t>
      </w:r>
      <w:r>
        <w:rPr>
          <w:color w:val="000000"/>
          <w:spacing w:val="0"/>
          <w:w w:val="100"/>
          <w:position w:val="0"/>
          <w:lang w:val="zh-CN" w:eastAsia="zh-CN" w:bidi="zh-CN"/>
        </w:rPr>
        <w:t>“跳单”条</w:t>
      </w:r>
      <w:r>
        <w:rPr>
          <w:color w:val="000000"/>
          <w:spacing w:val="0"/>
          <w:w w:val="100"/>
          <w:position w:val="0"/>
        </w:rPr>
        <w:t>款时，如果委托人构成</w:t>
      </w:r>
      <w:r>
        <w:rPr>
          <w:color w:val="000000"/>
          <w:spacing w:val="0"/>
          <w:w w:val="100"/>
          <w:position w:val="0"/>
          <w:lang w:val="zh-CN" w:eastAsia="zh-CN" w:bidi="zh-CN"/>
        </w:rPr>
        <w:t>“跳单”，居</w:t>
      </w:r>
      <w:r>
        <w:rPr>
          <w:color w:val="000000"/>
          <w:spacing w:val="0"/>
          <w:w w:val="100"/>
          <w:position w:val="0"/>
        </w:rPr>
        <w:t>间人有何请求权？主 流观点认为,委托人</w:t>
      </w:r>
      <w:r>
        <w:rPr>
          <w:color w:val="000000"/>
          <w:spacing w:val="0"/>
          <w:w w:val="100"/>
          <w:position w:val="0"/>
          <w:lang w:val="zh-CN" w:eastAsia="zh-CN" w:bidi="zh-CN"/>
        </w:rPr>
        <w:t>“跳单”属于“为</w:t>
      </w:r>
      <w:r>
        <w:rPr>
          <w:color w:val="000000"/>
          <w:spacing w:val="0"/>
          <w:w w:val="100"/>
          <w:position w:val="0"/>
        </w:rPr>
        <w:t>自己的利益不正当地阻止”居间人报酬请求权的成立条 件成就，故应参照或者类推适用《民法典》第</w:t>
      </w:r>
      <w:r>
        <w:rPr>
          <w:rFonts w:ascii="Times New Roman" w:hAnsi="Times New Roman" w:eastAsia="Times New Roman" w:cs="Times New Roman"/>
          <w:color w:val="000000"/>
          <w:spacing w:val="0"/>
          <w:w w:val="100"/>
          <w:position w:val="0"/>
          <w:sz w:val="19"/>
          <w:szCs w:val="19"/>
        </w:rPr>
        <w:t>159</w:t>
      </w:r>
      <w:r>
        <w:rPr>
          <w:color w:val="000000"/>
          <w:spacing w:val="0"/>
          <w:w w:val="100"/>
          <w:position w:val="0"/>
        </w:rPr>
        <w:t>条,视为报酬请求权的成立条件成就。反 对的观点认为，居间人报酬请求权的成立条件属于法定条件，委托人恶意</w:t>
      </w:r>
      <w:r>
        <w:rPr>
          <w:color w:val="000000"/>
          <w:spacing w:val="0"/>
          <w:w w:val="100"/>
          <w:position w:val="0"/>
          <w:lang w:val="zh-CN" w:eastAsia="zh-CN" w:bidi="zh-CN"/>
        </w:rPr>
        <w:t>“跳单”无</w:t>
      </w:r>
      <w:r>
        <w:rPr>
          <w:color w:val="000000"/>
          <w:spacing w:val="0"/>
          <w:w w:val="100"/>
          <w:position w:val="0"/>
        </w:rPr>
        <w:t>法适用 上述规定［对两种观点的介绍及评论见戴孟勇：《民法原理与实例研究》（第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册），中国政法大学出版 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323</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328</w:t>
      </w:r>
      <w:r>
        <w:rPr>
          <w:color w:val="000000"/>
          <w:spacing w:val="0"/>
          <w:w w:val="100"/>
          <w:position w:val="0"/>
        </w:rPr>
        <w:t>页］。还有观点认为，居间报酬应当根据居间人促成缔约的原因力来 确定，如果居间人证明其居间服务对于委托人缔约有实质性作用，就有权请求委托人支付 相应报酬（其木提:《论</w:t>
      </w:r>
      <w:r>
        <w:rPr>
          <w:color w:val="000000"/>
          <w:spacing w:val="0"/>
          <w:w w:val="100"/>
          <w:position w:val="0"/>
          <w:lang w:val="zh-CN" w:eastAsia="zh-CN" w:bidi="zh-CN"/>
        </w:rPr>
        <w:t>“跳单”之</w:t>
      </w:r>
      <w:r>
        <w:rPr>
          <w:color w:val="000000"/>
          <w:spacing w:val="0"/>
          <w:w w:val="100"/>
          <w:position w:val="0"/>
        </w:rPr>
        <w:t>认定标准——最高人民法院指导案例</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号评释》，载《交大法学》</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DDDB509">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2E3E211F">
      <w:pPr>
        <w:pStyle w:val="17"/>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关于禁止</w:t>
      </w:r>
      <w:r>
        <w:rPr>
          <w:color w:val="000000"/>
          <w:spacing w:val="0"/>
          <w:w w:val="100"/>
          <w:position w:val="0"/>
          <w:lang w:val="zh-CN" w:eastAsia="zh-CN" w:bidi="zh-CN"/>
        </w:rPr>
        <w:t>“跳单”条款</w:t>
      </w:r>
      <w:r>
        <w:rPr>
          <w:color w:val="000000"/>
          <w:spacing w:val="0"/>
          <w:w w:val="100"/>
          <w:position w:val="0"/>
        </w:rPr>
        <w:t>的效力，在本指导案例公布前,有些判决就认为该条款不存在原 《合同法》第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条规定的无效情形,应认定有效。相反，有些判决则依据原《合同法》第</w:t>
      </w:r>
      <w:r>
        <w:rPr>
          <w:rFonts w:ascii="Times New Roman" w:hAnsi="Times New Roman" w:eastAsia="Times New Roman" w:cs="Times New Roman"/>
          <w:color w:val="000000"/>
          <w:spacing w:val="0"/>
          <w:w w:val="100"/>
          <w:position w:val="0"/>
          <w:sz w:val="19"/>
          <w:szCs w:val="19"/>
        </w:rPr>
        <w:t xml:space="preserve">40 </w:t>
      </w:r>
      <w:r>
        <w:rPr>
          <w:color w:val="000000"/>
          <w:spacing w:val="0"/>
          <w:w w:val="100"/>
          <w:position w:val="0"/>
        </w:rPr>
        <w:t>条，以该条款排除了委托人的权利、加重了委托人的责任或者免除了居间人的责任等理由， 认定其无效。还有些判决同时援引原《合同法》第</w:t>
      </w:r>
      <w:r>
        <w:rPr>
          <w:rFonts w:ascii="Times New Roman" w:hAnsi="Times New Roman" w:eastAsia="Times New Roman" w:cs="Times New Roman"/>
          <w:color w:val="000000"/>
          <w:spacing w:val="0"/>
          <w:w w:val="100"/>
          <w:position w:val="0"/>
          <w:sz w:val="17"/>
          <w:szCs w:val="17"/>
        </w:rPr>
        <w:t>39</w:t>
      </w:r>
      <w:r>
        <w:rPr>
          <w:color w:val="000000"/>
          <w:spacing w:val="0"/>
          <w:w w:val="100"/>
          <w:position w:val="0"/>
        </w:rPr>
        <w:t>条和第</w:t>
      </w:r>
      <w:r>
        <w:rPr>
          <w:rFonts w:ascii="Times New Roman" w:hAnsi="Times New Roman" w:eastAsia="Times New Roman" w:cs="Times New Roman"/>
          <w:color w:val="000000"/>
          <w:spacing w:val="0"/>
          <w:w w:val="100"/>
          <w:position w:val="0"/>
          <w:sz w:val="17"/>
          <w:szCs w:val="17"/>
        </w:rPr>
        <w:t>40</w:t>
      </w:r>
      <w:r>
        <w:rPr>
          <w:color w:val="000000"/>
          <w:spacing w:val="0"/>
          <w:w w:val="100"/>
          <w:position w:val="0"/>
        </w:rPr>
        <w:t>条认定该条款无效［相关判 决见戴孟勇：《民法原理与实例研究》（第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311 </w:t>
      </w:r>
      <w:r>
        <w:rPr>
          <w:rFonts w:ascii="Times New Roman" w:hAnsi="Times New Roman" w:eastAsia="Times New Roman" w:cs="Times New Roman"/>
          <w:color w:val="000000"/>
          <w:spacing w:val="0"/>
          <w:w w:val="100"/>
          <w:position w:val="0"/>
          <w:sz w:val="17"/>
          <w:szCs w:val="17"/>
          <w:lang w:val="en-US" w:eastAsia="en-US" w:bidi="en-US"/>
        </w:rPr>
        <w:t>-316</w:t>
      </w:r>
      <w:r>
        <w:rPr>
          <w:color w:val="000000"/>
          <w:spacing w:val="0"/>
          <w:w w:val="100"/>
          <w:position w:val="0"/>
        </w:rPr>
        <w:t>页］。本 指导案例公布后，有学者在研究直接或间接引用本指导案例的</w:t>
      </w:r>
      <w:r>
        <w:rPr>
          <w:rFonts w:ascii="Times New Roman" w:hAnsi="Times New Roman" w:eastAsia="Times New Roman" w:cs="Times New Roman"/>
          <w:color w:val="000000"/>
          <w:spacing w:val="0"/>
          <w:w w:val="100"/>
          <w:position w:val="0"/>
          <w:sz w:val="17"/>
          <w:szCs w:val="17"/>
        </w:rPr>
        <w:t>59</w:t>
      </w:r>
      <w:r>
        <w:rPr>
          <w:color w:val="000000"/>
          <w:spacing w:val="0"/>
          <w:w w:val="100"/>
          <w:position w:val="0"/>
        </w:rPr>
        <w:t>件案例时发现，其中绝大 多数判决都认定禁止</w:t>
      </w:r>
      <w:r>
        <w:rPr>
          <w:color w:val="000000"/>
          <w:spacing w:val="0"/>
          <w:w w:val="100"/>
          <w:position w:val="0"/>
          <w:lang w:val="zh-CN" w:eastAsia="zh-CN" w:bidi="zh-CN"/>
        </w:rPr>
        <w:t>“跳单”条</w:t>
      </w:r>
      <w:r>
        <w:rPr>
          <w:color w:val="000000"/>
          <w:spacing w:val="0"/>
          <w:w w:val="100"/>
          <w:position w:val="0"/>
        </w:rPr>
        <w:t>款有效（孙维飞:《隐名的指导案例——以“指导案例</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号”为例的 分析》，载《清华法学》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期）。不过,也有法院以该条款显失公平为由判决撤销［江苏省 高级人民法院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苏民申</w:t>
      </w:r>
      <w:r>
        <w:rPr>
          <w:rFonts w:ascii="Times New Roman" w:hAnsi="Times New Roman" w:eastAsia="Times New Roman" w:cs="Times New Roman"/>
          <w:color w:val="000000"/>
          <w:spacing w:val="0"/>
          <w:w w:val="100"/>
          <w:position w:val="0"/>
          <w:sz w:val="17"/>
          <w:szCs w:val="17"/>
        </w:rPr>
        <w:t>4766</w:t>
      </w:r>
      <w:r>
        <w:rPr>
          <w:color w:val="000000"/>
          <w:spacing w:val="0"/>
          <w:w w:val="100"/>
          <w:position w:val="0"/>
        </w:rPr>
        <w:t>号民事裁定书］，或者以该条款加重委托人的责任为由认定无 效［贵州省高级人民法院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黔民申</w:t>
      </w:r>
      <w:r>
        <w:rPr>
          <w:rFonts w:ascii="Times New Roman" w:hAnsi="Times New Roman" w:eastAsia="Times New Roman" w:cs="Times New Roman"/>
          <w:color w:val="000000"/>
          <w:spacing w:val="0"/>
          <w:w w:val="100"/>
          <w:position w:val="0"/>
          <w:sz w:val="17"/>
          <w:szCs w:val="17"/>
        </w:rPr>
        <w:t>600</w:t>
      </w:r>
      <w:r>
        <w:rPr>
          <w:color w:val="000000"/>
          <w:spacing w:val="0"/>
          <w:w w:val="100"/>
          <w:position w:val="0"/>
        </w:rPr>
        <w:t>号民事裁定书］。</w:t>
      </w:r>
    </w:p>
    <w:p w14:paraId="10AFA1B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在禁止</w:t>
      </w:r>
      <w:r>
        <w:rPr>
          <w:color w:val="000000"/>
          <w:spacing w:val="0"/>
          <w:w w:val="100"/>
          <w:position w:val="0"/>
          <w:lang w:val="zh-CN" w:eastAsia="zh-CN" w:bidi="zh-CN"/>
        </w:rPr>
        <w:t>“跳单”条款</w:t>
      </w:r>
      <w:r>
        <w:rPr>
          <w:color w:val="000000"/>
          <w:spacing w:val="0"/>
          <w:w w:val="100"/>
          <w:position w:val="0"/>
        </w:rPr>
        <w:t>有效的情形,若委托人构成</w:t>
      </w:r>
      <w:r>
        <w:rPr>
          <w:color w:val="000000"/>
          <w:spacing w:val="0"/>
          <w:w w:val="100"/>
          <w:position w:val="0"/>
          <w:lang w:val="zh-CN" w:eastAsia="zh-CN" w:bidi="zh-CN"/>
        </w:rPr>
        <w:t>“跳单”违约</w:t>
      </w:r>
      <w:r>
        <w:rPr>
          <w:color w:val="000000"/>
          <w:spacing w:val="0"/>
          <w:w w:val="100"/>
          <w:position w:val="0"/>
        </w:rPr>
        <w:t>，居间人有何请求权？在本 指导案例发布前，实务中主要有三种做法:一是以约定的违约金过高为由，判决酌减违约 金;二是判决委托人按约定数额支付违约金;三是以居间人仅提供看房服务、未实际促成交 易为由，根据委托人自愿确定的数额,判决委托人支付部分中介费［相关判决见戴孟勇：《民法 原理与实例研究》（第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320</w:t>
      </w:r>
      <w:r>
        <w:rPr>
          <w:color w:val="000000"/>
          <w:spacing w:val="0"/>
          <w:w w:val="100"/>
          <w:position w:val="0"/>
        </w:rPr>
        <w:t>页］。本指导案例发布后，有学 者在研究间接引用本指导案例的</w:t>
      </w:r>
      <w:r>
        <w:rPr>
          <w:rFonts w:ascii="Times New Roman" w:hAnsi="Times New Roman" w:eastAsia="Times New Roman" w:cs="Times New Roman"/>
          <w:color w:val="000000"/>
          <w:spacing w:val="0"/>
          <w:w w:val="100"/>
          <w:position w:val="0"/>
          <w:sz w:val="17"/>
          <w:szCs w:val="17"/>
        </w:rPr>
        <w:t>45</w:t>
      </w:r>
      <w:r>
        <w:rPr>
          <w:color w:val="000000"/>
          <w:spacing w:val="0"/>
          <w:w w:val="100"/>
          <w:position w:val="0"/>
        </w:rPr>
        <w:t>件案例时发现:在委托人未通过其他居间人而直接与第 三人缔约的</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件案例中,法院判决委托人向居间人支付报酬或者承担违约责任;在委托人 通过其他居间人与第三人缔约的</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件案例中，委托人均未被认定为</w:t>
      </w:r>
      <w:r>
        <w:rPr>
          <w:color w:val="000000"/>
          <w:spacing w:val="0"/>
          <w:w w:val="100"/>
          <w:position w:val="0"/>
          <w:lang w:val="zh-CN" w:eastAsia="zh-CN" w:bidi="zh-CN"/>
        </w:rPr>
        <w:t>“跳单”违</w:t>
      </w:r>
      <w:r>
        <w:rPr>
          <w:color w:val="000000"/>
          <w:spacing w:val="0"/>
          <w:w w:val="100"/>
          <w:position w:val="0"/>
        </w:rPr>
        <w:t>约;在另外</w:t>
      </w:r>
      <w:r>
        <w:rPr>
          <w:rFonts w:ascii="Times New Roman" w:hAnsi="Times New Roman" w:eastAsia="Times New Roman" w:cs="Times New Roman"/>
          <w:color w:val="000000"/>
          <w:spacing w:val="0"/>
          <w:w w:val="100"/>
          <w:position w:val="0"/>
          <w:sz w:val="17"/>
          <w:szCs w:val="17"/>
        </w:rPr>
        <w:t xml:space="preserve">10 </w:t>
      </w:r>
      <w:r>
        <w:rPr>
          <w:color w:val="000000"/>
          <w:spacing w:val="0"/>
          <w:w w:val="100"/>
          <w:position w:val="0"/>
        </w:rPr>
        <w:t>件案例中，委托人通过居间人的服务已经与第三人签订了意向书或合同，但没有继续履行 或者被委托人与第三人协议解除,其中法院认定委托人须承担赔偿责任或者支付居间报酬 的案例有</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件（孙维飞:《隐名的指导案例——以“指导案例</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号”为例的分析》，载《清华法学》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D919ACD">
      <w:pPr>
        <w:pStyle w:val="17"/>
        <w:keepNext w:val="0"/>
        <w:keepLines w:val="0"/>
        <w:widowControl w:val="0"/>
        <w:shd w:val="clear" w:color="auto" w:fill="auto"/>
        <w:bidi w:val="0"/>
        <w:spacing w:before="0" w:after="300" w:line="339" w:lineRule="exact"/>
        <w:ind w:left="0" w:right="0" w:firstLine="420"/>
        <w:jc w:val="both"/>
      </w:pPr>
      <w:r>
        <w:rPr>
          <w:color w:val="000000"/>
          <w:spacing w:val="0"/>
          <w:w w:val="100"/>
          <w:position w:val="0"/>
        </w:rPr>
        <w:t>在不存在有效的禁止</w:t>
      </w:r>
      <w:r>
        <w:rPr>
          <w:color w:val="000000"/>
          <w:spacing w:val="0"/>
          <w:w w:val="100"/>
          <w:position w:val="0"/>
          <w:lang w:val="zh-CN" w:eastAsia="zh-CN" w:bidi="zh-CN"/>
        </w:rPr>
        <w:t>“跳单”条款</w:t>
      </w:r>
      <w:r>
        <w:rPr>
          <w:color w:val="000000"/>
          <w:spacing w:val="0"/>
          <w:w w:val="100"/>
          <w:position w:val="0"/>
        </w:rPr>
        <w:t>的情形，在本指导案例发布前,很多法院往往不审查 委托人是否构成</w:t>
      </w:r>
      <w:r>
        <w:rPr>
          <w:color w:val="000000"/>
          <w:spacing w:val="0"/>
          <w:w w:val="100"/>
          <w:position w:val="0"/>
          <w:lang w:val="zh-CN" w:eastAsia="zh-CN" w:bidi="zh-CN"/>
        </w:rPr>
        <w:t>“跳单”，径</w:t>
      </w:r>
      <w:r>
        <w:rPr>
          <w:color w:val="000000"/>
          <w:spacing w:val="0"/>
          <w:w w:val="100"/>
          <w:position w:val="0"/>
        </w:rPr>
        <w:t>直以居间人未促成合同成立为由，依照原《合同法》第</w:t>
      </w:r>
      <w:r>
        <w:rPr>
          <w:rFonts w:ascii="Times New Roman" w:hAnsi="Times New Roman" w:eastAsia="Times New Roman" w:cs="Times New Roman"/>
          <w:color w:val="000000"/>
          <w:spacing w:val="0"/>
          <w:w w:val="100"/>
          <w:position w:val="0"/>
          <w:sz w:val="17"/>
          <w:szCs w:val="17"/>
        </w:rPr>
        <w:t>427</w:t>
      </w:r>
      <w:r>
        <w:rPr>
          <w:color w:val="000000"/>
          <w:spacing w:val="0"/>
          <w:w w:val="100"/>
          <w:position w:val="0"/>
        </w:rPr>
        <w:t>条判 决委托人支付居间人从事居间活动的必要费用,费用数额要么根据委托人自愿给付的数额 确定，要么由法院根据居间人提供服务的情况酌定。也有法院以居间人未促成合同成立为 由，判决驳回其全部诉讼请求［相关判决见戴孟勇：《民法原理与实例研究》（第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册），中国政法大 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321 ~322</w:t>
      </w:r>
      <w:r>
        <w:rPr>
          <w:color w:val="000000"/>
          <w:spacing w:val="0"/>
          <w:w w:val="100"/>
          <w:position w:val="0"/>
        </w:rPr>
        <w:t>页］。在指导案例发布后，对于委托人构成</w:t>
      </w:r>
      <w:r>
        <w:rPr>
          <w:color w:val="000000"/>
          <w:spacing w:val="0"/>
          <w:w w:val="100"/>
          <w:position w:val="0"/>
          <w:lang w:val="zh-CN" w:eastAsia="zh-CN" w:bidi="zh-CN"/>
        </w:rPr>
        <w:t>“跳单”的</w:t>
      </w:r>
      <w:r>
        <w:rPr>
          <w:color w:val="000000"/>
          <w:spacing w:val="0"/>
          <w:w w:val="100"/>
          <w:position w:val="0"/>
        </w:rPr>
        <w:t>案件，有 的法院判决委托人应依约支付报酬，但根据居间人提供服务的程度酌情予以减少［江苏省高 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苏民再</w:t>
      </w:r>
      <w:r>
        <w:rPr>
          <w:rFonts w:ascii="Times New Roman" w:hAnsi="Times New Roman" w:eastAsia="Times New Roman" w:cs="Times New Roman"/>
          <w:color w:val="000000"/>
          <w:spacing w:val="0"/>
          <w:w w:val="100"/>
          <w:position w:val="0"/>
          <w:sz w:val="17"/>
          <w:szCs w:val="17"/>
        </w:rPr>
        <w:t>124</w:t>
      </w:r>
      <w:r>
        <w:rPr>
          <w:color w:val="000000"/>
          <w:spacing w:val="0"/>
          <w:w w:val="100"/>
          <w:position w:val="0"/>
        </w:rPr>
        <w:t>号民事判决书］;也有法院以居间人未促成合同成立为由，判决委 托人向居间人支付必要费用［福建省高级人民法院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闽民申</w:t>
      </w:r>
      <w:r>
        <w:rPr>
          <w:rFonts w:ascii="Times New Roman" w:hAnsi="Times New Roman" w:eastAsia="Times New Roman" w:cs="Times New Roman"/>
          <w:color w:val="000000"/>
          <w:spacing w:val="0"/>
          <w:w w:val="100"/>
          <w:position w:val="0"/>
          <w:sz w:val="17"/>
          <w:szCs w:val="17"/>
        </w:rPr>
        <w:t>3210</w:t>
      </w:r>
      <w:r>
        <w:rPr>
          <w:color w:val="000000"/>
          <w:spacing w:val="0"/>
          <w:w w:val="100"/>
          <w:position w:val="0"/>
        </w:rPr>
        <w:t>号民事裁定书］。</w:t>
      </w:r>
    </w:p>
    <w:p w14:paraId="029BAA62">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3033E843">
      <w:pPr>
        <w:pStyle w:val="17"/>
        <w:keepNext w:val="0"/>
        <w:keepLines w:val="0"/>
        <w:widowControl w:val="0"/>
        <w:shd w:val="clear" w:color="auto" w:fill="auto"/>
        <w:bidi w:val="0"/>
        <w:spacing w:before="0" w:after="380" w:line="343" w:lineRule="exact"/>
        <w:ind w:left="0" w:right="0" w:firstLine="420"/>
        <w:jc w:val="both"/>
      </w:pPr>
      <w:r>
        <w:rPr>
          <w:color w:val="000000"/>
          <w:spacing w:val="0"/>
          <w:w w:val="100"/>
          <w:position w:val="0"/>
        </w:rPr>
        <w:t>针对房地产居间实务中常见的</w:t>
      </w:r>
      <w:r>
        <w:rPr>
          <w:color w:val="000000"/>
          <w:spacing w:val="0"/>
          <w:w w:val="100"/>
          <w:position w:val="0"/>
          <w:lang w:val="zh-CN" w:eastAsia="zh-CN" w:bidi="zh-CN"/>
        </w:rPr>
        <w:t>“跳单”纠纷</w:t>
      </w:r>
      <w:r>
        <w:rPr>
          <w:color w:val="000000"/>
          <w:spacing w:val="0"/>
          <w:w w:val="100"/>
          <w:position w:val="0"/>
        </w:rPr>
        <w:t>，本判决承认禁止</w:t>
      </w:r>
      <w:r>
        <w:rPr>
          <w:color w:val="000000"/>
          <w:spacing w:val="0"/>
          <w:w w:val="100"/>
          <w:position w:val="0"/>
          <w:lang w:val="zh-CN" w:eastAsia="zh-CN" w:bidi="zh-CN"/>
        </w:rPr>
        <w:t>“跳单”条款</w:t>
      </w:r>
      <w:r>
        <w:rPr>
          <w:color w:val="000000"/>
          <w:spacing w:val="0"/>
          <w:w w:val="100"/>
          <w:position w:val="0"/>
        </w:rPr>
        <w:t>原则上合法有 效,并给出委托人不构成</w:t>
      </w:r>
      <w:r>
        <w:rPr>
          <w:color w:val="000000"/>
          <w:spacing w:val="0"/>
          <w:w w:val="100"/>
          <w:position w:val="0"/>
          <w:lang w:val="zh-CN" w:eastAsia="zh-CN" w:bidi="zh-CN"/>
        </w:rPr>
        <w:t>“跳单”违</w:t>
      </w:r>
      <w:r>
        <w:rPr>
          <w:color w:val="000000"/>
          <w:spacing w:val="0"/>
          <w:w w:val="100"/>
          <w:position w:val="0"/>
        </w:rPr>
        <w:t>约的裁判标准，有利于统一相关裁判见解,保护委托人的 合法权益。不过，本判决仅解决了委托人不构成</w:t>
      </w:r>
      <w:r>
        <w:rPr>
          <w:color w:val="000000"/>
          <w:spacing w:val="0"/>
          <w:w w:val="100"/>
          <w:position w:val="0"/>
          <w:lang w:val="zh-CN" w:eastAsia="zh-CN" w:bidi="zh-CN"/>
        </w:rPr>
        <w:t>“跳单”违</w:t>
      </w:r>
      <w:r>
        <w:rPr>
          <w:color w:val="000000"/>
          <w:spacing w:val="0"/>
          <w:w w:val="100"/>
          <w:position w:val="0"/>
        </w:rPr>
        <w:t>约时居间人不享有违约金请求权 的问题，而未结合《合同法》第</w:t>
      </w:r>
      <w:r>
        <w:rPr>
          <w:rFonts w:ascii="Times New Roman" w:hAnsi="Times New Roman" w:eastAsia="Times New Roman" w:cs="Times New Roman"/>
          <w:color w:val="000000"/>
          <w:spacing w:val="0"/>
          <w:w w:val="100"/>
          <w:position w:val="0"/>
          <w:sz w:val="17"/>
          <w:szCs w:val="17"/>
        </w:rPr>
        <w:t>427</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964</w:t>
      </w:r>
      <w:r>
        <w:rPr>
          <w:color w:val="000000"/>
          <w:spacing w:val="0"/>
          <w:w w:val="100"/>
          <w:position w:val="0"/>
        </w:rPr>
        <w:t>条）考虑居间人的费用偿还请求权。 在委托人构成</w:t>
      </w:r>
      <w:r>
        <w:rPr>
          <w:color w:val="000000"/>
          <w:spacing w:val="0"/>
          <w:w w:val="100"/>
          <w:position w:val="0"/>
          <w:lang w:val="zh-CN" w:eastAsia="zh-CN" w:bidi="zh-CN"/>
        </w:rPr>
        <w:t>“跳单”违</w:t>
      </w:r>
      <w:r>
        <w:rPr>
          <w:color w:val="000000"/>
          <w:spacing w:val="0"/>
          <w:w w:val="100"/>
          <w:position w:val="0"/>
        </w:rPr>
        <w:t>约时，如果禁止</w:t>
      </w:r>
      <w:r>
        <w:rPr>
          <w:color w:val="000000"/>
          <w:spacing w:val="0"/>
          <w:w w:val="100"/>
          <w:position w:val="0"/>
          <w:lang w:val="zh-CN" w:eastAsia="zh-CN" w:bidi="zh-CN"/>
        </w:rPr>
        <w:t>“跳单”条</w:t>
      </w:r>
      <w:r>
        <w:rPr>
          <w:color w:val="000000"/>
          <w:spacing w:val="0"/>
          <w:w w:val="100"/>
          <w:position w:val="0"/>
        </w:rPr>
        <w:t>款约定的违约金过高或者仅约定委托人应 当支付居间报酬，委托人能否请求法院减少违约金或者报酬？这些问题尚需进一步讨论。 另外,在委托人构成</w:t>
      </w:r>
      <w:r>
        <w:rPr>
          <w:color w:val="000000"/>
          <w:spacing w:val="0"/>
          <w:w w:val="100"/>
          <w:position w:val="0"/>
          <w:lang w:val="zh-CN" w:eastAsia="zh-CN" w:bidi="zh-CN"/>
        </w:rPr>
        <w:t>“跳单”时</w:t>
      </w:r>
      <w:r>
        <w:rPr>
          <w:color w:val="000000"/>
          <w:spacing w:val="0"/>
          <w:w w:val="100"/>
          <w:position w:val="0"/>
        </w:rPr>
        <w:t>，如果不存在有效的禁止</w:t>
      </w:r>
      <w:r>
        <w:rPr>
          <w:color w:val="000000"/>
          <w:spacing w:val="0"/>
          <w:w w:val="100"/>
          <w:position w:val="0"/>
          <w:lang w:val="zh-CN" w:eastAsia="zh-CN" w:bidi="zh-CN"/>
        </w:rPr>
        <w:t>“跳单”条款</w:t>
      </w:r>
      <w:r>
        <w:rPr>
          <w:color w:val="000000"/>
          <w:spacing w:val="0"/>
          <w:w w:val="100"/>
          <w:position w:val="0"/>
        </w:rPr>
        <w:t>，居间人是否以及如何主 张报酬请求权？也需要结合《民法典》第</w:t>
      </w:r>
      <w:r>
        <w:rPr>
          <w:rFonts w:ascii="Times New Roman" w:hAnsi="Times New Roman" w:eastAsia="Times New Roman" w:cs="Times New Roman"/>
          <w:color w:val="000000"/>
          <w:spacing w:val="0"/>
          <w:w w:val="100"/>
          <w:position w:val="0"/>
          <w:sz w:val="19"/>
          <w:szCs w:val="19"/>
        </w:rPr>
        <w:t>965</w:t>
      </w:r>
      <w:r>
        <w:rPr>
          <w:color w:val="000000"/>
          <w:spacing w:val="0"/>
          <w:w w:val="100"/>
          <w:position w:val="0"/>
        </w:rPr>
        <w:t>条的规定继续研究。</w:t>
      </w:r>
    </w:p>
    <w:p w14:paraId="2827EB06">
      <w:pPr>
        <w:pStyle w:val="11"/>
        <w:keepNext w:val="0"/>
        <w:keepLines w:val="0"/>
        <w:widowControl w:val="0"/>
        <w:shd w:val="clear" w:color="auto" w:fill="auto"/>
        <w:bidi w:val="0"/>
        <w:spacing w:before="0" w:after="40"/>
        <w:ind w:left="0" w:right="0" w:firstLine="0"/>
        <w:jc w:val="both"/>
      </w:pPr>
      <w:r>
        <w:rPr>
          <w:color w:val="000000"/>
          <w:spacing w:val="0"/>
          <w:w w:val="100"/>
          <w:position w:val="0"/>
        </w:rPr>
        <w:t>回参考文献</w:t>
      </w:r>
    </w:p>
    <w:p w14:paraId="4E0C2DE1">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戴孟勇：《民法原理与实例研究》（第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册），中国政法大学出版社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F06F2B0">
      <w:pPr>
        <w:pStyle w:val="17"/>
        <w:keepNext w:val="0"/>
        <w:keepLines w:val="0"/>
        <w:widowControl w:val="0"/>
        <w:shd w:val="clear" w:color="auto" w:fill="auto"/>
        <w:bidi w:val="0"/>
        <w:spacing w:before="0" w:after="100" w:line="340" w:lineRule="exact"/>
        <w:ind w:left="0" w:right="0" w:firstLine="0"/>
        <w:jc w:val="both"/>
      </w:pPr>
      <w:r>
        <w:rPr>
          <w:color w:val="000000"/>
          <w:spacing w:val="0"/>
          <w:w w:val="100"/>
          <w:position w:val="0"/>
        </w:rPr>
        <w:t>孙维飞:《隐名的指导案例——以“指导案例</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号”为例的分析》，载《清华法学》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36A9A61">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其木提:《论</w:t>
      </w:r>
      <w:r>
        <w:rPr>
          <w:color w:val="000000"/>
          <w:spacing w:val="0"/>
          <w:w w:val="100"/>
          <w:position w:val="0"/>
          <w:lang w:val="zh-CN" w:eastAsia="zh-CN" w:bidi="zh-CN"/>
        </w:rPr>
        <w:t>“跳单”之认</w:t>
      </w:r>
      <w:r>
        <w:rPr>
          <w:color w:val="000000"/>
          <w:spacing w:val="0"/>
          <w:w w:val="100"/>
          <w:position w:val="0"/>
        </w:rPr>
        <w:t>定标准——最高人民法院指导案例</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号评释》，载《交大法学》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D756382">
      <w:pPr>
        <w:pStyle w:val="17"/>
        <w:keepNext w:val="0"/>
        <w:keepLines w:val="0"/>
        <w:widowControl w:val="0"/>
        <w:shd w:val="clear" w:color="auto" w:fill="auto"/>
        <w:bidi w:val="0"/>
        <w:spacing w:before="0" w:after="40" w:line="348" w:lineRule="exact"/>
        <w:ind w:left="180" w:right="0" w:hanging="180"/>
        <w:jc w:val="both"/>
      </w:pPr>
      <w:r>
        <w:rPr>
          <w:color w:val="000000"/>
          <w:spacing w:val="0"/>
          <w:w w:val="100"/>
          <w:position w:val="0"/>
        </w:rPr>
        <w:t>周江洪:</w:t>
      </w:r>
      <w:r>
        <w:rPr>
          <w:color w:val="000000"/>
          <w:spacing w:val="0"/>
          <w:w w:val="100"/>
          <w:position w:val="0"/>
          <w:lang w:val="zh-CN" w:eastAsia="zh-CN" w:bidi="zh-CN"/>
        </w:rPr>
        <w:t>《“上</w:t>
      </w:r>
      <w:r>
        <w:rPr>
          <w:color w:val="000000"/>
          <w:spacing w:val="0"/>
          <w:w w:val="100"/>
          <w:position w:val="0"/>
        </w:rPr>
        <w:t>海中原物业顾问有限公司诉陶德华居间合同纠纷案”评释》，载《浙江社会科学》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332D20B">
      <w:pPr>
        <w:pStyle w:val="17"/>
        <w:keepNext w:val="0"/>
        <w:keepLines w:val="0"/>
        <w:widowControl w:val="0"/>
        <w:shd w:val="clear" w:color="auto" w:fill="auto"/>
        <w:bidi w:val="0"/>
        <w:spacing w:before="0" w:after="80" w:line="240" w:lineRule="auto"/>
        <w:ind w:left="0" w:right="0" w:firstLine="0"/>
        <w:jc w:val="both"/>
        <w:sectPr>
          <w:headerReference r:id="rId173" w:type="default"/>
          <w:headerReference r:id="rId174" w:type="even"/>
          <w:footnotePr>
            <w:numFmt w:val="chicago"/>
          </w:footnotePr>
          <w:pgSz w:w="10099" w:h="14782"/>
          <w:pgMar w:top="1284" w:right="1068" w:bottom="1125" w:left="1024" w:header="0" w:footer="3" w:gutter="0"/>
          <w:pgNumType w:start="122"/>
          <w:cols w:space="720" w:num="1"/>
          <w:rtlGutter w:val="0"/>
          <w:docGrid w:linePitch="360" w:charSpace="0"/>
        </w:sectPr>
      </w:pPr>
      <w:r>
        <w:rPr>
          <w:color w:val="000000"/>
          <w:spacing w:val="0"/>
          <w:w w:val="100"/>
          <w:position w:val="0"/>
        </w:rPr>
        <w:t>税兵:《居间合同中的双边道德风险——以</w:t>
      </w:r>
      <w:r>
        <w:rPr>
          <w:color w:val="000000"/>
          <w:spacing w:val="0"/>
          <w:w w:val="100"/>
          <w:position w:val="0"/>
          <w:lang w:val="zh-CN" w:eastAsia="zh-CN" w:bidi="zh-CN"/>
        </w:rPr>
        <w:t>“跳单”现象</w:t>
      </w:r>
      <w:r>
        <w:rPr>
          <w:color w:val="000000"/>
          <w:spacing w:val="0"/>
          <w:w w:val="100"/>
          <w:position w:val="0"/>
        </w:rPr>
        <w:t>为例》，载《法学》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3A641FB5">
      <w:pPr>
        <w:widowControl w:val="0"/>
        <w:spacing w:line="70" w:lineRule="exact"/>
        <w:rPr>
          <w:sz w:val="6"/>
          <w:szCs w:val="6"/>
        </w:rPr>
      </w:pPr>
    </w:p>
    <w:p w14:paraId="673A2ECD">
      <w:pPr>
        <w:widowControl w:val="0"/>
        <w:spacing w:line="1" w:lineRule="exact"/>
        <w:sectPr>
          <w:headerReference r:id="rId175" w:type="default"/>
          <w:headerReference r:id="rId176" w:type="even"/>
          <w:footnotePr>
            <w:numFmt w:val="chicago"/>
          </w:footnotePr>
          <w:pgSz w:w="10099" w:h="14782"/>
          <w:pgMar w:top="1265" w:right="1005" w:bottom="1149" w:left="1095" w:header="0" w:footer="3" w:gutter="0"/>
          <w:pgNumType w:start="142"/>
          <w:cols w:space="720" w:num="1"/>
          <w:rtlGutter w:val="0"/>
          <w:docGrid w:linePitch="360" w:charSpace="0"/>
        </w:sectPr>
      </w:pPr>
    </w:p>
    <w:p w14:paraId="5811EA19">
      <w:pPr>
        <w:widowControl w:val="0"/>
        <w:spacing w:line="1" w:lineRule="exact"/>
      </w:pPr>
      <w:r>
        <mc:AlternateContent>
          <mc:Choice Requires="wps">
            <w:drawing>
              <wp:anchor distT="0" distB="7620" distL="114300" distR="3856990" simplePos="0" relativeHeight="251660288" behindDoc="0" locked="0" layoutInCell="1" allowOverlap="1">
                <wp:simplePos x="0" y="0"/>
                <wp:positionH relativeFrom="page">
                  <wp:posOffset>759460</wp:posOffset>
                </wp:positionH>
                <wp:positionV relativeFrom="paragraph">
                  <wp:posOffset>12700</wp:posOffset>
                </wp:positionV>
                <wp:extent cx="449580" cy="304800"/>
                <wp:effectExtent l="0" t="0" r="0" b="0"/>
                <wp:wrapTopAndBottom/>
                <wp:docPr id="389" name="Shape 38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57FF3C19">
                            <w:pPr>
                              <w:pStyle w:val="27"/>
                              <w:keepNext/>
                              <w:keepLines/>
                              <w:widowControl w:val="0"/>
                              <w:shd w:val="clear" w:color="auto" w:fill="auto"/>
                              <w:bidi w:val="0"/>
                              <w:spacing w:before="0" w:after="0" w:line="240" w:lineRule="auto"/>
                              <w:ind w:left="0" w:right="0" w:firstLine="0"/>
                              <w:jc w:val="left"/>
                            </w:pPr>
                            <w:bookmarkStart w:id="318" w:name="bookmark166"/>
                            <w:bookmarkStart w:id="319" w:name="bookmark168"/>
                            <w:bookmarkStart w:id="320" w:name="bookmark167"/>
                            <w:r>
                              <w:rPr>
                                <w:rFonts w:ascii="Times New Roman" w:hAnsi="Times New Roman" w:eastAsia="Times New Roman" w:cs="Times New Roman"/>
                                <w:color w:val="000000"/>
                                <w:spacing w:val="0"/>
                                <w:w w:val="100"/>
                                <w:position w:val="0"/>
                              </w:rPr>
                              <w:t>026</w:t>
                            </w:r>
                            <w:bookmarkEnd w:id="318"/>
                            <w:bookmarkEnd w:id="319"/>
                            <w:bookmarkEnd w:id="320"/>
                          </w:p>
                        </w:txbxContent>
                      </wps:txbx>
                      <wps:bodyPr wrap="none" lIns="0" tIns="0" rIns="0" bIns="0">
                        <a:noAutofit/>
                      </wps:bodyPr>
                    </wps:wsp>
                  </a:graphicData>
                </a:graphic>
              </wp:anchor>
            </w:drawing>
          </mc:Choice>
          <mc:Fallback>
            <w:pict>
              <v:shape id="Shape 389" o:spid="_x0000_s1026" o:spt="202" type="#_x0000_t202" style="position:absolute;left:0pt;margin-left:59.8pt;margin-top:1pt;height:24pt;width:35.4pt;mso-position-horizontal-relative:page;mso-wrap-distance-bottom:0.6pt;mso-wrap-distance-top:0pt;mso-wrap-style:none;z-index:251660288;mso-width-relative:page;mso-height-relative:page;" filled="f" stroked="f" coordsize="21600,21600" o:gfxdata="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v3s3PUAAAA&#10;CAEAAA8AAAAAAAAAAQAgAAAAIgAAAGRycy9kb3ducmV2LnhtbFBLAQIUABQAAAAIAIdO4kCdK6/D&#10;rwEAAHMDAAAOAAAAAAAAAAEAIAAAACMBAABkcnMvZTJvRG9jLnhtbFBLBQYAAAAABgAGAFkBAABE&#10;BQAAAAA=&#10;">
                <v:fill on="f" focussize="0,0"/>
                <v:stroke on="f"/>
                <v:imagedata o:title=""/>
                <o:lock v:ext="edit" aspectratio="f"/>
                <v:textbox inset="0mm,0mm,0mm,0mm">
                  <w:txbxContent>
                    <w:p w14:paraId="57FF3C19">
                      <w:pPr>
                        <w:pStyle w:val="27"/>
                        <w:keepNext/>
                        <w:keepLines/>
                        <w:widowControl w:val="0"/>
                        <w:shd w:val="clear" w:color="auto" w:fill="auto"/>
                        <w:bidi w:val="0"/>
                        <w:spacing w:before="0" w:after="0" w:line="240" w:lineRule="auto"/>
                        <w:ind w:left="0" w:right="0" w:firstLine="0"/>
                        <w:jc w:val="left"/>
                      </w:pPr>
                      <w:bookmarkStart w:id="318" w:name="bookmark166"/>
                      <w:bookmarkStart w:id="319" w:name="bookmark168"/>
                      <w:bookmarkStart w:id="320" w:name="bookmark167"/>
                      <w:r>
                        <w:rPr>
                          <w:rFonts w:ascii="Times New Roman" w:hAnsi="Times New Roman" w:eastAsia="Times New Roman" w:cs="Times New Roman"/>
                          <w:color w:val="000000"/>
                          <w:spacing w:val="0"/>
                          <w:w w:val="100"/>
                          <w:position w:val="0"/>
                        </w:rPr>
                        <w:t>026</w:t>
                      </w:r>
                      <w:bookmarkEnd w:id="318"/>
                      <w:bookmarkEnd w:id="319"/>
                      <w:bookmarkEnd w:id="320"/>
                    </w:p>
                  </w:txbxContent>
                </v:textbox>
                <w10:wrap type="topAndBottom"/>
              </v:shape>
            </w:pict>
          </mc:Fallback>
        </mc:AlternateContent>
      </w:r>
      <w:r>
        <mc:AlternateContent>
          <mc:Choice Requires="wps">
            <w:drawing>
              <wp:anchor distT="82550" distB="0" distL="690245" distR="114300" simplePos="0" relativeHeight="251660288" behindDoc="0" locked="0" layoutInCell="1" allowOverlap="1">
                <wp:simplePos x="0" y="0"/>
                <wp:positionH relativeFrom="page">
                  <wp:posOffset>1335405</wp:posOffset>
                </wp:positionH>
                <wp:positionV relativeFrom="paragraph">
                  <wp:posOffset>95250</wp:posOffset>
                </wp:positionV>
                <wp:extent cx="3616325" cy="229870"/>
                <wp:effectExtent l="0" t="0" r="0" b="0"/>
                <wp:wrapTopAndBottom/>
                <wp:docPr id="391" name="Shape 391"/>
                <wp:cNvGraphicFramePr/>
                <a:graphic xmlns:a="http://schemas.openxmlformats.org/drawingml/2006/main">
                  <a:graphicData uri="http://schemas.microsoft.com/office/word/2010/wordprocessingShape">
                    <wps:wsp>
                      <wps:cNvSpPr txBox="1"/>
                      <wps:spPr>
                        <a:xfrm>
                          <a:off x="0" y="0"/>
                          <a:ext cx="3616325" cy="229870"/>
                        </a:xfrm>
                        <a:prstGeom prst="rect">
                          <a:avLst/>
                        </a:prstGeom>
                        <a:noFill/>
                      </wps:spPr>
                      <wps:txbx>
                        <w:txbxContent>
                          <w:p w14:paraId="1BB711A4">
                            <w:pPr>
                              <w:pStyle w:val="15"/>
                              <w:keepNext/>
                              <w:keepLines/>
                              <w:widowControl w:val="0"/>
                              <w:shd w:val="clear" w:color="auto" w:fill="auto"/>
                              <w:bidi w:val="0"/>
                              <w:spacing w:before="0" w:after="0" w:line="240" w:lineRule="auto"/>
                              <w:ind w:left="0" w:right="0" w:firstLine="0"/>
                              <w:jc w:val="left"/>
                            </w:pPr>
                            <w:bookmarkStart w:id="321" w:name="bookmark169"/>
                            <w:bookmarkStart w:id="322" w:name="bookmark170"/>
                            <w:bookmarkStart w:id="323" w:name="bookmark171"/>
                            <w:r>
                              <w:rPr>
                                <w:color w:val="000000"/>
                                <w:spacing w:val="0"/>
                                <w:w w:val="100"/>
                                <w:position w:val="0"/>
                              </w:rPr>
                              <w:t>定期履行租金债权诉讼时效期间的起算规则</w:t>
                            </w:r>
                            <w:bookmarkEnd w:id="321"/>
                            <w:bookmarkEnd w:id="322"/>
                            <w:bookmarkEnd w:id="323"/>
                          </w:p>
                        </w:txbxContent>
                      </wps:txbx>
                      <wps:bodyPr wrap="none" lIns="0" tIns="0" rIns="0" bIns="0">
                        <a:noAutofit/>
                      </wps:bodyPr>
                    </wps:wsp>
                  </a:graphicData>
                </a:graphic>
              </wp:anchor>
            </w:drawing>
          </mc:Choice>
          <mc:Fallback>
            <w:pict>
              <v:shape id="Shape 391" o:spid="_x0000_s1026" o:spt="202" type="#_x0000_t202" style="position:absolute;left:0pt;margin-left:105.15pt;margin-top:7.5pt;height:18.1pt;width:284.75pt;mso-position-horizontal-relative:page;mso-wrap-distance-bottom:0pt;mso-wrap-distance-top:6.5pt;mso-wrap-style:none;z-index:251660288;mso-width-relative:page;mso-height-relative:page;" filled="f" stroked="f" coordsize="21600,21600" o:gfxdata="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1PjsTW&#10;AAAACQEAAA8AAAAAAAAAAQAgAAAAIgAAAGRycy9kb3ducmV2LnhtbFBLAQIUABQAAAAIAIdO4kBP&#10;40PcsAEAAHQDAAAOAAAAAAAAAAEAIAAAACUBAABkcnMvZTJvRG9jLnhtbFBLBQYAAAAABgAGAFkB&#10;AABHBQAAAAA=&#10;">
                <v:fill on="f" focussize="0,0"/>
                <v:stroke on="f"/>
                <v:imagedata o:title=""/>
                <o:lock v:ext="edit" aspectratio="f"/>
                <v:textbox inset="0mm,0mm,0mm,0mm">
                  <w:txbxContent>
                    <w:p w14:paraId="1BB711A4">
                      <w:pPr>
                        <w:pStyle w:val="15"/>
                        <w:keepNext/>
                        <w:keepLines/>
                        <w:widowControl w:val="0"/>
                        <w:shd w:val="clear" w:color="auto" w:fill="auto"/>
                        <w:bidi w:val="0"/>
                        <w:spacing w:before="0" w:after="0" w:line="240" w:lineRule="auto"/>
                        <w:ind w:left="0" w:right="0" w:firstLine="0"/>
                        <w:jc w:val="left"/>
                      </w:pPr>
                      <w:bookmarkStart w:id="321" w:name="bookmark169"/>
                      <w:bookmarkStart w:id="322" w:name="bookmark170"/>
                      <w:bookmarkStart w:id="323" w:name="bookmark171"/>
                      <w:r>
                        <w:rPr>
                          <w:color w:val="000000"/>
                          <w:spacing w:val="0"/>
                          <w:w w:val="100"/>
                          <w:position w:val="0"/>
                        </w:rPr>
                        <w:t>定期履行租金债权诉讼时效期间的起算规则</w:t>
                      </w:r>
                      <w:bookmarkEnd w:id="321"/>
                      <w:bookmarkEnd w:id="322"/>
                      <w:bookmarkEnd w:id="32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5133340</wp:posOffset>
            </wp:positionH>
            <wp:positionV relativeFrom="paragraph">
              <wp:posOffset>222250</wp:posOffset>
            </wp:positionV>
            <wp:extent cx="615950" cy="615950"/>
            <wp:effectExtent l="0" t="0" r="6350" b="6350"/>
            <wp:wrapSquare wrapText="left"/>
            <wp:docPr id="393" name="Shape 393"/>
            <wp:cNvGraphicFramePr/>
            <a:graphic xmlns:a="http://schemas.openxmlformats.org/drawingml/2006/main">
              <a:graphicData uri="http://schemas.openxmlformats.org/drawingml/2006/picture">
                <pic:pic xmlns:pic="http://schemas.openxmlformats.org/drawingml/2006/picture">
                  <pic:nvPicPr>
                    <pic:cNvPr id="393" name="Shape 393"/>
                    <pic:cNvPicPr/>
                  </pic:nvPicPr>
                  <pic:blipFill>
                    <a:blip r:embed="rId627"/>
                    <a:stretch>
                      <a:fillRect/>
                    </a:stretch>
                  </pic:blipFill>
                  <pic:spPr>
                    <a:xfrm>
                      <a:off x="0" y="0"/>
                      <a:ext cx="615950" cy="615950"/>
                    </a:xfrm>
                    <a:prstGeom prst="rect">
                      <a:avLst/>
                    </a:prstGeom>
                  </pic:spPr>
                </pic:pic>
              </a:graphicData>
            </a:graphic>
          </wp:anchor>
        </w:drawing>
      </w:r>
    </w:p>
    <w:p w14:paraId="67BE87B2">
      <w:pPr>
        <w:pStyle w:val="17"/>
        <w:keepNext w:val="0"/>
        <w:keepLines w:val="0"/>
        <w:widowControl w:val="0"/>
        <w:shd w:val="clear" w:color="auto" w:fill="auto"/>
        <w:bidi w:val="0"/>
        <w:spacing w:before="0" w:after="420" w:line="314" w:lineRule="exact"/>
        <w:ind w:left="1000" w:right="0" w:firstLine="0"/>
        <w:jc w:val="both"/>
      </w:pPr>
      <w:r>
        <w:rPr>
          <w:color w:val="000000"/>
          <w:spacing w:val="0"/>
          <w:w w:val="100"/>
          <w:position w:val="0"/>
        </w:rPr>
        <w:t>大连市物资回收总公司、大连市国土资源和房屋局土地租赁合同纠 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3959</w:t>
      </w:r>
      <w:r>
        <w:rPr>
          <w:color w:val="000000"/>
          <w:spacing w:val="0"/>
          <w:w w:val="100"/>
          <w:position w:val="0"/>
        </w:rPr>
        <w:t>号民事裁定书</w:t>
      </w:r>
    </w:p>
    <w:p w14:paraId="1C86FC36">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周江洪</w:t>
      </w:r>
      <w:r>
        <w:rPr>
          <w:color w:val="000000"/>
          <w:spacing w:val="0"/>
          <w:w w:val="100"/>
          <w:position w:val="0"/>
        </w:rPr>
        <w:t>浙江大学光华法学院</w:t>
      </w:r>
    </w:p>
    <w:p w14:paraId="17E70D18">
      <w:pPr>
        <w:pStyle w:val="11"/>
        <w:keepNext w:val="0"/>
        <w:keepLines w:val="0"/>
        <w:widowControl w:val="0"/>
        <w:shd w:val="clear" w:color="auto" w:fill="auto"/>
        <w:bidi w:val="0"/>
        <w:spacing w:before="0" w:after="80" w:line="344"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7D257BDE">
      <w:pPr>
        <w:pStyle w:val="17"/>
        <w:keepNext w:val="0"/>
        <w:keepLines w:val="0"/>
        <w:widowControl w:val="0"/>
        <w:shd w:val="clear" w:color="auto" w:fill="auto"/>
        <w:bidi w:val="0"/>
        <w:spacing w:before="0" w:after="0" w:line="344" w:lineRule="exact"/>
        <w:ind w:left="0" w:right="0" w:firstLine="420"/>
        <w:jc w:val="both"/>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日，再审申请人大连市物资回收总公司（以下简称</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公司）与再审被申 请人大连市国土资源和房屋局（以下简称</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局）签订的《土地使用权租赁合同书》约定，案 涉土地租期自</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2028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日共计</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年，同时约定了使用期限内 每年缴纳的租金标准及租金总额，自</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年起每年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月交纳每年的租金。</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公司主张本 案</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日之前的租金都已经超过诉讼时效，但未被辽宁省高级人民法院</w:t>
      </w:r>
      <w:r>
        <w:rPr>
          <w:rFonts w:ascii="Times New Roman" w:hAnsi="Times New Roman" w:eastAsia="Times New Roman" w:cs="Times New Roman"/>
          <w:color w:val="000000"/>
          <w:spacing w:val="0"/>
          <w:w w:val="100"/>
          <w:position w:val="0"/>
          <w:sz w:val="19"/>
          <w:szCs w:val="19"/>
        </w:rPr>
        <w:t xml:space="preserve">（2017） </w:t>
      </w:r>
      <w:r>
        <w:rPr>
          <w:color w:val="000000"/>
          <w:spacing w:val="0"/>
          <w:w w:val="100"/>
          <w:position w:val="0"/>
        </w:rPr>
        <w:t>辽民终</w:t>
      </w:r>
      <w:r>
        <w:rPr>
          <w:rFonts w:ascii="Times New Roman" w:hAnsi="Times New Roman" w:eastAsia="Times New Roman" w:cs="Times New Roman"/>
          <w:color w:val="000000"/>
          <w:spacing w:val="0"/>
          <w:w w:val="100"/>
          <w:position w:val="0"/>
          <w:sz w:val="19"/>
          <w:szCs w:val="19"/>
        </w:rPr>
        <w:t>447</w:t>
      </w:r>
      <w:r>
        <w:rPr>
          <w:color w:val="000000"/>
          <w:spacing w:val="0"/>
          <w:w w:val="100"/>
          <w:position w:val="0"/>
        </w:rPr>
        <w:t>号民事判决采纳。</w:t>
      </w:r>
    </w:p>
    <w:p w14:paraId="38A2EE89">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公司向最高人民法院（以下简称最高院）申请再审。其主要理由如下：（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）案涉土地 租金系定期给付债务，是继续性合同在合同履行中持续定期发生的债务，并非分期履行债 务，不适用关于分期履行债务诉讼时效的规定。法院适用《民法总则》第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条关于分期付 款的规定错误。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关于租金诉讼时效的计算，应当从每期债务履行期满之日次日起计算。 据此，本案</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日之前的租金已经超过诉讼时效。</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局提交意见称，分期缴纳 的场地租金属于同一债务分期履行之债,诉讼时效期间应从最后一期履行期限届满之日开 始计算。案涉土地租金性质属于土地出让收入,属于国家财产,不受诉讼时效期间的限制。</w:t>
      </w:r>
    </w:p>
    <w:p w14:paraId="24D71F94">
      <w:pPr>
        <w:pStyle w:val="11"/>
        <w:keepNext w:val="0"/>
        <w:keepLines w:val="0"/>
        <w:widowControl w:val="0"/>
        <w:shd w:val="clear" w:color="auto" w:fill="auto"/>
        <w:bidi w:val="0"/>
        <w:spacing w:before="0" w:after="0" w:line="344"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58430A3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驳回再审申请。</w:t>
      </w:r>
    </w:p>
    <w:p w14:paraId="01F0B42D">
      <w:pPr>
        <w:pStyle w:val="17"/>
        <w:keepNext w:val="0"/>
        <w:keepLines w:val="0"/>
        <w:widowControl w:val="0"/>
        <w:shd w:val="clear" w:color="auto" w:fill="auto"/>
        <w:bidi w:val="0"/>
        <w:spacing w:before="0" w:after="360" w:line="340" w:lineRule="exact"/>
        <w:ind w:left="0" w:right="0" w:firstLine="420"/>
        <w:jc w:val="both"/>
        <w:sectPr>
          <w:footnotePr>
            <w:numFmt w:val="chicago"/>
          </w:footnotePr>
          <w:type w:val="continuous"/>
          <w:pgSz w:w="10099" w:h="14782"/>
          <w:pgMar w:top="1265" w:right="1005" w:bottom="1149" w:left="1095" w:header="837" w:footer="721" w:gutter="0"/>
          <w:cols w:space="720" w:num="1"/>
          <w:rtlGutter w:val="0"/>
          <w:docGrid w:linePitch="360" w:charSpace="0"/>
        </w:sectPr>
      </w:pPr>
      <w:r>
        <w:rPr>
          <w:color w:val="000000"/>
          <w:spacing w:val="0"/>
          <w:w w:val="100"/>
          <w:position w:val="0"/>
        </w:rPr>
        <w:t>案涉土地的租赁期限、租金系对国有土地有偿使用的整体约定。二审判决认定本案租 金债权具有整体性并无不当。虽然合同约定租金自</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年起每年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月缴纳使每次租金的 支付具有一定的独立性,但约定租金支付的独立性不足以否定案涉租金债权的整体性。最 高人民法院《关于审理民事案件适用诉讼时效制度若干问题的规定》第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条规定：“当事人 约定同一债务分期履行的，诉讼时效期间从最后一期履行期限届满之日起计算</w:t>
      </w:r>
      <w:r>
        <w:rPr>
          <w:color w:val="000000"/>
          <w:spacing w:val="0"/>
          <w:w w:val="100"/>
          <w:position w:val="0"/>
          <w:lang w:val="zh-CN" w:eastAsia="zh-CN" w:bidi="zh-CN"/>
        </w:rPr>
        <w:t>。”因</w:t>
      </w:r>
      <w:r>
        <w:rPr>
          <w:color w:val="000000"/>
          <w:spacing w:val="0"/>
          <w:w w:val="100"/>
          <w:position w:val="0"/>
        </w:rPr>
        <w:t>案涉合 同至今仍在履行期间，约定的最后一期债务履行期限尚未届满，二审判决依据原《民法总 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w:t>
      </w:r>
      <w:r>
        <w:rPr>
          <w:color w:val="000000"/>
          <w:spacing w:val="0"/>
          <w:w w:val="100"/>
          <w:position w:val="0"/>
          <w:lang w:val="zh-CN" w:eastAsia="zh-CN" w:bidi="zh-CN"/>
        </w:rPr>
        <w:t>“当事</w:t>
      </w:r>
      <w:r>
        <w:rPr>
          <w:color w:val="000000"/>
          <w:spacing w:val="0"/>
          <w:w w:val="100"/>
          <w:position w:val="0"/>
        </w:rPr>
        <w:t>人约定同一债务分期履行的，诉讼时效期间自最后一期履行期限届满之 日起计算”的规定，对</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公司提出的本案</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 xml:space="preserve">年以前的租金债权已过诉讼时效期间的抗辩 </w:t>
      </w:r>
    </w:p>
    <w:p w14:paraId="59045286">
      <w:pPr>
        <w:pStyle w:val="17"/>
        <w:keepNext w:val="0"/>
        <w:keepLines w:val="0"/>
        <w:widowControl w:val="0"/>
        <w:shd w:val="clear" w:color="auto" w:fill="auto"/>
        <w:bidi w:val="0"/>
        <w:spacing w:before="0" w:after="360" w:line="340" w:lineRule="exact"/>
        <w:ind w:left="0" w:right="0" w:firstLine="0"/>
        <w:jc w:val="both"/>
      </w:pPr>
      <w:r>
        <w:rPr>
          <w:color w:val="000000"/>
          <w:spacing w:val="0"/>
          <w:w w:val="100"/>
          <w:position w:val="0"/>
        </w:rPr>
        <w:t>主张未予支持，适用法律正确。</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公司申请再审的主张缺乏法律依据，理由不成立。</w:t>
      </w:r>
    </w:p>
    <w:p w14:paraId="091899D7">
      <w:pPr>
        <w:pStyle w:val="11"/>
        <w:keepNext w:val="0"/>
        <w:keepLines w:val="0"/>
        <w:widowControl w:val="0"/>
        <w:shd w:val="clear" w:color="auto" w:fill="auto"/>
        <w:bidi w:val="0"/>
        <w:spacing w:before="0" w:after="260" w:line="342" w:lineRule="exact"/>
        <w:ind w:left="0" w:right="0" w:firstLine="0"/>
        <w:jc w:val="both"/>
      </w:pPr>
      <w:r>
        <w:rPr>
          <w:color w:val="000000"/>
          <w:spacing w:val="0"/>
          <w:w w:val="100"/>
          <w:position w:val="0"/>
        </w:rPr>
        <w:t>■评析</w:t>
      </w:r>
    </w:p>
    <w:p w14:paraId="066B147A">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本裁定的思路和意义</w:t>
      </w:r>
    </w:p>
    <w:p w14:paraId="48E283BA">
      <w:pPr>
        <w:pStyle w:val="17"/>
        <w:keepNext w:val="0"/>
        <w:keepLines w:val="0"/>
        <w:widowControl w:val="0"/>
        <w:shd w:val="clear" w:color="auto" w:fill="auto"/>
        <w:bidi w:val="0"/>
        <w:spacing w:before="0" w:after="180" w:line="346" w:lineRule="exact"/>
        <w:ind w:left="0" w:right="0" w:firstLine="420"/>
        <w:jc w:val="both"/>
      </w:pPr>
      <w:r>
        <w:rPr>
          <w:color w:val="000000"/>
          <w:spacing w:val="0"/>
          <w:w w:val="100"/>
          <w:position w:val="0"/>
        </w:rPr>
        <w:t>本案中，租金债务人以定期履行租金债权并非原《民法总则》第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条规定的“同一债 务分期履行</w:t>
      </w:r>
      <w:r>
        <w:rPr>
          <w:color w:val="000000"/>
          <w:spacing w:val="0"/>
          <w:w w:val="100"/>
          <w:position w:val="0"/>
          <w:lang w:val="zh-CN" w:eastAsia="zh-CN" w:bidi="zh-CN"/>
        </w:rPr>
        <w:t>”为由</w:t>
      </w:r>
      <w:r>
        <w:rPr>
          <w:color w:val="000000"/>
          <w:spacing w:val="0"/>
          <w:w w:val="100"/>
          <w:position w:val="0"/>
        </w:rPr>
        <w:t>，主张租金债权的诉讼时效应当从每期租金债务履行期限届满时开始起 算。但最高院并未采纳该观点，而是认为租金支付的独立性不足以否定案涉租金债权的整 体性，进而认为应当从最后一期租金履行届满之日起计算。本案中关于租金债权诉讼时效 起算点的确定，表明了最高院对该问题的态度,对于原《民法总则》立法当时并未明确、且学 说中争议较大的定期履行债权的诉讼时效期间起算规则的确定具有重要意义。</w:t>
      </w:r>
    </w:p>
    <w:p w14:paraId="4F1EA1EC">
      <w:pPr>
        <w:pStyle w:val="17"/>
        <w:keepNext w:val="0"/>
        <w:keepLines w:val="0"/>
        <w:widowControl w:val="0"/>
        <w:shd w:val="clear" w:color="auto" w:fill="auto"/>
        <w:bidi w:val="0"/>
        <w:spacing w:before="0" w:after="12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定期履行租金债权诉讼时效期间起算的规范及学理</w:t>
      </w:r>
    </w:p>
    <w:p w14:paraId="3614D3B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原《民法通则》第</w:t>
      </w:r>
      <w:r>
        <w:rPr>
          <w:rFonts w:ascii="Times New Roman" w:hAnsi="Times New Roman" w:eastAsia="Times New Roman" w:cs="Times New Roman"/>
          <w:color w:val="000000"/>
          <w:spacing w:val="0"/>
          <w:w w:val="100"/>
          <w:position w:val="0"/>
          <w:sz w:val="19"/>
          <w:szCs w:val="19"/>
        </w:rPr>
        <w:t>137</w:t>
      </w:r>
      <w:r>
        <w:rPr>
          <w:color w:val="000000"/>
          <w:spacing w:val="0"/>
          <w:w w:val="100"/>
          <w:position w:val="0"/>
        </w:rPr>
        <w:t>条只是一般性地规定了诉讼时效期间的起算点，但对于对同一债 务分期履行的诉讼时效期间起算点并未作出明确规定。</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年最高人民法院《关于审理民 事案件适用诉讼时效制度若干问题的规定》［法释</w:t>
      </w:r>
      <w:r>
        <w:rPr>
          <w:rFonts w:ascii="Times New Roman" w:hAnsi="Times New Roman" w:eastAsia="Times New Roman" w:cs="Times New Roman"/>
          <w:color w:val="000000"/>
          <w:spacing w:val="0"/>
          <w:w w:val="100"/>
          <w:position w:val="0"/>
          <w:sz w:val="19"/>
          <w:szCs w:val="19"/>
        </w:rPr>
        <w:t>（2008）11</w:t>
      </w:r>
      <w:r>
        <w:rPr>
          <w:color w:val="000000"/>
          <w:spacing w:val="0"/>
          <w:w w:val="100"/>
          <w:position w:val="0"/>
        </w:rPr>
        <w:t>号］（以下简称《诉讼时效司法 解释》）第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条，则以司法解释的方式对此予以明确规定，采取从最后一期履行期限届满之 日起起算诉讼时效期间的做法。《民法典》第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条吸纳了该司法解释的规定，明确规定 “当事人约定同一债务分期履行的,诉讼时效期间自最后一期履行期限届满之日起计算”。 但与此不同,《民事诉讼法》自</w:t>
      </w:r>
      <w:r>
        <w:rPr>
          <w:rFonts w:ascii="Times New Roman" w:hAnsi="Times New Roman" w:eastAsia="Times New Roman" w:cs="Times New Roman"/>
          <w:color w:val="000000"/>
          <w:spacing w:val="0"/>
          <w:w w:val="100"/>
          <w:position w:val="0"/>
          <w:sz w:val="19"/>
          <w:szCs w:val="19"/>
        </w:rPr>
        <w:t>1982</w:t>
      </w:r>
      <w:r>
        <w:rPr>
          <w:color w:val="000000"/>
          <w:spacing w:val="0"/>
          <w:w w:val="100"/>
          <w:position w:val="0"/>
        </w:rPr>
        <w:t>年起就针对执行期间的起算作出了不同的规定，即</w:t>
      </w:r>
      <w:r>
        <w:rPr>
          <w:color w:val="000000"/>
          <w:spacing w:val="0"/>
          <w:w w:val="100"/>
          <w:position w:val="0"/>
          <w:lang w:val="zh-CN" w:eastAsia="zh-CN" w:bidi="zh-CN"/>
        </w:rPr>
        <w:t xml:space="preserve">“法 </w:t>
      </w:r>
      <w:r>
        <w:rPr>
          <w:color w:val="000000"/>
          <w:spacing w:val="0"/>
          <w:w w:val="100"/>
          <w:position w:val="0"/>
        </w:rPr>
        <w:t>律文书规定分期履行的，从规定的每次履行期间的最后一日起计算”（《民事诉讼法》第</w:t>
      </w:r>
      <w:r>
        <w:rPr>
          <w:rFonts w:ascii="Times New Roman" w:hAnsi="Times New Roman" w:eastAsia="Times New Roman" w:cs="Times New Roman"/>
          <w:color w:val="000000"/>
          <w:spacing w:val="0"/>
          <w:w w:val="100"/>
          <w:position w:val="0"/>
          <w:sz w:val="19"/>
          <w:szCs w:val="19"/>
        </w:rPr>
        <w:t xml:space="preserve">239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款），采用了分别计算的规则。</w:t>
      </w:r>
    </w:p>
    <w:p w14:paraId="4638A36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自《诉讼时效司法解释》发布以来，多数学说持分期履行债权的诉讼时效期间自最后一 期履行期限届满之日起计算的观点［王利明主编:《民法总则研究》，中国人民大学出版社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747</w:t>
      </w:r>
      <w:r>
        <w:rPr>
          <w:color w:val="000000"/>
          <w:spacing w:val="0"/>
          <w:w w:val="100"/>
          <w:position w:val="0"/>
        </w:rPr>
        <w:t>页；梁慧星：《民法总论》（第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256</w:t>
      </w:r>
      <w:r>
        <w:rPr>
          <w:color w:val="000000"/>
          <w:spacing w:val="0"/>
          <w:w w:val="100"/>
          <w:position w:val="0"/>
        </w:rPr>
        <w:t>页；魏振瀛：《民法》（第</w:t>
      </w:r>
      <w:r>
        <w:rPr>
          <w:rFonts w:ascii="Times New Roman" w:hAnsi="Times New Roman" w:eastAsia="Times New Roman" w:cs="Times New Roman"/>
          <w:color w:val="000000"/>
          <w:spacing w:val="0"/>
          <w:w w:val="100"/>
          <w:position w:val="0"/>
          <w:sz w:val="17"/>
          <w:szCs w:val="17"/>
        </w:rPr>
        <w:t xml:space="preserve">6 </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201</w:t>
      </w:r>
      <w:r>
        <w:rPr>
          <w:color w:val="000000"/>
          <w:spacing w:val="0"/>
          <w:w w:val="100"/>
          <w:position w:val="0"/>
        </w:rPr>
        <w:t>页等</w:t>
      </w:r>
      <w:r>
        <w:rPr>
          <w:color w:val="000000"/>
          <w:spacing w:val="0"/>
          <w:w w:val="100"/>
          <w:position w:val="0"/>
          <w:lang w:val="en-US" w:eastAsia="en-US" w:bidi="en-US"/>
        </w:rPr>
        <w:t>］</w:t>
      </w:r>
      <w:r>
        <w:rPr>
          <w:color w:val="000000"/>
          <w:spacing w:val="0"/>
          <w:w w:val="100"/>
          <w:position w:val="0"/>
        </w:rPr>
        <w:t>，但仍有部分学说坚持认为各期债务的诉讼时效应 当分别计算（尹田：《民法典总则之理论与立法研究》，法律出版社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743</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744</w:t>
      </w:r>
      <w:r>
        <w:rPr>
          <w:color w:val="000000"/>
          <w:spacing w:val="0"/>
          <w:w w:val="100"/>
          <w:position w:val="0"/>
        </w:rPr>
        <w:t>页）。对于 租金债权诉讼时效期间的起算点,学界观点并不一致。有不少学说主张应当区分分期给付 与定期给付，对定期给付作出另外规定，认为定期给付的诉讼时效期间应当自每一期履行 期限届满时分别起算（杨巍:《民法时效制度的理论反思与案例研究》，北京大学出版社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 xml:space="preserve">314 </w:t>
      </w:r>
      <w:r>
        <w:rPr>
          <w:color w:val="000000"/>
          <w:spacing w:val="0"/>
          <w:w w:val="100"/>
          <w:position w:val="0"/>
        </w:rPr>
        <w:t>页）。</w:t>
      </w:r>
    </w:p>
    <w:p w14:paraId="4E4753D7">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所谓定期给付，是指相隔一定期间继续为给付的债权，它不同于分期给付债权:前者为 数个各自独立的债权，在一定期间内反复继续发生而为给付；后者为一个独立的债权，分数 期而为给付;分期付款的各期给付，或分期偿还债务的各期给付,均非定期给付（王泽鉴:《民 法总则》，北京大学出版社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418</w:t>
      </w:r>
      <w:r>
        <w:rPr>
          <w:color w:val="000000"/>
          <w:spacing w:val="0"/>
          <w:w w:val="100"/>
          <w:position w:val="0"/>
        </w:rPr>
        <w:t>页）。常见的定期给付有租金、利息、保险费、水电热 力持续供应合同项下的债务等。在比较法上，存在从每一笔债务履行期限届满之日起分别 计算的立法例，如《德国民法典》第</w:t>
      </w:r>
      <w:r>
        <w:rPr>
          <w:rFonts w:ascii="Times New Roman" w:hAnsi="Times New Roman" w:eastAsia="Times New Roman" w:cs="Times New Roman"/>
          <w:color w:val="000000"/>
          <w:spacing w:val="0"/>
          <w:w w:val="100"/>
          <w:position w:val="0"/>
          <w:sz w:val="19"/>
          <w:szCs w:val="19"/>
        </w:rPr>
        <w:t>197</w:t>
      </w:r>
      <w:r>
        <w:rPr>
          <w:color w:val="000000"/>
          <w:spacing w:val="0"/>
          <w:w w:val="100"/>
          <w:position w:val="0"/>
        </w:rPr>
        <w:t>条、我国台湾地区</w:t>
      </w:r>
      <w:r>
        <w:rPr>
          <w:color w:val="000000"/>
          <w:spacing w:val="0"/>
          <w:w w:val="100"/>
          <w:position w:val="0"/>
          <w:lang w:val="zh-CN" w:eastAsia="zh-CN" w:bidi="zh-CN"/>
        </w:rPr>
        <w:t>“民法”第</w:t>
      </w:r>
      <w:r>
        <w:rPr>
          <w:rFonts w:ascii="Times New Roman" w:hAnsi="Times New Roman" w:eastAsia="Times New Roman" w:cs="Times New Roman"/>
          <w:color w:val="000000"/>
          <w:spacing w:val="0"/>
          <w:w w:val="100"/>
          <w:position w:val="0"/>
          <w:sz w:val="19"/>
          <w:szCs w:val="19"/>
        </w:rPr>
        <w:t>126</w:t>
      </w:r>
      <w:r>
        <w:rPr>
          <w:color w:val="000000"/>
          <w:spacing w:val="0"/>
          <w:w w:val="100"/>
          <w:position w:val="0"/>
        </w:rPr>
        <w:t>条、《欧洲民法典示 范草案</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DCFR）</w:t>
      </w:r>
      <w:r>
        <w:rPr>
          <w:color w:val="000000"/>
          <w:spacing w:val="0"/>
          <w:w w:val="100"/>
          <w:position w:val="0"/>
          <w:lang w:val="en-US" w:eastAsia="en-US" w:bidi="en-US"/>
        </w:rPr>
        <w:t>、</w:t>
      </w:r>
      <w:r>
        <w:rPr>
          <w:color w:val="000000"/>
          <w:spacing w:val="0"/>
          <w:w w:val="100"/>
          <w:position w:val="0"/>
        </w:rPr>
        <w:t>阿根廷民法典草案等。也有学者主张，虽然对于定期重复给付的债务而 言,每次给付都具有相对独立性,其诉讼时效应当分别独立计算,不应当适用原《民法总则》 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条，但租金债权性质上属于同一债务的分期履行，应当适用原《民法总则》第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 （王利明：《民法总则研究》，中国人民大学出版社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783</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784</w:t>
      </w:r>
      <w:r>
        <w:rPr>
          <w:color w:val="000000"/>
          <w:spacing w:val="0"/>
          <w:w w:val="100"/>
          <w:position w:val="0"/>
        </w:rPr>
        <w:t>页）。原《民法总则》出台 前,有学者也认为，借款合同的利息请求权、租赁合同的租金请求权,从最后一期履行期限 届满之次日起算［梁慧星:《民法总论》（第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256</w:t>
      </w:r>
      <w:r>
        <w:rPr>
          <w:color w:val="000000"/>
          <w:spacing w:val="0"/>
          <w:w w:val="100"/>
          <w:position w:val="0"/>
        </w:rPr>
        <w:t>页］。</w:t>
      </w:r>
    </w:p>
    <w:p w14:paraId="53899F41">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原《民法总则》颁布后，有释义书认为,租金、工资等定期履行债务,各个债务相互独立， 每一个债务的诉讼时效期间应当自每一期履行期间届满之日起分别起算（李适时:《中华人民 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595</w:t>
      </w:r>
      <w:r>
        <w:rPr>
          <w:color w:val="000000"/>
          <w:spacing w:val="0"/>
          <w:w w:val="100"/>
          <w:position w:val="0"/>
        </w:rPr>
        <w:t>页）。但也有不少学者认为，利息、红利、租 金等均为独立债务，所对应的每期给付请求权，作为</w:t>
      </w:r>
      <w:r>
        <w:rPr>
          <w:color w:val="000000"/>
          <w:spacing w:val="0"/>
          <w:w w:val="100"/>
          <w:position w:val="0"/>
          <w:lang w:val="zh-CN" w:eastAsia="zh-CN" w:bidi="zh-CN"/>
        </w:rPr>
        <w:t>“分支</w:t>
      </w:r>
      <w:r>
        <w:rPr>
          <w:color w:val="000000"/>
          <w:spacing w:val="0"/>
          <w:w w:val="100"/>
          <w:position w:val="0"/>
        </w:rPr>
        <w:t>债权”，独立适用诉讼时效，自每 期债务履行期限届满之日起算;但从原《民法总则》第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条的立法目的来看，定期给付债 务，亦存在维护当事人之间合作关系、避免频繁主张权利、减少讼累等考虑,租金债权等定 期给付也可以适用该条规定处理（李宇:《民法总则要义：规范释论与判解集注》，法律出版社</w:t>
      </w:r>
      <w:r>
        <w:rPr>
          <w:rFonts w:ascii="Times New Roman" w:hAnsi="Times New Roman" w:eastAsia="Times New Roman" w:cs="Times New Roman"/>
          <w:color w:val="000000"/>
          <w:spacing w:val="0"/>
          <w:w w:val="100"/>
          <w:position w:val="0"/>
          <w:sz w:val="17"/>
          <w:szCs w:val="17"/>
        </w:rPr>
        <w:t xml:space="preserve">2017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900</w:t>
      </w:r>
      <w:r>
        <w:rPr>
          <w:color w:val="000000"/>
          <w:spacing w:val="0"/>
          <w:w w:val="100"/>
          <w:position w:val="0"/>
        </w:rPr>
        <w:t>页）。或者认为,虽然理论上来说定期给付的租金债权并非同一债务分期履行, 从定期给付与同一债务分期履行的不同性质来看，原《民法总则》第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条并不能适用于定 期给付之情形，而应依分别独立之个别债务履行期限届满时开始计算诉讼时效期间;但该 条规定不仅仅是考虑到债务的独立性还是整体性的问题，还考量了如何保障普通民众的一 般司法认识、如何维护当事人之间的长期关系等诸多利益，与比较法上的立法例本身就存 在不同，并不单纯是独立还是整体的逻辑推演问题。关于这一点，同一债务分期给付还是 同一合同项下关联债务的定期给付，其利益考量的本质并不会有别。就定期给付而言，亦 应参照该条规定的精神作出处理（陈甦主编:《民法总则评注》，法律出版社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1366</w:t>
      </w:r>
      <w:r>
        <w:rPr>
          <w:color w:val="000000"/>
          <w:spacing w:val="0"/>
          <w:w w:val="100"/>
          <w:position w:val="0"/>
        </w:rPr>
        <w:t>页）。</w:t>
      </w:r>
    </w:p>
    <w:p w14:paraId="339C8891">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综上所述,关于定期履行租金债权诉讼时效期间的起算规则，学说上主要存在以下几 种观点</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租金债权，无论是定期履行还是分期履行,均自每期债务履行期限届满之日起 算；（</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）租金债权属于定期给付债权,并非同一债务分期履行,应当自每期债务履行期限届 满之日起分别计算</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定期履行债务应当分别计算，但租金债权性质上属于同一债务分期 履行,应当自最后一期履行期限届满之日起算；</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租金债权等定期履行债务不同于同一债 务分期履行，但考虑到原《民法总则》第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条的立法目的，应当按照该条规定处理。从本 案的裁定书来看,并未就租金债权的定期给付性质作出探讨，而是直接肯定其整体性，将其 纳入同一债务分期履行处理，其处理更接近第三种学说的主张。</w:t>
      </w:r>
    </w:p>
    <w:p w14:paraId="0554107E">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48024D5B">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在本裁定之前，在定期履行租金债权诉讼时效的起算上，最高院的态度经历了一个变 化的过程。</w:t>
      </w:r>
    </w:p>
    <w:p w14:paraId="7A1C592C">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关于分期履行的问题，在《诉讼时效司法解释》出台以前,最高院在以往的实践中也存 在多种理解，既有认为应当从每期债务履行期届满之日起算，也有认为应当从最后一期履 行期限届满之日起起算诉讼时效期间。</w:t>
      </w:r>
    </w:p>
    <w:p w14:paraId="2B69CA62">
      <w:pPr>
        <w:pStyle w:val="17"/>
        <w:keepNext w:val="0"/>
        <w:keepLines w:val="0"/>
        <w:widowControl w:val="0"/>
        <w:shd w:val="clear" w:color="auto" w:fill="auto"/>
        <w:bidi w:val="0"/>
        <w:spacing w:before="0" w:after="0" w:line="333" w:lineRule="exact"/>
        <w:ind w:left="0" w:right="0"/>
        <w:jc w:val="both"/>
      </w:pPr>
      <w:r>
        <w:rPr>
          <w:color w:val="000000"/>
          <w:spacing w:val="0"/>
          <w:w w:val="100"/>
          <w:position w:val="0"/>
        </w:rPr>
        <w:t>前者如最高人民法院</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民二他字第</w:t>
      </w:r>
      <w:r>
        <w:rPr>
          <w:rFonts w:ascii="Times New Roman" w:hAnsi="Times New Roman" w:eastAsia="Times New Roman" w:cs="Times New Roman"/>
          <w:color w:val="000000"/>
          <w:spacing w:val="0"/>
          <w:w w:val="100"/>
          <w:position w:val="0"/>
          <w:sz w:val="17"/>
          <w:szCs w:val="17"/>
        </w:rPr>
        <w:t>14</w:t>
      </w:r>
      <w:r>
        <w:rPr>
          <w:color w:val="000000"/>
          <w:spacing w:val="0"/>
          <w:w w:val="100"/>
          <w:position w:val="0"/>
        </w:rPr>
        <w:t>号答复（针对辽宁省高级人民法院《关于珠海奥 运交通发展公司与大连新镇企业集团公司借款合同纠纷一案的请示》的答复）认为“可以按每笔相 对独立的债权到期之时分别起算”；最高人民法院法函</w:t>
      </w:r>
      <w:r>
        <w:rPr>
          <w:rFonts w:ascii="Times New Roman" w:hAnsi="Times New Roman" w:eastAsia="Times New Roman" w:cs="Times New Roman"/>
          <w:color w:val="000000"/>
          <w:spacing w:val="0"/>
          <w:w w:val="100"/>
          <w:position w:val="0"/>
          <w:sz w:val="17"/>
          <w:szCs w:val="17"/>
        </w:rPr>
        <w:t>（2004）22</w:t>
      </w:r>
      <w:r>
        <w:rPr>
          <w:color w:val="000000"/>
          <w:spacing w:val="0"/>
          <w:w w:val="100"/>
          <w:position w:val="0"/>
        </w:rPr>
        <w:t>号答复（针对云南省高级人民 法院《关于继续性租金债权的诉讼时效期间如何计算的请示》的答复）认为</w:t>
      </w:r>
      <w:r>
        <w:rPr>
          <w:color w:val="000000"/>
          <w:spacing w:val="0"/>
          <w:w w:val="100"/>
          <w:position w:val="0"/>
          <w:lang w:val="zh-CN" w:eastAsia="zh-CN" w:bidi="zh-CN"/>
        </w:rPr>
        <w:t>“自</w:t>
      </w:r>
      <w:r>
        <w:rPr>
          <w:color w:val="000000"/>
          <w:spacing w:val="0"/>
          <w:w w:val="100"/>
          <w:position w:val="0"/>
        </w:rPr>
        <w:t>该期债务履行期限届 满之次日起算”；最高人民法院法</w:t>
      </w:r>
      <w:r>
        <w:rPr>
          <w:rFonts w:ascii="Times New Roman" w:hAnsi="Times New Roman" w:eastAsia="Times New Roman" w:cs="Times New Roman"/>
          <w:color w:val="000000"/>
          <w:spacing w:val="0"/>
          <w:w w:val="100"/>
          <w:position w:val="0"/>
          <w:sz w:val="17"/>
          <w:szCs w:val="17"/>
        </w:rPr>
        <w:t>8（2004）23</w:t>
      </w:r>
      <w:r>
        <w:rPr>
          <w:color w:val="000000"/>
          <w:spacing w:val="0"/>
          <w:w w:val="100"/>
          <w:position w:val="0"/>
        </w:rPr>
        <w:t xml:space="preserve">号答复（针对河南省高级人民法院《关于分期履行 的合同中诉讼时效起算及保证期间应如何计算的请示》的答复）。后者如最高人民法院法经 </w:t>
      </w:r>
      <w:r>
        <w:rPr>
          <w:rFonts w:ascii="Times New Roman" w:hAnsi="Times New Roman" w:eastAsia="Times New Roman" w:cs="Times New Roman"/>
          <w:color w:val="000000"/>
          <w:spacing w:val="0"/>
          <w:w w:val="100"/>
          <w:position w:val="0"/>
          <w:sz w:val="17"/>
          <w:szCs w:val="17"/>
        </w:rPr>
        <w:t>（2000）244</w:t>
      </w:r>
      <w:r>
        <w:rPr>
          <w:color w:val="000000"/>
          <w:spacing w:val="0"/>
          <w:w w:val="100"/>
          <w:position w:val="0"/>
        </w:rPr>
        <w:t>号答复（针对山东省高级人民法院《关于借款合同中约定借款分期偿还应如何计算诉讼 时效期间的问题的请示》的答复）。</w:t>
      </w:r>
    </w:p>
    <w:p w14:paraId="4F739260">
      <w:pPr>
        <w:pStyle w:val="17"/>
        <w:keepNext w:val="0"/>
        <w:keepLines w:val="0"/>
        <w:widowControl w:val="0"/>
        <w:shd w:val="clear" w:color="auto" w:fill="auto"/>
        <w:bidi w:val="0"/>
        <w:spacing w:before="0" w:after="0" w:line="333" w:lineRule="exact"/>
        <w:ind w:left="0" w:right="0"/>
        <w:jc w:val="both"/>
      </w:pPr>
      <w:r>
        <w:rPr>
          <w:color w:val="000000"/>
          <w:spacing w:val="0"/>
          <w:w w:val="100"/>
          <w:position w:val="0"/>
        </w:rPr>
        <w:t>但</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年以来的最高院相关判决测多采纳后一观点。如</w:t>
      </w:r>
      <w:r>
        <w:rPr>
          <w:color w:val="000000"/>
          <w:spacing w:val="0"/>
          <w:w w:val="100"/>
          <w:position w:val="0"/>
          <w:lang w:val="zh-CN" w:eastAsia="zh-CN" w:bidi="zh-CN"/>
        </w:rPr>
        <w:t>“吉林</w:t>
      </w:r>
      <w:r>
        <w:rPr>
          <w:color w:val="000000"/>
          <w:spacing w:val="0"/>
          <w:w w:val="100"/>
          <w:position w:val="0"/>
        </w:rPr>
        <w:t>省吉原石油天然气开 发公司与中国光大银行长春分行借款合同案”［最高人民法院</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147</w:t>
      </w:r>
      <w:r>
        <w:rPr>
          <w:color w:val="000000"/>
          <w:spacing w:val="0"/>
          <w:w w:val="100"/>
          <w:position w:val="0"/>
        </w:rPr>
        <w:t>号民事判决 书］</w:t>
      </w:r>
      <w:r>
        <w:rPr>
          <w:color w:val="000000"/>
          <w:spacing w:val="0"/>
          <w:w w:val="100"/>
          <w:position w:val="0"/>
          <w:lang w:val="zh-CN" w:eastAsia="zh-CN" w:bidi="zh-CN"/>
        </w:rPr>
        <w:t>、“中</w:t>
      </w:r>
      <w:r>
        <w:rPr>
          <w:color w:val="000000"/>
          <w:spacing w:val="0"/>
          <w:w w:val="100"/>
          <w:position w:val="0"/>
        </w:rPr>
        <w:t>国信达资产管理公司郑州办事处与河南省郸城县化肥厂等借款担保纠纷案”［最高 人民法院</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185</w:t>
      </w:r>
      <w:r>
        <w:rPr>
          <w:color w:val="000000"/>
          <w:spacing w:val="0"/>
          <w:w w:val="100"/>
          <w:position w:val="0"/>
        </w:rPr>
        <w:t>号民事判决书］等。此后</w:t>
      </w:r>
      <w:r>
        <w:rPr>
          <w:color w:val="000000"/>
          <w:spacing w:val="0"/>
          <w:w w:val="100"/>
          <w:position w:val="0"/>
          <w:lang w:val="zh-CN" w:eastAsia="zh-CN" w:bidi="zh-CN"/>
        </w:rPr>
        <w:t>，“秦</w:t>
      </w:r>
      <w:r>
        <w:rPr>
          <w:color w:val="000000"/>
          <w:spacing w:val="0"/>
          <w:w w:val="100"/>
          <w:position w:val="0"/>
        </w:rPr>
        <w:t>皇岛华侨大酒店与秦皇岛市海港 区工商行政管理局租赁合同纠纷案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304</w:t>
      </w:r>
      <w:r>
        <w:rPr>
          <w:color w:val="000000"/>
          <w:spacing w:val="0"/>
          <w:w w:val="100"/>
          <w:position w:val="0"/>
        </w:rPr>
        <w:t>号民事判决书］判决认 为,</w:t>
      </w:r>
      <w:r>
        <w:rPr>
          <w:color w:val="000000"/>
          <w:spacing w:val="0"/>
          <w:w w:val="100"/>
          <w:position w:val="0"/>
          <w:lang w:val="zh-CN" w:eastAsia="zh-CN" w:bidi="zh-CN"/>
        </w:rPr>
        <w:t>“如果</w:t>
      </w:r>
      <w:r>
        <w:rPr>
          <w:color w:val="000000"/>
          <w:spacing w:val="0"/>
          <w:w w:val="100"/>
          <w:position w:val="0"/>
        </w:rPr>
        <w:t xml:space="preserve">租赁合同双方当事人约定分期支付租金的，那么各期租金的支付具备一定的独立 性，但该独立性不足以否认租金债务的整体性。如果诉讼时效从每一期租金债务履行期限 届满之日分别计算，将会割裂同一租赁合同的整体性，还将导致债权人频繁地主张权利，动 摇双方之间的互信。因此,为充分保护债权人,维护双方之间的互信,存在长期房屋租赁合 同关系的双方当事人因租金支付发生纠纷的，诉讼时效应从最后一期租金履行期限届满之 日起开始计算”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关于投资收益分月支付的诉讼时效期间起算问题</w:t>
      </w:r>
      <w:r>
        <w:rPr>
          <w:color w:val="000000"/>
          <w:spacing w:val="0"/>
          <w:w w:val="100"/>
          <w:position w:val="0"/>
          <w:lang w:val="zh-CN" w:eastAsia="zh-CN" w:bidi="zh-CN"/>
        </w:rPr>
        <w:t>，“高</w:t>
      </w:r>
      <w:r>
        <w:rPr>
          <w:color w:val="000000"/>
          <w:spacing w:val="0"/>
          <w:w w:val="100"/>
          <w:position w:val="0"/>
        </w:rPr>
        <w:t>候拼与山西柳林兴 无煤矿有限责任公司合同纠纷上诉案”［最高人民法院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306</w:t>
      </w:r>
      <w:r>
        <w:rPr>
          <w:color w:val="000000"/>
          <w:spacing w:val="0"/>
          <w:w w:val="100"/>
          <w:position w:val="0"/>
        </w:rPr>
        <w:t>号民事判决书］也 确认从最后一期投资收益支付期限届满之日起算。</w:t>
      </w:r>
    </w:p>
    <w:p w14:paraId="2E588814">
      <w:pPr>
        <w:pStyle w:val="17"/>
        <w:keepNext w:val="0"/>
        <w:keepLines w:val="0"/>
        <w:widowControl w:val="0"/>
        <w:shd w:val="clear" w:color="auto" w:fill="auto"/>
        <w:bidi w:val="0"/>
        <w:spacing w:before="0" w:after="280" w:line="333" w:lineRule="exact"/>
        <w:ind w:left="0" w:right="0"/>
        <w:jc w:val="both"/>
      </w:pPr>
      <w:r>
        <w:rPr>
          <w:color w:val="000000"/>
          <w:spacing w:val="0"/>
          <w:w w:val="100"/>
          <w:position w:val="0"/>
        </w:rPr>
        <w:t>从《诉讼时效司法解释》出台开始，最高院一直维持了相同的立场，认为租金债权诉讼 时效期间应当从最后一期履行期限届满之日起算。在本裁定之前不久的</w:t>
      </w:r>
      <w:r>
        <w:rPr>
          <w:color w:val="000000"/>
          <w:spacing w:val="0"/>
          <w:w w:val="100"/>
          <w:position w:val="0"/>
          <w:lang w:val="zh-CN" w:eastAsia="zh-CN" w:bidi="zh-CN"/>
        </w:rPr>
        <w:t>“武</w:t>
      </w:r>
      <w:r>
        <w:rPr>
          <w:color w:val="000000"/>
          <w:spacing w:val="0"/>
          <w:w w:val="100"/>
          <w:position w:val="0"/>
        </w:rPr>
        <w:t>汉市晒口区文 化体育局、王万祥房屋租赁合同纠纷案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4265</w:t>
      </w:r>
      <w:r>
        <w:rPr>
          <w:color w:val="000000"/>
          <w:spacing w:val="0"/>
          <w:w w:val="100"/>
          <w:position w:val="0"/>
        </w:rPr>
        <w:t>号民事裁定书］ 中也确认，“租金发生之债权原因同一，因而具有整体性。虽然各期租金债务相互之间具有 一定的独立性，但独立性不足以否定整体性，如果从各期租金履行期间届满之日起分别计 算各期租金的诉讼时效，将会割裂全部租金的整体性。因此,本案租金的诉讼时效应当自 最后一期租金债务履行期间届满之日起算</w:t>
      </w:r>
      <w:r>
        <w:rPr>
          <w:color w:val="000000"/>
          <w:spacing w:val="0"/>
          <w:w w:val="100"/>
          <w:position w:val="0"/>
          <w:lang w:val="zh-CN" w:eastAsia="zh-CN" w:bidi="zh-CN"/>
        </w:rPr>
        <w:t>。”同</w:t>
      </w:r>
      <w:r>
        <w:rPr>
          <w:color w:val="000000"/>
          <w:spacing w:val="0"/>
          <w:w w:val="100"/>
          <w:position w:val="0"/>
        </w:rPr>
        <w:t xml:space="preserve">样地，在本裁定之后的最高院再审裁定中， 对于与租金类似的管理费分年度支付的诉讼时效起算上，最高院也维持了相同的立场。即 </w:t>
      </w:r>
      <w:r>
        <w:rPr>
          <w:color w:val="000000"/>
          <w:spacing w:val="0"/>
          <w:w w:val="100"/>
          <w:position w:val="0"/>
          <w:lang w:val="zh-CN" w:eastAsia="zh-CN" w:bidi="zh-CN"/>
        </w:rPr>
        <w:t>“东</w:t>
      </w:r>
      <w:r>
        <w:rPr>
          <w:color w:val="000000"/>
          <w:spacing w:val="0"/>
          <w:w w:val="100"/>
          <w:position w:val="0"/>
        </w:rPr>
        <w:t>安公司每年应按进区企业年销售收入的</w:t>
      </w:r>
      <w:r>
        <w:rPr>
          <w:rFonts w:ascii="Times New Roman" w:hAnsi="Times New Roman" w:eastAsia="Times New Roman" w:cs="Times New Roman"/>
          <w:color w:val="000000"/>
          <w:spacing w:val="0"/>
          <w:w w:val="100"/>
          <w:position w:val="0"/>
          <w:sz w:val="17"/>
          <w:szCs w:val="17"/>
        </w:rPr>
        <w:t>0.7%</w:t>
      </w:r>
      <w:r>
        <w:rPr>
          <w:color w:val="000000"/>
          <w:spacing w:val="0"/>
          <w:w w:val="100"/>
          <w:position w:val="0"/>
        </w:rPr>
        <w:t>向韩家店村委会上缴管理费，亦即管理费 是按年度分期缴纳，而不是合同履行期届满之日一次性缴纳，故管理费属于分期履行的债 务,应适用《民法总则》第</w:t>
      </w:r>
      <w:r>
        <w:rPr>
          <w:rFonts w:ascii="Times New Roman" w:hAnsi="Times New Roman" w:eastAsia="Times New Roman" w:cs="Times New Roman"/>
          <w:color w:val="000000"/>
          <w:spacing w:val="0"/>
          <w:w w:val="100"/>
          <w:position w:val="0"/>
          <w:sz w:val="17"/>
          <w:szCs w:val="17"/>
        </w:rPr>
        <w:t>189</w:t>
      </w:r>
      <w:r>
        <w:rPr>
          <w:color w:val="000000"/>
          <w:spacing w:val="0"/>
          <w:w w:val="100"/>
          <w:position w:val="0"/>
        </w:rPr>
        <w:t>条的规定起艶遅爨的诉细礙绸旷民法院（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 高法民申</w:t>
      </w:r>
      <w:r>
        <w:rPr>
          <w:rFonts w:ascii="Times New Roman" w:hAnsi="Times New Roman" w:eastAsia="Times New Roman" w:cs="Times New Roman"/>
          <w:color w:val="000000"/>
          <w:spacing w:val="0"/>
          <w:w w:val="100"/>
          <w:position w:val="0"/>
          <w:sz w:val="17"/>
          <w:szCs w:val="17"/>
        </w:rPr>
        <w:t>5620</w:t>
      </w:r>
      <w:r>
        <w:rPr>
          <w:color w:val="000000"/>
          <w:spacing w:val="0"/>
          <w:w w:val="100"/>
          <w:position w:val="0"/>
        </w:rPr>
        <w:t>号民事裁定书］。</w:t>
      </w:r>
    </w:p>
    <w:p w14:paraId="31A03DD2">
      <w:pPr>
        <w:pStyle w:val="17"/>
        <w:keepNext w:val="0"/>
        <w:keepLines w:val="0"/>
        <w:widowControl w:val="0"/>
        <w:shd w:val="clear" w:color="auto" w:fill="auto"/>
        <w:bidi w:val="0"/>
        <w:spacing w:before="0" w:after="0" w:line="41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本裁定的参考意义及将来的课题</w:t>
      </w:r>
    </w:p>
    <w:p w14:paraId="7A4D6CF5">
      <w:pPr>
        <w:pStyle w:val="17"/>
        <w:keepNext w:val="0"/>
        <w:keepLines w:val="0"/>
        <w:widowControl w:val="0"/>
        <w:shd w:val="clear" w:color="auto" w:fill="auto"/>
        <w:bidi w:val="0"/>
        <w:spacing w:before="0" w:after="360" w:line="333" w:lineRule="exact"/>
        <w:ind w:left="0" w:right="0"/>
        <w:jc w:val="both"/>
      </w:pPr>
      <w:r>
        <w:rPr>
          <w:color w:val="000000"/>
          <w:spacing w:val="0"/>
          <w:w w:val="100"/>
          <w:position w:val="0"/>
        </w:rPr>
        <w:t xml:space="preserve">本裁定中，最高院表现出的立场,维持了 </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年以来形成的多数观点，形成了较为稳定 的司法态度,就定期履行租金债权诉讼时效期间，自最后一期租金履行期限届满之日起开 始计算。但从学理上来说,定期履行性质上不同于同一债务分期履行，最高院无视两者的 区别，而径直以租金债权的整体性为由将其纳入原《民法总则》第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 xml:space="preserve">条“同一债务分期履 行”的情形予以适用，其说理难免生硬，且与长期以来形成的定期给付并非同一债务分期履 行的学理之间也会形成矛盾。该思路仍然有反思的余地，从将来考虑，可以从《民法典》第 </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条的立法目的出发,依目的解释予以说理，参照适用该条就定期履行债权诉讼时效期间 的起算规则，似乎更为妥当。而且，关于分期履行的期间起算问题，是否需要在《民事诉讼 法》规定的执行期间与《民法典》规定的诉讼时效之间作出协调及如何妥适协调，仍有待将 来进一步明确。</w:t>
      </w:r>
    </w:p>
    <w:p w14:paraId="1CCB59DD">
      <w:pPr>
        <w:pStyle w:val="11"/>
        <w:keepNext w:val="0"/>
        <w:keepLines w:val="0"/>
        <w:widowControl w:val="0"/>
        <w:shd w:val="clear" w:color="auto" w:fill="auto"/>
        <w:bidi w:val="0"/>
        <w:spacing w:before="0" w:after="60" w:line="340" w:lineRule="exact"/>
        <w:ind w:left="0" w:right="0" w:firstLine="0"/>
        <w:jc w:val="both"/>
      </w:pPr>
      <w:r>
        <w:rPr>
          <w:color w:val="000000"/>
          <w:spacing w:val="0"/>
          <w:w w:val="100"/>
          <w:position w:val="0"/>
        </w:rPr>
        <w:t>回参考文献</w:t>
      </w:r>
    </w:p>
    <w:p w14:paraId="2B781239">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王泽鉴:《民法总则》，北京大学出版社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17C0DA87">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梁慧星：《民法总论》（第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1F01804E">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王利明主编：《民法总则研究》，中国人民大学出版社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 尹田：《民法典总则之理论与立法研究》，法律出版社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BF5E3B6">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杨巍:《民法时效制度的理论反思与案例研究》，北京大学出版社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3D092705">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李适时:《中华人民共和国民法总则释义》，法律出版社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9F84AF7">
      <w:pPr>
        <w:pStyle w:val="17"/>
        <w:keepNext w:val="0"/>
        <w:keepLines w:val="0"/>
        <w:widowControl w:val="0"/>
        <w:shd w:val="clear" w:color="auto" w:fill="auto"/>
        <w:bidi w:val="0"/>
        <w:spacing w:before="0" w:after="0" w:line="317" w:lineRule="exact"/>
        <w:ind w:left="0" w:right="0" w:firstLine="0"/>
        <w:jc w:val="left"/>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71456DF7">
      <w:pPr>
        <w:pStyle w:val="17"/>
        <w:keepNext w:val="0"/>
        <w:keepLines w:val="0"/>
        <w:widowControl w:val="0"/>
        <w:shd w:val="clear" w:color="auto" w:fill="auto"/>
        <w:bidi w:val="0"/>
        <w:spacing w:before="0" w:after="60" w:line="317" w:lineRule="exact"/>
        <w:ind w:left="0" w:right="0" w:firstLine="0"/>
        <w:jc w:val="left"/>
        <w:sectPr>
          <w:headerReference r:id="rId177" w:type="default"/>
          <w:headerReference r:id="rId178" w:type="even"/>
          <w:footnotePr>
            <w:numFmt w:val="chicago"/>
          </w:footnotePr>
          <w:pgSz w:w="10099" w:h="14782"/>
          <w:pgMar w:top="1265" w:right="1005" w:bottom="1149" w:left="1095" w:header="0" w:footer="3" w:gutter="0"/>
          <w:pgNumType w:start="127"/>
          <w:cols w:space="720" w:num="1"/>
          <w:rtlGutter w:val="0"/>
          <w:docGrid w:linePitch="360" w:charSpace="0"/>
        </w:sectPr>
      </w:pPr>
      <w:r>
        <w:rPr>
          <w:color w:val="000000"/>
          <w:spacing w:val="0"/>
          <w:w w:val="100"/>
          <w:position w:val="0"/>
        </w:rPr>
        <w:t>陈甦:《民法总则评注》，法律出版社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7255DDC6">
      <w:pPr>
        <w:widowControl w:val="0"/>
        <w:spacing w:line="32" w:lineRule="exact"/>
        <w:rPr>
          <w:sz w:val="3"/>
          <w:szCs w:val="3"/>
        </w:rPr>
      </w:pPr>
    </w:p>
    <w:p w14:paraId="2EB0CEBB">
      <w:pPr>
        <w:widowControl w:val="0"/>
        <w:spacing w:line="1" w:lineRule="exact"/>
        <w:sectPr>
          <w:headerReference r:id="rId179" w:type="default"/>
          <w:headerReference r:id="rId180" w:type="even"/>
          <w:footnotePr>
            <w:numFmt w:val="chicago"/>
          </w:footnotePr>
          <w:pgSz w:w="10099" w:h="14782"/>
          <w:pgMar w:top="1259" w:right="1074" w:bottom="1155" w:left="1017" w:header="0" w:footer="3" w:gutter="0"/>
          <w:pgNumType w:start="147"/>
          <w:cols w:space="720" w:num="1"/>
          <w:rtlGutter w:val="0"/>
          <w:docGrid w:linePitch="360" w:charSpace="0"/>
        </w:sectPr>
      </w:pPr>
    </w:p>
    <w:p w14:paraId="56F52C0F">
      <w:pPr>
        <w:widowControl w:val="0"/>
        <w:spacing w:line="1" w:lineRule="exact"/>
      </w:pPr>
      <w:r>
        <mc:AlternateContent>
          <mc:Choice Requires="wps">
            <w:drawing>
              <wp:anchor distT="0" distB="22860" distL="0" distR="0" simplePos="0" relativeHeight="251660288" behindDoc="0" locked="0" layoutInCell="1" allowOverlap="1">
                <wp:simplePos x="0" y="0"/>
                <wp:positionH relativeFrom="page">
                  <wp:posOffset>715645</wp:posOffset>
                </wp:positionH>
                <wp:positionV relativeFrom="paragraph">
                  <wp:posOffset>0</wp:posOffset>
                </wp:positionV>
                <wp:extent cx="450850" cy="304800"/>
                <wp:effectExtent l="0" t="0" r="0" b="0"/>
                <wp:wrapTopAndBottom/>
                <wp:docPr id="399" name="Shape 399"/>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344A96E1">
                            <w:pPr>
                              <w:pStyle w:val="27"/>
                              <w:keepNext/>
                              <w:keepLines/>
                              <w:widowControl w:val="0"/>
                              <w:shd w:val="clear" w:color="auto" w:fill="auto"/>
                              <w:bidi w:val="0"/>
                              <w:spacing w:before="0" w:after="0" w:line="240" w:lineRule="auto"/>
                              <w:ind w:left="0" w:right="0" w:firstLine="0"/>
                              <w:jc w:val="both"/>
                            </w:pPr>
                            <w:bookmarkStart w:id="324" w:name="bookmark173"/>
                            <w:bookmarkStart w:id="325" w:name="bookmark174"/>
                            <w:bookmarkStart w:id="326" w:name="bookmark172"/>
                            <w:r>
                              <w:rPr>
                                <w:rFonts w:ascii="Times New Roman" w:hAnsi="Times New Roman" w:eastAsia="Times New Roman" w:cs="Times New Roman"/>
                                <w:color w:val="000000"/>
                                <w:spacing w:val="0"/>
                                <w:w w:val="100"/>
                                <w:position w:val="0"/>
                              </w:rPr>
                              <w:t>027</w:t>
                            </w:r>
                            <w:bookmarkEnd w:id="324"/>
                            <w:bookmarkEnd w:id="325"/>
                            <w:bookmarkEnd w:id="326"/>
                          </w:p>
                        </w:txbxContent>
                      </wps:txbx>
                      <wps:bodyPr wrap="none" lIns="0" tIns="0" rIns="0" bIns="0">
                        <a:noAutofit/>
                      </wps:bodyPr>
                    </wps:wsp>
                  </a:graphicData>
                </a:graphic>
              </wp:anchor>
            </w:drawing>
          </mc:Choice>
          <mc:Fallback>
            <w:pict>
              <v:shape id="Shape 399" o:spid="_x0000_s1026" o:spt="202" type="#_x0000_t202" style="position:absolute;left:0pt;margin-left:56.35pt;margin-top:0pt;height:24pt;width:35.5pt;mso-position-horizontal-relative:page;mso-wrap-distance-bottom:1.8pt;mso-wrap-distance-top:0pt;mso-wrap-style:none;z-index:251660288;mso-width-relative:page;mso-height-relative:page;" filled="f" stroked="f" coordsize="21600,21600" o:gfxdata="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1k1Mg0wAAAAcB&#10;AAAPAAAAAAAAAAEAIAAAACIAAABkcnMvZG93bnJldi54bWxQSwECFAAUAAAACACHTuJA6dg1Qq4B&#10;AABzAwAADgAAAAAAAAABACAAAAAiAQAAZHJzL2Uyb0RvYy54bWxQSwUGAAAAAAYABgBZAQAAQgUA&#10;AAAA&#10;">
                <v:fill on="f" focussize="0,0"/>
                <v:stroke on="f"/>
                <v:imagedata o:title=""/>
                <o:lock v:ext="edit" aspectratio="f"/>
                <v:textbox inset="0mm,0mm,0mm,0mm">
                  <w:txbxContent>
                    <w:p w14:paraId="344A96E1">
                      <w:pPr>
                        <w:pStyle w:val="27"/>
                        <w:keepNext/>
                        <w:keepLines/>
                        <w:widowControl w:val="0"/>
                        <w:shd w:val="clear" w:color="auto" w:fill="auto"/>
                        <w:bidi w:val="0"/>
                        <w:spacing w:before="0" w:after="0" w:line="240" w:lineRule="auto"/>
                        <w:ind w:left="0" w:right="0" w:firstLine="0"/>
                        <w:jc w:val="both"/>
                      </w:pPr>
                      <w:bookmarkStart w:id="324" w:name="bookmark173"/>
                      <w:bookmarkStart w:id="325" w:name="bookmark174"/>
                      <w:bookmarkStart w:id="326" w:name="bookmark172"/>
                      <w:r>
                        <w:rPr>
                          <w:rFonts w:ascii="Times New Roman" w:hAnsi="Times New Roman" w:eastAsia="Times New Roman" w:cs="Times New Roman"/>
                          <w:color w:val="000000"/>
                          <w:spacing w:val="0"/>
                          <w:w w:val="100"/>
                          <w:position w:val="0"/>
                        </w:rPr>
                        <w:t>027</w:t>
                      </w:r>
                      <w:bookmarkEnd w:id="324"/>
                      <w:bookmarkEnd w:id="325"/>
                      <w:bookmarkEnd w:id="326"/>
                    </w:p>
                  </w:txbxContent>
                </v:textbox>
                <w10:wrap type="topAndBottom"/>
              </v:shape>
            </w:pict>
          </mc:Fallback>
        </mc:AlternateContent>
      </w:r>
      <w:r>
        <mc:AlternateContent>
          <mc:Choice Requires="wps">
            <w:drawing>
              <wp:anchor distT="90170" distB="0" distL="0" distR="0" simplePos="0" relativeHeight="251660288" behindDoc="0" locked="0" layoutInCell="1" allowOverlap="1">
                <wp:simplePos x="0" y="0"/>
                <wp:positionH relativeFrom="page">
                  <wp:posOffset>1293495</wp:posOffset>
                </wp:positionH>
                <wp:positionV relativeFrom="paragraph">
                  <wp:posOffset>90170</wp:posOffset>
                </wp:positionV>
                <wp:extent cx="2220595" cy="237490"/>
                <wp:effectExtent l="0" t="0" r="0" b="0"/>
                <wp:wrapTopAndBottom/>
                <wp:docPr id="401" name="Shape 401"/>
                <wp:cNvGraphicFramePr/>
                <a:graphic xmlns:a="http://schemas.openxmlformats.org/drawingml/2006/main">
                  <a:graphicData uri="http://schemas.microsoft.com/office/word/2010/wordprocessingShape">
                    <wps:wsp>
                      <wps:cNvSpPr txBox="1"/>
                      <wps:spPr>
                        <a:xfrm>
                          <a:off x="0" y="0"/>
                          <a:ext cx="2220595" cy="237490"/>
                        </a:xfrm>
                        <a:prstGeom prst="rect">
                          <a:avLst/>
                        </a:prstGeom>
                        <a:noFill/>
                      </wps:spPr>
                      <wps:txbx>
                        <w:txbxContent>
                          <w:p w14:paraId="1F319C48">
                            <w:pPr>
                              <w:pStyle w:val="15"/>
                              <w:keepNext/>
                              <w:keepLines/>
                              <w:widowControl w:val="0"/>
                              <w:shd w:val="clear" w:color="auto" w:fill="auto"/>
                              <w:bidi w:val="0"/>
                              <w:spacing w:before="0" w:after="0" w:line="240" w:lineRule="auto"/>
                              <w:ind w:left="0" w:right="0" w:firstLine="0"/>
                              <w:jc w:val="left"/>
                            </w:pPr>
                            <w:bookmarkStart w:id="327" w:name="bookmark177"/>
                            <w:bookmarkStart w:id="328" w:name="bookmark175"/>
                            <w:bookmarkStart w:id="329" w:name="bookmark176"/>
                            <w:r>
                              <w:rPr>
                                <w:color w:val="000000"/>
                                <w:spacing w:val="0"/>
                                <w:w w:val="100"/>
                                <w:position w:val="0"/>
                              </w:rPr>
                              <w:t>物权法定原则的缓释机制</w:t>
                            </w:r>
                            <w:bookmarkEnd w:id="327"/>
                            <w:bookmarkEnd w:id="328"/>
                            <w:bookmarkEnd w:id="329"/>
                          </w:p>
                        </w:txbxContent>
                      </wps:txbx>
                      <wps:bodyPr wrap="none" lIns="0" tIns="0" rIns="0" bIns="0">
                        <a:noAutofit/>
                      </wps:bodyPr>
                    </wps:wsp>
                  </a:graphicData>
                </a:graphic>
              </wp:anchor>
            </w:drawing>
          </mc:Choice>
          <mc:Fallback>
            <w:pict>
              <v:shape id="Shape 401" o:spid="_x0000_s1026" o:spt="202" type="#_x0000_t202" style="position:absolute;left:0pt;margin-left:101.85pt;margin-top:7.1pt;height:18.7pt;width:174.85pt;mso-position-horizontal-relative:page;mso-wrap-distance-bottom:0pt;mso-wrap-distance-top:7.1pt;mso-wrap-style:none;z-index:251660288;mso-width-relative:page;mso-height-relative:page;" filled="f" stroked="f" coordsize="21600,21600" o:gfxdata="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AJe2n&#10;1wAAAAkBAAAPAAAAAAAAAAEAIAAAACIAAABkcnMvZG93bnJldi54bWxQSwECFAAUAAAACACHTuJA&#10;C4nUybABAAB0AwAADgAAAAAAAAABACAAAAAmAQAAZHJzL2Uyb0RvYy54bWxQSwUGAAAAAAYABgBZ&#10;AQAASAUAAAAA&#10;">
                <v:fill on="f" focussize="0,0"/>
                <v:stroke on="f"/>
                <v:imagedata o:title=""/>
                <o:lock v:ext="edit" aspectratio="f"/>
                <v:textbox inset="0mm,0mm,0mm,0mm">
                  <w:txbxContent>
                    <w:p w14:paraId="1F319C48">
                      <w:pPr>
                        <w:pStyle w:val="15"/>
                        <w:keepNext/>
                        <w:keepLines/>
                        <w:widowControl w:val="0"/>
                        <w:shd w:val="clear" w:color="auto" w:fill="auto"/>
                        <w:bidi w:val="0"/>
                        <w:spacing w:before="0" w:after="0" w:line="240" w:lineRule="auto"/>
                        <w:ind w:left="0" w:right="0" w:firstLine="0"/>
                        <w:jc w:val="left"/>
                      </w:pPr>
                      <w:bookmarkStart w:id="327" w:name="bookmark177"/>
                      <w:bookmarkStart w:id="328" w:name="bookmark175"/>
                      <w:bookmarkStart w:id="329" w:name="bookmark176"/>
                      <w:r>
                        <w:rPr>
                          <w:color w:val="000000"/>
                          <w:spacing w:val="0"/>
                          <w:w w:val="100"/>
                          <w:position w:val="0"/>
                        </w:rPr>
                        <w:t>物权法定原则的缓释机制</w:t>
                      </w:r>
                      <w:bookmarkEnd w:id="327"/>
                      <w:bookmarkEnd w:id="328"/>
                      <w:bookmarkEnd w:id="329"/>
                    </w:p>
                  </w:txbxContent>
                </v:textbox>
                <w10:wrap type="topAndBottom"/>
              </v:shape>
            </w:pict>
          </mc:Fallback>
        </mc:AlternateContent>
      </w:r>
    </w:p>
    <w:p w14:paraId="461E70BE">
      <w:pPr>
        <w:pStyle w:val="17"/>
        <w:keepNext w:val="0"/>
        <w:keepLines w:val="0"/>
        <w:widowControl w:val="0"/>
        <w:shd w:val="clear" w:color="auto" w:fill="auto"/>
        <w:bidi w:val="0"/>
        <w:spacing w:before="0" w:after="420" w:line="347" w:lineRule="exact"/>
        <w:ind w:left="1020" w:right="0" w:firstLine="0"/>
        <w:jc w:val="both"/>
      </w:pPr>
      <w:r>
        <w:drawing>
          <wp:anchor distT="0" distB="0" distL="114300" distR="114300" simplePos="0" relativeHeight="251660288" behindDoc="0" locked="0" layoutInCell="1" allowOverlap="1">
            <wp:simplePos x="0" y="0"/>
            <wp:positionH relativeFrom="page">
              <wp:posOffset>5088255</wp:posOffset>
            </wp:positionH>
            <wp:positionV relativeFrom="paragraph">
              <wp:posOffset>88900</wp:posOffset>
            </wp:positionV>
            <wp:extent cx="615950" cy="615950"/>
            <wp:effectExtent l="0" t="0" r="6350" b="6350"/>
            <wp:wrapSquare wrapText="left"/>
            <wp:docPr id="403" name="Shape 403"/>
            <wp:cNvGraphicFramePr/>
            <a:graphic xmlns:a="http://schemas.openxmlformats.org/drawingml/2006/main">
              <a:graphicData uri="http://schemas.openxmlformats.org/drawingml/2006/picture">
                <pic:pic xmlns:pic="http://schemas.openxmlformats.org/drawingml/2006/picture">
                  <pic:nvPicPr>
                    <pic:cNvPr id="403" name="Shape 403"/>
                    <pic:cNvPicPr/>
                  </pic:nvPicPr>
                  <pic:blipFill>
                    <a:blip r:embed="rId628"/>
                    <a:stretch>
                      <a:fillRect/>
                    </a:stretch>
                  </pic:blipFill>
                  <pic:spPr>
                    <a:xfrm>
                      <a:off x="0" y="0"/>
                      <a:ext cx="615950" cy="615950"/>
                    </a:xfrm>
                    <a:prstGeom prst="rect">
                      <a:avLst/>
                    </a:prstGeom>
                  </pic:spPr>
                </pic:pic>
              </a:graphicData>
            </a:graphic>
          </wp:anchor>
        </w:drawing>
      </w:r>
      <w:r>
        <w:rPr>
          <w:color w:val="000000"/>
          <w:spacing w:val="0"/>
          <w:w w:val="100"/>
          <w:position w:val="0"/>
        </w:rPr>
        <w:t>江西欧亚集团有限公司、上海浦东发展银行股份有限公司南昌分行 金融借款合同纠纷案丨最高人民法院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9"/>
          <w:szCs w:val="19"/>
        </w:rPr>
        <w:t>496</w:t>
      </w:r>
      <w:r>
        <w:rPr>
          <w:color w:val="000000"/>
          <w:spacing w:val="0"/>
          <w:w w:val="100"/>
          <w:position w:val="0"/>
        </w:rPr>
        <w:t>号 民事判决书</w:t>
      </w:r>
    </w:p>
    <w:p w14:paraId="55350A74">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熊丙万</w:t>
      </w:r>
      <w:r>
        <w:rPr>
          <w:color w:val="000000"/>
          <w:spacing w:val="0"/>
          <w:w w:val="100"/>
          <w:position w:val="0"/>
        </w:rPr>
        <w:t>中国人民大学法学院</w:t>
      </w:r>
    </w:p>
    <w:p w14:paraId="2D53B73E">
      <w:pPr>
        <w:pStyle w:val="11"/>
        <w:keepNext w:val="0"/>
        <w:keepLines w:val="0"/>
        <w:widowControl w:val="0"/>
        <w:shd w:val="clear" w:color="auto" w:fill="auto"/>
        <w:bidi w:val="0"/>
        <w:spacing w:before="0" w:after="100" w:line="34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A5B4485">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日，原告浦发银行南昌分行（质权人）与被告南昌佳辉公司（出质人）签 订《权利最高额质押合同》。双方约定以南昌佳辉公司所有的</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辆岀租车的经营权以及经 营权的使用权为质押财产,为被告江西欧亚集团公司（主债务人）在此后一年内与原告发生 的金融债权等担保。所担保债权最高额不得超过等值人民币</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 xml:space="preserve">万元。同日，原告与另一 被告江西欧亚出租公司（出质人）签订另一份《权利最高额质押合同》，约定以后者持有的 </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辆出租车的经营权以及经营权的使用权为质押财产，为同一笔债权提供质押担保。两出 质人均确认，当债务人未按主合同约定履行其债务时，质权人对质押财产有第一顺位的优 先受偿权。南昌市城市客运管理处为此办理了质押登记。</w:t>
      </w:r>
    </w:p>
    <w:p w14:paraId="495DF25A">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此后，原告向被告江西欧亚集团公司发放了人民币</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万元的贷款。贷款到期后，借 款人未能按约定偿还本息,保证人亦未按合同承担担保责任。原告诉至江西省高级人民法 院，请求</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判令江西欧亚集团公司立即归还原告贷款本金及利息；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判令原告对南昌佳 辉公司、江西欧亚出租公司分别质押的</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辆、</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辆出租车的经营权和经营权的使用权享有 优先受偿权。</w:t>
      </w:r>
    </w:p>
    <w:p w14:paraId="1DE5F4ED">
      <w:pPr>
        <w:pStyle w:val="11"/>
        <w:keepNext w:val="0"/>
        <w:keepLines w:val="0"/>
        <w:widowControl w:val="0"/>
        <w:shd w:val="clear" w:color="auto" w:fill="auto"/>
        <w:bidi w:val="0"/>
        <w:spacing w:before="0" w:after="10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1E0FEF63">
      <w:pPr>
        <w:pStyle w:val="17"/>
        <w:keepNext w:val="0"/>
        <w:keepLines w:val="0"/>
        <w:widowControl w:val="0"/>
        <w:shd w:val="clear" w:color="auto" w:fill="auto"/>
        <w:bidi w:val="0"/>
        <w:spacing w:before="0" w:after="360" w:line="339" w:lineRule="exact"/>
        <w:ind w:left="0" w:right="0" w:firstLine="420"/>
        <w:jc w:val="both"/>
        <w:sectPr>
          <w:footnotePr>
            <w:numFmt w:val="chicago"/>
          </w:footnotePr>
          <w:type w:val="continuous"/>
          <w:pgSz w:w="10099" w:h="14782"/>
          <w:pgMar w:top="1259" w:right="1074" w:bottom="1155" w:left="1017" w:header="831" w:footer="727" w:gutter="0"/>
          <w:cols w:space="720" w:num="1"/>
          <w:rtlGutter w:val="0"/>
          <w:docGrid w:linePitch="360" w:charSpace="0"/>
        </w:sectPr>
      </w:pPr>
      <w:r>
        <w:rPr>
          <w:color w:val="000000"/>
          <w:spacing w:val="0"/>
          <w:w w:val="100"/>
          <w:position w:val="0"/>
        </w:rPr>
        <w:t>关于原告对两被告南昌佳辉公司、江西欧亚出租公司质押的出租车经营权和经营权的 使用权是否享有优先受偿权的问题。为担保主债务的履行，原告与两被告签订了《权利最 高额质押合同》，两被告质押出租车经营权和经营权的使用权,原告作为质权人对质押财产 有第一顺位的优先受偿权。原《物权法》第</w:t>
      </w:r>
      <w:r>
        <w:rPr>
          <w:rFonts w:ascii="Times New Roman" w:hAnsi="Times New Roman" w:eastAsia="Times New Roman" w:cs="Times New Roman"/>
          <w:color w:val="000000"/>
          <w:spacing w:val="0"/>
          <w:w w:val="100"/>
          <w:position w:val="0"/>
          <w:sz w:val="19"/>
          <w:szCs w:val="19"/>
        </w:rPr>
        <w:t>208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“为担</w:t>
      </w:r>
      <w:r>
        <w:rPr>
          <w:color w:val="000000"/>
          <w:spacing w:val="0"/>
          <w:w w:val="100"/>
          <w:position w:val="0"/>
        </w:rPr>
        <w:t>保债务的履行，债务人 或者第三人将其动产出质给债权人占有的，债务人不履行到期债务或者发生当事人约定的 实现质权的情形，债权人有权就该动产优先受偿。</w:t>
      </w:r>
      <w:r>
        <w:rPr>
          <w:color w:val="000000"/>
          <w:spacing w:val="0"/>
          <w:w w:val="100"/>
          <w:position w:val="0"/>
          <w:lang w:val="zh-CN" w:eastAsia="zh-CN" w:bidi="zh-CN"/>
        </w:rPr>
        <w:t>”在主</w:t>
      </w:r>
      <w:r>
        <w:rPr>
          <w:color w:val="000000"/>
          <w:spacing w:val="0"/>
          <w:w w:val="100"/>
          <w:position w:val="0"/>
        </w:rPr>
        <w:t>债务人未按时偿还原告借款的情形 下，依据原告与两被告的出质约定和物权法的相关规定,原告对《权利最高额质押合同》中 载明的质押物依法享有优先受偿权。原告要求对两被告分别质押的</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辆、</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 xml:space="preserve">辆出租车的 </w:t>
      </w:r>
    </w:p>
    <w:p w14:paraId="7988737C">
      <w:pPr>
        <w:pStyle w:val="17"/>
        <w:keepNext w:val="0"/>
        <w:keepLines w:val="0"/>
        <w:widowControl w:val="0"/>
        <w:shd w:val="clear" w:color="auto" w:fill="auto"/>
        <w:bidi w:val="0"/>
        <w:spacing w:before="0" w:after="360" w:line="339" w:lineRule="exact"/>
        <w:ind w:left="0" w:right="0" w:firstLine="0"/>
        <w:jc w:val="both"/>
      </w:pPr>
      <w:r>
        <w:rPr>
          <w:color w:val="000000"/>
          <w:spacing w:val="0"/>
          <w:w w:val="100"/>
          <w:position w:val="0"/>
        </w:rPr>
        <w:t>经营权和经营权的使用权折价、拍卖或变卖的价款优先受偿的请求,符合合同约定和法律 规定，应予支持。</w:t>
      </w:r>
    </w:p>
    <w:p w14:paraId="3FF2016F">
      <w:pPr>
        <w:pStyle w:val="11"/>
        <w:keepNext w:val="0"/>
        <w:keepLines w:val="0"/>
        <w:widowControl w:val="0"/>
        <w:shd w:val="clear" w:color="auto" w:fill="auto"/>
        <w:bidi w:val="0"/>
        <w:spacing w:before="0" w:after="260" w:line="344" w:lineRule="exact"/>
        <w:ind w:left="0" w:right="0" w:firstLine="0"/>
        <w:jc w:val="both"/>
      </w:pPr>
      <w:r>
        <w:rPr>
          <w:color w:val="000000"/>
          <w:spacing w:val="0"/>
          <w:w w:val="100"/>
          <w:position w:val="0"/>
        </w:rPr>
        <w:t>■评析</w:t>
      </w:r>
    </w:p>
    <w:p w14:paraId="7D6CF5E0">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本裁判的思路和意义</w:t>
      </w:r>
    </w:p>
    <w:p w14:paraId="6FC299B6">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本案就</w:t>
      </w:r>
      <w:r>
        <w:rPr>
          <w:color w:val="000000"/>
          <w:spacing w:val="0"/>
          <w:w w:val="100"/>
          <w:position w:val="0"/>
          <w:lang w:val="zh-CN" w:eastAsia="zh-CN" w:bidi="zh-CN"/>
        </w:rPr>
        <w:t>“当</w:t>
      </w:r>
      <w:r>
        <w:rPr>
          <w:color w:val="000000"/>
          <w:spacing w:val="0"/>
          <w:w w:val="100"/>
          <w:position w:val="0"/>
        </w:rPr>
        <w:t>事人能否以’出租车经营权'作为质物设定权利质权</w:t>
      </w:r>
      <w:r>
        <w:rPr>
          <w:color w:val="000000"/>
          <w:spacing w:val="0"/>
          <w:w w:val="100"/>
          <w:position w:val="0"/>
          <w:lang w:val="zh-CN" w:eastAsia="zh-CN" w:bidi="zh-CN"/>
        </w:rPr>
        <w:t>”这</w:t>
      </w:r>
      <w:r>
        <w:rPr>
          <w:color w:val="000000"/>
          <w:spacing w:val="0"/>
          <w:w w:val="100"/>
          <w:position w:val="0"/>
        </w:rPr>
        <w:t>一当前频繁出现的、 涉“物权法定原则”的问题做出了裁判。本案中，原告、被告双方不仅就出租车经营权质押 达成了协议，而且还得到了出租车经营权的行政主管部门的同意，并在行政主管部门办理 了质押登记。鉴于这些事实，法院裁判认为，原告、被告双方设定的出租车经营权质权，并支 持质权人的优先受偿请求，符合合同的约定和法律的规定。</w:t>
      </w:r>
    </w:p>
    <w:p w14:paraId="3F55713A">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在近年来频繁出现的出租车经营权质权争议案件中，这是为数不多的由省高院裁判的 案件。因二审的争议焦点并不涉及出租车经营权质权的问题（二审焦点系利息计算方式）， 我们暂时无法十分准确地窥探最高人民法院在这一问题上的立场。但如后文所述,我们可 根据最高人民法院的相关指导性案例大致推定其并不反对江西高院的裁判思路。并且，以 出租车经营权的可出质性为代表性事例来评价物权法定原则的缓释机制问题有两方面优 势:一方面,无论是从当事人设立质押的方式上（是否报批、是否登记和如何登记等），还是 从法院的裁判立场上，既有案例的类型丰富，值得比较分析;另一方面，在法定物权种类之 外的诸种新型物权创设现象中，出租车经营权质权同时涉及“法定原则</w:t>
      </w:r>
      <w:r>
        <w:rPr>
          <w:color w:val="000000"/>
          <w:spacing w:val="0"/>
          <w:w w:val="100"/>
          <w:position w:val="0"/>
          <w:lang w:val="zh-CN" w:eastAsia="zh-CN" w:bidi="zh-CN"/>
        </w:rPr>
        <w:t>”背后</w:t>
      </w:r>
      <w:r>
        <w:rPr>
          <w:color w:val="000000"/>
          <w:spacing w:val="0"/>
          <w:w w:val="100"/>
          <w:position w:val="0"/>
        </w:rPr>
        <w:t>的社会公共政 策和公示技术问题,集中反映了物权法定原则的缓释机制的复杂性。</w:t>
      </w:r>
    </w:p>
    <w:p w14:paraId="6943B9D8">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关于物权法定原则的缓释机制的规范及学理</w:t>
      </w:r>
    </w:p>
    <w:p w14:paraId="1024CD98">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年颁布的原《物权法》第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条规定:</w:t>
      </w:r>
      <w:r>
        <w:rPr>
          <w:color w:val="000000"/>
          <w:spacing w:val="0"/>
          <w:w w:val="100"/>
          <w:position w:val="0"/>
          <w:lang w:val="zh-CN" w:eastAsia="zh-CN" w:bidi="zh-CN"/>
        </w:rPr>
        <w:t>“物权</w:t>
      </w:r>
      <w:r>
        <w:rPr>
          <w:color w:val="000000"/>
          <w:spacing w:val="0"/>
          <w:w w:val="100"/>
          <w:position w:val="0"/>
        </w:rPr>
        <w:t>的种类和内容，由法律规定</w:t>
      </w:r>
      <w:r>
        <w:rPr>
          <w:color w:val="000000"/>
          <w:spacing w:val="0"/>
          <w:w w:val="100"/>
          <w:position w:val="0"/>
          <w:lang w:val="zh-CN" w:eastAsia="zh-CN" w:bidi="zh-CN"/>
        </w:rPr>
        <w:t>。”在</w:t>
      </w:r>
      <w:r>
        <w:rPr>
          <w:color w:val="000000"/>
          <w:spacing w:val="0"/>
          <w:w w:val="100"/>
          <w:position w:val="0"/>
        </w:rPr>
        <w:t>学理上, 这被称为严格的物权法定原则。</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年颁布的原《民法总则》第</w:t>
      </w:r>
      <w:r>
        <w:rPr>
          <w:rFonts w:ascii="Times New Roman" w:hAnsi="Times New Roman" w:eastAsia="Times New Roman" w:cs="Times New Roman"/>
          <w:color w:val="000000"/>
          <w:spacing w:val="0"/>
          <w:w w:val="100"/>
          <w:position w:val="0"/>
          <w:sz w:val="19"/>
          <w:szCs w:val="19"/>
        </w:rPr>
        <w:t>116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 xml:space="preserve">116 </w:t>
      </w:r>
      <w:r>
        <w:rPr>
          <w:color w:val="000000"/>
          <w:spacing w:val="0"/>
          <w:w w:val="100"/>
          <w:position w:val="0"/>
        </w:rPr>
        <w:t>条）重申了这一原则。严格来讲，当事人之间拟创设的物权，只有符合</w:t>
      </w:r>
      <w:r>
        <w:rPr>
          <w:color w:val="000000"/>
          <w:spacing w:val="0"/>
          <w:w w:val="100"/>
          <w:position w:val="0"/>
          <w:lang w:val="zh-CN" w:eastAsia="zh-CN" w:bidi="zh-CN"/>
        </w:rPr>
        <w:t>“法律”明</w:t>
      </w:r>
      <w:r>
        <w:rPr>
          <w:color w:val="000000"/>
          <w:spacing w:val="0"/>
          <w:w w:val="100"/>
          <w:position w:val="0"/>
        </w:rPr>
        <w:t>确规定的种 类和内容时,才会成为法律意义上的物权，从而具备“支配力</w:t>
      </w:r>
      <w:r>
        <w:rPr>
          <w:color w:val="000000"/>
          <w:spacing w:val="0"/>
          <w:w w:val="100"/>
          <w:position w:val="0"/>
          <w:lang w:val="zh-CN" w:eastAsia="zh-CN" w:bidi="zh-CN"/>
        </w:rPr>
        <w:t>”和“排</w:t>
      </w:r>
      <w:r>
        <w:rPr>
          <w:color w:val="000000"/>
          <w:spacing w:val="0"/>
          <w:w w:val="100"/>
          <w:position w:val="0"/>
        </w:rPr>
        <w:t>他力</w:t>
      </w:r>
      <w:r>
        <w:rPr>
          <w:color w:val="000000"/>
          <w:spacing w:val="0"/>
          <w:w w:val="100"/>
          <w:position w:val="0"/>
          <w:lang w:val="zh-CN" w:eastAsia="zh-CN" w:bidi="zh-CN"/>
        </w:rPr>
        <w:t>”这</w:t>
      </w:r>
      <w:r>
        <w:rPr>
          <w:color w:val="000000"/>
          <w:spacing w:val="0"/>
          <w:w w:val="100"/>
          <w:position w:val="0"/>
        </w:rPr>
        <w:t>两大区别于债 权的物权特征。此种物权不仅可以对抗交易相对人，而且还能够对抗不特定的交易第三 人。</w:t>
      </w:r>
    </w:p>
    <w:p w14:paraId="7C3FA71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不过，自我国起草原《物权法》以来,学理上关于是否应釆取严格的物权法定原则就存 在重大争议。不少学者主张，对于可特定化物而言，只要新创设的财产权类型能获得足够 公示,能清晰地向外界披露当事人在该物上的财产权分割状况，就应承认它们的物权地位 （常鹏翱：《体系化视角中的物权法定》，载《法学研究》</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期；苏永钦:《可登记财产利益的交易 自由</w:t>
      </w:r>
      <w:r>
        <w:rPr>
          <w:color w:val="000000"/>
          <w:spacing w:val="0"/>
          <w:w w:val="100"/>
          <w:position w:val="0"/>
          <w:lang w:val="en-US" w:eastAsia="en-US" w:bidi="en-US"/>
        </w:rPr>
        <w:t>一一</w:t>
      </w:r>
      <w:r>
        <w:rPr>
          <w:color w:val="000000"/>
          <w:spacing w:val="0"/>
          <w:w w:val="100"/>
          <w:position w:val="0"/>
        </w:rPr>
        <w:t>从两岸民事法制的观点看物权法定原则松绑的界线》，载《南京大学法律评论》</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张鹏:《物债二分体系下的物权法定》，载《中国法学》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0D52281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在现行法多次重申严格物权法定的背景下，即便支持物权法定的学者也多主张通过一 定的缓释机制来承认创设新物权的现实需求，避免物权法定主义走向僵化。一种缓释机制 是对交易实践中确已形成习惯的物权类型采用</w:t>
      </w:r>
      <w:r>
        <w:rPr>
          <w:color w:val="000000"/>
          <w:spacing w:val="0"/>
          <w:w w:val="100"/>
          <w:position w:val="0"/>
          <w:lang w:val="zh-CN" w:eastAsia="zh-CN" w:bidi="zh-CN"/>
        </w:rPr>
        <w:t>“零售”方式</w:t>
      </w:r>
      <w:r>
        <w:rPr>
          <w:color w:val="000000"/>
          <w:spacing w:val="0"/>
          <w:w w:val="100"/>
          <w:position w:val="0"/>
        </w:rPr>
        <w:t>，由行政法规、司法解释或指导 性案例等权威方式予以承认。但这种方式的缓释速度和容量十分有限，难以满足实践需 求。因此有必要承认第二种机制，即充分拓展既有立法资源的包容力，尽量在个案中将新 生类型解释为法定类型［刘凯湘:《物权法原则的重新审视》，载《中外法学》</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期；王利明： 《物权法研究（修订版）》（上），中国人民大学出版社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年版；梁慧星、陈华彬主编：《物权法》（第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30C1BA2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然而,在第二种缓释机制中，法官常需在不同程度上突破法律文义的约束。这既可能 带来承认必要新型物权，促进市场交易的正能量;也可能伴随过度承认新型物权，损及</w:t>
      </w:r>
      <w:r>
        <w:rPr>
          <w:color w:val="000000"/>
          <w:spacing w:val="0"/>
          <w:w w:val="100"/>
          <w:position w:val="0"/>
          <w:lang w:val="zh-CN" w:eastAsia="zh-CN" w:bidi="zh-CN"/>
        </w:rPr>
        <w:t xml:space="preserve">“公 </w:t>
      </w:r>
      <w:r>
        <w:rPr>
          <w:color w:val="000000"/>
          <w:spacing w:val="0"/>
          <w:w w:val="100"/>
          <w:position w:val="0"/>
        </w:rPr>
        <w:t>共政策目标</w:t>
      </w:r>
      <w:r>
        <w:rPr>
          <w:color w:val="000000"/>
          <w:spacing w:val="0"/>
          <w:w w:val="100"/>
          <w:position w:val="0"/>
          <w:lang w:val="zh-CN" w:eastAsia="zh-CN" w:bidi="zh-CN"/>
        </w:rPr>
        <w:t>”和“市场</w:t>
      </w:r>
      <w:r>
        <w:rPr>
          <w:color w:val="000000"/>
          <w:spacing w:val="0"/>
          <w:w w:val="100"/>
          <w:position w:val="0"/>
        </w:rPr>
        <w:t>交易安全”的副作用。原《物权法》实施以来，如何通过此种机制来判 别实践中频繁岀现的新型担保物权，从而达到发挥正能量、避免副作用的缓释效果,是困扰 司法实践的一大难题［最高院民二庭新类型担保调研小组：《关于新类型担保的调研》，载《商事审判 指导》（第</w:t>
      </w:r>
      <w:r>
        <w:rPr>
          <w:rFonts w:ascii="Times New Roman" w:hAnsi="Times New Roman" w:eastAsia="Times New Roman" w:cs="Times New Roman"/>
          <w:color w:val="000000"/>
          <w:spacing w:val="0"/>
          <w:w w:val="100"/>
          <w:position w:val="0"/>
          <w:sz w:val="17"/>
          <w:szCs w:val="17"/>
        </w:rPr>
        <w:t>32</w:t>
      </w:r>
      <w:r>
        <w:rPr>
          <w:color w:val="000000"/>
          <w:spacing w:val="0"/>
          <w:w w:val="100"/>
          <w:position w:val="0"/>
        </w:rPr>
        <w:t>辑），人民法院出版社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年版］。其中，出租车经营权所代表的特许经营权的出质 问题尤为明显。</w:t>
      </w:r>
    </w:p>
    <w:p w14:paraId="434B47F4">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特别是，由于《民法典》第</w:t>
      </w:r>
      <w:r>
        <w:rPr>
          <w:rFonts w:ascii="Times New Roman" w:hAnsi="Times New Roman" w:eastAsia="Times New Roman" w:cs="Times New Roman"/>
          <w:color w:val="000000"/>
          <w:spacing w:val="0"/>
          <w:w w:val="100"/>
          <w:position w:val="0"/>
          <w:sz w:val="19"/>
          <w:szCs w:val="19"/>
        </w:rPr>
        <w:t>440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项列举的可出质权利具有明确的对象指涉，学 理和审判实践将努力的重点放在第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项规定的“应收账款</w:t>
      </w:r>
      <w:r>
        <w:rPr>
          <w:color w:val="000000"/>
          <w:spacing w:val="0"/>
          <w:w w:val="100"/>
          <w:position w:val="0"/>
          <w:lang w:val="zh-CN" w:eastAsia="zh-CN" w:bidi="zh-CN"/>
        </w:rPr>
        <w:t>”和第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项规定的</w:t>
      </w:r>
      <w:r>
        <w:rPr>
          <w:color w:val="000000"/>
          <w:spacing w:val="0"/>
          <w:w w:val="100"/>
          <w:position w:val="0"/>
          <w:lang w:val="zh-CN" w:eastAsia="zh-CN" w:bidi="zh-CN"/>
        </w:rPr>
        <w:t>“法律</w:t>
      </w:r>
      <w:r>
        <w:rPr>
          <w:color w:val="000000"/>
          <w:spacing w:val="0"/>
          <w:w w:val="100"/>
          <w:position w:val="0"/>
        </w:rPr>
        <w:t>、行政法 规规定可以出质的其他财产权利</w:t>
      </w:r>
      <w:r>
        <w:rPr>
          <w:color w:val="000000"/>
          <w:spacing w:val="0"/>
          <w:w w:val="100"/>
          <w:position w:val="0"/>
          <w:lang w:val="zh-CN" w:eastAsia="zh-CN" w:bidi="zh-CN"/>
        </w:rPr>
        <w:t>”上。</w:t>
      </w:r>
      <w:r>
        <w:rPr>
          <w:color w:val="000000"/>
          <w:spacing w:val="0"/>
          <w:w w:val="100"/>
          <w:position w:val="0"/>
        </w:rPr>
        <w:t>不过，无论是通过扩大解释“应收账款</w:t>
      </w:r>
      <w:r>
        <w:rPr>
          <w:color w:val="000000"/>
          <w:spacing w:val="0"/>
          <w:w w:val="100"/>
          <w:position w:val="0"/>
          <w:lang w:val="zh-CN" w:eastAsia="zh-CN" w:bidi="zh-CN"/>
        </w:rPr>
        <w:t>”，使</w:t>
      </w:r>
      <w:r>
        <w:rPr>
          <w:color w:val="000000"/>
          <w:spacing w:val="0"/>
          <w:w w:val="100"/>
          <w:position w:val="0"/>
        </w:rPr>
        <w:t xml:space="preserve">其容纳 </w:t>
      </w:r>
      <w:r>
        <w:rPr>
          <w:color w:val="000000"/>
          <w:spacing w:val="0"/>
          <w:w w:val="100"/>
          <w:position w:val="0"/>
          <w:lang w:val="zh-CN" w:eastAsia="zh-CN" w:bidi="zh-CN"/>
        </w:rPr>
        <w:t>“排</w:t>
      </w:r>
      <w:r>
        <w:rPr>
          <w:color w:val="000000"/>
          <w:spacing w:val="0"/>
          <w:w w:val="100"/>
          <w:position w:val="0"/>
        </w:rPr>
        <w:t>污权</w:t>
      </w:r>
      <w:r>
        <w:rPr>
          <w:color w:val="000000"/>
          <w:spacing w:val="0"/>
          <w:w w:val="100"/>
          <w:position w:val="0"/>
          <w:lang w:val="zh-CN" w:eastAsia="zh-CN" w:bidi="zh-CN"/>
        </w:rPr>
        <w:t>”等特</w:t>
      </w:r>
      <w:r>
        <w:rPr>
          <w:color w:val="000000"/>
          <w:spacing w:val="0"/>
          <w:w w:val="100"/>
          <w:position w:val="0"/>
        </w:rPr>
        <w:t>许经营权的收益权;还是通过扩大解释第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项中的</w:t>
      </w:r>
      <w:r>
        <w:rPr>
          <w:color w:val="000000"/>
          <w:spacing w:val="0"/>
          <w:w w:val="100"/>
          <w:position w:val="0"/>
          <w:lang w:val="zh-CN" w:eastAsia="zh-CN" w:bidi="zh-CN"/>
        </w:rPr>
        <w:t>“法律</w:t>
      </w:r>
      <w:r>
        <w:rPr>
          <w:color w:val="000000"/>
          <w:spacing w:val="0"/>
          <w:w w:val="100"/>
          <w:position w:val="0"/>
        </w:rPr>
        <w:t>、行政法规</w:t>
      </w:r>
      <w:r>
        <w:rPr>
          <w:color w:val="000000"/>
          <w:spacing w:val="0"/>
          <w:w w:val="100"/>
          <w:position w:val="0"/>
          <w:lang w:val="zh-CN" w:eastAsia="zh-CN" w:bidi="zh-CN"/>
        </w:rPr>
        <w:t>”，使</w:t>
      </w:r>
      <w:r>
        <w:rPr>
          <w:color w:val="000000"/>
          <w:spacing w:val="0"/>
          <w:w w:val="100"/>
          <w:position w:val="0"/>
        </w:rPr>
        <w:t>其包 含地方法规、部门规章或其他地方规定，法官在个案中判断是否需要认可新型物权时，都需 要着重判断两个方面的问题：</w:t>
      </w:r>
    </w:p>
    <w:p w14:paraId="64D5E5A6">
      <w:pPr>
        <w:pStyle w:val="17"/>
        <w:keepNext w:val="0"/>
        <w:keepLines w:val="0"/>
        <w:widowControl w:val="0"/>
        <w:numPr>
          <w:ilvl w:val="0"/>
          <w:numId w:val="12"/>
        </w:numPr>
        <w:shd w:val="clear" w:color="auto" w:fill="auto"/>
        <w:tabs>
          <w:tab w:val="left" w:pos="678"/>
        </w:tabs>
        <w:bidi w:val="0"/>
        <w:spacing w:before="0" w:after="0" w:line="345" w:lineRule="exact"/>
        <w:ind w:left="0" w:right="0" w:firstLine="420"/>
        <w:jc w:val="both"/>
        <w:rPr>
          <w:sz w:val="19"/>
          <w:szCs w:val="19"/>
        </w:rPr>
      </w:pPr>
      <w:bookmarkStart w:id="55" w:name="bookmark178"/>
      <w:bookmarkEnd w:id="55"/>
      <w:r>
        <w:rPr>
          <w:color w:val="000000"/>
          <w:spacing w:val="0"/>
          <w:w w:val="100"/>
          <w:position w:val="0"/>
          <w:sz w:val="18"/>
          <w:szCs w:val="18"/>
        </w:rPr>
        <w:t>在技术层面，新类型的物权是否通过必要的方式对外予以公示。学理上关于这一层 面的讨论已经比较丰富,且共识度相对较高:只要存在一套统一的对外公示手段，足以使潜 在的交易第三人知晓和查询即可。就特许经营权质押而言，仅仅是向质权人交付政府主管 部门颁发的特许经营权证书，是不够的。法律上有必要要求通过有效的登记系统来公示。 由政府信用背书的登记机构（如特定行业的行政主管部门或者中国人民银行征信中心的权 利质押登记系统），以及由私人提供的登记系统（如大型商厦的所有人或者管理人），都可以 作为有效的对外公示系统（陈本寒:《新类型担保的法律定位》，载《清华法学》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8"/>
          <w:szCs w:val="18"/>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期）。关 键在于，通过明确的法律文件（如《武汉市客运出租汽车经营权质押出质登记管理暂行规 定》）让潜在的交易当事人知晓特定地区的经营权的质押状况;或者将登记系统设置在潜在 交易发生的必经环节（如商铺承租中的商厦所有人或管理人）</w:t>
      </w:r>
      <w:r>
        <w:rPr>
          <w:rFonts w:ascii="Times New Roman" w:hAnsi="Times New Roman" w:eastAsia="Times New Roman" w:cs="Times New Roman"/>
          <w:color w:val="000000"/>
          <w:spacing w:val="0"/>
          <w:w w:val="100"/>
          <w:position w:val="0"/>
          <w:sz w:val="19"/>
          <w:szCs w:val="19"/>
          <w:lang w:val="en-US" w:eastAsia="en-US" w:bidi="en-US"/>
        </w:rPr>
        <w:t>O</w:t>
      </w:r>
    </w:p>
    <w:p w14:paraId="53674CFC">
      <w:pPr>
        <w:pStyle w:val="17"/>
        <w:keepNext w:val="0"/>
        <w:keepLines w:val="0"/>
        <w:widowControl w:val="0"/>
        <w:numPr>
          <w:ilvl w:val="0"/>
          <w:numId w:val="12"/>
        </w:numPr>
        <w:shd w:val="clear" w:color="auto" w:fill="auto"/>
        <w:tabs>
          <w:tab w:val="left" w:pos="678"/>
        </w:tabs>
        <w:bidi w:val="0"/>
        <w:spacing w:before="0" w:after="0" w:line="346" w:lineRule="exact"/>
        <w:ind w:left="0" w:right="0" w:firstLine="420"/>
        <w:jc w:val="both"/>
      </w:pPr>
      <w:bookmarkStart w:id="56" w:name="bookmark179"/>
      <w:bookmarkEnd w:id="56"/>
      <w:r>
        <w:rPr>
          <w:color w:val="000000"/>
          <w:spacing w:val="0"/>
          <w:w w:val="100"/>
          <w:position w:val="0"/>
        </w:rPr>
        <w:t>在公共政策层面，也是学理上尚未引起足够重视的层面,人民法院应当如何判断承认 特定新型物权将引发的正能量和副作用？对此，以拟出质的新型权利为例，有必要区分一 般的商业性权利（如商铺承租权、银行理财产品、投资性寿险保单等）与由行政主管部门许 可的特许经营权（如出租车经营权、排污权、医疗机构收费权等）。对于前者，通常来说，只 要满足技术层面的公示要求,法院就能够认可。但对于后者，学理上有必要加强对公共政 策判断的机构能力和专业性的关注，讨论法院和行业主管部门谁更适合作出判断。这些经 营权之所以采取特许制，通常是出于防止过度竞争、防止市场炒作、确保经营能力等诸多方 面的考虑或要求。是否需要考虑、在何种程度上考虑特定公共政策因素，常常受到地域差 异和时代背景的影响。以深圳为例，该市早期为了促进出租车市场投资和防止权力寻租, 不仅采取了经营权拍卖出让制，而且还于</w:t>
      </w:r>
      <w:r>
        <w:rPr>
          <w:rFonts w:ascii="Times New Roman" w:hAnsi="Times New Roman" w:eastAsia="Times New Roman" w:cs="Times New Roman"/>
          <w:color w:val="000000"/>
          <w:spacing w:val="0"/>
          <w:w w:val="100"/>
          <w:position w:val="0"/>
          <w:sz w:val="17"/>
          <w:szCs w:val="17"/>
        </w:rPr>
        <w:t>1996</w:t>
      </w:r>
      <w:r>
        <w:rPr>
          <w:color w:val="000000"/>
          <w:spacing w:val="0"/>
          <w:w w:val="100"/>
          <w:position w:val="0"/>
        </w:rPr>
        <w:t>年的《〈深圳经济特区出租小汽车管理条例〉 实施细则》中详述质押规则。但后来,一方面，深圳市的不少出租车公司将经营权质押给银 行的同时，又高价转让给风险意识不强的个体司机，后因资金链断裂引发了一系列社会问 题;另一方面，由于岀租车经营权质押进一步推动了其市场交易价格（一个出租车经营权最 高可售</w:t>
      </w:r>
      <w:r>
        <w:rPr>
          <w:rFonts w:ascii="Times New Roman" w:hAnsi="Times New Roman" w:eastAsia="Times New Roman" w:cs="Times New Roman"/>
          <w:color w:val="000000"/>
          <w:spacing w:val="0"/>
          <w:w w:val="100"/>
          <w:position w:val="0"/>
          <w:sz w:val="17"/>
          <w:szCs w:val="17"/>
        </w:rPr>
        <w:t>120</w:t>
      </w:r>
      <w:r>
        <w:rPr>
          <w:color w:val="000000"/>
          <w:spacing w:val="0"/>
          <w:w w:val="100"/>
          <w:position w:val="0"/>
        </w:rPr>
        <w:t>万元），从而形成了一股强大的利益固化群体，给该市后来发展网约车业造成了 严重的进入壁垒。这也是深圳市交通运输局后来停止批准质押申请、拒绝提供质押登记服 务的原因（俞力：《深圳出租车行业改革实践与思考》，微信公众号：都市交通规划，推送日期</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 xml:space="preserve">7 </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30</w:t>
      </w:r>
      <w:r>
        <w:rPr>
          <w:color w:val="000000"/>
          <w:spacing w:val="0"/>
          <w:w w:val="100"/>
          <w:position w:val="0"/>
        </w:rPr>
        <w:t>日）。</w:t>
      </w:r>
    </w:p>
    <w:p w14:paraId="5D191A44">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因此，特许经营权质押是否符合公共政策目标是一个复杂的专业问题,法院宜尊重行 业行政主管部门的判断。以行业主管部门的批准作为新设特许经营权质权的条件更为妥 当。实践中，有交易当事人到当地的出租汽车行业联合会办理质押登记,得到法院认可［沈 阳市中级人民法院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辽</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796</w:t>
      </w:r>
      <w:r>
        <w:rPr>
          <w:color w:val="000000"/>
          <w:spacing w:val="0"/>
          <w:w w:val="100"/>
          <w:position w:val="0"/>
        </w:rPr>
        <w:t>号民事判决书］。此类由行业协会这类民间组织办理的 质押登记,很有可能满足技术层面的公示要求，但毕竟不是行业主管部门，在公共政策层面 缺陷明显。</w:t>
      </w:r>
    </w:p>
    <w:p w14:paraId="454018C9">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总之，在物权法定原则的缓释机制上,法院有必要区分公示技术和公共政策问题，并在 涉特许经营权的新型物权上尊重主管部门的政策判断。</w:t>
      </w:r>
    </w:p>
    <w:p w14:paraId="05D1CB19">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03DFE7B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就特许经营权质权这类新型物权而言，在本案判决之前，最高人民法院曾于</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年发 布第</w:t>
      </w:r>
      <w:r>
        <w:rPr>
          <w:rFonts w:ascii="Times New Roman" w:hAnsi="Times New Roman" w:eastAsia="Times New Roman" w:cs="Times New Roman"/>
          <w:color w:val="000000"/>
          <w:spacing w:val="0"/>
          <w:w w:val="100"/>
          <w:position w:val="0"/>
          <w:sz w:val="17"/>
          <w:szCs w:val="17"/>
        </w:rPr>
        <w:t>53</w:t>
      </w:r>
      <w:r>
        <w:rPr>
          <w:color w:val="000000"/>
          <w:spacing w:val="0"/>
          <w:w w:val="100"/>
          <w:position w:val="0"/>
        </w:rPr>
        <w:t>号指导性案例，即“福建海峡银行福州五一支行诉长乐亚新污水处理公司等金融借 款合同纠纷案</w:t>
      </w:r>
      <w:r>
        <w:rPr>
          <w:color w:val="000000"/>
          <w:spacing w:val="0"/>
          <w:w w:val="100"/>
          <w:position w:val="0"/>
          <w:lang w:val="zh-CN" w:eastAsia="zh-CN" w:bidi="zh-CN"/>
        </w:rPr>
        <w:t>”。该</w:t>
      </w:r>
      <w:r>
        <w:rPr>
          <w:color w:val="000000"/>
          <w:spacing w:val="0"/>
          <w:w w:val="100"/>
          <w:position w:val="0"/>
        </w:rPr>
        <w:t>案中，当事人出质的排污权获得了市建设局的批准和登记，因此被认定 为有效的应收账款质权。但在出租车经营权质权这类新型物权上，无论是在第</w:t>
      </w:r>
      <w:r>
        <w:rPr>
          <w:rFonts w:ascii="Times New Roman" w:hAnsi="Times New Roman" w:eastAsia="Times New Roman" w:cs="Times New Roman"/>
          <w:color w:val="000000"/>
          <w:spacing w:val="0"/>
          <w:w w:val="100"/>
          <w:position w:val="0"/>
          <w:sz w:val="17"/>
          <w:szCs w:val="17"/>
        </w:rPr>
        <w:t>53</w:t>
      </w:r>
      <w:r>
        <w:rPr>
          <w:color w:val="000000"/>
          <w:spacing w:val="0"/>
          <w:w w:val="100"/>
          <w:position w:val="0"/>
        </w:rPr>
        <w:t>号指导性 案例前后,抑或在江西省高级人民法院（以下简称江西省高院）的本判决前后，相关司法判 决呈现出了明显分歧。在江西省高院作出本判决后不久，南昌市中级人民法院针对同样办 理了批准和登记手续的出租车经营权质押，却作了相反的判决。其认为</w:t>
      </w:r>
      <w:r>
        <w:rPr>
          <w:color w:val="000000"/>
          <w:spacing w:val="0"/>
          <w:w w:val="100"/>
          <w:position w:val="0"/>
          <w:lang w:val="zh-CN" w:eastAsia="zh-CN" w:bidi="zh-CN"/>
        </w:rPr>
        <w:t>，“出</w:t>
      </w:r>
      <w:r>
        <w:rPr>
          <w:color w:val="000000"/>
          <w:spacing w:val="0"/>
          <w:w w:val="100"/>
          <w:position w:val="0"/>
        </w:rPr>
        <w:t>租车经营权不 属于《物权法》第</w:t>
      </w:r>
      <w:r>
        <w:rPr>
          <w:rFonts w:ascii="Times New Roman" w:hAnsi="Times New Roman" w:eastAsia="Times New Roman" w:cs="Times New Roman"/>
          <w:color w:val="000000"/>
          <w:spacing w:val="0"/>
          <w:w w:val="100"/>
          <w:position w:val="0"/>
          <w:sz w:val="17"/>
          <w:szCs w:val="17"/>
        </w:rPr>
        <w:t>223</w:t>
      </w:r>
      <w:r>
        <w:rPr>
          <w:color w:val="000000"/>
          <w:spacing w:val="0"/>
          <w:w w:val="100"/>
          <w:position w:val="0"/>
        </w:rPr>
        <w:t>条规定的可以用作出质的权利范畴，质押无效</w:t>
      </w:r>
      <w:r>
        <w:rPr>
          <w:color w:val="000000"/>
          <w:spacing w:val="0"/>
          <w:w w:val="100"/>
          <w:position w:val="0"/>
          <w:lang w:val="zh-CN" w:eastAsia="zh-CN" w:bidi="zh-CN"/>
        </w:rPr>
        <w:t>”［南</w:t>
      </w:r>
      <w:r>
        <w:rPr>
          <w:color w:val="000000"/>
          <w:spacing w:val="0"/>
          <w:w w:val="100"/>
          <w:position w:val="0"/>
        </w:rPr>
        <w:t xml:space="preserve">昌市中级人民法院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赣</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360</w:t>
      </w:r>
      <w:r>
        <w:rPr>
          <w:color w:val="000000"/>
          <w:spacing w:val="0"/>
          <w:w w:val="100"/>
          <w:position w:val="0"/>
        </w:rPr>
        <w:t>号民事判决书］。类似地，郑州市的基层法院和中级人民法院也曾以“经 营权属社会公共资源，属人民政府代表人民群众所有</w:t>
      </w:r>
      <w:r>
        <w:rPr>
          <w:color w:val="000000"/>
          <w:spacing w:val="0"/>
          <w:w w:val="100"/>
          <w:position w:val="0"/>
          <w:lang w:val="zh-CN" w:eastAsia="zh-CN" w:bidi="zh-CN"/>
        </w:rPr>
        <w:t>……</w:t>
      </w:r>
      <w:r>
        <w:rPr>
          <w:color w:val="000000"/>
          <w:spacing w:val="0"/>
          <w:w w:val="100"/>
          <w:position w:val="0"/>
        </w:rPr>
        <w:t>出租车公司或者个体只获得了 一 定期限内的使用权</w:t>
      </w:r>
      <w:r>
        <w:rPr>
          <w:color w:val="000000"/>
          <w:spacing w:val="0"/>
          <w:w w:val="100"/>
          <w:position w:val="0"/>
          <w:lang w:val="zh-CN" w:eastAsia="zh-CN" w:bidi="zh-CN"/>
        </w:rPr>
        <w:t>”为由</w:t>
      </w:r>
      <w:r>
        <w:rPr>
          <w:color w:val="000000"/>
          <w:spacing w:val="0"/>
          <w:w w:val="100"/>
          <w:position w:val="0"/>
        </w:rPr>
        <w:t>，否定其出质资格［如郑州市中级人民法院的</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郑民四终字第</w:t>
      </w:r>
      <w:r>
        <w:rPr>
          <w:rFonts w:ascii="Times New Roman" w:hAnsi="Times New Roman" w:eastAsia="Times New Roman" w:cs="Times New Roman"/>
          <w:color w:val="000000"/>
          <w:spacing w:val="0"/>
          <w:w w:val="100"/>
          <w:position w:val="0"/>
          <w:sz w:val="17"/>
          <w:szCs w:val="17"/>
        </w:rPr>
        <w:t xml:space="preserve">446 </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.（2015）</w:t>
      </w:r>
      <w:r>
        <w:rPr>
          <w:color w:val="000000"/>
          <w:spacing w:val="0"/>
          <w:w w:val="100"/>
          <w:position w:val="0"/>
        </w:rPr>
        <w:t>郑民三终字第</w:t>
      </w:r>
      <w:r>
        <w:rPr>
          <w:rFonts w:ascii="Times New Roman" w:hAnsi="Times New Roman" w:eastAsia="Times New Roman" w:cs="Times New Roman"/>
          <w:color w:val="000000"/>
          <w:spacing w:val="0"/>
          <w:w w:val="100"/>
          <w:position w:val="0"/>
          <w:sz w:val="17"/>
          <w:szCs w:val="17"/>
        </w:rPr>
        <w:t>328</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.（2011</w:t>
      </w:r>
      <w:r>
        <w:rPr>
          <w:rFonts w:ascii="Times New Roman" w:hAnsi="Times New Roman" w:eastAsia="Times New Roman" w:cs="Times New Roman"/>
          <w:color w:val="000000"/>
          <w:spacing w:val="0"/>
          <w:w w:val="100"/>
          <w:position w:val="0"/>
          <w:sz w:val="17"/>
          <w:szCs w:val="17"/>
        </w:rPr>
        <w:t>）</w:t>
      </w:r>
      <w:r>
        <w:rPr>
          <w:color w:val="000000"/>
          <w:spacing w:val="0"/>
          <w:w w:val="100"/>
          <w:position w:val="0"/>
        </w:rPr>
        <w:t>郑民二终字第</w:t>
      </w:r>
      <w:r>
        <w:rPr>
          <w:rFonts w:ascii="Times New Roman" w:hAnsi="Times New Roman" w:eastAsia="Times New Roman" w:cs="Times New Roman"/>
          <w:color w:val="000000"/>
          <w:spacing w:val="0"/>
          <w:w w:val="100"/>
          <w:position w:val="0"/>
          <w:sz w:val="17"/>
          <w:szCs w:val="17"/>
        </w:rPr>
        <w:t>792</w:t>
      </w:r>
      <w:r>
        <w:rPr>
          <w:color w:val="000000"/>
          <w:spacing w:val="0"/>
          <w:w w:val="100"/>
          <w:position w:val="0"/>
        </w:rPr>
        <w:t xml:space="preserve">号民事判决书等］。而在另外一些地区， 则出现了 </w:t>
      </w:r>
      <w:r>
        <w:rPr>
          <w:color w:val="000000"/>
          <w:spacing w:val="0"/>
          <w:w w:val="100"/>
          <w:position w:val="0"/>
          <w:lang w:val="zh-CN" w:eastAsia="zh-CN" w:bidi="zh-CN"/>
        </w:rPr>
        <w:t>“出租</w:t>
      </w:r>
      <w:r>
        <w:rPr>
          <w:color w:val="000000"/>
          <w:spacing w:val="0"/>
          <w:w w:val="100"/>
          <w:position w:val="0"/>
        </w:rPr>
        <w:t>车经营权质押应自营运执照交付原告方时发生效力”的裁判,没有考虑特许 经营权岀质背后的公共政策目标［沈阳市中级人民法院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辽</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796</w:t>
      </w:r>
      <w:r>
        <w:rPr>
          <w:color w:val="000000"/>
          <w:spacing w:val="0"/>
          <w:w w:val="100"/>
          <w:position w:val="0"/>
        </w:rPr>
        <w:t>号、沈阳市沈河区人 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辽</w:t>
      </w:r>
      <w:r>
        <w:rPr>
          <w:rFonts w:ascii="Times New Roman" w:hAnsi="Times New Roman" w:eastAsia="Times New Roman" w:cs="Times New Roman"/>
          <w:color w:val="000000"/>
          <w:spacing w:val="0"/>
          <w:w w:val="100"/>
          <w:position w:val="0"/>
          <w:sz w:val="17"/>
          <w:szCs w:val="17"/>
        </w:rPr>
        <w:t>0103</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13292</w:t>
      </w:r>
      <w:r>
        <w:rPr>
          <w:color w:val="000000"/>
          <w:spacing w:val="0"/>
          <w:w w:val="100"/>
          <w:position w:val="0"/>
        </w:rPr>
        <w:t>号民事判决书］。</w:t>
      </w:r>
    </w:p>
    <w:p w14:paraId="35B132B2">
      <w:pPr>
        <w:pStyle w:val="17"/>
        <w:keepNext w:val="0"/>
        <w:keepLines w:val="0"/>
        <w:widowControl w:val="0"/>
        <w:shd w:val="clear" w:color="auto" w:fill="auto"/>
        <w:bidi w:val="0"/>
        <w:spacing w:before="0" w:after="160" w:line="342" w:lineRule="exact"/>
        <w:ind w:left="0" w:right="0" w:firstLine="420"/>
        <w:jc w:val="both"/>
        <w:sectPr>
          <w:headerReference r:id="rId181" w:type="default"/>
          <w:headerReference r:id="rId182" w:type="even"/>
          <w:footnotePr>
            <w:numFmt w:val="chicago"/>
          </w:footnotePr>
          <w:pgSz w:w="10099" w:h="14782"/>
          <w:pgMar w:top="1259" w:right="1074" w:bottom="1155" w:left="1017" w:header="0" w:footer="3" w:gutter="0"/>
          <w:pgNumType w:start="132"/>
          <w:cols w:space="720" w:num="1"/>
          <w:rtlGutter w:val="0"/>
          <w:docGrid w:linePitch="360" w:charSpace="0"/>
        </w:sectPr>
      </w:pPr>
      <w:r>
        <w:rPr>
          <w:color w:val="000000"/>
          <w:spacing w:val="0"/>
          <w:w w:val="100"/>
          <w:position w:val="0"/>
        </w:rPr>
        <w:t xml:space="preserve">当然，也有大量法院采取了与江西省高院同样的思路，承认经主管部门批准和登记的 </w:t>
      </w:r>
    </w:p>
    <w:p w14:paraId="5FB7B202">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rPr>
        <w:t>出租车经营权质权［成都市中级人民法院</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成民初字第</w:t>
      </w:r>
      <w:r>
        <w:rPr>
          <w:rFonts w:ascii="Times New Roman" w:hAnsi="Times New Roman" w:eastAsia="Times New Roman" w:cs="Times New Roman"/>
          <w:color w:val="000000"/>
          <w:spacing w:val="0"/>
          <w:w w:val="100"/>
          <w:position w:val="0"/>
          <w:sz w:val="17"/>
          <w:szCs w:val="17"/>
        </w:rPr>
        <w:t>1173</w:t>
      </w:r>
      <w:r>
        <w:rPr>
          <w:color w:val="000000"/>
          <w:spacing w:val="0"/>
          <w:w w:val="100"/>
          <w:position w:val="0"/>
        </w:rPr>
        <w:t>号、黔东南苗族侗族自治州中级人 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黔</w:t>
      </w:r>
      <w:r>
        <w:rPr>
          <w:rFonts w:ascii="Times New Roman" w:hAnsi="Times New Roman" w:eastAsia="Times New Roman" w:cs="Times New Roman"/>
          <w:color w:val="000000"/>
          <w:spacing w:val="0"/>
          <w:w w:val="100"/>
          <w:position w:val="0"/>
          <w:sz w:val="17"/>
          <w:szCs w:val="17"/>
        </w:rPr>
        <w:t>26</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72</w:t>
      </w:r>
      <w:r>
        <w:rPr>
          <w:color w:val="000000"/>
          <w:spacing w:val="0"/>
          <w:w w:val="100"/>
          <w:position w:val="0"/>
        </w:rPr>
        <w:t>号、郴州市北湖区人民法院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湘</w:t>
      </w:r>
      <w:r>
        <w:rPr>
          <w:rFonts w:ascii="Times New Roman" w:hAnsi="Times New Roman" w:eastAsia="Times New Roman" w:cs="Times New Roman"/>
          <w:color w:val="000000"/>
          <w:spacing w:val="0"/>
          <w:w w:val="100"/>
          <w:position w:val="0"/>
          <w:sz w:val="17"/>
          <w:szCs w:val="17"/>
        </w:rPr>
        <w:t>1002</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1612</w:t>
      </w:r>
      <w:r>
        <w:rPr>
          <w:color w:val="000000"/>
          <w:spacing w:val="0"/>
          <w:w w:val="100"/>
          <w:position w:val="0"/>
        </w:rPr>
        <w:t>号民事判决书等］。</w:t>
      </w:r>
    </w:p>
    <w:p w14:paraId="20DE0544">
      <w:pPr>
        <w:pStyle w:val="17"/>
        <w:keepNext w:val="0"/>
        <w:keepLines w:val="0"/>
        <w:widowControl w:val="0"/>
        <w:shd w:val="clear" w:color="auto" w:fill="auto"/>
        <w:bidi w:val="0"/>
        <w:spacing w:before="0" w:after="160" w:line="327" w:lineRule="exact"/>
        <w:ind w:left="0" w:right="0" w:firstLine="0"/>
        <w:jc w:val="left"/>
      </w:pPr>
      <w:r>
        <w:rPr>
          <w:color w:val="000000"/>
          <w:spacing w:val="0"/>
          <w:w w:val="100"/>
          <w:position w:val="0"/>
        </w:rPr>
        <w:t>匝本裁判的参考意义及将来的课题</w:t>
      </w:r>
    </w:p>
    <w:p w14:paraId="1FEEE8B8">
      <w:pPr>
        <w:pStyle w:val="17"/>
        <w:keepNext w:val="0"/>
        <w:keepLines w:val="0"/>
        <w:widowControl w:val="0"/>
        <w:shd w:val="clear" w:color="auto" w:fill="auto"/>
        <w:tabs>
          <w:tab w:val="left" w:pos="5133"/>
        </w:tabs>
        <w:bidi w:val="0"/>
        <w:spacing w:before="0" w:after="380" w:line="340" w:lineRule="exact"/>
        <w:ind w:left="0" w:right="0" w:firstLine="440"/>
        <w:jc w:val="both"/>
      </w:pPr>
      <w:r>
        <w:rPr>
          <w:color w:val="000000"/>
          <w:spacing w:val="0"/>
          <w:w w:val="100"/>
          <w:position w:val="0"/>
        </w:rPr>
        <w:t>本裁判就</w:t>
      </w:r>
      <w:r>
        <w:rPr>
          <w:color w:val="000000"/>
          <w:spacing w:val="0"/>
          <w:w w:val="100"/>
          <w:position w:val="0"/>
          <w:lang w:val="zh-CN" w:eastAsia="zh-CN" w:bidi="zh-CN"/>
        </w:rPr>
        <w:t>“出租</w:t>
      </w:r>
      <w:r>
        <w:rPr>
          <w:color w:val="000000"/>
          <w:spacing w:val="0"/>
          <w:w w:val="100"/>
          <w:position w:val="0"/>
        </w:rPr>
        <w:t>车经营权质权</w:t>
      </w:r>
      <w:r>
        <w:rPr>
          <w:color w:val="000000"/>
          <w:spacing w:val="0"/>
          <w:w w:val="100"/>
          <w:position w:val="0"/>
          <w:lang w:val="zh-CN" w:eastAsia="zh-CN" w:bidi="zh-CN"/>
        </w:rPr>
        <w:t>”这种</w:t>
      </w:r>
      <w:r>
        <w:rPr>
          <w:color w:val="000000"/>
          <w:spacing w:val="0"/>
          <w:w w:val="100"/>
          <w:position w:val="0"/>
        </w:rPr>
        <w:t>新型物权的司法承认标准作了回答，较好地体现了 我国物权法定原则的缓释机制的复杂性和解决思路。特别是,在通过个案裁判来承认新型 物权的机制中，法院不仅需考虑新型物权是否在技术层面满足了必要公示要求;且在当前 更值得关注的是，还需着重考虑因承认新物权将引发的公共政策效果。对岀租车经营权、 排污权等特许经营权而言,质押背后的公共政策考虑因地域和时期差异而呈现岀复杂性, 法官在裁判时尊重主管部门的判断通常更妥当。面向未来，最高人民法院有必要借助合适 机会,明确表达物权法定原则缓释机制中的公共政策判断重少芞和程序要求，这也值得进 一步的学理研究。</w:t>
      </w:r>
      <w:r>
        <w:rPr>
          <w:color w:val="000000"/>
          <w:spacing w:val="0"/>
          <w:w w:val="100"/>
          <w:position w:val="0"/>
        </w:rPr>
        <w:tab/>
      </w:r>
      <w:r>
        <w:rPr>
          <w:color w:val="000000"/>
          <w:spacing w:val="0"/>
          <w:w w:val="100"/>
          <w:position w:val="0"/>
        </w:rPr>
        <w:t>』</w:t>
      </w:r>
      <w:r>
        <w:rPr>
          <w:color w:val="000000"/>
          <w:spacing w:val="0"/>
          <w:w w:val="100"/>
          <w:position w:val="0"/>
          <w:lang w:val="en-US" w:eastAsia="en-US" w:bidi="en-US"/>
        </w:rPr>
        <w:t>’</w:t>
      </w:r>
    </w:p>
    <w:p w14:paraId="11529EFD">
      <w:pPr>
        <w:pStyle w:val="11"/>
        <w:keepNext w:val="0"/>
        <w:keepLines w:val="0"/>
        <w:widowControl w:val="0"/>
        <w:shd w:val="clear" w:color="auto" w:fill="auto"/>
        <w:bidi w:val="0"/>
        <w:spacing w:before="0" w:after="160" w:line="327" w:lineRule="exact"/>
        <w:ind w:left="0" w:right="0" w:firstLine="0"/>
        <w:jc w:val="left"/>
      </w:pPr>
      <w:r>
        <w:rPr>
          <w:color w:val="000000"/>
          <w:spacing w:val="0"/>
          <w:w w:val="100"/>
          <w:position w:val="0"/>
        </w:rPr>
        <w:t>回参考文献</w:t>
      </w:r>
    </w:p>
    <w:p w14:paraId="29F95D98">
      <w:pPr>
        <w:pStyle w:val="17"/>
        <w:keepNext w:val="0"/>
        <w:keepLines w:val="0"/>
        <w:widowControl w:val="0"/>
        <w:shd w:val="clear" w:color="auto" w:fill="auto"/>
        <w:bidi w:val="0"/>
        <w:spacing w:before="0" w:after="0" w:line="316" w:lineRule="exact"/>
        <w:ind w:left="0" w:right="0" w:firstLine="0"/>
        <w:jc w:val="left"/>
      </w:pPr>
      <w:r>
        <w:rPr>
          <w:color w:val="000000"/>
          <w:spacing w:val="0"/>
          <w:w w:val="100"/>
          <w:position w:val="0"/>
        </w:rPr>
        <w:t>刘凯湘：《物权法原则的重新审视》，载《中外法学》</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lang w:val="zh-CN" w:eastAsia="zh-CN" w:bidi="zh-CN"/>
        </w:rPr>
        <w:t>期。、</w:t>
      </w:r>
      <w:r>
        <w:rPr>
          <w:color w:val="000000"/>
          <w:spacing w:val="0"/>
          <w:w w:val="100"/>
          <w:position w:val="0"/>
        </w:rPr>
        <w:t>:</w:t>
      </w:r>
    </w:p>
    <w:p w14:paraId="494AD861">
      <w:pPr>
        <w:pStyle w:val="17"/>
        <w:keepNext w:val="0"/>
        <w:keepLines w:val="0"/>
        <w:widowControl w:val="0"/>
        <w:shd w:val="clear" w:color="auto" w:fill="auto"/>
        <w:bidi w:val="0"/>
        <w:spacing w:before="0" w:after="0" w:line="316" w:lineRule="exact"/>
        <w:ind w:left="0" w:right="0" w:firstLine="0"/>
        <w:jc w:val="left"/>
        <w:rPr>
          <w:sz w:val="17"/>
          <w:szCs w:val="17"/>
        </w:rPr>
      </w:pPr>
      <w:r>
        <w:rPr>
          <w:color w:val="000000"/>
          <w:spacing w:val="0"/>
          <w:w w:val="100"/>
          <w:position w:val="0"/>
          <w:sz w:val="18"/>
          <w:szCs w:val="18"/>
        </w:rPr>
        <w:t>常鹏翱：《体系化视角中的物权法定》，载《法学研究》</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8"/>
          <w:szCs w:val="18"/>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8"/>
          <w:szCs w:val="18"/>
        </w:rPr>
        <w:t>期。</w:t>
      </w:r>
      <w:r>
        <w:rPr>
          <w:rFonts w:ascii="Times New Roman" w:hAnsi="Times New Roman" w:eastAsia="Times New Roman" w:cs="Times New Roman"/>
          <w:color w:val="000000"/>
          <w:spacing w:val="0"/>
          <w:w w:val="100"/>
          <w:position w:val="0"/>
          <w:sz w:val="17"/>
          <w:szCs w:val="17"/>
        </w:rPr>
        <w:t>\</w:t>
      </w:r>
    </w:p>
    <w:p w14:paraId="70DBC774">
      <w:pPr>
        <w:pStyle w:val="17"/>
        <w:keepNext w:val="0"/>
        <w:keepLines w:val="0"/>
        <w:widowControl w:val="0"/>
        <w:shd w:val="clear" w:color="auto" w:fill="auto"/>
        <w:bidi w:val="0"/>
        <w:spacing w:before="0" w:after="0" w:line="316" w:lineRule="exact"/>
        <w:ind w:left="0" w:right="0" w:firstLine="0"/>
        <w:jc w:val="left"/>
      </w:pPr>
      <w:r>
        <w:rPr>
          <w:color w:val="000000"/>
          <w:spacing w:val="0"/>
          <w:w w:val="100"/>
          <w:position w:val="0"/>
        </w:rPr>
        <w:t>王利明：《物权法研究（修订版）》（上），中国人民大学出版社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 苏永钦:《可登记财产利益的交易自由——从两岸民事法制的观点看物权汾淀源则松绑的界线》，载《南 京大学法律评论》</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4D810B1">
      <w:pPr>
        <w:pStyle w:val="17"/>
        <w:keepNext w:val="0"/>
        <w:keepLines w:val="0"/>
        <w:widowControl w:val="0"/>
        <w:shd w:val="clear" w:color="auto" w:fill="auto"/>
        <w:bidi w:val="0"/>
        <w:spacing w:before="0" w:after="160" w:line="316" w:lineRule="exact"/>
        <w:ind w:left="0" w:right="0" w:firstLine="0"/>
        <w:jc w:val="left"/>
        <w:sectPr>
          <w:headerReference r:id="rId183" w:type="default"/>
          <w:headerReference r:id="rId184" w:type="even"/>
          <w:footnotePr>
            <w:numFmt w:val="chicago"/>
          </w:footnotePr>
          <w:pgSz w:w="10099" w:h="14782"/>
          <w:pgMar w:top="1259" w:right="1074" w:bottom="1155" w:left="1017" w:header="0" w:footer="727" w:gutter="0"/>
          <w:pgNumType w:start="151"/>
          <w:cols w:space="720" w:num="1"/>
          <w:rtlGutter w:val="0"/>
          <w:docGrid w:linePitch="360" w:charSpace="0"/>
        </w:sectPr>
      </w:pPr>
      <w:r>
        <w:rPr>
          <w:color w:val="000000"/>
          <w:spacing w:val="0"/>
          <w:w w:val="100"/>
          <w:position w:val="0"/>
        </w:rPr>
        <w:t>梁慧星、陈华彬主编：《物权法》（第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 张鹏:《物债二分体系下的物权法定》，载《中国法学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 陈本寒:《新类型担保的法律定位》，载《清华法学》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高圣平等：《新类型担保的裁判发展与解释路径》，人民法院出版社</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年版。</w:t>
      </w:r>
    </w:p>
    <w:p w14:paraId="68892843">
      <w:pPr>
        <w:widowControl w:val="0"/>
        <w:spacing w:line="1" w:lineRule="exact"/>
      </w:pPr>
      <w:r>
        <w:drawing>
          <wp:anchor distT="0" distB="0" distL="114300" distR="2261870" simplePos="0" relativeHeight="251660288" behindDoc="0" locked="0" layoutInCell="1" allowOverlap="1">
            <wp:simplePos x="0" y="0"/>
            <wp:positionH relativeFrom="page">
              <wp:posOffset>730885</wp:posOffset>
            </wp:positionH>
            <wp:positionV relativeFrom="paragraph">
              <wp:posOffset>12700</wp:posOffset>
            </wp:positionV>
            <wp:extent cx="481330" cy="408305"/>
            <wp:effectExtent l="0" t="0" r="1270" b="10795"/>
            <wp:wrapTopAndBottom/>
            <wp:docPr id="413" name="Shape 413"/>
            <wp:cNvGraphicFramePr/>
            <a:graphic xmlns:a="http://schemas.openxmlformats.org/drawingml/2006/main">
              <a:graphicData uri="http://schemas.openxmlformats.org/drawingml/2006/picture">
                <pic:pic xmlns:pic="http://schemas.openxmlformats.org/drawingml/2006/picture">
                  <pic:nvPicPr>
                    <pic:cNvPr id="413" name="Shape 413"/>
                    <pic:cNvPicPr/>
                  </pic:nvPicPr>
                  <pic:blipFill>
                    <a:blip r:embed="rId629"/>
                    <a:stretch>
                      <a:fillRect/>
                    </a:stretch>
                  </pic:blipFill>
                  <pic:spPr>
                    <a:xfrm>
                      <a:off x="0" y="0"/>
                      <a:ext cx="481330" cy="408305"/>
                    </a:xfrm>
                    <a:prstGeom prst="rect">
                      <a:avLst/>
                    </a:prstGeom>
                  </pic:spPr>
                </pic:pic>
              </a:graphicData>
            </a:graphic>
          </wp:anchor>
        </w:drawing>
      </w:r>
      <w:r>
        <mc:AlternateContent>
          <mc:Choice Requires="wps">
            <w:drawing>
              <wp:anchor distT="130810" distB="44450" distL="727075" distR="114300" simplePos="0" relativeHeight="251660288" behindDoc="0" locked="0" layoutInCell="1" allowOverlap="1">
                <wp:simplePos x="0" y="0"/>
                <wp:positionH relativeFrom="page">
                  <wp:posOffset>1343660</wp:posOffset>
                </wp:positionH>
                <wp:positionV relativeFrom="paragraph">
                  <wp:posOffset>143510</wp:posOffset>
                </wp:positionV>
                <wp:extent cx="2016125" cy="233045"/>
                <wp:effectExtent l="0" t="0" r="0" b="0"/>
                <wp:wrapTopAndBottom/>
                <wp:docPr id="415" name="Shape 415"/>
                <wp:cNvGraphicFramePr/>
                <a:graphic xmlns:a="http://schemas.openxmlformats.org/drawingml/2006/main">
                  <a:graphicData uri="http://schemas.microsoft.com/office/word/2010/wordprocessingShape">
                    <wps:wsp>
                      <wps:cNvSpPr txBox="1"/>
                      <wps:spPr>
                        <a:xfrm>
                          <a:off x="0" y="0"/>
                          <a:ext cx="2016125" cy="233045"/>
                        </a:xfrm>
                        <a:prstGeom prst="rect">
                          <a:avLst/>
                        </a:prstGeom>
                        <a:noFill/>
                      </wps:spPr>
                      <wps:txbx>
                        <w:txbxContent>
                          <w:p w14:paraId="597B15BE">
                            <w:pPr>
                              <w:pStyle w:val="15"/>
                              <w:keepNext/>
                              <w:keepLines/>
                              <w:widowControl w:val="0"/>
                              <w:shd w:val="clear" w:color="auto" w:fill="auto"/>
                              <w:bidi w:val="0"/>
                              <w:spacing w:before="0" w:after="0" w:line="240" w:lineRule="auto"/>
                              <w:ind w:left="0" w:right="0" w:firstLine="0"/>
                              <w:jc w:val="left"/>
                            </w:pPr>
                            <w:bookmarkStart w:id="330" w:name="bookmark182"/>
                            <w:bookmarkStart w:id="331" w:name="bookmark180"/>
                            <w:bookmarkStart w:id="332" w:name="bookmark181"/>
                            <w:r>
                              <w:rPr>
                                <w:color w:val="000000"/>
                                <w:spacing w:val="0"/>
                                <w:w w:val="100"/>
                                <w:position w:val="0"/>
                              </w:rPr>
                              <w:t>不动产登记的静态效力</w:t>
                            </w:r>
                            <w:bookmarkEnd w:id="330"/>
                            <w:bookmarkEnd w:id="331"/>
                            <w:bookmarkEnd w:id="332"/>
                          </w:p>
                        </w:txbxContent>
                      </wps:txbx>
                      <wps:bodyPr wrap="none" lIns="0" tIns="0" rIns="0" bIns="0">
                        <a:noAutofit/>
                      </wps:bodyPr>
                    </wps:wsp>
                  </a:graphicData>
                </a:graphic>
              </wp:anchor>
            </w:drawing>
          </mc:Choice>
          <mc:Fallback>
            <w:pict>
              <v:shape id="Shape 415" o:spid="_x0000_s1026" o:spt="202" type="#_x0000_t202" style="position:absolute;left:0pt;margin-left:105.8pt;margin-top:11.3pt;height:18.35pt;width:158.75pt;mso-position-horizontal-relative:page;mso-wrap-distance-bottom:3.5pt;mso-wrap-distance-top:10.3pt;mso-wrap-style:none;z-index:251660288;mso-width-relative:page;mso-height-relative:page;" filled="f" stroked="f" coordsize="21600,21600" o:gfxdata="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7xhX/1gAA&#10;AAkBAAAPAAAAAAAAAAEAIAAAACIAAABkcnMvZG93bnJldi54bWxQSwECFAAUAAAACACHTuJAyypU&#10;wa4BAAB0AwAADgAAAAAAAAABACAAAAAlAQAAZHJzL2Uyb0RvYy54bWxQSwUGAAAAAAYABgBZAQAA&#10;RQUAAAAA&#10;">
                <v:fill on="f" focussize="0,0"/>
                <v:stroke on="f"/>
                <v:imagedata o:title=""/>
                <o:lock v:ext="edit" aspectratio="f"/>
                <v:textbox inset="0mm,0mm,0mm,0mm">
                  <w:txbxContent>
                    <w:p w14:paraId="597B15BE">
                      <w:pPr>
                        <w:pStyle w:val="15"/>
                        <w:keepNext/>
                        <w:keepLines/>
                        <w:widowControl w:val="0"/>
                        <w:shd w:val="clear" w:color="auto" w:fill="auto"/>
                        <w:bidi w:val="0"/>
                        <w:spacing w:before="0" w:after="0" w:line="240" w:lineRule="auto"/>
                        <w:ind w:left="0" w:right="0" w:firstLine="0"/>
                        <w:jc w:val="left"/>
                      </w:pPr>
                      <w:bookmarkStart w:id="330" w:name="bookmark182"/>
                      <w:bookmarkStart w:id="331" w:name="bookmark180"/>
                      <w:bookmarkStart w:id="332" w:name="bookmark181"/>
                      <w:r>
                        <w:rPr>
                          <w:color w:val="000000"/>
                          <w:spacing w:val="0"/>
                          <w:w w:val="100"/>
                          <w:position w:val="0"/>
                        </w:rPr>
                        <w:t>不动产登记的静态效力</w:t>
                      </w:r>
                      <w:bookmarkEnd w:id="330"/>
                      <w:bookmarkEnd w:id="331"/>
                      <w:bookmarkEnd w:id="332"/>
                    </w:p>
                  </w:txbxContent>
                </v:textbox>
                <w10:wrap type="topAndBottom"/>
              </v:shape>
            </w:pict>
          </mc:Fallback>
        </mc:AlternateContent>
      </w:r>
      <w:r>
        <w:drawing>
          <wp:anchor distT="0" distB="0" distL="0" distR="0" simplePos="0" relativeHeight="251660288" behindDoc="0" locked="0" layoutInCell="1" allowOverlap="1">
            <wp:simplePos x="0" y="0"/>
            <wp:positionH relativeFrom="page">
              <wp:posOffset>5138420</wp:posOffset>
            </wp:positionH>
            <wp:positionV relativeFrom="paragraph">
              <wp:posOffset>307975</wp:posOffset>
            </wp:positionV>
            <wp:extent cx="585470" cy="548640"/>
            <wp:effectExtent l="0" t="0" r="11430" b="10160"/>
            <wp:wrapTight wrapText="left">
              <wp:wrapPolygon>
                <wp:start x="0" y="0"/>
                <wp:lineTo x="21600" y="0"/>
                <wp:lineTo x="21600" y="21600"/>
                <wp:lineTo x="0" y="21600"/>
                <wp:lineTo x="0" y="0"/>
              </wp:wrapPolygon>
            </wp:wrapTight>
            <wp:docPr id="417" name="Shape 417"/>
            <wp:cNvGraphicFramePr/>
            <a:graphic xmlns:a="http://schemas.openxmlformats.org/drawingml/2006/main">
              <a:graphicData uri="http://schemas.openxmlformats.org/drawingml/2006/picture">
                <pic:pic xmlns:pic="http://schemas.openxmlformats.org/drawingml/2006/picture">
                  <pic:nvPicPr>
                    <pic:cNvPr id="417" name="Shape 417"/>
                    <pic:cNvPicPr/>
                  </pic:nvPicPr>
                  <pic:blipFill>
                    <a:blip r:embed="rId630"/>
                    <a:stretch>
                      <a:fillRect/>
                    </a:stretch>
                  </pic:blipFill>
                  <pic:spPr>
                    <a:xfrm>
                      <a:off x="0" y="0"/>
                      <a:ext cx="585470" cy="548640"/>
                    </a:xfrm>
                    <a:prstGeom prst="rect">
                      <a:avLst/>
                    </a:prstGeom>
                  </pic:spPr>
                </pic:pic>
              </a:graphicData>
            </a:graphic>
          </wp:anchor>
        </w:drawing>
      </w:r>
    </w:p>
    <w:p w14:paraId="651B42ED">
      <w:pPr>
        <w:pStyle w:val="17"/>
        <w:keepNext w:val="0"/>
        <w:keepLines w:val="0"/>
        <w:widowControl w:val="0"/>
        <w:shd w:val="clear" w:color="auto" w:fill="auto"/>
        <w:tabs>
          <w:tab w:val="left" w:pos="6935"/>
        </w:tabs>
        <w:bidi w:val="0"/>
        <w:spacing w:before="0" w:after="0" w:line="240" w:lineRule="auto"/>
        <w:ind w:left="0" w:right="0" w:firstLine="1000"/>
        <w:jc w:val="left"/>
        <w:rPr>
          <w:sz w:val="30"/>
          <w:szCs w:val="30"/>
        </w:rPr>
      </w:pPr>
      <w:r>
        <w:rPr>
          <w:color w:val="000000"/>
          <w:spacing w:val="0"/>
          <w:w w:val="100"/>
          <w:position w:val="0"/>
          <w:sz w:val="18"/>
          <w:szCs w:val="18"/>
        </w:rPr>
        <w:t>丁福如与石磊房屋买卖合同纠纷案丨《最高人民法院公报》</w:t>
      </w:r>
      <w:r>
        <w:rPr>
          <w:rFonts w:ascii="Times New Roman" w:hAnsi="Times New Roman" w:eastAsia="Times New Roman" w:cs="Times New Roman"/>
          <w:color w:val="000000"/>
          <w:spacing w:val="0"/>
          <w:w w:val="100"/>
          <w:position w:val="0"/>
          <w:sz w:val="19"/>
          <w:szCs w:val="19"/>
        </w:rPr>
        <w:t>2012</w:t>
      </w:r>
      <w:r>
        <w:rPr>
          <w:rFonts w:ascii="Times New Roman" w:hAnsi="Times New Roman" w:eastAsia="Times New Roman" w:cs="Times New Roman"/>
          <w:color w:val="000000"/>
          <w:spacing w:val="0"/>
          <w:w w:val="100"/>
          <w:position w:val="0"/>
          <w:sz w:val="19"/>
          <w:szCs w:val="19"/>
        </w:rPr>
        <w:tab/>
      </w:r>
      <w:r>
        <w:rPr>
          <w:color w:val="000000"/>
          <w:spacing w:val="0"/>
          <w:w w:val="100"/>
          <w:position w:val="0"/>
          <w:sz w:val="30"/>
          <w:szCs w:val="30"/>
        </w:rPr>
        <w:t>；蠶書</w:t>
      </w:r>
    </w:p>
    <w:p w14:paraId="37138882">
      <w:pPr>
        <w:pStyle w:val="17"/>
        <w:keepNext w:val="0"/>
        <w:keepLines w:val="0"/>
        <w:widowControl w:val="0"/>
        <w:shd w:val="clear" w:color="auto" w:fill="auto"/>
        <w:tabs>
          <w:tab w:val="left" w:pos="5950"/>
        </w:tabs>
        <w:bidi w:val="0"/>
        <w:spacing w:before="0" w:after="400" w:line="240" w:lineRule="auto"/>
        <w:ind w:left="0" w:right="0" w:firstLine="0"/>
        <w:jc w:val="center"/>
      </w:pP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期</w:t>
      </w:r>
      <w:r>
        <w:rPr>
          <w:color w:val="000000"/>
          <w:spacing w:val="0"/>
          <w:w w:val="100"/>
          <w:position w:val="0"/>
        </w:rPr>
        <w:tab/>
      </w:r>
      <w:r>
        <w:rPr>
          <w:color w:val="000000"/>
          <w:spacing w:val="0"/>
          <w:w w:val="100"/>
          <w:position w:val="0"/>
        </w:rPr>
        <w:t>；讒</w:t>
      </w:r>
    </w:p>
    <w:p w14:paraId="3FCE742B">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朱晶晶</w:t>
      </w:r>
      <w:r>
        <w:rPr>
          <w:color w:val="000000"/>
          <w:spacing w:val="0"/>
          <w:w w:val="100"/>
          <w:position w:val="0"/>
        </w:rPr>
        <w:t>浙江财经大学法学院</w:t>
      </w:r>
    </w:p>
    <w:p w14:paraId="6331E27A">
      <w:pPr>
        <w:pStyle w:val="11"/>
        <w:keepNext w:val="0"/>
        <w:keepLines w:val="0"/>
        <w:widowControl w:val="0"/>
        <w:shd w:val="clear" w:color="auto" w:fill="auto"/>
        <w:bidi w:val="0"/>
        <w:spacing w:before="0" w:after="80" w:line="345"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321305EC">
      <w:pPr>
        <w:pStyle w:val="17"/>
        <w:keepNext w:val="0"/>
        <w:keepLines w:val="0"/>
        <w:widowControl w:val="0"/>
        <w:shd w:val="clear" w:color="auto" w:fill="auto"/>
        <w:bidi w:val="0"/>
        <w:spacing w:before="0" w:after="360" w:line="345" w:lineRule="exact"/>
        <w:ind w:left="0" w:right="0" w:firstLine="420"/>
        <w:jc w:val="both"/>
      </w:pPr>
      <w:r>
        <w:rPr>
          <w:color w:val="000000"/>
          <w:spacing w:val="0"/>
          <w:w w:val="100"/>
          <w:position w:val="0"/>
        </w:rPr>
        <w:t>原告（反诉被告）丁福如与被告（反诉原告）石磊于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日签订房屋买卖合 同，约定原告丁福如以</w:t>
      </w:r>
      <w:r>
        <w:rPr>
          <w:rFonts w:ascii="Times New Roman" w:hAnsi="Times New Roman" w:eastAsia="Times New Roman" w:cs="Times New Roman"/>
          <w:color w:val="000000"/>
          <w:spacing w:val="0"/>
          <w:w w:val="100"/>
          <w:position w:val="0"/>
          <w:sz w:val="19"/>
          <w:szCs w:val="19"/>
        </w:rPr>
        <w:t>5600</w:t>
      </w:r>
      <w:r>
        <w:rPr>
          <w:color w:val="000000"/>
          <w:spacing w:val="0"/>
          <w:w w:val="100"/>
          <w:position w:val="0"/>
        </w:rPr>
        <w:t>万元受让被告石磊位于上海市长宁区龙溪路</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号的</w:t>
      </w:r>
      <w:r>
        <w:rPr>
          <w:rFonts w:ascii="Times New Roman" w:hAnsi="Times New Roman" w:eastAsia="Times New Roman" w:cs="Times New Roman"/>
          <w:color w:val="000000"/>
          <w:spacing w:val="0"/>
          <w:w w:val="100"/>
          <w:position w:val="0"/>
          <w:sz w:val="19"/>
          <w:szCs w:val="19"/>
        </w:rPr>
        <w:t>801</w:t>
      </w:r>
      <w:r>
        <w:rPr>
          <w:color w:val="000000"/>
          <w:spacing w:val="0"/>
          <w:w w:val="100"/>
          <w:position w:val="0"/>
        </w:rPr>
        <w:t>幢房 屋（以下简称涉讼房屋）及该房屋占有范围内的土地使用，并约定双方应于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8 </w:t>
      </w:r>
      <w:r>
        <w:rPr>
          <w:color w:val="000000"/>
          <w:spacing w:val="0"/>
          <w:w w:val="100"/>
          <w:position w:val="0"/>
        </w:rPr>
        <w:t>日前至房地产交易中心办理转让过户手续,否则被告应按原告已付房款的</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。。支付违约金 至实际过户交房之日。原告丁福如应于买卖合同经公证后支付</w:t>
      </w:r>
      <w:r>
        <w:rPr>
          <w:rFonts w:ascii="Times New Roman" w:hAnsi="Times New Roman" w:eastAsia="Times New Roman" w:cs="Times New Roman"/>
          <w:color w:val="000000"/>
          <w:spacing w:val="0"/>
          <w:w w:val="100"/>
          <w:position w:val="0"/>
          <w:sz w:val="19"/>
          <w:szCs w:val="19"/>
        </w:rPr>
        <w:t>2100</w:t>
      </w:r>
      <w:r>
        <w:rPr>
          <w:color w:val="000000"/>
          <w:spacing w:val="0"/>
          <w:w w:val="100"/>
          <w:position w:val="0"/>
        </w:rPr>
        <w:t xml:space="preserve">万元首付款（其中 </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 xml:space="preserve">万元由中原公司代为保管，并于双方进入交易中心后转付被告），房屋过户后支付剩余 </w:t>
      </w:r>
      <w:r>
        <w:rPr>
          <w:rFonts w:ascii="Times New Roman" w:hAnsi="Times New Roman" w:eastAsia="Times New Roman" w:cs="Times New Roman"/>
          <w:color w:val="000000"/>
          <w:spacing w:val="0"/>
          <w:w w:val="100"/>
          <w:position w:val="0"/>
          <w:sz w:val="19"/>
          <w:szCs w:val="19"/>
        </w:rPr>
        <w:t>3500</w:t>
      </w:r>
      <w:r>
        <w:rPr>
          <w:color w:val="000000"/>
          <w:spacing w:val="0"/>
          <w:w w:val="100"/>
          <w:position w:val="0"/>
        </w:rPr>
        <w:t>万元。后原告丁福如按约支付房款。</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日，对于涉讼房屋，上海市长宁 区房屋土地管理局向上海市长宁区交易中心发出附有违法建筑并结构相连的房屋的认定 通知单，根据</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年《上海市住宅物业管理规定》第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款规定</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年修正的《上海 市住宅物业管理规定》已删除该规范），不予办理房地产转移以及抵押登记手续。实际情况 是涉讼房屋于</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年为被告前妻的妹妹及其丈夫拆除并重建。原告丁福如请求判令被告 石磊拆除涉讼房屋上的违法建筑,恢复原状,办理过户手续,并支付相应的违约金。被告石 磊提起反诉，请求法院以原建筑灭失，现存为违法建筑为由，确认买卖合同无效。</w:t>
      </w:r>
    </w:p>
    <w:p w14:paraId="1066AD43">
      <w:pPr>
        <w:pStyle w:val="11"/>
        <w:keepNext w:val="0"/>
        <w:keepLines w:val="0"/>
        <w:widowControl w:val="0"/>
        <w:shd w:val="clear" w:color="auto" w:fill="auto"/>
        <w:bidi w:val="0"/>
        <w:spacing w:before="0" w:after="80" w:line="345"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01C39747">
      <w:pPr>
        <w:pStyle w:val="17"/>
        <w:keepNext w:val="0"/>
        <w:keepLines w:val="0"/>
        <w:widowControl w:val="0"/>
        <w:shd w:val="clear" w:color="auto" w:fill="auto"/>
        <w:bidi w:val="0"/>
        <w:spacing w:before="0" w:after="220" w:line="343" w:lineRule="exact"/>
        <w:ind w:left="0" w:right="0" w:firstLine="420"/>
        <w:jc w:val="both"/>
        <w:sectPr>
          <w:headerReference r:id="rId185" w:type="default"/>
          <w:headerReference r:id="rId186" w:type="even"/>
          <w:footnotePr>
            <w:numFmt w:val="chicago"/>
          </w:footnotePr>
          <w:pgSz w:w="10099" w:h="14782"/>
          <w:pgMar w:top="1295" w:right="867" w:bottom="1127" w:left="957" w:header="867" w:footer="699" w:gutter="0"/>
          <w:cols w:space="720" w:num="1"/>
          <w:rtlGutter w:val="0"/>
          <w:docGrid w:linePitch="360" w:charSpace="0"/>
        </w:sectPr>
      </w:pPr>
      <w:r>
        <w:rPr>
          <w:color w:val="000000"/>
          <w:spacing w:val="0"/>
          <w:w w:val="100"/>
          <w:position w:val="0"/>
        </w:rPr>
        <w:t>房屋行政主管部门对未经审批而改建、重建的房屋，可因现实状况与不动产登记簿记 载的权利状况不一致，将其认定为附有违法建筑并结构相连的房屋并限制其交易。善意买 受人根据不动产登记的公示公信原则，确信登记的权利状态与现实状态相一致，此信赖利 益应予保护;根据区分原则，房屋因附有违法建筑而无法过户属合同履行范畴，不应影响合 同效力。因此,这类合同如不具备原《合同法》第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条的无效情形，应当认定有效。出卖人 负有将房屋恢复至原登记的权利状态并消除行政限制的义务。在买受人同意按现状交付 并自愿承担恢复原状义务的情况下，出卖人应按诚实信用原则将房屋交付买受人,并于买 受人将房屋恢复原状、消除行政限制后协助完成过户手续。</w:t>
      </w:r>
    </w:p>
    <w:p w14:paraId="71CB65F1">
      <w:pPr>
        <w:pStyle w:val="11"/>
        <w:keepNext w:val="0"/>
        <w:keepLines w:val="0"/>
        <w:widowControl w:val="0"/>
        <w:shd w:val="clear" w:color="auto" w:fill="auto"/>
        <w:bidi w:val="0"/>
        <w:spacing w:before="0" w:after="120" w:line="344" w:lineRule="exact"/>
        <w:ind w:left="0" w:right="0" w:firstLine="0"/>
        <w:jc w:val="left"/>
      </w:pPr>
      <w:r>
        <w:rPr>
          <w:color w:val="000000"/>
          <w:spacing w:val="0"/>
          <w:w w:val="100"/>
          <w:position w:val="0"/>
        </w:rPr>
        <w:t>■评析</w:t>
      </w:r>
    </w:p>
    <w:p w14:paraId="249C84BA">
      <w:pPr>
        <w:pStyle w:val="17"/>
        <w:keepNext w:val="0"/>
        <w:keepLines w:val="0"/>
        <w:widowControl w:val="0"/>
        <w:shd w:val="clear" w:color="auto" w:fill="auto"/>
        <w:bidi w:val="0"/>
        <w:spacing w:before="0" w:after="120" w:line="344"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7433A59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本案中，买受人以房屋买卖合同合法有效，出卖人拒绝拆除涉讼房屋上的违法建筑，导 致无法办理过户构成违约为由,要求出卖人承担相应的法律责任。出卖人则以不动产登记 簿中登记的原建筑已灭失，现存的是违法建筑为由要求认定房屋买卖合同无效。原告买受 人的主张得到了法院的支持，被告出卖人的反诉请求被驳回。裁判要旨明确了不动产登记 簿记载内容（包括权利人与房屋信息）的公示公信效力,承认对善意信赖不动产登记信息的 合同当事人信赖利益的保护，并根据原《物权法》中合同效力与物权效力相区分的原则，肯 定房屋买卖合同有效，出卖人应对房屋原状恢复后完成过户登记。本案作为最高人民法院 公报案例对于不动产登记与现实状况不符的交易类案件有一定的审判指导意义。但该案 的判决思路仍然值得进一步反思。</w:t>
      </w:r>
    </w:p>
    <w:p w14:paraId="52CD71A8">
      <w:pPr>
        <w:pStyle w:val="17"/>
        <w:keepNext w:val="0"/>
        <w:keepLines w:val="0"/>
        <w:widowControl w:val="0"/>
        <w:shd w:val="clear" w:color="auto" w:fill="auto"/>
        <w:bidi w:val="0"/>
        <w:spacing w:before="0" w:after="0" w:line="336"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不动产登记静态效力的规范及学理</w:t>
      </w:r>
    </w:p>
    <w:p w14:paraId="567DE2E5">
      <w:pPr>
        <w:pStyle w:val="17"/>
        <w:keepNext w:val="0"/>
        <w:keepLines w:val="0"/>
        <w:widowControl w:val="0"/>
        <w:shd w:val="clear" w:color="auto" w:fill="auto"/>
        <w:bidi w:val="0"/>
        <w:spacing w:before="0" w:after="0" w:line="336" w:lineRule="exact"/>
        <w:ind w:left="0" w:right="0" w:firstLine="420"/>
        <w:jc w:val="both"/>
      </w:pP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年出台的原《物权法》确定了我国采用不动产登记生效主义原则。在交易的不同 阶段,不动产登记分别具有动态效力与静态效力。动态效力，指不动产登记可使不动产物 权的设立、变更、转让和消灭等动态变化发生效力；静态效力，则体现为不动产登记的推定 力与公信力，指向登记簿中登记状态的效力。本案主要涉及不动产登记的静态效力问题, 而且具体指向登记簿中不动产物理属性记载（事实状态）的效力。</w:t>
      </w:r>
    </w:p>
    <w:p w14:paraId="516B068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一般认为，我国原《物权法》第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7"/>
          <w:szCs w:val="17"/>
        </w:rPr>
        <w:t>216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款）和第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 （《民法典》第</w:t>
      </w:r>
      <w:r>
        <w:rPr>
          <w:rFonts w:ascii="Times New Roman" w:hAnsi="Times New Roman" w:eastAsia="Times New Roman" w:cs="Times New Roman"/>
          <w:color w:val="000000"/>
          <w:spacing w:val="0"/>
          <w:w w:val="100"/>
          <w:position w:val="0"/>
          <w:sz w:val="17"/>
          <w:szCs w:val="17"/>
        </w:rPr>
        <w:t>311</w:t>
      </w:r>
      <w:r>
        <w:rPr>
          <w:color w:val="000000"/>
          <w:spacing w:val="0"/>
          <w:w w:val="100"/>
          <w:position w:val="0"/>
        </w:rPr>
        <w:t>条）是不动产登记静态效力的体现。其中，《物权法》第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款承认 了权利正确性推定原则，结合《物权法》第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条，也可以说它承认了不动产物权登记的公 信力［崔建远:《物权法》（第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页］。具体可理解为</w:t>
      </w:r>
      <w:r>
        <w:rPr>
          <w:color w:val="000000"/>
          <w:spacing w:val="0"/>
          <w:w w:val="100"/>
          <w:position w:val="0"/>
          <w:lang w:val="zh-CN" w:eastAsia="zh-CN" w:bidi="zh-CN"/>
        </w:rPr>
        <w:t xml:space="preserve">“在不 </w:t>
      </w:r>
      <w:r>
        <w:rPr>
          <w:color w:val="000000"/>
          <w:spacing w:val="0"/>
          <w:w w:val="100"/>
          <w:position w:val="0"/>
        </w:rPr>
        <w:t>动产登记簿上记载某人享有某项物权时，推定该人享有该项权利，其权利内容也以不动产 登记簿上的记载为准</w:t>
      </w:r>
      <w:r>
        <w:rPr>
          <w:color w:val="000000"/>
          <w:spacing w:val="0"/>
          <w:w w:val="100"/>
          <w:position w:val="0"/>
          <w:lang w:val="en-US" w:eastAsia="en-US" w:bidi="en-US"/>
        </w:rPr>
        <w:t>"</w:t>
      </w:r>
      <w:r>
        <w:rPr>
          <w:color w:val="000000"/>
          <w:spacing w:val="0"/>
          <w:w w:val="100"/>
          <w:position w:val="0"/>
        </w:rPr>
        <w:t>（全国人大常委会法制工作委员会民法室编:《中华人民共和国物权法条文说 明、立法理由及相关规定》，北京大学出版社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页），第三人可以相信登记的真实性而 进行交易。基于此，不动产登记簿中有关物权主体享有的利益或权能等</w:t>
      </w:r>
      <w:r>
        <w:rPr>
          <w:color w:val="000000"/>
          <w:spacing w:val="0"/>
          <w:w w:val="100"/>
          <w:position w:val="0"/>
          <w:lang w:val="zh-CN" w:eastAsia="zh-CN" w:bidi="zh-CN"/>
        </w:rPr>
        <w:t>“权利</w:t>
      </w:r>
      <w:r>
        <w:rPr>
          <w:color w:val="000000"/>
          <w:spacing w:val="0"/>
          <w:w w:val="100"/>
          <w:position w:val="0"/>
        </w:rPr>
        <w:t>内容”具有可 推定性和公信力，这在学界已经达成共识。然而，对于登记簿中的不动产事实状态是否具 有推定力和公信力，学界普遍持否定态度。</w:t>
      </w:r>
    </w:p>
    <w:p w14:paraId="52E5BAA4">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在推定力方面，我国学者认为原《物权法》第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款仅是关于权利正确性推定的 规定，其推定都以权利人的正确性椒利的真实性及权利的完满性为内容，不涉及非权利事 项，即推定的标的是某种权利的存在或不存在［崔建远:《物权法》（第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 xml:space="preserve">版），中国人民大学出版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52.57</w:t>
      </w:r>
      <w:r>
        <w:rPr>
          <w:color w:val="000000"/>
          <w:spacing w:val="0"/>
          <w:w w:val="100"/>
          <w:position w:val="0"/>
        </w:rPr>
        <w:t>页；陈华彬:《民法物权论》，中国法制出版社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127 ~ 128</w:t>
      </w:r>
      <w:r>
        <w:rPr>
          <w:color w:val="000000"/>
          <w:spacing w:val="0"/>
          <w:w w:val="100"/>
          <w:position w:val="0"/>
        </w:rPr>
        <w:t>页］。在公信 力方面，我国学者提出不动产登记簿的公信力是法律为维护交易安全而设立的制度，仅适 用于无处分权人处分不动产的情形，指向不动产的善意取得（程啸:《论不动产善意取得之构成 要件——〈中华人民共和国物权法〉第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条释义》，载《法商研究》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期）。在不动产登记 中确定不动产事实状态，即自然环境、地理位置、占地面积等是为了实现</w:t>
      </w:r>
      <w:r>
        <w:rPr>
          <w:color w:val="000000"/>
          <w:spacing w:val="0"/>
          <w:w w:val="100"/>
          <w:position w:val="0"/>
          <w:lang w:val="zh-CN" w:eastAsia="zh-CN" w:bidi="zh-CN"/>
        </w:rPr>
        <w:t>“一物</w:t>
      </w:r>
      <w:r>
        <w:rPr>
          <w:color w:val="000000"/>
          <w:spacing w:val="0"/>
          <w:w w:val="100"/>
          <w:position w:val="0"/>
        </w:rPr>
        <w:t>一权”原则， 使物权客体必须是特定的，或者至少在实现该物权时其客体是可得特定的（程啸:《不动产登 记簿之研究》，载《清华法学》</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期），其功效为记录不动产上的权利状况奠定基础，实现 对物的有效利用，并不涉及公信力问题。在比较法上，德国学者也认为</w:t>
      </w:r>
      <w:r>
        <w:rPr>
          <w:color w:val="000000"/>
          <w:spacing w:val="0"/>
          <w:w w:val="100"/>
          <w:position w:val="0"/>
          <w:lang w:val="zh-CN" w:eastAsia="zh-CN" w:bidi="zh-CN"/>
        </w:rPr>
        <w:t>“凡在</w:t>
      </w:r>
      <w:r>
        <w:rPr>
          <w:color w:val="000000"/>
          <w:spacing w:val="0"/>
          <w:w w:val="100"/>
          <w:position w:val="0"/>
        </w:rPr>
        <w:t>土地登记簿中 所看到的，都可相信是真实的</w:t>
      </w:r>
      <w:r>
        <w:rPr>
          <w:color w:val="000000"/>
          <w:spacing w:val="0"/>
          <w:w w:val="100"/>
          <w:position w:val="0"/>
          <w:lang w:val="zh-CN" w:eastAsia="zh-CN" w:bidi="zh-CN"/>
        </w:rPr>
        <w:t>”这</w:t>
      </w:r>
      <w:r>
        <w:rPr>
          <w:color w:val="000000"/>
          <w:spacing w:val="0"/>
          <w:w w:val="100"/>
          <w:position w:val="0"/>
        </w:rPr>
        <w:t>一推论是错误的。以登记公信力为基础的善意取得条款 保护的范围仅指能导致法律意义上登记簿不正确的事实构成，而不包含事实说明，即非权 利事项的登记不具有公信力（［德</w:t>
      </w:r>
      <w:r>
        <w:rPr>
          <w:color w:val="000000"/>
          <w:spacing w:val="0"/>
          <w:w w:val="100"/>
          <w:position w:val="0"/>
          <w:lang w:val="en-US" w:eastAsia="en-US" w:bidi="en-US"/>
        </w:rPr>
        <w:t>］</w:t>
      </w:r>
      <w:r>
        <w:rPr>
          <w:color w:val="000000"/>
          <w:spacing w:val="0"/>
          <w:w w:val="100"/>
          <w:position w:val="0"/>
        </w:rPr>
        <w:t>鲍尔</w:t>
      </w:r>
      <w:r>
        <w:rPr>
          <w:color w:val="000000"/>
          <w:spacing w:val="0"/>
          <w:w w:val="100"/>
          <w:position w:val="0"/>
          <w:lang w:val="en-US" w:eastAsia="en-US" w:bidi="en-US"/>
        </w:rPr>
        <w:t>•</w:t>
      </w:r>
      <w:r>
        <w:rPr>
          <w:color w:val="000000"/>
          <w:spacing w:val="0"/>
          <w:w w:val="100"/>
          <w:position w:val="0"/>
        </w:rPr>
        <w:t xml:space="preserve">施蒂尔纳：《德国物权法》（上册），张双根译，法律出版社 </w:t>
      </w:r>
      <w:r>
        <w:rPr>
          <w:rFonts w:ascii="Times New Roman" w:hAnsi="Times New Roman" w:eastAsia="Times New Roman" w:cs="Times New Roman"/>
          <w:color w:val="000000"/>
          <w:spacing w:val="0"/>
          <w:w w:val="100"/>
          <w:position w:val="0"/>
          <w:sz w:val="17"/>
          <w:szCs w:val="17"/>
        </w:rPr>
        <w:t xml:space="preserve">2004 </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 xml:space="preserve">490 </w:t>
      </w:r>
      <w:r>
        <w:rPr>
          <w:rFonts w:ascii="Times New Roman" w:hAnsi="Times New Roman" w:eastAsia="Times New Roman" w:cs="Times New Roman"/>
          <w:color w:val="000000"/>
          <w:spacing w:val="0"/>
          <w:w w:val="100"/>
          <w:position w:val="0"/>
          <w:sz w:val="17"/>
          <w:szCs w:val="17"/>
          <w:lang w:val="en-US" w:eastAsia="en-US" w:bidi="en-US"/>
        </w:rPr>
        <w:t xml:space="preserve">- 491 </w:t>
      </w:r>
      <w:r>
        <w:rPr>
          <w:color w:val="000000"/>
          <w:spacing w:val="0"/>
          <w:w w:val="100"/>
          <w:position w:val="0"/>
        </w:rPr>
        <w:t>页）。</w:t>
      </w:r>
    </w:p>
    <w:p w14:paraId="219E56F1">
      <w:pPr>
        <w:pStyle w:val="17"/>
        <w:keepNext w:val="0"/>
        <w:keepLines w:val="0"/>
        <w:widowControl w:val="0"/>
        <w:shd w:val="clear" w:color="auto" w:fill="auto"/>
        <w:bidi w:val="0"/>
        <w:spacing w:before="0" w:after="300" w:line="331" w:lineRule="exact"/>
        <w:ind w:left="0" w:right="0" w:firstLine="420"/>
        <w:jc w:val="both"/>
      </w:pPr>
      <w:r>
        <w:rPr>
          <w:color w:val="000000"/>
          <w:spacing w:val="0"/>
          <w:w w:val="100"/>
          <w:position w:val="0"/>
        </w:rPr>
        <w:t>本案判决适用不动产登记簿的公示公信力对善意买受人的保护以及合同效力与物权 效力相区分两项理由，双管齐下确认房屋买卖合同的效力。与学界认为不动产登记簿中有 关不动产事实状态的内容不具有推定力和公信力反向行之，似乎意在扩大不动产登记簿推 定力与公信力的适用范围，从而将涉讼房屋的买卖从违法建筑买卖中脱离出来，再以此为 基础展开具体裁判。</w:t>
      </w:r>
    </w:p>
    <w:p w14:paraId="3B68DF16">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69E50DA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在本案例公布前后，对于不动产买卖合同效力纠纷问题的处理并不当然与不动产登记 簿效力相联系,而是大致被区分为两种类型进行处理。</w:t>
      </w:r>
    </w:p>
    <w:p w14:paraId="2450B749">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一类是不动产登记簿内容与不动产现实状况相符，但在合同签订后发生不动产被拆 迁、查封、扣押等情形,导致买卖合同无法履行，过户登记无法做成。此时，既有案件基本都 认定买卖合同有效。法院的裁判思路为:当事人双方在平等自愿基础上订立的房屋买卖合 同，虽然其后未办理房屋过户登记，但是由于不动产登记仅是房屋产权变动的公示要件而 非房屋买卖债权合同的生效要件，所以未办理过户登记并不能影响合同的效力。因此，若 该房屋买卖合同不存在无效的情形，也不违反其他法律法规的规定，当事人双方签订房屋 买卖合同后,即使未办理过户登记，该房屋买卖合同仍应被认定为有效。甚至在房屋未办 理所有权登记的情况下,买卖合同的效力也不受影响</w:t>
      </w:r>
      <w:r>
        <w:rPr>
          <w:color w:val="000000"/>
          <w:spacing w:val="0"/>
          <w:w w:val="100"/>
          <w:position w:val="0"/>
          <w:lang w:val="zh-CN" w:eastAsia="zh-CN" w:bidi="zh-CN"/>
        </w:rPr>
        <w:t>［“李</w:t>
      </w:r>
      <w:r>
        <w:rPr>
          <w:color w:val="000000"/>
          <w:spacing w:val="0"/>
          <w:w w:val="100"/>
          <w:position w:val="0"/>
        </w:rPr>
        <w:t>佰雄诉刘光华房屋买卖合同纠纷再审 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最髙法民再</w:t>
      </w:r>
      <w:r>
        <w:rPr>
          <w:rFonts w:ascii="Times New Roman" w:hAnsi="Times New Roman" w:eastAsia="Times New Roman" w:cs="Times New Roman"/>
          <w:color w:val="000000"/>
          <w:spacing w:val="0"/>
          <w:w w:val="100"/>
          <w:position w:val="0"/>
          <w:sz w:val="17"/>
          <w:szCs w:val="17"/>
        </w:rPr>
        <w:t>87</w:t>
      </w:r>
      <w:r>
        <w:rPr>
          <w:color w:val="000000"/>
          <w:spacing w:val="0"/>
          <w:w w:val="100"/>
          <w:position w:val="0"/>
        </w:rPr>
        <w:t>号民事判决书］。即仅以合同效力与物权效力相区分原则进行裁判。</w:t>
      </w:r>
    </w:p>
    <w:p w14:paraId="0BFF12E2">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另一类是不动产登记簿内容与不动产现实状况不相符，即不动产被违法改建或重建成 为违法建筑。此时对买卖合同效力的认定，法院总是直接将该买卖认定为是违法建筑买 卖，再就该买卖是否有效展开审理。在已有案件中，对于违法建筑买卖合同的效力存在不 同的裁判意见。不同法院的裁判思路与裁判结果并不完全相同。有法院认为，在涉讼房屋 属于违法建筑时,当事人签订的房屋买卖合同无效。另有法院根据买受人的善恶意予以裁 判。有法院认为,在买受人明知涉讼房屋为违法建筑，且未就相关交易内容提出异议时，可 认定买卖合同是买受人在了解涉讼房屋的基础上经过充分考虑与出卖人达成的一致意见， 是其真实意思表示，该合同有效</w:t>
      </w:r>
      <w:r>
        <w:rPr>
          <w:color w:val="000000"/>
          <w:spacing w:val="0"/>
          <w:w w:val="100"/>
          <w:position w:val="0"/>
          <w:lang w:val="zh-CN" w:eastAsia="zh-CN" w:bidi="zh-CN"/>
        </w:rPr>
        <w:t>［“李</w:t>
      </w:r>
      <w:r>
        <w:rPr>
          <w:color w:val="000000"/>
          <w:spacing w:val="0"/>
          <w:w w:val="100"/>
          <w:position w:val="0"/>
        </w:rPr>
        <w:t>聪与袁广庆房屋买卖合同纠纷案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沪</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9035</w:t>
      </w:r>
      <w:r>
        <w:rPr>
          <w:color w:val="000000"/>
          <w:spacing w:val="0"/>
          <w:w w:val="100"/>
          <w:position w:val="0"/>
        </w:rPr>
        <w:t>号民 事判决书］。亦有法院认为，在买受人对违法建筑的存在不知情时，应认定其对所购房屋的 整体合法性存在重大误解,使其享有撤销权</w:t>
      </w:r>
      <w:r>
        <w:rPr>
          <w:color w:val="000000"/>
          <w:spacing w:val="0"/>
          <w:w w:val="100"/>
          <w:position w:val="0"/>
          <w:lang w:val="zh-CN" w:eastAsia="zh-CN" w:bidi="zh-CN"/>
        </w:rPr>
        <w:t>［“李</w:t>
      </w:r>
      <w:r>
        <w:rPr>
          <w:color w:val="000000"/>
          <w:spacing w:val="0"/>
          <w:w w:val="100"/>
          <w:position w:val="0"/>
        </w:rPr>
        <w:t>辉诉孙正和房屋买卖合同案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0118</w:t>
      </w:r>
      <w:r>
        <w:rPr>
          <w:color w:val="000000"/>
          <w:spacing w:val="0"/>
          <w:w w:val="100"/>
          <w:position w:val="0"/>
        </w:rPr>
        <w:t>民 初</w:t>
      </w:r>
      <w:r>
        <w:rPr>
          <w:rFonts w:ascii="Times New Roman" w:hAnsi="Times New Roman" w:eastAsia="Times New Roman" w:cs="Times New Roman"/>
          <w:color w:val="000000"/>
          <w:spacing w:val="0"/>
          <w:w w:val="100"/>
          <w:position w:val="0"/>
          <w:sz w:val="17"/>
          <w:szCs w:val="17"/>
        </w:rPr>
        <w:t>824</w:t>
      </w:r>
      <w:r>
        <w:rPr>
          <w:color w:val="000000"/>
          <w:spacing w:val="0"/>
          <w:w w:val="100"/>
          <w:position w:val="0"/>
        </w:rPr>
        <w:t>号民事判决书］。最高人民法院对于违法建筑买卖合同的效力认定则更为细致:在“林 嘉锋等诉甘肃省中国青年旅行社房屋买卖合同纠纷案</w:t>
      </w:r>
      <w:r>
        <w:rPr>
          <w:rFonts w:ascii="Times New Roman" w:hAnsi="Times New Roman" w:eastAsia="Times New Roman" w:cs="Times New Roman"/>
          <w:color w:val="000000"/>
          <w:spacing w:val="0"/>
          <w:w w:val="100"/>
          <w:position w:val="0"/>
          <w:sz w:val="17"/>
          <w:szCs w:val="17"/>
          <w:lang w:val="en-US" w:eastAsia="en-US" w:bidi="en-US"/>
        </w:rPr>
        <w:t>”[(2014)</w:t>
      </w:r>
      <w:r>
        <w:rPr>
          <w:color w:val="000000"/>
          <w:spacing w:val="0"/>
          <w:w w:val="100"/>
          <w:position w:val="0"/>
        </w:rPr>
        <w:t>民提字第</w:t>
      </w:r>
      <w:r>
        <w:rPr>
          <w:rFonts w:ascii="Times New Roman" w:hAnsi="Times New Roman" w:eastAsia="Times New Roman" w:cs="Times New Roman"/>
          <w:color w:val="000000"/>
          <w:spacing w:val="0"/>
          <w:w w:val="100"/>
          <w:position w:val="0"/>
          <w:sz w:val="17"/>
          <w:szCs w:val="17"/>
        </w:rPr>
        <w:t>216</w:t>
      </w:r>
      <w:r>
        <w:rPr>
          <w:color w:val="000000"/>
          <w:spacing w:val="0"/>
          <w:w w:val="100"/>
          <w:position w:val="0"/>
        </w:rPr>
        <w:t>号民事判决书]中 提出</w:t>
      </w:r>
      <w:r>
        <w:rPr>
          <w:color w:val="000000"/>
          <w:spacing w:val="0"/>
          <w:w w:val="100"/>
          <w:position w:val="0"/>
          <w:lang w:val="zh-CN" w:eastAsia="zh-CN" w:bidi="zh-CN"/>
        </w:rPr>
        <w:t>“首先</w:t>
      </w:r>
      <w:r>
        <w:rPr>
          <w:color w:val="000000"/>
          <w:spacing w:val="0"/>
          <w:w w:val="100"/>
          <w:position w:val="0"/>
        </w:rPr>
        <w:t>，案涉房产其他部分系合法建筑，加盖部分违法不应导致全部合同无效。其次, 买卖违法建筑物的合同并非绝对无效。根据《城乡规划法》第</w:t>
      </w:r>
      <w:r>
        <w:rPr>
          <w:rFonts w:ascii="Times New Roman" w:hAnsi="Times New Roman" w:eastAsia="Times New Roman" w:cs="Times New Roman"/>
          <w:color w:val="000000"/>
          <w:spacing w:val="0"/>
          <w:w w:val="100"/>
          <w:position w:val="0"/>
          <w:sz w:val="17"/>
          <w:szCs w:val="17"/>
        </w:rPr>
        <w:t>64</w:t>
      </w:r>
      <w:r>
        <w:rPr>
          <w:color w:val="000000"/>
          <w:spacing w:val="0"/>
          <w:w w:val="100"/>
          <w:position w:val="0"/>
        </w:rPr>
        <w:t>条规定，未取得建设工程 规划许可证或者未按照建设工程规划许可证的规定进行建设的……尚可采取改正措施消 除对规划实施的影响的，限期改正，处建设工程造价</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以上</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以下的罚款;无法采取改 正措施消除影响的，限期拆除</w:t>
      </w:r>
      <w:r>
        <w:rPr>
          <w:color w:val="000000"/>
          <w:spacing w:val="0"/>
          <w:w w:val="100"/>
          <w:position w:val="0"/>
          <w:lang w:val="zh-CN" w:eastAsia="zh-CN" w:bidi="zh-CN"/>
        </w:rPr>
        <w:t>……</w:t>
      </w:r>
      <w:r>
        <w:rPr>
          <w:color w:val="000000"/>
          <w:spacing w:val="0"/>
          <w:w w:val="100"/>
          <w:position w:val="0"/>
        </w:rPr>
        <w:t>本案中，双方在《房地产买卖合同》及其后的</w:t>
      </w:r>
      <w:r>
        <w:rPr>
          <w:rFonts w:ascii="Times New Roman" w:hAnsi="Times New Roman" w:eastAsia="Times New Roman" w:cs="Times New Roman"/>
          <w:color w:val="000000"/>
          <w:spacing w:val="0"/>
          <w:w w:val="100"/>
          <w:position w:val="0"/>
          <w:sz w:val="17"/>
          <w:szCs w:val="17"/>
        </w:rPr>
        <w:t>50</w:t>
      </w:r>
      <w:r>
        <w:rPr>
          <w:color w:val="000000"/>
          <w:spacing w:val="0"/>
          <w:w w:val="100"/>
          <w:position w:val="0"/>
        </w:rPr>
        <w:t xml:space="preserve">号调解书 中，均明确加盖部分已经过行政处罚，城乡规划主管部门并未要求限期拆除,该加盖部分应 属于'尚可采取改正措施消除对规划实施的影响的’保留使用建筑物,亦不应因此认定买卖 合同无效”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即将违章建筑买卖合同效力的判断分两步走:首先应区分涉讼房屋全部系违 法建筑还是部分系违法建筑,其次买卖违法建筑部分的合同并非无效，还应判断该违法建 筑是否尚可采取改正措施消除违法部分，若仍可改正则买卖合同有效,反之则无效。</w:t>
      </w:r>
    </w:p>
    <w:p w14:paraId="3CE9C0BB">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S</w:t>
      </w:r>
      <w:r>
        <w:rPr>
          <w:color w:val="000000"/>
          <w:spacing w:val="0"/>
          <w:w w:val="100"/>
          <w:position w:val="0"/>
        </w:rPr>
        <w:t>本判决的参考意义及将来的课题</w:t>
      </w:r>
    </w:p>
    <w:p w14:paraId="2D4AD271">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本判决的裁判思路体现出很大的“创新性</w:t>
      </w:r>
      <w:r>
        <w:rPr>
          <w:color w:val="000000"/>
          <w:spacing w:val="0"/>
          <w:w w:val="100"/>
          <w:position w:val="0"/>
          <w:lang w:val="zh-CN" w:eastAsia="zh-CN" w:bidi="zh-CN"/>
        </w:rPr>
        <w:t>”，一</w:t>
      </w:r>
      <w:r>
        <w:rPr>
          <w:color w:val="000000"/>
          <w:spacing w:val="0"/>
          <w:w w:val="100"/>
          <w:position w:val="0"/>
        </w:rPr>
        <w:t>改实务中将此类案件直接定性为违法建 筑买卖惯常做法，而是通过利用不动产登记簿中事实状态的公示公信力和买受人的善意来 认定该买卖是对原合法建筑的买卖，再通过合同效力与物权效力相区分原则说明原合法建 筑的不存在并不影响买卖合同的有效性。在论证思路上能够直接回避违法建筑买卖合同 的效力争议。在裁判结果上，通过行使释明权而使买卖双方同意协力消除房屋的违法状 态,即将现在的违法建筑的四至、外观形状、层高等恢复至与登记内容相一致的状态，从而 保证该房屋买卖合同的最终履行。就效果而言，本案中法院的这种方法是可行的，它有利 于鼓励交易并保护善意买受人的合法权益。然而，法院的此种裁判思路无视不动产登记簿 推定力与公信力的原本含义和适用情形,更大程度上属于一种理论的创设。为了追求论证 过程的便捷与裁判效果的正当，以舍弃一般理论、背离已有案例为代价，笼统地认为不动产 登记中的物理性记载(事实状态)等静态内容在违法重建改建的情况下亦具有公示公信力， 可能反而会造成舍本逐末的后果。对于将来的裁判而言，结合买受人的善恶意主观状况, 从重大误解的角度来判断不动产登记簿内容与不动产实际状况不符情形下的买卖合同效 力似乎更为妥当,但在实务当中，如何判断买受人的善恶意，是否可借用不动产登记簿的公 示公信力进行证明，仍然需要进一步的论证。此外，重大误解将房屋买卖合同出现的问题 归咎于买受人一方，仅赋予其撤销权，对于确想继续履行最终获得房屋移转登记的买受人 而言，会存在保护上的疏漏。本案法院的裁判也许正是基于此考虑进行了大胆的</w:t>
      </w:r>
      <w:r>
        <w:rPr>
          <w:color w:val="000000"/>
          <w:spacing w:val="0"/>
          <w:w w:val="100"/>
          <w:position w:val="0"/>
          <w:lang w:val="zh-CN" w:eastAsia="zh-CN" w:bidi="zh-CN"/>
        </w:rPr>
        <w:t xml:space="preserve">“创新”尝 </w:t>
      </w:r>
      <w:r>
        <w:rPr>
          <w:color w:val="000000"/>
          <w:spacing w:val="0"/>
          <w:w w:val="100"/>
          <w:position w:val="0"/>
        </w:rPr>
        <w:t>试。</w:t>
      </w:r>
    </w:p>
    <w:p w14:paraId="53450303">
      <w:pPr>
        <w:pStyle w:val="11"/>
        <w:keepNext w:val="0"/>
        <w:keepLines w:val="0"/>
        <w:widowControl w:val="0"/>
        <w:shd w:val="clear" w:color="auto" w:fill="auto"/>
        <w:bidi w:val="0"/>
        <w:spacing w:before="0" w:after="100" w:line="340" w:lineRule="exact"/>
        <w:ind w:left="0" w:right="0" w:firstLine="0"/>
        <w:jc w:val="left"/>
      </w:pPr>
      <w:r>
        <w:rPr>
          <w:color w:val="000000"/>
          <w:spacing w:val="0"/>
          <w:w w:val="100"/>
          <w:position w:val="0"/>
        </w:rPr>
        <w:t>回参考文献</w:t>
      </w:r>
    </w:p>
    <w:p w14:paraId="144EEE9A">
      <w:pPr>
        <w:pStyle w:val="17"/>
        <w:keepNext w:val="0"/>
        <w:keepLines w:val="0"/>
        <w:widowControl w:val="0"/>
        <w:shd w:val="clear" w:color="auto" w:fill="auto"/>
        <w:bidi w:val="0"/>
        <w:spacing w:before="0" w:after="0" w:line="300" w:lineRule="exact"/>
        <w:ind w:left="200" w:right="0" w:hanging="200"/>
        <w:jc w:val="both"/>
      </w:pPr>
      <w:r>
        <w:rPr>
          <w:color w:val="000000"/>
          <w:spacing w:val="0"/>
          <w:w w:val="100"/>
          <w:position w:val="0"/>
        </w:rPr>
        <w:t>全国人大常委会法制工作委员会民法室编:《中华人民共和国物权法条文说明、立法理由及相关规定》， 北京大学出版社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0AEB9AE6">
      <w:pPr>
        <w:pStyle w:val="17"/>
        <w:keepNext w:val="0"/>
        <w:keepLines w:val="0"/>
        <w:widowControl w:val="0"/>
        <w:shd w:val="clear" w:color="auto" w:fill="auto"/>
        <w:bidi w:val="0"/>
        <w:spacing w:before="0" w:after="180" w:line="300" w:lineRule="exact"/>
        <w:ind w:left="0" w:right="0" w:firstLine="0"/>
        <w:jc w:val="left"/>
      </w:pPr>
      <w:r>
        <w:rPr>
          <w:color w:val="000000"/>
          <w:spacing w:val="0"/>
          <w:w w:val="100"/>
          <w:position w:val="0"/>
        </w:rPr>
        <w:t>胡康生：《中华人民共和国物权法释义》，法律出版社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25D9DFA8">
      <w:pPr>
        <w:pStyle w:val="17"/>
        <w:keepNext w:val="0"/>
        <w:keepLines w:val="0"/>
        <w:widowControl w:val="0"/>
        <w:shd w:val="clear" w:color="auto" w:fill="auto"/>
        <w:bidi w:val="0"/>
        <w:spacing w:before="0" w:after="0" w:line="310" w:lineRule="exact"/>
        <w:ind w:left="0" w:right="0" w:firstLine="320"/>
        <w:jc w:val="left"/>
      </w:pPr>
      <w:r>
        <w:rPr>
          <w:color w:val="000000"/>
          <w:spacing w:val="0"/>
          <w:w w:val="100"/>
          <w:position w:val="0"/>
        </w:rPr>
        <w:t>崔建远:《物权法》（第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2F9326D0">
      <w:pPr>
        <w:pStyle w:val="17"/>
        <w:keepNext w:val="0"/>
        <w:keepLines w:val="0"/>
        <w:widowControl w:val="0"/>
        <w:shd w:val="clear" w:color="auto" w:fill="auto"/>
        <w:bidi w:val="0"/>
        <w:spacing w:before="0" w:after="0" w:line="310" w:lineRule="exact"/>
        <w:ind w:left="0" w:right="0" w:firstLine="320"/>
        <w:jc w:val="left"/>
      </w:pPr>
      <w:r>
        <w:rPr>
          <w:color w:val="000000"/>
          <w:spacing w:val="0"/>
          <w:w w:val="100"/>
          <w:position w:val="0"/>
        </w:rPr>
        <w:t>程啸:《不动产登记簿之研究》，载《清华法学》</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5CF9FFD">
      <w:pPr>
        <w:pStyle w:val="17"/>
        <w:keepNext w:val="0"/>
        <w:keepLines w:val="0"/>
        <w:widowControl w:val="0"/>
        <w:shd w:val="clear" w:color="auto" w:fill="auto"/>
        <w:bidi w:val="0"/>
        <w:spacing w:before="0" w:after="0" w:line="310" w:lineRule="exact"/>
        <w:ind w:left="500" w:right="0" w:hanging="180"/>
        <w:jc w:val="left"/>
      </w:pPr>
      <w:r>
        <w:rPr>
          <w:color w:val="000000"/>
          <w:spacing w:val="0"/>
          <w:w w:val="100"/>
          <w:position w:val="0"/>
        </w:rPr>
        <w:t>朱广新:《不动产登记制度探究一不动产登记簿为中心》，载《河南省政法管理干部学院学报》</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0772EF7">
      <w:pPr>
        <w:pStyle w:val="17"/>
        <w:keepNext w:val="0"/>
        <w:keepLines w:val="0"/>
        <w:widowControl w:val="0"/>
        <w:shd w:val="clear" w:color="auto" w:fill="auto"/>
        <w:bidi w:val="0"/>
        <w:spacing w:before="0" w:after="0" w:line="310" w:lineRule="exact"/>
        <w:ind w:left="0" w:right="0" w:firstLine="320"/>
        <w:jc w:val="left"/>
      </w:pPr>
      <w:r>
        <w:rPr>
          <w:color w:val="000000"/>
          <w:spacing w:val="0"/>
          <w:w w:val="100"/>
          <w:position w:val="0"/>
        </w:rPr>
        <w:t>程啸:《不动产登记簿之推定力》，载《法学研究》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52DAAE9">
      <w:pPr>
        <w:pStyle w:val="17"/>
        <w:keepNext w:val="0"/>
        <w:keepLines w:val="0"/>
        <w:widowControl w:val="0"/>
        <w:shd w:val="clear" w:color="auto" w:fill="auto"/>
        <w:bidi w:val="0"/>
        <w:spacing w:before="0" w:after="0" w:line="310" w:lineRule="exact"/>
        <w:ind w:left="0" w:right="0" w:firstLine="320"/>
        <w:jc w:val="left"/>
        <w:sectPr>
          <w:headerReference r:id="rId187" w:type="default"/>
          <w:headerReference r:id="rId188" w:type="even"/>
          <w:footnotePr>
            <w:numFmt w:val="chicago"/>
          </w:footnotePr>
          <w:pgSz w:w="10099" w:h="14782"/>
          <w:pgMar w:top="1295" w:right="867" w:bottom="1127" w:left="957" w:header="0" w:footer="3" w:gutter="0"/>
          <w:pgNumType w:start="137"/>
          <w:cols w:space="720" w:num="1"/>
          <w:rtlGutter w:val="0"/>
          <w:docGrid w:linePitch="360" w:charSpace="0"/>
        </w:sectPr>
      </w:pPr>
      <w:r>
        <w:rPr>
          <w:color w:val="000000"/>
          <w:spacing w:val="0"/>
          <w:w w:val="100"/>
          <w:position w:val="0"/>
        </w:rPr>
        <w:t>尹田：《物权法》，北京大学出版社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2C22A6EC">
      <w:pPr>
        <w:widowControl w:val="0"/>
        <w:spacing w:line="1" w:lineRule="exact"/>
      </w:pPr>
      <w:r>
        <w:drawing>
          <wp:anchor distT="0" distB="0" distL="0" distR="0" simplePos="0" relativeHeight="251660288" behindDoc="0" locked="0" layoutInCell="1" allowOverlap="1">
            <wp:simplePos x="0" y="0"/>
            <wp:positionH relativeFrom="page">
              <wp:posOffset>705485</wp:posOffset>
            </wp:positionH>
            <wp:positionV relativeFrom="paragraph">
              <wp:posOffset>0</wp:posOffset>
            </wp:positionV>
            <wp:extent cx="481330" cy="414655"/>
            <wp:effectExtent l="0" t="0" r="1270" b="4445"/>
            <wp:wrapTopAndBottom/>
            <wp:docPr id="423" name="Shape 423"/>
            <wp:cNvGraphicFramePr/>
            <a:graphic xmlns:a="http://schemas.openxmlformats.org/drawingml/2006/main">
              <a:graphicData uri="http://schemas.openxmlformats.org/drawingml/2006/picture">
                <pic:pic xmlns:pic="http://schemas.openxmlformats.org/drawingml/2006/picture">
                  <pic:nvPicPr>
                    <pic:cNvPr id="423" name="Shape 423"/>
                    <pic:cNvPicPr/>
                  </pic:nvPicPr>
                  <pic:blipFill>
                    <a:blip r:embed="rId631"/>
                    <a:stretch>
                      <a:fillRect/>
                    </a:stretch>
                  </pic:blipFill>
                  <pic:spPr>
                    <a:xfrm>
                      <a:off x="0" y="0"/>
                      <a:ext cx="481330" cy="414655"/>
                    </a:xfrm>
                    <a:prstGeom prst="rect">
                      <a:avLst/>
                    </a:prstGeom>
                  </pic:spPr>
                </pic:pic>
              </a:graphicData>
            </a:graphic>
          </wp:anchor>
        </w:drawing>
      </w:r>
      <w:r>
        <mc:AlternateContent>
          <mc:Choice Requires="wps">
            <w:drawing>
              <wp:anchor distT="133985" distB="43180" distL="0" distR="0" simplePos="0" relativeHeight="251660288" behindDoc="0" locked="0" layoutInCell="1" allowOverlap="1">
                <wp:simplePos x="0" y="0"/>
                <wp:positionH relativeFrom="page">
                  <wp:posOffset>1318260</wp:posOffset>
                </wp:positionH>
                <wp:positionV relativeFrom="paragraph">
                  <wp:posOffset>133985</wp:posOffset>
                </wp:positionV>
                <wp:extent cx="3211195" cy="237490"/>
                <wp:effectExtent l="0" t="0" r="0" b="0"/>
                <wp:wrapTopAndBottom/>
                <wp:docPr id="425" name="Shape 425"/>
                <wp:cNvGraphicFramePr/>
                <a:graphic xmlns:a="http://schemas.openxmlformats.org/drawingml/2006/main">
                  <a:graphicData uri="http://schemas.microsoft.com/office/word/2010/wordprocessingShape">
                    <wps:wsp>
                      <wps:cNvSpPr txBox="1"/>
                      <wps:spPr>
                        <a:xfrm>
                          <a:off x="0" y="0"/>
                          <a:ext cx="3211195" cy="237490"/>
                        </a:xfrm>
                        <a:prstGeom prst="rect">
                          <a:avLst/>
                        </a:prstGeom>
                        <a:noFill/>
                      </wps:spPr>
                      <wps:txbx>
                        <w:txbxContent>
                          <w:p w14:paraId="0C97AA83">
                            <w:pPr>
                              <w:pStyle w:val="15"/>
                              <w:keepNext/>
                              <w:keepLines/>
                              <w:widowControl w:val="0"/>
                              <w:shd w:val="clear" w:color="auto" w:fill="auto"/>
                              <w:bidi w:val="0"/>
                              <w:spacing w:before="0" w:after="0" w:line="240" w:lineRule="auto"/>
                              <w:ind w:left="0" w:right="0" w:firstLine="0"/>
                              <w:jc w:val="left"/>
                            </w:pPr>
                            <w:bookmarkStart w:id="333" w:name="bookmark183"/>
                            <w:bookmarkStart w:id="334" w:name="bookmark184"/>
                            <w:bookmarkStart w:id="335" w:name="bookmark185"/>
                            <w:r>
                              <w:rPr>
                                <w:color w:val="000000"/>
                                <w:spacing w:val="0"/>
                                <w:w w:val="100"/>
                                <w:position w:val="0"/>
                              </w:rPr>
                              <w:t>预购商品房抵押预告登记的法律效力</w:t>
                            </w:r>
                            <w:bookmarkEnd w:id="333"/>
                            <w:bookmarkEnd w:id="334"/>
                            <w:bookmarkEnd w:id="335"/>
                          </w:p>
                        </w:txbxContent>
                      </wps:txbx>
                      <wps:bodyPr wrap="none" lIns="0" tIns="0" rIns="0" bIns="0">
                        <a:noAutofit/>
                      </wps:bodyPr>
                    </wps:wsp>
                  </a:graphicData>
                </a:graphic>
              </wp:anchor>
            </w:drawing>
          </mc:Choice>
          <mc:Fallback>
            <w:pict>
              <v:shape id="Shape 425" o:spid="_x0000_s1026" o:spt="202" type="#_x0000_t202" style="position:absolute;left:0pt;margin-left:103.8pt;margin-top:10.55pt;height:18.7pt;width:252.85pt;mso-position-horizontal-relative:page;mso-wrap-distance-bottom:3.4pt;mso-wrap-distance-top:10.55pt;mso-wrap-style:none;z-index:251660288;mso-width-relative:page;mso-height-relative:page;" filled="f" stroked="f" coordsize="21600,21600" o:gfxdata="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yBTUP&#10;1wAAAAkBAAAPAAAAAAAAAAEAIAAAACIAAABkcnMvZG93bnJldi54bWxQSwECFAAUAAAACACHTuJA&#10;mzTHGLABAAB0AwAADgAAAAAAAAABACAAAAAmAQAAZHJzL2Uyb0RvYy54bWxQSwUGAAAAAAYABgBZ&#10;AQAASAUAAAAA&#10;">
                <v:fill on="f" focussize="0,0"/>
                <v:stroke on="f"/>
                <v:imagedata o:title=""/>
                <o:lock v:ext="edit" aspectratio="f"/>
                <v:textbox inset="0mm,0mm,0mm,0mm">
                  <w:txbxContent>
                    <w:p w14:paraId="0C97AA83">
                      <w:pPr>
                        <w:pStyle w:val="15"/>
                        <w:keepNext/>
                        <w:keepLines/>
                        <w:widowControl w:val="0"/>
                        <w:shd w:val="clear" w:color="auto" w:fill="auto"/>
                        <w:bidi w:val="0"/>
                        <w:spacing w:before="0" w:after="0" w:line="240" w:lineRule="auto"/>
                        <w:ind w:left="0" w:right="0" w:firstLine="0"/>
                        <w:jc w:val="left"/>
                      </w:pPr>
                      <w:bookmarkStart w:id="333" w:name="bookmark183"/>
                      <w:bookmarkStart w:id="334" w:name="bookmark184"/>
                      <w:bookmarkStart w:id="335" w:name="bookmark185"/>
                      <w:r>
                        <w:rPr>
                          <w:color w:val="000000"/>
                          <w:spacing w:val="0"/>
                          <w:w w:val="100"/>
                          <w:position w:val="0"/>
                        </w:rPr>
                        <w:t>预购商品房抵押预告登记的法律效力</w:t>
                      </w:r>
                      <w:bookmarkEnd w:id="333"/>
                      <w:bookmarkEnd w:id="334"/>
                      <w:bookmarkEnd w:id="335"/>
                    </w:p>
                  </w:txbxContent>
                </v:textbox>
                <w10:wrap type="topAndBottom"/>
              </v:shape>
            </w:pict>
          </mc:Fallback>
        </mc:AlternateContent>
      </w:r>
    </w:p>
    <w:p w14:paraId="3AB0D107">
      <w:pPr>
        <w:pStyle w:val="17"/>
        <w:keepNext w:val="0"/>
        <w:keepLines w:val="0"/>
        <w:widowControl w:val="0"/>
        <w:shd w:val="clear" w:color="auto" w:fill="auto"/>
        <w:bidi w:val="0"/>
        <w:spacing w:before="0" w:after="360" w:line="341" w:lineRule="exact"/>
        <w:ind w:left="1000" w:right="0" w:firstLine="20"/>
        <w:jc w:val="both"/>
      </w:pPr>
      <w:r>
        <w:drawing>
          <wp:anchor distT="0" distB="0" distL="114300" distR="114300" simplePos="0" relativeHeight="251660288" behindDoc="0" locked="0" layoutInCell="1" allowOverlap="1">
            <wp:simplePos x="0" y="0"/>
            <wp:positionH relativeFrom="page">
              <wp:posOffset>5146675</wp:posOffset>
            </wp:positionH>
            <wp:positionV relativeFrom="paragraph">
              <wp:posOffset>114300</wp:posOffset>
            </wp:positionV>
            <wp:extent cx="548640" cy="542290"/>
            <wp:effectExtent l="0" t="0" r="10160" b="3810"/>
            <wp:wrapSquare wrapText="left"/>
            <wp:docPr id="427" name="Shape 427"/>
            <wp:cNvGraphicFramePr/>
            <a:graphic xmlns:a="http://schemas.openxmlformats.org/drawingml/2006/main">
              <a:graphicData uri="http://schemas.openxmlformats.org/drawingml/2006/picture">
                <pic:pic xmlns:pic="http://schemas.openxmlformats.org/drawingml/2006/picture">
                  <pic:nvPicPr>
                    <pic:cNvPr id="427" name="Shape 427"/>
                    <pic:cNvPicPr/>
                  </pic:nvPicPr>
                  <pic:blipFill>
                    <a:blip r:embed="rId632"/>
                    <a:stretch>
                      <a:fillRect/>
                    </a:stretch>
                  </pic:blipFill>
                  <pic:spPr>
                    <a:xfrm>
                      <a:off x="0" y="0"/>
                      <a:ext cx="548640" cy="542290"/>
                    </a:xfrm>
                    <a:prstGeom prst="rect">
                      <a:avLst/>
                    </a:prstGeom>
                  </pic:spPr>
                </pic:pic>
              </a:graphicData>
            </a:graphic>
          </wp:anchor>
        </w:drawing>
      </w:r>
      <w:r>
        <w:rPr>
          <w:color w:val="000000"/>
          <w:spacing w:val="0"/>
          <w:w w:val="100"/>
          <w:position w:val="0"/>
        </w:rPr>
        <w:t>中国光大银行股份有限公司上海青浦支行诉上海东鹤房地产有限 公司、陈思绮保证合同纠纷案丨《最高人民法院公报》</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 xml:space="preserve">9 </w:t>
      </w:r>
      <w:r>
        <w:rPr>
          <w:color w:val="000000"/>
          <w:spacing w:val="0"/>
          <w:w w:val="100"/>
          <w:position w:val="0"/>
        </w:rPr>
        <w:t>期</w:t>
      </w:r>
    </w:p>
    <w:p w14:paraId="1C05EAF0">
      <w:pPr>
        <w:pStyle w:val="33"/>
        <w:keepNext w:val="0"/>
        <w:keepLines w:val="0"/>
        <w:widowControl w:val="0"/>
        <w:shd w:val="clear" w:color="auto" w:fill="auto"/>
        <w:bidi w:val="0"/>
        <w:spacing w:before="0" w:after="1380" w:line="240" w:lineRule="auto"/>
        <w:ind w:left="0" w:right="0" w:firstLine="0"/>
        <w:jc w:val="right"/>
      </w:pPr>
      <w:r>
        <w:rPr>
          <w:b/>
          <w:bCs/>
          <w:color w:val="000000"/>
          <w:spacing w:val="0"/>
          <w:w w:val="100"/>
          <w:position w:val="0"/>
          <w:sz w:val="18"/>
          <w:szCs w:val="18"/>
        </w:rPr>
        <w:t>常鹏翱</w:t>
      </w:r>
      <w:r>
        <w:rPr>
          <w:color w:val="000000"/>
          <w:spacing w:val="0"/>
          <w:w w:val="100"/>
          <w:position w:val="0"/>
        </w:rPr>
        <w:t>北京大学法学院</w:t>
      </w:r>
    </w:p>
    <w:p w14:paraId="1631683D">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CB4905C">
      <w:pPr>
        <w:pStyle w:val="17"/>
        <w:keepNext w:val="0"/>
        <w:keepLines w:val="0"/>
        <w:widowControl w:val="0"/>
        <w:shd w:val="clear" w:color="auto" w:fill="auto"/>
        <w:bidi w:val="0"/>
        <w:spacing w:before="0" w:after="0" w:line="342" w:lineRule="exact"/>
        <w:ind w:left="0" w:right="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日，中国光大银行股份有限公司上海青浦支行（一审原告,上诉人，以下 简称光大银行）与陈思绮（一审被告，被上诉人）、上海东鹤房地产有限公司（一审被告,上诉 人，以下简称东鹤公司）签订《个人贷款合同（抵押、保证）》，约定陈思绮向光大银行借款</w:t>
      </w:r>
      <w:r>
        <w:rPr>
          <w:rFonts w:ascii="Times New Roman" w:hAnsi="Times New Roman" w:eastAsia="Times New Roman" w:cs="Times New Roman"/>
          <w:color w:val="000000"/>
          <w:spacing w:val="0"/>
          <w:w w:val="100"/>
          <w:position w:val="0"/>
          <w:sz w:val="19"/>
          <w:szCs w:val="19"/>
        </w:rPr>
        <w:t xml:space="preserve">37 </w:t>
      </w:r>
      <w:r>
        <w:rPr>
          <w:color w:val="000000"/>
          <w:spacing w:val="0"/>
          <w:w w:val="100"/>
          <w:position w:val="0"/>
        </w:rPr>
        <w:t>万元，用于购房。陈思绮以某房屋作为抵押物提供担保。东鹤公司作为保证人在合同上盖 章，自愿为陈思绮在贷款合同项下所产生的全部债务向光大银行提供阶段性连带责任保 证。合同签订后,光大银行和陈思绮于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日办理预购商品房抵押预告登记，光 大银行于同日发放贷款。之后，陈思绮和东鹤公司的商品房预售合同在另案被法院判决无 效，贷款合同解除。</w:t>
      </w:r>
    </w:p>
    <w:p w14:paraId="497212F9">
      <w:pPr>
        <w:pStyle w:val="17"/>
        <w:keepNext w:val="0"/>
        <w:keepLines w:val="0"/>
        <w:widowControl w:val="0"/>
        <w:shd w:val="clear" w:color="auto" w:fill="auto"/>
        <w:bidi w:val="0"/>
        <w:spacing w:before="0" w:after="360" w:line="342" w:lineRule="exact"/>
        <w:ind w:left="0" w:right="0"/>
        <w:jc w:val="both"/>
      </w:pPr>
      <w:r>
        <w:rPr>
          <w:color w:val="000000"/>
          <w:spacing w:val="0"/>
          <w:w w:val="100"/>
          <w:position w:val="0"/>
        </w:rPr>
        <w:t>光大银行诉至法院，请求确认其在抵押物处分时享有优先受偿权,不足部分由两被告 连带清偿。一审法院认为，陈思绮未履行还款义务,光大银行有权行使抵押权。光大银行、 东鹤公司均不服一审判决，提起上诉。</w:t>
      </w:r>
    </w:p>
    <w:p w14:paraId="3C9D727E">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40AA593A">
      <w:pPr>
        <w:pStyle w:val="17"/>
        <w:keepNext w:val="0"/>
        <w:keepLines w:val="0"/>
        <w:widowControl w:val="0"/>
        <w:shd w:val="clear" w:color="auto" w:fill="auto"/>
        <w:bidi w:val="0"/>
        <w:spacing w:before="0" w:after="360" w:line="338" w:lineRule="exact"/>
        <w:ind w:left="0" w:right="0"/>
        <w:jc w:val="both"/>
        <w:sectPr>
          <w:headerReference r:id="rId189" w:type="default"/>
          <w:headerReference r:id="rId190" w:type="even"/>
          <w:footnotePr>
            <w:numFmt w:val="chicago"/>
          </w:footnotePr>
          <w:pgSz w:w="10099" w:h="14782"/>
          <w:pgMar w:top="1282" w:right="1038" w:bottom="1136" w:left="974" w:header="854" w:footer="708" w:gutter="0"/>
          <w:pgNumType w:start="157"/>
          <w:cols w:space="720" w:num="1"/>
          <w:rtlGutter w:val="0"/>
          <w:docGrid w:linePitch="360" w:charSpace="0"/>
        </w:sectPr>
      </w:pPr>
      <w:r>
        <w:rPr>
          <w:color w:val="000000"/>
          <w:spacing w:val="0"/>
          <w:w w:val="100"/>
          <w:position w:val="0"/>
        </w:rPr>
        <w:t>二审法院认为，抵押预告登记与抵押权登记具有不同的法律性质和法律效力。抵押预 告登记所登记的并非现实的抵押权，而是将来发生抵押权的请求权,该请求权具有排他效 力。因此，光大银行作为系争房屋抵押预告登记的权利人，在未办理房屋抵押权登记之前, 其享有的是在抵押登记条件成就或约定期限届满时对系争房屋办理抵押权登记的请求权, 并可排他性地对抗他人针对系争房屋的处分，但并非对系争房屋享有现实抵押权,一审判 决对光大银行有权行使抵押权的认定有误，应予纠正。</w:t>
      </w:r>
    </w:p>
    <w:p w14:paraId="38675051">
      <w:pPr>
        <w:pStyle w:val="11"/>
        <w:keepNext w:val="0"/>
        <w:keepLines w:val="0"/>
        <w:widowControl w:val="0"/>
        <w:shd w:val="clear" w:color="auto" w:fill="auto"/>
        <w:bidi w:val="0"/>
        <w:spacing w:before="0" w:after="140" w:line="344" w:lineRule="exact"/>
        <w:ind w:left="0" w:right="0" w:firstLine="0"/>
        <w:jc w:val="both"/>
      </w:pPr>
      <w:r>
        <w:rPr>
          <w:color w:val="000000"/>
          <w:spacing w:val="0"/>
          <w:w w:val="100"/>
          <w:position w:val="0"/>
        </w:rPr>
        <w:t>■评析</w:t>
      </w:r>
    </w:p>
    <w:p w14:paraId="0A2EDC32">
      <w:pPr>
        <w:pStyle w:val="17"/>
        <w:keepNext w:val="0"/>
        <w:keepLines w:val="0"/>
        <w:widowControl w:val="0"/>
        <w:shd w:val="clear" w:color="auto" w:fill="auto"/>
        <w:bidi w:val="0"/>
        <w:spacing w:before="0" w:after="140" w:line="344" w:lineRule="exact"/>
        <w:ind w:left="0" w:right="0" w:firstLine="30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p>
    <w:p w14:paraId="04030E4E">
      <w:pPr>
        <w:pStyle w:val="17"/>
        <w:keepNext w:val="0"/>
        <w:keepLines w:val="0"/>
        <w:widowControl w:val="0"/>
        <w:shd w:val="clear" w:color="auto" w:fill="auto"/>
        <w:bidi w:val="0"/>
        <w:spacing w:before="0" w:after="0" w:line="344" w:lineRule="exact"/>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预售商品房抵押预告登记能否产生优先受偿权</w:t>
      </w:r>
    </w:p>
    <w:p w14:paraId="68EC9A5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本案的争点是预售商品房抵押预告登记能否产生优先受偿权。一审法院认为这种登 记产生抵押权，故债权人有优先受偿权。二审法院认为预告登记保全了债权人将来取得抵 押权的债权,抵押权并未现实发生,故债权人没有优先受偿权。两相对比，二审法院的见解 值得赞同。</w:t>
      </w:r>
    </w:p>
    <w:p w14:paraId="1F34E587">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首先要明确的是,二审法院把预售商品房抵押预告登记的对象明确为债权请求权，符 合《民法典》第</w:t>
      </w:r>
      <w:r>
        <w:rPr>
          <w:rFonts w:ascii="Times New Roman" w:hAnsi="Times New Roman" w:eastAsia="Times New Roman" w:cs="Times New Roman"/>
          <w:color w:val="000000"/>
          <w:spacing w:val="0"/>
          <w:w w:val="100"/>
          <w:position w:val="0"/>
          <w:sz w:val="19"/>
          <w:szCs w:val="19"/>
        </w:rPr>
        <w:t>221</w:t>
      </w:r>
      <w:r>
        <w:rPr>
          <w:color w:val="000000"/>
          <w:spacing w:val="0"/>
          <w:w w:val="100"/>
          <w:position w:val="0"/>
        </w:rPr>
        <w:t>条有关预告登记的规定,这正是预告登记与物权登记的实质差异。在此 基础上，基于预购商品房抵押预告登记，债权人没有优先受偿权。</w:t>
      </w:r>
    </w:p>
    <w:p w14:paraId="3DD4129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从制度功能上看,预告登记有公示作用,被记载的债权请求权能为社会所公知,不仅债 的当事人受约束,还波及第三人，用二审法院的话来说,就是预告登记的债权请求权有排他 效力。尽管预告登记强化了债权请求权的排他效力，但强化程度还不足使该权利变为物 权，也无法使该权利与物权的效力完全等同，债权人不能像物权人那样现实地支配标的物, 对标的物没有支配利益,故债权人的法律地位仍是债权人。既然如此，预购商品房抵押预 告登记就不可能使债权人取得抵押权，而法律又未明确赋予债权人优先受偿权，预购商品 房抵押预告登记就不可能产生优先受偿的效力。</w:t>
      </w:r>
    </w:p>
    <w:p w14:paraId="58965D3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从预购商品房贷款抵押与在建建筑物抵押的关系来看，虽然两者的标的物都是在建建 筑物，但二者完全不同，比如，预购商品房贷款抵押的抵押人是预购人，在建建筑物抵押的 抵押人是房地产开发企业;又如，根据《不动产登记暂行条例实施细则》第</w:t>
      </w:r>
      <w:r>
        <w:rPr>
          <w:rFonts w:ascii="Times New Roman" w:hAnsi="Times New Roman" w:eastAsia="Times New Roman" w:cs="Times New Roman"/>
          <w:color w:val="000000"/>
          <w:spacing w:val="0"/>
          <w:w w:val="100"/>
          <w:position w:val="0"/>
          <w:sz w:val="19"/>
          <w:szCs w:val="19"/>
        </w:rPr>
        <w:t>76</w:t>
      </w:r>
      <w:r>
        <w:rPr>
          <w:color w:val="000000"/>
          <w:spacing w:val="0"/>
          <w:w w:val="100"/>
          <w:position w:val="0"/>
        </w:rPr>
        <w:t>条，申请在建 建筑物抵押登记的材料包括建设用地使用权证明、建设工程规划许可证等,预购人是无法 提供这些材料的,不能通过在建建筑物抵押登记提供抵押。这表明，预购商品房抵押预告 登记不能被在建建筑物抵押登记所涵括，它不是抵押登记，债权人因此不能取得优先受偿 权。</w:t>
      </w:r>
    </w:p>
    <w:p w14:paraId="5A2481C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从标的物的属性来看</w:t>
      </w:r>
      <w:r>
        <w:rPr>
          <w:color w:val="000000"/>
          <w:spacing w:val="0"/>
          <w:w w:val="100"/>
          <w:position w:val="0"/>
          <w:lang w:val="zh-CN" w:eastAsia="zh-CN" w:bidi="zh-CN"/>
        </w:rPr>
        <w:t>，“预</w:t>
      </w:r>
      <w:r>
        <w:rPr>
          <w:color w:val="000000"/>
          <w:spacing w:val="0"/>
          <w:w w:val="100"/>
          <w:position w:val="0"/>
        </w:rPr>
        <w:t>购商品房”是预购人对房地产开发企业享有的按约定时间交 付房屋并移转其所有权的债权请求权，预售商品房贷款抵押是以该债权请求权为标的物的 担保机制。</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日，国务院办公厅转发建设部等七部委联合发布的《关于做好稳 定住房价格工作的意见》，明确禁止商品房预购人将购买的未竣工的预售商品房再行转让。 “预购商品房</w:t>
      </w:r>
      <w:r>
        <w:rPr>
          <w:color w:val="000000"/>
          <w:spacing w:val="0"/>
          <w:w w:val="100"/>
          <w:position w:val="0"/>
          <w:lang w:val="zh-CN" w:eastAsia="zh-CN" w:bidi="zh-CN"/>
        </w:rPr>
        <w:t>”由此</w:t>
      </w:r>
      <w:r>
        <w:rPr>
          <w:color w:val="000000"/>
          <w:spacing w:val="0"/>
          <w:w w:val="100"/>
          <w:position w:val="0"/>
        </w:rPr>
        <w:t>无法通过流通来变价,这与担保财产的性质完全不符,这一特质决定了 预购商品房抵押预告登记与优先受偿权绝缘，即便预购商品房贷款抵押借助了预告登记的 公示，也不能改变</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”没有</w:t>
      </w:r>
      <w:r>
        <w:rPr>
          <w:color w:val="000000"/>
          <w:spacing w:val="0"/>
          <w:w w:val="100"/>
          <w:position w:val="0"/>
        </w:rPr>
        <w:t>流通性的特质，债权人因此没有优先受偿权。</w:t>
      </w:r>
    </w:p>
    <w:p w14:paraId="6A8ED28E">
      <w:pPr>
        <w:pStyle w:val="17"/>
        <w:keepNext w:val="0"/>
        <w:keepLines w:val="0"/>
        <w:widowControl w:val="0"/>
        <w:shd w:val="clear" w:color="auto" w:fill="auto"/>
        <w:bidi w:val="0"/>
        <w:spacing w:before="0" w:after="140" w:line="344" w:lineRule="exact"/>
        <w:ind w:left="0" w:right="0" w:firstLine="420"/>
        <w:jc w:val="both"/>
      </w:pPr>
      <w:r>
        <w:rPr>
          <w:color w:val="000000"/>
          <w:spacing w:val="0"/>
          <w:w w:val="100"/>
          <w:position w:val="0"/>
        </w:rPr>
        <w:t>从商品房预售的担保架构来看，银行等贷款债权人为了保障债权，除了要求预购人提 供预购商品房贷款抵押外,通常还要求房地产开发企业在预购人取得房屋所有权并以该房 屋为银行办理抵押权登记之前，提供阶段性连带责任保证，本案案情也体现了这一点。若 预购商品房抵押预告登记如同抵押登记一样能产生优先受偿权，债权已得到充分保障，还 要由房地产开发企业提供阶段性连带责任保证，除了增加交易成本，别无益处。之所以要 有这样的担保架构,恰恰在于预购商品房抵押预告登记无法现实地为债权人供给优先受偿 权。也正是着眼于此,二审法院才会在否定银行对</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”的</w:t>
      </w:r>
      <w:r>
        <w:rPr>
          <w:color w:val="000000"/>
          <w:spacing w:val="0"/>
          <w:w w:val="100"/>
          <w:position w:val="0"/>
        </w:rPr>
        <w:t>优先受偿权的同时，肯 定房地产开发企业的连带责任保证人地位。</w:t>
      </w:r>
    </w:p>
    <w:p w14:paraId="39ED5E2B">
      <w:pPr>
        <w:pStyle w:val="17"/>
        <w:keepNext w:val="0"/>
        <w:keepLines w:val="0"/>
        <w:widowControl w:val="0"/>
        <w:shd w:val="clear" w:color="auto" w:fill="auto"/>
        <w:bidi w:val="0"/>
        <w:spacing w:before="0" w:after="0" w:line="377" w:lineRule="auto"/>
        <w:ind w:left="0" w:right="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.债权人基于预购商品房抵押预告登记有何法律地位</w:t>
      </w:r>
    </w:p>
    <w:p w14:paraId="42B89E17">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一审法院认为这种登记产生抵押权，故债权人就是抵押权人。二审法院则认为债权人 享有的是抵押登记条件成就或约定期限届满时对系争房屋办理抵押权登记的请求权，并可 排他性地对抗他人针对系争房屋的处分，债权人并非抵押权人。两相对比,二审法院的见 解值得赞同，因为预告登记的根本价值是保障债权请求权的实现，使债权人按照约定取得 相应物权，预告登记因此被界定为</w:t>
      </w:r>
      <w:r>
        <w:rPr>
          <w:color w:val="000000"/>
          <w:spacing w:val="0"/>
          <w:w w:val="100"/>
          <w:position w:val="0"/>
          <w:lang w:val="zh-CN" w:eastAsia="zh-CN" w:bidi="zh-CN"/>
        </w:rPr>
        <w:t>“取</w:t>
      </w:r>
      <w:r>
        <w:rPr>
          <w:color w:val="000000"/>
          <w:spacing w:val="0"/>
          <w:w w:val="100"/>
          <w:position w:val="0"/>
        </w:rPr>
        <w:t>得权”，即以取得物权为目的的权利，与此相对应，预 购商品房抵押预告登记有保障债权人取得房屋抵押权的效力。也就是说,尽管债权人没有 优先受偿权，但预购商品房抵押预告登记给予其特殊保障，其地位优于一般债权人。</w:t>
      </w:r>
    </w:p>
    <w:p w14:paraId="662ED81D">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本判决的参考意义</w:t>
      </w:r>
    </w:p>
    <w:p w14:paraId="14CBBE2A">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预告登记在实践中主要适用于商品房预售，这种典型的未来物买卖充满不确定性，为 了降低风险和保障安全，《城市房地产管理法》《国务院办公厅转发建设部等部门关于做好 住房价格意见的通知》等相关规范以及住房城乡建设部从不同角度、采用不同途径进行管 制,如剥夺</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”的流</w:t>
      </w:r>
      <w:r>
        <w:rPr>
          <w:color w:val="000000"/>
          <w:spacing w:val="0"/>
          <w:w w:val="100"/>
          <w:position w:val="0"/>
        </w:rPr>
        <w:t>通性等，这些管制机制是限定预购商品房抵押预告登记法律 效力的重要因素。在此限定下，正如二审法院判决指出的，如果预购人不能按期还款，银行 等贷款债权人无法凭借预购商品房抵押预告登记来主张优先受偿权,但将来发生抵押权的 请求权具有排他效力。此后的最高人民法院</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民申字第</w:t>
      </w:r>
      <w:r>
        <w:rPr>
          <w:rFonts w:ascii="Times New Roman" w:hAnsi="Times New Roman" w:eastAsia="Times New Roman" w:cs="Times New Roman"/>
          <w:color w:val="000000"/>
          <w:spacing w:val="0"/>
          <w:w w:val="100"/>
          <w:position w:val="0"/>
          <w:sz w:val="19"/>
          <w:szCs w:val="19"/>
        </w:rPr>
        <w:t>766</w:t>
      </w:r>
      <w:r>
        <w:rPr>
          <w:color w:val="000000"/>
          <w:spacing w:val="0"/>
          <w:w w:val="100"/>
          <w:position w:val="0"/>
        </w:rPr>
        <w:t>号民事裁定书、浙江省高 级人民法院</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浙民申字第</w:t>
      </w:r>
      <w:r>
        <w:rPr>
          <w:rFonts w:ascii="Times New Roman" w:hAnsi="Times New Roman" w:eastAsia="Times New Roman" w:cs="Times New Roman"/>
          <w:color w:val="000000"/>
          <w:spacing w:val="0"/>
          <w:w w:val="100"/>
          <w:position w:val="0"/>
          <w:sz w:val="19"/>
          <w:szCs w:val="19"/>
        </w:rPr>
        <w:t>809</w:t>
      </w:r>
      <w:r>
        <w:rPr>
          <w:color w:val="000000"/>
          <w:spacing w:val="0"/>
          <w:w w:val="100"/>
          <w:position w:val="0"/>
        </w:rPr>
        <w:t>号民事裁定书等也体现了相同立场。</w:t>
      </w:r>
    </w:p>
    <w:p w14:paraId="63D085CB">
      <w:pPr>
        <w:pStyle w:val="17"/>
        <w:keepNext w:val="0"/>
        <w:keepLines w:val="0"/>
        <w:widowControl w:val="0"/>
        <w:shd w:val="clear" w:color="auto" w:fill="auto"/>
        <w:bidi w:val="0"/>
        <w:spacing w:before="0" w:after="14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本案延伸的问题</w:t>
      </w:r>
    </w:p>
    <w:p w14:paraId="2C30C168">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如何确保债权人取得房屋抵押权</w:t>
      </w:r>
    </w:p>
    <w:p w14:paraId="6FC48D94">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二审法院指出，预购商品房抵押预告登记不能使债权人有优先受偿权，但能使其取得 房屋抵押权，如何确保该效力的实现,显然并非法院判决的任务。要完满回答该问题，应立 足于我国实践，结合预告登记的法理进行分析,结论是对预购商品房抵押预告登记的内容 含量进行双重扩张，一是标的物从办理时的</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”扩张</w:t>
      </w:r>
      <w:r>
        <w:rPr>
          <w:color w:val="000000"/>
          <w:spacing w:val="0"/>
          <w:w w:val="100"/>
          <w:position w:val="0"/>
        </w:rPr>
        <w:t>到以后的现房，二是相对人 从预购人扩张到房地产开发企业，这种张扩架构能确保债权人如愿取得抵押权。</w:t>
      </w:r>
    </w:p>
    <w:p w14:paraId="7D7D9C3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首先，预购商品房抵押预告登记的标的物应包括预购人取得的现房，预购人处分现房 的行为因此受到影响。之所以如此,是因为</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”不</w:t>
      </w:r>
      <w:r>
        <w:rPr>
          <w:color w:val="000000"/>
          <w:spacing w:val="0"/>
          <w:w w:val="100"/>
          <w:position w:val="0"/>
        </w:rPr>
        <w:t>能流通，预购人无法处分</w:t>
      </w:r>
      <w:r>
        <w:rPr>
          <w:color w:val="000000"/>
          <w:spacing w:val="0"/>
          <w:w w:val="100"/>
          <w:position w:val="0"/>
          <w:lang w:val="zh-CN" w:eastAsia="zh-CN" w:bidi="zh-CN"/>
        </w:rPr>
        <w:t xml:space="preserve">“预购 </w:t>
      </w:r>
      <w:r>
        <w:rPr>
          <w:color w:val="000000"/>
          <w:spacing w:val="0"/>
          <w:w w:val="100"/>
          <w:position w:val="0"/>
        </w:rPr>
        <w:t>商品房</w:t>
      </w:r>
      <w:r>
        <w:rPr>
          <w:color w:val="000000"/>
          <w:spacing w:val="0"/>
          <w:w w:val="100"/>
          <w:position w:val="0"/>
          <w:lang w:val="zh-CN" w:eastAsia="zh-CN" w:bidi="zh-CN"/>
        </w:rPr>
        <w:t>”，只</w:t>
      </w:r>
      <w:r>
        <w:rPr>
          <w:color w:val="000000"/>
          <w:spacing w:val="0"/>
          <w:w w:val="100"/>
          <w:position w:val="0"/>
        </w:rPr>
        <w:t>有把预购人取得的现房也归为预购商品房抵押预告登记的标的物，该登记才能 有效保障债权人取得房屋抵押权。由于</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”不</w:t>
      </w:r>
      <w:r>
        <w:rPr>
          <w:color w:val="000000"/>
          <w:spacing w:val="0"/>
          <w:w w:val="100"/>
          <w:position w:val="0"/>
        </w:rPr>
        <w:t>能承载抵押权，预购商品房抵押预 告登记的功能不是要保障债权人取得</w:t>
      </w:r>
      <w:r>
        <w:rPr>
          <w:color w:val="000000"/>
          <w:spacing w:val="0"/>
          <w:w w:val="100"/>
          <w:position w:val="0"/>
          <w:lang w:val="zh-CN" w:eastAsia="zh-CN" w:bidi="zh-CN"/>
        </w:rPr>
        <w:t>“预购</w:t>
      </w:r>
      <w:r>
        <w:rPr>
          <w:color w:val="000000"/>
          <w:spacing w:val="0"/>
          <w:w w:val="100"/>
          <w:position w:val="0"/>
        </w:rPr>
        <w:t>商品房抵押权</w:t>
      </w:r>
      <w:r>
        <w:rPr>
          <w:color w:val="000000"/>
          <w:spacing w:val="0"/>
          <w:w w:val="100"/>
          <w:position w:val="0"/>
          <w:lang w:val="zh-CN" w:eastAsia="zh-CN" w:bidi="zh-CN"/>
        </w:rPr>
        <w:t>”，而</w:t>
      </w:r>
      <w:r>
        <w:rPr>
          <w:color w:val="000000"/>
          <w:spacing w:val="0"/>
          <w:w w:val="100"/>
          <w:position w:val="0"/>
        </w:rPr>
        <w:t>是取得实在的抵押权。在该 抵押权的抵押人仍为预购人的前提下，这种抵押权的标的物只能是预购人取得所有权的现 房。在此意义上，预购商品房抵押预告登记是一种把时间要素考虑进来的弹性构造，其标 的物除了</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”外</w:t>
      </w:r>
      <w:r>
        <w:rPr>
          <w:color w:val="000000"/>
          <w:spacing w:val="0"/>
          <w:w w:val="100"/>
          <w:position w:val="0"/>
        </w:rPr>
        <w:t>，还包括建成后由预购人取得的现房。换言之，预购商品房抵押 预告登记的直接作用是把预购人取得的现房扩容为标的物，从而实际上转化为现房抵押预 告登记。</w:t>
      </w:r>
    </w:p>
    <w:p w14:paraId="60EEACE6">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其次,预购商品房抵押预告登记指向的相对人包括房地产开发企业，会影响它处分现 房行为的效力。预告登记中的权利人和义务人处于债的关系之中，受此影响，预告登记只 影响义务人的处分行为，由此推论，预购商品房抵押预告登记似乎只影响预购人处分现房 的行为。不过，在预购人取得现房所有权之前,房地产开发企业也可能对在建商品房实施 处分行为，但由于商品房预售必须网签备案，同一套预售的商品房只能办理一次网签备案, 只能办理一次抵押预告登记，房地产开发企业不可能再把已办理抵押预告登记的在建商品 房出卖给他人。然而,房地产开发企业对竣工验收的商品房取得所有权，在办理所有权首 次登记后，按约定把现房转移登记给预购人，同时注销预售商品房预告登记，在注销前，预 购人仍是预售商品房预告登记的权利人，似乎只要其同意，房地产开发企业就能把现房转 让给他人，预抵押登记的目的将因此落空。为了防止这种结果出现,必须使预购商品房抵 押预告登记能限制房地产开发企业的处分行为，而这一点能行得通，因为在商品房预售交 易中，预购人既是预售商品房预告登记的权利人,又是预购商品房抵押预告登记的义务人, 作为义务人的预购人并没有相应的处分权。具体来说,预购商品房抵押预告登记的标的物 包括由预购人取得的现房，未经债权人同意,预购人不能处分现房，即现房的最终处分权是 由债权人控制的，这样一来，预购人自行或授权房地产开发企业转让房屋所有权均属无权 处分。</w:t>
      </w:r>
    </w:p>
    <w:p w14:paraId="2E4A9D30">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预购商品房抵押预告登记有无其他效力</w:t>
      </w:r>
    </w:p>
    <w:p w14:paraId="0A94D50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我国民法学理普遍认为预告登记有债权保障、顺位保证和破产保护的效力，本案的预 购商品房抵押预告登记只涉及债权保障，未涉及其他效力。预购商品房抵押预告登记有无 其他法律效力，不能想当然地肯定或否定，而是应围绕商品房预售及预购商品房贷款抵押 的运作机制，结合预告登记的实证规范和实践操作，予以具体分析。</w:t>
      </w:r>
    </w:p>
    <w:p w14:paraId="7CAE48E0">
      <w:pPr>
        <w:pStyle w:val="17"/>
        <w:keepNext w:val="0"/>
        <w:keepLines w:val="0"/>
        <w:widowControl w:val="0"/>
        <w:shd w:val="clear" w:color="auto" w:fill="auto"/>
        <w:bidi w:val="0"/>
        <w:spacing w:before="0" w:after="60" w:line="342" w:lineRule="exact"/>
        <w:ind w:left="0" w:right="0" w:firstLine="420"/>
        <w:jc w:val="both"/>
        <w:sectPr>
          <w:headerReference r:id="rId191" w:type="default"/>
          <w:headerReference r:id="rId192" w:type="even"/>
          <w:footnotePr>
            <w:numFmt w:val="chicago"/>
          </w:footnotePr>
          <w:pgSz w:w="10099" w:h="14782"/>
          <w:pgMar w:top="1282" w:right="1038" w:bottom="1136" w:left="974" w:header="0" w:footer="3" w:gutter="0"/>
          <w:pgNumType w:start="142"/>
          <w:cols w:space="720" w:num="1"/>
          <w:rtlGutter w:val="0"/>
          <w:docGrid w:linePitch="360" w:charSpace="0"/>
        </w:sectPr>
      </w:pPr>
      <w:r>
        <w:rPr>
          <w:color w:val="000000"/>
          <w:spacing w:val="0"/>
          <w:w w:val="100"/>
          <w:position w:val="0"/>
        </w:rPr>
        <w:t>以下以保全顺位效力为例简要展开说明。预购人在取得现房前，虽然有“预购商品 房</w:t>
      </w:r>
      <w:r>
        <w:rPr>
          <w:color w:val="000000"/>
          <w:spacing w:val="0"/>
          <w:w w:val="100"/>
          <w:position w:val="0"/>
          <w:lang w:val="zh-CN" w:eastAsia="zh-CN" w:bidi="zh-CN"/>
        </w:rPr>
        <w:t>”，但</w:t>
      </w:r>
      <w:r>
        <w:rPr>
          <w:color w:val="000000"/>
          <w:spacing w:val="0"/>
          <w:w w:val="100"/>
          <w:position w:val="0"/>
        </w:rPr>
        <w:t>它不能流通，不能承载抵押权。而且，预购商品房抵押预告登记被严格限定在商品 房预售领域,与预售商品房预告登记并存，而针对同一预售的商品房，同一预购人只能有唯 一的预售商品房预告登记，故在预购商品房抵押预告登记后，预购人不能再把</w:t>
      </w:r>
      <w:r>
        <w:rPr>
          <w:color w:val="000000"/>
          <w:spacing w:val="0"/>
          <w:w w:val="100"/>
          <w:position w:val="0"/>
          <w:lang w:val="zh-CN" w:eastAsia="zh-CN" w:bidi="zh-CN"/>
        </w:rPr>
        <w:t>“预</w:t>
      </w:r>
      <w:r>
        <w:rPr>
          <w:color w:val="000000"/>
          <w:spacing w:val="0"/>
          <w:w w:val="100"/>
          <w:position w:val="0"/>
        </w:rPr>
        <w:t>购商品 房</w:t>
      </w:r>
      <w:r>
        <w:rPr>
          <w:color w:val="000000"/>
          <w:spacing w:val="0"/>
          <w:w w:val="100"/>
          <w:position w:val="0"/>
          <w:lang w:val="zh-CN" w:eastAsia="zh-CN" w:bidi="zh-CN"/>
        </w:rPr>
        <w:t>”作为</w:t>
      </w:r>
      <w:r>
        <w:rPr>
          <w:color w:val="000000"/>
          <w:spacing w:val="0"/>
          <w:w w:val="100"/>
          <w:position w:val="0"/>
        </w:rPr>
        <w:t>其他预抵押登记的标的物。概括而言,因为预购人对</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”没</w:t>
      </w:r>
      <w:r>
        <w:rPr>
          <w:color w:val="000000"/>
          <w:spacing w:val="0"/>
          <w:w w:val="100"/>
          <w:position w:val="0"/>
        </w:rPr>
        <w:t xml:space="preserve">有处分自由， </w:t>
      </w:r>
      <w:r>
        <w:rPr>
          <w:color w:val="000000"/>
          <w:spacing w:val="0"/>
          <w:w w:val="100"/>
          <w:position w:val="0"/>
          <w:lang w:val="zh-CN" w:eastAsia="zh-CN" w:bidi="zh-CN"/>
        </w:rPr>
        <w:t>“预购</w:t>
      </w:r>
      <w:r>
        <w:rPr>
          <w:color w:val="000000"/>
          <w:spacing w:val="0"/>
          <w:w w:val="100"/>
          <w:position w:val="0"/>
        </w:rPr>
        <w:t>商品房</w:t>
      </w:r>
      <w:r>
        <w:rPr>
          <w:color w:val="000000"/>
          <w:spacing w:val="0"/>
          <w:w w:val="100"/>
          <w:position w:val="0"/>
          <w:lang w:val="zh-CN" w:eastAsia="zh-CN" w:bidi="zh-CN"/>
        </w:rPr>
        <w:t>”在</w:t>
      </w:r>
      <w:r>
        <w:rPr>
          <w:color w:val="000000"/>
          <w:spacing w:val="0"/>
          <w:w w:val="100"/>
          <w:position w:val="0"/>
        </w:rPr>
        <w:t>成为预购商品房抵押预告登记的标的物后,就不可能再成为其他抵押权或 其他预购商品房抵押预告登记的标的物，保全顺位的效力因此没有实效。而在预购人取得 现房后，该房屋属于预购商品房抵押预告登记的标的物，故未经债权人同意，预购人无法通 过登记以该房为他人设立抵押权。在现实中，债权人同意预购人以现房为他人提供抵押的 可能性几近于无，预购商品房抵押预告登记因此不会与现房抵押权重叠，保全顺位的效力 也没有实效。</w:t>
      </w:r>
    </w:p>
    <w:p w14:paraId="356F3335">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在商品房竣工验收前，可能有在建建筑物抵押权，也可能有预购商品房抵押预告登记, 由于预售的商品房属于在建建筑物的部分，故在建建筑物抵押权和预抵押登记应有重叠。 但这是理论设想,实际不会如此。首先，在在建建筑物抵押权设立后进行商品房预售的，抵 押权人的同意是商品房预售得以顺利推进的要件，而抵押权人的同意往往产生放弃抵押权 的效果，故而只要能办理预购商品房抵押预告登记，就意味着预售的商品房不属于在建建 筑物抵押权的标的物。其次，在预购商品房抵押预告登记后，未经债权人同意，房地产开发 企业不能设立在建建筑物抵押权。既然如此，预购商品房抵押预告登记有无保全顺位的效 力根本就不重要。在房地产开发企业取得商品房所有权并办理登记后，按约定把所有权转 让给预购人前，该房是预购商品房抵押预告登记的标的物，未经债权人同意,房地产开发企 业不能抵押该房屋,保全顺位的效力在此也没有实效。</w:t>
      </w:r>
    </w:p>
    <w:p w14:paraId="525A2AD8">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由上可知，因为预购人和房地产开发企业没有足够的处分自由，预购商品房抵押预告 登记与其他抵押权不能在同一标的物上重叠，保全顺位的效力由此没有实效。</w:t>
      </w:r>
    </w:p>
    <w:p w14:paraId="5AA13555">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不过，预购商品房抵押预告登记与预查封登记、查封登记之间会存在先后关系，比如， 在预购商品房抵押预告登记后，预售的商品房能被预查封登记,根据顺位规范，后顺位不能 影响先顺位，那么，预购人在预查封期间取得现房的，应按照预购商品房抵押预告登记的指 向，为债权人办理抵押权登记，从而排斥预查封剥夺处分权的效力：</w:t>
      </w:r>
    </w:p>
    <w:p w14:paraId="0A225510">
      <w:pPr>
        <w:pStyle w:val="11"/>
        <w:keepNext w:val="0"/>
        <w:keepLines w:val="0"/>
        <w:widowControl w:val="0"/>
        <w:shd w:val="clear" w:color="auto" w:fill="auto"/>
        <w:bidi w:val="0"/>
        <w:spacing w:before="0" w:after="60" w:line="341" w:lineRule="exact"/>
        <w:ind w:left="0" w:right="0" w:firstLine="0"/>
        <w:jc w:val="both"/>
      </w:pPr>
      <w:r>
        <w:rPr>
          <w:color w:val="000000"/>
          <w:spacing w:val="0"/>
          <w:w w:val="100"/>
          <w:position w:val="0"/>
        </w:rPr>
        <w:t>回参考文献</w:t>
      </w:r>
    </w:p>
    <w:p w14:paraId="5C8FC241">
      <w:pPr>
        <w:pStyle w:val="17"/>
        <w:keepNext w:val="0"/>
        <w:keepLines w:val="0"/>
        <w:widowControl w:val="0"/>
        <w:shd w:val="clear" w:color="auto" w:fill="auto"/>
        <w:bidi w:val="0"/>
        <w:spacing w:before="0" w:after="100" w:line="317" w:lineRule="exact"/>
        <w:ind w:left="0" w:right="0" w:firstLine="0"/>
        <w:jc w:val="left"/>
      </w:pPr>
      <w:r>
        <w:rPr>
          <w:color w:val="000000"/>
          <w:spacing w:val="0"/>
          <w:w w:val="100"/>
          <w:position w:val="0"/>
        </w:rPr>
        <w:t>王利明：《物权法研究》（上卷）（第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 孙宪忠:《中国物权法总论》（第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w:t>
      </w:r>
    </w:p>
    <w:p w14:paraId="287A218B">
      <w:pPr>
        <w:pStyle w:val="25"/>
        <w:keepNext w:val="0"/>
        <w:keepLines w:val="0"/>
        <w:widowControl w:val="0"/>
        <w:shd w:val="clear" w:color="auto" w:fill="auto"/>
        <w:bidi w:val="0"/>
        <w:spacing w:before="0" w:after="100" w:line="389" w:lineRule="auto"/>
        <w:ind w:left="0" w:right="0" w:firstLine="0"/>
        <w:jc w:val="both"/>
        <w:sectPr>
          <w:headerReference r:id="rId193" w:type="default"/>
          <w:headerReference r:id="rId194" w:type="even"/>
          <w:footnotePr>
            <w:numFmt w:val="chicago"/>
          </w:footnotePr>
          <w:pgSz w:w="10099" w:h="14782"/>
          <w:pgMar w:top="1282" w:right="1038" w:bottom="1136" w:left="974" w:header="0" w:footer="708" w:gutter="0"/>
          <w:pgNumType w:start="161"/>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Baur/Sttiirner, Sachenrecht, 18. Aufl., Munchen, 20099.</w:t>
      </w:r>
    </w:p>
    <w:p w14:paraId="578CE0C3">
      <w:pPr>
        <w:widowControl w:val="0"/>
        <w:spacing w:line="179" w:lineRule="exact"/>
        <w:rPr>
          <w:sz w:val="14"/>
          <w:szCs w:val="14"/>
        </w:rPr>
      </w:pPr>
    </w:p>
    <w:p w14:paraId="71BEA1D4">
      <w:pPr>
        <w:widowControl w:val="0"/>
        <w:spacing w:line="1" w:lineRule="exact"/>
        <w:sectPr>
          <w:headerReference r:id="rId197" w:type="first"/>
          <w:headerReference r:id="rId195" w:type="default"/>
          <w:headerReference r:id="rId196" w:type="even"/>
          <w:footnotePr>
            <w:numFmt w:val="chicago"/>
          </w:footnotePr>
          <w:pgSz w:w="10099" w:h="14782"/>
          <w:pgMar w:top="1292" w:right="1024" w:bottom="1104" w:left="1076" w:header="0" w:footer="3" w:gutter="0"/>
          <w:cols w:space="720" w:num="1"/>
          <w:titlePg/>
          <w:rtlGutter w:val="0"/>
          <w:docGrid w:linePitch="360" w:charSpace="0"/>
        </w:sectPr>
      </w:pPr>
    </w:p>
    <w:p w14:paraId="7C94B95D">
      <w:pPr>
        <w:widowControl w:val="0"/>
        <w:spacing w:line="1" w:lineRule="exact"/>
      </w:pPr>
      <w:r>
        <mc:AlternateContent>
          <mc:Choice Requires="wps">
            <w:drawing>
              <wp:anchor distT="0" distB="15240" distL="114300" distR="3887470" simplePos="0" relativeHeight="251660288" behindDoc="0" locked="0" layoutInCell="1" allowOverlap="1">
                <wp:simplePos x="0" y="0"/>
                <wp:positionH relativeFrom="page">
                  <wp:posOffset>746760</wp:posOffset>
                </wp:positionH>
                <wp:positionV relativeFrom="paragraph">
                  <wp:posOffset>12700</wp:posOffset>
                </wp:positionV>
                <wp:extent cx="449580" cy="304800"/>
                <wp:effectExtent l="0" t="0" r="0" b="0"/>
                <wp:wrapTopAndBottom/>
                <wp:docPr id="441" name="Shape 441"/>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11E3A80B">
                            <w:pPr>
                              <w:pStyle w:val="27"/>
                              <w:keepNext/>
                              <w:keepLines/>
                              <w:widowControl w:val="0"/>
                              <w:shd w:val="clear" w:color="auto" w:fill="auto"/>
                              <w:bidi w:val="0"/>
                              <w:spacing w:before="0" w:after="0" w:line="240" w:lineRule="auto"/>
                              <w:ind w:left="0" w:right="0" w:firstLine="0"/>
                              <w:jc w:val="both"/>
                            </w:pPr>
                            <w:bookmarkStart w:id="336" w:name="bookmark188"/>
                            <w:bookmarkStart w:id="337" w:name="bookmark186"/>
                            <w:bookmarkStart w:id="338" w:name="bookmark187"/>
                            <w:r>
                              <w:rPr>
                                <w:rFonts w:ascii="Times New Roman" w:hAnsi="Times New Roman" w:eastAsia="Times New Roman" w:cs="Times New Roman"/>
                                <w:color w:val="000000"/>
                                <w:spacing w:val="0"/>
                                <w:w w:val="100"/>
                                <w:position w:val="0"/>
                              </w:rPr>
                              <w:t>030</w:t>
                            </w:r>
                            <w:bookmarkEnd w:id="336"/>
                            <w:bookmarkEnd w:id="337"/>
                            <w:bookmarkEnd w:id="338"/>
                          </w:p>
                        </w:txbxContent>
                      </wps:txbx>
                      <wps:bodyPr wrap="none" lIns="0" tIns="0" rIns="0" bIns="0">
                        <a:noAutofit/>
                      </wps:bodyPr>
                    </wps:wsp>
                  </a:graphicData>
                </a:graphic>
              </wp:anchor>
            </w:drawing>
          </mc:Choice>
          <mc:Fallback>
            <w:pict>
              <v:shape id="Shape 441" o:spid="_x0000_s1026" o:spt="202" type="#_x0000_t202" style="position:absolute;left:0pt;margin-left:58.8pt;margin-top:1pt;height:24pt;width:35.4pt;mso-position-horizontal-relative:page;mso-wrap-distance-bottom:1.2pt;mso-wrap-distance-top:0pt;mso-wrap-style:none;z-index:251660288;mso-width-relative:page;mso-height-relative:page;" filled="f" stroked="f" coordsize="21600,21600" o:gfxdata="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pLba9QAAAAI&#10;AQAADwAAAAAAAAABACAAAAAiAAAAZHJzL2Rvd25yZXYueG1sUEsBAhQAFAAAAAgAh07iQMV7H8qu&#10;AQAAcwMAAA4AAAAAAAAAAQAgAAAAIwEAAGRycy9lMm9Eb2MueG1sUEsFBgAAAAAGAAYAWQEAAEMF&#10;AAAAAA==&#10;">
                <v:fill on="f" focussize="0,0"/>
                <v:stroke on="f"/>
                <v:imagedata o:title=""/>
                <o:lock v:ext="edit" aspectratio="f"/>
                <v:textbox inset="0mm,0mm,0mm,0mm">
                  <w:txbxContent>
                    <w:p w14:paraId="11E3A80B">
                      <w:pPr>
                        <w:pStyle w:val="27"/>
                        <w:keepNext/>
                        <w:keepLines/>
                        <w:widowControl w:val="0"/>
                        <w:shd w:val="clear" w:color="auto" w:fill="auto"/>
                        <w:bidi w:val="0"/>
                        <w:spacing w:before="0" w:after="0" w:line="240" w:lineRule="auto"/>
                        <w:ind w:left="0" w:right="0" w:firstLine="0"/>
                        <w:jc w:val="both"/>
                      </w:pPr>
                      <w:bookmarkStart w:id="336" w:name="bookmark188"/>
                      <w:bookmarkStart w:id="337" w:name="bookmark186"/>
                      <w:bookmarkStart w:id="338" w:name="bookmark187"/>
                      <w:r>
                        <w:rPr>
                          <w:rFonts w:ascii="Times New Roman" w:hAnsi="Times New Roman" w:eastAsia="Times New Roman" w:cs="Times New Roman"/>
                          <w:color w:val="000000"/>
                          <w:spacing w:val="0"/>
                          <w:w w:val="100"/>
                          <w:position w:val="0"/>
                        </w:rPr>
                        <w:t>030</w:t>
                      </w:r>
                      <w:bookmarkEnd w:id="336"/>
                      <w:bookmarkEnd w:id="337"/>
                      <w:bookmarkEnd w:id="338"/>
                    </w:p>
                  </w:txbxContent>
                </v:textbox>
                <w10:wrap type="topAndBottom"/>
              </v:shape>
            </w:pict>
          </mc:Fallback>
        </mc:AlternateContent>
      </w:r>
      <w:r>
        <mc:AlternateContent>
          <mc:Choice Requires="wps">
            <w:drawing>
              <wp:anchor distT="79375" distB="0" distL="690245" distR="114300" simplePos="0" relativeHeight="251660288" behindDoc="0" locked="0" layoutInCell="1" allowOverlap="1">
                <wp:simplePos x="0" y="0"/>
                <wp:positionH relativeFrom="page">
                  <wp:posOffset>1322705</wp:posOffset>
                </wp:positionH>
                <wp:positionV relativeFrom="paragraph">
                  <wp:posOffset>92075</wp:posOffset>
                </wp:positionV>
                <wp:extent cx="3646805" cy="240665"/>
                <wp:effectExtent l="0" t="0" r="0" b="0"/>
                <wp:wrapTopAndBottom/>
                <wp:docPr id="443" name="Shape 443"/>
                <wp:cNvGraphicFramePr/>
                <a:graphic xmlns:a="http://schemas.openxmlformats.org/drawingml/2006/main">
                  <a:graphicData uri="http://schemas.microsoft.com/office/word/2010/wordprocessingShape">
                    <wps:wsp>
                      <wps:cNvSpPr txBox="1"/>
                      <wps:spPr>
                        <a:xfrm>
                          <a:off x="0" y="0"/>
                          <a:ext cx="3646805" cy="240665"/>
                        </a:xfrm>
                        <a:prstGeom prst="rect">
                          <a:avLst/>
                        </a:prstGeom>
                        <a:noFill/>
                      </wps:spPr>
                      <wps:txbx>
                        <w:txbxContent>
                          <w:p w14:paraId="4E43C1EB">
                            <w:pPr>
                              <w:pStyle w:val="15"/>
                              <w:keepNext/>
                              <w:keepLines/>
                              <w:widowControl w:val="0"/>
                              <w:shd w:val="clear" w:color="auto" w:fill="auto"/>
                              <w:bidi w:val="0"/>
                              <w:spacing w:before="0" w:after="0" w:line="240" w:lineRule="auto"/>
                              <w:ind w:left="0" w:right="0" w:firstLine="0"/>
                              <w:jc w:val="left"/>
                            </w:pPr>
                            <w:bookmarkStart w:id="339" w:name="bookmark191"/>
                            <w:bookmarkStart w:id="340" w:name="bookmark190"/>
                            <w:bookmarkStart w:id="341" w:name="bookmark189"/>
                            <w:r>
                              <w:rPr>
                                <w:color w:val="000000"/>
                                <w:spacing w:val="0"/>
                                <w:w w:val="100"/>
                                <w:position w:val="0"/>
                              </w:rPr>
                              <w:t>特殊动产（船舶）物权的变动方式与效力机制</w:t>
                            </w:r>
                            <w:bookmarkEnd w:id="339"/>
                            <w:bookmarkEnd w:id="340"/>
                            <w:bookmarkEnd w:id="341"/>
                          </w:p>
                        </w:txbxContent>
                      </wps:txbx>
                      <wps:bodyPr wrap="none" lIns="0" tIns="0" rIns="0" bIns="0">
                        <a:noAutofit/>
                      </wps:bodyPr>
                    </wps:wsp>
                  </a:graphicData>
                </a:graphic>
              </wp:anchor>
            </w:drawing>
          </mc:Choice>
          <mc:Fallback>
            <w:pict>
              <v:shape id="Shape 443" o:spid="_x0000_s1026" o:spt="202" type="#_x0000_t202" style="position:absolute;left:0pt;margin-left:104.15pt;margin-top:7.25pt;height:18.95pt;width:287.15pt;mso-position-horizontal-relative:page;mso-wrap-distance-bottom:0pt;mso-wrap-distance-top:6.25pt;mso-wrap-style:none;z-index:251660288;mso-width-relative:page;mso-height-relative:page;" filled="f" stroked="f" coordsize="21600,21600" o:gfxdata="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DwFJXX&#10;AAAACQEAAA8AAAAAAAAAAQAgAAAAIgAAAGRycy9kb3ducmV2LnhtbFBLAQIUABQAAAAIAIdO4kCx&#10;5zfQrwEAAHQDAAAOAAAAAAAAAAEAIAAAACYBAABkcnMvZTJvRG9jLnhtbFBLBQYAAAAABgAGAFkB&#10;AABHBQAAAAA=&#10;">
                <v:fill on="f" focussize="0,0"/>
                <v:stroke on="f"/>
                <v:imagedata o:title=""/>
                <o:lock v:ext="edit" aspectratio="f"/>
                <v:textbox inset="0mm,0mm,0mm,0mm">
                  <w:txbxContent>
                    <w:p w14:paraId="4E43C1EB">
                      <w:pPr>
                        <w:pStyle w:val="15"/>
                        <w:keepNext/>
                        <w:keepLines/>
                        <w:widowControl w:val="0"/>
                        <w:shd w:val="clear" w:color="auto" w:fill="auto"/>
                        <w:bidi w:val="0"/>
                        <w:spacing w:before="0" w:after="0" w:line="240" w:lineRule="auto"/>
                        <w:ind w:left="0" w:right="0" w:firstLine="0"/>
                        <w:jc w:val="left"/>
                      </w:pPr>
                      <w:bookmarkStart w:id="339" w:name="bookmark191"/>
                      <w:bookmarkStart w:id="340" w:name="bookmark190"/>
                      <w:bookmarkStart w:id="341" w:name="bookmark189"/>
                      <w:r>
                        <w:rPr>
                          <w:color w:val="000000"/>
                          <w:spacing w:val="0"/>
                          <w:w w:val="100"/>
                          <w:position w:val="0"/>
                        </w:rPr>
                        <w:t>特殊动产（船舶）物权的变动方式与效力机制</w:t>
                      </w:r>
                      <w:bookmarkEnd w:id="339"/>
                      <w:bookmarkEnd w:id="340"/>
                      <w:bookmarkEnd w:id="341"/>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5117465</wp:posOffset>
            </wp:positionH>
            <wp:positionV relativeFrom="paragraph">
              <wp:posOffset>216535</wp:posOffset>
            </wp:positionV>
            <wp:extent cx="615950" cy="621665"/>
            <wp:effectExtent l="0" t="0" r="6350" b="635"/>
            <wp:wrapSquare wrapText="left"/>
            <wp:docPr id="445" name="Shape 445"/>
            <wp:cNvGraphicFramePr/>
            <a:graphic xmlns:a="http://schemas.openxmlformats.org/drawingml/2006/main">
              <a:graphicData uri="http://schemas.openxmlformats.org/drawingml/2006/picture">
                <pic:pic xmlns:pic="http://schemas.openxmlformats.org/drawingml/2006/picture">
                  <pic:nvPicPr>
                    <pic:cNvPr id="445" name="Shape 445"/>
                    <pic:cNvPicPr/>
                  </pic:nvPicPr>
                  <pic:blipFill>
                    <a:blip r:embed="rId633"/>
                    <a:stretch>
                      <a:fillRect/>
                    </a:stretch>
                  </pic:blipFill>
                  <pic:spPr>
                    <a:xfrm>
                      <a:off x="0" y="0"/>
                      <a:ext cx="615950" cy="621665"/>
                    </a:xfrm>
                    <a:prstGeom prst="rect">
                      <a:avLst/>
                    </a:prstGeom>
                  </pic:spPr>
                </pic:pic>
              </a:graphicData>
            </a:graphic>
          </wp:anchor>
        </w:drawing>
      </w:r>
    </w:p>
    <w:p w14:paraId="6C80D0AC">
      <w:pPr>
        <w:pStyle w:val="17"/>
        <w:keepNext w:val="0"/>
        <w:keepLines w:val="0"/>
        <w:widowControl w:val="0"/>
        <w:shd w:val="clear" w:color="auto" w:fill="auto"/>
        <w:bidi w:val="0"/>
        <w:spacing w:before="0" w:after="100" w:line="240" w:lineRule="auto"/>
        <w:ind w:left="0" w:right="0" w:firstLine="1000"/>
        <w:jc w:val="both"/>
      </w:pPr>
      <w:r>
        <w:rPr>
          <w:color w:val="000000"/>
          <w:spacing w:val="0"/>
          <w:w w:val="100"/>
          <w:position w:val="0"/>
        </w:rPr>
        <w:t>王卫东等诉王树建船舶权属纠纷案丨最高人民法院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最高</w:t>
      </w:r>
    </w:p>
    <w:p w14:paraId="251A4B10">
      <w:pPr>
        <w:pStyle w:val="17"/>
        <w:keepNext w:val="0"/>
        <w:keepLines w:val="0"/>
        <w:widowControl w:val="0"/>
        <w:shd w:val="clear" w:color="auto" w:fill="auto"/>
        <w:bidi w:val="0"/>
        <w:spacing w:before="0" w:after="420" w:line="240" w:lineRule="auto"/>
        <w:ind w:left="0" w:right="0" w:firstLine="1000"/>
        <w:jc w:val="both"/>
      </w:pPr>
      <w:r>
        <w:rPr>
          <w:color w:val="000000"/>
          <w:spacing w:val="0"/>
          <w:w w:val="100"/>
          <w:position w:val="0"/>
        </w:rPr>
        <w:t>法民申</w:t>
      </w:r>
      <w:r>
        <w:rPr>
          <w:rFonts w:ascii="Times New Roman" w:hAnsi="Times New Roman" w:eastAsia="Times New Roman" w:cs="Times New Roman"/>
          <w:color w:val="000000"/>
          <w:spacing w:val="0"/>
          <w:w w:val="100"/>
          <w:position w:val="0"/>
          <w:sz w:val="19"/>
          <w:szCs w:val="19"/>
        </w:rPr>
        <w:t>3692</w:t>
      </w:r>
      <w:r>
        <w:rPr>
          <w:color w:val="000000"/>
          <w:spacing w:val="0"/>
          <w:w w:val="100"/>
          <w:position w:val="0"/>
        </w:rPr>
        <w:t>号民事裁定书</w:t>
      </w:r>
    </w:p>
    <w:p w14:paraId="65614CB1">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聂卫锋</w:t>
      </w:r>
      <w:r>
        <w:rPr>
          <w:color w:val="000000"/>
          <w:spacing w:val="0"/>
          <w:w w:val="100"/>
          <w:position w:val="0"/>
        </w:rPr>
        <w:t>西安交通大学法学院</w:t>
      </w:r>
    </w:p>
    <w:p w14:paraId="7C685319">
      <w:pPr>
        <w:pStyle w:val="11"/>
        <w:keepNext w:val="0"/>
        <w:keepLines w:val="0"/>
        <w:widowControl w:val="0"/>
        <w:shd w:val="clear" w:color="auto" w:fill="auto"/>
        <w:bidi w:val="0"/>
        <w:spacing w:before="0" w:after="10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018C3A84">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日，徐宜武与微山县新鑫船舶修造有限公司签订造船合同，船舶于</w:t>
      </w:r>
      <w:r>
        <w:rPr>
          <w:rFonts w:ascii="Times New Roman" w:hAnsi="Times New Roman" w:eastAsia="Times New Roman" w:cs="Times New Roman"/>
          <w:color w:val="000000"/>
          <w:spacing w:val="0"/>
          <w:w w:val="100"/>
          <w:position w:val="0"/>
          <w:sz w:val="19"/>
          <w:szCs w:val="19"/>
        </w:rPr>
        <w:t xml:space="preserve">2010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月建造完毕。徐宜武分别在</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日和</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日向王树建借款</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 元和</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年下半年吕高峰以</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余万元入股,与徐宜武合伙经营该船舶。徐宜 武与王树建在</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日签订《协议书》，约定将讼争船舶所有权转让给王树建抵偿 其所欠王树建的全部债务,该协议生效后，讼争船舶仍由徐宜武经营管理，产生的全部经营 管理费用由徐宜武承担，经营利润按照约定分配。后徐宜武联系远洋公司办理讼争船舶的 挂靠、入籍登记等相关事宜。</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日，徐州市地方海事局签发了讼争船舶的《船舶 国籍证书》《船舶所有权登记证书》，上述证书显示船名为“远洋货</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 xml:space="preserve">、登记号码为 </w:t>
      </w:r>
      <w:r>
        <w:rPr>
          <w:rFonts w:ascii="Times New Roman" w:hAnsi="Times New Roman" w:eastAsia="Times New Roman" w:cs="Times New Roman"/>
          <w:color w:val="000000"/>
          <w:spacing w:val="0"/>
          <w:w w:val="100"/>
          <w:position w:val="0"/>
          <w:sz w:val="19"/>
          <w:szCs w:val="19"/>
        </w:rPr>
        <w:t>270714000068</w:t>
      </w:r>
      <w:r>
        <w:rPr>
          <w:color w:val="000000"/>
          <w:spacing w:val="0"/>
          <w:w w:val="100"/>
          <w:position w:val="0"/>
        </w:rPr>
        <w:t>、船舶所有人为远洋公司、取得所有权日期为</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 和</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月，王树建与远洋公司签订《船舶委托经营管理合同》，约定讼争船舶以远洋公司名义 登记、船舶产权仍属王树建;讼争船舶由王树建使用经营，独立核算。该合同签署日期为 </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w:t>
      </w:r>
    </w:p>
    <w:p w14:paraId="4930AD23">
      <w:pPr>
        <w:pStyle w:val="17"/>
        <w:keepNext w:val="0"/>
        <w:keepLines w:val="0"/>
        <w:widowControl w:val="0"/>
        <w:shd w:val="clear" w:color="auto" w:fill="auto"/>
        <w:bidi w:val="0"/>
        <w:spacing w:before="0" w:after="420" w:line="343" w:lineRule="exact"/>
        <w:ind w:left="0" w:right="0" w:firstLine="420"/>
        <w:jc w:val="both"/>
      </w:pPr>
      <w:r>
        <w:rPr>
          <w:color w:val="000000"/>
          <w:spacing w:val="0"/>
          <w:w w:val="100"/>
          <w:position w:val="0"/>
        </w:rPr>
        <w:t>因徐宜武与刘统辉等另案民间借贷纠纷,微山县法院于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2014） </w:t>
      </w:r>
      <w:r>
        <w:rPr>
          <w:color w:val="000000"/>
          <w:spacing w:val="0"/>
          <w:w w:val="100"/>
          <w:position w:val="0"/>
        </w:rPr>
        <w:t>微民初字第</w:t>
      </w:r>
      <w:r>
        <w:rPr>
          <w:rFonts w:ascii="Times New Roman" w:hAnsi="Times New Roman" w:eastAsia="Times New Roman" w:cs="Times New Roman"/>
          <w:color w:val="000000"/>
          <w:spacing w:val="0"/>
          <w:w w:val="100"/>
          <w:position w:val="0"/>
          <w:sz w:val="19"/>
          <w:szCs w:val="19"/>
        </w:rPr>
        <w:t>166</w:t>
      </w:r>
      <w:r>
        <w:rPr>
          <w:color w:val="000000"/>
          <w:spacing w:val="0"/>
          <w:w w:val="100"/>
          <w:position w:val="0"/>
        </w:rPr>
        <w:t>号民事裁定，查封讼争船舶。</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日和</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日微山县 法院分别作出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微执字第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号执行裁定</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日，微山县法院向徐州市地 方海事局送达上述执行裁定书及协助执行通知书。因徐宜武与王卫东等另案买卖合同纠 纷,微山县法院于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微商初字第</w:t>
      </w:r>
      <w:r>
        <w:rPr>
          <w:rFonts w:ascii="Times New Roman" w:hAnsi="Times New Roman" w:eastAsia="Times New Roman" w:cs="Times New Roman"/>
          <w:color w:val="000000"/>
          <w:spacing w:val="0"/>
          <w:w w:val="100"/>
          <w:position w:val="0"/>
          <w:sz w:val="19"/>
          <w:szCs w:val="19"/>
        </w:rPr>
        <w:t>368</w:t>
      </w:r>
      <w:r>
        <w:rPr>
          <w:color w:val="000000"/>
          <w:spacing w:val="0"/>
          <w:w w:val="100"/>
          <w:position w:val="0"/>
        </w:rPr>
        <w:t>号民事裁定书，查封讼争船 舶。该民事裁定书及协助执行通知书于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日送达徐州市地方海事局,并向远 洋公司邮寄送达。</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日微山县法院向徐州市地方海事局送达</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微执字 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号执行裁定书及协助执行通知书,继续查封讼争船舶至</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日，王卫东强行将讼争船舶在天津市滨海新区塘沽新港三号码头处开离。</w:t>
      </w:r>
    </w:p>
    <w:p w14:paraId="6BD863B5">
      <w:pPr>
        <w:pStyle w:val="35"/>
        <w:keepNext w:val="0"/>
        <w:keepLines w:val="0"/>
        <w:widowControl w:val="0"/>
        <w:shd w:val="clear" w:color="auto" w:fill="auto"/>
        <w:bidi w:val="0"/>
        <w:spacing w:before="0" w:after="0"/>
        <w:ind w:left="0" w:right="0"/>
        <w:jc w:val="both"/>
      </w:pPr>
      <w:r>
        <w:rPr>
          <w:color w:val="000000"/>
          <w:spacing w:val="0"/>
          <w:w w:val="100"/>
          <w:position w:val="0"/>
          <w:lang w:val="en-US" w:eastAsia="en-US" w:bidi="en-US"/>
        </w:rPr>
        <w:t>*</w:t>
      </w:r>
      <w:r>
        <w:rPr>
          <w:color w:val="000000"/>
          <w:spacing w:val="0"/>
          <w:w w:val="100"/>
          <w:position w:val="0"/>
        </w:rPr>
        <w:t>本案系申诉案件，裁定书中对本案案情几无描述,由于申诉裁定，二审判决实际都支持了一审的事实认定，因 此笔者选择一审法院事实认定部分加以引用。本案一审、二审案号分别为天津海事法院</w:t>
      </w: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rPr>
        <w:t>2015）</w:t>
      </w:r>
      <w:r>
        <w:rPr>
          <w:color w:val="000000"/>
          <w:spacing w:val="0"/>
          <w:w w:val="100"/>
          <w:position w:val="0"/>
        </w:rPr>
        <w:t>津海法商初字第</w:t>
      </w:r>
      <w:r>
        <w:rPr>
          <w:rFonts w:ascii="Times New Roman" w:hAnsi="Times New Roman" w:eastAsia="Times New Roman" w:cs="Times New Roman"/>
          <w:b/>
          <w:bCs/>
          <w:color w:val="000000"/>
          <w:spacing w:val="0"/>
          <w:w w:val="100"/>
          <w:position w:val="0"/>
        </w:rPr>
        <w:t xml:space="preserve">395 </w:t>
      </w:r>
      <w:r>
        <w:rPr>
          <w:color w:val="000000"/>
          <w:spacing w:val="0"/>
          <w:w w:val="100"/>
          <w:position w:val="0"/>
        </w:rPr>
        <w:t>号民事判决书和天津市高级人民法院</w:t>
      </w:r>
      <w:r>
        <w:rPr>
          <w:rFonts w:ascii="Times New Roman" w:hAnsi="Times New Roman" w:eastAsia="Times New Roman" w:cs="Times New Roman"/>
          <w:b/>
          <w:bCs/>
          <w:color w:val="000000"/>
          <w:spacing w:val="0"/>
          <w:w w:val="100"/>
          <w:position w:val="0"/>
        </w:rPr>
        <w:t>（2017）</w:t>
      </w:r>
      <w:r>
        <w:rPr>
          <w:color w:val="000000"/>
          <w:spacing w:val="0"/>
          <w:w w:val="100"/>
          <w:position w:val="0"/>
        </w:rPr>
        <w:t>津民终</w:t>
      </w:r>
      <w:r>
        <w:rPr>
          <w:rFonts w:ascii="Times New Roman" w:hAnsi="Times New Roman" w:eastAsia="Times New Roman" w:cs="Times New Roman"/>
          <w:b/>
          <w:bCs/>
          <w:color w:val="000000"/>
          <w:spacing w:val="0"/>
          <w:w w:val="100"/>
          <w:position w:val="0"/>
        </w:rPr>
        <w:t>20</w:t>
      </w:r>
      <w:r>
        <w:rPr>
          <w:color w:val="000000"/>
          <w:spacing w:val="0"/>
          <w:w w:val="100"/>
          <w:position w:val="0"/>
        </w:rPr>
        <w:t>号民事判决书。</w:t>
      </w:r>
    </w:p>
    <w:p w14:paraId="30FD7C7E">
      <w:pPr>
        <w:pStyle w:val="17"/>
        <w:keepNext w:val="0"/>
        <w:keepLines w:val="0"/>
        <w:widowControl w:val="0"/>
        <w:shd w:val="clear" w:color="auto" w:fill="auto"/>
        <w:bidi w:val="0"/>
        <w:spacing w:before="0" w:after="360" w:line="348" w:lineRule="exact"/>
        <w:ind w:left="0" w:right="0" w:firstLine="420"/>
        <w:jc w:val="both"/>
      </w:pPr>
      <w:r>
        <w:rPr>
          <w:color w:val="000000"/>
          <w:spacing w:val="0"/>
          <w:w w:val="100"/>
          <w:position w:val="0"/>
        </w:rPr>
        <w:t>本案争议当事人是王卫东（再审申请人）与王树建（被申请人），一审被告徐宜武、徐州 远洋航运有限公司在裁定书中列明，案由是船舶权属纠纷。</w:t>
      </w:r>
    </w:p>
    <w:p w14:paraId="55783FF6">
      <w:pPr>
        <w:pStyle w:val="11"/>
        <w:keepNext w:val="0"/>
        <w:keepLines w:val="0"/>
        <w:widowControl w:val="0"/>
        <w:shd w:val="clear" w:color="auto" w:fill="auto"/>
        <w:bidi w:val="0"/>
        <w:spacing w:before="0" w:after="60" w:line="345"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1E879CC9">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《海商法》第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条均是针对物权变动而非合同效力的强制性规 定，《物权法》第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条则确立了不动产物权变动与合同效力的区分原则。案涉《协议书》的 性质为以物抵债协议，并不违反法律法规的强制性规定。船舶为特殊动产,未经登记，并不 影响物权变动的效力。案涉《协议书》约定由出让人继续占有经营符合《物权法》第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条的 规定，即《协议书》生效时船舶所有权即发生变动。《协议书》生效于查封之前，不存在规避 查封行为的问题。</w:t>
      </w:r>
    </w:p>
    <w:p w14:paraId="0DE77BE2">
      <w:pPr>
        <w:pStyle w:val="17"/>
        <w:keepNext w:val="0"/>
        <w:keepLines w:val="0"/>
        <w:widowControl w:val="0"/>
        <w:shd w:val="clear" w:color="auto" w:fill="auto"/>
        <w:bidi w:val="0"/>
        <w:spacing w:before="0" w:after="360" w:line="345" w:lineRule="exact"/>
        <w:ind w:left="0" w:right="0" w:firstLine="420"/>
        <w:jc w:val="both"/>
      </w:pPr>
      <w:r>
        <w:rPr>
          <w:color w:val="000000"/>
          <w:spacing w:val="0"/>
          <w:w w:val="100"/>
          <w:position w:val="0"/>
        </w:rPr>
        <w:t>案涉船舶所有权变动虽未办理登记，但再审申请人作为出让人的债权人和强制执行申 请人，对于登记在第三方公司名下的案涉船舶公示信息并没有信赖利益，对案涉船舶亦不 享有抵押权等物权，故不属于《物权法》第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条规定的善意第三人，其基于债权而产生的查 封权利不能对抗所有权人。</w:t>
      </w:r>
    </w:p>
    <w:p w14:paraId="574323E6">
      <w:pPr>
        <w:pStyle w:val="11"/>
        <w:keepNext w:val="0"/>
        <w:keepLines w:val="0"/>
        <w:widowControl w:val="0"/>
        <w:shd w:val="clear" w:color="auto" w:fill="auto"/>
        <w:bidi w:val="0"/>
        <w:spacing w:before="0" w:after="240" w:line="345" w:lineRule="exact"/>
        <w:ind w:left="0" w:right="0" w:firstLine="0"/>
        <w:jc w:val="both"/>
      </w:pPr>
      <w:r>
        <w:rPr>
          <w:color w:val="000000"/>
          <w:spacing w:val="0"/>
          <w:w w:val="100"/>
          <w:position w:val="0"/>
        </w:rPr>
        <w:t>■评析</w:t>
      </w:r>
    </w:p>
    <w:p w14:paraId="249F7E49">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本案在实体法上的争点</w:t>
      </w:r>
    </w:p>
    <w:p w14:paraId="02CE261D">
      <w:pPr>
        <w:pStyle w:val="17"/>
        <w:keepNext w:val="0"/>
        <w:keepLines w:val="0"/>
        <w:widowControl w:val="0"/>
        <w:shd w:val="clear" w:color="auto" w:fill="auto"/>
        <w:bidi w:val="0"/>
        <w:spacing w:before="0" w:after="280" w:line="364" w:lineRule="exact"/>
        <w:ind w:left="0" w:right="0" w:firstLine="420"/>
        <w:jc w:val="both"/>
      </w:pPr>
      <w:r>
        <w:rPr>
          <w:color w:val="000000"/>
          <w:spacing w:val="0"/>
          <w:w w:val="100"/>
          <w:position w:val="0"/>
        </w:rPr>
        <w:t>本案争点可提炼为:船舶转让协议是否必须履行登记手续、船舶所有权变动是否必须 交付。最高人民法院（以下简称最高院）阐释的法律观点包括两个方面，一个指向特殊动产 （船舶）物权的变动方式,另一个指向登记的效力。</w:t>
      </w:r>
    </w:p>
    <w:p w14:paraId="0CD673C4">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特殊动产（船舶）物权的变动方式及其规范属性</w:t>
      </w:r>
    </w:p>
    <w:p w14:paraId="39D0C038">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特殊动产属于动产,无论是《海商法》第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条还是《物权法》第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 xml:space="preserve">225 </w:t>
      </w:r>
      <w:r>
        <w:rPr>
          <w:color w:val="000000"/>
          <w:spacing w:val="0"/>
          <w:w w:val="100"/>
          <w:position w:val="0"/>
        </w:rPr>
        <w:t>条）均只赋予船舶登记对抗善意第三人的效力，并不要求必须履行登记手续才能够发生物 权变动，因此船舶所有权变动原则上就应当依据动产物权变动的交付生效规则。案涉《协 议书》不仅具有以物抵债、变动所有权的目的，其中关于出让人继续占有经营船舶的条款也 具有</w:t>
      </w:r>
      <w:r>
        <w:rPr>
          <w:color w:val="000000"/>
          <w:spacing w:val="0"/>
          <w:w w:val="100"/>
          <w:position w:val="0"/>
          <w:lang w:val="zh-CN" w:eastAsia="zh-CN" w:bidi="zh-CN"/>
        </w:rPr>
        <w:t>“占有</w:t>
      </w:r>
      <w:r>
        <w:rPr>
          <w:color w:val="000000"/>
          <w:spacing w:val="0"/>
          <w:w w:val="100"/>
          <w:position w:val="0"/>
        </w:rPr>
        <w:t>改定”的意思，故而最高院认定当事人达成了船舶所有权变动的合意，并且所有 权自协议生效时转移，在现行法的规定之下，尚属正确。尽管海商法学界有相当多的学者 认为，船舶所有权变动的方式宜采“合意主义</w:t>
      </w:r>
      <w:r>
        <w:rPr>
          <w:color w:val="000000"/>
          <w:spacing w:val="0"/>
          <w:w w:val="100"/>
          <w:position w:val="0"/>
          <w:lang w:val="zh-CN" w:eastAsia="zh-CN" w:bidi="zh-CN"/>
        </w:rPr>
        <w:t>”而非“交</w:t>
      </w:r>
      <w:r>
        <w:rPr>
          <w:color w:val="000000"/>
          <w:spacing w:val="0"/>
          <w:w w:val="100"/>
          <w:position w:val="0"/>
        </w:rPr>
        <w:t>付主义</w:t>
      </w:r>
      <w:r>
        <w:rPr>
          <w:color w:val="000000"/>
          <w:spacing w:val="0"/>
          <w:w w:val="100"/>
          <w:position w:val="0"/>
          <w:lang w:val="zh-CN" w:eastAsia="zh-CN" w:bidi="zh-CN"/>
        </w:rPr>
        <w:t>”（韩</w:t>
      </w:r>
      <w:r>
        <w:rPr>
          <w:color w:val="000000"/>
          <w:spacing w:val="0"/>
          <w:w w:val="100"/>
          <w:position w:val="0"/>
        </w:rPr>
        <w:t>强:《我国船舶物权的变动公 示方法与善意取得》，载《法学》</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 xml:space="preserve">期；唐超:《特殊动产所有权的变动与对抗——〈物权法〉第 </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条及〈买卖合同解释〉第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项评析》，载《北方法学》</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期），但就本案船舶所有权 变动而言，遵照交付生效原则前提下的“占有改定</w:t>
      </w:r>
      <w:r>
        <w:rPr>
          <w:color w:val="000000"/>
          <w:spacing w:val="0"/>
          <w:w w:val="100"/>
          <w:position w:val="0"/>
          <w:lang w:val="zh-CN" w:eastAsia="zh-CN" w:bidi="zh-CN"/>
        </w:rPr>
        <w:t>”解释</w:t>
      </w:r>
      <w:r>
        <w:rPr>
          <w:color w:val="000000"/>
          <w:spacing w:val="0"/>
          <w:w w:val="100"/>
          <w:position w:val="0"/>
        </w:rPr>
        <w:t>路径与</w:t>
      </w:r>
      <w:r>
        <w:rPr>
          <w:color w:val="000000"/>
          <w:spacing w:val="0"/>
          <w:w w:val="100"/>
          <w:position w:val="0"/>
          <w:lang w:val="zh-CN" w:eastAsia="zh-CN" w:bidi="zh-CN"/>
        </w:rPr>
        <w:t>“合</w:t>
      </w:r>
      <w:r>
        <w:rPr>
          <w:color w:val="000000"/>
          <w:spacing w:val="0"/>
          <w:w w:val="100"/>
          <w:position w:val="0"/>
        </w:rPr>
        <w:t>意主义</w:t>
      </w:r>
      <w:r>
        <w:rPr>
          <w:color w:val="000000"/>
          <w:spacing w:val="0"/>
          <w:w w:val="100"/>
          <w:position w:val="0"/>
          <w:lang w:val="zh-CN" w:eastAsia="zh-CN" w:bidi="zh-CN"/>
        </w:rPr>
        <w:t>”解</w:t>
      </w:r>
      <w:r>
        <w:rPr>
          <w:color w:val="000000"/>
          <w:spacing w:val="0"/>
          <w:w w:val="100"/>
          <w:position w:val="0"/>
        </w:rPr>
        <w:t>释路径，只是 解释方法存在差异,结论并无差别。</w:t>
      </w:r>
    </w:p>
    <w:p w14:paraId="3DE3B466">
      <w:pPr>
        <w:pStyle w:val="17"/>
        <w:keepNext w:val="0"/>
        <w:keepLines w:val="0"/>
        <w:widowControl w:val="0"/>
        <w:shd w:val="clear" w:color="auto" w:fill="auto"/>
        <w:bidi w:val="0"/>
        <w:spacing w:before="0" w:after="0" w:line="339" w:lineRule="exact"/>
        <w:ind w:left="0" w:right="0" w:firstLine="420"/>
        <w:jc w:val="both"/>
        <w:sectPr>
          <w:footnotePr>
            <w:numFmt w:val="chicago"/>
          </w:footnotePr>
          <w:type w:val="continuous"/>
          <w:pgSz w:w="10099" w:h="14782"/>
          <w:pgMar w:top="1292" w:right="1024" w:bottom="1104" w:left="1076" w:header="0" w:footer="3" w:gutter="0"/>
          <w:cols w:space="720" w:num="1"/>
          <w:rtlGutter w:val="0"/>
          <w:docGrid w:linePitch="360" w:charSpace="0"/>
        </w:sectPr>
      </w:pPr>
      <w:r>
        <w:rPr>
          <w:color w:val="000000"/>
          <w:spacing w:val="0"/>
          <w:w w:val="100"/>
          <w:position w:val="0"/>
        </w:rPr>
        <w:t>本案中最高院针对船舶所有权变动的法律意见中有疑问的地方在于:其一，关于《海商 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lang w:val="en-US" w:eastAsia="en-US" w:bidi="en-US"/>
        </w:rPr>
        <w:t>224.225</w:t>
      </w:r>
      <w:r>
        <w:rPr>
          <w:color w:val="000000"/>
          <w:spacing w:val="0"/>
          <w:w w:val="100"/>
          <w:position w:val="0"/>
        </w:rPr>
        <w:t xml:space="preserve">条是动产物权变动的强制性规定而非合同效力的强制性 </w:t>
      </w:r>
    </w:p>
    <w:p w14:paraId="2CE23253">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规定的认定，是否绝对正确。其二，《民法典》第</w:t>
      </w:r>
      <w:r>
        <w:rPr>
          <w:rFonts w:ascii="Times New Roman" w:hAnsi="Times New Roman" w:eastAsia="Times New Roman" w:cs="Times New Roman"/>
          <w:color w:val="000000"/>
          <w:spacing w:val="0"/>
          <w:w w:val="100"/>
          <w:position w:val="0"/>
          <w:sz w:val="19"/>
          <w:szCs w:val="19"/>
        </w:rPr>
        <w:t>215</w:t>
      </w:r>
      <w:r>
        <w:rPr>
          <w:color w:val="000000"/>
          <w:spacing w:val="0"/>
          <w:w w:val="100"/>
          <w:position w:val="0"/>
        </w:rPr>
        <w:t>条能否直接用到船舶所有权变动上。 其三，案涉《协议书》究竟仅属于</w:t>
      </w:r>
      <w:r>
        <w:rPr>
          <w:color w:val="000000"/>
          <w:spacing w:val="0"/>
          <w:w w:val="100"/>
          <w:position w:val="0"/>
          <w:lang w:val="zh-CN" w:eastAsia="zh-CN" w:bidi="zh-CN"/>
        </w:rPr>
        <w:t>“债权</w:t>
      </w:r>
      <w:r>
        <w:rPr>
          <w:color w:val="000000"/>
          <w:spacing w:val="0"/>
          <w:w w:val="100"/>
          <w:position w:val="0"/>
        </w:rPr>
        <w:t>合同”，还是亦具有</w:t>
      </w:r>
      <w:r>
        <w:rPr>
          <w:color w:val="000000"/>
          <w:spacing w:val="0"/>
          <w:w w:val="100"/>
          <w:position w:val="0"/>
          <w:lang w:val="zh-CN" w:eastAsia="zh-CN" w:bidi="zh-CN"/>
        </w:rPr>
        <w:t>“物权</w:t>
      </w:r>
      <w:r>
        <w:rPr>
          <w:color w:val="000000"/>
          <w:spacing w:val="0"/>
          <w:w w:val="100"/>
          <w:position w:val="0"/>
        </w:rPr>
        <w:t>变动合意”的意义。</w:t>
      </w:r>
    </w:p>
    <w:p w14:paraId="5EDF905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针对其一,在登记仅作为对抗要件的特殊动产（船舶）领域,考虑到公示性较弱,绝对排 除当事人的意思自治，将其界定为强制性规定，值得商榷（聂卫锋:《动产所有权的交付变动规 则》，载《国家检察官学院学报》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6659C7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针对其二，《民法典》第</w:t>
      </w:r>
      <w:r>
        <w:rPr>
          <w:rFonts w:ascii="Times New Roman" w:hAnsi="Times New Roman" w:eastAsia="Times New Roman" w:cs="Times New Roman"/>
          <w:color w:val="000000"/>
          <w:spacing w:val="0"/>
          <w:w w:val="100"/>
          <w:position w:val="0"/>
          <w:sz w:val="19"/>
          <w:szCs w:val="19"/>
        </w:rPr>
        <w:t>215</w:t>
      </w:r>
      <w:r>
        <w:rPr>
          <w:color w:val="000000"/>
          <w:spacing w:val="0"/>
          <w:w w:val="100"/>
          <w:position w:val="0"/>
        </w:rPr>
        <w:t>条乃是针对不动产物权而言，被最高院直接适用至特殊动 产物权变动，显然属于对于事实层面差异性的忽视，也与现行法区分规范不动产和特殊动 产物权变动的现实不符。</w:t>
      </w:r>
    </w:p>
    <w:p w14:paraId="320FEDA2">
      <w:pPr>
        <w:pStyle w:val="17"/>
        <w:keepNext w:val="0"/>
        <w:keepLines w:val="0"/>
        <w:widowControl w:val="0"/>
        <w:shd w:val="clear" w:color="auto" w:fill="auto"/>
        <w:bidi w:val="0"/>
        <w:spacing w:before="0" w:after="180" w:line="343" w:lineRule="exact"/>
        <w:ind w:left="0" w:right="0" w:firstLine="420"/>
        <w:jc w:val="both"/>
      </w:pPr>
      <w:r>
        <w:rPr>
          <w:color w:val="000000"/>
          <w:spacing w:val="0"/>
          <w:w w:val="100"/>
          <w:position w:val="0"/>
        </w:rPr>
        <w:t>针对其三</w:t>
      </w:r>
      <w:r>
        <w:rPr>
          <w:color w:val="000000"/>
          <w:spacing w:val="0"/>
          <w:w w:val="100"/>
          <w:position w:val="0"/>
          <w:lang w:val="zh-CN" w:eastAsia="zh-CN" w:bidi="zh-CN"/>
        </w:rPr>
        <w:t>，“占</w:t>
      </w:r>
      <w:r>
        <w:rPr>
          <w:color w:val="000000"/>
          <w:spacing w:val="0"/>
          <w:w w:val="100"/>
          <w:position w:val="0"/>
        </w:rPr>
        <w:t>有改定</w:t>
      </w:r>
      <w:r>
        <w:rPr>
          <w:color w:val="000000"/>
          <w:spacing w:val="0"/>
          <w:w w:val="100"/>
          <w:position w:val="0"/>
          <w:lang w:val="zh-CN" w:eastAsia="zh-CN" w:bidi="zh-CN"/>
        </w:rPr>
        <w:t>”约</w:t>
      </w:r>
      <w:r>
        <w:rPr>
          <w:color w:val="000000"/>
          <w:spacing w:val="0"/>
          <w:w w:val="100"/>
          <w:position w:val="0"/>
        </w:rPr>
        <w:t>定使《协议书》发生了物权效力，因此不能因其与物权变动无 关为理由,豁免物权变动强制性规定的审查。当然，前提是对于船舶所有权的变动确实存 在强制性规定。</w:t>
      </w:r>
    </w:p>
    <w:p w14:paraId="2792E5B8">
      <w:pPr>
        <w:pStyle w:val="17"/>
        <w:keepNext w:val="0"/>
        <w:keepLines w:val="0"/>
        <w:widowControl w:val="0"/>
        <w:shd w:val="clear" w:color="auto" w:fill="auto"/>
        <w:bidi w:val="0"/>
        <w:spacing w:before="0" w:after="120" w:line="339"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特殊动产（船舶）登记的效力机制及其射程范围</w:t>
      </w:r>
    </w:p>
    <w:p w14:paraId="46F38A07">
      <w:pPr>
        <w:pStyle w:val="17"/>
        <w:keepNext w:val="0"/>
        <w:keepLines w:val="0"/>
        <w:widowControl w:val="0"/>
        <w:shd w:val="clear" w:color="auto" w:fill="auto"/>
        <w:bidi w:val="0"/>
        <w:spacing w:before="0" w:after="120" w:line="365" w:lineRule="exact"/>
        <w:ind w:left="0" w:right="0" w:firstLine="420"/>
        <w:jc w:val="both"/>
      </w:pPr>
      <w:r>
        <w:rPr>
          <w:color w:val="000000"/>
          <w:spacing w:val="0"/>
          <w:w w:val="100"/>
          <w:position w:val="0"/>
        </w:rPr>
        <w:t>最高院认为王卫东对于案涉船舶登记信息没有信赖利益和其不属于《民法典》第</w:t>
      </w:r>
      <w:r>
        <w:rPr>
          <w:rFonts w:ascii="Times New Roman" w:hAnsi="Times New Roman" w:eastAsia="Times New Roman" w:cs="Times New Roman"/>
          <w:color w:val="000000"/>
          <w:spacing w:val="0"/>
          <w:w w:val="100"/>
          <w:position w:val="0"/>
          <w:sz w:val="19"/>
          <w:szCs w:val="19"/>
        </w:rPr>
        <w:t xml:space="preserve">225 </w:t>
      </w:r>
      <w:r>
        <w:rPr>
          <w:color w:val="000000"/>
          <w:spacing w:val="0"/>
          <w:w w:val="100"/>
          <w:position w:val="0"/>
        </w:rPr>
        <w:t>条规定的善意第三人的法律意见，直接触及登记对抗效力相关的四个核心范畴。</w:t>
      </w:r>
    </w:p>
    <w:p w14:paraId="626769AE">
      <w:pPr>
        <w:pStyle w:val="17"/>
        <w:keepNext w:val="0"/>
        <w:keepLines w:val="0"/>
        <w:widowControl w:val="0"/>
        <w:shd w:val="clear" w:color="auto" w:fill="auto"/>
        <w:bidi w:val="0"/>
        <w:spacing w:before="0" w:after="0" w:line="372" w:lineRule="auto"/>
        <w:ind w:left="0" w:right="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.第三人范围</w:t>
      </w:r>
    </w:p>
    <w:p w14:paraId="5E9286CF">
      <w:pPr>
        <w:pStyle w:val="17"/>
        <w:keepNext w:val="0"/>
        <w:keepLines w:val="0"/>
        <w:widowControl w:val="0"/>
        <w:shd w:val="clear" w:color="auto" w:fill="auto"/>
        <w:bidi w:val="0"/>
        <w:spacing w:before="0" w:after="120" w:line="339" w:lineRule="exact"/>
        <w:ind w:left="0" w:right="0" w:firstLine="420"/>
        <w:jc w:val="both"/>
      </w:pPr>
      <w:r>
        <w:rPr>
          <w:color w:val="000000"/>
          <w:spacing w:val="0"/>
          <w:w w:val="100"/>
          <w:position w:val="0"/>
        </w:rPr>
        <w:t>登记对抗效力之下善意第三人的范围，是一个争议颇大的理论和现实问题。由于特殊 动产登记对抗制度乃是为维护交易安全的需要，即保护特殊动产交易过程中的第三人，因 此关键在于</w:t>
      </w:r>
      <w:r>
        <w:rPr>
          <w:color w:val="000000"/>
          <w:spacing w:val="0"/>
          <w:w w:val="100"/>
          <w:position w:val="0"/>
          <w:lang w:val="zh-CN" w:eastAsia="zh-CN" w:bidi="zh-CN"/>
        </w:rPr>
        <w:t>“交易</w:t>
      </w:r>
      <w:r>
        <w:rPr>
          <w:color w:val="000000"/>
          <w:spacing w:val="0"/>
          <w:w w:val="100"/>
          <w:position w:val="0"/>
        </w:rPr>
        <w:t>第三人</w:t>
      </w:r>
      <w:r>
        <w:rPr>
          <w:color w:val="000000"/>
          <w:spacing w:val="0"/>
          <w:w w:val="100"/>
          <w:position w:val="0"/>
          <w:lang w:val="zh-CN" w:eastAsia="zh-CN" w:bidi="zh-CN"/>
        </w:rPr>
        <w:t>”如</w:t>
      </w:r>
      <w:r>
        <w:rPr>
          <w:color w:val="000000"/>
          <w:spacing w:val="0"/>
          <w:w w:val="100"/>
          <w:position w:val="0"/>
        </w:rPr>
        <w:t>何认定，是仅限于物权法第三人，还是扩充至债法第三人？交 易是否需要与船舶有直接关联关系？最高院在裁判中特别提到，王卫东“基于债权而产生 的查封权利不能对抗所有权人”，对交易关系的认定似乎采纳物权法上第三人之观点。本 案中王卫东确实因交易关系与船舶出让人发生了纠纷,但是其与出让人所从事的交易与案 涉船舶无直接关联关系。此外,王卫东是在船舶查封裁定前提下,擅自开离船舶，意图强行 实现债权,根本不是在交易情景下从事的行为,与保护善意交易的立法目的大相径庭。</w:t>
      </w:r>
    </w:p>
    <w:p w14:paraId="5365034B">
      <w:pPr>
        <w:pStyle w:val="17"/>
        <w:keepNext w:val="0"/>
        <w:keepLines w:val="0"/>
        <w:widowControl w:val="0"/>
        <w:numPr>
          <w:ilvl w:val="0"/>
          <w:numId w:val="13"/>
        </w:numPr>
        <w:shd w:val="clear" w:color="auto" w:fill="auto"/>
        <w:tabs>
          <w:tab w:val="left" w:pos="699"/>
        </w:tabs>
        <w:bidi w:val="0"/>
        <w:spacing w:before="0" w:after="0" w:line="372" w:lineRule="auto"/>
        <w:ind w:left="0" w:right="0" w:firstLine="420"/>
        <w:jc w:val="both"/>
      </w:pPr>
      <w:bookmarkStart w:id="57" w:name="bookmark198"/>
      <w:bookmarkEnd w:id="57"/>
      <w:r>
        <w:rPr>
          <w:color w:val="000000"/>
          <w:spacing w:val="0"/>
          <w:w w:val="100"/>
          <w:position w:val="0"/>
        </w:rPr>
        <w:t>善意认定</w:t>
      </w:r>
    </w:p>
    <w:p w14:paraId="2B7E0D08">
      <w:pPr>
        <w:pStyle w:val="17"/>
        <w:keepNext w:val="0"/>
        <w:keepLines w:val="0"/>
        <w:widowControl w:val="0"/>
        <w:shd w:val="clear" w:color="auto" w:fill="auto"/>
        <w:bidi w:val="0"/>
        <w:spacing w:before="0" w:after="120" w:line="339" w:lineRule="exact"/>
        <w:ind w:left="0" w:right="0" w:firstLine="420"/>
        <w:jc w:val="both"/>
      </w:pPr>
      <w:r>
        <w:rPr>
          <w:color w:val="000000"/>
          <w:spacing w:val="0"/>
          <w:w w:val="100"/>
          <w:position w:val="0"/>
        </w:rPr>
        <w:t>登记对抗规则之下第三人善恶意之认定标准及其区分价值等，因对于公示方式和制度 目的理解的不同而争议颇多，但登记作为判断基点之一，应该值得肯定和坚持。本案中，案 涉船舶上虽有登记信息，但只能得出第三方公司是船舶所有权人的认知，而与其债务人徐 宜武无关，无论如何不能构成所有权归属于徐宜武的认知善意。</w:t>
      </w:r>
    </w:p>
    <w:p w14:paraId="3CA55035">
      <w:pPr>
        <w:pStyle w:val="17"/>
        <w:keepNext w:val="0"/>
        <w:keepLines w:val="0"/>
        <w:widowControl w:val="0"/>
        <w:numPr>
          <w:ilvl w:val="0"/>
          <w:numId w:val="13"/>
        </w:numPr>
        <w:shd w:val="clear" w:color="auto" w:fill="auto"/>
        <w:tabs>
          <w:tab w:val="left" w:pos="699"/>
        </w:tabs>
        <w:bidi w:val="0"/>
        <w:spacing w:before="0" w:after="0" w:line="372" w:lineRule="auto"/>
        <w:ind w:left="0" w:right="0" w:firstLine="420"/>
        <w:jc w:val="both"/>
      </w:pPr>
      <w:bookmarkStart w:id="58" w:name="bookmark199"/>
      <w:bookmarkEnd w:id="58"/>
      <w:r>
        <w:rPr>
          <w:color w:val="000000"/>
          <w:spacing w:val="0"/>
          <w:w w:val="100"/>
          <w:position w:val="0"/>
        </w:rPr>
        <w:t>如何理解“对抗”</w:t>
      </w:r>
    </w:p>
    <w:p w14:paraId="759680F5">
      <w:pPr>
        <w:pStyle w:val="17"/>
        <w:keepNext w:val="0"/>
        <w:keepLines w:val="0"/>
        <w:widowControl w:val="0"/>
        <w:shd w:val="clear" w:color="auto" w:fill="auto"/>
        <w:bidi w:val="0"/>
        <w:spacing w:before="0" w:after="120" w:line="339" w:lineRule="exact"/>
        <w:ind w:left="0" w:right="0" w:firstLine="420"/>
        <w:jc w:val="both"/>
        <w:sectPr>
          <w:headerReference r:id="rId198" w:type="default"/>
          <w:headerReference r:id="rId199" w:type="even"/>
          <w:footnotePr>
            <w:numFmt w:val="chicago"/>
          </w:footnotePr>
          <w:pgSz w:w="10099" w:h="14782"/>
          <w:pgMar w:top="1292" w:right="1024" w:bottom="1104" w:left="1076" w:header="0" w:footer="676" w:gutter="0"/>
          <w:pgNumType w:start="148"/>
          <w:cols w:space="720" w:num="1"/>
          <w:rtlGutter w:val="0"/>
          <w:docGrid w:linePitch="360" w:charSpace="0"/>
        </w:sectPr>
      </w:pPr>
      <w:r>
        <w:rPr>
          <w:color w:val="000000"/>
          <w:spacing w:val="0"/>
          <w:w w:val="100"/>
          <w:position w:val="0"/>
          <w:lang w:val="zh-CN" w:eastAsia="zh-CN" w:bidi="zh-CN"/>
        </w:rPr>
        <w:t>“不得</w:t>
      </w:r>
      <w:r>
        <w:rPr>
          <w:color w:val="000000"/>
          <w:spacing w:val="0"/>
          <w:w w:val="100"/>
          <w:position w:val="0"/>
        </w:rPr>
        <w:t>对抗”意味着，如果第三人之权利与未登记船舶物权人之物权产生冲突,那么未 登记之船舶物权在存续或效力上可能会被吃掉。遵从</w:t>
      </w:r>
      <w:r>
        <w:rPr>
          <w:color w:val="000000"/>
          <w:spacing w:val="0"/>
          <w:w w:val="100"/>
          <w:position w:val="0"/>
          <w:lang w:val="zh-CN" w:eastAsia="zh-CN" w:bidi="zh-CN"/>
        </w:rPr>
        <w:t>“物</w:t>
      </w:r>
      <w:r>
        <w:rPr>
          <w:color w:val="000000"/>
          <w:spacing w:val="0"/>
          <w:w w:val="100"/>
          <w:position w:val="0"/>
        </w:rPr>
        <w:t>权优先于债权</w:t>
      </w:r>
      <w:r>
        <w:rPr>
          <w:color w:val="000000"/>
          <w:spacing w:val="0"/>
          <w:w w:val="100"/>
          <w:position w:val="0"/>
          <w:lang w:val="zh-CN" w:eastAsia="zh-CN" w:bidi="zh-CN"/>
        </w:rPr>
        <w:t>”的基</w:t>
      </w:r>
      <w:r>
        <w:rPr>
          <w:color w:val="000000"/>
          <w:spacing w:val="0"/>
          <w:w w:val="100"/>
          <w:position w:val="0"/>
        </w:rPr>
        <w:t>本法理，能够 吃掉未登记之物权的权利也一定是物权，或者是一些法定优先权。在本案中，由于纠纷当 事人王卫东与徐宜武、王树建等人均不是船舶之登记权利人,诉讼请求方王卫东针对船舶 也未享有任何物权或者法定优先权，甚至也不是信赖未登记船舶物权的交易第三人，因此 其享有的权利不能吃掉未登记船舶物权人之物权。</w:t>
      </w:r>
    </w:p>
    <w:p w14:paraId="50E99905">
      <w:pPr>
        <w:pStyle w:val="17"/>
        <w:keepNext w:val="0"/>
        <w:keepLines w:val="0"/>
        <w:widowControl w:val="0"/>
        <w:numPr>
          <w:ilvl w:val="0"/>
          <w:numId w:val="13"/>
        </w:numPr>
        <w:shd w:val="clear" w:color="auto" w:fill="auto"/>
        <w:tabs>
          <w:tab w:val="left" w:pos="706"/>
        </w:tabs>
        <w:bidi w:val="0"/>
        <w:spacing w:before="0" w:after="0" w:line="344" w:lineRule="exact"/>
        <w:ind w:left="0" w:right="0" w:firstLine="420"/>
        <w:jc w:val="both"/>
      </w:pPr>
      <w:bookmarkStart w:id="59" w:name="bookmark200"/>
      <w:bookmarkEnd w:id="59"/>
      <w:r>
        <w:rPr>
          <w:color w:val="000000"/>
          <w:spacing w:val="0"/>
          <w:w w:val="100"/>
          <w:position w:val="0"/>
          <w:lang w:val="zh-CN" w:eastAsia="zh-CN" w:bidi="zh-CN"/>
        </w:rPr>
        <w:t>“登记”产生</w:t>
      </w:r>
      <w:r>
        <w:rPr>
          <w:color w:val="000000"/>
          <w:spacing w:val="0"/>
          <w:w w:val="100"/>
          <w:position w:val="0"/>
        </w:rPr>
        <w:t>何种信赖利益</w:t>
      </w:r>
    </w:p>
    <w:p w14:paraId="7F9D3754">
      <w:pPr>
        <w:pStyle w:val="17"/>
        <w:keepNext w:val="0"/>
        <w:keepLines w:val="0"/>
        <w:widowControl w:val="0"/>
        <w:shd w:val="clear" w:color="auto" w:fill="auto"/>
        <w:bidi w:val="0"/>
        <w:spacing w:before="0" w:after="160" w:line="344" w:lineRule="exact"/>
        <w:ind w:left="0" w:right="0" w:firstLine="420"/>
        <w:jc w:val="both"/>
      </w:pPr>
      <w:r>
        <w:rPr>
          <w:color w:val="000000"/>
          <w:spacing w:val="0"/>
          <w:w w:val="100"/>
          <w:position w:val="0"/>
        </w:rPr>
        <w:t>既然登记物权与未登记物权在</w:t>
      </w:r>
      <w:r>
        <w:rPr>
          <w:color w:val="000000"/>
          <w:spacing w:val="0"/>
          <w:w w:val="100"/>
          <w:position w:val="0"/>
          <w:lang w:val="zh-CN" w:eastAsia="zh-CN" w:bidi="zh-CN"/>
        </w:rPr>
        <w:t>“登记</w:t>
      </w:r>
      <w:r>
        <w:rPr>
          <w:color w:val="000000"/>
          <w:spacing w:val="0"/>
          <w:w w:val="100"/>
          <w:position w:val="0"/>
        </w:rPr>
        <w:t xml:space="preserve">对抗规则”之下的物权效力强弱已经被法定规则 加以明确，那么对于交易第三人而言，除非某一特殊动产物权一直没有办理过登记,否则应 该信赖或者优先信赖登记物权人(汪志刚：《准不动产登记对抗主义的一般法理》，载《法商研究》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期)。另外，从登记物权人手中继受取得物权但未办理物权变更登记的受让人，其 基于对登记信息的信赖所取得的物权应与登记物权人处于同样的被保护地位，属于交易第 三人基于特殊动产之登记而产生的积极信赖利益范畴。本案中由于王卫东本来就未基于 对船舶所有权之登记而产生信赖利益，登记在策三方名下的船舶权属登记信息不能令其在 本案中产生指向其债务人的积极信赖利益</w:t>
      </w:r>
    </w:p>
    <w:p w14:paraId="1E8D2282">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21552F43">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在本案之前最高院通过</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个案例</w:t>
      </w:r>
      <w:r>
        <w:rPr>
          <w:rFonts w:ascii="Times New Roman" w:hAnsi="Times New Roman" w:eastAsia="Times New Roman" w:cs="Times New Roman"/>
          <w:color w:val="000000"/>
          <w:spacing w:val="0"/>
          <w:w w:val="100"/>
          <w:position w:val="0"/>
          <w:sz w:val="17"/>
          <w:szCs w:val="17"/>
          <w:lang w:val="en-US" w:eastAsia="en-US" w:bidi="en-US"/>
        </w:rPr>
        <w:t>［(2013</w:t>
      </w:r>
      <w:r>
        <w:rPr>
          <w:rFonts w:ascii="Times New Roman" w:hAnsi="Times New Roman" w:eastAsia="Times New Roman" w:cs="Times New Roman"/>
          <w:color w:val="000000"/>
          <w:spacing w:val="0"/>
          <w:w w:val="100"/>
          <w:position w:val="0"/>
          <w:sz w:val="17"/>
          <w:szCs w:val="17"/>
        </w:rPr>
        <w:t>)</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石亏^矿育亍监字第</w:t>
      </w:r>
      <w:r>
        <w:rPr>
          <w:rFonts w:ascii="Times New Roman" w:hAnsi="Times New Roman" w:eastAsia="Times New Roman" w:cs="Times New Roman"/>
          <w:color w:val="000000"/>
          <w:spacing w:val="0"/>
          <w:w w:val="100"/>
          <w:position w:val="0"/>
          <w:sz w:val="17"/>
          <w:szCs w:val="17"/>
        </w:rPr>
        <w:t>43</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.(2016)</w:t>
      </w:r>
      <w:r>
        <w:rPr>
          <w:color w:val="000000"/>
          <w:spacing w:val="0"/>
          <w:w w:val="100"/>
          <w:position w:val="0"/>
        </w:rPr>
        <w:t>最 高法民再</w:t>
      </w:r>
      <w:r>
        <w:rPr>
          <w:rFonts w:ascii="Times New Roman" w:hAnsi="Times New Roman" w:eastAsia="Times New Roman" w:cs="Times New Roman"/>
          <w:color w:val="000000"/>
          <w:spacing w:val="0"/>
          <w:w w:val="100"/>
          <w:position w:val="0"/>
          <w:sz w:val="17"/>
          <w:szCs w:val="17"/>
        </w:rPr>
        <w:t>15</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.(2016)</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号民事判决书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2051</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.(2017</w:t>
      </w:r>
      <w:r>
        <w:rPr>
          <w:rFonts w:ascii="Times New Roman" w:hAnsi="Times New Roman" w:eastAsia="Times New Roman" w:cs="Times New Roman"/>
          <w:color w:val="000000"/>
          <w:spacing w:val="0"/>
          <w:w w:val="100"/>
          <w:position w:val="0"/>
          <w:sz w:val="17"/>
          <w:szCs w:val="17"/>
        </w:rPr>
        <w:t>)</w:t>
      </w:r>
      <w:r>
        <w:rPr>
          <w:color w:val="000000"/>
          <w:spacing w:val="0"/>
          <w:w w:val="100"/>
          <w:position w:val="0"/>
        </w:rPr>
        <w:t xml:space="preserve">最高法民申 </w:t>
      </w:r>
      <w:r>
        <w:rPr>
          <w:rFonts w:ascii="Times New Roman" w:hAnsi="Times New Roman" w:eastAsia="Times New Roman" w:cs="Times New Roman"/>
          <w:color w:val="000000"/>
          <w:spacing w:val="0"/>
          <w:w w:val="100"/>
          <w:position w:val="0"/>
          <w:sz w:val="17"/>
          <w:szCs w:val="17"/>
        </w:rPr>
        <w:t>1923</w:t>
      </w:r>
      <w:r>
        <w:rPr>
          <w:color w:val="000000"/>
          <w:spacing w:val="0"/>
          <w:w w:val="100"/>
          <w:position w:val="0"/>
        </w:rPr>
        <w:t>号民事裁定书，《最高人民法院公报》</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r>
        <w:rPr>
          <w:color w:val="000000"/>
          <w:spacing w:val="0"/>
          <w:w w:val="100"/>
          <w:position w:val="0"/>
          <w:lang w:val="zh-CN" w:eastAsia="zh-CN" w:bidi="zh-CN"/>
        </w:rPr>
        <w:t>“拉菲</w:t>
      </w:r>
      <w:r>
        <w:rPr>
          <w:color w:val="000000"/>
          <w:spacing w:val="0"/>
          <w:w w:val="100"/>
          <w:position w:val="0"/>
        </w:rPr>
        <w:t>贡公司诉德兴船务有限公司、海南青龙 船务实业总公司及其广州分公司海运欺诈案”］针对《海商法》第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条和《民法典》第</w:t>
      </w:r>
      <w:r>
        <w:rPr>
          <w:rFonts w:ascii="Times New Roman" w:hAnsi="Times New Roman" w:eastAsia="Times New Roman" w:cs="Times New Roman"/>
          <w:color w:val="000000"/>
          <w:spacing w:val="0"/>
          <w:w w:val="100"/>
          <w:position w:val="0"/>
          <w:sz w:val="19"/>
          <w:szCs w:val="19"/>
        </w:rPr>
        <w:t>225</w:t>
      </w:r>
      <w:r>
        <w:rPr>
          <w:color w:val="000000"/>
          <w:spacing w:val="0"/>
          <w:w w:val="100"/>
          <w:position w:val="0"/>
        </w:rPr>
        <w:t>条表达 了特殊动产(船舶)物权变动方式和效力机制相关的</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个法律观点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对于船舶的行政处 罚应当针对真实所有人并履行告知义务,而非登记所有人</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未经登记不得对抗第三人的 规定是关于船舶所有权登记效力的规定,船舶主体问题引起的侵权纠纷与船舶登记状况并 无直接关联</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船舶物权变动的生效要件是交付,登记仅是对抗第三人的要件，如果船舶 未交付而直接登记物权变动事项,船舶物权依法不发生变动；(</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登记对抗效力下的第三人 指不知道也不应当知道物权发生了变动的物权关系相对人，不包括与船舶并无物权关系的 当事人</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处于债权交易关系中的第三人对于实际船东的判断必须依赖船舶登记信息。</w:t>
      </w:r>
    </w:p>
    <w:p w14:paraId="64843DD5">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本裁定的参考意义及将来的课题</w:t>
      </w:r>
    </w:p>
    <w:p w14:paraId="7F7BD717">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最高院在本案中针对特殊动产(船舶)物权变动方式和效力机制阐释的基本法理，对于 今后特殊动产物权变动的交易及司法实践，有较强的参考意义。在本案后作出的与船舶和 机动车有关的案例</w:t>
      </w:r>
      <w:r>
        <w:rPr>
          <w:rFonts w:ascii="Times New Roman" w:hAnsi="Times New Roman" w:eastAsia="Times New Roman" w:cs="Times New Roman"/>
          <w:color w:val="000000"/>
          <w:spacing w:val="0"/>
          <w:w w:val="100"/>
          <w:position w:val="0"/>
          <w:sz w:val="17"/>
          <w:szCs w:val="17"/>
          <w:lang w:val="en-US" w:eastAsia="en-US" w:bidi="en-US"/>
        </w:rPr>
        <w:t>［(2017)</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4045</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1149</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 xml:space="preserve">2628 </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6156</w:t>
      </w:r>
      <w:r>
        <w:rPr>
          <w:color w:val="000000"/>
          <w:spacing w:val="0"/>
          <w:w w:val="100"/>
          <w:position w:val="0"/>
        </w:rPr>
        <w:t>号</w:t>
      </w:r>
      <w:r>
        <w:rPr>
          <w:rFonts w:ascii="Times New Roman" w:hAnsi="Times New Roman" w:eastAsia="Times New Roman" w:cs="Times New Roman"/>
          <w:color w:val="000000"/>
          <w:spacing w:val="0"/>
          <w:w w:val="100"/>
          <w:position w:val="0"/>
          <w:sz w:val="17"/>
          <w:szCs w:val="17"/>
          <w:lang w:val="en-US" w:eastAsia="en-US" w:bidi="en-US"/>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5598</w:t>
      </w:r>
      <w:r>
        <w:rPr>
          <w:color w:val="000000"/>
          <w:spacing w:val="0"/>
          <w:w w:val="100"/>
          <w:position w:val="0"/>
        </w:rPr>
        <w:t>号民事裁定书］中，最高院继续在个案中强 化了特殊动产适用普通动产物权变动规则的认识，增加了善意第三人的除外群体,并明确 了登记物权与未登记物权的效力在特殊情形下的不同处理等问题。</w:t>
      </w:r>
    </w:p>
    <w:p w14:paraId="7FD6E63E">
      <w:pPr>
        <w:pStyle w:val="17"/>
        <w:keepNext w:val="0"/>
        <w:keepLines w:val="0"/>
        <w:widowControl w:val="0"/>
        <w:shd w:val="clear" w:color="auto" w:fill="auto"/>
        <w:bidi w:val="0"/>
        <w:spacing w:before="0" w:after="380" w:line="340" w:lineRule="exact"/>
        <w:ind w:left="0" w:right="0" w:firstLine="420"/>
        <w:jc w:val="both"/>
        <w:sectPr>
          <w:headerReference r:id="rId200" w:type="default"/>
          <w:headerReference r:id="rId201" w:type="even"/>
          <w:footnotePr>
            <w:numFmt w:val="chicago"/>
          </w:footnotePr>
          <w:pgSz w:w="10099" w:h="14782"/>
          <w:pgMar w:top="1292" w:right="1024" w:bottom="1104" w:left="1076" w:header="0" w:footer="676" w:gutter="0"/>
          <w:pgNumType w:start="165"/>
          <w:cols w:space="720" w:num="1"/>
          <w:rtlGutter w:val="0"/>
          <w:docGrid w:linePitch="360" w:charSpace="0"/>
        </w:sectPr>
      </w:pPr>
      <w:r>
        <w:rPr>
          <w:color w:val="000000"/>
          <w:spacing w:val="0"/>
          <w:w w:val="100"/>
          <w:position w:val="0"/>
        </w:rPr>
        <w:t>特殊动产物权变动随着《物权法》第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225</w:t>
      </w:r>
      <w:r>
        <w:rPr>
          <w:color w:val="000000"/>
          <w:spacing w:val="0"/>
          <w:w w:val="100"/>
          <w:position w:val="0"/>
        </w:rPr>
        <w:t>条)生效至今，引发了无数 争议,最高院《关于审理买卖合同纠纷案件适用法律问题的解释》第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条及最高院《关于适 用〈中华人民共和国物权法〉若干问题的解释(一)》第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条更是加剧了这一争论。从实践层 面看，在查封执行等环节，最高院的几个规范性文件［最高院《关于人民法院民事执行中查封、扣 押、冻结财产的规定》(第</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 xml:space="preserve">条)、最高院《关于人民法院办理执行异议和复议案件若干问题的规定》(第 </w:t>
      </w:r>
      <w:r>
        <w:rPr>
          <w:rFonts w:ascii="Times New Roman" w:hAnsi="Times New Roman" w:eastAsia="Times New Roman" w:cs="Times New Roman"/>
          <w:color w:val="000000"/>
          <w:spacing w:val="0"/>
          <w:w w:val="100"/>
          <w:position w:val="0"/>
          <w:sz w:val="17"/>
          <w:szCs w:val="17"/>
        </w:rPr>
        <w:t>25</w:t>
      </w:r>
      <w:r>
        <w:rPr>
          <w:color w:val="000000"/>
          <w:spacing w:val="0"/>
          <w:w w:val="100"/>
          <w:position w:val="0"/>
        </w:rPr>
        <w:t>条)，最高院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执他字第</w:t>
      </w:r>
      <w:r>
        <w:rPr>
          <w:rFonts w:ascii="Times New Roman" w:hAnsi="Times New Roman" w:eastAsia="Times New Roman" w:cs="Times New Roman"/>
          <w:color w:val="000000"/>
          <w:spacing w:val="0"/>
          <w:w w:val="100"/>
          <w:position w:val="0"/>
          <w:sz w:val="17"/>
          <w:szCs w:val="17"/>
        </w:rPr>
        <w:t>14</w:t>
      </w:r>
      <w:r>
        <w:rPr>
          <w:color w:val="000000"/>
          <w:spacing w:val="0"/>
          <w:w w:val="100"/>
          <w:position w:val="0"/>
        </w:rPr>
        <w:t xml:space="preserve">号复函］在特殊动产的登记效力问题上,似乎彼此之间也存在 </w:t>
      </w:r>
    </w:p>
    <w:p w14:paraId="65A7A074">
      <w:pPr>
        <w:pStyle w:val="17"/>
        <w:keepNext w:val="0"/>
        <w:keepLines w:val="0"/>
        <w:widowControl w:val="0"/>
        <w:shd w:val="clear" w:color="auto" w:fill="auto"/>
        <w:bidi w:val="0"/>
        <w:spacing w:before="0" w:after="380" w:line="340" w:lineRule="exact"/>
        <w:ind w:left="0" w:right="0" w:firstLine="0"/>
        <w:jc w:val="both"/>
      </w:pPr>
      <w:r>
        <w:rPr>
          <w:color w:val="000000"/>
          <w:spacing w:val="0"/>
          <w:w w:val="100"/>
          <w:position w:val="0"/>
        </w:rPr>
        <w:t>矛盾或模糊之处，并不都与登记对抗规则相吻合。最高院作出的数量有限的案例所阐释的 法律观点也并非没有可商榷之处。针对《民法典》第</w:t>
      </w:r>
      <w:r>
        <w:rPr>
          <w:rFonts w:ascii="Times New Roman" w:hAnsi="Times New Roman" w:eastAsia="Times New Roman" w:cs="Times New Roman"/>
          <w:color w:val="000000"/>
          <w:spacing w:val="0"/>
          <w:w w:val="100"/>
          <w:position w:val="0"/>
          <w:sz w:val="17"/>
          <w:szCs w:val="17"/>
        </w:rPr>
        <w:t>225</w:t>
      </w:r>
      <w:r>
        <w:rPr>
          <w:color w:val="000000"/>
          <w:spacing w:val="0"/>
          <w:w w:val="100"/>
          <w:position w:val="0"/>
        </w:rPr>
        <w:t>条，目前在立法论上存在废除论 ［庄加园：《登记对抗主义的反思与改造：〈物权法〉第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条解析》，载《中国法学》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期；张淳： 《〈物权法〉第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条之立法论检讨</w:t>
      </w:r>
      <w:r>
        <w:rPr>
          <w:color w:val="000000"/>
          <w:spacing w:val="0"/>
          <w:w w:val="100"/>
          <w:position w:val="0"/>
          <w:lang w:val="en-US" w:eastAsia="en-US" w:bidi="en-US"/>
        </w:rPr>
        <w:t>一一</w:t>
      </w:r>
      <w:r>
        <w:rPr>
          <w:color w:val="000000"/>
          <w:spacing w:val="0"/>
          <w:w w:val="100"/>
          <w:position w:val="0"/>
        </w:rPr>
        <w:t>以登记动产物权变动的登记对抗规则为对象》，载《东南大学学 报》（哲学社会科学版</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期］和改造论（唐超:《特殊动产所有权的变动与对抗一〈物权法〉 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条及〈买卖合同解释〉第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项评析》，载《北方法学》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期），在解释论上存在与 善意取得制度效果等同论（郑永宽:《论机动车等特殊动产物权的登记对抗效力》，载《法学家》</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期）和区分动产类型适用论（唐超:《特殊动产所有权的变动与对抗——〈物权法〉第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条及 〈买卖合同解释〉第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项评析》，载《北方法学》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期）等，如果裁判者试图从学界获 取教益的话，可能会陷入无所适从的境地。不过，既然《民法典》第</w:t>
      </w:r>
      <w:r>
        <w:rPr>
          <w:rFonts w:ascii="Times New Roman" w:hAnsi="Times New Roman" w:eastAsia="Times New Roman" w:cs="Times New Roman"/>
          <w:color w:val="000000"/>
          <w:spacing w:val="0"/>
          <w:w w:val="100"/>
          <w:position w:val="0"/>
          <w:sz w:val="17"/>
          <w:szCs w:val="17"/>
        </w:rPr>
        <w:t>225</w:t>
      </w:r>
      <w:r>
        <w:rPr>
          <w:color w:val="000000"/>
          <w:spacing w:val="0"/>
          <w:w w:val="100"/>
          <w:position w:val="0"/>
        </w:rPr>
        <w:t>条选择了继续保持 原《物权法》第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条的规范模式，解释论上的作业就将是学界下个阶段需要继续坚持的研 究方向，以尽量在实践中结合各种特殊动产的特别规范体系和争议内容，在实体审判、查 封、执行等多个环节中处理好特殊动产物权变动方式及其效力机制问题。</w:t>
      </w:r>
    </w:p>
    <w:p w14:paraId="6BBDE638">
      <w:pPr>
        <w:pStyle w:val="11"/>
        <w:keepNext w:val="0"/>
        <w:keepLines w:val="0"/>
        <w:widowControl w:val="0"/>
        <w:shd w:val="clear" w:color="auto" w:fill="auto"/>
        <w:bidi w:val="0"/>
        <w:spacing w:before="0" w:after="60" w:line="313" w:lineRule="exact"/>
        <w:ind w:left="0" w:right="0" w:firstLine="0"/>
        <w:jc w:val="both"/>
      </w:pPr>
      <w:r>
        <w:rPr>
          <w:color w:val="000000"/>
          <w:spacing w:val="0"/>
          <w:w w:val="100"/>
          <w:position w:val="0"/>
        </w:rPr>
        <w:t>回参考文献</w:t>
      </w:r>
    </w:p>
    <w:p w14:paraId="094AC256">
      <w:pPr>
        <w:pStyle w:val="17"/>
        <w:keepNext w:val="0"/>
        <w:keepLines w:val="0"/>
        <w:widowControl w:val="0"/>
        <w:shd w:val="clear" w:color="auto" w:fill="auto"/>
        <w:bidi w:val="0"/>
        <w:spacing w:before="0" w:after="0" w:line="313" w:lineRule="exact"/>
        <w:ind w:left="0" w:right="0" w:firstLine="0"/>
        <w:jc w:val="both"/>
      </w:pPr>
      <w:r>
        <w:rPr>
          <w:color w:val="000000"/>
          <w:spacing w:val="0"/>
          <w:w w:val="100"/>
          <w:position w:val="0"/>
          <w:lang w:val="en-US" w:eastAsia="en-US" w:bidi="en-US"/>
        </w:rPr>
        <w:t>［</w:t>
      </w:r>
      <w:r>
        <w:rPr>
          <w:color w:val="000000"/>
          <w:spacing w:val="0"/>
          <w:w w:val="100"/>
          <w:position w:val="0"/>
        </w:rPr>
        <w:t>日］铃木禄弥:《物权的变动与对抗》，渠涛译,社会科学文献出版社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5958A1AF">
      <w:pPr>
        <w:pStyle w:val="17"/>
        <w:keepNext w:val="0"/>
        <w:keepLines w:val="0"/>
        <w:widowControl w:val="0"/>
        <w:shd w:val="clear" w:color="auto" w:fill="auto"/>
        <w:bidi w:val="0"/>
        <w:spacing w:before="0" w:after="0" w:line="313" w:lineRule="exact"/>
        <w:ind w:left="0" w:right="0" w:firstLine="0"/>
        <w:jc w:val="both"/>
      </w:pPr>
      <w:r>
        <w:rPr>
          <w:color w:val="000000"/>
          <w:spacing w:val="0"/>
          <w:w w:val="100"/>
          <w:position w:val="0"/>
        </w:rPr>
        <w:t>崔建远:《再论动产物权变动的生效要件》，载《法学家》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482572FA">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唐超:《特殊动产所有权的变动与对抗——〈物权法〉第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条及〈买卖合同解释〉第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项评析》， 载《北方法学》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DAEC8CD">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聂卫锋:《动产所有权的交付变动规则》，载《国家检察官学院学报》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21B02DB">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龙俊：《中国物权法上的登记对抗主义》，载《法学研究》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1CF5227">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郭志京:《也论中国物权法上的登记对抗主义》，载《比较法研究》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3AAB3941">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郑永宽:《论机动车等特殊动产物权的登记对抗效力》，载《法学家》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F078365">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庄加园：《登记对抗主义的反思与改造：〈物权法〉第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条解析》，载《中国法学》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E6203E0">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张淳：《〈物权法〉第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条之立法论检讨——以登记动产物权变动的登记对抗规则为对象》，载《东南大 学学报》（哲学社会科学版</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48C1439">
      <w:pPr>
        <w:pStyle w:val="17"/>
        <w:keepNext w:val="0"/>
        <w:keepLines w:val="0"/>
        <w:widowControl w:val="0"/>
        <w:shd w:val="clear" w:color="auto" w:fill="auto"/>
        <w:bidi w:val="0"/>
        <w:spacing w:before="0" w:after="0" w:line="313" w:lineRule="exact"/>
        <w:ind w:left="200" w:right="0" w:hanging="200"/>
        <w:jc w:val="both"/>
      </w:pPr>
      <w:r>
        <w:rPr>
          <w:color w:val="000000"/>
          <w:spacing w:val="0"/>
          <w:w w:val="100"/>
          <w:position w:val="0"/>
        </w:rPr>
        <w:t>汪志刚：《准不动产登记对抗主义的一般法理》，载《法商研究》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5237D6F">
      <w:pPr>
        <w:pStyle w:val="17"/>
        <w:keepNext w:val="0"/>
        <w:keepLines w:val="0"/>
        <w:widowControl w:val="0"/>
        <w:shd w:val="clear" w:color="auto" w:fill="auto"/>
        <w:bidi w:val="0"/>
        <w:spacing w:before="0" w:after="0" w:line="298" w:lineRule="exact"/>
        <w:ind w:left="200" w:right="0" w:hanging="200"/>
        <w:jc w:val="both"/>
      </w:pPr>
      <w:r>
        <w:rPr>
          <w:color w:val="000000"/>
          <w:spacing w:val="0"/>
          <w:w w:val="100"/>
          <w:position w:val="0"/>
        </w:rPr>
        <w:t>戴永盛:《论特殊动产的物权变动与对抗（上）</w:t>
      </w:r>
      <w:r>
        <w:rPr>
          <w:color w:val="000000"/>
          <w:spacing w:val="0"/>
          <w:w w:val="100"/>
          <w:position w:val="0"/>
          <w:lang w:val="en-US" w:eastAsia="en-US" w:bidi="en-US"/>
        </w:rPr>
        <w:t>一</w:t>
      </w:r>
      <w:r>
        <w:rPr>
          <w:color w:val="000000"/>
          <w:spacing w:val="0"/>
          <w:w w:val="100"/>
          <w:position w:val="0"/>
        </w:rPr>
        <w:t>兼析〈最高人民法院关于审理买卖合同纠纷案件适用 法律问题的解释〉第十条》，载《东方法学》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D2CD247">
      <w:pPr>
        <w:pStyle w:val="17"/>
        <w:keepNext w:val="0"/>
        <w:keepLines w:val="0"/>
        <w:widowControl w:val="0"/>
        <w:shd w:val="clear" w:color="auto" w:fill="auto"/>
        <w:bidi w:val="0"/>
        <w:spacing w:before="0" w:after="0" w:line="300" w:lineRule="exact"/>
        <w:ind w:left="200" w:right="0" w:hanging="200"/>
        <w:jc w:val="both"/>
      </w:pPr>
      <w:r>
        <w:rPr>
          <w:color w:val="000000"/>
          <w:spacing w:val="0"/>
          <w:w w:val="100"/>
          <w:position w:val="0"/>
        </w:rPr>
        <w:t>戴永盛:《论特殊动产的物权变动与对抗（下）</w:t>
      </w:r>
      <w:r>
        <w:rPr>
          <w:color w:val="000000"/>
          <w:spacing w:val="0"/>
          <w:w w:val="100"/>
          <w:position w:val="0"/>
          <w:lang w:val="en-US" w:eastAsia="en-US" w:bidi="en-US"/>
        </w:rPr>
        <w:t>一</w:t>
      </w:r>
      <w:r>
        <w:rPr>
          <w:color w:val="000000"/>
          <w:spacing w:val="0"/>
          <w:w w:val="100"/>
          <w:position w:val="0"/>
        </w:rPr>
        <w:t>兼析〈最高人民法院关于审理买卖合同纠纷案件适用 法律问题的解释〉第十条》，载《东方法学》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3EC334B6">
      <w:pPr>
        <w:pStyle w:val="17"/>
        <w:keepNext w:val="0"/>
        <w:keepLines w:val="0"/>
        <w:widowControl w:val="0"/>
        <w:shd w:val="clear" w:color="auto" w:fill="auto"/>
        <w:bidi w:val="0"/>
        <w:spacing w:before="0" w:after="0" w:line="300" w:lineRule="exact"/>
        <w:ind w:left="200" w:right="0" w:hanging="200"/>
        <w:jc w:val="both"/>
      </w:pPr>
      <w:r>
        <w:rPr>
          <w:color w:val="000000"/>
          <w:spacing w:val="0"/>
          <w:w w:val="100"/>
          <w:position w:val="0"/>
        </w:rPr>
        <w:t>王利明：《特殊动产物权变动的公示方法》，载《法学研究》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8B00D9B">
      <w:pPr>
        <w:pStyle w:val="17"/>
        <w:keepNext w:val="0"/>
        <w:keepLines w:val="0"/>
        <w:widowControl w:val="0"/>
        <w:shd w:val="clear" w:color="auto" w:fill="auto"/>
        <w:bidi w:val="0"/>
        <w:spacing w:before="0" w:after="0" w:line="313" w:lineRule="exact"/>
        <w:ind w:left="200" w:right="0" w:hanging="200"/>
        <w:jc w:val="both"/>
        <w:sectPr>
          <w:headerReference r:id="rId202" w:type="default"/>
          <w:headerReference r:id="rId203" w:type="even"/>
          <w:footnotePr>
            <w:numFmt w:val="chicago"/>
          </w:footnotePr>
          <w:pgSz w:w="10099" w:h="14782"/>
          <w:pgMar w:top="1292" w:right="1024" w:bottom="1104" w:left="1076" w:header="0" w:footer="676" w:gutter="0"/>
          <w:pgNumType w:start="150"/>
          <w:cols w:space="720" w:num="1"/>
          <w:rtlGutter w:val="0"/>
          <w:docGrid w:linePitch="360" w:charSpace="0"/>
        </w:sectPr>
      </w:pPr>
      <w:r>
        <w:rPr>
          <w:color w:val="000000"/>
          <w:spacing w:val="0"/>
          <w:w w:val="100"/>
          <w:position w:val="0"/>
        </w:rPr>
        <w:t>韩强:《我国船舶物权的变动公示方法与善意取得》，载《法学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7EDC66F3">
      <w:pPr>
        <w:pStyle w:val="17"/>
        <w:keepNext w:val="0"/>
        <w:keepLines w:val="0"/>
        <w:widowControl w:val="0"/>
        <w:shd w:val="clear" w:color="auto" w:fill="auto"/>
        <w:bidi w:val="0"/>
        <w:spacing w:before="0" w:after="420" w:line="322" w:lineRule="exact"/>
        <w:ind w:left="1020" w:right="0" w:firstLine="0"/>
        <w:jc w:val="both"/>
      </w:pPr>
      <w:r>
        <mc:AlternateContent>
          <mc:Choice Requires="wps">
            <w:drawing>
              <wp:anchor distT="0" distB="15240" distL="114300" distR="3497580" simplePos="0" relativeHeight="251660288" behindDoc="0" locked="0" layoutInCell="1" allowOverlap="1">
                <wp:simplePos x="0" y="0"/>
                <wp:positionH relativeFrom="page">
                  <wp:posOffset>747395</wp:posOffset>
                </wp:positionH>
                <wp:positionV relativeFrom="margin">
                  <wp:posOffset>154940</wp:posOffset>
                </wp:positionV>
                <wp:extent cx="411480" cy="304800"/>
                <wp:effectExtent l="0" t="0" r="0" b="0"/>
                <wp:wrapTopAndBottom/>
                <wp:docPr id="459" name="Shape 459"/>
                <wp:cNvGraphicFramePr/>
                <a:graphic xmlns:a="http://schemas.openxmlformats.org/drawingml/2006/main">
                  <a:graphicData uri="http://schemas.microsoft.com/office/word/2010/wordprocessingShape">
                    <wps:wsp>
                      <wps:cNvSpPr txBox="1"/>
                      <wps:spPr>
                        <a:xfrm>
                          <a:off x="0" y="0"/>
                          <a:ext cx="411480" cy="304800"/>
                        </a:xfrm>
                        <a:prstGeom prst="rect">
                          <a:avLst/>
                        </a:prstGeom>
                        <a:noFill/>
                      </wps:spPr>
                      <wps:txbx>
                        <w:txbxContent>
                          <w:p w14:paraId="47777EFB">
                            <w:pPr>
                              <w:pStyle w:val="27"/>
                              <w:keepNext/>
                              <w:keepLines/>
                              <w:widowControl w:val="0"/>
                              <w:shd w:val="clear" w:color="auto" w:fill="auto"/>
                              <w:bidi w:val="0"/>
                              <w:spacing w:before="0" w:after="0" w:line="240" w:lineRule="auto"/>
                              <w:ind w:left="0" w:right="0" w:firstLine="0"/>
                              <w:jc w:val="both"/>
                            </w:pPr>
                            <w:bookmarkStart w:id="342" w:name="bookmark194"/>
                            <w:bookmarkStart w:id="343" w:name="bookmark192"/>
                            <w:bookmarkStart w:id="344" w:name="bookmark193"/>
                            <w:r>
                              <w:rPr>
                                <w:rFonts w:ascii="Times New Roman" w:hAnsi="Times New Roman" w:eastAsia="Times New Roman" w:cs="Times New Roman"/>
                                <w:color w:val="000000"/>
                                <w:spacing w:val="0"/>
                                <w:w w:val="100"/>
                                <w:position w:val="0"/>
                              </w:rPr>
                              <w:t>031</w:t>
                            </w:r>
                            <w:bookmarkEnd w:id="342"/>
                            <w:bookmarkEnd w:id="343"/>
                            <w:bookmarkEnd w:id="344"/>
                          </w:p>
                        </w:txbxContent>
                      </wps:txbx>
                      <wps:bodyPr wrap="none" lIns="0" tIns="0" rIns="0" bIns="0">
                        <a:noAutofit/>
                      </wps:bodyPr>
                    </wps:wsp>
                  </a:graphicData>
                </a:graphic>
              </wp:anchor>
            </w:drawing>
          </mc:Choice>
          <mc:Fallback>
            <w:pict>
              <v:shape id="Shape 459" o:spid="_x0000_s1026" o:spt="202" type="#_x0000_t202" style="position:absolute;left:0pt;margin-left:58.85pt;margin-top:12.2pt;height:24pt;width:32.4pt;mso-position-horizontal-relative:page;mso-position-vertical-relative:margin;mso-wrap-distance-bottom:1.2pt;mso-wrap-distance-top:0pt;mso-wrap-style:none;z-index:251660288;mso-width-relative:page;mso-height-relative:page;" filled="f" stroked="f" coordsize="21600,21600" o:gfxdata="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mhmj/WAAAA&#10;CQEAAA8AAAAAAAAAAQAgAAAAIgAAAGRycy9kb3ducmV2LnhtbFBLAQIUABQAAAAIAIdO4kATWd5n&#10;rQEAAHMDAAAOAAAAAAAAAAEAIAAAACUBAABkcnMvZTJvRG9jLnhtbFBLBQYAAAAABgAGAFkBAABE&#10;BQAAAAA=&#10;">
                <v:fill on="f" focussize="0,0"/>
                <v:stroke on="f"/>
                <v:imagedata o:title=""/>
                <o:lock v:ext="edit" aspectratio="f"/>
                <v:textbox inset="0mm,0mm,0mm,0mm">
                  <w:txbxContent>
                    <w:p w14:paraId="47777EFB">
                      <w:pPr>
                        <w:pStyle w:val="27"/>
                        <w:keepNext/>
                        <w:keepLines/>
                        <w:widowControl w:val="0"/>
                        <w:shd w:val="clear" w:color="auto" w:fill="auto"/>
                        <w:bidi w:val="0"/>
                        <w:spacing w:before="0" w:after="0" w:line="240" w:lineRule="auto"/>
                        <w:ind w:left="0" w:right="0" w:firstLine="0"/>
                        <w:jc w:val="both"/>
                      </w:pPr>
                      <w:bookmarkStart w:id="342" w:name="bookmark194"/>
                      <w:bookmarkStart w:id="343" w:name="bookmark192"/>
                      <w:bookmarkStart w:id="344" w:name="bookmark193"/>
                      <w:r>
                        <w:rPr>
                          <w:rFonts w:ascii="Times New Roman" w:hAnsi="Times New Roman" w:eastAsia="Times New Roman" w:cs="Times New Roman"/>
                          <w:color w:val="000000"/>
                          <w:spacing w:val="0"/>
                          <w:w w:val="100"/>
                          <w:position w:val="0"/>
                        </w:rPr>
                        <w:t>031</w:t>
                      </w:r>
                      <w:bookmarkEnd w:id="342"/>
                      <w:bookmarkEnd w:id="343"/>
                      <w:bookmarkEnd w:id="344"/>
                    </w:p>
                  </w:txbxContent>
                </v:textbox>
                <w10:wrap type="topAndBottom"/>
              </v:shape>
            </w:pict>
          </mc:Fallback>
        </mc:AlternateContent>
      </w:r>
      <w:r>
        <mc:AlternateContent>
          <mc:Choice Requires="wps">
            <w:drawing>
              <wp:anchor distT="83820" distB="0" distL="690245" distR="114300" simplePos="0" relativeHeight="251660288" behindDoc="0" locked="0" layoutInCell="1" allowOverlap="1">
                <wp:simplePos x="0" y="0"/>
                <wp:positionH relativeFrom="page">
                  <wp:posOffset>1323340</wp:posOffset>
                </wp:positionH>
                <wp:positionV relativeFrom="margin">
                  <wp:posOffset>238760</wp:posOffset>
                </wp:positionV>
                <wp:extent cx="3218815" cy="236220"/>
                <wp:effectExtent l="0" t="0" r="0" b="0"/>
                <wp:wrapTopAndBottom/>
                <wp:docPr id="461" name="Shape 461"/>
                <wp:cNvGraphicFramePr/>
                <a:graphic xmlns:a="http://schemas.openxmlformats.org/drawingml/2006/main">
                  <a:graphicData uri="http://schemas.microsoft.com/office/word/2010/wordprocessingShape">
                    <wps:wsp>
                      <wps:cNvSpPr txBox="1"/>
                      <wps:spPr>
                        <a:xfrm>
                          <a:off x="0" y="0"/>
                          <a:ext cx="3218815" cy="236220"/>
                        </a:xfrm>
                        <a:prstGeom prst="rect">
                          <a:avLst/>
                        </a:prstGeom>
                        <a:noFill/>
                      </wps:spPr>
                      <wps:txbx>
                        <w:txbxContent>
                          <w:p w14:paraId="3D6D30E7">
                            <w:pPr>
                              <w:pStyle w:val="15"/>
                              <w:keepNext/>
                              <w:keepLines/>
                              <w:widowControl w:val="0"/>
                              <w:shd w:val="clear" w:color="auto" w:fill="auto"/>
                              <w:bidi w:val="0"/>
                              <w:spacing w:before="0" w:after="0" w:line="240" w:lineRule="auto"/>
                              <w:ind w:left="0" w:right="0" w:firstLine="0"/>
                              <w:jc w:val="left"/>
                            </w:pPr>
                            <w:bookmarkStart w:id="345" w:name="bookmark195"/>
                            <w:bookmarkStart w:id="346" w:name="bookmark197"/>
                            <w:bookmarkStart w:id="347" w:name="bookmark196"/>
                            <w:r>
                              <w:rPr>
                                <w:color w:val="000000"/>
                                <w:spacing w:val="0"/>
                                <w:w w:val="100"/>
                                <w:position w:val="0"/>
                              </w:rPr>
                              <w:t>基于默示占有改定的动产所有权移转</w:t>
                            </w:r>
                            <w:bookmarkEnd w:id="345"/>
                            <w:bookmarkEnd w:id="346"/>
                            <w:bookmarkEnd w:id="347"/>
                          </w:p>
                        </w:txbxContent>
                      </wps:txbx>
                      <wps:bodyPr wrap="none" lIns="0" tIns="0" rIns="0" bIns="0">
                        <a:noAutofit/>
                      </wps:bodyPr>
                    </wps:wsp>
                  </a:graphicData>
                </a:graphic>
              </wp:anchor>
            </w:drawing>
          </mc:Choice>
          <mc:Fallback>
            <w:pict>
              <v:shape id="Shape 461" o:spid="_x0000_s1026" o:spt="202" type="#_x0000_t202" style="position:absolute;left:0pt;margin-left:104.2pt;margin-top:18.8pt;height:18.6pt;width:253.45pt;mso-position-horizontal-relative:page;mso-position-vertical-relative:margin;mso-wrap-distance-bottom:0pt;mso-wrap-distance-top:6.6pt;mso-wrap-style:none;z-index:251660288;mso-width-relative:page;mso-height-relative:page;" filled="f" stroked="f" coordsize="21600,21600" o:gfxdata="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b8xz7&#10;1wAAAAkBAAAPAAAAAAAAAAEAIAAAACIAAABkcnMvZG93bnJldi54bWxQSwECFAAUAAAACACHTuJA&#10;Abx4abABAAB0AwAADgAAAAAAAAABACAAAAAmAQAAZHJzL2Uyb0RvYy54bWxQSwUGAAAAAAYABgBZ&#10;AQAASAUAAAAA&#10;">
                <v:fill on="f" focussize="0,0"/>
                <v:stroke on="f"/>
                <v:imagedata o:title=""/>
                <o:lock v:ext="edit" aspectratio="f"/>
                <v:textbox inset="0mm,0mm,0mm,0mm">
                  <w:txbxContent>
                    <w:p w14:paraId="3D6D30E7">
                      <w:pPr>
                        <w:pStyle w:val="15"/>
                        <w:keepNext/>
                        <w:keepLines/>
                        <w:widowControl w:val="0"/>
                        <w:shd w:val="clear" w:color="auto" w:fill="auto"/>
                        <w:bidi w:val="0"/>
                        <w:spacing w:before="0" w:after="0" w:line="240" w:lineRule="auto"/>
                        <w:ind w:left="0" w:right="0" w:firstLine="0"/>
                        <w:jc w:val="left"/>
                      </w:pPr>
                      <w:bookmarkStart w:id="345" w:name="bookmark195"/>
                      <w:bookmarkStart w:id="346" w:name="bookmark197"/>
                      <w:bookmarkStart w:id="347" w:name="bookmark196"/>
                      <w:r>
                        <w:rPr>
                          <w:color w:val="000000"/>
                          <w:spacing w:val="0"/>
                          <w:w w:val="100"/>
                          <w:position w:val="0"/>
                        </w:rPr>
                        <w:t>基于默示占有改定的动产所有权移转</w:t>
                      </w:r>
                      <w:bookmarkEnd w:id="345"/>
                      <w:bookmarkEnd w:id="346"/>
                      <w:bookmarkEnd w:id="347"/>
                    </w:p>
                  </w:txbxContent>
                </v:textbox>
                <w10:wrap type="topAndBottom"/>
              </v:shape>
            </w:pict>
          </mc:Fallback>
        </mc:AlternateContent>
      </w:r>
      <w:r>
        <w:rPr>
          <w:color w:val="000000"/>
          <w:spacing w:val="0"/>
          <w:w w:val="100"/>
          <w:position w:val="0"/>
        </w:rPr>
        <w:t>青岛源宏祥纺织有限公司诉港润（聊城）印染有限公司取回权确认 纠纷案丨《最高人民法院公报》</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w:t>
      </w:r>
    </w:p>
    <w:p w14:paraId="226A8981">
      <w:pPr>
        <w:pStyle w:val="33"/>
        <w:keepNext w:val="0"/>
        <w:keepLines w:val="0"/>
        <w:widowControl w:val="0"/>
        <w:shd w:val="clear" w:color="auto" w:fill="auto"/>
        <w:bidi w:val="0"/>
        <w:spacing w:before="0" w:after="1400" w:line="240" w:lineRule="auto"/>
        <w:ind w:left="0" w:right="0" w:firstLine="0"/>
        <w:jc w:val="right"/>
      </w:pPr>
      <w:r>
        <w:drawing>
          <wp:anchor distT="0" distB="0" distL="114300" distR="114300" simplePos="0" relativeHeight="251660288" behindDoc="0" locked="0" layoutInCell="1" allowOverlap="1">
            <wp:simplePos x="0" y="0"/>
            <wp:positionH relativeFrom="page">
              <wp:posOffset>5121275</wp:posOffset>
            </wp:positionH>
            <wp:positionV relativeFrom="margin">
              <wp:posOffset>381635</wp:posOffset>
            </wp:positionV>
            <wp:extent cx="615950" cy="621665"/>
            <wp:effectExtent l="0" t="0" r="6350" b="635"/>
            <wp:wrapSquare wrapText="left"/>
            <wp:docPr id="463" name="Shape 463"/>
            <wp:cNvGraphicFramePr/>
            <a:graphic xmlns:a="http://schemas.openxmlformats.org/drawingml/2006/main">
              <a:graphicData uri="http://schemas.openxmlformats.org/drawingml/2006/picture">
                <pic:pic xmlns:pic="http://schemas.openxmlformats.org/drawingml/2006/picture">
                  <pic:nvPicPr>
                    <pic:cNvPr id="463" name="Shape 463"/>
                    <pic:cNvPicPr/>
                  </pic:nvPicPr>
                  <pic:blipFill>
                    <a:blip r:embed="rId634"/>
                    <a:stretch>
                      <a:fillRect/>
                    </a:stretch>
                  </pic:blipFill>
                  <pic:spPr>
                    <a:xfrm>
                      <a:off x="0" y="0"/>
                      <a:ext cx="615950" cy="621665"/>
                    </a:xfrm>
                    <a:prstGeom prst="rect">
                      <a:avLst/>
                    </a:prstGeom>
                  </pic:spPr>
                </pic:pic>
              </a:graphicData>
            </a:graphic>
          </wp:anchor>
        </w:drawing>
      </w:r>
      <w:r>
        <w:rPr>
          <w:color w:val="000000"/>
          <w:spacing w:val="0"/>
          <w:w w:val="100"/>
          <w:position w:val="0"/>
          <w:sz w:val="18"/>
          <w:szCs w:val="18"/>
        </w:rPr>
        <w:t>庄加园</w:t>
      </w:r>
      <w:r>
        <w:rPr>
          <w:color w:val="000000"/>
          <w:spacing w:val="0"/>
          <w:w w:val="100"/>
          <w:position w:val="0"/>
        </w:rPr>
        <w:t>上海交通大学凯原法学院</w:t>
      </w:r>
    </w:p>
    <w:p w14:paraId="5775FD76">
      <w:pPr>
        <w:pStyle w:val="11"/>
        <w:keepNext w:val="0"/>
        <w:keepLines w:val="0"/>
        <w:widowControl w:val="0"/>
        <w:shd w:val="clear" w:color="auto" w:fill="auto"/>
        <w:bidi w:val="0"/>
        <w:spacing w:before="0" w:after="100" w:line="340"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1ADBF7D3">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青岛源宏祥纺织公司（以下简称源宏祥公司）与程泉布业公司为港润（聊城）印染有限 公司（以下简称港润公司）供应布匹。截至</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日，港润公司共欠源宏祥公司纺 织货款</w:t>
      </w:r>
      <w:r>
        <w:rPr>
          <w:rFonts w:ascii="Times New Roman" w:hAnsi="Times New Roman" w:eastAsia="Times New Roman" w:cs="Times New Roman"/>
          <w:color w:val="000000"/>
          <w:spacing w:val="0"/>
          <w:w w:val="100"/>
          <w:position w:val="0"/>
          <w:sz w:val="19"/>
          <w:szCs w:val="19"/>
        </w:rPr>
        <w:t xml:space="preserve">1, 195, </w:t>
      </w:r>
      <w:r>
        <w:rPr>
          <w:rFonts w:ascii="Times New Roman" w:hAnsi="Times New Roman" w:eastAsia="Times New Roman" w:cs="Times New Roman"/>
          <w:color w:val="000000"/>
          <w:spacing w:val="0"/>
          <w:w w:val="100"/>
          <w:position w:val="0"/>
          <w:sz w:val="19"/>
          <w:szCs w:val="19"/>
          <w:lang w:val="en-US" w:eastAsia="en-US" w:bidi="en-US"/>
        </w:rPr>
        <w:t>139.</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元,欠程泉布业公司货款</w:t>
      </w:r>
      <w:r>
        <w:rPr>
          <w:rFonts w:ascii="Times New Roman" w:hAnsi="Times New Roman" w:eastAsia="Times New Roman" w:cs="Times New Roman"/>
          <w:color w:val="000000"/>
          <w:spacing w:val="0"/>
          <w:w w:val="100"/>
          <w:position w:val="0"/>
          <w:sz w:val="19"/>
          <w:szCs w:val="19"/>
          <w:lang w:val="en-US" w:eastAsia="en-US" w:bidi="en-US"/>
        </w:rPr>
        <w:t>1,075,952.31</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日，三公 司达成如下协议</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程泉布业公司将港润公司所欠货款全部转让给源宏祥公司，港润公司 和程泉布业公司均同意由港润公司直接将欠款支付给源宏祥公司。</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源宏祥公司同意港 润公司以其所有的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台机械设备折抵所欠货款，此</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台机械设备所有权自本协议生效之日 起转移给源宏祥公司。</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港润公司应在</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日前将所折抵的设备交付源宏祥 公司，并保证源宏祥公司顺利取得设备，港润公司必须严格按照上述时间交付设备,若逾期 交付，港润公司应按照所欠货款金额的每日</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。向源宏祥公司支付滞纳金。协议签订后，至 三方协议中约定的</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日前，港润公司未向源宏祥公司交付</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w:t>
      </w:r>
    </w:p>
    <w:p w14:paraId="4BE7578E">
      <w:pPr>
        <w:pStyle w:val="17"/>
        <w:keepNext w:val="0"/>
        <w:keepLines w:val="0"/>
        <w:widowControl w:val="0"/>
        <w:shd w:val="clear" w:color="auto" w:fill="auto"/>
        <w:bidi w:val="0"/>
        <w:spacing w:before="0" w:after="380" w:line="340" w:lineRule="exact"/>
        <w:ind w:left="0" w:right="0" w:firstLine="420"/>
        <w:jc w:val="both"/>
      </w:pP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日，山东省聊城市中级人民法院作出民事裁定，受理了恒润热力公司对 被告港润公司的破产申请</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日原告源宏祥公司向港润公司申报债权。</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日，聊城市中级人民法院作出民事裁定宣告港润公司破产。而后，源宏祥公司要求 确认其享有港润公司</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台设备的所有权。</w:t>
      </w:r>
    </w:p>
    <w:p w14:paraId="6447131D">
      <w:pPr>
        <w:pStyle w:val="11"/>
        <w:keepNext w:val="0"/>
        <w:keepLines w:val="0"/>
        <w:widowControl w:val="0"/>
        <w:shd w:val="clear" w:color="auto" w:fill="auto"/>
        <w:bidi w:val="0"/>
        <w:spacing w:before="0" w:after="100" w:line="340"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5661E56">
      <w:pPr>
        <w:pStyle w:val="17"/>
        <w:keepNext w:val="0"/>
        <w:keepLines w:val="0"/>
        <w:widowControl w:val="0"/>
        <w:shd w:val="clear" w:color="auto" w:fill="auto"/>
        <w:bidi w:val="0"/>
        <w:spacing w:before="0" w:after="360" w:line="341" w:lineRule="exact"/>
        <w:ind w:left="0" w:right="0" w:firstLine="420"/>
        <w:jc w:val="both"/>
        <w:sectPr>
          <w:headerReference r:id="rId204" w:type="default"/>
          <w:headerReference r:id="rId205" w:type="even"/>
          <w:footnotePr>
            <w:numFmt w:val="chicago"/>
          </w:footnotePr>
          <w:pgSz w:w="10099" w:h="14782"/>
          <w:pgMar w:top="1292" w:right="1024" w:bottom="1104" w:left="1076" w:header="864" w:footer="676" w:gutter="0"/>
          <w:pgNumType w:start="167"/>
          <w:cols w:space="720" w:num="1"/>
          <w:rtlGutter w:val="0"/>
          <w:docGrid w:linePitch="360" w:charSpace="0"/>
        </w:sectPr>
      </w:pPr>
      <w:r>
        <w:rPr>
          <w:color w:val="000000"/>
          <w:spacing w:val="0"/>
          <w:w w:val="100"/>
          <w:position w:val="0"/>
        </w:rPr>
        <w:t>一审法院认为，原告源宏祥公司与被告港润公司、第三人程泉布业公司签订的三方协 议合法有效，但协议有效并不表示本案所涉</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台设备的物权发生转移。本案中，虽然当事人 约定</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台设备的所有权自本协议生效之日起转移给源宏祥公司，但并未向源宏祥公司交付, 且不属于《物权法》中规定的占有改定、指示交付、简易交付三种例外情形，所以</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 物权因未交付并未发生转移，本案所涉</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台设备属于港润公司的破产财产。二审法院除维 持原审判决的观点和理由之外，还认为当事人之间的协议不构成占有改定。因该</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 并未现实交付，尽管当事人签订的协议有效，也只是产生债权效力，并未发生物权变动效 力，上诉人源宏祥公司并没有实际取得该</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 xml:space="preserve">台设备的所有权，故其在被上诉人港润公司破产 </w:t>
      </w:r>
    </w:p>
    <w:p w14:paraId="4A360DF0">
      <w:pPr>
        <w:pStyle w:val="17"/>
        <w:keepNext w:val="0"/>
        <w:keepLines w:val="0"/>
        <w:widowControl w:val="0"/>
        <w:shd w:val="clear" w:color="auto" w:fill="auto"/>
        <w:bidi w:val="0"/>
        <w:spacing w:before="0" w:after="360" w:line="341" w:lineRule="exact"/>
        <w:ind w:left="0" w:right="0" w:firstLine="0"/>
        <w:jc w:val="both"/>
      </w:pPr>
      <w:r>
        <w:rPr>
          <w:color w:val="000000"/>
          <w:spacing w:val="0"/>
          <w:w w:val="100"/>
          <w:position w:val="0"/>
        </w:rPr>
        <w:t>案件中并不享有取回权。</w:t>
      </w:r>
    </w:p>
    <w:p w14:paraId="0565B3D1">
      <w:pPr>
        <w:pStyle w:val="11"/>
        <w:keepNext w:val="0"/>
        <w:keepLines w:val="0"/>
        <w:widowControl w:val="0"/>
        <w:shd w:val="clear" w:color="auto" w:fill="auto"/>
        <w:bidi w:val="0"/>
        <w:spacing w:before="0" w:after="260" w:line="344" w:lineRule="exact"/>
        <w:ind w:left="0" w:right="0" w:firstLine="0"/>
        <w:jc w:val="left"/>
      </w:pPr>
      <w:r>
        <w:rPr>
          <w:color w:val="000000"/>
          <w:spacing w:val="0"/>
          <w:w w:val="100"/>
          <w:position w:val="0"/>
        </w:rPr>
        <w:t>■评析</w:t>
      </w:r>
    </w:p>
    <w:p w14:paraId="11070ECC">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5B8DD2B9">
      <w:pPr>
        <w:pStyle w:val="17"/>
        <w:keepNext w:val="0"/>
        <w:keepLines w:val="0"/>
        <w:widowControl w:val="0"/>
        <w:shd w:val="clear" w:color="auto" w:fill="auto"/>
        <w:bidi w:val="0"/>
        <w:spacing w:before="0" w:after="260" w:line="347" w:lineRule="exact"/>
        <w:ind w:left="0" w:right="0" w:firstLine="420"/>
        <w:jc w:val="both"/>
      </w:pPr>
      <w:r>
        <w:rPr>
          <w:color w:val="000000"/>
          <w:spacing w:val="0"/>
          <w:w w:val="100"/>
          <w:position w:val="0"/>
        </w:rPr>
        <w:t>本案中，根据源宏祥公司的主张，这</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台机械设备的所有权于</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日根据 协议就已经移转于源宏祥公司。一审法院否认源宏祥公司破产取回权的依据在于争议设 备并未完成交付，也未发生物权法规定的三种观念交付方式,所有权因此未能发生移转。 二审法院否定了占有改定发生的可能性。其理由在于，《物权法》第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条占有改定的构成 要件表现为:一是当事人之间达成动产物权变动协议。该协议是发生交付的基础;二是除 了达成物权变动协议外，还应就该动产另外达成让与人继续占有使用该动产的协议。虽然 双方当事人签订的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台设备物权转让协议包含所有权变动内容，但未就被上诉人港润公司 继续占有使用该</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 xml:space="preserve">台设备另外达成协议。本案不仅涉及动产物权变动的协议是否作为第 </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条占有改定的构成要件，而且牵涉《物权法》第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条）的交付原则能 否另有约定，对于动产物权变动（尤其是所有权移转）具有举足轻重的作用。</w:t>
      </w:r>
    </w:p>
    <w:p w14:paraId="16FC2D65">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默示占有改定</w:t>
      </w:r>
    </w:p>
    <w:p w14:paraId="7E9D856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二审法院将动产物权变动的协议作为占有改定的构成要件之一，不免有误。因为物权 变动协议（如买卖合同）只是引起占有改定的原因行为,并非占有改定的构成要件。占有改 定只是原占有人的占有意思发生变更,从自主占有人转变为占有媒介人。买卖合同虽然引 起了占有改定，但其本身并非占有改定的构成要件。</w:t>
      </w:r>
    </w:p>
    <w:p w14:paraId="7D7084D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本案的争议之处在于，双方当事人虽然约定了转让物所有权在协议生效时移转，但并 未约定由让与人继续占有该动产。对于</w:t>
      </w:r>
      <w:r>
        <w:rPr>
          <w:color w:val="000000"/>
          <w:spacing w:val="0"/>
          <w:w w:val="100"/>
          <w:position w:val="0"/>
          <w:lang w:val="zh-CN" w:eastAsia="zh-CN" w:bidi="zh-CN"/>
        </w:rPr>
        <w:t>“出让</w:t>
      </w:r>
      <w:r>
        <w:rPr>
          <w:color w:val="000000"/>
          <w:spacing w:val="0"/>
          <w:w w:val="100"/>
          <w:position w:val="0"/>
        </w:rPr>
        <w:t>人继续占有转让物”，有学者认为，必须双方 当事人明确约定方可。这里的明确约定可以釆取多种方式，既可单独设立占有改定的合同 条款，也可在买卖、租赁等合同中加以约定。本案中的占有媒介关系，既未在单独的占有条 款中约定，也没有写入双方当事人的买卖合同中。由此法院否认了本案中占有媒介关系的 存在。</w:t>
      </w:r>
    </w:p>
    <w:p w14:paraId="42A1C6E1">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二审法院在本案中，区分了协议的债权效力和转让物的物权变动,这一观点值得肯定。 但若一味地强调当事人除所有权变动协议外，仍须达成继续占有使用转让物的占有媒介关 系,则不免过于机械，没有尊重当事人的真意,也有碍交易的便利。</w:t>
      </w:r>
    </w:p>
    <w:p w14:paraId="77C7617A">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笔者认为,《民法典》第</w:t>
      </w:r>
      <w:r>
        <w:rPr>
          <w:rFonts w:ascii="Times New Roman" w:hAnsi="Times New Roman" w:eastAsia="Times New Roman" w:cs="Times New Roman"/>
          <w:color w:val="000000"/>
          <w:spacing w:val="0"/>
          <w:w w:val="100"/>
          <w:position w:val="0"/>
          <w:sz w:val="19"/>
          <w:szCs w:val="19"/>
        </w:rPr>
        <w:t>228</w:t>
      </w:r>
      <w:r>
        <w:rPr>
          <w:color w:val="000000"/>
          <w:spacing w:val="0"/>
          <w:w w:val="100"/>
          <w:position w:val="0"/>
        </w:rPr>
        <w:t>条规定的占有媒介关系不限于明示约定，而且可基于默示 的意思表示发生。因为法律行为的发生，不仅可以基于当事人明示，而且在默示的场合，甚 至在一方当事人沉默的情形都有存在的余地。约定的占有媒介关系作为法律行为的下位 概念,并没有排除基于当事人默示而发生的充分理由。尤其在当事人已明示约定所有权移 转的时刻，自然可期待出让人自那刻起，由自主占有改变为他主占有,受让人也自那刻起取 得转让物的间接占有。</w:t>
      </w:r>
    </w:p>
    <w:p w14:paraId="09550A4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由于协议订立时生效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台设备依然由港润公司直接占有,可以推断当事人通常会实现 协议中所表示的真实意思，并履行其所负有的义务，港润公司将其原来自主占有的意思转 变为占有媒介的意思，其作为源宏祥公司的占有媒介人继续占有该物。由此，源宏祥公司 获得了</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台设备的间接占有。至于当事人究竟基于哪个具体的占有媒介关系——保管、委 托、借用等——则可根据案件事实得出。本案当事人约定，转让物的交付应在所有权移转 后进行，至少可以认定当事人达成了默示的保管合同。</w:t>
      </w:r>
    </w:p>
    <w:p w14:paraId="399480A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在本案中，双方当事人达成默示的占有媒介关系也有事实支持。出让人港润公司共欠 受让人源宏祥公司纺织货款</w:t>
      </w:r>
      <w:r>
        <w:rPr>
          <w:rFonts w:ascii="Times New Roman" w:hAnsi="Times New Roman" w:eastAsia="Times New Roman" w:cs="Times New Roman"/>
          <w:color w:val="000000"/>
          <w:spacing w:val="0"/>
          <w:w w:val="100"/>
          <w:position w:val="0"/>
          <w:sz w:val="19"/>
          <w:szCs w:val="19"/>
        </w:rPr>
        <w:t xml:space="preserve">2, </w:t>
      </w:r>
      <w:r>
        <w:rPr>
          <w:rFonts w:ascii="Times New Roman" w:hAnsi="Times New Roman" w:eastAsia="Times New Roman" w:cs="Times New Roman"/>
          <w:color w:val="000000"/>
          <w:spacing w:val="0"/>
          <w:w w:val="100"/>
          <w:position w:val="0"/>
          <w:sz w:val="19"/>
          <w:szCs w:val="19"/>
          <w:lang w:val="en-US" w:eastAsia="en-US" w:bidi="en-US"/>
        </w:rPr>
        <w:t>271,091.48</w:t>
      </w:r>
      <w:r>
        <w:rPr>
          <w:color w:val="000000"/>
          <w:spacing w:val="0"/>
          <w:w w:val="100"/>
          <w:position w:val="0"/>
        </w:rPr>
        <w:t>元，为此才转让</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台设备所有权,用以代物清偿。 这一转让所有权的约定符合正常的交易目的，也是当事人真实的意思表示。更为重要的 是，占有改定的标的物需要被特定化，否则将无法确定物权变动的标的物。从案件事实来 看，协议中所转让的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台设备应该已经被特定化，由此也满足了物权客体特定的要求。</w:t>
      </w:r>
    </w:p>
    <w:p w14:paraId="4E2DFB6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在当事人明示所有权变动的时刻，占有改定基于默示的占有媒介关系而发生,也符合 当事人的真实意思和保护受让人的利益。尤其在受让人需要即刻取得所有权，进行继续转 让或融资担保时,如果僵硬地固守当事人必须另外订立一个明示约定占有媒介关系的合 同，既不符合当事人要求即刻转移所有权的意思，也不符合当事人的利益需要。当然，如果 从出让人的行为可以推断出相反的占有意思，比如侵占转让物，那么出让人变更占有意思 的推断将被推翻。</w:t>
      </w:r>
    </w:p>
    <w:p w14:paraId="05ACD27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历史经验表明，当事人虚构占有媒介关系以转移财产才是占有改定受到质疑的重要原 因。然而，占有改定的前提是占有意思的改变，而非占有媒介关系的类型与效力;所谓具体 占有媒介关系的要求既非必要，也非充分,至多具有标识功能。作为占有媒介关系重要标 志的义务关系仅具有以下功能，即表现当事人转移所有权意思的真实性。因此，即便占有 媒介关系无效,学说也认可占有改定的成立。</w:t>
      </w:r>
    </w:p>
    <w:p w14:paraId="35D0D74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本案中，受让人源宏祥公司应就占有改定的构成要件承担证明责任，主张并证明默示 占有媒介关系的成立。它已经证明双方达成协议并生效，被特定化的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台设备所有权移转 的事实。那么，依照协议所确定的时间,港润公司作为出让人的占有意思应当由自主占有 变为他主占有。相应地，港润公司此时可以证明其占有意思未发生变更。若就该事实未能 完成证明，那么对于港润公司占有意思发生变化的推断就应当成立。</w:t>
      </w:r>
    </w:p>
    <w:p w14:paraId="22CBF9F3">
      <w:pPr>
        <w:pStyle w:val="17"/>
        <w:keepNext w:val="0"/>
        <w:keepLines w:val="0"/>
        <w:widowControl w:val="0"/>
        <w:shd w:val="clear" w:color="auto" w:fill="auto"/>
        <w:bidi w:val="0"/>
        <w:spacing w:before="0" w:after="180" w:line="343" w:lineRule="exact"/>
        <w:ind w:left="0" w:right="0" w:firstLine="420"/>
        <w:jc w:val="both"/>
      </w:pPr>
      <w:r>
        <w:rPr>
          <w:color w:val="000000"/>
          <w:spacing w:val="0"/>
          <w:w w:val="100"/>
          <w:position w:val="0"/>
        </w:rPr>
        <w:t>由此，源宏祥公司得以根据港润公司被推定的占有意思变更，基于默示的占有媒介关 系（保管）而获得间接占有，从而根据占有改定获得这</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台设备的所有权。当出让人港润公 司破产时，源宏祥公司作为所有人，可以主张《破产法》第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条的取回权，重新获得这些设 备的直接占有。从这一案件可以得知，《民法典》第</w:t>
      </w:r>
      <w:r>
        <w:rPr>
          <w:rFonts w:ascii="Times New Roman" w:hAnsi="Times New Roman" w:eastAsia="Times New Roman" w:cs="Times New Roman"/>
          <w:color w:val="000000"/>
          <w:spacing w:val="0"/>
          <w:w w:val="100"/>
          <w:position w:val="0"/>
          <w:sz w:val="19"/>
          <w:szCs w:val="19"/>
        </w:rPr>
        <w:t>228</w:t>
      </w:r>
      <w:r>
        <w:rPr>
          <w:color w:val="000000"/>
          <w:spacing w:val="0"/>
          <w:w w:val="100"/>
          <w:position w:val="0"/>
        </w:rPr>
        <w:t>条的约定不限于明示约定,在当事 人明示所有权移转的时刻，应该能推断成立默示的占有媒介关系,从而发生占有改定。</w:t>
      </w:r>
    </w:p>
    <w:p w14:paraId="120A5E9A">
      <w:pPr>
        <w:pStyle w:val="17"/>
        <w:keepNext w:val="0"/>
        <w:keepLines w:val="0"/>
        <w:widowControl w:val="0"/>
        <w:shd w:val="clear" w:color="auto" w:fill="auto"/>
        <w:bidi w:val="0"/>
        <w:spacing w:before="0" w:after="10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反思:交付原则的</w:t>
      </w:r>
      <w:r>
        <w:rPr>
          <w:color w:val="000000"/>
          <w:spacing w:val="0"/>
          <w:w w:val="100"/>
          <w:position w:val="0"/>
          <w:lang w:val="zh-CN" w:eastAsia="zh-CN" w:bidi="zh-CN"/>
        </w:rPr>
        <w:t>“另有</w:t>
      </w:r>
      <w:r>
        <w:rPr>
          <w:color w:val="000000"/>
          <w:spacing w:val="0"/>
          <w:w w:val="100"/>
          <w:position w:val="0"/>
        </w:rPr>
        <w:t>约定”</w:t>
      </w:r>
    </w:p>
    <w:p w14:paraId="3ABAA693">
      <w:pPr>
        <w:pStyle w:val="17"/>
        <w:keepNext w:val="0"/>
        <w:keepLines w:val="0"/>
        <w:widowControl w:val="0"/>
        <w:shd w:val="clear" w:color="auto" w:fill="auto"/>
        <w:bidi w:val="0"/>
        <w:spacing w:before="0" w:after="0" w:line="350" w:lineRule="exact"/>
        <w:ind w:left="0" w:right="0" w:firstLine="420"/>
        <w:jc w:val="both"/>
      </w:pPr>
      <w:r>
        <w:rPr>
          <w:color w:val="000000"/>
          <w:spacing w:val="0"/>
          <w:w w:val="100"/>
          <w:position w:val="0"/>
        </w:rPr>
        <w:t>原审法院认为《物权法》第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条）排除了当事人的约定，其理由在 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年生效的原《物权法》第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条只保留法定例外，却取消了“当事人另有约定的除 外”。《物权法》第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条）相对于《合同法》第</w:t>
      </w:r>
      <w:r>
        <w:rPr>
          <w:rFonts w:ascii="Times New Roman" w:hAnsi="Times New Roman" w:eastAsia="Times New Roman" w:cs="Times New Roman"/>
          <w:color w:val="000000"/>
          <w:spacing w:val="0"/>
          <w:w w:val="100"/>
          <w:position w:val="0"/>
          <w:sz w:val="19"/>
          <w:szCs w:val="19"/>
        </w:rPr>
        <w:t>133</w:t>
      </w:r>
      <w:r>
        <w:rPr>
          <w:color w:val="000000"/>
          <w:spacing w:val="0"/>
          <w:w w:val="100"/>
          <w:position w:val="0"/>
        </w:rPr>
        <w:t>条、《民法通则》第</w:t>
      </w:r>
      <w:r>
        <w:rPr>
          <w:rFonts w:ascii="Times New Roman" w:hAnsi="Times New Roman" w:eastAsia="Times New Roman" w:cs="Times New Roman"/>
          <w:color w:val="000000"/>
          <w:spacing w:val="0"/>
          <w:w w:val="100"/>
          <w:position w:val="0"/>
          <w:sz w:val="19"/>
          <w:szCs w:val="19"/>
        </w:rPr>
        <w:t xml:space="preserve">72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款是新法，既然它删除了旧法中的但书条款，通常应认为有所变动，不应解释为当事 人约定也可变更动产物权变动的方式。《民法典》则完全删除了原《合同法》第</w:t>
      </w:r>
      <w:r>
        <w:rPr>
          <w:rFonts w:ascii="Times New Roman" w:hAnsi="Times New Roman" w:eastAsia="Times New Roman" w:cs="Times New Roman"/>
          <w:color w:val="000000"/>
          <w:spacing w:val="0"/>
          <w:w w:val="100"/>
          <w:position w:val="0"/>
          <w:sz w:val="19"/>
          <w:szCs w:val="19"/>
        </w:rPr>
        <w:t>133</w:t>
      </w:r>
      <w:r>
        <w:rPr>
          <w:color w:val="000000"/>
          <w:spacing w:val="0"/>
          <w:w w:val="100"/>
          <w:position w:val="0"/>
        </w:rPr>
        <w:t>条、原 《民法通则》第</w:t>
      </w:r>
      <w:r>
        <w:rPr>
          <w:rFonts w:ascii="Times New Roman" w:hAnsi="Times New Roman" w:eastAsia="Times New Roman" w:cs="Times New Roman"/>
          <w:color w:val="000000"/>
          <w:spacing w:val="0"/>
          <w:w w:val="100"/>
          <w:position w:val="0"/>
          <w:sz w:val="19"/>
          <w:szCs w:val="19"/>
        </w:rPr>
        <w:t>72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w:t>
      </w:r>
    </w:p>
    <w:p w14:paraId="1EECF41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相反意见却认为《物权法》第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条）并非强制性规范。其理由主要 在于:第一,《物权法》第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 xml:space="preserve">条）并非闭合型规范；第二，债权意思主义模 式符合权利本性和私法自治理念;第三，允许债权意思主义例外并不足以危害交易安全，反 而会在一定程度上平衡受让人与第三人的利益关系。而且，从我国民法的历史发展考察， </w:t>
      </w:r>
      <w:r>
        <w:rPr>
          <w:rFonts w:ascii="Times New Roman" w:hAnsi="Times New Roman" w:eastAsia="Times New Roman" w:cs="Times New Roman"/>
          <w:color w:val="000000"/>
          <w:spacing w:val="0"/>
          <w:w w:val="100"/>
          <w:position w:val="0"/>
          <w:sz w:val="19"/>
          <w:szCs w:val="19"/>
        </w:rPr>
        <w:t>1986</w:t>
      </w:r>
      <w:r>
        <w:rPr>
          <w:color w:val="000000"/>
          <w:spacing w:val="0"/>
          <w:w w:val="100"/>
          <w:position w:val="0"/>
        </w:rPr>
        <w:t>年原《民法通则》第</w:t>
      </w:r>
      <w:r>
        <w:rPr>
          <w:rFonts w:ascii="Times New Roman" w:hAnsi="Times New Roman" w:eastAsia="Times New Roman" w:cs="Times New Roman"/>
          <w:color w:val="000000"/>
          <w:spacing w:val="0"/>
          <w:w w:val="100"/>
          <w:position w:val="0"/>
          <w:sz w:val="19"/>
          <w:szCs w:val="19"/>
        </w:rPr>
        <w:t>72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款针对动产物权变动基本上仿效</w:t>
      </w:r>
      <w:r>
        <w:rPr>
          <w:rFonts w:ascii="Times New Roman" w:hAnsi="Times New Roman" w:eastAsia="Times New Roman" w:cs="Times New Roman"/>
          <w:color w:val="000000"/>
          <w:spacing w:val="0"/>
          <w:w w:val="100"/>
          <w:position w:val="0"/>
          <w:sz w:val="19"/>
          <w:szCs w:val="19"/>
        </w:rPr>
        <w:t>1964</w:t>
      </w:r>
      <w:r>
        <w:rPr>
          <w:color w:val="000000"/>
          <w:spacing w:val="0"/>
          <w:w w:val="100"/>
          <w:position w:val="0"/>
        </w:rPr>
        <w:t>年《苏俄民法典》， 以交付为原则，但又允许当事人另有约定。原《合同法》第</w:t>
      </w:r>
      <w:r>
        <w:rPr>
          <w:rFonts w:ascii="Times New Roman" w:hAnsi="Times New Roman" w:eastAsia="Times New Roman" w:cs="Times New Roman"/>
          <w:color w:val="000000"/>
          <w:spacing w:val="0"/>
          <w:w w:val="100"/>
          <w:position w:val="0"/>
          <w:sz w:val="19"/>
          <w:szCs w:val="19"/>
        </w:rPr>
        <w:t>133</w:t>
      </w:r>
      <w:r>
        <w:rPr>
          <w:color w:val="000000"/>
          <w:spacing w:val="0"/>
          <w:w w:val="100"/>
          <w:position w:val="0"/>
        </w:rPr>
        <w:t>条完全延续了原《民法通则》 的物权变动规则。虽说新法优于旧法,但立法者若无充分理由，通常不会修改或废止既有 规则。</w:t>
      </w:r>
    </w:p>
    <w:p w14:paraId="00E7831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即便物权变动采用物权形式主义模式，也并非不允许当事人另有约定。交付作为强制 规范的要求，其辅助意义在于证明准则，即交付能够作为证明所有权移转意思的识别手段。 交付是用于确认当事人是否具有郑重严肃的意思，以引起物权效力。我国《民法典》第</w:t>
      </w:r>
      <w:r>
        <w:rPr>
          <w:rFonts w:ascii="Times New Roman" w:hAnsi="Times New Roman" w:eastAsia="Times New Roman" w:cs="Times New Roman"/>
          <w:color w:val="000000"/>
          <w:spacing w:val="0"/>
          <w:w w:val="100"/>
          <w:position w:val="0"/>
          <w:sz w:val="19"/>
          <w:szCs w:val="19"/>
        </w:rPr>
        <w:t>226</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228</w:t>
      </w:r>
      <w:r>
        <w:rPr>
          <w:color w:val="000000"/>
          <w:spacing w:val="0"/>
          <w:w w:val="100"/>
          <w:position w:val="0"/>
        </w:rPr>
        <w:t>条规定的观念交付只是逐渐形成的默认规则，这不意味着完全排除发生其他物权变动 的可能。随着时代的发展，当事人终会突破既有的观念交付类型，创设其他基于合意的交 易方式。就此而论，立法者无法穷尽一切可能的例外，也没有理由给当事人强加所谓</w:t>
      </w:r>
      <w:r>
        <w:rPr>
          <w:color w:val="000000"/>
          <w:spacing w:val="0"/>
          <w:w w:val="100"/>
          <w:position w:val="0"/>
          <w:lang w:val="zh-CN" w:eastAsia="zh-CN" w:bidi="zh-CN"/>
        </w:rPr>
        <w:t xml:space="preserve">“最理 </w:t>
      </w:r>
      <w:r>
        <w:rPr>
          <w:color w:val="000000"/>
          <w:spacing w:val="0"/>
          <w:w w:val="100"/>
          <w:position w:val="0"/>
        </w:rPr>
        <w:t>想”的交易方式。只要当事人具有移转所有权的真实意思，即便突破法定的观念交付方式， 也应得到尊重。</w:t>
      </w:r>
    </w:p>
    <w:p w14:paraId="266EF331">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224</w:t>
      </w:r>
      <w:r>
        <w:rPr>
          <w:color w:val="000000"/>
          <w:spacing w:val="0"/>
          <w:w w:val="100"/>
          <w:position w:val="0"/>
        </w:rPr>
        <w:t>条是否允许当事人另有约定，更多地只具有形式意义。其实质却是物 权法领域，尤其是动产所有权移转背后,存在多大的意思自治空间。《物权法》第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条的交 付原则属于任意法范畴,发挥着默示规则的作用。即便默示的占有改定获得认可,也并不 意味着我国法律从交付原则走向合意原则。相反，居于主导地位的仍是双方移转所有权的 意思。合意原则与交付原则的差异不应被过分夸大,只是默示规则的时间点有所不同。</w:t>
      </w:r>
    </w:p>
    <w:p w14:paraId="668B510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否定</w:t>
      </w:r>
      <w:r>
        <w:rPr>
          <w:color w:val="000000"/>
          <w:spacing w:val="0"/>
          <w:w w:val="100"/>
          <w:position w:val="0"/>
          <w:lang w:val="zh-CN" w:eastAsia="zh-CN" w:bidi="zh-CN"/>
        </w:rPr>
        <w:t>“约</w:t>
      </w:r>
      <w:r>
        <w:rPr>
          <w:color w:val="000000"/>
          <w:spacing w:val="0"/>
          <w:w w:val="100"/>
          <w:position w:val="0"/>
        </w:rPr>
        <w:t>定例外</w:t>
      </w:r>
      <w:r>
        <w:rPr>
          <w:color w:val="000000"/>
          <w:spacing w:val="0"/>
          <w:w w:val="100"/>
          <w:position w:val="0"/>
          <w:lang w:val="zh-CN" w:eastAsia="zh-CN" w:bidi="zh-CN"/>
        </w:rPr>
        <w:t>”的</w:t>
      </w:r>
      <w:r>
        <w:rPr>
          <w:color w:val="000000"/>
          <w:spacing w:val="0"/>
          <w:w w:val="100"/>
          <w:position w:val="0"/>
        </w:rPr>
        <w:t>核心理由在于，此规则可能造成物权实际归属与公示的分离，最终 损害交易安全，但这一理由颇值怀疑。因为双方当事人排除交付原则的适用，另约定所有 权的移转时间，并不会损害其他交易相对人的合法权益。善意取得制度依然可以发挥保护 交易安全的作用。具体来说，若当事人采用约定例外的方式在交付前转让所有权,不过是 达成占有改定的方式。作为占有媒介人的转让人若再次处分转让动产，除非其向善意第三 人交付动产，否则受让人将因未完成交付而不能取得所有权（《民法典》第</w:t>
      </w:r>
      <w:r>
        <w:rPr>
          <w:rFonts w:ascii="Times New Roman" w:hAnsi="Times New Roman" w:eastAsia="Times New Roman" w:cs="Times New Roman"/>
          <w:color w:val="000000"/>
          <w:spacing w:val="0"/>
          <w:w w:val="100"/>
          <w:position w:val="0"/>
          <w:sz w:val="19"/>
          <w:szCs w:val="19"/>
        </w:rPr>
        <w:t>311</w:t>
      </w:r>
      <w:r>
        <w:rPr>
          <w:color w:val="000000"/>
          <w:spacing w:val="0"/>
          <w:w w:val="100"/>
          <w:position w:val="0"/>
        </w:rPr>
        <w:t>条）。在此情 形下，承认约定例外则等同于承认占有改定变动物权，既不会破坏现有体系,也不会损害交 易安全。假设当事人约定在交付后一段时间转移所有权，如分期付款买卖的所有权保留。 此时受让人在价款未付清之前未获所有权，但出卖人已向前者交付标的物,使受让人提前 占有标的物。若保留所有权情况下的受让人向第三人转让标的物并交付之,第三人依然可 在符合善意取得的前提下获得所有权。</w:t>
      </w:r>
    </w:p>
    <w:p w14:paraId="1ADE9667">
      <w:pPr>
        <w:pStyle w:val="17"/>
        <w:keepNext w:val="0"/>
        <w:keepLines w:val="0"/>
        <w:widowControl w:val="0"/>
        <w:shd w:val="clear" w:color="auto" w:fill="auto"/>
        <w:bidi w:val="0"/>
        <w:spacing w:before="0" w:after="360" w:line="341" w:lineRule="exact"/>
        <w:ind w:left="0" w:right="0"/>
        <w:jc w:val="both"/>
      </w:pPr>
      <w:r>
        <w:rPr>
          <w:color w:val="000000"/>
          <w:spacing w:val="0"/>
          <w:w w:val="100"/>
          <w:position w:val="0"/>
        </w:rPr>
        <w:t>损害其他交易当事人的忧虑可能来自双方通谋虚伪交易。例如，当事人约定虚假的所 有权移转交易（如买卖合同），以逃避出卖人债权人的强制执行或者出卖人破产。对此，不 应简单地否定意思自治，而要从交易的真实性判断入手。一方面，法院应当审查当事人是 否达成真实的所有权移转合意;另一方面，合同法撤销权与破产法撤销权应当在证明手段 中适当降低证明难度，扩展撤销权的适用范围。只有这样实践中常见的虚假交易才能得以 规制,而非因噎废食，不必要地剥夺物权变动中的私法自治空间。</w:t>
      </w:r>
    </w:p>
    <w:p w14:paraId="04B454C3">
      <w:pPr>
        <w:pStyle w:val="11"/>
        <w:keepNext w:val="0"/>
        <w:keepLines w:val="0"/>
        <w:widowControl w:val="0"/>
        <w:shd w:val="clear" w:color="auto" w:fill="auto"/>
        <w:bidi w:val="0"/>
        <w:spacing w:before="0" w:after="60" w:line="327" w:lineRule="exact"/>
        <w:ind w:left="0" w:right="0" w:firstLine="0"/>
        <w:jc w:val="left"/>
      </w:pPr>
      <w:r>
        <w:rPr>
          <w:i/>
          <w:iCs/>
          <w:color w:val="000000"/>
          <w:spacing w:val="0"/>
          <w:w w:val="100"/>
          <w:position w:val="0"/>
        </w:rPr>
        <w:t>回</w:t>
      </w:r>
      <w:r>
        <w:rPr>
          <w:color w:val="000000"/>
          <w:spacing w:val="0"/>
          <w:w w:val="100"/>
          <w:position w:val="0"/>
        </w:rPr>
        <w:t>参考文献</w:t>
      </w:r>
    </w:p>
    <w:p w14:paraId="559A9D44">
      <w:pPr>
        <w:pStyle w:val="17"/>
        <w:keepNext w:val="0"/>
        <w:keepLines w:val="0"/>
        <w:widowControl w:val="0"/>
        <w:shd w:val="clear" w:color="auto" w:fill="auto"/>
        <w:bidi w:val="0"/>
        <w:spacing w:before="0" w:after="0" w:line="312" w:lineRule="exact"/>
        <w:ind w:left="0" w:right="0" w:firstLine="0"/>
        <w:jc w:val="left"/>
      </w:pPr>
      <w:r>
        <w:rPr>
          <w:color w:val="000000"/>
          <w:spacing w:val="0"/>
          <w:w w:val="100"/>
          <w:position w:val="0"/>
        </w:rPr>
        <w:t>崔建远:《物权法》，中国人民大学出版社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06A8DE25">
      <w:pPr>
        <w:pStyle w:val="17"/>
        <w:keepNext w:val="0"/>
        <w:keepLines w:val="0"/>
        <w:widowControl w:val="0"/>
        <w:shd w:val="clear" w:color="auto" w:fill="auto"/>
        <w:bidi w:val="0"/>
        <w:spacing w:before="0" w:after="0" w:line="312" w:lineRule="exact"/>
        <w:ind w:left="0" w:right="0" w:firstLine="0"/>
        <w:jc w:val="left"/>
      </w:pPr>
      <w:r>
        <w:rPr>
          <w:color w:val="000000"/>
          <w:spacing w:val="0"/>
          <w:w w:val="100"/>
          <w:position w:val="0"/>
        </w:rPr>
        <w:t>王利明：《物权法研究》（第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03038119">
      <w:pPr>
        <w:pStyle w:val="17"/>
        <w:keepNext w:val="0"/>
        <w:keepLines w:val="0"/>
        <w:widowControl w:val="0"/>
        <w:shd w:val="clear" w:color="auto" w:fill="auto"/>
        <w:bidi w:val="0"/>
        <w:spacing w:before="0" w:after="0" w:line="312" w:lineRule="exact"/>
        <w:ind w:left="0" w:right="0" w:firstLine="0"/>
        <w:jc w:val="left"/>
      </w:pPr>
      <w:r>
        <w:rPr>
          <w:color w:val="000000"/>
          <w:spacing w:val="0"/>
          <w:w w:val="100"/>
          <w:position w:val="0"/>
        </w:rPr>
        <w:t>王泽鉴:《民法物权》（第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册）（用益物权、占有），中国政法大学出版社</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年版。</w:t>
      </w:r>
    </w:p>
    <w:p w14:paraId="0C1A418F">
      <w:pPr>
        <w:pStyle w:val="17"/>
        <w:keepNext w:val="0"/>
        <w:keepLines w:val="0"/>
        <w:widowControl w:val="0"/>
        <w:shd w:val="clear" w:color="auto" w:fill="auto"/>
        <w:bidi w:val="0"/>
        <w:spacing w:before="0" w:after="0" w:line="312" w:lineRule="exact"/>
        <w:ind w:left="200" w:right="0" w:hanging="200"/>
        <w:jc w:val="both"/>
      </w:pPr>
      <w:r>
        <w:rPr>
          <w:color w:val="000000"/>
          <w:spacing w:val="0"/>
          <w:w w:val="100"/>
          <w:position w:val="0"/>
        </w:rPr>
        <w:t>庄加园：《间接占有与占有改定下的所有权变动：兼评〈中华人民共和国物权法〉第</w:t>
      </w:r>
      <w:r>
        <w:rPr>
          <w:rFonts w:ascii="Times New Roman" w:hAnsi="Times New Roman" w:eastAsia="Times New Roman" w:cs="Times New Roman"/>
          <w:color w:val="000000"/>
          <w:spacing w:val="0"/>
          <w:w w:val="100"/>
          <w:position w:val="0"/>
          <w:sz w:val="17"/>
          <w:szCs w:val="17"/>
        </w:rPr>
        <w:t>27</w:t>
      </w:r>
      <w:r>
        <w:rPr>
          <w:color w:val="000000"/>
          <w:spacing w:val="0"/>
          <w:w w:val="100"/>
          <w:position w:val="0"/>
        </w:rPr>
        <w:t>条》，载《中外法 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23AB27C">
      <w:pPr>
        <w:pStyle w:val="17"/>
        <w:keepNext w:val="0"/>
        <w:keepLines w:val="0"/>
        <w:widowControl w:val="0"/>
        <w:shd w:val="clear" w:color="auto" w:fill="auto"/>
        <w:bidi w:val="0"/>
        <w:spacing w:before="0" w:after="120" w:line="312" w:lineRule="exact"/>
        <w:ind w:left="0" w:right="0" w:firstLine="0"/>
        <w:jc w:val="left"/>
      </w:pPr>
      <w:r>
        <w:rPr>
          <w:color w:val="000000"/>
          <w:spacing w:val="0"/>
          <w:w w:val="100"/>
          <w:position w:val="0"/>
        </w:rPr>
        <w:t>庄加园：《交付原则框架下的意思自治》，载《法学》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725FD46">
      <w:pPr>
        <w:pStyle w:val="25"/>
        <w:keepNext w:val="0"/>
        <w:keepLines w:val="0"/>
        <w:widowControl w:val="0"/>
        <w:shd w:val="clear" w:color="auto" w:fill="auto"/>
        <w:bidi w:val="0"/>
        <w:spacing w:before="0" w:after="0" w:line="384" w:lineRule="auto"/>
        <w:ind w:left="0" w:right="0" w:firstLine="0"/>
        <w:jc w:val="left"/>
      </w:pPr>
      <w:r>
        <w:rPr>
          <w:rFonts w:ascii="Times New Roman" w:hAnsi="Times New Roman" w:eastAsia="Times New Roman" w:cs="Times New Roman"/>
          <w:color w:val="000000"/>
          <w:spacing w:val="0"/>
          <w:w w:val="100"/>
          <w:position w:val="0"/>
          <w:lang w:val="en-US" w:eastAsia="en-US" w:bidi="en-US"/>
        </w:rPr>
        <w:t>Ernst, Eigenbesitz und Mobiliarerwerb, Tubingen 1992.</w:t>
      </w:r>
    </w:p>
    <w:p w14:paraId="56BDF960">
      <w:pPr>
        <w:pStyle w:val="25"/>
        <w:keepNext w:val="0"/>
        <w:keepLines w:val="0"/>
        <w:widowControl w:val="0"/>
        <w:shd w:val="clear" w:color="auto" w:fill="auto"/>
        <w:bidi w:val="0"/>
        <w:spacing w:before="0" w:after="0" w:line="384" w:lineRule="auto"/>
        <w:ind w:left="0" w:right="0" w:firstLine="0"/>
        <w:jc w:val="left"/>
        <w:sectPr>
          <w:headerReference r:id="rId206" w:type="default"/>
          <w:headerReference r:id="rId207" w:type="even"/>
          <w:footnotePr>
            <w:numFmt w:val="chicago"/>
          </w:footnotePr>
          <w:pgSz w:w="10099" w:h="14782"/>
          <w:pgMar w:top="1292" w:right="1024" w:bottom="1104" w:left="1076" w:header="0" w:footer="3" w:gutter="0"/>
          <w:pgNumType w:start="152"/>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Heck, Grundrip des Sachrenchts, Tubingen 1960.</w:t>
      </w:r>
    </w:p>
    <w:p w14:paraId="7F6A342C">
      <w:pPr>
        <w:widowControl w:val="0"/>
        <w:spacing w:line="110" w:lineRule="exact"/>
        <w:rPr>
          <w:sz w:val="9"/>
          <w:szCs w:val="9"/>
        </w:rPr>
      </w:pPr>
    </w:p>
    <w:p w14:paraId="4503F8B2">
      <w:pPr>
        <w:widowControl w:val="0"/>
        <w:spacing w:line="1" w:lineRule="exact"/>
        <w:sectPr>
          <w:headerReference r:id="rId208" w:type="default"/>
          <w:headerReference r:id="rId209" w:type="even"/>
          <w:footnotePr>
            <w:numFmt w:val="chicago"/>
          </w:footnotePr>
          <w:pgSz w:w="10099" w:h="14782"/>
          <w:pgMar w:top="1255" w:right="987" w:bottom="1164" w:left="1065" w:header="0" w:footer="3" w:gutter="0"/>
          <w:pgNumType w:start="172"/>
          <w:cols w:space="720" w:num="1"/>
          <w:rtlGutter w:val="0"/>
          <w:docGrid w:linePitch="360" w:charSpace="0"/>
        </w:sectPr>
      </w:pPr>
    </w:p>
    <w:p w14:paraId="5A674FE4">
      <w:pPr>
        <w:widowControl w:val="0"/>
        <w:spacing w:line="1" w:lineRule="exact"/>
      </w:pPr>
      <w:r>
        <w:drawing>
          <wp:anchor distT="0" distB="0" distL="0" distR="0" simplePos="0" relativeHeight="251660288" behindDoc="0" locked="0" layoutInCell="1" allowOverlap="1">
            <wp:simplePos x="0" y="0"/>
            <wp:positionH relativeFrom="page">
              <wp:posOffset>721995</wp:posOffset>
            </wp:positionH>
            <wp:positionV relativeFrom="paragraph">
              <wp:posOffset>0</wp:posOffset>
            </wp:positionV>
            <wp:extent cx="481330" cy="414655"/>
            <wp:effectExtent l="0" t="0" r="1270" b="4445"/>
            <wp:wrapTopAndBottom/>
            <wp:docPr id="469" name="Shape 469"/>
            <wp:cNvGraphicFramePr/>
            <a:graphic xmlns:a="http://schemas.openxmlformats.org/drawingml/2006/main">
              <a:graphicData uri="http://schemas.openxmlformats.org/drawingml/2006/picture">
                <pic:pic xmlns:pic="http://schemas.openxmlformats.org/drawingml/2006/picture">
                  <pic:nvPicPr>
                    <pic:cNvPr id="469" name="Shape 469"/>
                    <pic:cNvPicPr/>
                  </pic:nvPicPr>
                  <pic:blipFill>
                    <a:blip r:embed="rId635"/>
                    <a:stretch>
                      <a:fillRect/>
                    </a:stretch>
                  </pic:blipFill>
                  <pic:spPr>
                    <a:xfrm>
                      <a:off x="0" y="0"/>
                      <a:ext cx="481330" cy="414655"/>
                    </a:xfrm>
                    <a:prstGeom prst="rect">
                      <a:avLst/>
                    </a:prstGeom>
                  </pic:spPr>
                </pic:pic>
              </a:graphicData>
            </a:graphic>
          </wp:anchor>
        </w:drawing>
      </w:r>
      <w:r>
        <mc:AlternateContent>
          <mc:Choice Requires="wps">
            <w:drawing>
              <wp:anchor distT="130810" distB="40005" distL="0" distR="0" simplePos="0" relativeHeight="251660288" behindDoc="0" locked="0" layoutInCell="1" allowOverlap="1">
                <wp:simplePos x="0" y="0"/>
                <wp:positionH relativeFrom="page">
                  <wp:posOffset>1340485</wp:posOffset>
                </wp:positionH>
                <wp:positionV relativeFrom="paragraph">
                  <wp:posOffset>130810</wp:posOffset>
                </wp:positionV>
                <wp:extent cx="3633470" cy="240665"/>
                <wp:effectExtent l="0" t="0" r="0" b="0"/>
                <wp:wrapTopAndBottom/>
                <wp:docPr id="471" name="Shape 471"/>
                <wp:cNvGraphicFramePr/>
                <a:graphic xmlns:a="http://schemas.openxmlformats.org/drawingml/2006/main">
                  <a:graphicData uri="http://schemas.microsoft.com/office/word/2010/wordprocessingShape">
                    <wps:wsp>
                      <wps:cNvSpPr txBox="1"/>
                      <wps:spPr>
                        <a:xfrm>
                          <a:off x="0" y="0"/>
                          <a:ext cx="3633470" cy="240665"/>
                        </a:xfrm>
                        <a:prstGeom prst="rect">
                          <a:avLst/>
                        </a:prstGeom>
                        <a:noFill/>
                      </wps:spPr>
                      <wps:txbx>
                        <w:txbxContent>
                          <w:p w14:paraId="57D86A77">
                            <w:pPr>
                              <w:pStyle w:val="15"/>
                              <w:keepNext/>
                              <w:keepLines/>
                              <w:widowControl w:val="0"/>
                              <w:shd w:val="clear" w:color="auto" w:fill="auto"/>
                              <w:bidi w:val="0"/>
                              <w:spacing w:before="0" w:after="0" w:line="240" w:lineRule="auto"/>
                              <w:ind w:left="0" w:right="0" w:firstLine="0"/>
                              <w:jc w:val="left"/>
                            </w:pPr>
                            <w:bookmarkStart w:id="348" w:name="bookmark202"/>
                            <w:bookmarkStart w:id="349" w:name="bookmark201"/>
                            <w:bookmarkStart w:id="350" w:name="bookmark203"/>
                            <w:r>
                              <w:rPr>
                                <w:color w:val="000000"/>
                                <w:spacing w:val="0"/>
                                <w:w w:val="100"/>
                                <w:position w:val="0"/>
                              </w:rPr>
                              <w:t>以物抵债协议及以物抵债裁定对物权变动</w:t>
                            </w:r>
                            <w:bookmarkEnd w:id="348"/>
                            <w:bookmarkEnd w:id="349"/>
                            <w:bookmarkEnd w:id="350"/>
                          </w:p>
                        </w:txbxContent>
                      </wps:txbx>
                      <wps:bodyPr wrap="none" lIns="0" tIns="0" rIns="0" bIns="0">
                        <a:noAutofit/>
                      </wps:bodyPr>
                    </wps:wsp>
                  </a:graphicData>
                </a:graphic>
              </wp:anchor>
            </w:drawing>
          </mc:Choice>
          <mc:Fallback>
            <w:pict>
              <v:shape id="Shape 471" o:spid="_x0000_s1026" o:spt="202" type="#_x0000_t202" style="position:absolute;left:0pt;margin-left:105.55pt;margin-top:10.3pt;height:18.95pt;width:286.1pt;mso-position-horizontal-relative:page;mso-wrap-distance-bottom:3.15pt;mso-wrap-distance-top:10.3pt;mso-wrap-style:none;z-index:251660288;mso-width-relative:page;mso-height-relative:page;" filled="f" stroked="f" coordsize="21600,21600" o:gfxdata="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eIpyNYA&#10;AAAJAQAADwAAAAAAAAABACAAAAAiAAAAZHJzL2Rvd25yZXYueG1sUEsBAhQAFAAAAAgAh07iQDP+&#10;QdKvAQAAdAMAAA4AAAAAAAAAAQAgAAAAJQEAAGRycy9lMm9Eb2MueG1sUEsFBgAAAAAGAAYAWQEA&#10;AEYFAAAAAA==&#10;">
                <v:fill on="f" focussize="0,0"/>
                <v:stroke on="f"/>
                <v:imagedata o:title=""/>
                <o:lock v:ext="edit" aspectratio="f"/>
                <v:textbox inset="0mm,0mm,0mm,0mm">
                  <w:txbxContent>
                    <w:p w14:paraId="57D86A77">
                      <w:pPr>
                        <w:pStyle w:val="15"/>
                        <w:keepNext/>
                        <w:keepLines/>
                        <w:widowControl w:val="0"/>
                        <w:shd w:val="clear" w:color="auto" w:fill="auto"/>
                        <w:bidi w:val="0"/>
                        <w:spacing w:before="0" w:after="0" w:line="240" w:lineRule="auto"/>
                        <w:ind w:left="0" w:right="0" w:firstLine="0"/>
                        <w:jc w:val="left"/>
                      </w:pPr>
                      <w:bookmarkStart w:id="348" w:name="bookmark202"/>
                      <w:bookmarkStart w:id="349" w:name="bookmark201"/>
                      <w:bookmarkStart w:id="350" w:name="bookmark203"/>
                      <w:r>
                        <w:rPr>
                          <w:color w:val="000000"/>
                          <w:spacing w:val="0"/>
                          <w:w w:val="100"/>
                          <w:position w:val="0"/>
                        </w:rPr>
                        <w:t>以物抵债协议及以物抵债裁定对物权变动</w:t>
                      </w:r>
                      <w:bookmarkEnd w:id="348"/>
                      <w:bookmarkEnd w:id="349"/>
                      <w:bookmarkEnd w:id="350"/>
                    </w:p>
                  </w:txbxContent>
                </v:textbox>
                <w10:wrap type="topAndBottom"/>
              </v:shape>
            </w:pict>
          </mc:Fallback>
        </mc:AlternateContent>
      </w:r>
    </w:p>
    <w:p w14:paraId="4D29CC98">
      <w:pPr>
        <w:pStyle w:val="15"/>
        <w:keepNext/>
        <w:keepLines/>
        <w:widowControl w:val="0"/>
        <w:shd w:val="clear" w:color="auto" w:fill="auto"/>
        <w:bidi w:val="0"/>
        <w:spacing w:before="0" w:after="0" w:line="240" w:lineRule="auto"/>
        <w:ind w:left="0" w:right="0" w:firstLine="1000"/>
        <w:jc w:val="both"/>
      </w:pPr>
      <w:r>
        <w:drawing>
          <wp:anchor distT="0" distB="0" distL="114300" distR="114300" simplePos="0" relativeHeight="251660288" behindDoc="0" locked="0" layoutInCell="1" allowOverlap="1">
            <wp:simplePos x="0" y="0"/>
            <wp:positionH relativeFrom="page">
              <wp:posOffset>5168900</wp:posOffset>
            </wp:positionH>
            <wp:positionV relativeFrom="paragraph">
              <wp:posOffset>76200</wp:posOffset>
            </wp:positionV>
            <wp:extent cx="542290" cy="542290"/>
            <wp:effectExtent l="0" t="0" r="3810" b="3810"/>
            <wp:wrapSquare wrapText="left"/>
            <wp:docPr id="473" name="Shape 473"/>
            <wp:cNvGraphicFramePr/>
            <a:graphic xmlns:a="http://schemas.openxmlformats.org/drawingml/2006/main">
              <a:graphicData uri="http://schemas.openxmlformats.org/drawingml/2006/picture">
                <pic:pic xmlns:pic="http://schemas.openxmlformats.org/drawingml/2006/picture">
                  <pic:nvPicPr>
                    <pic:cNvPr id="473" name="Shape 473"/>
                    <pic:cNvPicPr/>
                  </pic:nvPicPr>
                  <pic:blipFill>
                    <a:blip r:embed="rId636"/>
                    <a:stretch>
                      <a:fillRect/>
                    </a:stretch>
                  </pic:blipFill>
                  <pic:spPr>
                    <a:xfrm>
                      <a:off x="0" y="0"/>
                      <a:ext cx="542290" cy="542290"/>
                    </a:xfrm>
                    <a:prstGeom prst="rect">
                      <a:avLst/>
                    </a:prstGeom>
                  </pic:spPr>
                </pic:pic>
              </a:graphicData>
            </a:graphic>
          </wp:anchor>
        </w:drawing>
      </w:r>
      <w:bookmarkStart w:id="60" w:name="bookmark204"/>
      <w:bookmarkStart w:id="61" w:name="bookmark205"/>
      <w:bookmarkStart w:id="62" w:name="bookmark206"/>
      <w:r>
        <w:rPr>
          <w:color w:val="000000"/>
          <w:spacing w:val="0"/>
          <w:w w:val="100"/>
          <w:position w:val="0"/>
        </w:rPr>
        <w:t>之影响</w:t>
      </w:r>
      <w:bookmarkEnd w:id="60"/>
      <w:bookmarkEnd w:id="61"/>
      <w:bookmarkEnd w:id="62"/>
    </w:p>
    <w:p w14:paraId="6E4688AC">
      <w:pPr>
        <w:pStyle w:val="17"/>
        <w:keepNext w:val="0"/>
        <w:keepLines w:val="0"/>
        <w:widowControl w:val="0"/>
        <w:shd w:val="clear" w:color="auto" w:fill="auto"/>
        <w:bidi w:val="0"/>
        <w:spacing w:before="0" w:after="360" w:line="312" w:lineRule="exact"/>
        <w:ind w:left="1000" w:right="0" w:firstLine="20"/>
        <w:jc w:val="both"/>
      </w:pPr>
      <w:r>
        <w:rPr>
          <w:color w:val="000000"/>
          <w:spacing w:val="0"/>
          <w:w w:val="100"/>
          <w:position w:val="0"/>
        </w:rPr>
        <w:t>中国银行济南分行与汇统房地产有限公司等欠款纠纷执行案 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最高法执监</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号民事裁定书</w:t>
      </w:r>
    </w:p>
    <w:p w14:paraId="14AAE422">
      <w:pPr>
        <w:pStyle w:val="17"/>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吴</w:t>
      </w:r>
      <w:r>
        <w:rPr>
          <w:color w:val="000000"/>
          <w:spacing w:val="0"/>
          <w:w w:val="100"/>
          <w:position w:val="0"/>
          <w:lang w:val="en-US" w:eastAsia="en-US" w:bidi="en-US"/>
        </w:rPr>
        <w:t>一</w:t>
      </w:r>
      <w:r>
        <w:rPr>
          <w:color w:val="000000"/>
          <w:spacing w:val="0"/>
          <w:w w:val="100"/>
          <w:position w:val="0"/>
        </w:rPr>
        <w:t>口鸟华东政法大学</w:t>
      </w:r>
    </w:p>
    <w:p w14:paraId="42671437">
      <w:pPr>
        <w:pStyle w:val="11"/>
        <w:keepNext w:val="0"/>
        <w:keepLines w:val="0"/>
        <w:widowControl w:val="0"/>
        <w:shd w:val="clear" w:color="auto" w:fill="auto"/>
        <w:bidi w:val="0"/>
        <w:spacing w:before="0" w:after="80" w:line="341"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325AE4A">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济南市中级人民法院（以下简称济南中院）于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日作出</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号调解书，确 认济南中银实业有限公司（以下简称中银公司）欠烟台银信投资管理有限公司（以下简称银 信公司</w:t>
      </w:r>
      <w:r>
        <w:rPr>
          <w:rFonts w:ascii="Times New Roman" w:hAnsi="Times New Roman" w:eastAsia="Times New Roman" w:cs="Times New Roman"/>
          <w:color w:val="000000"/>
          <w:spacing w:val="0"/>
          <w:w w:val="100"/>
          <w:position w:val="0"/>
          <w:sz w:val="19"/>
          <w:szCs w:val="19"/>
        </w:rPr>
        <w:t>）4400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日，中银公司与银信公司达成《以物顶债协议书》，中 银公司将中银大厦</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座中的三层房产折价抵偿欠银信公司的债务,但未办理登记手续。</w:t>
      </w:r>
    </w:p>
    <w:p w14:paraId="43BD62BB">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月，在另案中，中国银行股份有限公司济南分行（以下简称中行济南分行）与 汇统房地产有限公司（以下简称汇统公司）、中银公司、银信公司欠款纠纷一案的民事调解 书确认:汇统公司、中银公司应向中行济南分行还款</w:t>
      </w:r>
      <w:r>
        <w:rPr>
          <w:rFonts w:ascii="Times New Roman" w:hAnsi="Times New Roman" w:eastAsia="Times New Roman" w:cs="Times New Roman"/>
          <w:color w:val="000000"/>
          <w:spacing w:val="0"/>
          <w:w w:val="100"/>
          <w:position w:val="0"/>
          <w:sz w:val="19"/>
          <w:szCs w:val="19"/>
          <w:lang w:val="en-US" w:eastAsia="en-US" w:bidi="en-US"/>
        </w:rPr>
        <w:t>1.6</w:t>
      </w:r>
      <w:r>
        <w:rPr>
          <w:color w:val="000000"/>
          <w:spacing w:val="0"/>
          <w:w w:val="100"/>
          <w:position w:val="0"/>
        </w:rPr>
        <w:t>亿余元及相应利息,银信公司对此 承担连带还款责任。</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日，几方当事人在本案执行过程中达成执行和解协议, 山东省高级人民法院（以下简称山东高院）据此于同日作出</w:t>
      </w:r>
      <w:r>
        <w:rPr>
          <w:rFonts w:ascii="Times New Roman" w:hAnsi="Times New Roman" w:eastAsia="Times New Roman" w:cs="Times New Roman"/>
          <w:color w:val="000000"/>
          <w:spacing w:val="0"/>
          <w:w w:val="100"/>
          <w:position w:val="0"/>
          <w:sz w:val="19"/>
          <w:szCs w:val="19"/>
        </w:rPr>
        <w:t>26 - 1</w:t>
      </w:r>
      <w:r>
        <w:rPr>
          <w:color w:val="000000"/>
          <w:spacing w:val="0"/>
          <w:w w:val="100"/>
          <w:position w:val="0"/>
        </w:rPr>
        <w:t>号民事裁定书，裁定将被 执行人银信公司从中银公司处受让取得的、现仍登记在中银公司名下的前述中银大厦</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座 中的三层房产以评估报告确认的价值</w:t>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亿余元抵偿本案债务，剩余部分债务由被执行人 继续清偿。该裁定书于当日向各方当事人送达。</w:t>
      </w:r>
    </w:p>
    <w:p w14:paraId="2AD4CF03">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月，中国工商银行股份有限公司济南市中支行（以下简称工行市中支行）以 案外人身份对</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年中银公司与银信公司案的</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号调解书提出再审申请。</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年，山 东高院作出裁定，撤销</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号调解书,将案件发回济南中院重审。</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月，济南中院判 决认定该案系</w:t>
      </w:r>
      <w:r>
        <w:rPr>
          <w:color w:val="000000"/>
          <w:spacing w:val="0"/>
          <w:w w:val="100"/>
          <w:position w:val="0"/>
          <w:lang w:val="zh-CN" w:eastAsia="zh-CN" w:bidi="zh-CN"/>
        </w:rPr>
        <w:t>“银</w:t>
      </w:r>
      <w:r>
        <w:rPr>
          <w:color w:val="000000"/>
          <w:spacing w:val="0"/>
          <w:w w:val="100"/>
          <w:position w:val="0"/>
        </w:rPr>
        <w:t>信公司与中银公司隐瞒事实真相，为达到保全中银公司资产的目的而形 成的虚假诉讼</w:t>
      </w:r>
      <w:r>
        <w:rPr>
          <w:color w:val="000000"/>
          <w:spacing w:val="0"/>
          <w:w w:val="100"/>
          <w:position w:val="0"/>
          <w:lang w:val="zh-CN" w:eastAsia="zh-CN" w:bidi="zh-CN"/>
        </w:rPr>
        <w:t>”，并</w:t>
      </w:r>
      <w:r>
        <w:rPr>
          <w:color w:val="000000"/>
          <w:spacing w:val="0"/>
          <w:w w:val="100"/>
          <w:position w:val="0"/>
        </w:rPr>
        <w:t>驳回银信公司的诉讼请求。此后，山东高院于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月作出</w:t>
      </w:r>
      <w:r>
        <w:rPr>
          <w:rFonts w:ascii="Times New Roman" w:hAnsi="Times New Roman" w:eastAsia="Times New Roman" w:cs="Times New Roman"/>
          <w:color w:val="000000"/>
          <w:spacing w:val="0"/>
          <w:w w:val="100"/>
          <w:position w:val="0"/>
          <w:sz w:val="19"/>
          <w:szCs w:val="19"/>
        </w:rPr>
        <w:t>12 - 3</w:t>
      </w:r>
      <w:r>
        <w:rPr>
          <w:color w:val="000000"/>
          <w:spacing w:val="0"/>
          <w:w w:val="100"/>
          <w:position w:val="0"/>
        </w:rPr>
        <w:t>号 裁定，撤销该院于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日作出的</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rPr>
        <w:t>号执行裁定。</w:t>
      </w:r>
    </w:p>
    <w:p w14:paraId="451E79E5">
      <w:pPr>
        <w:pStyle w:val="17"/>
        <w:keepNext w:val="0"/>
        <w:keepLines w:val="0"/>
        <w:widowControl w:val="0"/>
        <w:shd w:val="clear" w:color="auto" w:fill="auto"/>
        <w:bidi w:val="0"/>
        <w:spacing w:before="0" w:after="40" w:line="341" w:lineRule="exact"/>
        <w:ind w:left="0" w:right="0" w:firstLine="420"/>
        <w:jc w:val="both"/>
        <w:sectPr>
          <w:footnotePr>
            <w:numFmt w:val="chicago"/>
          </w:footnotePr>
          <w:type w:val="continuous"/>
          <w:pgSz w:w="10099" w:h="14782"/>
          <w:pgMar w:top="1255" w:right="987" w:bottom="1164" w:left="1065" w:header="827" w:footer="736" w:gutter="0"/>
          <w:cols w:space="720" w:num="1"/>
          <w:rtlGutter w:val="0"/>
          <w:docGrid w:linePitch="360" w:charSpace="0"/>
        </w:sectPr>
      </w:pPr>
      <w:r>
        <w:rPr>
          <w:color w:val="000000"/>
          <w:spacing w:val="0"/>
          <w:w w:val="100"/>
          <w:position w:val="0"/>
        </w:rPr>
        <w:t>中行山东分行（由中行济南分行更名而来，为同一主体）不服山东高院</w:t>
      </w:r>
      <w:r>
        <w:rPr>
          <w:rFonts w:ascii="Times New Roman" w:hAnsi="Times New Roman" w:eastAsia="Times New Roman" w:cs="Times New Roman"/>
          <w:color w:val="000000"/>
          <w:spacing w:val="0"/>
          <w:w w:val="100"/>
          <w:position w:val="0"/>
          <w:sz w:val="19"/>
          <w:szCs w:val="19"/>
          <w:lang w:val="en-US" w:eastAsia="en-US" w:bidi="en-US"/>
        </w:rPr>
        <w:t>12-3</w:t>
      </w:r>
      <w:r>
        <w:rPr>
          <w:color w:val="000000"/>
          <w:spacing w:val="0"/>
          <w:w w:val="100"/>
          <w:position w:val="0"/>
        </w:rPr>
        <w:t>号裁定, 向最高人民法院（以下简称最高院）提起申诉，请求撤销该裁定。</w:t>
      </w:r>
    </w:p>
    <w:p w14:paraId="20DCA592">
      <w:pPr>
        <w:pStyle w:val="11"/>
        <w:keepNext w:val="0"/>
        <w:keepLines w:val="0"/>
        <w:widowControl w:val="0"/>
        <w:shd w:val="clear" w:color="auto" w:fill="auto"/>
        <w:bidi w:val="0"/>
        <w:spacing w:before="0" w:after="100"/>
        <w:ind w:left="0" w:right="0" w:firstLine="0"/>
        <w:jc w:val="both"/>
      </w:pPr>
      <w:r>
        <w:rPr>
          <w:color w:val="000000"/>
          <w:spacing w:val="0"/>
          <w:w w:val="100"/>
          <w:position w:val="0"/>
        </w:rPr>
        <w:t>■判决要旨</w:t>
      </w:r>
    </w:p>
    <w:p w14:paraId="707CC67A">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最高院裁定驳回申诉请求。</w:t>
      </w:r>
    </w:p>
    <w:p w14:paraId="37B9B045">
      <w:pPr>
        <w:pStyle w:val="17"/>
        <w:keepNext w:val="0"/>
        <w:keepLines w:val="0"/>
        <w:widowControl w:val="0"/>
        <w:numPr>
          <w:ilvl w:val="0"/>
          <w:numId w:val="14"/>
        </w:numPr>
        <w:shd w:val="clear" w:color="auto" w:fill="auto"/>
        <w:tabs>
          <w:tab w:val="left" w:pos="679"/>
        </w:tabs>
        <w:bidi w:val="0"/>
        <w:spacing w:before="0" w:after="0" w:line="343" w:lineRule="exact"/>
        <w:ind w:left="0" w:right="0" w:firstLine="440"/>
        <w:jc w:val="both"/>
      </w:pPr>
      <w:bookmarkStart w:id="63" w:name="bookmark207"/>
      <w:bookmarkEnd w:id="63"/>
      <w:r>
        <w:rPr>
          <w:color w:val="000000"/>
          <w:spacing w:val="0"/>
          <w:w w:val="100"/>
          <w:position w:val="0"/>
        </w:rPr>
        <w:t>当事人之间达成的以物抵债协议不具有直接变动物权的效力。在中银公司与银信公 司签订《以物顶债协议书》后，因未将物权变更登记至银信公司名下,银信公司没有合法取 得涉案房产的物权,涉案房产的物权仍归属中银公司。</w:t>
      </w:r>
    </w:p>
    <w:p w14:paraId="28BD0335">
      <w:pPr>
        <w:pStyle w:val="17"/>
        <w:keepNext w:val="0"/>
        <w:keepLines w:val="0"/>
        <w:widowControl w:val="0"/>
        <w:numPr>
          <w:ilvl w:val="0"/>
          <w:numId w:val="14"/>
        </w:numPr>
        <w:shd w:val="clear" w:color="auto" w:fill="auto"/>
        <w:tabs>
          <w:tab w:val="left" w:pos="684"/>
        </w:tabs>
        <w:bidi w:val="0"/>
        <w:spacing w:before="0" w:after="0" w:line="343" w:lineRule="exact"/>
        <w:ind w:left="0" w:right="0" w:firstLine="440"/>
        <w:jc w:val="both"/>
      </w:pPr>
      <w:bookmarkStart w:id="64" w:name="bookmark208"/>
      <w:bookmarkEnd w:id="64"/>
      <w:r>
        <w:rPr>
          <w:color w:val="000000"/>
          <w:spacing w:val="0"/>
          <w:w w:val="100"/>
          <w:position w:val="0"/>
        </w:rPr>
        <w:t>人民法院的执行裁定具有变动物权的效力。虽然作为执行和解协议的一方,银信公 司未取得涉案房产的物权，但中行山东分行基于人民法院的强制执行行为，通过执行裁定 取得了涉案房产的物权，这是国家司法公权行为处分物权的结果，与善意取得无关。此处 应当适用《物权法》第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条的相关规定。</w:t>
      </w:r>
    </w:p>
    <w:p w14:paraId="70E24652">
      <w:pPr>
        <w:pStyle w:val="17"/>
        <w:keepNext w:val="0"/>
        <w:keepLines w:val="0"/>
        <w:widowControl w:val="0"/>
        <w:numPr>
          <w:ilvl w:val="0"/>
          <w:numId w:val="14"/>
        </w:numPr>
        <w:shd w:val="clear" w:color="auto" w:fill="auto"/>
        <w:tabs>
          <w:tab w:val="left" w:pos="679"/>
        </w:tabs>
        <w:bidi w:val="0"/>
        <w:spacing w:before="0" w:after="280" w:line="343" w:lineRule="exact"/>
        <w:ind w:left="0" w:right="0" w:firstLine="440"/>
        <w:jc w:val="both"/>
      </w:pPr>
      <w:bookmarkStart w:id="65" w:name="bookmark209"/>
      <w:bookmarkEnd w:id="65"/>
      <w:r>
        <w:rPr>
          <w:color w:val="000000"/>
          <w:spacing w:val="0"/>
          <w:w w:val="100"/>
          <w:position w:val="0"/>
        </w:rPr>
        <w:t>人民法院不宜将当事人执行和解协议的内容表现为执行裁定的内容。执行程序中， 双方当事人协商以物抵债是一种私法行为，属于执行和解的一种形式。人民法院应当审查 执行当事人抵债行为是否触犯第三人权益，而不宜出具执行裁定予以确认，以防止当事人 恶意串通损害第三人利益或者通过执行裁定来规避行政审查等情形发与</w:t>
      </w:r>
    </w:p>
    <w:p w14:paraId="5F29A6C8">
      <w:pPr>
        <w:pStyle w:val="11"/>
        <w:keepNext w:val="0"/>
        <w:keepLines w:val="0"/>
        <w:widowControl w:val="0"/>
        <w:shd w:val="clear" w:color="auto" w:fill="auto"/>
        <w:bidi w:val="0"/>
        <w:spacing w:before="0" w:after="100"/>
        <w:ind w:left="0" w:right="0" w:firstLine="0"/>
        <w:jc w:val="both"/>
      </w:pPr>
      <w:r>
        <w:rPr>
          <w:color w:val="000000"/>
          <w:spacing w:val="0"/>
          <w:w w:val="100"/>
          <w:position w:val="0"/>
        </w:rPr>
        <w:t>■评析</w:t>
      </w:r>
    </w:p>
    <w:p w14:paraId="684CA729">
      <w:pPr>
        <w:pStyle w:val="17"/>
        <w:keepNext w:val="0"/>
        <w:keepLines w:val="0"/>
        <w:widowControl w:val="0"/>
        <w:shd w:val="clear" w:color="auto" w:fill="auto"/>
        <w:bidi w:val="0"/>
        <w:spacing w:before="0" w:after="100" w:line="340" w:lineRule="exact"/>
        <w:ind w:left="0" w:right="0" w:firstLine="340"/>
        <w:jc w:val="both"/>
      </w:pPr>
      <w:r>
        <w:rPr>
          <w:color w:val="000000"/>
          <w:spacing w:val="0"/>
          <w:w w:val="100"/>
          <w:position w:val="0"/>
        </w:rPr>
        <w:t>兀给付判决、确认判决与形成判决</w:t>
      </w:r>
    </w:p>
    <w:p w14:paraId="4884BA46">
      <w:pPr>
        <w:pStyle w:val="17"/>
        <w:keepNext w:val="0"/>
        <w:keepLines w:val="0"/>
        <w:widowControl w:val="0"/>
        <w:shd w:val="clear" w:color="auto" w:fill="auto"/>
        <w:bidi w:val="0"/>
        <w:spacing w:before="0" w:after="0" w:line="340" w:lineRule="exact"/>
        <w:ind w:left="0" w:right="0" w:firstLine="440"/>
        <w:jc w:val="both"/>
      </w:pPr>
      <w:r>
        <w:rPr>
          <w:color w:val="000000"/>
          <w:spacing w:val="0"/>
          <w:w w:val="100"/>
          <w:position w:val="0"/>
        </w:rPr>
        <w:t>本案涉及因法律文书而导致的物权变动问题。</w:t>
      </w:r>
    </w:p>
    <w:p w14:paraId="578AA6F8">
      <w:pPr>
        <w:pStyle w:val="17"/>
        <w:keepNext w:val="0"/>
        <w:keepLines w:val="0"/>
        <w:widowControl w:val="0"/>
        <w:shd w:val="clear" w:color="auto" w:fill="auto"/>
        <w:bidi w:val="0"/>
        <w:spacing w:before="0" w:after="0" w:line="340" w:lineRule="exact"/>
        <w:ind w:left="0" w:right="0" w:firstLine="440"/>
        <w:jc w:val="both"/>
      </w:pPr>
      <w:r>
        <w:rPr>
          <w:color w:val="000000"/>
          <w:spacing w:val="0"/>
          <w:w w:val="100"/>
          <w:position w:val="0"/>
        </w:rPr>
        <w:t>依《民法典》第</w:t>
      </w:r>
      <w:r>
        <w:rPr>
          <w:rFonts w:ascii="Times New Roman" w:hAnsi="Times New Roman" w:eastAsia="Times New Roman" w:cs="Times New Roman"/>
          <w:color w:val="000000"/>
          <w:spacing w:val="0"/>
          <w:w w:val="100"/>
          <w:position w:val="0"/>
          <w:sz w:val="19"/>
          <w:szCs w:val="19"/>
        </w:rPr>
        <w:t>229</w:t>
      </w:r>
      <w:r>
        <w:rPr>
          <w:color w:val="000000"/>
          <w:spacing w:val="0"/>
          <w:w w:val="100"/>
          <w:position w:val="0"/>
        </w:rPr>
        <w:t>条的规定，本条所称法律文书，不仅限于判决书，调解书、裁定书、裁 决书等均包括在内。判决（调解书、仲裁裁决亦同）分给付判决、确认判决与形成判决三种， 但这三类判决并非皆有变动物权之效果。</w:t>
      </w:r>
    </w:p>
    <w:p w14:paraId="1113DEAE">
      <w:pPr>
        <w:pStyle w:val="17"/>
        <w:keepNext w:val="0"/>
        <w:keepLines w:val="0"/>
        <w:widowControl w:val="0"/>
        <w:shd w:val="clear" w:color="auto" w:fill="auto"/>
        <w:bidi w:val="0"/>
        <w:spacing w:before="0" w:after="0" w:line="340" w:lineRule="exact"/>
        <w:ind w:left="0" w:right="0" w:firstLine="440"/>
        <w:jc w:val="both"/>
      </w:pPr>
      <w:r>
        <w:rPr>
          <w:color w:val="000000"/>
          <w:spacing w:val="0"/>
          <w:w w:val="100"/>
          <w:position w:val="0"/>
        </w:rPr>
        <w:t>以物为标的之给付判决，仅确定被告有给付该物以实现物权变动之义务，判决内容并 不导致物权之直接变动，所涉标的物之权利变动须满足物权变动之一般要件后始得发生。 故给付判决并非《物权法》第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条所称的法律文书。</w:t>
      </w:r>
    </w:p>
    <w:p w14:paraId="6F9AF88D">
      <w:pPr>
        <w:pStyle w:val="17"/>
        <w:keepNext w:val="0"/>
        <w:keepLines w:val="0"/>
        <w:widowControl w:val="0"/>
        <w:shd w:val="clear" w:color="auto" w:fill="auto"/>
        <w:bidi w:val="0"/>
        <w:spacing w:before="0" w:after="0" w:line="326" w:lineRule="exact"/>
        <w:ind w:left="0" w:right="0" w:firstLine="440"/>
        <w:jc w:val="both"/>
      </w:pPr>
      <w:r>
        <w:rPr>
          <w:color w:val="000000"/>
          <w:spacing w:val="0"/>
          <w:w w:val="100"/>
          <w:position w:val="0"/>
        </w:rPr>
        <w:t>以明确物权归属为内容的确认判决，仅就已存在的物权归属关系予以确认，旨在定分 止争，并不构成强制执行的执行名义，对于既有的物权不产生任何变动之效果。故确认判 决亦非《物权法》第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条所称的法律文书。</w:t>
      </w:r>
    </w:p>
    <w:p w14:paraId="3CA22CEE">
      <w:pPr>
        <w:pStyle w:val="17"/>
        <w:keepNext w:val="0"/>
        <w:keepLines w:val="0"/>
        <w:widowControl w:val="0"/>
        <w:shd w:val="clear" w:color="auto" w:fill="auto"/>
        <w:bidi w:val="0"/>
        <w:spacing w:before="0" w:after="60" w:line="336" w:lineRule="exact"/>
        <w:ind w:left="0" w:right="0" w:firstLine="440"/>
        <w:jc w:val="both"/>
      </w:pPr>
      <w:r>
        <w:rPr>
          <w:color w:val="000000"/>
          <w:spacing w:val="0"/>
          <w:w w:val="100"/>
          <w:position w:val="0"/>
        </w:rPr>
        <w:t>形成判决会导致既有法律关系的变动,该判决的内容可能是直接针对物权的变动，也 可能是通过变动法律关系进而产生物权变动之效果。前者如分割共有的判决，后者如撤销 物之买卖合同的判决。故形成判决为《物权法》第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条所称法律文书。形成判决的具体种 类包括:分割共有物的判决，撤销以物权变动为内容的合同的判决，撤销诈害债权行为的判 决，人民法院针对集体成员、业主依据《物权法》规定请求撤销集体经济组织、村民委员会或 其负责人或业主大会或业主委员会的变动物权的决定的判决,依情势变更解除合同的判决 （徐同远:《物权法第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条中的</w:t>
      </w:r>
      <w:r>
        <w:rPr>
          <w:color w:val="000000"/>
          <w:spacing w:val="0"/>
          <w:w w:val="100"/>
          <w:position w:val="0"/>
          <w:lang w:val="zh-CN" w:eastAsia="zh-CN" w:bidi="zh-CN"/>
        </w:rPr>
        <w:t>“法</w:t>
      </w:r>
      <w:r>
        <w:rPr>
          <w:color w:val="000000"/>
          <w:spacing w:val="0"/>
          <w:w w:val="100"/>
          <w:position w:val="0"/>
        </w:rPr>
        <w:t>律文书”的类别及其具体类型》，载《天津法学＞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期；程啸： 《因法律文书导致的物权变动》，载《法学＞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期）和撤销婚姻的判决（刘耀东:《论基于法律 文书发生的不动产物权变动——以〈物权法〉第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条为中心》，载《东方法学＞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2BAAEDC">
      <w:pPr>
        <w:pStyle w:val="17"/>
        <w:keepNext w:val="0"/>
        <w:keepLines w:val="0"/>
        <w:widowControl w:val="0"/>
        <w:shd w:val="clear" w:color="auto" w:fill="auto"/>
        <w:bidi w:val="0"/>
        <w:spacing w:before="0" w:after="16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以物抵债的协议或判决书、调解书</w:t>
      </w:r>
    </w:p>
    <w:p w14:paraId="612CEDE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在实践中，存在债务纠纷的当事人有时会在判决生效后自行达成以物抵债协议，有时 也会在案件审理过程中，在法院主持下达成以物抵债协议，并由法院通过判决书或调解书 予以确认。</w:t>
      </w:r>
    </w:p>
    <w:p w14:paraId="56F109F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于审判程序之外达成的以物抵债协议为负担行为，并不直接发生物权变动之效力。欲 使物权发生变动，尚需完成公示行为。对此，殊无争议。在本案中，中银公司与银信公司间 的《以物顶债协议书》达成于案件审结后，即便不考虑该协议的效力瑕疵问题，而认其有效 （济南中院再审认定银信公司与中银公司间的诉讼为虚假诉讼，所订立的《以物顶债协议 书》为通谋虚伪表示而无效），因未完成不动产过户登记，亦不发生物权变动之效果。山东 高院在</w:t>
      </w:r>
      <w:r>
        <w:rPr>
          <w:rFonts w:ascii="Times New Roman" w:hAnsi="Times New Roman" w:eastAsia="Times New Roman" w:cs="Times New Roman"/>
          <w:color w:val="000000"/>
          <w:spacing w:val="0"/>
          <w:w w:val="100"/>
          <w:position w:val="0"/>
          <w:sz w:val="19"/>
          <w:szCs w:val="19"/>
        </w:rPr>
        <w:t>26</w:t>
      </w:r>
      <w:r>
        <w:rPr>
          <w:rFonts w:ascii="Times New Roman" w:hAnsi="Times New Roman" w:eastAsia="Times New Roman" w:cs="Times New Roman"/>
          <w:color w:val="000000"/>
          <w:spacing w:val="0"/>
          <w:w w:val="100"/>
          <w:position w:val="0"/>
          <w:sz w:val="19"/>
          <w:szCs w:val="19"/>
          <w:lang w:val="zh-CN" w:eastAsia="zh-CN" w:bidi="zh-CN"/>
        </w:rPr>
        <w:t>-1</w:t>
      </w:r>
      <w:r>
        <w:rPr>
          <w:color w:val="000000"/>
          <w:spacing w:val="0"/>
          <w:w w:val="100"/>
          <w:position w:val="0"/>
        </w:rPr>
        <w:t>号民事裁定书中认定登记在中银公司名下的不动产属于银信公司所有，确属 错误。对此,最高院明确指出并予纠正。</w:t>
      </w:r>
    </w:p>
    <w:p w14:paraId="499F76B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但是对于在案件审理过程中达成，并经由法院判决或调解书确认的以物抵债协议，是 否具有变动物权效力？对此，实务界曾持肯定观点。比如，最高院执行工作办公室《关于法 院已判决确权的财产不应列入破产财产的复函》［</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执协字第</w:t>
      </w:r>
      <w:r>
        <w:rPr>
          <w:rFonts w:ascii="Times New Roman" w:hAnsi="Times New Roman" w:eastAsia="Times New Roman" w:cs="Times New Roman"/>
          <w:color w:val="000000"/>
          <w:spacing w:val="0"/>
          <w:w w:val="100"/>
          <w:position w:val="0"/>
          <w:sz w:val="19"/>
          <w:szCs w:val="19"/>
          <w:lang w:val="en-US" w:eastAsia="en-US" w:bidi="en-US"/>
        </w:rPr>
        <w:t>19-1</w:t>
      </w:r>
      <w:r>
        <w:rPr>
          <w:color w:val="000000"/>
          <w:spacing w:val="0"/>
          <w:w w:val="100"/>
          <w:position w:val="0"/>
        </w:rPr>
        <w:t>号］认为:</w:t>
      </w:r>
      <w:r>
        <w:rPr>
          <w:color w:val="000000"/>
          <w:spacing w:val="0"/>
          <w:w w:val="100"/>
          <w:position w:val="0"/>
          <w:lang w:val="zh-CN" w:eastAsia="zh-CN" w:bidi="zh-CN"/>
        </w:rPr>
        <w:t>“珠</w:t>
      </w:r>
      <w:r>
        <w:rPr>
          <w:color w:val="000000"/>
          <w:spacing w:val="0"/>
          <w:w w:val="100"/>
          <w:position w:val="0"/>
        </w:rPr>
        <w:t>海金 铭公司自愿以其独立开发销售的部分房产抵偿所欠债务,是其真实意思表示，并不违反法 律规定，也不损害第三方的利益</w:t>
      </w:r>
      <w:r>
        <w:rPr>
          <w:color w:val="000000"/>
          <w:spacing w:val="0"/>
          <w:w w:val="100"/>
          <w:position w:val="0"/>
          <w:lang w:val="zh-CN" w:eastAsia="zh-CN" w:bidi="zh-CN"/>
        </w:rPr>
        <w:t>……</w:t>
      </w:r>
      <w:r>
        <w:rPr>
          <w:color w:val="000000"/>
          <w:spacing w:val="0"/>
          <w:w w:val="100"/>
          <w:position w:val="0"/>
        </w:rPr>
        <w:t>该以房抵债协议经公证机关公证，并经江阴人民法院 判决确认合法有效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套商品房的产权因（疑为，应，）自判决之日起即视为转让给江阴第 二纺织厂等债权人，不属于破产财产。天津市高级人民法院在明知金铭广场部分房产尚有 争议的情况下，将金铭广场项目整体拍卖的做法不妥。</w:t>
      </w:r>
      <w:r>
        <w:rPr>
          <w:color w:val="000000"/>
          <w:spacing w:val="0"/>
          <w:w w:val="100"/>
          <w:position w:val="0"/>
          <w:lang w:val="zh-CN" w:eastAsia="zh-CN" w:bidi="zh-CN"/>
        </w:rPr>
        <w:t>”但是</w:t>
      </w:r>
      <w:r>
        <w:rPr>
          <w:color w:val="000000"/>
          <w:spacing w:val="0"/>
          <w:w w:val="100"/>
          <w:position w:val="0"/>
        </w:rPr>
        <w:t>，该批复依然混淆了物权变动 之允诺与物权变动本身,即混淆了负担行为与处分行为。即使法院的判决书或调解书确认 了以物抵债协议的有效性,该协议仍为变动物权之允诺,即债务人允诺通过变动物权，使债 权人通过取得物权而代替原来的给付，仍然需要通过履行方能引发物权变动。故此类判决 书或调解书非属《物权法》第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条所规定的法律文书。后续的司法实务接受此种观点，作 出了与前述批复中的理念完全不同的裁判［如广东省高级人民法院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粤民申</w:t>
      </w:r>
      <w:r>
        <w:rPr>
          <w:rFonts w:ascii="Times New Roman" w:hAnsi="Times New Roman" w:eastAsia="Times New Roman" w:cs="Times New Roman"/>
          <w:color w:val="000000"/>
          <w:spacing w:val="0"/>
          <w:w w:val="100"/>
          <w:position w:val="0"/>
          <w:sz w:val="17"/>
          <w:szCs w:val="17"/>
        </w:rPr>
        <w:t>6466</w:t>
      </w:r>
      <w:r>
        <w:rPr>
          <w:color w:val="000000"/>
          <w:spacing w:val="0"/>
          <w:w w:val="100"/>
          <w:position w:val="0"/>
        </w:rPr>
        <w:t>号民事裁 定书］。</w:t>
      </w:r>
    </w:p>
    <w:p w14:paraId="100F8EE9">
      <w:pPr>
        <w:pStyle w:val="17"/>
        <w:keepNext w:val="0"/>
        <w:keepLines w:val="0"/>
        <w:widowControl w:val="0"/>
        <w:shd w:val="clear" w:color="auto" w:fill="auto"/>
        <w:bidi w:val="0"/>
        <w:spacing w:before="0" w:after="160" w:line="352" w:lineRule="exact"/>
        <w:ind w:left="0" w:right="0" w:firstLine="420"/>
        <w:jc w:val="both"/>
      </w:pPr>
      <w:r>
        <w:rPr>
          <w:color w:val="000000"/>
          <w:spacing w:val="0"/>
          <w:w w:val="100"/>
          <w:position w:val="0"/>
        </w:rPr>
        <w:t>当然，本案中银公司与银信公司间的《以物顶债协议书》是当事人在司法程序之外自行 达成的协议，与上述通过判决书或调解书确认的以物抵债协议不同，但本案中还存在另一 份以物抵债协议，即由中行济南分行、汇统公司、中银公司、银信公司达成的执行和解协议, 山东高院据此作出</w:t>
      </w:r>
      <w:r>
        <w:rPr>
          <w:rFonts w:ascii="Times New Roman" w:hAnsi="Times New Roman" w:eastAsia="Times New Roman" w:cs="Times New Roman"/>
          <w:color w:val="000000"/>
          <w:spacing w:val="0"/>
          <w:w w:val="100"/>
          <w:position w:val="0"/>
          <w:sz w:val="19"/>
          <w:szCs w:val="19"/>
        </w:rPr>
        <w:t xml:space="preserve">26 </w:t>
      </w:r>
      <w:r>
        <w:rPr>
          <w:rFonts w:ascii="Times New Roman" w:hAnsi="Times New Roman" w:eastAsia="Times New Roman" w:cs="Times New Roman"/>
          <w:color w:val="000000"/>
          <w:spacing w:val="0"/>
          <w:w w:val="100"/>
          <w:position w:val="0"/>
          <w:sz w:val="19"/>
          <w:szCs w:val="19"/>
          <w:lang w:val="zh-CN" w:eastAsia="zh-CN" w:bidi="zh-CN"/>
        </w:rPr>
        <w:t>-1</w:t>
      </w:r>
      <w:r>
        <w:rPr>
          <w:color w:val="000000"/>
          <w:spacing w:val="0"/>
          <w:w w:val="100"/>
          <w:position w:val="0"/>
        </w:rPr>
        <w:t>号执行裁定。此类执行裁定能否产生物权变动效果则存在一定争 议。</w:t>
      </w:r>
    </w:p>
    <w:p w14:paraId="0A2E9DEE">
      <w:pPr>
        <w:pStyle w:val="17"/>
        <w:keepNext w:val="0"/>
        <w:keepLines w:val="0"/>
        <w:widowControl w:val="0"/>
        <w:shd w:val="clear" w:color="auto" w:fill="auto"/>
        <w:bidi w:val="0"/>
        <w:spacing w:before="0" w:after="16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以物抵债的执行裁定与物权变动</w:t>
      </w:r>
    </w:p>
    <w:p w14:paraId="19A347FB">
      <w:pPr>
        <w:pStyle w:val="17"/>
        <w:keepNext w:val="0"/>
        <w:keepLines w:val="0"/>
        <w:widowControl w:val="0"/>
        <w:shd w:val="clear" w:color="auto" w:fill="auto"/>
        <w:bidi w:val="0"/>
        <w:spacing w:before="0" w:after="0" w:line="334" w:lineRule="exact"/>
        <w:ind w:left="0" w:right="0" w:firstLine="420"/>
        <w:jc w:val="both"/>
        <w:rPr>
          <w:sz w:val="8"/>
          <w:szCs w:val="8"/>
        </w:rPr>
      </w:pPr>
      <w:r>
        <w:rPr>
          <w:color w:val="000000"/>
          <w:spacing w:val="0"/>
          <w:w w:val="100"/>
          <w:position w:val="0"/>
          <w:sz w:val="18"/>
          <w:szCs w:val="18"/>
        </w:rPr>
        <w:t>与当事人间的以物抵债协议不同，以物抵债的执行裁定直接将物权裁定归债权人取 得。最高院、原国土资源部、建设部《关于依法规范人民法院执行和国土资源房地产管理部 门协助执行若干问题的通知》第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sz w:val="18"/>
          <w:szCs w:val="18"/>
        </w:rPr>
        <w:t>条规定:“人民法院制作的土地使用权、房屋所有权转移 裁定送达权利受让人时即发生法律效力,人民法院应当明确告知权利受让人及时到国土资 源、房地产管理部门申请土地、房屋权属变更、转移登记。国土资源、房地产管理部门依据生 效法律文书进行权属登记时，当事人的土地、房屋权利应当追溯到相关法律文书生效之 时</w:t>
      </w:r>
      <w:r>
        <w:rPr>
          <w:color w:val="000000"/>
          <w:spacing w:val="0"/>
          <w:w w:val="100"/>
          <w:position w:val="0"/>
          <w:sz w:val="18"/>
          <w:szCs w:val="18"/>
          <w:lang w:val="zh-CN" w:eastAsia="zh-CN" w:bidi="zh-CN"/>
        </w:rPr>
        <w:t>。”最</w:t>
      </w:r>
      <w:r>
        <w:rPr>
          <w:color w:val="000000"/>
          <w:spacing w:val="0"/>
          <w:w w:val="100"/>
          <w:position w:val="0"/>
          <w:sz w:val="18"/>
          <w:szCs w:val="18"/>
        </w:rPr>
        <w:t>高院《关于人民法院民事执行中拍卖、变卖财产的规定》第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款也规定：</w:t>
      </w:r>
      <w:r>
        <w:rPr>
          <w:color w:val="000000"/>
          <w:spacing w:val="0"/>
          <w:w w:val="100"/>
          <w:position w:val="0"/>
          <w:sz w:val="18"/>
          <w:szCs w:val="18"/>
          <w:lang w:val="zh-CN" w:eastAsia="zh-CN" w:bidi="zh-CN"/>
        </w:rPr>
        <w:t xml:space="preserve">“不 </w:t>
      </w:r>
      <w:r>
        <w:rPr>
          <w:color w:val="000000"/>
          <w:spacing w:val="0"/>
          <w:w w:val="100"/>
          <w:position w:val="0"/>
          <w:sz w:val="18"/>
          <w:szCs w:val="18"/>
        </w:rPr>
        <w:t>动产、有登记的特定动产其他财产权拍卖成交或者抵债后，该不动产、特定动产的所有权自 拍卖成交或者抵债裁定送达买受人或者承受人时起转移</w:t>
      </w:r>
      <w:r>
        <w:rPr>
          <w:color w:val="000000"/>
          <w:spacing w:val="0"/>
          <w:w w:val="100"/>
          <w:position w:val="0"/>
          <w:sz w:val="18"/>
          <w:szCs w:val="18"/>
          <w:lang w:val="zh-CN" w:eastAsia="zh-CN" w:bidi="zh-CN"/>
        </w:rPr>
        <w:t>。”这</w:t>
      </w:r>
      <w:r>
        <w:rPr>
          <w:color w:val="000000"/>
          <w:spacing w:val="0"/>
          <w:w w:val="100"/>
          <w:position w:val="0"/>
          <w:sz w:val="18"/>
          <w:szCs w:val="18"/>
        </w:rPr>
        <w:t>就意味着，在法院执行程序 中，自上述裁定生效时起，相应的物权就发生变动。这些裁定当属原《物权法》第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sz w:val="18"/>
          <w:szCs w:val="18"/>
        </w:rPr>
        <w:t>条中规 定的能够导致物权变动的</w:t>
      </w:r>
      <w:r>
        <w:rPr>
          <w:color w:val="000000"/>
          <w:spacing w:val="0"/>
          <w:w w:val="100"/>
          <w:position w:val="0"/>
          <w:sz w:val="18"/>
          <w:szCs w:val="18"/>
          <w:lang w:val="zh-CN" w:eastAsia="zh-CN" w:bidi="zh-CN"/>
        </w:rPr>
        <w:t>“法律</w:t>
      </w:r>
      <w:r>
        <w:rPr>
          <w:color w:val="000000"/>
          <w:spacing w:val="0"/>
          <w:w w:val="100"/>
          <w:position w:val="0"/>
          <w:sz w:val="18"/>
          <w:szCs w:val="18"/>
        </w:rPr>
        <w:t xml:space="preserve">文书” </w:t>
      </w:r>
      <w:r>
        <w:rPr>
          <w:rFonts w:ascii="Times New Roman" w:hAnsi="Times New Roman" w:eastAsia="Times New Roman" w:cs="Times New Roman"/>
          <w:color w:val="000000"/>
          <w:spacing w:val="0"/>
          <w:w w:val="100"/>
          <w:position w:val="0"/>
          <w:sz w:val="8"/>
          <w:szCs w:val="8"/>
          <w:lang w:val="en-US" w:eastAsia="en-US" w:bidi="en-US"/>
        </w:rPr>
        <w:t>O</w:t>
      </w:r>
    </w:p>
    <w:p w14:paraId="05C94DE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对于上述规定,反对意见认为，所谓的抵债裁定性质上为给付裁定,而非形成裁定,不 符合原《物权法》第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条中的法律文书的性质应限制为形成判决的观点［崔建远:《物权法》 （第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页］。也有学者认为，法院依法强制拍卖等行为 属于公权力行为，且不会破坏物权的公示公信原则，无害于交易安全与秩序,故上述司法解 释的规定是合理的（程啸:《因法律文书导致的物权变动》，载《法学》</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期）。从内容上 看，以物抵债裁定通常并非对当事人以物抵债协议的简单确认，而会进一步裁定由债权人 取得物权,并相应消灭债务人的债务。裁判权作为国家权力的一种，其实现无需借助当事 人的行为。当执行裁定载明被执行人的物权由执行申请人取得时,该物权之变动无须借助 当事人的行为即得发生;否则，国家权力能否贯彻完全取决于当事人是否履行，与国家权力 的性质不符。因此</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年施行的最高院《关于适用〈中华人民共和国物权法〉若干问题的 解释（一）》第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条明确规定:“……人民法院在执行程序中作出的拍卖成交裁定书、以物抵 债裁定书,应当认定为物权法第二十八条所称导致物权设立、变更、转让或者消灭的人民法 院、仲裁委员会的法律文书。”</w:t>
      </w:r>
    </w:p>
    <w:p w14:paraId="1766CA12">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在本案中，山东高院在</w:t>
      </w:r>
      <w:r>
        <w:rPr>
          <w:rFonts w:ascii="Times New Roman" w:hAnsi="Times New Roman" w:eastAsia="Times New Roman" w:cs="Times New Roman"/>
          <w:color w:val="000000"/>
          <w:spacing w:val="0"/>
          <w:w w:val="100"/>
          <w:position w:val="0"/>
          <w:sz w:val="19"/>
          <w:szCs w:val="19"/>
        </w:rPr>
        <w:t>12 -3</w:t>
      </w:r>
      <w:r>
        <w:rPr>
          <w:color w:val="000000"/>
          <w:spacing w:val="0"/>
          <w:w w:val="100"/>
          <w:position w:val="0"/>
        </w:rPr>
        <w:t>号裁定中认为，中银公司与银信公司签订《以物顶债协议 书》后，并未将涉案不动产登记到银信公司名下。银信公司在此后的执行程序中，又将该不 动产抵债给中行济南分行,银信公司的行为属于无权处分，而中行济南分行对此完全知情, 故中行济南分行不构成善意取得。但问题在于，无论该不动产属于银信公司还是中银公 司，该二公司均为同案被执行人,作为执行申请人的中行济南分行是通过以物抵债的裁定 书取得该不动产的所有权。此项物权变动基于法律文书发生，而非基于法律行为发生。故 最高院就此明确指出，本案申请人是“基于执行裁定取得涉案房产的物权……不属于善意 取得，应当适用物权法第二十八条的相关规定，不应适用善意取得制度”。该项见解值得肯 定。</w:t>
      </w:r>
    </w:p>
    <w:p w14:paraId="66ED65F7">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正因中行济南分行是基于</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rPr>
        <w:t xml:space="preserve">号执行裁定取得涉案房产物权,对于该房产原主人中 银公司的债权人工行市中支行而言，欲实现以该房产的价值受偿的目标，只能通过撤销 </w:t>
      </w:r>
      <w:r>
        <w:rPr>
          <w:rFonts w:ascii="Times New Roman" w:hAnsi="Times New Roman" w:eastAsia="Times New Roman" w:cs="Times New Roman"/>
          <w:color w:val="000000"/>
          <w:spacing w:val="0"/>
          <w:w w:val="100"/>
          <w:position w:val="0"/>
          <w:sz w:val="19"/>
          <w:szCs w:val="19"/>
        </w:rPr>
        <w:t xml:space="preserve">26 </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号裁定的途径，而非通过否定善意取得的方式。</w:t>
      </w:r>
    </w:p>
    <w:p w14:paraId="426C415B">
      <w:pPr>
        <w:pStyle w:val="17"/>
        <w:keepNext w:val="0"/>
        <w:keepLines w:val="0"/>
        <w:widowControl w:val="0"/>
        <w:shd w:val="clear" w:color="auto" w:fill="auto"/>
        <w:bidi w:val="0"/>
        <w:spacing w:before="0" w:after="14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本案的后续影响及遗留问题</w:t>
      </w:r>
    </w:p>
    <w:p w14:paraId="027D7143">
      <w:pPr>
        <w:pStyle w:val="17"/>
        <w:keepNext w:val="0"/>
        <w:keepLines w:val="0"/>
        <w:widowControl w:val="0"/>
        <w:shd w:val="clear" w:color="auto" w:fill="auto"/>
        <w:bidi w:val="0"/>
        <w:spacing w:before="0" w:after="0" w:line="240" w:lineRule="auto"/>
        <w:ind w:left="0" w:right="0" w:firstLine="420"/>
        <w:jc w:val="both"/>
        <w:rPr>
          <w:sz w:val="19"/>
          <w:szCs w:val="19"/>
        </w:rPr>
      </w:pPr>
      <w:r>
        <w:rPr>
          <w:rFonts w:ascii="Times New Roman" w:hAnsi="Times New Roman" w:eastAsia="Times New Roman" w:cs="Times New Roman"/>
          <w:color w:val="000000"/>
          <w:spacing w:val="0"/>
          <w:w w:val="100"/>
          <w:position w:val="0"/>
          <w:sz w:val="19"/>
          <w:szCs w:val="19"/>
        </w:rPr>
        <w:t xml:space="preserve">1 </w:t>
      </w:r>
      <w:r>
        <w:rPr>
          <w:rFonts w:ascii="Times New Roman" w:hAnsi="Times New Roman" w:eastAsia="Times New Roman" w:cs="Times New Roman"/>
          <w:color w:val="000000"/>
          <w:spacing w:val="0"/>
          <w:w w:val="100"/>
          <w:position w:val="0"/>
          <w:sz w:val="19"/>
          <w:szCs w:val="19"/>
          <w:lang w:val="en-US" w:eastAsia="en-US" w:bidi="en-US"/>
        </w:rPr>
        <w:t>.</w:t>
      </w:r>
      <w:r>
        <w:rPr>
          <w:color w:val="000000"/>
          <w:spacing w:val="0"/>
          <w:w w:val="100"/>
          <w:position w:val="0"/>
          <w:sz w:val="18"/>
          <w:szCs w:val="18"/>
        </w:rPr>
        <w:t>虽然最高院在本案裁定中承认中行山东分行通过</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sz w:val="18"/>
          <w:szCs w:val="18"/>
        </w:rPr>
        <w:t>号以物抵债的执行裁定取得 了涉案房产所有权,但最高院同时也指出</w:t>
      </w:r>
      <w:r>
        <w:rPr>
          <w:color w:val="000000"/>
          <w:spacing w:val="0"/>
          <w:w w:val="100"/>
          <w:position w:val="0"/>
          <w:sz w:val="18"/>
          <w:szCs w:val="18"/>
          <w:lang w:val="zh-CN" w:eastAsia="zh-CN" w:bidi="zh-CN"/>
        </w:rPr>
        <w:t>，“当</w:t>
      </w:r>
      <w:r>
        <w:rPr>
          <w:color w:val="000000"/>
          <w:spacing w:val="0"/>
          <w:w w:val="100"/>
          <w:position w:val="0"/>
          <w:sz w:val="18"/>
          <w:szCs w:val="18"/>
        </w:rPr>
        <w:t>事人协商以物抵债是一种私法行为，属于执 行和解的一种形式，人民法院应当审查执行当事人抵债行为是否触犯第三人权益，不宜出 具执行裁定予以确认，以防止当事人恶意串通损害第三人利益”。最高院这一态度其实杜 绝了此后通过以物抵债的执行裁定来变动物权的可能性。其后最高院《关于执行和解若干 问题的规定》</w:t>
      </w:r>
      <w:r>
        <w:rPr>
          <w:color w:val="000000"/>
          <w:spacing w:val="0"/>
          <w:w w:val="100"/>
          <w:position w:val="0"/>
          <w:sz w:val="18"/>
          <w:szCs w:val="18"/>
          <w:lang w:val="en-US" w:eastAsia="en-US" w:bidi="en-US"/>
        </w:rPr>
        <w:t>［</w:t>
      </w:r>
      <w:r>
        <w:rPr>
          <w:color w:val="000000"/>
          <w:spacing w:val="0"/>
          <w:w w:val="100"/>
          <w:position w:val="0"/>
          <w:sz w:val="18"/>
          <w:szCs w:val="18"/>
        </w:rPr>
        <w:t>法释</w:t>
      </w:r>
      <w:r>
        <w:rPr>
          <w:rFonts w:ascii="Times New Roman" w:hAnsi="Times New Roman" w:eastAsia="Times New Roman" w:cs="Times New Roman"/>
          <w:color w:val="000000"/>
          <w:spacing w:val="0"/>
          <w:w w:val="100"/>
          <w:position w:val="0"/>
          <w:sz w:val="19"/>
          <w:szCs w:val="19"/>
        </w:rPr>
        <w:t>（2018）3</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sz w:val="18"/>
          <w:szCs w:val="18"/>
        </w:rPr>
        <w:t>条规定:“当事人达成以物抵债执行和解协议的，人民 法院不得依据该协议作出以物抵债裁定</w:t>
      </w:r>
      <w:r>
        <w:rPr>
          <w:rFonts w:ascii="Times New Roman" w:hAnsi="Times New Roman" w:eastAsia="Times New Roman" w:cs="Times New Roman"/>
          <w:color w:val="000000"/>
          <w:spacing w:val="0"/>
          <w:w w:val="100"/>
          <w:position w:val="0"/>
          <w:sz w:val="19"/>
          <w:szCs w:val="19"/>
          <w:lang w:val="en-US" w:eastAsia="en-US" w:bidi="en-US"/>
        </w:rPr>
        <w:t xml:space="preserve">o </w:t>
      </w:r>
      <w:r>
        <w:rPr>
          <w:rFonts w:ascii="Times New Roman" w:hAnsi="Times New Roman" w:eastAsia="Times New Roman" w:cs="Times New Roman"/>
          <w:color w:val="000000"/>
          <w:spacing w:val="0"/>
          <w:w w:val="100"/>
          <w:position w:val="0"/>
          <w:sz w:val="19"/>
          <w:szCs w:val="19"/>
        </w:rPr>
        <w:t>”</w:t>
      </w:r>
    </w:p>
    <w:p w14:paraId="294B9472">
      <w:pPr>
        <w:pStyle w:val="17"/>
        <w:keepNext w:val="0"/>
        <w:keepLines w:val="0"/>
        <w:widowControl w:val="0"/>
        <w:numPr>
          <w:ilvl w:val="0"/>
          <w:numId w:val="15"/>
        </w:numPr>
        <w:shd w:val="clear" w:color="auto" w:fill="auto"/>
        <w:bidi w:val="0"/>
        <w:spacing w:before="0" w:after="380" w:line="339" w:lineRule="exact"/>
        <w:ind w:left="0" w:right="0"/>
        <w:jc w:val="both"/>
      </w:pPr>
      <w:bookmarkStart w:id="66" w:name="bookmark210"/>
      <w:bookmarkEnd w:id="66"/>
      <w:r>
        <w:rPr>
          <w:color w:val="000000"/>
          <w:spacing w:val="0"/>
          <w:w w:val="100"/>
          <w:position w:val="0"/>
        </w:rPr>
        <w:t>本案尚有一个直接影响物权变动的程序性问题有待明确，即撤销</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rPr>
        <w:t>号裁定的理 由。该裁定基于中行济南分行与银信公司等被执行人的执行和解协议作出，而中行济南分 行与银信公司之间确实存在真实的债权债务关系，且“没有证据证明中行山东分行与中银 公司、银信公司恶意串通</w:t>
      </w:r>
      <w:r>
        <w:rPr>
          <w:color w:val="000000"/>
          <w:spacing w:val="0"/>
          <w:w w:val="100"/>
          <w:position w:val="0"/>
          <w:lang w:val="zh-CN" w:eastAsia="zh-CN" w:bidi="zh-CN"/>
        </w:rPr>
        <w:t>”，所</w:t>
      </w:r>
      <w:r>
        <w:rPr>
          <w:color w:val="000000"/>
          <w:spacing w:val="0"/>
          <w:w w:val="100"/>
          <w:position w:val="0"/>
        </w:rPr>
        <w:t>以撤销该裁定其实欠缺法律上的依据。虽然最高院《关于适 用〈中华人民共和国民事诉讼法〉的解释》（以下简称《民事诉讼法解释》）第</w:t>
      </w:r>
      <w:r>
        <w:rPr>
          <w:rFonts w:ascii="Times New Roman" w:hAnsi="Times New Roman" w:eastAsia="Times New Roman" w:cs="Times New Roman"/>
          <w:color w:val="000000"/>
          <w:spacing w:val="0"/>
          <w:w w:val="100"/>
          <w:position w:val="0"/>
          <w:sz w:val="19"/>
          <w:szCs w:val="19"/>
        </w:rPr>
        <w:t>492</w:t>
      </w:r>
      <w:r>
        <w:rPr>
          <w:color w:val="000000"/>
          <w:spacing w:val="0"/>
          <w:w w:val="100"/>
          <w:position w:val="0"/>
        </w:rPr>
        <w:t>条规定， “被执行人的财产无法拍卖或者变卖的，经申请执行人同意，且不损害其他债权人合法权益 和社会公共利益的，人民法院可以将该项财产作价后交付申请执行人抵偿债务</w:t>
      </w:r>
      <w:r>
        <w:rPr>
          <w:color w:val="000000"/>
          <w:spacing w:val="0"/>
          <w:w w:val="100"/>
          <w:position w:val="0"/>
          <w:lang w:val="zh-CN" w:eastAsia="zh-CN" w:bidi="zh-CN"/>
        </w:rPr>
        <w:t>”，其</w:t>
      </w:r>
      <w:r>
        <w:rPr>
          <w:color w:val="000000"/>
          <w:spacing w:val="0"/>
          <w:w w:val="100"/>
          <w:position w:val="0"/>
        </w:rPr>
        <w:t>中有 “不损害其他债权人合法权益</w:t>
      </w:r>
      <w:r>
        <w:rPr>
          <w:color w:val="000000"/>
          <w:spacing w:val="0"/>
          <w:w w:val="100"/>
          <w:position w:val="0"/>
          <w:lang w:val="zh-CN" w:eastAsia="zh-CN" w:bidi="zh-CN"/>
        </w:rPr>
        <w:t>”这一</w:t>
      </w:r>
      <w:r>
        <w:rPr>
          <w:color w:val="000000"/>
          <w:spacing w:val="0"/>
          <w:w w:val="100"/>
          <w:position w:val="0"/>
        </w:rPr>
        <w:t>要件,但本案中的以物抵债协议并不存在将高价值财产 折成低价进行抵债之情形，难谓存在</w:t>
      </w:r>
      <w:r>
        <w:rPr>
          <w:color w:val="000000"/>
          <w:spacing w:val="0"/>
          <w:w w:val="100"/>
          <w:position w:val="0"/>
          <w:lang w:val="zh-CN" w:eastAsia="zh-CN" w:bidi="zh-CN"/>
        </w:rPr>
        <w:t>“损</w:t>
      </w:r>
      <w:r>
        <w:rPr>
          <w:color w:val="000000"/>
          <w:spacing w:val="0"/>
          <w:w w:val="100"/>
          <w:position w:val="0"/>
        </w:rPr>
        <w:t>害其他债权人</w:t>
      </w:r>
      <w:r>
        <w:rPr>
          <w:color w:val="000000"/>
          <w:spacing w:val="0"/>
          <w:w w:val="100"/>
          <w:position w:val="0"/>
          <w:lang w:val="zh-CN" w:eastAsia="zh-CN" w:bidi="zh-CN"/>
        </w:rPr>
        <w:t>”之</w:t>
      </w:r>
      <w:r>
        <w:rPr>
          <w:color w:val="000000"/>
          <w:spacing w:val="0"/>
          <w:w w:val="100"/>
          <w:position w:val="0"/>
        </w:rPr>
        <w:t xml:space="preserve">情形。虽然《民事诉讼法解释》于 </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日起施行，撤销</w:t>
      </w:r>
      <w:r>
        <w:rPr>
          <w:rFonts w:ascii="Times New Roman" w:hAnsi="Times New Roman" w:eastAsia="Times New Roman" w:cs="Times New Roman"/>
          <w:color w:val="000000"/>
          <w:spacing w:val="0"/>
          <w:w w:val="100"/>
          <w:position w:val="0"/>
          <w:sz w:val="19"/>
          <w:szCs w:val="19"/>
        </w:rPr>
        <w:t>26</w:t>
      </w:r>
      <w:r>
        <w:rPr>
          <w:rFonts w:ascii="Times New Roman" w:hAnsi="Times New Roman" w:eastAsia="Times New Roman" w:cs="Times New Roman"/>
          <w:color w:val="000000"/>
          <w:spacing w:val="0"/>
          <w:w w:val="100"/>
          <w:position w:val="0"/>
          <w:sz w:val="19"/>
          <w:szCs w:val="19"/>
          <w:lang w:val="zh-CN" w:eastAsia="zh-CN" w:bidi="zh-CN"/>
        </w:rPr>
        <w:t>-1</w:t>
      </w:r>
      <w:r>
        <w:rPr>
          <w:color w:val="000000"/>
          <w:spacing w:val="0"/>
          <w:w w:val="100"/>
          <w:position w:val="0"/>
        </w:rPr>
        <w:t>号裁定的</w:t>
      </w:r>
      <w:r>
        <w:rPr>
          <w:rFonts w:ascii="Times New Roman" w:hAnsi="Times New Roman" w:eastAsia="Times New Roman" w:cs="Times New Roman"/>
          <w:color w:val="000000"/>
          <w:spacing w:val="0"/>
          <w:w w:val="100"/>
          <w:position w:val="0"/>
          <w:sz w:val="19"/>
          <w:szCs w:val="19"/>
          <w:lang w:val="en-US" w:eastAsia="en-US" w:bidi="en-US"/>
        </w:rPr>
        <w:t>12-3</w:t>
      </w:r>
      <w:r>
        <w:rPr>
          <w:color w:val="000000"/>
          <w:spacing w:val="0"/>
          <w:w w:val="100"/>
          <w:position w:val="0"/>
        </w:rPr>
        <w:t>号裁定于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日作出，但无 论是</w:t>
      </w:r>
      <w:r>
        <w:rPr>
          <w:rFonts w:ascii="Times New Roman" w:hAnsi="Times New Roman" w:eastAsia="Times New Roman" w:cs="Times New Roman"/>
          <w:color w:val="000000"/>
          <w:spacing w:val="0"/>
          <w:w w:val="100"/>
          <w:position w:val="0"/>
          <w:sz w:val="19"/>
          <w:szCs w:val="19"/>
          <w:lang w:val="en-US" w:eastAsia="en-US" w:bidi="en-US"/>
        </w:rPr>
        <w:t>12-3</w:t>
      </w:r>
      <w:r>
        <w:rPr>
          <w:color w:val="000000"/>
          <w:spacing w:val="0"/>
          <w:w w:val="100"/>
          <w:position w:val="0"/>
        </w:rPr>
        <w:t>号裁定本身,还是后续的最高院裁定,均未援引《民事诉讼法解释》第</w:t>
      </w:r>
      <w:r>
        <w:rPr>
          <w:rFonts w:ascii="Times New Roman" w:hAnsi="Times New Roman" w:eastAsia="Times New Roman" w:cs="Times New Roman"/>
          <w:color w:val="000000"/>
          <w:spacing w:val="0"/>
          <w:w w:val="100"/>
          <w:position w:val="0"/>
          <w:sz w:val="19"/>
          <w:szCs w:val="19"/>
        </w:rPr>
        <w:t>492</w:t>
      </w:r>
      <w:r>
        <w:rPr>
          <w:color w:val="000000"/>
          <w:spacing w:val="0"/>
          <w:w w:val="100"/>
          <w:position w:val="0"/>
        </w:rPr>
        <w:t>条。 撤销</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rPr>
        <w:t>号裁定的真实理由可能是最高院裁定中所言：</w:t>
      </w:r>
      <w:r>
        <w:rPr>
          <w:color w:val="000000"/>
          <w:spacing w:val="0"/>
          <w:w w:val="100"/>
          <w:position w:val="0"/>
          <w:lang w:val="zh-CN" w:eastAsia="zh-CN" w:bidi="zh-CN"/>
        </w:rPr>
        <w:t>“中</w:t>
      </w:r>
      <w:r>
        <w:rPr>
          <w:color w:val="000000"/>
          <w:spacing w:val="0"/>
          <w:w w:val="100"/>
          <w:position w:val="0"/>
        </w:rPr>
        <w:t>银公司具有明显的选择性抵 债的恶意情形。”但是,若债务人尚未达到破产标准，选择性抵债本就属债务人意思自治范 畴。因此就撤销</w:t>
      </w:r>
      <w:r>
        <w:rPr>
          <w:rFonts w:ascii="Times New Roman" w:hAnsi="Times New Roman" w:eastAsia="Times New Roman" w:cs="Times New Roman"/>
          <w:color w:val="000000"/>
          <w:spacing w:val="0"/>
          <w:w w:val="100"/>
          <w:position w:val="0"/>
          <w:sz w:val="19"/>
          <w:szCs w:val="19"/>
          <w:lang w:val="en-US" w:eastAsia="en-US" w:bidi="en-US"/>
        </w:rPr>
        <w:t>26-1</w:t>
      </w:r>
      <w:r>
        <w:rPr>
          <w:color w:val="000000"/>
          <w:spacing w:val="0"/>
          <w:w w:val="100"/>
          <w:position w:val="0"/>
        </w:rPr>
        <w:t>号裁定的理由，尚有进一步讨论的空间。</w:t>
      </w:r>
    </w:p>
    <w:p w14:paraId="03B28FA8">
      <w:pPr>
        <w:pStyle w:val="11"/>
        <w:keepNext w:val="0"/>
        <w:keepLines w:val="0"/>
        <w:widowControl w:val="0"/>
        <w:shd w:val="clear" w:color="auto" w:fill="auto"/>
        <w:bidi w:val="0"/>
        <w:spacing w:before="0" w:after="60" w:line="339" w:lineRule="exact"/>
        <w:ind w:left="0" w:right="0" w:firstLine="0"/>
        <w:jc w:val="left"/>
      </w:pPr>
      <w:r>
        <w:rPr>
          <w:color w:val="000000"/>
          <w:spacing w:val="0"/>
          <w:w w:val="100"/>
          <w:position w:val="0"/>
        </w:rPr>
        <w:t>回参考文献</w:t>
      </w:r>
    </w:p>
    <w:p w14:paraId="1FBB1865">
      <w:pPr>
        <w:pStyle w:val="17"/>
        <w:keepNext w:val="0"/>
        <w:keepLines w:val="0"/>
        <w:widowControl w:val="0"/>
        <w:shd w:val="clear" w:color="auto" w:fill="auto"/>
        <w:bidi w:val="0"/>
        <w:spacing w:before="0" w:after="0" w:line="319" w:lineRule="exact"/>
        <w:ind w:left="0" w:right="0" w:firstLine="0"/>
        <w:jc w:val="left"/>
      </w:pPr>
      <w:r>
        <w:rPr>
          <w:color w:val="000000"/>
          <w:spacing w:val="0"/>
          <w:w w:val="100"/>
          <w:position w:val="0"/>
        </w:rPr>
        <w:t>崔建远:《物权法》（第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 程啸:《因法律文书导致的物权变动》，载《法学》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徐同远:《物权法第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条中的</w:t>
      </w:r>
      <w:r>
        <w:rPr>
          <w:color w:val="000000"/>
          <w:spacing w:val="0"/>
          <w:w w:val="100"/>
          <w:position w:val="0"/>
          <w:lang w:val="zh-CN" w:eastAsia="zh-CN" w:bidi="zh-CN"/>
        </w:rPr>
        <w:t>“法</w:t>
      </w:r>
      <w:r>
        <w:rPr>
          <w:color w:val="000000"/>
          <w:spacing w:val="0"/>
          <w:w w:val="100"/>
          <w:position w:val="0"/>
        </w:rPr>
        <w:t>律文书</w:t>
      </w:r>
      <w:r>
        <w:rPr>
          <w:color w:val="000000"/>
          <w:spacing w:val="0"/>
          <w:w w:val="100"/>
          <w:position w:val="0"/>
          <w:lang w:val="zh-CN" w:eastAsia="zh-CN" w:bidi="zh-CN"/>
        </w:rPr>
        <w:t>”的</w:t>
      </w:r>
      <w:r>
        <w:rPr>
          <w:color w:val="000000"/>
          <w:spacing w:val="0"/>
          <w:w w:val="100"/>
          <w:position w:val="0"/>
        </w:rPr>
        <w:t>类别及其具体类型》，载《天津法学》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A725873">
      <w:pPr>
        <w:pStyle w:val="17"/>
        <w:keepNext w:val="0"/>
        <w:keepLines w:val="0"/>
        <w:widowControl w:val="0"/>
        <w:shd w:val="clear" w:color="auto" w:fill="auto"/>
        <w:bidi w:val="0"/>
        <w:spacing w:before="0" w:after="60" w:line="319" w:lineRule="exact"/>
        <w:ind w:left="200" w:right="0" w:hanging="200"/>
        <w:jc w:val="both"/>
        <w:sectPr>
          <w:headerReference r:id="rId212" w:type="first"/>
          <w:headerReference r:id="rId210" w:type="default"/>
          <w:headerReference r:id="rId211" w:type="even"/>
          <w:footnotePr>
            <w:numFmt w:val="chicago"/>
          </w:footnotePr>
          <w:pgSz w:w="10099" w:h="14782"/>
          <w:pgMar w:top="1255" w:right="987" w:bottom="1164" w:left="1065" w:header="0" w:footer="3" w:gutter="0"/>
          <w:pgNumType w:start="157"/>
          <w:cols w:space="720" w:num="1"/>
          <w:titlePg/>
          <w:rtlGutter w:val="0"/>
          <w:docGrid w:linePitch="360" w:charSpace="0"/>
        </w:sectPr>
      </w:pPr>
      <w:r>
        <w:rPr>
          <w:color w:val="000000"/>
          <w:spacing w:val="0"/>
          <w:w w:val="100"/>
          <w:position w:val="0"/>
        </w:rPr>
        <w:t>刘耀东:《论基于法律文书发生的不动产物权变动——以〈物权法〉第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条为中心》，载《东方法学》</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F26A689">
      <w:pPr>
        <w:widowControl w:val="0"/>
        <w:spacing w:line="1" w:lineRule="exact"/>
      </w:pPr>
      <w:r>
        <w:drawing>
          <wp:anchor distT="0" distB="0" distL="0" distR="0" simplePos="0" relativeHeight="251660288" behindDoc="0" locked="0" layoutInCell="1" allowOverlap="1">
            <wp:simplePos x="0" y="0"/>
            <wp:positionH relativeFrom="page">
              <wp:posOffset>677545</wp:posOffset>
            </wp:positionH>
            <wp:positionV relativeFrom="paragraph">
              <wp:posOffset>0</wp:posOffset>
            </wp:positionV>
            <wp:extent cx="481330" cy="408305"/>
            <wp:effectExtent l="0" t="0" r="1270" b="10795"/>
            <wp:wrapTopAndBottom/>
            <wp:docPr id="481" name="Shape 481"/>
            <wp:cNvGraphicFramePr/>
            <a:graphic xmlns:a="http://schemas.openxmlformats.org/drawingml/2006/main">
              <a:graphicData uri="http://schemas.openxmlformats.org/drawingml/2006/picture">
                <pic:pic xmlns:pic="http://schemas.openxmlformats.org/drawingml/2006/picture">
                  <pic:nvPicPr>
                    <pic:cNvPr id="481" name="Shape 481"/>
                    <pic:cNvPicPr/>
                  </pic:nvPicPr>
                  <pic:blipFill>
                    <a:blip r:embed="rId637"/>
                    <a:stretch>
                      <a:fillRect/>
                    </a:stretch>
                  </pic:blipFill>
                  <pic:spPr>
                    <a:xfrm>
                      <a:off x="0" y="0"/>
                      <a:ext cx="481330" cy="408305"/>
                    </a:xfrm>
                    <a:prstGeom prst="rect">
                      <a:avLst/>
                    </a:prstGeom>
                  </pic:spPr>
                </pic:pic>
              </a:graphicData>
            </a:graphic>
          </wp:anchor>
        </w:drawing>
      </w:r>
      <w:r>
        <mc:AlternateContent>
          <mc:Choice Requires="wps">
            <w:drawing>
              <wp:anchor distT="130810" distB="34925" distL="0" distR="0" simplePos="0" relativeHeight="251660288" behindDoc="0" locked="0" layoutInCell="1" allowOverlap="1">
                <wp:simplePos x="0" y="0"/>
                <wp:positionH relativeFrom="page">
                  <wp:posOffset>1290320</wp:posOffset>
                </wp:positionH>
                <wp:positionV relativeFrom="paragraph">
                  <wp:posOffset>130810</wp:posOffset>
                </wp:positionV>
                <wp:extent cx="2418715" cy="242570"/>
                <wp:effectExtent l="0" t="0" r="0" b="0"/>
                <wp:wrapTopAndBottom/>
                <wp:docPr id="483" name="Shape 483"/>
                <wp:cNvGraphicFramePr/>
                <a:graphic xmlns:a="http://schemas.openxmlformats.org/drawingml/2006/main">
                  <a:graphicData uri="http://schemas.microsoft.com/office/word/2010/wordprocessingShape">
                    <wps:wsp>
                      <wps:cNvSpPr txBox="1"/>
                      <wps:spPr>
                        <a:xfrm>
                          <a:off x="0" y="0"/>
                          <a:ext cx="2418715" cy="242570"/>
                        </a:xfrm>
                        <a:prstGeom prst="rect">
                          <a:avLst/>
                        </a:prstGeom>
                        <a:noFill/>
                      </wps:spPr>
                      <wps:txbx>
                        <w:txbxContent>
                          <w:p w14:paraId="41A5C5DC">
                            <w:pPr>
                              <w:pStyle w:val="15"/>
                              <w:keepNext/>
                              <w:keepLines/>
                              <w:widowControl w:val="0"/>
                              <w:shd w:val="clear" w:color="auto" w:fill="auto"/>
                              <w:bidi w:val="0"/>
                              <w:spacing w:before="0" w:after="0" w:line="240" w:lineRule="auto"/>
                              <w:ind w:left="0" w:right="0" w:firstLine="0"/>
                              <w:jc w:val="left"/>
                            </w:pPr>
                            <w:bookmarkStart w:id="351" w:name="bookmark212"/>
                            <w:bookmarkStart w:id="352" w:name="bookmark211"/>
                            <w:bookmarkStart w:id="353" w:name="bookmark213"/>
                            <w:r>
                              <w:rPr>
                                <w:color w:val="000000"/>
                                <w:spacing w:val="0"/>
                                <w:w w:val="100"/>
                                <w:position w:val="0"/>
                              </w:rPr>
                              <w:t>合法建造房屋的所有权归属</w:t>
                            </w:r>
                            <w:bookmarkEnd w:id="351"/>
                            <w:bookmarkEnd w:id="352"/>
                            <w:bookmarkEnd w:id="353"/>
                          </w:p>
                        </w:txbxContent>
                      </wps:txbx>
                      <wps:bodyPr wrap="none" lIns="0" tIns="0" rIns="0" bIns="0">
                        <a:noAutofit/>
                      </wps:bodyPr>
                    </wps:wsp>
                  </a:graphicData>
                </a:graphic>
              </wp:anchor>
            </w:drawing>
          </mc:Choice>
          <mc:Fallback>
            <w:pict>
              <v:shape id="Shape 483" o:spid="_x0000_s1026" o:spt="202" type="#_x0000_t202" style="position:absolute;left:0pt;margin-left:101.6pt;margin-top:10.3pt;height:19.1pt;width:190.45pt;mso-position-horizontal-relative:page;mso-wrap-distance-bottom:2.75pt;mso-wrap-distance-top:10.3pt;mso-wrap-style:none;z-index:251660288;mso-width-relative:page;mso-height-relative:page;" filled="f" stroked="f" coordsize="21600,21600" o:gfxdata="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Q+w9UA&#10;AAAJAQAADwAAAAAAAAABACAAAAAiAAAAZHJzL2Rvd25yZXYueG1sUEsBAhQAFAAAAAgAh07iQLR5&#10;r7OwAQAAdAMAAA4AAAAAAAAAAQAgAAAAJAEAAGRycy9lMm9Eb2MueG1sUEsFBgAAAAAGAAYAWQEA&#10;AEYFAAAAAA==&#10;">
                <v:fill on="f" focussize="0,0"/>
                <v:stroke on="f"/>
                <v:imagedata o:title=""/>
                <o:lock v:ext="edit" aspectratio="f"/>
                <v:textbox inset="0mm,0mm,0mm,0mm">
                  <w:txbxContent>
                    <w:p w14:paraId="41A5C5DC">
                      <w:pPr>
                        <w:pStyle w:val="15"/>
                        <w:keepNext/>
                        <w:keepLines/>
                        <w:widowControl w:val="0"/>
                        <w:shd w:val="clear" w:color="auto" w:fill="auto"/>
                        <w:bidi w:val="0"/>
                        <w:spacing w:before="0" w:after="0" w:line="240" w:lineRule="auto"/>
                        <w:ind w:left="0" w:right="0" w:firstLine="0"/>
                        <w:jc w:val="left"/>
                      </w:pPr>
                      <w:bookmarkStart w:id="351" w:name="bookmark212"/>
                      <w:bookmarkStart w:id="352" w:name="bookmark211"/>
                      <w:bookmarkStart w:id="353" w:name="bookmark213"/>
                      <w:r>
                        <w:rPr>
                          <w:color w:val="000000"/>
                          <w:spacing w:val="0"/>
                          <w:w w:val="100"/>
                          <w:position w:val="0"/>
                        </w:rPr>
                        <w:t>合法建造房屋的所有权归属</w:t>
                      </w:r>
                      <w:bookmarkEnd w:id="351"/>
                      <w:bookmarkEnd w:id="352"/>
                      <w:bookmarkEnd w:id="353"/>
                    </w:p>
                  </w:txbxContent>
                </v:textbox>
                <w10:wrap type="topAndBottom"/>
              </v:shape>
            </w:pict>
          </mc:Fallback>
        </mc:AlternateContent>
      </w:r>
    </w:p>
    <w:p w14:paraId="26C6BB8A">
      <w:pPr>
        <w:pStyle w:val="17"/>
        <w:keepNext w:val="0"/>
        <w:keepLines w:val="0"/>
        <w:widowControl w:val="0"/>
        <w:shd w:val="clear" w:color="auto" w:fill="auto"/>
        <w:bidi w:val="0"/>
        <w:spacing w:before="0" w:after="400" w:line="335" w:lineRule="exact"/>
        <w:ind w:left="1000" w:right="0" w:firstLine="20"/>
        <w:jc w:val="both"/>
      </w:pPr>
      <w:r>
        <w:drawing>
          <wp:anchor distT="0" distB="0" distL="114300" distR="114300" simplePos="0" relativeHeight="251660288" behindDoc="0" locked="0" layoutInCell="1" allowOverlap="1">
            <wp:simplePos x="0" y="0"/>
            <wp:positionH relativeFrom="page">
              <wp:posOffset>5087620</wp:posOffset>
            </wp:positionH>
            <wp:positionV relativeFrom="paragraph">
              <wp:posOffset>63500</wp:posOffset>
            </wp:positionV>
            <wp:extent cx="615950" cy="621665"/>
            <wp:effectExtent l="0" t="0" r="6350" b="635"/>
            <wp:wrapSquare wrapText="left"/>
            <wp:docPr id="485" name="Shape 485"/>
            <wp:cNvGraphicFramePr/>
            <a:graphic xmlns:a="http://schemas.openxmlformats.org/drawingml/2006/main">
              <a:graphicData uri="http://schemas.openxmlformats.org/drawingml/2006/picture">
                <pic:pic xmlns:pic="http://schemas.openxmlformats.org/drawingml/2006/picture">
                  <pic:nvPicPr>
                    <pic:cNvPr id="485" name="Shape 485"/>
                    <pic:cNvPicPr/>
                  </pic:nvPicPr>
                  <pic:blipFill>
                    <a:blip r:embed="rId638"/>
                    <a:stretch>
                      <a:fillRect/>
                    </a:stretch>
                  </pic:blipFill>
                  <pic:spPr>
                    <a:xfrm>
                      <a:off x="0" y="0"/>
                      <a:ext cx="615950" cy="621665"/>
                    </a:xfrm>
                    <a:prstGeom prst="rect">
                      <a:avLst/>
                    </a:prstGeom>
                  </pic:spPr>
                </pic:pic>
              </a:graphicData>
            </a:graphic>
          </wp:anchor>
        </w:drawing>
      </w:r>
      <w:r>
        <w:rPr>
          <w:color w:val="000000"/>
          <w:spacing w:val="0"/>
          <w:w w:val="100"/>
          <w:position w:val="0"/>
        </w:rPr>
        <w:t>陕西崇立实业发展有限公司与中国信达资产管理股份有限公司陕 西省分公司、西安佳佳房地产综合开发有限责任公司案外人执行异 议之诉案丨最高人民法院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9"/>
          <w:szCs w:val="19"/>
        </w:rPr>
        <w:t>763</w:t>
      </w:r>
      <w:r>
        <w:rPr>
          <w:color w:val="000000"/>
          <w:spacing w:val="0"/>
          <w:w w:val="100"/>
          <w:position w:val="0"/>
        </w:rPr>
        <w:t>号民事判决书</w:t>
      </w:r>
    </w:p>
    <w:p w14:paraId="7CBEE017">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章程</w:t>
      </w:r>
      <w:r>
        <w:rPr>
          <w:color w:val="000000"/>
          <w:spacing w:val="0"/>
          <w:w w:val="100"/>
          <w:position w:val="0"/>
        </w:rPr>
        <w:t>浙江大学光华法学院</w:t>
      </w:r>
    </w:p>
    <w:p w14:paraId="66568BE4">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06F9316">
      <w:pPr>
        <w:pStyle w:val="17"/>
        <w:keepNext w:val="0"/>
        <w:keepLines w:val="0"/>
        <w:widowControl w:val="0"/>
        <w:shd w:val="clear" w:color="auto" w:fill="auto"/>
        <w:bidi w:val="0"/>
        <w:spacing w:before="0" w:after="0" w:line="339" w:lineRule="exact"/>
        <w:ind w:left="0" w:right="0"/>
        <w:jc w:val="both"/>
      </w:pPr>
      <w:r>
        <w:rPr>
          <w:color w:val="000000"/>
          <w:spacing w:val="0"/>
          <w:w w:val="100"/>
          <w:position w:val="0"/>
        </w:rPr>
        <w:t>崇立公司（二审被上诉人、一审原告）与佳佳公司（二审被上诉人、一审被告）签订《佳家 时代广场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座项目联合开发合同书》（以下简称联建协议），约定佳佳公司提供建设项目 用地、项目的规划审批手续和建筑设计方案及施工图纸,崇立公司以人民币出资，承担项目 设计蓝图内的所有建安费用。双方共同投资至本项目总价的</w:t>
      </w:r>
      <w:r>
        <w:rPr>
          <w:rFonts w:ascii="Times New Roman" w:hAnsi="Times New Roman" w:eastAsia="Times New Roman" w:cs="Times New Roman"/>
          <w:color w:val="000000"/>
          <w:spacing w:val="0"/>
          <w:w w:val="100"/>
          <w:position w:val="0"/>
          <w:sz w:val="19"/>
          <w:szCs w:val="19"/>
        </w:rPr>
        <w:t>25%</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时,佳佳公司应无 条件地将该项目过户给崇立公司，由崇立公司独自建设、经营、销售，收益归崇立公司所有。 工程竣工验收后，双方签订《有关相关问题的协议》，一致认可就合同收益分配问题再无任 何争议，并认可崇立公司已经依据合同合法且无争议地拥有佳家时代广场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座及协议约 定的地下车库全部产权以及产权转让后的全部销售收益。</w:t>
      </w:r>
    </w:p>
    <w:p w14:paraId="23151324">
      <w:pPr>
        <w:pStyle w:val="17"/>
        <w:keepNext w:val="0"/>
        <w:keepLines w:val="0"/>
        <w:widowControl w:val="0"/>
        <w:shd w:val="clear" w:color="auto" w:fill="auto"/>
        <w:bidi w:val="0"/>
        <w:spacing w:before="0" w:after="0" w:line="339" w:lineRule="exact"/>
        <w:ind w:left="0" w:right="0"/>
        <w:jc w:val="both"/>
      </w:pPr>
      <w:r>
        <w:rPr>
          <w:color w:val="000000"/>
          <w:spacing w:val="0"/>
          <w:w w:val="100"/>
          <w:position w:val="0"/>
        </w:rPr>
        <w:t>佳佳公司因借款纠纷被债权人信达陕西分公司（二审上诉人、一审被告）申请执行佳家 时代广场案涉房屋，崇立公司向一审法院提出案外人执行异议。一审法院根据最高人民法 院《关于人民法院办理执行异议和复议案件若干问题的规定》作出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陕执异字第</w:t>
      </w:r>
      <w:r>
        <w:rPr>
          <w:rFonts w:ascii="Times New Roman" w:hAnsi="Times New Roman" w:eastAsia="Times New Roman" w:cs="Times New Roman"/>
          <w:color w:val="000000"/>
          <w:spacing w:val="0"/>
          <w:w w:val="100"/>
          <w:position w:val="0"/>
          <w:sz w:val="19"/>
          <w:szCs w:val="19"/>
        </w:rPr>
        <w:t xml:space="preserve">00002 </w:t>
      </w:r>
      <w:r>
        <w:rPr>
          <w:color w:val="000000"/>
          <w:spacing w:val="0"/>
          <w:w w:val="100"/>
          <w:position w:val="0"/>
        </w:rPr>
        <w:t>号执行裁定认为，执行异议所涉房屋尚未办理不动产登记，其国有土地使用证、建设工程规 划许可证等相关审批手续和建筑设计方案等均登记在被执行人佳佳公司名下，崇立公司所 提供的证据材料不足以证明其是涉案房屋的所有权人，故驳回了崇立公司的异议请求。崇 立公司不服，向一审法院起诉。</w:t>
      </w:r>
    </w:p>
    <w:p w14:paraId="3A73C6DB">
      <w:pPr>
        <w:pStyle w:val="17"/>
        <w:keepNext w:val="0"/>
        <w:keepLines w:val="0"/>
        <w:widowControl w:val="0"/>
        <w:shd w:val="clear" w:color="auto" w:fill="auto"/>
        <w:bidi w:val="0"/>
        <w:spacing w:before="0" w:after="240" w:line="339" w:lineRule="exact"/>
        <w:ind w:left="0" w:right="0"/>
        <w:jc w:val="both"/>
        <w:sectPr>
          <w:headerReference r:id="rId213" w:type="default"/>
          <w:headerReference r:id="rId214" w:type="even"/>
          <w:footnotePr>
            <w:numFmt w:val="chicago"/>
          </w:footnotePr>
          <w:pgSz w:w="10099" w:h="14782"/>
          <w:pgMar w:top="1272" w:right="1090" w:bottom="1128" w:left="1018" w:header="844" w:footer="700" w:gutter="0"/>
          <w:pgNumType w:start="177"/>
          <w:cols w:space="720" w:num="1"/>
          <w:rtlGutter w:val="0"/>
          <w:docGrid w:linePitch="360" w:charSpace="0"/>
        </w:sectPr>
      </w:pPr>
      <w:r>
        <w:rPr>
          <w:color w:val="000000"/>
          <w:spacing w:val="0"/>
          <w:w w:val="100"/>
          <w:position w:val="0"/>
        </w:rPr>
        <w:t>一审法院认为,佳佳公司与崇立公司系联建关系，共同出资开发建设涉案房屋,故佳佳 公司与崇立公司均为房屋建造人，自房屋建成，即应共同享有对涉案房屋的所有权。又佳 佳公司与崇立公司签订的《有关相关问题的协议》属于对合作开发的共有财产的分割，该约 定系双方的真实意思表示，不违反法律、行政法规的强制性规定，应为有效,故崇立公司应 为所有权人。信达陕西分公司不服一审判决提起上诉。</w:t>
      </w:r>
    </w:p>
    <w:p w14:paraId="031DA212">
      <w:pPr>
        <w:pStyle w:val="11"/>
        <w:keepNext w:val="0"/>
        <w:keepLines w:val="0"/>
        <w:widowControl w:val="0"/>
        <w:shd w:val="clear" w:color="auto" w:fill="auto"/>
        <w:bidi w:val="0"/>
        <w:spacing w:before="0" w:after="12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7C301EB4">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第一,不动产物权变动一般应以登记为生效要件，而根据查明的事实，案涉房屋并未登 记于崇立公司名下，崇立公司不能依据登记取得案涉房屋所有权。第二，崇立公司能否基 于合法建造取得案涉房屋所有权。合法建造取得物权，应当包括两个前提条件，一是必须 有合法的建房手续,完成特定审批,取得合法土地权利,符合规划要求；二是房屋应当建成</w:t>
      </w:r>
      <w:r>
        <w:rPr>
          <w:rFonts w:ascii="Times New Roman" w:hAnsi="Times New Roman" w:eastAsia="Times New Roman" w:cs="Times New Roman"/>
          <w:color w:val="000000"/>
          <w:spacing w:val="0"/>
          <w:w w:val="100"/>
          <w:position w:val="0"/>
          <w:sz w:val="19"/>
          <w:szCs w:val="19"/>
          <w:lang w:val="en-US" w:eastAsia="en-US" w:bidi="en-US"/>
        </w:rPr>
        <w:t xml:space="preserve">O </w:t>
      </w:r>
      <w:r>
        <w:rPr>
          <w:color w:val="000000"/>
          <w:spacing w:val="0"/>
          <w:w w:val="100"/>
          <w:position w:val="0"/>
        </w:rPr>
        <w:t>在案涉房屋开发的立项、规划、建设过程中，佳佳公司是相关行政审批机关确定的建设方, 崇立公司仅依据其与佳佳公司的联建协议，并不能直接认定其为《物权法》第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条规定的 合法建造人，并因事实行为而当然取得物权。联建协议表明双方明知合作开发，崇立公司 仅能依据联建协议参与建成房屋分配,项目转让仍需履行相关审批手续。第三，崇立公司 现既未提交证据足以证明其对案涉项目投资的事实，亦未提交证据证明其对涉案房屋占有 的权利外观，更未提交证据证明案涉房屋已经登记至其名下，应当承担举证不能的不利后 果。第四，《物权法》规定物权公示原则，即物权的变动必须将其变动的事实通过一定方法 向社会公开，其目的在于使第三人知道物权变动情况，以免第三人遭受损害并保障交易安 全。本案中崇立公司与佳佳公司之间存在合作开发房地产的合同关系，崇立公司有权另案 向佳佳公司主张基于合作开发合同产生的相关权利。由此，二审法院认为,在崇立公司提 交证据不足以证明其为相关审批手续载明的合法建造主体、投资事实、占有权利外观的情 况下,仅依据其与佳佳公司的合作开发合同关系，经认定崇立公司不属于《物权法》第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 （《民法典》第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条）规定的合法建造人，故撤销一审判决，认定信达陕西分公司的上诉请 求成立。</w:t>
      </w:r>
    </w:p>
    <w:p w14:paraId="610566E2">
      <w:pPr>
        <w:pStyle w:val="11"/>
        <w:keepNext w:val="0"/>
        <w:keepLines w:val="0"/>
        <w:widowControl w:val="0"/>
        <w:shd w:val="clear" w:color="auto" w:fill="auto"/>
        <w:bidi w:val="0"/>
        <w:spacing w:before="0" w:after="120" w:line="341" w:lineRule="exact"/>
        <w:ind w:left="0" w:right="0" w:firstLine="0"/>
        <w:jc w:val="left"/>
      </w:pPr>
      <w:r>
        <w:rPr>
          <w:color w:val="000000"/>
          <w:spacing w:val="0"/>
          <w:w w:val="100"/>
          <w:position w:val="0"/>
        </w:rPr>
        <w:t>■评析</w:t>
      </w:r>
    </w:p>
    <w:p w14:paraId="13FB5690">
      <w:pPr>
        <w:pStyle w:val="17"/>
        <w:keepNext w:val="0"/>
        <w:keepLines w:val="0"/>
        <w:widowControl w:val="0"/>
        <w:shd w:val="clear" w:color="auto" w:fill="auto"/>
        <w:bidi w:val="0"/>
        <w:spacing w:before="0" w:after="12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p>
    <w:p w14:paraId="29554A16">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合法建造的法律效果</w:t>
      </w:r>
    </w:p>
    <w:p w14:paraId="4CDA4DE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本案的争点，首先是崇立公司是否因《物权法》第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条）原始取得 房屋所有权。按照《民法典》第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条的规定,</w:t>
      </w:r>
      <w:r>
        <w:rPr>
          <w:color w:val="000000"/>
          <w:spacing w:val="0"/>
          <w:w w:val="100"/>
          <w:position w:val="0"/>
          <w:lang w:val="zh-CN" w:eastAsia="zh-CN" w:bidi="zh-CN"/>
        </w:rPr>
        <w:t>“因合</w:t>
      </w:r>
      <w:r>
        <w:rPr>
          <w:color w:val="000000"/>
          <w:spacing w:val="0"/>
          <w:w w:val="100"/>
          <w:position w:val="0"/>
        </w:rPr>
        <w:t>法建造、拆除房屋等事实行为设立或者 消灭物权的，自事实行为成就时发生效力</w:t>
      </w:r>
      <w:r>
        <w:rPr>
          <w:color w:val="000000"/>
          <w:spacing w:val="0"/>
          <w:w w:val="100"/>
          <w:position w:val="0"/>
          <w:lang w:val="zh-CN" w:eastAsia="zh-CN" w:bidi="zh-CN"/>
        </w:rPr>
        <w:t>。”房</w:t>
      </w:r>
      <w:r>
        <w:rPr>
          <w:color w:val="000000"/>
          <w:spacing w:val="0"/>
          <w:w w:val="100"/>
          <w:position w:val="0"/>
        </w:rPr>
        <w:t>屋竣工产生不动产所有权本身并无问题，崇 立公司与佳佳公司有联建协议在先，但首先需要认定崇立公司所建房屋是否属于合法建 造,只有合法建造才是符合此条的原始取得。</w:t>
      </w:r>
    </w:p>
    <w:p w14:paraId="6D3EC47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一审法院认为，联建协议表明崇立公司与佳佳公司均为建造主体，因此自房屋建成起 二者即成立共有关系。此时，国有土地使用证、建设工程规划许可证等相关审批手续和建 筑设计方案等虽均登记在被执行人佳佳公司名下，但在一审法院看来</w:t>
      </w:r>
      <w:r>
        <w:rPr>
          <w:color w:val="000000"/>
          <w:spacing w:val="0"/>
          <w:w w:val="100"/>
          <w:position w:val="0"/>
          <w:lang w:val="zh-CN" w:eastAsia="zh-CN" w:bidi="zh-CN"/>
        </w:rPr>
        <w:t>，“合</w:t>
      </w:r>
      <w:r>
        <w:rPr>
          <w:color w:val="000000"/>
          <w:spacing w:val="0"/>
          <w:w w:val="100"/>
          <w:position w:val="0"/>
        </w:rPr>
        <w:t>法”，指的是排除 违法情形,至于相关手续、登记在何人名下，则并非判断原始取得的依据。</w:t>
      </w:r>
    </w:p>
    <w:p w14:paraId="5D9A2E5F">
      <w:pPr>
        <w:pStyle w:val="17"/>
        <w:keepNext w:val="0"/>
        <w:keepLines w:val="0"/>
        <w:widowControl w:val="0"/>
        <w:shd w:val="clear" w:color="auto" w:fill="auto"/>
        <w:bidi w:val="0"/>
        <w:spacing w:before="0" w:after="0" w:line="342" w:lineRule="exact"/>
        <w:ind w:left="0" w:right="0" w:firstLine="420"/>
        <w:jc w:val="both"/>
        <w:rPr>
          <w:sz w:val="8"/>
          <w:szCs w:val="8"/>
        </w:rPr>
      </w:pPr>
      <w:r>
        <w:rPr>
          <w:color w:val="000000"/>
          <w:spacing w:val="0"/>
          <w:w w:val="100"/>
          <w:position w:val="0"/>
          <w:sz w:val="18"/>
          <w:szCs w:val="18"/>
        </w:rPr>
        <w:t>与此相对，二审法院同样适用《物权法》第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sz w:val="18"/>
          <w:szCs w:val="18"/>
        </w:rPr>
        <w:t>条），但是对“合法建 造”的理解显然不同于一审法院，二审法院认为“在案涉房屋开发的立项、规划、建设过程 中，佳佳公司是相关行政审批机关确定的建设方，崇立公司仅依据其与佳佳公司的联建协 议,并不能直接认定其为《物权法》第三十条规定的合法建造人，并因事实行为而当然取得 物权”。换言之，合法建造原始取得房屋所有权,建设主体必须是行政审批机关所确定的建 设方，才能称“合法”。虽然联建协议中约定</w:t>
      </w:r>
      <w:r>
        <w:rPr>
          <w:color w:val="000000"/>
          <w:spacing w:val="0"/>
          <w:w w:val="100"/>
          <w:position w:val="0"/>
          <w:sz w:val="18"/>
          <w:szCs w:val="18"/>
          <w:lang w:val="zh-CN" w:eastAsia="zh-CN" w:bidi="zh-CN"/>
        </w:rPr>
        <w:t>“在双</w:t>
      </w:r>
      <w:r>
        <w:rPr>
          <w:color w:val="000000"/>
          <w:spacing w:val="0"/>
          <w:w w:val="100"/>
          <w:position w:val="0"/>
          <w:sz w:val="18"/>
          <w:szCs w:val="18"/>
        </w:rPr>
        <w:t>方共同投资至本项目总价的</w:t>
      </w:r>
      <w:r>
        <w:rPr>
          <w:rFonts w:ascii="Times New Roman" w:hAnsi="Times New Roman" w:eastAsia="Times New Roman" w:cs="Times New Roman"/>
          <w:color w:val="000000"/>
          <w:spacing w:val="0"/>
          <w:w w:val="100"/>
          <w:position w:val="0"/>
          <w:sz w:val="19"/>
          <w:szCs w:val="19"/>
        </w:rPr>
        <w:t>25%</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30% </w:t>
      </w:r>
      <w:r>
        <w:rPr>
          <w:color w:val="000000"/>
          <w:spacing w:val="0"/>
          <w:w w:val="100"/>
          <w:position w:val="0"/>
          <w:sz w:val="18"/>
          <w:szCs w:val="18"/>
        </w:rPr>
        <w:t>时,佳佳公司应无条件地将该项目过户给崇立公司</w:t>
      </w:r>
      <w:r>
        <w:rPr>
          <w:color w:val="000000"/>
          <w:spacing w:val="0"/>
          <w:w w:val="100"/>
          <w:position w:val="0"/>
          <w:sz w:val="18"/>
          <w:szCs w:val="18"/>
          <w:lang w:val="zh-CN" w:eastAsia="zh-CN" w:bidi="zh-CN"/>
        </w:rPr>
        <w:t>”，但</w:t>
      </w:r>
      <w:r>
        <w:rPr>
          <w:color w:val="000000"/>
          <w:spacing w:val="0"/>
          <w:w w:val="100"/>
          <w:position w:val="0"/>
          <w:sz w:val="18"/>
          <w:szCs w:val="18"/>
        </w:rPr>
        <w:t>实际上各项手续仍均在佳佳公司名 下，而且实际办理时也需要履行相关审批手续。也就是说，崇立公司始终未能成为行政审 批机关所确定的建设方，因此其所建房屋无法成立</w:t>
      </w:r>
      <w:r>
        <w:rPr>
          <w:color w:val="000000"/>
          <w:spacing w:val="0"/>
          <w:w w:val="100"/>
          <w:position w:val="0"/>
          <w:sz w:val="18"/>
          <w:szCs w:val="18"/>
          <w:lang w:val="zh-CN" w:eastAsia="zh-CN" w:bidi="zh-CN"/>
        </w:rPr>
        <w:t>“合法</w:t>
      </w:r>
      <w:r>
        <w:rPr>
          <w:color w:val="000000"/>
          <w:spacing w:val="0"/>
          <w:w w:val="100"/>
          <w:position w:val="0"/>
          <w:sz w:val="18"/>
          <w:szCs w:val="18"/>
        </w:rPr>
        <w:t xml:space="preserve">建造” </w:t>
      </w:r>
      <w:r>
        <w:rPr>
          <w:rFonts w:ascii="Times New Roman" w:hAnsi="Times New Roman" w:eastAsia="Times New Roman" w:cs="Times New Roman"/>
          <w:color w:val="000000"/>
          <w:spacing w:val="0"/>
          <w:w w:val="100"/>
          <w:position w:val="0"/>
          <w:sz w:val="8"/>
          <w:szCs w:val="8"/>
          <w:lang w:val="en-US" w:eastAsia="en-US" w:bidi="en-US"/>
        </w:rPr>
        <w:t>O</w:t>
      </w:r>
    </w:p>
    <w:p w14:paraId="20799B3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在以往的讨论中,一般将</w:t>
      </w:r>
      <w:r>
        <w:rPr>
          <w:color w:val="000000"/>
          <w:spacing w:val="0"/>
          <w:w w:val="100"/>
          <w:position w:val="0"/>
          <w:lang w:val="zh-CN" w:eastAsia="zh-CN" w:bidi="zh-CN"/>
        </w:rPr>
        <w:t>“合法”认为</w:t>
      </w:r>
      <w:r>
        <w:rPr>
          <w:color w:val="000000"/>
          <w:spacing w:val="0"/>
          <w:w w:val="100"/>
          <w:position w:val="0"/>
        </w:rPr>
        <w:t>是建造房屋应当符合《城乡规划法》《建筑法》《土 地管理法》《房地产管理法》等规划、建筑领域的法律管制要求，学说在解释论上因法官解释 空间的不同,有认为其是引致条款、转介条款或授权条款等不同见解，也有从立法论上主张 废弃</w:t>
      </w:r>
      <w:r>
        <w:rPr>
          <w:color w:val="000000"/>
          <w:spacing w:val="0"/>
          <w:w w:val="100"/>
          <w:position w:val="0"/>
          <w:lang w:val="zh-CN" w:eastAsia="zh-CN" w:bidi="zh-CN"/>
        </w:rPr>
        <w:t>“合法”要件</w:t>
      </w:r>
      <w:r>
        <w:rPr>
          <w:color w:val="000000"/>
          <w:spacing w:val="0"/>
          <w:w w:val="100"/>
          <w:position w:val="0"/>
        </w:rPr>
        <w:t>的见解（黄忠：《违法建筑的私法地位之辨识——〈物权法〉第</w:t>
      </w:r>
      <w:r>
        <w:rPr>
          <w:rFonts w:ascii="Times New Roman" w:hAnsi="Times New Roman" w:eastAsia="Times New Roman" w:cs="Times New Roman"/>
          <w:color w:val="000000"/>
          <w:spacing w:val="0"/>
          <w:w w:val="100"/>
          <w:position w:val="0"/>
          <w:sz w:val="17"/>
          <w:szCs w:val="17"/>
        </w:rPr>
        <w:t>30</w:t>
      </w:r>
      <w:r>
        <w:rPr>
          <w:color w:val="000000"/>
          <w:spacing w:val="0"/>
          <w:w w:val="100"/>
          <w:position w:val="0"/>
        </w:rPr>
        <w:t>条的解释论》，载 《当代法学》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期）。解释论上无论采取何种见解，一般都认为此处的合法是指符合 相关管制要求，将来能够取得不动产初始登记的情形,与此相对,违法建筑则是无法取得初 始登记的房屋。换言之，通常认为</w:t>
      </w:r>
      <w:r>
        <w:rPr>
          <w:color w:val="000000"/>
          <w:spacing w:val="0"/>
          <w:w w:val="100"/>
          <w:position w:val="0"/>
          <w:lang w:val="zh-CN" w:eastAsia="zh-CN" w:bidi="zh-CN"/>
        </w:rPr>
        <w:t>“合法”这</w:t>
      </w:r>
      <w:r>
        <w:rPr>
          <w:color w:val="000000"/>
          <w:spacing w:val="0"/>
          <w:w w:val="100"/>
          <w:position w:val="0"/>
        </w:rPr>
        <w:t>一要件仅解决何种房屋因建造这一事实行为成 就而产生所有权的问题，至于房屋所有权归属问题，未见以往学说与实务以</w:t>
      </w:r>
      <w:r>
        <w:rPr>
          <w:color w:val="000000"/>
          <w:spacing w:val="0"/>
          <w:w w:val="100"/>
          <w:position w:val="0"/>
          <w:lang w:val="zh-CN" w:eastAsia="zh-CN" w:bidi="zh-CN"/>
        </w:rPr>
        <w:t>“合法”要</w:t>
      </w:r>
      <w:r>
        <w:rPr>
          <w:color w:val="000000"/>
          <w:spacing w:val="0"/>
          <w:w w:val="100"/>
          <w:position w:val="0"/>
        </w:rPr>
        <w:t>件来 讨论。</w:t>
      </w:r>
    </w:p>
    <w:p w14:paraId="54D7DCEA">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本案的一审判决即采以往学说与实务的见解,并未用</w:t>
      </w:r>
      <w:r>
        <w:rPr>
          <w:color w:val="000000"/>
          <w:spacing w:val="0"/>
          <w:w w:val="100"/>
          <w:position w:val="0"/>
          <w:lang w:val="zh-CN" w:eastAsia="zh-CN" w:bidi="zh-CN"/>
        </w:rPr>
        <w:t>“合法”这一</w:t>
      </w:r>
      <w:r>
        <w:rPr>
          <w:color w:val="000000"/>
          <w:spacing w:val="0"/>
          <w:w w:val="100"/>
          <w:position w:val="0"/>
        </w:rPr>
        <w:t>要件来判定房屋所有 权的归属，而直接以联建协议来判定崇立公司和佳佳公司两家均为建造主体，因此就房屋 成立共有关系。而二审判决推翻一审判决之处，也就在于其开创性地用</w:t>
      </w:r>
      <w:r>
        <w:rPr>
          <w:color w:val="000000"/>
          <w:spacing w:val="0"/>
          <w:w w:val="100"/>
          <w:position w:val="0"/>
          <w:lang w:val="zh-CN" w:eastAsia="zh-CN" w:bidi="zh-CN"/>
        </w:rPr>
        <w:t>“合法”这一</w:t>
      </w:r>
      <w:r>
        <w:rPr>
          <w:color w:val="000000"/>
          <w:spacing w:val="0"/>
          <w:w w:val="100"/>
          <w:position w:val="0"/>
        </w:rPr>
        <w:t>要件来 判定所有权的归属，认定只有相关手续的名义人才是合法建造主体，方可原始取得房屋所 有权。</w:t>
      </w:r>
    </w:p>
    <w:p w14:paraId="5FCAF4DD">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双方协议的性质认定</w:t>
      </w:r>
    </w:p>
    <w:p w14:paraId="4DD2B05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—审和二审法院另一点明显的不同在于对联建协议和后来的《有关相关问题的协议》 的认定采取了完全不同的两种态度。</w:t>
      </w:r>
    </w:p>
    <w:p w14:paraId="321785D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一审认为联建协议本身可以表明真正的建造主体，而《有关相关问题的协议》则具有共 有物分割的物权效力。按照二审的见解,联建协议只是给双方设定了债权债务关系，依联 建协议，无论是在建过程中崇立公司向佳佳公司请求移转项目，还是在建成后请求移转房 屋，在实际履行之前协议本身并不发生物权效力。二审并未对《有关相关问题的协议》表 态，但是从其对联建协议的性质认定中可以推知，后一协议无论是哪些合意内容，也都不可 能发生房屋所有权移转的效力。</w:t>
      </w:r>
    </w:p>
    <w:p w14:paraId="646063EE">
      <w:pPr>
        <w:pStyle w:val="17"/>
        <w:keepNext w:val="0"/>
        <w:keepLines w:val="0"/>
        <w:widowControl w:val="0"/>
        <w:shd w:val="clear" w:color="auto" w:fill="auto"/>
        <w:bidi w:val="0"/>
        <w:spacing w:before="0" w:after="60" w:line="343" w:lineRule="exact"/>
        <w:ind w:left="0" w:right="0" w:firstLine="420"/>
        <w:jc w:val="both"/>
      </w:pPr>
      <w:r>
        <w:rPr>
          <w:color w:val="000000"/>
          <w:spacing w:val="0"/>
          <w:w w:val="100"/>
          <w:position w:val="0"/>
        </w:rPr>
        <w:t>联建协议并不发生物权效力，这一点两个审级法院的判断是一致的。无论是一审以联 建协议判断建造主体，从而以事实行为判定所有权归属，还是二审以佳佳公司为原始取得 人，认定协议仅有债之效力，逻辑上均无问题。但二审未表明态度的《有关相关问题的协 议》，在一审则有较为明显的误判。按学说见解，共有物分割除裁判分割具有物权效力以 外,分割协议本身仅具债之效力，因此就不动产而言仍然要适用《民法典》第</w:t>
      </w:r>
      <w:r>
        <w:rPr>
          <w:rFonts w:ascii="Times New Roman" w:hAnsi="Times New Roman" w:eastAsia="Times New Roman" w:cs="Times New Roman"/>
          <w:color w:val="000000"/>
          <w:spacing w:val="0"/>
          <w:w w:val="100"/>
          <w:position w:val="0"/>
          <w:sz w:val="19"/>
          <w:szCs w:val="19"/>
        </w:rPr>
        <w:t>232</w:t>
      </w:r>
      <w:r>
        <w:rPr>
          <w:color w:val="000000"/>
          <w:spacing w:val="0"/>
          <w:w w:val="100"/>
          <w:position w:val="0"/>
        </w:rPr>
        <w:t>条“处 分……不动产物权，依照法律规定需要办理登记的，未经登记，不发生物权效力”的规定，也 就是说如果分割要发生物权效力，仍需进行登记。</w:t>
      </w:r>
    </w:p>
    <w:p w14:paraId="326C8EA2">
      <w:pPr>
        <w:pStyle w:val="17"/>
        <w:keepNext w:val="0"/>
        <w:keepLines w:val="0"/>
        <w:widowControl w:val="0"/>
        <w:numPr>
          <w:ilvl w:val="0"/>
          <w:numId w:val="15"/>
        </w:numPr>
        <w:shd w:val="clear" w:color="auto" w:fill="auto"/>
        <w:bidi w:val="0"/>
        <w:spacing w:before="0" w:after="0" w:line="343" w:lineRule="exact"/>
        <w:ind w:left="0" w:right="0"/>
        <w:jc w:val="both"/>
      </w:pPr>
      <w:bookmarkStart w:id="67" w:name="bookmark214"/>
      <w:bookmarkEnd w:id="67"/>
      <w:r>
        <w:rPr>
          <w:color w:val="000000"/>
          <w:spacing w:val="0"/>
          <w:w w:val="100"/>
          <w:position w:val="0"/>
        </w:rPr>
        <w:t>公示原则与公信原则</w:t>
      </w:r>
    </w:p>
    <w:p w14:paraId="6E1BB339">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二审的判决理由分别在第一点和第四点两次提到了物权公示原则。二审的第四点判 决理由与法庭对联建协议的性质认定直接相关,也即崇立公司与佳佳公司若因法律行为而 变动物权，则必须对外公示，以免第三人遭受损害并保障交易安全。联建协议既未公示，则 当然不生物权效力。</w:t>
      </w:r>
    </w:p>
    <w:p w14:paraId="1F51661E">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但二审的第一点判决理由却不无可议。物权公示原则限于因法律行为而生的物权变 动，非因法律行为所生的物权变动无从要求公示，二审既先判断崇立公司是否因事实行为 而原始取得,若非原始取得，再判断其是否因法律行为而继受取得，仅在继受取得的情形， 才需要适用公示原则。二审判决将上述问题的讨论置于后文,于判决理由的第一点先行言 明“根据查明的事实,案涉房屋并未登记于崇立公司名下，崇立公司不能依据登记取得案涉 房屋所有权</w:t>
      </w:r>
      <w:r>
        <w:rPr>
          <w:color w:val="000000"/>
          <w:spacing w:val="0"/>
          <w:w w:val="100"/>
          <w:position w:val="0"/>
          <w:lang w:val="zh-CN" w:eastAsia="zh-CN" w:bidi="zh-CN"/>
        </w:rPr>
        <w:t>”，恐</w:t>
      </w:r>
      <w:r>
        <w:rPr>
          <w:color w:val="000000"/>
          <w:spacing w:val="0"/>
          <w:w w:val="100"/>
          <w:position w:val="0"/>
        </w:rPr>
        <w:t>怕难以逻辑自洽。</w:t>
      </w:r>
    </w:p>
    <w:p w14:paraId="4ACBAE0A">
      <w:pPr>
        <w:pStyle w:val="17"/>
        <w:keepNext w:val="0"/>
        <w:keepLines w:val="0"/>
        <w:widowControl w:val="0"/>
        <w:shd w:val="clear" w:color="auto" w:fill="auto"/>
        <w:bidi w:val="0"/>
        <w:spacing w:before="0" w:after="180" w:line="343" w:lineRule="exact"/>
        <w:ind w:left="0" w:right="0"/>
        <w:jc w:val="both"/>
      </w:pPr>
      <w:r>
        <w:rPr>
          <w:color w:val="000000"/>
          <w:spacing w:val="0"/>
          <w:w w:val="100"/>
          <w:position w:val="0"/>
        </w:rPr>
        <w:t>退一步说，即使崇立公司有登记，理论上也有可能是错误登记,反过来,没有登记也不 能直接判定其不享有物权。也就是说</w:t>
      </w:r>
      <w:r>
        <w:rPr>
          <w:color w:val="000000"/>
          <w:spacing w:val="0"/>
          <w:w w:val="100"/>
          <w:position w:val="0"/>
          <w:lang w:val="zh-CN" w:eastAsia="zh-CN" w:bidi="zh-CN"/>
        </w:rPr>
        <w:t>，“依</w:t>
      </w:r>
      <w:r>
        <w:rPr>
          <w:color w:val="000000"/>
          <w:spacing w:val="0"/>
          <w:w w:val="100"/>
          <w:position w:val="0"/>
        </w:rPr>
        <w:t>据登记取得案涉房屋所有权</w:t>
      </w:r>
      <w:r>
        <w:rPr>
          <w:color w:val="000000"/>
          <w:spacing w:val="0"/>
          <w:w w:val="100"/>
          <w:position w:val="0"/>
          <w:lang w:val="zh-CN" w:eastAsia="zh-CN" w:bidi="zh-CN"/>
        </w:rPr>
        <w:t>”这一</w:t>
      </w:r>
      <w:r>
        <w:rPr>
          <w:color w:val="000000"/>
          <w:spacing w:val="0"/>
          <w:w w:val="100"/>
          <w:position w:val="0"/>
        </w:rPr>
        <w:t>表述并不合法 理，物权登记只能因公信力而推定其物权状态,而此时应适用的条文应该是《物权法》第</w:t>
      </w:r>
      <w:r>
        <w:rPr>
          <w:rFonts w:ascii="Times New Roman" w:hAnsi="Times New Roman" w:eastAsia="Times New Roman" w:cs="Times New Roman"/>
          <w:color w:val="000000"/>
          <w:spacing w:val="0"/>
          <w:w w:val="100"/>
          <w:position w:val="0"/>
          <w:sz w:val="19"/>
          <w:szCs w:val="19"/>
        </w:rPr>
        <w:t xml:space="preserve">16 </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216</w:t>
      </w:r>
      <w:r>
        <w:rPr>
          <w:color w:val="000000"/>
          <w:spacing w:val="0"/>
          <w:w w:val="100"/>
          <w:position w:val="0"/>
        </w:rPr>
        <w:t>条）</w:t>
      </w:r>
      <w:r>
        <w:rPr>
          <w:color w:val="000000"/>
          <w:spacing w:val="0"/>
          <w:w w:val="100"/>
          <w:position w:val="0"/>
          <w:lang w:val="zh-CN" w:eastAsia="zh-CN" w:bidi="zh-CN"/>
        </w:rPr>
        <w:t>“不动</w:t>
      </w:r>
      <w:r>
        <w:rPr>
          <w:color w:val="000000"/>
          <w:spacing w:val="0"/>
          <w:w w:val="100"/>
          <w:position w:val="0"/>
        </w:rPr>
        <w:t>产登记簿是物权归属和内容的根据</w:t>
      </w:r>
      <w:r>
        <w:rPr>
          <w:color w:val="000000"/>
          <w:spacing w:val="0"/>
          <w:w w:val="100"/>
          <w:position w:val="0"/>
          <w:lang w:val="zh-CN" w:eastAsia="zh-CN" w:bidi="zh-CN"/>
        </w:rPr>
        <w:t>”，并</w:t>
      </w:r>
      <w:r>
        <w:rPr>
          <w:color w:val="000000"/>
          <w:spacing w:val="0"/>
          <w:w w:val="100"/>
          <w:position w:val="0"/>
        </w:rPr>
        <w:t>非二审判决第一点理 由中的《物权法》第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209</w:t>
      </w:r>
      <w:r>
        <w:rPr>
          <w:color w:val="000000"/>
          <w:spacing w:val="0"/>
          <w:w w:val="100"/>
          <w:position w:val="0"/>
        </w:rPr>
        <w:t>条）或《物权法》第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214</w:t>
      </w:r>
      <w:r>
        <w:rPr>
          <w:color w:val="000000"/>
          <w:spacing w:val="0"/>
          <w:w w:val="100"/>
          <w:position w:val="0"/>
        </w:rPr>
        <w:t>条）。</w:t>
      </w:r>
    </w:p>
    <w:p w14:paraId="0444F431">
      <w:pPr>
        <w:pStyle w:val="17"/>
        <w:keepNext w:val="0"/>
        <w:keepLines w:val="0"/>
        <w:widowControl w:val="0"/>
        <w:shd w:val="clear" w:color="auto" w:fill="auto"/>
        <w:bidi w:val="0"/>
        <w:spacing w:before="0" w:after="28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w:t>
      </w:r>
    </w:p>
    <w:p w14:paraId="140F6BC8">
      <w:pPr>
        <w:pStyle w:val="17"/>
        <w:keepNext w:val="0"/>
        <w:keepLines w:val="0"/>
        <w:widowControl w:val="0"/>
        <w:numPr>
          <w:ilvl w:val="0"/>
          <w:numId w:val="16"/>
        </w:numPr>
        <w:shd w:val="clear" w:color="auto" w:fill="auto"/>
        <w:tabs>
          <w:tab w:val="left" w:pos="667"/>
        </w:tabs>
        <w:bidi w:val="0"/>
        <w:spacing w:before="0" w:after="0" w:line="374" w:lineRule="auto"/>
        <w:ind w:left="0" w:right="0"/>
        <w:jc w:val="both"/>
      </w:pPr>
      <w:bookmarkStart w:id="68" w:name="bookmark215"/>
      <w:bookmarkEnd w:id="68"/>
      <w:r>
        <w:rPr>
          <w:color w:val="000000"/>
          <w:spacing w:val="0"/>
          <w:w w:val="100"/>
          <w:position w:val="0"/>
        </w:rPr>
        <w:t>合法要件的作用</w:t>
      </w:r>
    </w:p>
    <w:p w14:paraId="58087C8B">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纵览过往学说，一方面,我国台湾地区虽无类似上述</w:t>
      </w:r>
      <w:r>
        <w:rPr>
          <w:color w:val="000000"/>
          <w:spacing w:val="0"/>
          <w:w w:val="100"/>
          <w:position w:val="0"/>
          <w:lang w:val="zh-CN" w:eastAsia="zh-CN" w:bidi="zh-CN"/>
        </w:rPr>
        <w:t>“合法”要件</w:t>
      </w:r>
      <w:r>
        <w:rPr>
          <w:color w:val="000000"/>
          <w:spacing w:val="0"/>
          <w:w w:val="100"/>
          <w:position w:val="0"/>
        </w:rPr>
        <w:t>，但有学说认为，在判 断不动产权属时，建筑执照仅系主管机关管理建筑物的行政措施，因此明确认为建筑执照 起造人名义仅得参考，不能直接认定名义人为原始取得人（相关整理见参考文献谢在全书）；另 一方面，学界对</w:t>
      </w:r>
      <w:r>
        <w:rPr>
          <w:color w:val="000000"/>
          <w:spacing w:val="0"/>
          <w:w w:val="100"/>
          <w:position w:val="0"/>
          <w:lang w:val="zh-CN" w:eastAsia="zh-CN" w:bidi="zh-CN"/>
        </w:rPr>
        <w:t>“合法”要</w:t>
      </w:r>
      <w:r>
        <w:rPr>
          <w:color w:val="000000"/>
          <w:spacing w:val="0"/>
          <w:w w:val="100"/>
          <w:position w:val="0"/>
        </w:rPr>
        <w:t>件的解说一般都限于排除非法。因此,本案的一大示范意义在于, 不但用</w:t>
      </w:r>
      <w:r>
        <w:rPr>
          <w:color w:val="000000"/>
          <w:spacing w:val="0"/>
          <w:w w:val="100"/>
          <w:position w:val="0"/>
          <w:lang w:val="zh-CN" w:eastAsia="zh-CN" w:bidi="zh-CN"/>
        </w:rPr>
        <w:t>“合法”要</w:t>
      </w:r>
      <w:r>
        <w:rPr>
          <w:color w:val="000000"/>
          <w:spacing w:val="0"/>
          <w:w w:val="100"/>
          <w:position w:val="0"/>
        </w:rPr>
        <w:t>件判断房屋所有权是否因原始取得而产生，而且以此判断房屋所有权的归 属。由此，本案中的合法不仅是符合建设、规划的法律,而且特指建设方必须是行政审批机 关确定的建设方，方能成为房屋所有权的原始取得人。至于房屋实际是谁在销售,销售款 进入何者账户，在判断原始取得人时则在所不问。</w:t>
      </w:r>
    </w:p>
    <w:p w14:paraId="3E215A14">
      <w:pPr>
        <w:pStyle w:val="17"/>
        <w:keepNext w:val="0"/>
        <w:keepLines w:val="0"/>
        <w:widowControl w:val="0"/>
        <w:shd w:val="clear" w:color="auto" w:fill="auto"/>
        <w:bidi w:val="0"/>
        <w:spacing w:before="0" w:after="120" w:line="348" w:lineRule="exact"/>
        <w:ind w:left="0" w:right="0"/>
        <w:jc w:val="both"/>
      </w:pPr>
      <w:r>
        <w:rPr>
          <w:color w:val="000000"/>
          <w:spacing w:val="0"/>
          <w:w w:val="100"/>
          <w:position w:val="0"/>
        </w:rPr>
        <w:t>在本案中，国有土地使用权证上载明的权利人为佳佳公司，建筑用地规划许可证、建筑 工程规划许可证、施工许可证等记载的权利人也均为佳佳公司，但二审判决理由也援引《物 权法》第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352</w:t>
      </w:r>
      <w:r>
        <w:rPr>
          <w:color w:val="000000"/>
          <w:spacing w:val="0"/>
          <w:w w:val="100"/>
          <w:position w:val="0"/>
        </w:rPr>
        <w:t>条）</w:t>
      </w:r>
      <w:r>
        <w:rPr>
          <w:color w:val="000000"/>
          <w:spacing w:val="0"/>
          <w:w w:val="100"/>
          <w:position w:val="0"/>
          <w:lang w:val="zh-CN" w:eastAsia="zh-CN" w:bidi="zh-CN"/>
        </w:rPr>
        <w:t>“建设</w:t>
      </w:r>
      <w:r>
        <w:rPr>
          <w:color w:val="000000"/>
          <w:spacing w:val="0"/>
          <w:w w:val="100"/>
          <w:position w:val="0"/>
        </w:rPr>
        <w:t>用地使用权人建造的建筑物、构筑物及其附属设 施的所有权属于建设用地使用权人，但有相反证据证明的除外</w:t>
      </w:r>
      <w:r>
        <w:rPr>
          <w:color w:val="000000"/>
          <w:spacing w:val="0"/>
          <w:w w:val="100"/>
          <w:position w:val="0"/>
          <w:lang w:val="zh-CN" w:eastAsia="zh-CN" w:bidi="zh-CN"/>
        </w:rPr>
        <w:t>”规定</w:t>
      </w:r>
      <w:r>
        <w:rPr>
          <w:color w:val="000000"/>
          <w:spacing w:val="0"/>
          <w:w w:val="100"/>
          <w:position w:val="0"/>
        </w:rPr>
        <w:t>，因此准确地说</w:t>
      </w:r>
      <w:r>
        <w:rPr>
          <w:color w:val="000000"/>
          <w:spacing w:val="0"/>
          <w:w w:val="100"/>
          <w:position w:val="0"/>
          <w:lang w:val="zh-CN" w:eastAsia="zh-CN" w:bidi="zh-CN"/>
        </w:rPr>
        <w:t xml:space="preserve">，“合 </w:t>
      </w:r>
      <w:r>
        <w:rPr>
          <w:color w:val="000000"/>
          <w:spacing w:val="0"/>
          <w:w w:val="100"/>
          <w:position w:val="0"/>
        </w:rPr>
        <w:t>法”建造主体并不一定限于建设用地使用权人，只要是建筑用地规划许可证、建筑工程规划 许可证、施工许可证等记载的权利人,即使并非建设用地使用权人，也应属于此处的合法建 造主体,可原始取得房屋所有权。</w:t>
      </w:r>
    </w:p>
    <w:p w14:paraId="38B0D9E5">
      <w:pPr>
        <w:pStyle w:val="17"/>
        <w:keepNext w:val="0"/>
        <w:keepLines w:val="0"/>
        <w:widowControl w:val="0"/>
        <w:numPr>
          <w:ilvl w:val="0"/>
          <w:numId w:val="16"/>
        </w:numPr>
        <w:shd w:val="clear" w:color="auto" w:fill="auto"/>
        <w:tabs>
          <w:tab w:val="left" w:pos="682"/>
        </w:tabs>
        <w:bidi w:val="0"/>
        <w:spacing w:before="0" w:after="0" w:line="382" w:lineRule="auto"/>
        <w:ind w:left="0" w:right="0"/>
        <w:jc w:val="both"/>
      </w:pPr>
      <w:bookmarkStart w:id="69" w:name="bookmark216"/>
      <w:bookmarkEnd w:id="69"/>
      <w:r>
        <w:rPr>
          <w:color w:val="000000"/>
          <w:spacing w:val="0"/>
          <w:w w:val="100"/>
          <w:position w:val="0"/>
        </w:rPr>
        <w:t>联建协议的定性</w:t>
      </w:r>
    </w:p>
    <w:p w14:paraId="19DE5D9D">
      <w:pPr>
        <w:pStyle w:val="17"/>
        <w:keepNext w:val="0"/>
        <w:keepLines w:val="0"/>
        <w:widowControl w:val="0"/>
        <w:shd w:val="clear" w:color="auto" w:fill="auto"/>
        <w:bidi w:val="0"/>
        <w:spacing w:before="0" w:after="0" w:line="348" w:lineRule="exact"/>
        <w:ind w:left="0" w:right="0"/>
        <w:jc w:val="both"/>
      </w:pPr>
      <w:r>
        <w:rPr>
          <w:color w:val="000000"/>
          <w:spacing w:val="0"/>
          <w:w w:val="100"/>
          <w:position w:val="0"/>
        </w:rPr>
        <w:t>至于一审认为依联建协议可判断原始取得人,二审则认为联建协议仅有债之效力，则 并非本案二审判决所开创。</w:t>
      </w:r>
    </w:p>
    <w:p w14:paraId="31E2F619">
      <w:pPr>
        <w:pStyle w:val="17"/>
        <w:keepNext w:val="0"/>
        <w:keepLines w:val="0"/>
        <w:widowControl w:val="0"/>
        <w:shd w:val="clear" w:color="auto" w:fill="auto"/>
        <w:bidi w:val="0"/>
        <w:spacing w:before="0" w:after="280" w:line="338" w:lineRule="exact"/>
        <w:ind w:left="0" w:right="0" w:firstLine="420"/>
        <w:jc w:val="both"/>
      </w:pPr>
      <w:r>
        <w:rPr>
          <w:color w:val="000000"/>
          <w:spacing w:val="0"/>
          <w:w w:val="100"/>
          <w:position w:val="0"/>
        </w:rPr>
        <w:t>在内蒙古凯基置业有限公司与内蒙古医科大学附属人民医院合作开发房地产合同纠 纷上诉案［最高人民法院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155</w:t>
      </w:r>
      <w:r>
        <w:rPr>
          <w:color w:val="000000"/>
          <w:spacing w:val="0"/>
          <w:w w:val="100"/>
          <w:position w:val="0"/>
        </w:rPr>
        <w:t>号民事判决书］中，上诉人内蒙古凯基置业有限 公司与被上诉人内蒙古医科大学附属人民医院也签订了类似的联建协议，最高人民法院亦 认定联建协议仅具有债之效力，被上诉人和上诉人之间需要通过协议的履行才能移转物 权。因此可以说，本案延续了最高人民法院对于联建协议的一贯见解。</w:t>
      </w:r>
    </w:p>
    <w:p w14:paraId="0F110179">
      <w:pPr>
        <w:pStyle w:val="17"/>
        <w:keepNext w:val="0"/>
        <w:keepLines w:val="0"/>
        <w:widowControl w:val="0"/>
        <w:shd w:val="clear" w:color="auto" w:fill="auto"/>
        <w:bidi w:val="0"/>
        <w:spacing w:before="0" w:after="0" w:line="422"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本案遗留的问题</w:t>
      </w:r>
    </w:p>
    <w:p w14:paraId="24DA0EF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原《物权法》施行后，第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条的事实行为的</w:t>
      </w:r>
      <w:r>
        <w:rPr>
          <w:color w:val="000000"/>
          <w:spacing w:val="0"/>
          <w:w w:val="100"/>
          <w:position w:val="0"/>
          <w:lang w:val="zh-CN" w:eastAsia="zh-CN" w:bidi="zh-CN"/>
        </w:rPr>
        <w:t>“合法”要件</w:t>
      </w:r>
      <w:r>
        <w:rPr>
          <w:color w:val="000000"/>
          <w:spacing w:val="0"/>
          <w:w w:val="100"/>
          <w:position w:val="0"/>
        </w:rPr>
        <w:t>在学界受到很多批判，但最高人 民法院在本案判决中把</w:t>
      </w:r>
      <w:r>
        <w:rPr>
          <w:color w:val="000000"/>
          <w:spacing w:val="0"/>
          <w:w w:val="100"/>
          <w:position w:val="0"/>
          <w:lang w:val="zh-CN" w:eastAsia="zh-CN" w:bidi="zh-CN"/>
        </w:rPr>
        <w:t>“合法”要件</w:t>
      </w:r>
      <w:r>
        <w:rPr>
          <w:color w:val="000000"/>
          <w:spacing w:val="0"/>
          <w:w w:val="100"/>
          <w:position w:val="0"/>
        </w:rPr>
        <w:t>往前更推一步，赋予了</w:t>
      </w:r>
      <w:r>
        <w:rPr>
          <w:color w:val="000000"/>
          <w:spacing w:val="0"/>
          <w:w w:val="100"/>
          <w:position w:val="0"/>
          <w:lang w:val="zh-CN" w:eastAsia="zh-CN" w:bidi="zh-CN"/>
        </w:rPr>
        <w:t>“合法”要件</w:t>
      </w:r>
      <w:r>
        <w:rPr>
          <w:color w:val="000000"/>
          <w:spacing w:val="0"/>
          <w:w w:val="100"/>
          <w:position w:val="0"/>
        </w:rPr>
        <w:t>更积极的意义，直接 将原始取得人与行政审批机关确定的建设方等同。此种将行政管制直连民法效果的做法 是否恰当值得考虑,特别在极端情况下,行政审批机关确定的建设方可能未有丝毫资金或 劳务投入,此时是否仍以行政审批机关确定的建设方为原始取得人，不无疑问。</w:t>
      </w:r>
    </w:p>
    <w:p w14:paraId="4EE3FB6D">
      <w:pPr>
        <w:pStyle w:val="17"/>
        <w:keepNext w:val="0"/>
        <w:keepLines w:val="0"/>
        <w:widowControl w:val="0"/>
        <w:shd w:val="clear" w:color="auto" w:fill="auto"/>
        <w:bidi w:val="0"/>
        <w:spacing w:before="0" w:after="360" w:line="351" w:lineRule="exact"/>
        <w:ind w:left="0" w:right="0" w:firstLine="420"/>
        <w:jc w:val="both"/>
      </w:pPr>
      <w:r>
        <w:rPr>
          <w:color w:val="000000"/>
          <w:spacing w:val="0"/>
          <w:w w:val="100"/>
          <w:position w:val="0"/>
        </w:rPr>
        <w:t>当然本案缘起于执行异议，本身需要防止佳佳公司与崇立公司串通转移资产来逃避执 行。尽管本案中当事人未有提起，判决中亦无此方面论述，而二审法院是否在此方面有所 考虑，并据此将原始取得人与行政审批机关确定的建设方等同,亦难从判决书中推知。但 无论如何，本案的二审判决将《物权法》第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条）中国特有的</w:t>
      </w:r>
      <w:r>
        <w:rPr>
          <w:color w:val="000000"/>
          <w:spacing w:val="0"/>
          <w:w w:val="100"/>
          <w:position w:val="0"/>
          <w:lang w:val="zh-CN" w:eastAsia="zh-CN" w:bidi="zh-CN"/>
        </w:rPr>
        <w:t xml:space="preserve">“合法”要 </w:t>
      </w:r>
      <w:r>
        <w:rPr>
          <w:color w:val="000000"/>
          <w:spacing w:val="0"/>
          <w:w w:val="100"/>
          <w:position w:val="0"/>
        </w:rPr>
        <w:t>件更前推一步，将其与行政程序相结合，可以说形成了我国特有的判决法理。</w:t>
      </w:r>
    </w:p>
    <w:p w14:paraId="0D1B7D97">
      <w:pPr>
        <w:pStyle w:val="11"/>
        <w:keepNext w:val="0"/>
        <w:keepLines w:val="0"/>
        <w:widowControl w:val="0"/>
        <w:shd w:val="clear" w:color="auto" w:fill="auto"/>
        <w:bidi w:val="0"/>
        <w:spacing w:before="0" w:after="60" w:line="343" w:lineRule="exact"/>
        <w:ind w:left="0" w:right="0" w:firstLine="0"/>
        <w:jc w:val="left"/>
      </w:pPr>
      <w:r>
        <w:rPr>
          <w:color w:val="000000"/>
          <w:spacing w:val="0"/>
          <w:w w:val="100"/>
          <w:position w:val="0"/>
        </w:rPr>
        <w:t>回参考文献</w:t>
      </w:r>
    </w:p>
    <w:p w14:paraId="03CE8338">
      <w:pPr>
        <w:pStyle w:val="17"/>
        <w:keepNext w:val="0"/>
        <w:keepLines w:val="0"/>
        <w:widowControl w:val="0"/>
        <w:shd w:val="clear" w:color="auto" w:fill="auto"/>
        <w:bidi w:val="0"/>
        <w:spacing w:before="0" w:after="0" w:line="307" w:lineRule="exact"/>
        <w:ind w:left="0" w:right="0" w:firstLine="0"/>
        <w:jc w:val="left"/>
      </w:pPr>
      <w:r>
        <w:rPr>
          <w:color w:val="000000"/>
          <w:spacing w:val="0"/>
          <w:w w:val="100"/>
          <w:position w:val="0"/>
        </w:rPr>
        <w:t>崔建远:《物权法》（第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6DB0C9B">
      <w:pPr>
        <w:pStyle w:val="17"/>
        <w:keepNext w:val="0"/>
        <w:keepLines w:val="0"/>
        <w:widowControl w:val="0"/>
        <w:shd w:val="clear" w:color="auto" w:fill="auto"/>
        <w:bidi w:val="0"/>
        <w:spacing w:before="0" w:after="0" w:line="307" w:lineRule="exact"/>
        <w:ind w:left="0" w:right="0" w:firstLine="0"/>
        <w:jc w:val="left"/>
      </w:pPr>
      <w:r>
        <w:rPr>
          <w:color w:val="000000"/>
          <w:spacing w:val="0"/>
          <w:w w:val="100"/>
          <w:position w:val="0"/>
        </w:rPr>
        <w:t>谢在全:《民法物权论》（上册），中国政法大学出版社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34402C92">
      <w:pPr>
        <w:pStyle w:val="17"/>
        <w:keepNext w:val="0"/>
        <w:keepLines w:val="0"/>
        <w:widowControl w:val="0"/>
        <w:shd w:val="clear" w:color="auto" w:fill="auto"/>
        <w:bidi w:val="0"/>
        <w:spacing w:before="0" w:after="180" w:line="307" w:lineRule="exact"/>
        <w:ind w:left="0" w:right="0" w:firstLine="0"/>
        <w:jc w:val="left"/>
        <w:sectPr>
          <w:headerReference r:id="rId215" w:type="default"/>
          <w:headerReference r:id="rId216" w:type="even"/>
          <w:footnotePr>
            <w:numFmt w:val="chicago"/>
          </w:footnotePr>
          <w:pgSz w:w="10099" w:h="14782"/>
          <w:pgMar w:top="1272" w:right="1090" w:bottom="1128" w:left="1018" w:header="0" w:footer="3" w:gutter="0"/>
          <w:pgNumType w:start="162"/>
          <w:cols w:space="720" w:num="1"/>
          <w:rtlGutter w:val="0"/>
          <w:docGrid w:linePitch="360" w:charSpace="0"/>
        </w:sectPr>
      </w:pPr>
      <w:r>
        <w:rPr>
          <w:color w:val="000000"/>
          <w:spacing w:val="0"/>
          <w:w w:val="100"/>
          <w:position w:val="0"/>
        </w:rPr>
        <w:t>黄忠：《违法建筑的私法地位之辨识——〈物权法〉第</w:t>
      </w:r>
      <w:r>
        <w:rPr>
          <w:rFonts w:ascii="Times New Roman" w:hAnsi="Times New Roman" w:eastAsia="Times New Roman" w:cs="Times New Roman"/>
          <w:color w:val="000000"/>
          <w:spacing w:val="0"/>
          <w:w w:val="100"/>
          <w:position w:val="0"/>
          <w:sz w:val="17"/>
          <w:szCs w:val="17"/>
        </w:rPr>
        <w:t>30</w:t>
      </w:r>
      <w:r>
        <w:rPr>
          <w:color w:val="000000"/>
          <w:spacing w:val="0"/>
          <w:w w:val="100"/>
          <w:position w:val="0"/>
        </w:rPr>
        <w:t>条的解释论》，载《当代法学》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 苏永钦:《违章建筑与小产权房》，载台北:《法令月刊》</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CC77CC1">
      <w:pPr>
        <w:widowControl w:val="0"/>
        <w:spacing w:line="8" w:lineRule="exact"/>
        <w:rPr>
          <w:sz w:val="2"/>
          <w:szCs w:val="2"/>
        </w:rPr>
      </w:pPr>
    </w:p>
    <w:p w14:paraId="42629BBD">
      <w:pPr>
        <w:widowControl w:val="0"/>
        <w:spacing w:line="1" w:lineRule="exact"/>
        <w:sectPr>
          <w:headerReference r:id="rId217" w:type="default"/>
          <w:headerReference r:id="rId218" w:type="even"/>
          <w:footnotePr>
            <w:numFmt w:val="chicago"/>
          </w:footnotePr>
          <w:pgSz w:w="10099" w:h="14782"/>
          <w:pgMar w:top="1322" w:right="946" w:bottom="1003" w:left="1079" w:header="0" w:footer="3" w:gutter="0"/>
          <w:pgNumType w:start="182"/>
          <w:cols w:space="720" w:num="1"/>
          <w:rtlGutter w:val="0"/>
          <w:docGrid w:linePitch="360" w:charSpace="0"/>
        </w:sectPr>
      </w:pPr>
    </w:p>
    <w:p w14:paraId="7C30E2DB">
      <w:pPr>
        <w:widowControl w:val="0"/>
        <w:spacing w:line="1" w:lineRule="exact"/>
      </w:pPr>
      <w:r>
        <mc:AlternateContent>
          <mc:Choice Requires="wps">
            <w:drawing>
              <wp:anchor distT="0" distB="19685" distL="0" distR="0" simplePos="0" relativeHeight="251660288" behindDoc="0" locked="0" layoutInCell="1" allowOverlap="1">
                <wp:simplePos x="0" y="0"/>
                <wp:positionH relativeFrom="page">
                  <wp:posOffset>775970</wp:posOffset>
                </wp:positionH>
                <wp:positionV relativeFrom="paragraph">
                  <wp:posOffset>0</wp:posOffset>
                </wp:positionV>
                <wp:extent cx="448310" cy="304800"/>
                <wp:effectExtent l="0" t="0" r="0" b="0"/>
                <wp:wrapTopAndBottom/>
                <wp:docPr id="491" name="Shape 491"/>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2FE98847">
                            <w:pPr>
                              <w:pStyle w:val="27"/>
                              <w:keepNext/>
                              <w:keepLines/>
                              <w:widowControl w:val="0"/>
                              <w:shd w:val="clear" w:color="auto" w:fill="auto"/>
                              <w:bidi w:val="0"/>
                              <w:spacing w:before="0" w:after="0" w:line="240" w:lineRule="auto"/>
                              <w:ind w:left="0" w:right="0" w:firstLine="0"/>
                              <w:jc w:val="both"/>
                            </w:pPr>
                            <w:bookmarkStart w:id="354" w:name="bookmark217"/>
                            <w:bookmarkStart w:id="355" w:name="bookmark219"/>
                            <w:bookmarkStart w:id="356" w:name="bookmark218"/>
                            <w:r>
                              <w:rPr>
                                <w:rFonts w:ascii="Times New Roman" w:hAnsi="Times New Roman" w:eastAsia="Times New Roman" w:cs="Times New Roman"/>
                                <w:color w:val="000000"/>
                                <w:spacing w:val="0"/>
                                <w:w w:val="100"/>
                                <w:position w:val="0"/>
                              </w:rPr>
                              <w:t>034</w:t>
                            </w:r>
                            <w:bookmarkEnd w:id="354"/>
                            <w:bookmarkEnd w:id="355"/>
                            <w:bookmarkEnd w:id="356"/>
                          </w:p>
                        </w:txbxContent>
                      </wps:txbx>
                      <wps:bodyPr wrap="none" lIns="0" tIns="0" rIns="0" bIns="0">
                        <a:noAutofit/>
                      </wps:bodyPr>
                    </wps:wsp>
                  </a:graphicData>
                </a:graphic>
              </wp:anchor>
            </w:drawing>
          </mc:Choice>
          <mc:Fallback>
            <w:pict>
              <v:shape id="Shape 491" o:spid="_x0000_s1026" o:spt="202" type="#_x0000_t202" style="position:absolute;left:0pt;margin-left:61.1pt;margin-top:0pt;height:24pt;width:35.3pt;mso-position-horizontal-relative:page;mso-wrap-distance-bottom:1.55pt;mso-wrap-distance-top:0pt;mso-wrap-style:none;z-index:251660288;mso-width-relative:page;mso-height-relative:page;" filled="f" stroked="f" coordsize="21600,21600" o:gfxdata="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z8oJk0wAAAAcB&#10;AAAPAAAAAAAAAAEAIAAAACIAAABkcnMvZG93bnJldi54bWxQSwECFAAUAAAACACHTuJA41eAfq4B&#10;AABzAwAADgAAAAAAAAABACAAAAAiAQAAZHJzL2Uyb0RvYy54bWxQSwUGAAAAAAYABgBZAQAAQgUA&#10;AAAA&#10;">
                <v:fill on="f" focussize="0,0"/>
                <v:stroke on="f"/>
                <v:imagedata o:title=""/>
                <o:lock v:ext="edit" aspectratio="f"/>
                <v:textbox inset="0mm,0mm,0mm,0mm">
                  <w:txbxContent>
                    <w:p w14:paraId="2FE98847">
                      <w:pPr>
                        <w:pStyle w:val="27"/>
                        <w:keepNext/>
                        <w:keepLines/>
                        <w:widowControl w:val="0"/>
                        <w:shd w:val="clear" w:color="auto" w:fill="auto"/>
                        <w:bidi w:val="0"/>
                        <w:spacing w:before="0" w:after="0" w:line="240" w:lineRule="auto"/>
                        <w:ind w:left="0" w:right="0" w:firstLine="0"/>
                        <w:jc w:val="both"/>
                      </w:pPr>
                      <w:bookmarkStart w:id="354" w:name="bookmark217"/>
                      <w:bookmarkStart w:id="355" w:name="bookmark219"/>
                      <w:bookmarkStart w:id="356" w:name="bookmark218"/>
                      <w:r>
                        <w:rPr>
                          <w:rFonts w:ascii="Times New Roman" w:hAnsi="Times New Roman" w:eastAsia="Times New Roman" w:cs="Times New Roman"/>
                          <w:color w:val="000000"/>
                          <w:spacing w:val="0"/>
                          <w:w w:val="100"/>
                          <w:position w:val="0"/>
                        </w:rPr>
                        <w:t>034</w:t>
                      </w:r>
                      <w:bookmarkEnd w:id="354"/>
                      <w:bookmarkEnd w:id="355"/>
                      <w:bookmarkEnd w:id="356"/>
                    </w:p>
                  </w:txbxContent>
                </v:textbox>
                <w10:wrap type="topAndBottom"/>
              </v:shape>
            </w:pict>
          </mc:Fallback>
        </mc:AlternateContent>
      </w:r>
      <w:r>
        <mc:AlternateContent>
          <mc:Choice Requires="wps">
            <w:drawing>
              <wp:anchor distT="88265" distB="0" distL="0" distR="0" simplePos="0" relativeHeight="251660288" behindDoc="0" locked="0" layoutInCell="1" allowOverlap="1">
                <wp:simplePos x="0" y="0"/>
                <wp:positionH relativeFrom="page">
                  <wp:posOffset>1351915</wp:posOffset>
                </wp:positionH>
                <wp:positionV relativeFrom="paragraph">
                  <wp:posOffset>88265</wp:posOffset>
                </wp:positionV>
                <wp:extent cx="1819910" cy="236220"/>
                <wp:effectExtent l="0" t="0" r="0" b="0"/>
                <wp:wrapTopAndBottom/>
                <wp:docPr id="493" name="Shape 493"/>
                <wp:cNvGraphicFramePr/>
                <a:graphic xmlns:a="http://schemas.openxmlformats.org/drawingml/2006/main">
                  <a:graphicData uri="http://schemas.microsoft.com/office/word/2010/wordprocessingShape">
                    <wps:wsp>
                      <wps:cNvSpPr txBox="1"/>
                      <wps:spPr>
                        <a:xfrm>
                          <a:off x="0" y="0"/>
                          <a:ext cx="1819910" cy="236220"/>
                        </a:xfrm>
                        <a:prstGeom prst="rect">
                          <a:avLst/>
                        </a:prstGeom>
                        <a:noFill/>
                      </wps:spPr>
                      <wps:txbx>
                        <w:txbxContent>
                          <w:p w14:paraId="5972CE18">
                            <w:pPr>
                              <w:pStyle w:val="15"/>
                              <w:keepNext/>
                              <w:keepLines/>
                              <w:widowControl w:val="0"/>
                              <w:shd w:val="clear" w:color="auto" w:fill="auto"/>
                              <w:bidi w:val="0"/>
                              <w:spacing w:before="0" w:after="0" w:line="240" w:lineRule="auto"/>
                              <w:ind w:left="0" w:right="0" w:firstLine="0"/>
                              <w:jc w:val="left"/>
                            </w:pPr>
                            <w:bookmarkStart w:id="357" w:name="bookmark220"/>
                            <w:bookmarkStart w:id="358" w:name="bookmark221"/>
                            <w:bookmarkStart w:id="359" w:name="bookmark222"/>
                            <w:r>
                              <w:rPr>
                                <w:color w:val="000000"/>
                                <w:spacing w:val="0"/>
                                <w:w w:val="100"/>
                                <w:position w:val="0"/>
                              </w:rPr>
                              <w:t>金钱价值返还请求权</w:t>
                            </w:r>
                            <w:bookmarkEnd w:id="357"/>
                            <w:bookmarkEnd w:id="358"/>
                            <w:bookmarkEnd w:id="359"/>
                          </w:p>
                        </w:txbxContent>
                      </wps:txbx>
                      <wps:bodyPr wrap="none" lIns="0" tIns="0" rIns="0" bIns="0">
                        <a:noAutofit/>
                      </wps:bodyPr>
                    </wps:wsp>
                  </a:graphicData>
                </a:graphic>
              </wp:anchor>
            </w:drawing>
          </mc:Choice>
          <mc:Fallback>
            <w:pict>
              <v:shape id="Shape 493" o:spid="_x0000_s1026" o:spt="202" type="#_x0000_t202" style="position:absolute;left:0pt;margin-left:106.45pt;margin-top:6.95pt;height:18.6pt;width:143.3pt;mso-position-horizontal-relative:page;mso-wrap-distance-bottom:0pt;mso-wrap-distance-top:6.95pt;mso-wrap-style:none;z-index:251660288;mso-width-relative:page;mso-height-relative:page;" filled="f" stroked="f" coordsize="21600,21600" o:gfxdata="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qekwtYA&#10;AAAJAQAADwAAAAAAAAABACAAAAAiAAAAZHJzL2Rvd25yZXYueG1sUEsBAhQAFAAAAAgAh07iQM2G&#10;za6vAQAAdAMAAA4AAAAAAAAAAQAgAAAAJQEAAGRycy9lMm9Eb2MueG1sUEsFBgAAAAAGAAYAWQEA&#10;AEYFAAAAAA==&#10;">
                <v:fill on="f" focussize="0,0"/>
                <v:stroke on="f"/>
                <v:imagedata o:title=""/>
                <o:lock v:ext="edit" aspectratio="f"/>
                <v:textbox inset="0mm,0mm,0mm,0mm">
                  <w:txbxContent>
                    <w:p w14:paraId="5972CE18">
                      <w:pPr>
                        <w:pStyle w:val="15"/>
                        <w:keepNext/>
                        <w:keepLines/>
                        <w:widowControl w:val="0"/>
                        <w:shd w:val="clear" w:color="auto" w:fill="auto"/>
                        <w:bidi w:val="0"/>
                        <w:spacing w:before="0" w:after="0" w:line="240" w:lineRule="auto"/>
                        <w:ind w:left="0" w:right="0" w:firstLine="0"/>
                        <w:jc w:val="left"/>
                      </w:pPr>
                      <w:bookmarkStart w:id="357" w:name="bookmark220"/>
                      <w:bookmarkStart w:id="358" w:name="bookmark221"/>
                      <w:bookmarkStart w:id="359" w:name="bookmark222"/>
                      <w:r>
                        <w:rPr>
                          <w:color w:val="000000"/>
                          <w:spacing w:val="0"/>
                          <w:w w:val="100"/>
                          <w:position w:val="0"/>
                        </w:rPr>
                        <w:t>金钱价值返还请求权</w:t>
                      </w:r>
                      <w:bookmarkEnd w:id="357"/>
                      <w:bookmarkEnd w:id="358"/>
                      <w:bookmarkEnd w:id="359"/>
                    </w:p>
                  </w:txbxContent>
                </v:textbox>
                <w10:wrap type="topAndBottom"/>
              </v:shape>
            </w:pict>
          </mc:Fallback>
        </mc:AlternateContent>
      </w:r>
    </w:p>
    <w:p w14:paraId="0B3C0A74">
      <w:pPr>
        <w:pStyle w:val="17"/>
        <w:keepNext w:val="0"/>
        <w:keepLines w:val="0"/>
        <w:widowControl w:val="0"/>
        <w:shd w:val="clear" w:color="auto" w:fill="auto"/>
        <w:bidi w:val="0"/>
        <w:spacing w:before="0" w:after="400" w:line="328" w:lineRule="exact"/>
        <w:ind w:left="1020" w:right="0" w:firstLine="0"/>
        <w:jc w:val="both"/>
      </w:pPr>
      <w:r>
        <w:drawing>
          <wp:anchor distT="0" distB="0" distL="114300" distR="114300" simplePos="0" relativeHeight="251660288" behindDoc="0" locked="0" layoutInCell="1" allowOverlap="1">
            <wp:simplePos x="0" y="0"/>
            <wp:positionH relativeFrom="page">
              <wp:posOffset>5143500</wp:posOffset>
            </wp:positionH>
            <wp:positionV relativeFrom="paragraph">
              <wp:posOffset>50800</wp:posOffset>
            </wp:positionV>
            <wp:extent cx="615950" cy="621665"/>
            <wp:effectExtent l="0" t="0" r="6350" b="635"/>
            <wp:wrapSquare wrapText="left"/>
            <wp:docPr id="495" name="Shape 495"/>
            <wp:cNvGraphicFramePr/>
            <a:graphic xmlns:a="http://schemas.openxmlformats.org/drawingml/2006/main">
              <a:graphicData uri="http://schemas.openxmlformats.org/drawingml/2006/picture">
                <pic:pic xmlns:pic="http://schemas.openxmlformats.org/drawingml/2006/picture">
                  <pic:nvPicPr>
                    <pic:cNvPr id="495" name="Shape 495"/>
                    <pic:cNvPicPr/>
                  </pic:nvPicPr>
                  <pic:blipFill>
                    <a:blip r:embed="rId639"/>
                    <a:stretch>
                      <a:fillRect/>
                    </a:stretch>
                  </pic:blipFill>
                  <pic:spPr>
                    <a:xfrm>
                      <a:off x="0" y="0"/>
                      <a:ext cx="615950" cy="621665"/>
                    </a:xfrm>
                    <a:prstGeom prst="rect">
                      <a:avLst/>
                    </a:prstGeom>
                  </pic:spPr>
                </pic:pic>
              </a:graphicData>
            </a:graphic>
          </wp:anchor>
        </w:drawing>
      </w:r>
      <w:r>
        <w:rPr>
          <w:color w:val="000000"/>
          <w:spacing w:val="0"/>
          <w:w w:val="100"/>
          <w:position w:val="0"/>
        </w:rPr>
        <w:t>河南省金博土地开发有限公司与刘玉荣及第三人河南元恒建设集 团有限公司案外人执行异议之诉案丨最高人民法院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最高 法民申</w:t>
      </w:r>
      <w:r>
        <w:rPr>
          <w:rFonts w:ascii="Times New Roman" w:hAnsi="Times New Roman" w:eastAsia="Times New Roman" w:cs="Times New Roman"/>
          <w:color w:val="000000"/>
          <w:spacing w:val="0"/>
          <w:w w:val="100"/>
          <w:position w:val="0"/>
          <w:sz w:val="19"/>
          <w:szCs w:val="19"/>
        </w:rPr>
        <w:t>322</w:t>
      </w:r>
      <w:r>
        <w:rPr>
          <w:color w:val="000000"/>
          <w:spacing w:val="0"/>
          <w:w w:val="100"/>
          <w:position w:val="0"/>
        </w:rPr>
        <w:t>号民事裁定书</w:t>
      </w:r>
    </w:p>
    <w:p w14:paraId="02672235">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 鹏</w:t>
      </w:r>
      <w:r>
        <w:rPr>
          <w:color w:val="000000"/>
          <w:spacing w:val="0"/>
          <w:w w:val="100"/>
          <w:position w:val="0"/>
        </w:rPr>
        <w:t>西南政法大学民商法学院</w:t>
      </w:r>
    </w:p>
    <w:p w14:paraId="6DE7E68D">
      <w:pPr>
        <w:pStyle w:val="11"/>
        <w:keepNext w:val="0"/>
        <w:keepLines w:val="0"/>
        <w:widowControl w:val="0"/>
        <w:shd w:val="clear" w:color="auto" w:fill="auto"/>
        <w:bidi w:val="0"/>
        <w:spacing w:before="0" w:after="60" w:line="341"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50D4844">
      <w:pPr>
        <w:pStyle w:val="21"/>
        <w:keepNext w:val="0"/>
        <w:keepLines w:val="0"/>
        <w:widowControl w:val="0"/>
        <w:shd w:val="clear" w:color="auto" w:fill="auto"/>
        <w:bidi w:val="0"/>
        <w:spacing w:before="0" w:after="0" w:line="341" w:lineRule="exact"/>
        <w:ind w:left="0" w:right="0" w:firstLine="400"/>
        <w:jc w:val="both"/>
        <w:rPr>
          <w:sz w:val="18"/>
          <w:szCs w:val="18"/>
        </w:rPr>
      </w:pPr>
      <w:r>
        <w:rPr>
          <w:rFonts w:ascii="Times New Roman" w:hAnsi="Times New Roman" w:eastAsia="Times New Roman" w:cs="Times New Roman"/>
          <w:color w:val="000000"/>
          <w:spacing w:val="0"/>
          <w:w w:val="100"/>
          <w:position w:val="0"/>
          <w:sz w:val="19"/>
          <w:szCs w:val="19"/>
        </w:rPr>
        <w:t>2012</w:t>
      </w:r>
      <w:r>
        <w:rPr>
          <w:rFonts w:ascii="宋体" w:hAnsi="宋体" w:eastAsia="宋体" w:cs="宋体"/>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8</w:t>
      </w:r>
      <w:r>
        <w:rPr>
          <w:rFonts w:ascii="宋体" w:hAnsi="宋体" w:eastAsia="宋体" w:cs="宋体"/>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1</w:t>
      </w:r>
      <w:r>
        <w:rPr>
          <w:rFonts w:ascii="宋体" w:hAnsi="宋体" w:eastAsia="宋体" w:cs="宋体"/>
          <w:color w:val="000000"/>
          <w:spacing w:val="0"/>
          <w:w w:val="100"/>
          <w:position w:val="0"/>
          <w:sz w:val="18"/>
          <w:szCs w:val="18"/>
        </w:rPr>
        <w:t>日</w:t>
      </w:r>
      <w:r>
        <w:rPr>
          <w:rFonts w:ascii="Times New Roman" w:hAnsi="Times New Roman" w:eastAsia="Times New Roman" w:cs="Times New Roman"/>
          <w:color w:val="000000"/>
          <w:spacing w:val="0"/>
          <w:w w:val="100"/>
          <w:position w:val="0"/>
          <w:sz w:val="19"/>
          <w:szCs w:val="19"/>
          <w:lang w:val="en-US" w:eastAsia="en-US" w:bidi="en-US"/>
        </w:rPr>
        <w:t>.2013</w:t>
      </w:r>
      <w:r>
        <w:rPr>
          <w:rFonts w:ascii="宋体" w:hAnsi="宋体" w:eastAsia="宋体" w:cs="宋体"/>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9</w:t>
      </w:r>
      <w:r>
        <w:rPr>
          <w:rFonts w:ascii="宋体" w:hAnsi="宋体" w:eastAsia="宋体" w:cs="宋体"/>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16</w:t>
      </w:r>
      <w:r>
        <w:rPr>
          <w:rFonts w:ascii="宋体" w:hAnsi="宋体" w:eastAsia="宋体" w:cs="宋体"/>
          <w:color w:val="000000"/>
          <w:spacing w:val="0"/>
          <w:w w:val="100"/>
          <w:position w:val="0"/>
          <w:sz w:val="18"/>
          <w:szCs w:val="18"/>
        </w:rPr>
        <w:t>日，金博公司与元恒公司分别签订淇县</w:t>
      </w:r>
      <w:r>
        <w:rPr>
          <w:rFonts w:ascii="Times New Roman" w:hAnsi="Times New Roman" w:eastAsia="Times New Roman" w:cs="Times New Roman"/>
          <w:color w:val="000000"/>
          <w:spacing w:val="0"/>
          <w:w w:val="100"/>
          <w:position w:val="0"/>
          <w:sz w:val="19"/>
          <w:szCs w:val="19"/>
        </w:rPr>
        <w:t>2012</w:t>
      </w:r>
      <w:r>
        <w:rPr>
          <w:rFonts w:ascii="宋体" w:hAnsi="宋体" w:eastAsia="宋体" w:cs="宋体"/>
          <w:color w:val="000000"/>
          <w:spacing w:val="0"/>
          <w:w w:val="100"/>
          <w:position w:val="0"/>
          <w:sz w:val="18"/>
          <w:szCs w:val="18"/>
        </w:rPr>
        <w:t>年补充耕 地储备项目第二、第三标段以及</w:t>
      </w:r>
      <w:r>
        <w:rPr>
          <w:rFonts w:ascii="Times New Roman" w:hAnsi="Times New Roman" w:eastAsia="Times New Roman" w:cs="Times New Roman"/>
          <w:color w:val="000000"/>
          <w:spacing w:val="0"/>
          <w:w w:val="100"/>
          <w:position w:val="0"/>
          <w:sz w:val="19"/>
          <w:szCs w:val="19"/>
        </w:rPr>
        <w:t>2013</w:t>
      </w:r>
      <w:r>
        <w:rPr>
          <w:rFonts w:ascii="宋体" w:hAnsi="宋体" w:eastAsia="宋体" w:cs="宋体"/>
          <w:color w:val="000000"/>
          <w:spacing w:val="0"/>
          <w:w w:val="100"/>
          <w:position w:val="0"/>
          <w:sz w:val="18"/>
          <w:szCs w:val="18"/>
        </w:rPr>
        <w:t>年第三标段施工合同书,约定元恒公司负责前述三个 标段的复垦。完工后，元恒公司对应各标段申报的结算价为</w:t>
      </w:r>
      <w:r>
        <w:rPr>
          <w:rFonts w:ascii="Times New Roman" w:hAnsi="Times New Roman" w:eastAsia="Times New Roman" w:cs="Times New Roman"/>
          <w:color w:val="000000"/>
          <w:spacing w:val="0"/>
          <w:w w:val="100"/>
          <w:position w:val="0"/>
          <w:sz w:val="19"/>
          <w:szCs w:val="19"/>
        </w:rPr>
        <w:t>7,143,</w:t>
      </w:r>
      <w:r>
        <w:rPr>
          <w:rFonts w:ascii="Times New Roman" w:hAnsi="Times New Roman" w:eastAsia="Times New Roman" w:cs="Times New Roman"/>
          <w:color w:val="000000"/>
          <w:spacing w:val="0"/>
          <w:w w:val="100"/>
          <w:position w:val="0"/>
          <w:sz w:val="19"/>
          <w:szCs w:val="19"/>
          <w:lang w:val="en-US" w:eastAsia="en-US" w:bidi="en-US"/>
        </w:rPr>
        <w:t xml:space="preserve">072. </w:t>
      </w:r>
      <w:r>
        <w:rPr>
          <w:rFonts w:ascii="Times New Roman" w:hAnsi="Times New Roman" w:eastAsia="Times New Roman" w:cs="Times New Roman"/>
          <w:color w:val="000000"/>
          <w:spacing w:val="0"/>
          <w:w w:val="100"/>
          <w:position w:val="0"/>
          <w:sz w:val="19"/>
          <w:szCs w:val="19"/>
        </w:rPr>
        <w:t>53</w:t>
      </w:r>
      <w:r>
        <w:rPr>
          <w:rFonts w:ascii="宋体" w:hAnsi="宋体" w:eastAsia="宋体" w:cs="宋体"/>
          <w:color w:val="000000"/>
          <w:spacing w:val="0"/>
          <w:w w:val="100"/>
          <w:position w:val="0"/>
          <w:sz w:val="18"/>
          <w:szCs w:val="18"/>
        </w:rPr>
        <w:t>元、</w:t>
      </w:r>
      <w:r>
        <w:rPr>
          <w:rFonts w:ascii="Times New Roman" w:hAnsi="Times New Roman" w:eastAsia="Times New Roman" w:cs="Times New Roman"/>
          <w:color w:val="000000"/>
          <w:spacing w:val="0"/>
          <w:w w:val="100"/>
          <w:position w:val="0"/>
          <w:sz w:val="19"/>
          <w:szCs w:val="19"/>
        </w:rPr>
        <w:t>5,222,</w:t>
      </w:r>
      <w:r>
        <w:rPr>
          <w:rFonts w:ascii="Times New Roman" w:hAnsi="Times New Roman" w:eastAsia="Times New Roman" w:cs="Times New Roman"/>
          <w:color w:val="000000"/>
          <w:spacing w:val="0"/>
          <w:w w:val="100"/>
          <w:position w:val="0"/>
          <w:sz w:val="19"/>
          <w:szCs w:val="19"/>
          <w:lang w:val="en-US" w:eastAsia="en-US" w:bidi="en-US"/>
        </w:rPr>
        <w:t xml:space="preserve">434. </w:t>
      </w:r>
      <w:r>
        <w:rPr>
          <w:rFonts w:ascii="Times New Roman" w:hAnsi="Times New Roman" w:eastAsia="Times New Roman" w:cs="Times New Roman"/>
          <w:color w:val="000000"/>
          <w:spacing w:val="0"/>
          <w:w w:val="100"/>
          <w:position w:val="0"/>
          <w:sz w:val="19"/>
          <w:szCs w:val="19"/>
        </w:rPr>
        <w:t xml:space="preserve">75 </w:t>
      </w:r>
      <w:r>
        <w:rPr>
          <w:rFonts w:ascii="宋体" w:hAnsi="宋体" w:eastAsia="宋体" w:cs="宋体"/>
          <w:color w:val="000000"/>
          <w:spacing w:val="0"/>
          <w:w w:val="100"/>
          <w:position w:val="0"/>
          <w:sz w:val="18"/>
          <w:szCs w:val="18"/>
        </w:rPr>
        <w:t>元和</w:t>
      </w:r>
      <w:r>
        <w:rPr>
          <w:rFonts w:ascii="Times New Roman" w:hAnsi="Times New Roman" w:eastAsia="Times New Roman" w:cs="Times New Roman"/>
          <w:color w:val="000000"/>
          <w:spacing w:val="0"/>
          <w:w w:val="100"/>
          <w:position w:val="0"/>
          <w:sz w:val="19"/>
          <w:szCs w:val="19"/>
        </w:rPr>
        <w:t xml:space="preserve">7, 977, </w:t>
      </w:r>
      <w:r>
        <w:rPr>
          <w:rFonts w:ascii="Times New Roman" w:hAnsi="Times New Roman" w:eastAsia="Times New Roman" w:cs="Times New Roman"/>
          <w:color w:val="000000"/>
          <w:spacing w:val="0"/>
          <w:w w:val="100"/>
          <w:position w:val="0"/>
          <w:sz w:val="19"/>
          <w:szCs w:val="19"/>
          <w:lang w:val="en-US" w:eastAsia="en-US" w:bidi="en-US"/>
        </w:rPr>
        <w:t xml:space="preserve">289. </w:t>
      </w:r>
      <w:r>
        <w:rPr>
          <w:rFonts w:ascii="Times New Roman" w:hAnsi="Times New Roman" w:eastAsia="Times New Roman" w:cs="Times New Roman"/>
          <w:color w:val="000000"/>
          <w:spacing w:val="0"/>
          <w:w w:val="100"/>
          <w:position w:val="0"/>
          <w:sz w:val="19"/>
          <w:szCs w:val="19"/>
        </w:rPr>
        <w:t>36</w:t>
      </w:r>
      <w:r>
        <w:rPr>
          <w:rFonts w:ascii="宋体" w:hAnsi="宋体" w:eastAsia="宋体" w:cs="宋体"/>
          <w:color w:val="000000"/>
          <w:spacing w:val="0"/>
          <w:w w:val="100"/>
          <w:position w:val="0"/>
          <w:sz w:val="18"/>
          <w:szCs w:val="18"/>
        </w:rPr>
        <w:t>元，合计</w:t>
      </w:r>
      <w:r>
        <w:rPr>
          <w:rFonts w:ascii="Times New Roman" w:hAnsi="Times New Roman" w:eastAsia="Times New Roman" w:cs="Times New Roman"/>
          <w:color w:val="000000"/>
          <w:spacing w:val="0"/>
          <w:w w:val="100"/>
          <w:position w:val="0"/>
          <w:sz w:val="19"/>
          <w:szCs w:val="19"/>
        </w:rPr>
        <w:t xml:space="preserve">20, 342, </w:t>
      </w:r>
      <w:r>
        <w:rPr>
          <w:rFonts w:ascii="Times New Roman" w:hAnsi="Times New Roman" w:eastAsia="Times New Roman" w:cs="Times New Roman"/>
          <w:color w:val="000000"/>
          <w:spacing w:val="0"/>
          <w:w w:val="100"/>
          <w:position w:val="0"/>
          <w:sz w:val="19"/>
          <w:szCs w:val="19"/>
          <w:lang w:val="en-US" w:eastAsia="en-US" w:bidi="en-US"/>
        </w:rPr>
        <w:t xml:space="preserve">796. </w:t>
      </w:r>
      <w:r>
        <w:rPr>
          <w:rFonts w:ascii="Times New Roman" w:hAnsi="Times New Roman" w:eastAsia="Times New Roman" w:cs="Times New Roman"/>
          <w:color w:val="000000"/>
          <w:spacing w:val="0"/>
          <w:w w:val="100"/>
          <w:position w:val="0"/>
          <w:sz w:val="19"/>
          <w:szCs w:val="19"/>
        </w:rPr>
        <w:t>64</w:t>
      </w:r>
      <w:r>
        <w:rPr>
          <w:rFonts w:ascii="宋体" w:hAnsi="宋体" w:eastAsia="宋体" w:cs="宋体"/>
          <w:color w:val="000000"/>
          <w:spacing w:val="0"/>
          <w:w w:val="100"/>
          <w:position w:val="0"/>
          <w:sz w:val="18"/>
          <w:szCs w:val="18"/>
        </w:rPr>
        <w:t>元。对应各标段的最终结算价为</w:t>
      </w:r>
      <w:r>
        <w:rPr>
          <w:rFonts w:ascii="Times New Roman" w:hAnsi="Times New Roman" w:eastAsia="Times New Roman" w:cs="Times New Roman"/>
          <w:color w:val="000000"/>
          <w:spacing w:val="0"/>
          <w:w w:val="100"/>
          <w:position w:val="0"/>
          <w:sz w:val="19"/>
          <w:szCs w:val="19"/>
        </w:rPr>
        <w:t xml:space="preserve">5, 827, </w:t>
      </w:r>
      <w:r>
        <w:rPr>
          <w:rFonts w:ascii="Times New Roman" w:hAnsi="Times New Roman" w:eastAsia="Times New Roman" w:cs="Times New Roman"/>
          <w:color w:val="000000"/>
          <w:spacing w:val="0"/>
          <w:w w:val="100"/>
          <w:position w:val="0"/>
          <w:sz w:val="19"/>
          <w:szCs w:val="19"/>
          <w:lang w:val="en-US" w:eastAsia="en-US" w:bidi="en-US"/>
        </w:rPr>
        <w:t xml:space="preserve">377. </w:t>
      </w:r>
      <w:r>
        <w:rPr>
          <w:rFonts w:ascii="Times New Roman" w:hAnsi="Times New Roman" w:eastAsia="Times New Roman" w:cs="Times New Roman"/>
          <w:color w:val="000000"/>
          <w:spacing w:val="0"/>
          <w:w w:val="100"/>
          <w:position w:val="0"/>
          <w:sz w:val="19"/>
          <w:szCs w:val="19"/>
        </w:rPr>
        <w:t xml:space="preserve">85 </w:t>
      </w:r>
      <w:r>
        <w:rPr>
          <w:rFonts w:ascii="宋体" w:hAnsi="宋体" w:eastAsia="宋体" w:cs="宋体"/>
          <w:color w:val="000000"/>
          <w:spacing w:val="0"/>
          <w:w w:val="100"/>
          <w:position w:val="0"/>
          <w:sz w:val="18"/>
          <w:szCs w:val="18"/>
        </w:rPr>
        <w:t>元、</w:t>
      </w:r>
      <w:r>
        <w:rPr>
          <w:rFonts w:ascii="Times New Roman" w:hAnsi="Times New Roman" w:eastAsia="Times New Roman" w:cs="Times New Roman"/>
          <w:color w:val="000000"/>
          <w:spacing w:val="0"/>
          <w:w w:val="100"/>
          <w:position w:val="0"/>
          <w:sz w:val="19"/>
          <w:szCs w:val="19"/>
        </w:rPr>
        <w:t xml:space="preserve">4, 221, </w:t>
      </w:r>
      <w:r>
        <w:rPr>
          <w:rFonts w:ascii="Times New Roman" w:hAnsi="Times New Roman" w:eastAsia="Times New Roman" w:cs="Times New Roman"/>
          <w:color w:val="000000"/>
          <w:spacing w:val="0"/>
          <w:w w:val="100"/>
          <w:position w:val="0"/>
          <w:sz w:val="19"/>
          <w:szCs w:val="19"/>
          <w:lang w:val="en-US" w:eastAsia="en-US" w:bidi="en-US"/>
        </w:rPr>
        <w:t>527.42</w:t>
      </w:r>
      <w:r>
        <w:rPr>
          <w:rFonts w:ascii="宋体" w:hAnsi="宋体" w:eastAsia="宋体" w:cs="宋体"/>
          <w:color w:val="000000"/>
          <w:spacing w:val="0"/>
          <w:w w:val="100"/>
          <w:position w:val="0"/>
          <w:sz w:val="18"/>
          <w:szCs w:val="18"/>
        </w:rPr>
        <w:t>元和</w:t>
      </w:r>
      <w:r>
        <w:rPr>
          <w:rFonts w:ascii="Times New Roman" w:hAnsi="Times New Roman" w:eastAsia="Times New Roman" w:cs="Times New Roman"/>
          <w:color w:val="000000"/>
          <w:spacing w:val="0"/>
          <w:w w:val="100"/>
          <w:position w:val="0"/>
          <w:sz w:val="19"/>
          <w:szCs w:val="19"/>
        </w:rPr>
        <w:t xml:space="preserve">6, 421, </w:t>
      </w:r>
      <w:r>
        <w:rPr>
          <w:rFonts w:ascii="Times New Roman" w:hAnsi="Times New Roman" w:eastAsia="Times New Roman" w:cs="Times New Roman"/>
          <w:color w:val="000000"/>
          <w:spacing w:val="0"/>
          <w:w w:val="100"/>
          <w:position w:val="0"/>
          <w:sz w:val="19"/>
          <w:szCs w:val="19"/>
          <w:lang w:val="en-US" w:eastAsia="en-US" w:bidi="en-US"/>
        </w:rPr>
        <w:t>600.96</w:t>
      </w:r>
      <w:r>
        <w:rPr>
          <w:rFonts w:ascii="宋体" w:hAnsi="宋体" w:eastAsia="宋体" w:cs="宋体"/>
          <w:color w:val="000000"/>
          <w:spacing w:val="0"/>
          <w:w w:val="100"/>
          <w:position w:val="0"/>
          <w:sz w:val="18"/>
          <w:szCs w:val="18"/>
        </w:rPr>
        <w:t>元，合计</w:t>
      </w:r>
      <w:r>
        <w:rPr>
          <w:rFonts w:ascii="Times New Roman" w:hAnsi="Times New Roman" w:eastAsia="Times New Roman" w:cs="Times New Roman"/>
          <w:color w:val="000000"/>
          <w:spacing w:val="0"/>
          <w:w w:val="100"/>
          <w:position w:val="0"/>
          <w:sz w:val="19"/>
          <w:szCs w:val="19"/>
        </w:rPr>
        <w:t xml:space="preserve">16, 470, </w:t>
      </w:r>
      <w:r>
        <w:rPr>
          <w:rFonts w:ascii="Times New Roman" w:hAnsi="Times New Roman" w:eastAsia="Times New Roman" w:cs="Times New Roman"/>
          <w:color w:val="000000"/>
          <w:spacing w:val="0"/>
          <w:w w:val="100"/>
          <w:position w:val="0"/>
          <w:sz w:val="19"/>
          <w:szCs w:val="19"/>
          <w:lang w:val="en-US" w:eastAsia="en-US" w:bidi="en-US"/>
        </w:rPr>
        <w:t>506.</w:t>
      </w:r>
      <w:r>
        <w:rPr>
          <w:rFonts w:ascii="Times New Roman" w:hAnsi="Times New Roman" w:eastAsia="Times New Roman" w:cs="Times New Roman"/>
          <w:color w:val="000000"/>
          <w:spacing w:val="0"/>
          <w:w w:val="100"/>
          <w:position w:val="0"/>
          <w:sz w:val="19"/>
          <w:szCs w:val="19"/>
        </w:rPr>
        <w:t>23</w:t>
      </w:r>
      <w:r>
        <w:rPr>
          <w:rFonts w:ascii="宋体" w:hAnsi="宋体" w:eastAsia="宋体" w:cs="宋体"/>
          <w:color w:val="000000"/>
          <w:spacing w:val="0"/>
          <w:w w:val="100"/>
          <w:position w:val="0"/>
          <w:sz w:val="18"/>
          <w:szCs w:val="18"/>
        </w:rPr>
        <w:t xml:space="preserve">元。金博公司分别支付对应各 标段工程款 </w:t>
      </w:r>
      <w:r>
        <w:rPr>
          <w:rFonts w:ascii="Times New Roman" w:hAnsi="Times New Roman" w:eastAsia="Times New Roman" w:cs="Times New Roman"/>
          <w:color w:val="000000"/>
          <w:spacing w:val="0"/>
          <w:w w:val="100"/>
          <w:position w:val="0"/>
          <w:sz w:val="19"/>
          <w:szCs w:val="19"/>
        </w:rPr>
        <w:t xml:space="preserve">5,769,523 </w:t>
      </w:r>
      <w:r>
        <w:rPr>
          <w:rFonts w:ascii="宋体" w:hAnsi="宋体" w:eastAsia="宋体" w:cs="宋体"/>
          <w:color w:val="000000"/>
          <w:spacing w:val="0"/>
          <w:w w:val="100"/>
          <w:position w:val="0"/>
          <w:sz w:val="18"/>
          <w:szCs w:val="18"/>
        </w:rPr>
        <w:t>元</w:t>
      </w:r>
      <w:r>
        <w:rPr>
          <w:rFonts w:ascii="Times New Roman" w:hAnsi="Times New Roman" w:eastAsia="Times New Roman" w:cs="Times New Roman"/>
          <w:color w:val="000000"/>
          <w:spacing w:val="0"/>
          <w:w w:val="100"/>
          <w:position w:val="0"/>
          <w:sz w:val="19"/>
          <w:szCs w:val="19"/>
        </w:rPr>
        <w:t xml:space="preserve">,4,194,171 </w:t>
      </w:r>
      <w:r>
        <w:rPr>
          <w:rFonts w:ascii="宋体" w:hAnsi="宋体" w:eastAsia="宋体" w:cs="宋体"/>
          <w:color w:val="000000"/>
          <w:spacing w:val="0"/>
          <w:w w:val="100"/>
          <w:position w:val="0"/>
          <w:sz w:val="18"/>
          <w:szCs w:val="18"/>
        </w:rPr>
        <w:t xml:space="preserve">元和 </w:t>
      </w:r>
      <w:r>
        <w:rPr>
          <w:rFonts w:ascii="Times New Roman" w:hAnsi="Times New Roman" w:eastAsia="Times New Roman" w:cs="Times New Roman"/>
          <w:color w:val="000000"/>
          <w:spacing w:val="0"/>
          <w:w w:val="100"/>
          <w:position w:val="0"/>
          <w:sz w:val="19"/>
          <w:szCs w:val="19"/>
        </w:rPr>
        <w:t xml:space="preserve">6,381, 831 </w:t>
      </w:r>
      <w:r>
        <w:rPr>
          <w:rFonts w:ascii="宋体" w:hAnsi="宋体" w:eastAsia="宋体" w:cs="宋体"/>
          <w:color w:val="000000"/>
          <w:spacing w:val="0"/>
          <w:w w:val="100"/>
          <w:position w:val="0"/>
          <w:sz w:val="18"/>
          <w:szCs w:val="18"/>
        </w:rPr>
        <w:t xml:space="preserve">元，合计 </w:t>
      </w:r>
      <w:r>
        <w:rPr>
          <w:rFonts w:ascii="Times New Roman" w:hAnsi="Times New Roman" w:eastAsia="Times New Roman" w:cs="Times New Roman"/>
          <w:color w:val="000000"/>
          <w:spacing w:val="0"/>
          <w:w w:val="100"/>
          <w:position w:val="0"/>
          <w:sz w:val="19"/>
          <w:szCs w:val="19"/>
        </w:rPr>
        <w:t xml:space="preserve">16,345,525 </w:t>
      </w:r>
      <w:r>
        <w:rPr>
          <w:rFonts w:ascii="宋体" w:hAnsi="宋体" w:eastAsia="宋体" w:cs="宋体"/>
          <w:color w:val="000000"/>
          <w:spacing w:val="0"/>
          <w:w w:val="100"/>
          <w:position w:val="0"/>
          <w:sz w:val="18"/>
          <w:szCs w:val="18"/>
        </w:rPr>
        <w:t xml:space="preserve">元，尚欠 </w:t>
      </w:r>
      <w:r>
        <w:rPr>
          <w:rFonts w:ascii="Times New Roman" w:hAnsi="Times New Roman" w:eastAsia="Times New Roman" w:cs="Times New Roman"/>
          <w:color w:val="000000"/>
          <w:spacing w:val="0"/>
          <w:w w:val="100"/>
          <w:position w:val="0"/>
          <w:sz w:val="19"/>
          <w:szCs w:val="19"/>
        </w:rPr>
        <w:t>124,</w:t>
      </w:r>
      <w:r>
        <w:rPr>
          <w:rFonts w:ascii="Times New Roman" w:hAnsi="Times New Roman" w:eastAsia="Times New Roman" w:cs="Times New Roman"/>
          <w:color w:val="000000"/>
          <w:spacing w:val="0"/>
          <w:w w:val="100"/>
          <w:position w:val="0"/>
          <w:sz w:val="19"/>
          <w:szCs w:val="19"/>
          <w:lang w:val="en-US" w:eastAsia="en-US" w:bidi="en-US"/>
        </w:rPr>
        <w:t xml:space="preserve">981. </w:t>
      </w:r>
      <w:r>
        <w:rPr>
          <w:rFonts w:ascii="Times New Roman" w:hAnsi="Times New Roman" w:eastAsia="Times New Roman" w:cs="Times New Roman"/>
          <w:color w:val="000000"/>
          <w:spacing w:val="0"/>
          <w:w w:val="100"/>
          <w:position w:val="0"/>
          <w:sz w:val="19"/>
          <w:szCs w:val="19"/>
        </w:rPr>
        <w:t xml:space="preserve">23 </w:t>
      </w:r>
      <w:r>
        <w:rPr>
          <w:rFonts w:ascii="宋体" w:hAnsi="宋体" w:eastAsia="宋体" w:cs="宋体"/>
          <w:color w:val="000000"/>
          <w:spacing w:val="0"/>
          <w:w w:val="100"/>
          <w:position w:val="0"/>
          <w:sz w:val="18"/>
          <w:szCs w:val="18"/>
        </w:rPr>
        <w:t>元。</w:t>
      </w:r>
      <w:r>
        <w:rPr>
          <w:rFonts w:ascii="Times New Roman" w:hAnsi="Times New Roman" w:eastAsia="Times New Roman" w:cs="Times New Roman"/>
          <w:color w:val="000000"/>
          <w:spacing w:val="0"/>
          <w:w w:val="100"/>
          <w:position w:val="0"/>
          <w:sz w:val="19"/>
          <w:szCs w:val="19"/>
        </w:rPr>
        <w:t>2013</w:t>
      </w:r>
      <w:r>
        <w:rPr>
          <w:rFonts w:ascii="宋体" w:hAnsi="宋体" w:eastAsia="宋体" w:cs="宋体"/>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7</w:t>
      </w:r>
      <w:r>
        <w:rPr>
          <w:rFonts w:ascii="宋体" w:hAnsi="宋体" w:eastAsia="宋体" w:cs="宋体"/>
          <w:color w:val="000000"/>
          <w:spacing w:val="0"/>
          <w:w w:val="100"/>
          <w:position w:val="0"/>
          <w:sz w:val="18"/>
          <w:szCs w:val="18"/>
        </w:rPr>
        <w:t>月元恒公司承包万博公司襄城县补充耕地储备项目相关工程,万博公司欠元 恒公司工程款</w:t>
      </w:r>
      <w:r>
        <w:rPr>
          <w:rFonts w:ascii="Times New Roman" w:hAnsi="Times New Roman" w:eastAsia="Times New Roman" w:cs="Times New Roman"/>
          <w:color w:val="000000"/>
          <w:spacing w:val="0"/>
          <w:w w:val="100"/>
          <w:position w:val="0"/>
          <w:sz w:val="19"/>
          <w:szCs w:val="19"/>
        </w:rPr>
        <w:t xml:space="preserve">372, </w:t>
      </w:r>
      <w:r>
        <w:rPr>
          <w:rFonts w:ascii="Times New Roman" w:hAnsi="Times New Roman" w:eastAsia="Times New Roman" w:cs="Times New Roman"/>
          <w:color w:val="000000"/>
          <w:spacing w:val="0"/>
          <w:w w:val="100"/>
          <w:position w:val="0"/>
          <w:sz w:val="19"/>
          <w:szCs w:val="19"/>
          <w:lang w:val="en-US" w:eastAsia="en-US" w:bidi="en-US"/>
        </w:rPr>
        <w:t>379.</w:t>
      </w:r>
      <w:r>
        <w:rPr>
          <w:rFonts w:ascii="Times New Roman" w:hAnsi="Times New Roman" w:eastAsia="Times New Roman" w:cs="Times New Roman"/>
          <w:color w:val="000000"/>
          <w:spacing w:val="0"/>
          <w:w w:val="100"/>
          <w:position w:val="0"/>
          <w:sz w:val="19"/>
          <w:szCs w:val="19"/>
        </w:rPr>
        <w:t>65</w:t>
      </w:r>
      <w:r>
        <w:rPr>
          <w:rFonts w:ascii="宋体" w:hAnsi="宋体" w:eastAsia="宋体" w:cs="宋体"/>
          <w:color w:val="000000"/>
          <w:spacing w:val="0"/>
          <w:w w:val="100"/>
          <w:position w:val="0"/>
          <w:sz w:val="18"/>
          <w:szCs w:val="18"/>
        </w:rPr>
        <w:t>元。</w:t>
      </w:r>
    </w:p>
    <w:p w14:paraId="20A64621">
      <w:pPr>
        <w:pStyle w:val="17"/>
        <w:keepNext w:val="0"/>
        <w:keepLines w:val="0"/>
        <w:widowControl w:val="0"/>
        <w:shd w:val="clear" w:color="auto" w:fill="auto"/>
        <w:bidi w:val="0"/>
        <w:spacing w:before="0" w:after="0" w:line="341" w:lineRule="exact"/>
        <w:ind w:left="0" w:right="0"/>
        <w:jc w:val="both"/>
      </w:pP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日，因与刘玉荣的另案执行问题，榆林中院裁定冻结元恒公司建设银行 郑州华亿支行账户。</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日，金博公司向前述账户转入</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笔款项共计</w:t>
      </w:r>
      <w:r>
        <w:rPr>
          <w:rFonts w:ascii="Times New Roman" w:hAnsi="Times New Roman" w:eastAsia="Times New Roman" w:cs="Times New Roman"/>
          <w:color w:val="000000"/>
          <w:spacing w:val="0"/>
          <w:w w:val="100"/>
          <w:position w:val="0"/>
          <w:sz w:val="19"/>
          <w:szCs w:val="19"/>
        </w:rPr>
        <w:t xml:space="preserve">4, </w:t>
      </w:r>
      <w:r>
        <w:rPr>
          <w:rFonts w:ascii="Times New Roman" w:hAnsi="Times New Roman" w:eastAsia="Times New Roman" w:cs="Times New Roman"/>
          <w:color w:val="000000"/>
          <w:spacing w:val="0"/>
          <w:w w:val="100"/>
          <w:position w:val="0"/>
          <w:sz w:val="19"/>
          <w:szCs w:val="19"/>
          <w:lang w:val="en-US" w:eastAsia="en-US" w:bidi="en-US"/>
        </w:rPr>
        <w:t xml:space="preserve">369,651.29 </w:t>
      </w:r>
      <w:r>
        <w:rPr>
          <w:color w:val="000000"/>
          <w:spacing w:val="0"/>
          <w:w w:val="100"/>
          <w:position w:val="0"/>
        </w:rPr>
        <w:t>元。转账回单分别载明：</w:t>
      </w:r>
      <w:r>
        <w:rPr>
          <w:color w:val="000000"/>
          <w:spacing w:val="0"/>
          <w:w w:val="100"/>
          <w:position w:val="0"/>
          <w:lang w:val="zh-CN" w:eastAsia="zh-CN" w:bidi="zh-CN"/>
        </w:rPr>
        <w:t>“淇县</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年项目二标段” (</w:t>
      </w:r>
      <w:r>
        <w:rPr>
          <w:rFonts w:ascii="Times New Roman" w:hAnsi="Times New Roman" w:eastAsia="Times New Roman" w:cs="Times New Roman"/>
          <w:color w:val="000000"/>
          <w:spacing w:val="0"/>
          <w:w w:val="100"/>
          <w:position w:val="0"/>
          <w:sz w:val="19"/>
          <w:szCs w:val="19"/>
        </w:rPr>
        <w:t xml:space="preserve">1, 373, </w:t>
      </w:r>
      <w:r>
        <w:rPr>
          <w:rFonts w:ascii="Times New Roman" w:hAnsi="Times New Roman" w:eastAsia="Times New Roman" w:cs="Times New Roman"/>
          <w:color w:val="000000"/>
          <w:spacing w:val="0"/>
          <w:w w:val="100"/>
          <w:position w:val="0"/>
          <w:sz w:val="19"/>
          <w:szCs w:val="19"/>
          <w:lang w:val="en-US" w:eastAsia="en-US" w:bidi="en-US"/>
        </w:rPr>
        <w:t>549.</w:t>
      </w:r>
      <w:r>
        <w:rPr>
          <w:rFonts w:ascii="Times New Roman" w:hAnsi="Times New Roman" w:eastAsia="Times New Roman" w:cs="Times New Roman"/>
          <w:color w:val="000000"/>
          <w:spacing w:val="0"/>
          <w:w w:val="100"/>
          <w:position w:val="0"/>
          <w:sz w:val="19"/>
          <w:szCs w:val="19"/>
        </w:rPr>
        <w:t>53</w:t>
      </w:r>
      <w:r>
        <w:rPr>
          <w:color w:val="000000"/>
          <w:spacing w:val="0"/>
          <w:w w:val="100"/>
          <w:position w:val="0"/>
        </w:rPr>
        <w:t>元)、</w:t>
      </w:r>
      <w:r>
        <w:rPr>
          <w:color w:val="000000"/>
          <w:spacing w:val="0"/>
          <w:w w:val="100"/>
          <w:position w:val="0"/>
          <w:lang w:val="zh-CN" w:eastAsia="zh-CN" w:bidi="zh-CN"/>
        </w:rPr>
        <w:t>“淇县</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年项目 三标段” (</w:t>
      </w:r>
      <w:r>
        <w:rPr>
          <w:rFonts w:ascii="Times New Roman" w:hAnsi="Times New Roman" w:eastAsia="Times New Roman" w:cs="Times New Roman"/>
          <w:color w:val="000000"/>
          <w:spacing w:val="0"/>
          <w:w w:val="100"/>
          <w:position w:val="0"/>
          <w:sz w:val="19"/>
          <w:szCs w:val="19"/>
        </w:rPr>
        <w:t xml:space="preserve">1, 028, </w:t>
      </w:r>
      <w:r>
        <w:rPr>
          <w:rFonts w:ascii="Times New Roman" w:hAnsi="Times New Roman" w:eastAsia="Times New Roman" w:cs="Times New Roman"/>
          <w:color w:val="000000"/>
          <w:spacing w:val="0"/>
          <w:w w:val="100"/>
          <w:position w:val="0"/>
          <w:sz w:val="19"/>
          <w:szCs w:val="19"/>
          <w:lang w:val="en-US" w:eastAsia="en-US" w:bidi="en-US"/>
        </w:rPr>
        <w:t>263.</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元)、</w:t>
      </w:r>
      <w:r>
        <w:rPr>
          <w:color w:val="000000"/>
          <w:spacing w:val="0"/>
          <w:w w:val="100"/>
          <w:position w:val="0"/>
          <w:lang w:val="zh-CN" w:eastAsia="zh-CN" w:bidi="zh-CN"/>
        </w:rPr>
        <w:t>“淇县</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年项目三标段” (</w:t>
      </w:r>
      <w:r>
        <w:rPr>
          <w:rFonts w:ascii="Times New Roman" w:hAnsi="Times New Roman" w:eastAsia="Times New Roman" w:cs="Times New Roman"/>
          <w:color w:val="000000"/>
          <w:spacing w:val="0"/>
          <w:w w:val="100"/>
          <w:position w:val="0"/>
          <w:sz w:val="19"/>
          <w:szCs w:val="19"/>
        </w:rPr>
        <w:t xml:space="preserve">1, 595, </w:t>
      </w:r>
      <w:r>
        <w:rPr>
          <w:rFonts w:ascii="Times New Roman" w:hAnsi="Times New Roman" w:eastAsia="Times New Roman" w:cs="Times New Roman"/>
          <w:color w:val="000000"/>
          <w:spacing w:val="0"/>
          <w:w w:val="100"/>
          <w:position w:val="0"/>
          <w:sz w:val="19"/>
          <w:szCs w:val="19"/>
          <w:lang w:val="en-US" w:eastAsia="en-US" w:bidi="en-US"/>
        </w:rPr>
        <w:t xml:space="preserve">458. </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元)和“襄城县项 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372, </w:t>
      </w:r>
      <w:r>
        <w:rPr>
          <w:rFonts w:ascii="Times New Roman" w:hAnsi="Times New Roman" w:eastAsia="Times New Roman" w:cs="Times New Roman"/>
          <w:color w:val="000000"/>
          <w:spacing w:val="0"/>
          <w:w w:val="100"/>
          <w:position w:val="0"/>
          <w:sz w:val="19"/>
          <w:szCs w:val="19"/>
          <w:lang w:val="en-US" w:eastAsia="en-US" w:bidi="en-US"/>
        </w:rPr>
        <w:t>379.65</w:t>
      </w:r>
      <w:r>
        <w:rPr>
          <w:color w:val="000000"/>
          <w:spacing w:val="0"/>
          <w:w w:val="100"/>
          <w:position w:val="0"/>
        </w:rPr>
        <w:t>元)。金博公司与万博公司外聘财务系同一人，万博公司未委托金博公司 向元恒公司支付工程欠款。</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日，榆林中院将上述款项扣划至该院执行账户。 金博公司以</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笔款项中</w:t>
      </w:r>
      <w:r>
        <w:rPr>
          <w:rFonts w:ascii="Times New Roman" w:hAnsi="Times New Roman" w:eastAsia="Times New Roman" w:cs="Times New Roman"/>
          <w:color w:val="000000"/>
          <w:spacing w:val="0"/>
          <w:w w:val="100"/>
          <w:position w:val="0"/>
          <w:sz w:val="19"/>
          <w:szCs w:val="19"/>
        </w:rPr>
        <w:t xml:space="preserve">4, 244, </w:t>
      </w:r>
      <w:r>
        <w:rPr>
          <w:rFonts w:ascii="Times New Roman" w:hAnsi="Times New Roman" w:eastAsia="Times New Roman" w:cs="Times New Roman"/>
          <w:color w:val="000000"/>
          <w:spacing w:val="0"/>
          <w:w w:val="100"/>
          <w:position w:val="0"/>
          <w:sz w:val="19"/>
          <w:szCs w:val="19"/>
          <w:lang w:val="en-US" w:eastAsia="en-US" w:bidi="en-US"/>
        </w:rPr>
        <w:t xml:space="preserve">670. </w:t>
      </w:r>
      <w:r>
        <w:rPr>
          <w:rFonts w:ascii="Times New Roman" w:hAnsi="Times New Roman" w:eastAsia="Times New Roman" w:cs="Times New Roman"/>
          <w:color w:val="000000"/>
          <w:spacing w:val="0"/>
          <w:w w:val="100"/>
          <w:position w:val="0"/>
          <w:sz w:val="19"/>
          <w:szCs w:val="19"/>
        </w:rPr>
        <w:t>06</w:t>
      </w:r>
      <w:r>
        <w:rPr>
          <w:color w:val="000000"/>
          <w:spacing w:val="0"/>
          <w:w w:val="100"/>
          <w:position w:val="0"/>
        </w:rPr>
        <w:t>元系误转为由，向榆林中院提出执行异议被驳回，金 博公司向该院提起执行异议之诉。</w:t>
      </w:r>
    </w:p>
    <w:p w14:paraId="2F89DB77">
      <w:pPr>
        <w:pStyle w:val="17"/>
        <w:keepNext w:val="0"/>
        <w:keepLines w:val="0"/>
        <w:widowControl w:val="0"/>
        <w:shd w:val="clear" w:color="auto" w:fill="auto"/>
        <w:bidi w:val="0"/>
        <w:spacing w:before="0" w:after="220" w:line="341" w:lineRule="exact"/>
        <w:ind w:left="0" w:right="0"/>
        <w:jc w:val="both"/>
        <w:sectPr>
          <w:footnotePr>
            <w:numFmt w:val="chicago"/>
          </w:footnotePr>
          <w:type w:val="continuous"/>
          <w:pgSz w:w="10099" w:h="14782"/>
          <w:pgMar w:top="1322" w:right="946" w:bottom="1003" w:left="1079" w:header="894" w:footer="575" w:gutter="0"/>
          <w:cols w:space="720" w:num="1"/>
          <w:rtlGutter w:val="0"/>
          <w:docGrid w:linePitch="360" w:charSpace="0"/>
        </w:sectPr>
      </w:pPr>
      <w:r>
        <w:rPr>
          <w:color w:val="000000"/>
          <w:spacing w:val="0"/>
          <w:w w:val="100"/>
          <w:position w:val="0"/>
        </w:rPr>
        <w:t>一审判决金博公司只能请求元恒公司返还</w:t>
      </w:r>
      <w:r>
        <w:rPr>
          <w:rFonts w:ascii="Times New Roman" w:hAnsi="Times New Roman" w:eastAsia="Times New Roman" w:cs="Times New Roman"/>
          <w:color w:val="000000"/>
          <w:spacing w:val="0"/>
          <w:w w:val="100"/>
          <w:position w:val="0"/>
          <w:sz w:val="19"/>
          <w:szCs w:val="19"/>
        </w:rPr>
        <w:t xml:space="preserve">4, 244, </w:t>
      </w:r>
      <w:r>
        <w:rPr>
          <w:rFonts w:ascii="Times New Roman" w:hAnsi="Times New Roman" w:eastAsia="Times New Roman" w:cs="Times New Roman"/>
          <w:color w:val="000000"/>
          <w:spacing w:val="0"/>
          <w:w w:val="100"/>
          <w:position w:val="0"/>
          <w:sz w:val="19"/>
          <w:szCs w:val="19"/>
          <w:lang w:val="en-US" w:eastAsia="en-US" w:bidi="en-US"/>
        </w:rPr>
        <w:t>670.</w:t>
      </w:r>
      <w:r>
        <w:rPr>
          <w:rFonts w:ascii="Times New Roman" w:hAnsi="Times New Roman" w:eastAsia="Times New Roman" w:cs="Times New Roman"/>
          <w:color w:val="000000"/>
          <w:spacing w:val="0"/>
          <w:w w:val="100"/>
          <w:position w:val="0"/>
          <w:sz w:val="19"/>
          <w:szCs w:val="19"/>
        </w:rPr>
        <w:t>06</w:t>
      </w:r>
      <w:r>
        <w:rPr>
          <w:color w:val="000000"/>
          <w:spacing w:val="0"/>
          <w:w w:val="100"/>
          <w:position w:val="0"/>
        </w:rPr>
        <w:t>元不当得利，该权益不能排除 刘玉荣的强制执行。金博公司向陕西高院上诉，二审判决金博公司对案涉</w:t>
      </w:r>
      <w:r>
        <w:rPr>
          <w:rFonts w:ascii="Times New Roman" w:hAnsi="Times New Roman" w:eastAsia="Times New Roman" w:cs="Times New Roman"/>
          <w:color w:val="000000"/>
          <w:spacing w:val="0"/>
          <w:w w:val="100"/>
          <w:position w:val="0"/>
          <w:sz w:val="19"/>
          <w:szCs w:val="19"/>
        </w:rPr>
        <w:t xml:space="preserve">4, 244, </w:t>
      </w:r>
      <w:r>
        <w:rPr>
          <w:rFonts w:ascii="Times New Roman" w:hAnsi="Times New Roman" w:eastAsia="Times New Roman" w:cs="Times New Roman"/>
          <w:color w:val="000000"/>
          <w:spacing w:val="0"/>
          <w:w w:val="100"/>
          <w:position w:val="0"/>
          <w:sz w:val="19"/>
          <w:szCs w:val="19"/>
          <w:lang w:val="en-US" w:eastAsia="en-US" w:bidi="en-US"/>
        </w:rPr>
        <w:t>670.06</w:t>
      </w:r>
      <w:r>
        <w:rPr>
          <w:color w:val="000000"/>
          <w:spacing w:val="0"/>
          <w:w w:val="100"/>
          <w:position w:val="0"/>
        </w:rPr>
        <w:t>元 享有足以排除刘玉荣强制执行的民事权益。刘玉荣认为元恒公司已取得该</w:t>
      </w:r>
      <w:r>
        <w:rPr>
          <w:rFonts w:ascii="Times New Roman" w:hAnsi="Times New Roman" w:eastAsia="Times New Roman" w:cs="Times New Roman"/>
          <w:color w:val="000000"/>
          <w:spacing w:val="0"/>
          <w:w w:val="100"/>
          <w:position w:val="0"/>
          <w:sz w:val="19"/>
          <w:szCs w:val="19"/>
        </w:rPr>
        <w:t xml:space="preserve">4, 244, </w:t>
      </w:r>
      <w:r>
        <w:rPr>
          <w:rFonts w:ascii="Times New Roman" w:hAnsi="Times New Roman" w:eastAsia="Times New Roman" w:cs="Times New Roman"/>
          <w:color w:val="000000"/>
          <w:spacing w:val="0"/>
          <w:w w:val="100"/>
          <w:position w:val="0"/>
          <w:sz w:val="19"/>
          <w:szCs w:val="19"/>
          <w:lang w:val="en-US" w:eastAsia="en-US" w:bidi="en-US"/>
        </w:rPr>
        <w:t xml:space="preserve">670. </w:t>
      </w:r>
      <w:r>
        <w:rPr>
          <w:rFonts w:ascii="Times New Roman" w:hAnsi="Times New Roman" w:eastAsia="Times New Roman" w:cs="Times New Roman"/>
          <w:color w:val="000000"/>
          <w:spacing w:val="0"/>
          <w:w w:val="100"/>
          <w:position w:val="0"/>
          <w:sz w:val="19"/>
          <w:szCs w:val="19"/>
        </w:rPr>
        <w:t xml:space="preserve">06 </w:t>
      </w:r>
      <w:r>
        <w:rPr>
          <w:color w:val="000000"/>
          <w:spacing w:val="0"/>
          <w:w w:val="100"/>
          <w:position w:val="0"/>
        </w:rPr>
        <w:t>元的所有权,金博公司不能行使返还原物请求权，只能另案诉请元恒公司返还不当得利，据 此向最高人民法院申请再审。</w:t>
      </w:r>
    </w:p>
    <w:p w14:paraId="42C68616">
      <w:pPr>
        <w:pStyle w:val="11"/>
        <w:keepNext w:val="0"/>
        <w:keepLines w:val="0"/>
        <w:widowControl w:val="0"/>
        <w:shd w:val="clear" w:color="auto" w:fill="auto"/>
        <w:bidi w:val="0"/>
        <w:spacing w:before="0" w:after="0" w:line="340" w:lineRule="exact"/>
        <w:ind w:left="0" w:right="0" w:firstLine="0"/>
        <w:jc w:val="left"/>
      </w:pPr>
      <w:r>
        <w:rPr>
          <w:color w:val="000000"/>
          <w:spacing w:val="0"/>
          <w:w w:val="100"/>
          <w:position w:val="0"/>
        </w:rPr>
        <w:t>•判决要旨</w:t>
      </w:r>
    </w:p>
    <w:p w14:paraId="10532127">
      <w:pPr>
        <w:pStyle w:val="17"/>
        <w:keepNext w:val="0"/>
        <w:keepLines w:val="0"/>
        <w:widowControl w:val="0"/>
        <w:shd w:val="clear" w:color="auto" w:fill="auto"/>
        <w:bidi w:val="0"/>
        <w:spacing w:before="0" w:after="0" w:line="340" w:lineRule="exact"/>
        <w:ind w:left="0" w:right="0" w:firstLine="420"/>
        <w:jc w:val="left"/>
      </w:pPr>
      <w:r>
        <w:rPr>
          <w:color w:val="000000"/>
          <w:spacing w:val="0"/>
          <w:w w:val="100"/>
          <w:position w:val="0"/>
        </w:rPr>
        <w:t>驳回再审申请。</w:t>
      </w:r>
    </w:p>
    <w:p w14:paraId="21E3AE16">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本案争议焦点为向他人错误转账后，转出方对转入方的返还请求权是否足以排除转入 方债权人的强制执行。</w:t>
      </w:r>
    </w:p>
    <w:p w14:paraId="77C1884D">
      <w:pPr>
        <w:pStyle w:val="17"/>
        <w:keepNext w:val="0"/>
        <w:keepLines w:val="0"/>
        <w:widowControl w:val="0"/>
        <w:shd w:val="clear" w:color="auto" w:fill="auto"/>
        <w:bidi w:val="0"/>
        <w:spacing w:before="0" w:after="380" w:line="338" w:lineRule="exact"/>
        <w:ind w:left="0" w:right="0" w:firstLine="420"/>
        <w:jc w:val="both"/>
      </w:pPr>
      <w:r>
        <w:rPr>
          <w:color w:val="000000"/>
          <w:spacing w:val="0"/>
          <w:w w:val="100"/>
          <w:position w:val="0"/>
        </w:rPr>
        <w:t>再审法院认为，错误转账双方缺乏款项移转的合意，不能导致款项权利变动。款项误 转入被冻结账户后即被扣划至法院执行账户，该款项具有特定性，且未被转入方占有，转账 也并非交付作为</w:t>
      </w:r>
      <w:r>
        <w:rPr>
          <w:color w:val="000000"/>
          <w:spacing w:val="0"/>
          <w:w w:val="100"/>
          <w:position w:val="0"/>
          <w:lang w:val="zh-CN" w:eastAsia="zh-CN" w:bidi="zh-CN"/>
        </w:rPr>
        <w:t>“物”</w:t>
      </w:r>
      <w:r>
        <w:rPr>
          <w:color w:val="000000"/>
          <w:spacing w:val="0"/>
          <w:w w:val="100"/>
          <w:position w:val="0"/>
        </w:rPr>
        <w:t>的货币（以下交替使用金钱和货币两个概念），缺乏适用金钱</w:t>
      </w:r>
      <w:r>
        <w:rPr>
          <w:color w:val="000000"/>
          <w:spacing w:val="0"/>
          <w:w w:val="100"/>
          <w:position w:val="0"/>
          <w:lang w:val="zh-CN" w:eastAsia="zh-CN" w:bidi="zh-CN"/>
        </w:rPr>
        <w:t>“占</w:t>
      </w:r>
      <w:r>
        <w:rPr>
          <w:color w:val="000000"/>
          <w:spacing w:val="0"/>
          <w:w w:val="100"/>
          <w:position w:val="0"/>
        </w:rPr>
        <w:t>有即 所有”的基础。故转出方对误转款项仍享有实体权益，足以排除转入方债权人的强制执行。</w:t>
      </w:r>
    </w:p>
    <w:p w14:paraId="415C988B">
      <w:pPr>
        <w:pStyle w:val="11"/>
        <w:keepNext w:val="0"/>
        <w:keepLines w:val="0"/>
        <w:widowControl w:val="0"/>
        <w:shd w:val="clear" w:color="auto" w:fill="auto"/>
        <w:bidi w:val="0"/>
        <w:spacing w:before="0" w:after="0" w:line="340" w:lineRule="exact"/>
        <w:ind w:left="0" w:right="0" w:firstLine="0"/>
        <w:jc w:val="left"/>
      </w:pPr>
      <w:r>
        <w:rPr>
          <w:color w:val="000000"/>
          <w:spacing w:val="0"/>
          <w:w w:val="100"/>
          <w:position w:val="0"/>
        </w:rPr>
        <w:t>•评析</w:t>
      </w:r>
    </w:p>
    <w:p w14:paraId="6DF80C62">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田本裁判的思路和意义</w:t>
      </w:r>
    </w:p>
    <w:p w14:paraId="17D26963">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本案涉及金钱占有非因移转所有权的意思转移时，权利人对该金钱享有何种民事权 益,能否行使返还原物请求权之问题。一审法院基于金钱“占有即所有”原理，认为转入方 占有错误转入款项进而取得其所有权，转出方不能行使返还原物请求权，只能要求返还不 当得利。二审和再审法院认为,转账并不交付</w:t>
      </w:r>
      <w:r>
        <w:rPr>
          <w:color w:val="000000"/>
          <w:spacing w:val="0"/>
          <w:w w:val="100"/>
          <w:position w:val="0"/>
          <w:lang w:val="zh-CN" w:eastAsia="zh-CN" w:bidi="zh-CN"/>
        </w:rPr>
        <w:t>“物”</w:t>
      </w:r>
      <w:r>
        <w:rPr>
          <w:color w:val="000000"/>
          <w:spacing w:val="0"/>
          <w:w w:val="100"/>
          <w:position w:val="0"/>
        </w:rPr>
        <w:t>化货币，错误转账至被冻结账户时，转入 款项具有特定性，也未被转入方占有，从而排除金钱</w:t>
      </w:r>
      <w:r>
        <w:rPr>
          <w:color w:val="000000"/>
          <w:spacing w:val="0"/>
          <w:w w:val="100"/>
          <w:position w:val="0"/>
          <w:lang w:val="zh-CN" w:eastAsia="zh-CN" w:bidi="zh-CN"/>
        </w:rPr>
        <w:t>“占有</w:t>
      </w:r>
      <w:r>
        <w:rPr>
          <w:color w:val="000000"/>
          <w:spacing w:val="0"/>
          <w:w w:val="100"/>
          <w:position w:val="0"/>
        </w:rPr>
        <w:t>即所有”原理之适用。因错误转 账缺乏权利变动之合意，故金钱权利不因此而变动。该裁判结论对平衡转出方和转入方债 权人利益,以及重塑金钱权利变动法理和金钱价值返还请求权均具有重大意义。</w:t>
      </w:r>
    </w:p>
    <w:p w14:paraId="2BFD14DC">
      <w:pPr>
        <w:pStyle w:val="17"/>
        <w:keepNext w:val="0"/>
        <w:keepLines w:val="0"/>
        <w:widowControl w:val="0"/>
        <w:shd w:val="clear" w:color="auto" w:fill="auto"/>
        <w:bidi w:val="0"/>
        <w:spacing w:before="0" w:after="0" w:line="340" w:lineRule="exact"/>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金钱价值返还请求权的法理</w:t>
      </w:r>
    </w:p>
    <w:p w14:paraId="0E0FE695">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本案裁判结论殊值赞同,但裁判思路值得商榷。再审裁定未正面评价金钱</w:t>
      </w:r>
      <w:r>
        <w:rPr>
          <w:color w:val="000000"/>
          <w:spacing w:val="0"/>
          <w:w w:val="100"/>
          <w:position w:val="0"/>
          <w:lang w:val="zh-CN" w:eastAsia="zh-CN" w:bidi="zh-CN"/>
        </w:rPr>
        <w:t>“占</w:t>
      </w:r>
      <w:r>
        <w:rPr>
          <w:color w:val="000000"/>
          <w:spacing w:val="0"/>
          <w:w w:val="100"/>
          <w:position w:val="0"/>
        </w:rPr>
        <w:t>有即所 有</w:t>
      </w:r>
      <w:r>
        <w:rPr>
          <w:color w:val="000000"/>
          <w:spacing w:val="0"/>
          <w:w w:val="100"/>
          <w:position w:val="0"/>
          <w:lang w:val="zh-CN" w:eastAsia="zh-CN" w:bidi="zh-CN"/>
        </w:rPr>
        <w:t>”原理</w:t>
      </w:r>
      <w:r>
        <w:rPr>
          <w:color w:val="000000"/>
          <w:spacing w:val="0"/>
          <w:w w:val="100"/>
          <w:position w:val="0"/>
        </w:rPr>
        <w:t>，而选择回避该原理之适用。然而，以转账并非交付</w:t>
      </w:r>
      <w:r>
        <w:rPr>
          <w:color w:val="000000"/>
          <w:spacing w:val="0"/>
          <w:w w:val="100"/>
          <w:position w:val="0"/>
          <w:lang w:val="zh-CN" w:eastAsia="zh-CN" w:bidi="zh-CN"/>
        </w:rPr>
        <w:t>“物”化</w:t>
      </w:r>
      <w:r>
        <w:rPr>
          <w:color w:val="000000"/>
          <w:spacing w:val="0"/>
          <w:w w:val="100"/>
          <w:position w:val="0"/>
        </w:rPr>
        <w:t>货币为由避开“占有即 所有”原理有流于形式之嫌。原因在于</w:t>
      </w:r>
      <w:r>
        <w:rPr>
          <w:color w:val="000000"/>
          <w:spacing w:val="0"/>
          <w:w w:val="100"/>
          <w:position w:val="0"/>
          <w:lang w:val="zh-CN" w:eastAsia="zh-CN" w:bidi="zh-CN"/>
        </w:rPr>
        <w:t>，“物</w:t>
      </w:r>
      <w:r>
        <w:rPr>
          <w:color w:val="000000"/>
          <w:spacing w:val="0"/>
          <w:w w:val="100"/>
          <w:position w:val="0"/>
        </w:rPr>
        <w:t>”化货币为商品货币，现已被信用货币所取代。 信用货币包括现金和存款货币，本质上均为债权。现金系以发行者为债务人的债权，存款 货币系以吸收存款的银行为债务人的债权</w:t>
      </w:r>
      <w:r>
        <w:rPr>
          <w:color w:val="000000"/>
          <w:spacing w:val="0"/>
          <w:w w:val="100"/>
          <w:position w:val="0"/>
          <w:lang w:val="zh-CN" w:eastAsia="zh-CN" w:bidi="zh-CN"/>
        </w:rPr>
        <w:t>。“占</w:t>
      </w:r>
      <w:r>
        <w:rPr>
          <w:color w:val="000000"/>
          <w:spacing w:val="0"/>
          <w:w w:val="100"/>
          <w:position w:val="0"/>
        </w:rPr>
        <w:t>有即所有”原理发端于商品货币，普遍适用 于现金，也广泛适用于存款货币。将金钱</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w:t>
      </w:r>
      <w:r>
        <w:rPr>
          <w:color w:val="000000"/>
          <w:spacing w:val="0"/>
          <w:w w:val="100"/>
          <w:position w:val="0"/>
        </w:rPr>
        <w:t>理中的金钱限定于商品货币和现 金，不仅与现代社会交易实态不符,也是对该原理之误读。此外，款项错误转入被冻结账户 后即被划入法院执行账户，因转入方自始至终不能支配该款项，其确实未取得该款项之占 有,但若转入账户未被冻结或转账后才被冻结，则转入方已经取得对误转金钱之占有（准确 而言为准占有），转入方未占有金钱的裁判理由便不再成立，该裁判的指导意义也将因此降 低。</w:t>
      </w:r>
    </w:p>
    <w:p w14:paraId="6CC2208D">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根据“占有即所有</w:t>
      </w:r>
      <w:r>
        <w:rPr>
          <w:color w:val="000000"/>
          <w:spacing w:val="0"/>
          <w:w w:val="100"/>
          <w:position w:val="0"/>
          <w:lang w:val="zh-CN" w:eastAsia="zh-CN" w:bidi="zh-CN"/>
        </w:rPr>
        <w:t>”原理</w:t>
      </w:r>
      <w:r>
        <w:rPr>
          <w:color w:val="000000"/>
          <w:spacing w:val="0"/>
          <w:w w:val="100"/>
          <w:position w:val="0"/>
        </w:rPr>
        <w:t>，金钱占有与所有完全融合，不承认离开占有的金钱所有权，也 不存在针对金钱的返还原物请求权。其正当性根据在于:第一，金钱的高度可替代性。商品 货币因无标识而全无个性,存款货币作为账户上的记录更无个性可言，即便现金上标有号 码，但也很少有人暗记号码以待未来指陈。金钱占有移转后,权利人无法识别他人占有的 哪些金钱属于自己，不能满足物权标的特定之要求,故不能对其行使返还原物请求权。第 二,金钱的高度流通性。如果金钱的占有与所有可以分离，则接受金钱时必须调查交付金 钱的人（占有人）是否具有所有权,如此一来人们便不能放心收取金钱，金钱的流通机能以 及交易的安全和便捷将备受影响。而根据</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”原理</w:t>
      </w:r>
      <w:r>
        <w:rPr>
          <w:color w:val="000000"/>
          <w:spacing w:val="0"/>
          <w:w w:val="100"/>
          <w:position w:val="0"/>
        </w:rPr>
        <w:t>，占有人确定地取得金钱所有 权,其对金钱的处分为有权处分，受领人完全不用担心他人追夺自己受领的金钱，金钱的流 通性以及交易安全和便捷也得以最大限度地实现。</w:t>
      </w:r>
    </w:p>
    <w:p w14:paraId="01BECA9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但是，金钱</w:t>
      </w:r>
      <w:r>
        <w:rPr>
          <w:color w:val="000000"/>
          <w:spacing w:val="0"/>
          <w:w w:val="100"/>
          <w:position w:val="0"/>
          <w:lang w:val="zh-CN" w:eastAsia="zh-CN" w:bidi="zh-CN"/>
        </w:rPr>
        <w:t>“占</w:t>
      </w:r>
      <w:r>
        <w:rPr>
          <w:color w:val="000000"/>
          <w:spacing w:val="0"/>
          <w:w w:val="100"/>
          <w:position w:val="0"/>
        </w:rPr>
        <w:t>有即所有”之正当性根据不能完全成立。就特定性而言，现金能以封金 方式特定化,存款货币也能以将款项存入不与账户户主存款混同的专用账户（如保证金专 户、信托资金专户、证券交易结算资金专户等）的方式予以特定，在金钱以前述方式特定的 情况下</w:t>
      </w:r>
      <w:r>
        <w:rPr>
          <w:color w:val="000000"/>
          <w:spacing w:val="0"/>
          <w:w w:val="100"/>
          <w:position w:val="0"/>
          <w:lang w:val="zh-CN" w:eastAsia="zh-CN" w:bidi="zh-CN"/>
        </w:rPr>
        <w:t>，“占</w:t>
      </w:r>
      <w:r>
        <w:rPr>
          <w:color w:val="000000"/>
          <w:spacing w:val="0"/>
          <w:w w:val="100"/>
          <w:position w:val="0"/>
        </w:rPr>
        <w:t>有即所有</w:t>
      </w:r>
      <w:r>
        <w:rPr>
          <w:color w:val="000000"/>
          <w:spacing w:val="0"/>
          <w:w w:val="100"/>
          <w:position w:val="0"/>
          <w:lang w:val="zh-CN" w:eastAsia="zh-CN" w:bidi="zh-CN"/>
        </w:rPr>
        <w:t>”之结</w:t>
      </w:r>
      <w:r>
        <w:rPr>
          <w:color w:val="000000"/>
          <w:spacing w:val="0"/>
          <w:w w:val="100"/>
          <w:position w:val="0"/>
        </w:rPr>
        <w:t>论就不能成立，若金钱权利人并无向占有人移转权利的意思，当 然可以对占有人主张返还</w:t>
      </w:r>
      <w:r>
        <w:rPr>
          <w:color w:val="000000"/>
          <w:spacing w:val="0"/>
          <w:w w:val="100"/>
          <w:position w:val="0"/>
          <w:lang w:val="zh-CN" w:eastAsia="zh-CN" w:bidi="zh-CN"/>
        </w:rPr>
        <w:t>“原物”请</w:t>
      </w:r>
      <w:r>
        <w:rPr>
          <w:color w:val="000000"/>
          <w:spacing w:val="0"/>
          <w:w w:val="100"/>
          <w:position w:val="0"/>
        </w:rPr>
        <w:t>求权。即便权利人与占有人的金钱混同后无法识别，也 不构成将权利人的所有权降格为不当得利债权的理由。因为不同人的大米、面粉、白砂糖 等可替代的种类物发生混同而不能识别时，混同各方可以按份共有混同物,并能够依照按 份共有的分割原则和方法,重新将其转化为分别所有。金钱混同的情形与前述可替代种类 物的混同相同，对混同后的金钱进行价值分割也易如反掌，故以混同后不能识别为由消灭 被混同一方的金钱所有权，显然缺乏说服力。就流通性而言</w:t>
      </w:r>
      <w:r>
        <w:rPr>
          <w:color w:val="000000"/>
          <w:spacing w:val="0"/>
          <w:w w:val="100"/>
          <w:position w:val="0"/>
          <w:lang w:val="zh-CN" w:eastAsia="zh-CN" w:bidi="zh-CN"/>
        </w:rPr>
        <w:t>，“占</w:t>
      </w:r>
      <w:r>
        <w:rPr>
          <w:color w:val="000000"/>
          <w:spacing w:val="0"/>
          <w:w w:val="100"/>
          <w:position w:val="0"/>
        </w:rPr>
        <w:t>有即所有”原理毫无节制 地保护金钱之受领人，即便受领人因违法行为（如赌博、贩毒等）受领金钱，或者明知受领的 金钱本不属于占有人，或者基于无偿行为从占有人处取得权利人的金钱，权利人也不能向 受领人追索本属于自己的金钱,这在利益衡量上完全失当。事实上，金钱流通安全可以通 过善意取得制度实现，不过,考虑到金钱的高度流通性,善意取得不应受</w:t>
      </w:r>
      <w:r>
        <w:rPr>
          <w:color w:val="000000"/>
          <w:spacing w:val="0"/>
          <w:w w:val="100"/>
          <w:position w:val="0"/>
          <w:lang w:val="zh-CN" w:eastAsia="zh-CN" w:bidi="zh-CN"/>
        </w:rPr>
        <w:t>“占有</w:t>
      </w:r>
      <w:r>
        <w:rPr>
          <w:color w:val="000000"/>
          <w:spacing w:val="0"/>
          <w:w w:val="100"/>
          <w:position w:val="0"/>
        </w:rPr>
        <w:t>委托物</w:t>
      </w:r>
      <w:r>
        <w:rPr>
          <w:color w:val="000000"/>
          <w:spacing w:val="0"/>
          <w:w w:val="100"/>
          <w:position w:val="0"/>
          <w:lang w:val="zh-CN" w:eastAsia="zh-CN" w:bidi="zh-CN"/>
        </w:rPr>
        <w:t xml:space="preserve">”的限 </w:t>
      </w:r>
      <w:r>
        <w:rPr>
          <w:color w:val="000000"/>
          <w:spacing w:val="0"/>
          <w:w w:val="100"/>
          <w:position w:val="0"/>
        </w:rPr>
        <w:t>制，即便赃款等</w:t>
      </w:r>
      <w:r>
        <w:rPr>
          <w:color w:val="000000"/>
          <w:spacing w:val="0"/>
          <w:w w:val="100"/>
          <w:position w:val="0"/>
          <w:lang w:val="zh-CN" w:eastAsia="zh-CN" w:bidi="zh-CN"/>
        </w:rPr>
        <w:t>“占有</w:t>
      </w:r>
      <w:r>
        <w:rPr>
          <w:color w:val="000000"/>
          <w:spacing w:val="0"/>
          <w:w w:val="100"/>
          <w:position w:val="0"/>
        </w:rPr>
        <w:t>脱离物</w:t>
      </w:r>
      <w:r>
        <w:rPr>
          <w:color w:val="000000"/>
          <w:spacing w:val="0"/>
          <w:w w:val="100"/>
          <w:position w:val="0"/>
          <w:lang w:val="zh-CN" w:eastAsia="zh-CN" w:bidi="zh-CN"/>
        </w:rPr>
        <w:t>”也</w:t>
      </w:r>
      <w:r>
        <w:rPr>
          <w:color w:val="000000"/>
          <w:spacing w:val="0"/>
          <w:w w:val="100"/>
          <w:position w:val="0"/>
        </w:rPr>
        <w:t>能善意取得。况且，在本案及其他类似情形中，被他人占有 的金钱并未进入流通环节,全然不存在流通保护之必要，若仍依“占有即所有”原理,使占有 人也能取得金钱所有权并将其纳入自身的责任财产，占有人的债权人可对该金钱强制执 行,便无异于迫使权利人为占有人的债权人设立担保，从而使债权人获得望外之利益，更是 毫无公平性和正当性可言。</w:t>
      </w:r>
    </w:p>
    <w:p w14:paraId="29B2A689">
      <w:pPr>
        <w:pStyle w:val="17"/>
        <w:keepNext w:val="0"/>
        <w:keepLines w:val="0"/>
        <w:widowControl w:val="0"/>
        <w:shd w:val="clear" w:color="auto" w:fill="auto"/>
        <w:bidi w:val="0"/>
        <w:spacing w:before="0" w:after="0" w:line="342" w:lineRule="exact"/>
        <w:ind w:left="0" w:right="0" w:firstLine="420"/>
        <w:jc w:val="both"/>
        <w:sectPr>
          <w:headerReference r:id="rId221" w:type="first"/>
          <w:headerReference r:id="rId219" w:type="default"/>
          <w:headerReference r:id="rId220" w:type="even"/>
          <w:footnotePr>
            <w:numFmt w:val="chicago"/>
          </w:footnotePr>
          <w:pgSz w:w="10099" w:h="14782"/>
          <w:pgMar w:top="1322" w:right="946" w:bottom="1003" w:left="1079" w:header="0" w:footer="3" w:gutter="0"/>
          <w:pgNumType w:start="167"/>
          <w:cols w:space="720" w:num="1"/>
          <w:titlePg/>
          <w:rtlGutter w:val="0"/>
          <w:docGrid w:linePitch="360" w:charSpace="0"/>
        </w:sectPr>
      </w:pPr>
      <w:r>
        <w:rPr>
          <w:color w:val="000000"/>
          <w:spacing w:val="0"/>
          <w:w w:val="100"/>
          <w:position w:val="0"/>
        </w:rPr>
        <w:t>既然金钱</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”原理</w:t>
      </w:r>
      <w:r>
        <w:rPr>
          <w:color w:val="000000"/>
          <w:spacing w:val="0"/>
          <w:w w:val="100"/>
          <w:position w:val="0"/>
        </w:rPr>
        <w:t>不能完全成立测应该认为当金钱在权利人并无移转所有 权之意思而发生占有转移时,除非受领人善意取得,否则权利人依然享有金钱所有权，并能 向占有人提出物权性的返还请求。如前所述，现金和存款货币本质上为信用债权,是民法 上的</w:t>
      </w:r>
      <w:r>
        <w:rPr>
          <w:color w:val="000000"/>
          <w:spacing w:val="0"/>
          <w:w w:val="100"/>
          <w:position w:val="0"/>
          <w:lang w:val="zh-CN" w:eastAsia="zh-CN" w:bidi="zh-CN"/>
        </w:rPr>
        <w:t>“无体</w:t>
      </w:r>
      <w:r>
        <w:rPr>
          <w:color w:val="000000"/>
          <w:spacing w:val="0"/>
          <w:w w:val="100"/>
          <w:position w:val="0"/>
        </w:rPr>
        <w:t>物”而非动产（现金币材仅仅是表彰货币金额的工具）。金钱所有权系对信用债 权的“所有权</w:t>
      </w:r>
      <w:r>
        <w:rPr>
          <w:color w:val="000000"/>
          <w:spacing w:val="0"/>
          <w:w w:val="100"/>
          <w:position w:val="0"/>
          <w:lang w:val="zh-CN" w:eastAsia="zh-CN" w:bidi="zh-CN"/>
        </w:rPr>
        <w:t>”，是</w:t>
      </w:r>
      <w:r>
        <w:rPr>
          <w:color w:val="000000"/>
          <w:spacing w:val="0"/>
          <w:w w:val="100"/>
          <w:position w:val="0"/>
        </w:rPr>
        <w:t>典型的</w:t>
      </w:r>
      <w:r>
        <w:rPr>
          <w:color w:val="000000"/>
          <w:spacing w:val="0"/>
          <w:w w:val="100"/>
          <w:position w:val="0"/>
          <w:lang w:val="zh-CN" w:eastAsia="zh-CN" w:bidi="zh-CN"/>
        </w:rPr>
        <w:t>“价</w:t>
      </w:r>
      <w:r>
        <w:rPr>
          <w:color w:val="000000"/>
          <w:spacing w:val="0"/>
          <w:w w:val="100"/>
          <w:position w:val="0"/>
        </w:rPr>
        <w:t>值所有权”。以权利人无法识别占有人占有的哪些金钱属于自 己为由否定其所有权，系对金钱特征和金钱所有权本质之误读。事实上，针对不同财产,返 还原物请求权的表现不尽相同。要求返还特定物,是真正的返还</w:t>
      </w:r>
      <w:r>
        <w:rPr>
          <w:color w:val="000000"/>
          <w:spacing w:val="0"/>
          <w:w w:val="100"/>
          <w:position w:val="0"/>
          <w:lang w:val="zh-CN" w:eastAsia="zh-CN" w:bidi="zh-CN"/>
        </w:rPr>
        <w:t>“原物”请</w:t>
      </w:r>
      <w:r>
        <w:rPr>
          <w:color w:val="000000"/>
          <w:spacing w:val="0"/>
          <w:w w:val="100"/>
          <w:position w:val="0"/>
        </w:rPr>
        <w:t>求权，因为原物 不仅承载了该物的价值,而且承载了特定的使用价值甚至情感价值，唯有返还</w:t>
      </w:r>
      <w:r>
        <w:rPr>
          <w:color w:val="000000"/>
          <w:spacing w:val="0"/>
          <w:w w:val="100"/>
          <w:position w:val="0"/>
          <w:lang w:val="zh-CN" w:eastAsia="zh-CN" w:bidi="zh-CN"/>
        </w:rPr>
        <w:t xml:space="preserve">“原物”才能 </w:t>
      </w:r>
      <w:r>
        <w:rPr>
          <w:color w:val="000000"/>
          <w:spacing w:val="0"/>
          <w:w w:val="100"/>
          <w:position w:val="0"/>
        </w:rPr>
        <w:t>实现权利人的全部诉求。对可替代的种类物而言，返还请求已不再固执于</w:t>
      </w:r>
      <w:r>
        <w:rPr>
          <w:color w:val="000000"/>
          <w:spacing w:val="0"/>
          <w:w w:val="100"/>
          <w:position w:val="0"/>
          <w:lang w:val="zh-CN" w:eastAsia="zh-CN" w:bidi="zh-CN"/>
        </w:rPr>
        <w:t>“原物”，所</w:t>
      </w:r>
      <w:r>
        <w:rPr>
          <w:color w:val="000000"/>
          <w:spacing w:val="0"/>
          <w:w w:val="100"/>
          <w:position w:val="0"/>
        </w:rPr>
        <w:t>谓原 物仅指具有同一使用价值和交换价值之物。现金混同时，权利人的确不能识别原属于自己 的现金币材从而无法要求返还</w:t>
      </w:r>
      <w:r>
        <w:rPr>
          <w:color w:val="000000"/>
          <w:spacing w:val="0"/>
          <w:w w:val="100"/>
          <w:position w:val="0"/>
          <w:lang w:val="zh-CN" w:eastAsia="zh-CN" w:bidi="zh-CN"/>
        </w:rPr>
        <w:t>“原物”，但</w:t>
      </w:r>
      <w:r>
        <w:rPr>
          <w:color w:val="000000"/>
          <w:spacing w:val="0"/>
          <w:w w:val="100"/>
          <w:position w:val="0"/>
        </w:rPr>
        <w:t>其权利客体本非原有币材，而乃该</w:t>
      </w:r>
      <w:r>
        <w:rPr>
          <w:color w:val="000000"/>
          <w:spacing w:val="0"/>
          <w:w w:val="100"/>
          <w:position w:val="0"/>
          <w:lang w:val="zh-CN" w:eastAsia="zh-CN" w:bidi="zh-CN"/>
        </w:rPr>
        <w:t>“原物”映</w:t>
      </w:r>
      <w:r>
        <w:rPr>
          <w:color w:val="000000"/>
          <w:spacing w:val="0"/>
          <w:w w:val="100"/>
          <w:position w:val="0"/>
        </w:rPr>
        <w:t xml:space="preserve">射的 </w:t>
      </w:r>
    </w:p>
    <w:p w14:paraId="771A846D">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信用价值，正常理智的权利人绝不会偏执地要求占有人返还其原有币材，只要占有人返还 了相应的现金价值，权利人的返还请求权即已实现。对存款货币而言,有体的</w:t>
      </w:r>
      <w:r>
        <w:rPr>
          <w:color w:val="000000"/>
          <w:spacing w:val="0"/>
          <w:w w:val="100"/>
          <w:position w:val="0"/>
          <w:lang w:val="zh-CN" w:eastAsia="zh-CN" w:bidi="zh-CN"/>
        </w:rPr>
        <w:t xml:space="preserve">“原物”自始 </w:t>
      </w:r>
      <w:r>
        <w:rPr>
          <w:color w:val="000000"/>
          <w:spacing w:val="0"/>
          <w:w w:val="100"/>
          <w:position w:val="0"/>
        </w:rPr>
        <w:t>即不存在或</w:t>
      </w:r>
      <w:r>
        <w:rPr>
          <w:color w:val="000000"/>
          <w:spacing w:val="0"/>
          <w:w w:val="100"/>
          <w:position w:val="0"/>
          <w:lang w:val="zh-CN" w:eastAsia="zh-CN" w:bidi="zh-CN"/>
        </w:rPr>
        <w:t>“原物”本</w:t>
      </w:r>
      <w:r>
        <w:rPr>
          <w:color w:val="000000"/>
          <w:spacing w:val="0"/>
          <w:w w:val="100"/>
          <w:position w:val="0"/>
        </w:rPr>
        <w:t>就是抽象的存款债权，占有人返还了该额度的存款债权，权利人的权 利就已经恢复了“原状”。虽然在返还对象并非</w:t>
      </w:r>
      <w:r>
        <w:rPr>
          <w:color w:val="000000"/>
          <w:spacing w:val="0"/>
          <w:w w:val="100"/>
          <w:position w:val="0"/>
          <w:lang w:val="zh-CN" w:eastAsia="zh-CN" w:bidi="zh-CN"/>
        </w:rPr>
        <w:t>“原物”这</w:t>
      </w:r>
      <w:r>
        <w:rPr>
          <w:color w:val="000000"/>
          <w:spacing w:val="0"/>
          <w:w w:val="100"/>
          <w:position w:val="0"/>
        </w:rPr>
        <w:t>一点上，前述金钱返还请求权与 《民法典》第</w:t>
      </w:r>
      <w:r>
        <w:rPr>
          <w:rFonts w:ascii="Times New Roman" w:hAnsi="Times New Roman" w:eastAsia="Times New Roman" w:cs="Times New Roman"/>
          <w:color w:val="000000"/>
          <w:spacing w:val="0"/>
          <w:w w:val="100"/>
          <w:position w:val="0"/>
          <w:sz w:val="19"/>
          <w:szCs w:val="19"/>
        </w:rPr>
        <w:t>235</w:t>
      </w:r>
      <w:r>
        <w:rPr>
          <w:color w:val="000000"/>
          <w:spacing w:val="0"/>
          <w:w w:val="100"/>
          <w:position w:val="0"/>
        </w:rPr>
        <w:t>条规定的返还原物请求权有所差别，但其实质均为要求占有人返还权利人 原本拥有的价值,而且返还请求权皆具有物权效力。也就是说,只要确定其</w:t>
      </w:r>
      <w:r>
        <w:rPr>
          <w:color w:val="000000"/>
          <w:spacing w:val="0"/>
          <w:w w:val="100"/>
          <w:position w:val="0"/>
          <w:lang w:val="zh-CN" w:eastAsia="zh-CN" w:bidi="zh-CN"/>
        </w:rPr>
        <w:t>“价值”仍</w:t>
      </w:r>
      <w:r>
        <w:rPr>
          <w:color w:val="000000"/>
          <w:spacing w:val="0"/>
          <w:w w:val="100"/>
          <w:position w:val="0"/>
        </w:rPr>
        <w:t>在占 有人处，金钱权利人即可要求占有人返还一定额度的“价值</w:t>
      </w:r>
      <w:r>
        <w:rPr>
          <w:color w:val="000000"/>
          <w:spacing w:val="0"/>
          <w:w w:val="100"/>
          <w:position w:val="0"/>
          <w:lang w:val="zh-CN" w:eastAsia="zh-CN" w:bidi="zh-CN"/>
        </w:rPr>
        <w:t>”，该</w:t>
      </w:r>
      <w:r>
        <w:rPr>
          <w:color w:val="000000"/>
          <w:spacing w:val="0"/>
          <w:w w:val="100"/>
          <w:position w:val="0"/>
        </w:rPr>
        <w:t>价值返还请求权优先于对 占有人的一般债权，表现为强制执行程序中的异议权、排除参与分配权和破产程序中的取 回权。另外，在第三人（受领人）不能善意取得的情况下，还可基于该价值返还请求权对第 三人行使价值追及权。</w:t>
      </w:r>
    </w:p>
    <w:p w14:paraId="43252496">
      <w:pPr>
        <w:pStyle w:val="17"/>
        <w:keepNext w:val="0"/>
        <w:keepLines w:val="0"/>
        <w:widowControl w:val="0"/>
        <w:shd w:val="clear" w:color="auto" w:fill="auto"/>
        <w:bidi w:val="0"/>
        <w:spacing w:before="0" w:after="300" w:line="344" w:lineRule="exact"/>
        <w:ind w:left="0" w:right="0" w:firstLine="420"/>
        <w:jc w:val="both"/>
      </w:pPr>
      <w:r>
        <w:rPr>
          <w:color w:val="000000"/>
          <w:spacing w:val="0"/>
          <w:w w:val="100"/>
          <w:position w:val="0"/>
        </w:rPr>
        <w:t>金钱价值返还请求权以价值特定为前提，价值特定即金钱价值尚确定地存在于占有人 处。本案中，权利人向他人被冻结的账户转账，由于被冻结账户中的资金只进不出，即便权 利人错误转入的金钱与账户内原有金钱混同，也能确定误转的金钱价值尚存，再审法院正 是因此认定误转金额已被特定化。而且，即便转入账户未被冻结，只要转入后账户内资金 未进入流通或账户资金只进不出，权利人的金钱也能维持价值特定性。事实上，不仅是错 误转账，权利人的金钱以其他方式（如现金被盗）与他人的财产混同时亦是如此。在第三人 （受领人）不能善意取得，权利人对该第三人行使价值返还请求权时,也应依前述方法判断 金钱价值是否仍维持特定性。若权利人的金钱确定被消耗，则只能对取得其金钱的占有人 或第三人请求损害赔偿或返还不当得利。</w:t>
      </w:r>
    </w:p>
    <w:p w14:paraId="24DBD0B7">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S</w:t>
      </w:r>
      <w:r>
        <w:rPr>
          <w:color w:val="000000"/>
          <w:spacing w:val="0"/>
          <w:w w:val="100"/>
          <w:position w:val="0"/>
        </w:rPr>
        <w:t>既往司法实践状况</w:t>
      </w:r>
    </w:p>
    <w:p w14:paraId="7FE12C93">
      <w:pPr>
        <w:pStyle w:val="17"/>
        <w:keepNext w:val="0"/>
        <w:keepLines w:val="0"/>
        <w:widowControl w:val="0"/>
        <w:shd w:val="clear" w:color="auto" w:fill="auto"/>
        <w:bidi w:val="0"/>
        <w:spacing w:before="0" w:after="140" w:line="339" w:lineRule="exact"/>
        <w:ind w:left="0" w:right="0" w:firstLine="420"/>
        <w:jc w:val="both"/>
        <w:sectPr>
          <w:headerReference r:id="rId222" w:type="default"/>
          <w:headerReference r:id="rId223" w:type="even"/>
          <w:footnotePr>
            <w:numFmt w:val="chicago"/>
          </w:footnotePr>
          <w:pgSz w:w="10099" w:h="14782"/>
          <w:pgMar w:top="1322" w:right="946" w:bottom="1003" w:left="1079" w:header="0" w:footer="575" w:gutter="0"/>
          <w:pgNumType w:start="185"/>
          <w:cols w:space="720" w:num="1"/>
          <w:rtlGutter w:val="0"/>
          <w:docGrid w:linePitch="360" w:charSpace="0"/>
        </w:sectPr>
      </w:pPr>
      <w:r>
        <w:rPr>
          <w:color w:val="000000"/>
          <w:spacing w:val="0"/>
          <w:w w:val="100"/>
          <w:position w:val="0"/>
        </w:rPr>
        <w:t>本裁判之前，针对借他人账户收（存）款、错误转账等情形,绝大部分案例以账户户主为 占有人，基于</w:t>
      </w:r>
      <w:r>
        <w:rPr>
          <w:color w:val="000000"/>
          <w:spacing w:val="0"/>
          <w:w w:val="100"/>
          <w:position w:val="0"/>
          <w:lang w:val="zh-CN" w:eastAsia="zh-CN" w:bidi="zh-CN"/>
        </w:rPr>
        <w:t>“占</w:t>
      </w:r>
      <w:r>
        <w:rPr>
          <w:color w:val="000000"/>
          <w:spacing w:val="0"/>
          <w:w w:val="100"/>
          <w:position w:val="0"/>
        </w:rPr>
        <w:t>有即所有</w:t>
      </w:r>
      <w:r>
        <w:rPr>
          <w:color w:val="000000"/>
          <w:spacing w:val="0"/>
          <w:w w:val="100"/>
          <w:position w:val="0"/>
          <w:lang w:val="zh-CN" w:eastAsia="zh-CN" w:bidi="zh-CN"/>
        </w:rPr>
        <w:t>”原理</w:t>
      </w:r>
      <w:r>
        <w:rPr>
          <w:color w:val="000000"/>
          <w:spacing w:val="0"/>
          <w:w w:val="100"/>
          <w:position w:val="0"/>
        </w:rPr>
        <w:t>，使其取得相应金钱的“所有权”</w:t>
      </w:r>
      <w:r>
        <w:rPr>
          <w:color w:val="000000"/>
          <w:spacing w:val="0"/>
          <w:w w:val="100"/>
          <w:position w:val="0"/>
          <w:lang w:val="zh-CN" w:eastAsia="zh-CN" w:bidi="zh-CN"/>
        </w:rPr>
        <w:t>［“河</w:t>
      </w:r>
      <w:r>
        <w:rPr>
          <w:color w:val="000000"/>
          <w:spacing w:val="0"/>
          <w:w w:val="100"/>
          <w:position w:val="0"/>
        </w:rPr>
        <w:t>北省廊坊市奥凯商贸责 任有限公司与江苏银行股份</w:t>
      </w:r>
      <w:r>
        <w:rPr>
          <w:color w:val="000000"/>
          <w:spacing w:val="0"/>
          <w:w w:val="100"/>
          <w:position w:val="0"/>
          <w:lang w:val="zh-CN" w:eastAsia="zh-CN" w:bidi="zh-CN"/>
        </w:rPr>
        <w:t>有帔公</w:t>
      </w:r>
      <w:r>
        <w:rPr>
          <w:color w:val="000000"/>
          <w:spacing w:val="0"/>
          <w:w w:val="100"/>
          <w:position w:val="0"/>
        </w:rPr>
        <w:t>司北京分行案外人执行异议之诉案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 xml:space="preserve">民申 </w:t>
      </w:r>
      <w:r>
        <w:rPr>
          <w:rFonts w:ascii="Times New Roman" w:hAnsi="Times New Roman" w:eastAsia="Times New Roman" w:cs="Times New Roman"/>
          <w:color w:val="000000"/>
          <w:spacing w:val="0"/>
          <w:w w:val="100"/>
          <w:position w:val="0"/>
          <w:sz w:val="17"/>
          <w:szCs w:val="17"/>
        </w:rPr>
        <w:t>2528</w:t>
      </w:r>
      <w:r>
        <w:rPr>
          <w:color w:val="000000"/>
          <w:spacing w:val="0"/>
          <w:w w:val="100"/>
          <w:position w:val="0"/>
        </w:rPr>
        <w:t>号民事裁定书；“重庆新洲实业（集团）有限公司等与重庆华通典当有限公司执行异议之诉案</w:t>
      </w:r>
      <w:r>
        <w:rPr>
          <w:color w:val="000000"/>
          <w:spacing w:val="0"/>
          <w:w w:val="100"/>
          <w:position w:val="0"/>
          <w:lang w:val="zh-CN" w:eastAsia="zh-CN" w:bidi="zh-CN"/>
        </w:rPr>
        <w:t xml:space="preserve">”，重 </w:t>
      </w:r>
      <w:r>
        <w:rPr>
          <w:color w:val="000000"/>
          <w:spacing w:val="0"/>
          <w:w w:val="100"/>
          <w:position w:val="0"/>
        </w:rPr>
        <w:t>庆市高级人民法院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渝高法民终字第</w:t>
      </w:r>
      <w:r>
        <w:rPr>
          <w:rFonts w:ascii="Times New Roman" w:hAnsi="Times New Roman" w:eastAsia="Times New Roman" w:cs="Times New Roman"/>
          <w:color w:val="000000"/>
          <w:spacing w:val="0"/>
          <w:w w:val="100"/>
          <w:position w:val="0"/>
          <w:sz w:val="17"/>
          <w:szCs w:val="17"/>
        </w:rPr>
        <w:t>00273</w:t>
      </w:r>
      <w:r>
        <w:rPr>
          <w:color w:val="000000"/>
          <w:spacing w:val="0"/>
          <w:w w:val="100"/>
          <w:position w:val="0"/>
        </w:rPr>
        <w:t>号民事判决书］，若户主未控制和支配账户，则存 款货币为账户实际控制人（占有人）所有</w:t>
      </w:r>
      <w:r>
        <w:rPr>
          <w:color w:val="000000"/>
          <w:spacing w:val="0"/>
          <w:w w:val="100"/>
          <w:position w:val="0"/>
          <w:lang w:val="zh-CN" w:eastAsia="zh-CN" w:bidi="zh-CN"/>
        </w:rPr>
        <w:t>［“铜</w:t>
      </w:r>
      <w:r>
        <w:rPr>
          <w:color w:val="000000"/>
          <w:spacing w:val="0"/>
          <w:w w:val="100"/>
          <w:position w:val="0"/>
        </w:rPr>
        <w:t>山县农村信用合作联社茅村信用社与薛文松等执行 异议之诉案”，江苏省徐州市中级人民法院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徐民终字第</w:t>
      </w:r>
      <w:r>
        <w:rPr>
          <w:rFonts w:ascii="Times New Roman" w:hAnsi="Times New Roman" w:eastAsia="Times New Roman" w:cs="Times New Roman"/>
          <w:color w:val="000000"/>
          <w:spacing w:val="0"/>
          <w:w w:val="100"/>
          <w:position w:val="0"/>
          <w:sz w:val="17"/>
          <w:szCs w:val="17"/>
        </w:rPr>
        <w:t>1035</w:t>
      </w:r>
      <w:r>
        <w:rPr>
          <w:color w:val="000000"/>
          <w:spacing w:val="0"/>
          <w:w w:val="100"/>
          <w:position w:val="0"/>
        </w:rPr>
        <w:t>号民事判决书］;少数案例认为只 要确认权利人金钱尚留存于混同账户中，权利人仍对该金钱拥有</w:t>
      </w:r>
      <w:r>
        <w:rPr>
          <w:color w:val="000000"/>
          <w:spacing w:val="0"/>
          <w:w w:val="100"/>
          <w:position w:val="0"/>
          <w:lang w:val="zh-CN" w:eastAsia="zh-CN" w:bidi="zh-CN"/>
        </w:rPr>
        <w:t>“所</w:t>
      </w:r>
      <w:r>
        <w:rPr>
          <w:color w:val="000000"/>
          <w:spacing w:val="0"/>
          <w:w w:val="100"/>
          <w:position w:val="0"/>
        </w:rPr>
        <w:t>有权”</w:t>
      </w:r>
      <w:r>
        <w:rPr>
          <w:color w:val="000000"/>
          <w:spacing w:val="0"/>
          <w:w w:val="100"/>
          <w:position w:val="0"/>
          <w:lang w:val="zh-CN" w:eastAsia="zh-CN" w:bidi="zh-CN"/>
        </w:rPr>
        <w:t>［“广</w:t>
      </w:r>
      <w:r>
        <w:rPr>
          <w:color w:val="000000"/>
          <w:spacing w:val="0"/>
          <w:w w:val="100"/>
          <w:position w:val="0"/>
        </w:rPr>
        <w:t>东国际信托投 资公司破产案”，《最高人民法院公报》</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r>
        <w:rPr>
          <w:color w:val="000000"/>
          <w:spacing w:val="0"/>
          <w:w w:val="100"/>
          <w:position w:val="0"/>
          <w:lang w:val="zh-CN" w:eastAsia="zh-CN" w:bidi="zh-CN"/>
        </w:rPr>
        <w:t>“上海</w:t>
      </w:r>
      <w:r>
        <w:rPr>
          <w:color w:val="000000"/>
          <w:spacing w:val="0"/>
          <w:w w:val="100"/>
          <w:position w:val="0"/>
        </w:rPr>
        <w:t>某武术院与国家体育总局某运动管理中心 等其他所有权纠纷案</w:t>
      </w:r>
      <w:r>
        <w:rPr>
          <w:color w:val="000000"/>
          <w:spacing w:val="0"/>
          <w:w w:val="100"/>
          <w:position w:val="0"/>
          <w:lang w:val="zh-CN" w:eastAsia="zh-CN" w:bidi="zh-CN"/>
        </w:rPr>
        <w:t>”，上</w:t>
      </w:r>
      <w:r>
        <w:rPr>
          <w:color w:val="000000"/>
          <w:spacing w:val="0"/>
          <w:w w:val="100"/>
          <w:position w:val="0"/>
        </w:rPr>
        <w:t>海市青浦区人民法院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青民二（商）初字第</w:t>
      </w:r>
      <w:r>
        <w:rPr>
          <w:rFonts w:ascii="Times New Roman" w:hAnsi="Times New Roman" w:eastAsia="Times New Roman" w:cs="Times New Roman"/>
          <w:color w:val="000000"/>
          <w:spacing w:val="0"/>
          <w:w w:val="100"/>
          <w:position w:val="0"/>
          <w:sz w:val="17"/>
          <w:szCs w:val="17"/>
        </w:rPr>
        <w:t>496</w:t>
      </w:r>
      <w:r>
        <w:rPr>
          <w:color w:val="000000"/>
          <w:spacing w:val="0"/>
          <w:w w:val="100"/>
          <w:position w:val="0"/>
        </w:rPr>
        <w:t>号民事判决书］;而针对 各种保证金专户以及信托、证券交易结算等专户内的资金，则依照法律规定和当事人的约 定认定其权属［参见</w:t>
      </w:r>
      <w:r>
        <w:rPr>
          <w:color w:val="000000"/>
          <w:spacing w:val="0"/>
          <w:w w:val="100"/>
          <w:position w:val="0"/>
          <w:lang w:val="zh-CN" w:eastAsia="zh-CN" w:bidi="zh-CN"/>
        </w:rPr>
        <w:t>“兴</w:t>
      </w:r>
      <w:r>
        <w:rPr>
          <w:color w:val="000000"/>
          <w:spacing w:val="0"/>
          <w:w w:val="100"/>
          <w:position w:val="0"/>
        </w:rPr>
        <w:t>业银行股份有限公司大理分行与中国光大银行股份有限公司长春分行、大理 辉鸿经贸有限责任公司案外人执行异议之诉案</w:t>
      </w:r>
      <w:r>
        <w:rPr>
          <w:color w:val="000000"/>
          <w:spacing w:val="0"/>
          <w:w w:val="100"/>
          <w:position w:val="0"/>
          <w:lang w:val="zh-CN" w:eastAsia="zh-CN" w:bidi="zh-CN"/>
        </w:rPr>
        <w:t>”，吉</w:t>
      </w:r>
      <w:r>
        <w:rPr>
          <w:color w:val="000000"/>
          <w:spacing w:val="0"/>
          <w:w w:val="100"/>
          <w:position w:val="0"/>
        </w:rPr>
        <w:t>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吉民终字第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号民事判 决书；</w:t>
      </w:r>
      <w:r>
        <w:rPr>
          <w:color w:val="000000"/>
          <w:spacing w:val="0"/>
          <w:w w:val="100"/>
          <w:position w:val="0"/>
          <w:lang w:val="zh-CN" w:eastAsia="zh-CN" w:bidi="zh-CN"/>
        </w:rPr>
        <w:t>“杜</w:t>
      </w:r>
      <w:r>
        <w:rPr>
          <w:color w:val="000000"/>
          <w:spacing w:val="0"/>
          <w:w w:val="100"/>
          <w:position w:val="0"/>
        </w:rPr>
        <w:t>霞与单德利、山东鼎盛建筑安装有限公司执行异议之诉案</w:t>
      </w:r>
      <w:r>
        <w:rPr>
          <w:color w:val="000000"/>
          <w:spacing w:val="0"/>
          <w:w w:val="100"/>
          <w:position w:val="0"/>
          <w:lang w:val="zh-CN" w:eastAsia="zh-CN" w:bidi="zh-CN"/>
        </w:rPr>
        <w:t>”，山</w:t>
      </w:r>
      <w:r>
        <w:rPr>
          <w:color w:val="000000"/>
          <w:spacing w:val="0"/>
          <w:w w:val="100"/>
          <w:position w:val="0"/>
        </w:rPr>
        <w:t xml:space="preserve">东省济南市历城区人民法院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历城民初字第</w:t>
      </w:r>
      <w:r>
        <w:rPr>
          <w:rFonts w:ascii="Times New Roman" w:hAnsi="Times New Roman" w:eastAsia="Times New Roman" w:cs="Times New Roman"/>
          <w:color w:val="000000"/>
          <w:spacing w:val="0"/>
          <w:w w:val="100"/>
          <w:position w:val="0"/>
          <w:sz w:val="17"/>
          <w:szCs w:val="17"/>
        </w:rPr>
        <w:t>3313</w:t>
      </w:r>
      <w:r>
        <w:rPr>
          <w:color w:val="000000"/>
          <w:spacing w:val="0"/>
          <w:w w:val="100"/>
          <w:position w:val="0"/>
        </w:rPr>
        <w:t>号民事判决书］。</w:t>
      </w:r>
    </w:p>
    <w:p w14:paraId="447D8450">
      <w:pPr>
        <w:pStyle w:val="17"/>
        <w:keepNext w:val="0"/>
        <w:keepLines w:val="0"/>
        <w:widowControl w:val="0"/>
        <w:shd w:val="clear" w:color="auto" w:fill="auto"/>
        <w:bidi w:val="0"/>
        <w:spacing w:before="0" w:after="160" w:line="340"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本裁判的参考意义及将来的课题</w:t>
      </w:r>
    </w:p>
    <w:p w14:paraId="240785A6">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本裁判刻意回避金钱</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”原理</w:t>
      </w:r>
      <w:r>
        <w:rPr>
          <w:color w:val="000000"/>
          <w:spacing w:val="0"/>
          <w:w w:val="100"/>
          <w:position w:val="0"/>
        </w:rPr>
        <w:t>，在法律效果上与直接放弃或否定该原理并无 区别，针对向被冻结账户错误转账之情形,本裁判确立了</w:t>
      </w:r>
      <w:r>
        <w:rPr>
          <w:color w:val="000000"/>
          <w:spacing w:val="0"/>
          <w:w w:val="100"/>
          <w:position w:val="0"/>
          <w:lang w:val="zh-CN" w:eastAsia="zh-CN" w:bidi="zh-CN"/>
        </w:rPr>
        <w:t>“转出</w:t>
      </w:r>
      <w:r>
        <w:rPr>
          <w:color w:val="000000"/>
          <w:spacing w:val="0"/>
          <w:w w:val="100"/>
          <w:position w:val="0"/>
        </w:rPr>
        <w:t>方对误转金额拥有价值返还 请求权，并足以排除他人强制执行</w:t>
      </w:r>
      <w:r>
        <w:rPr>
          <w:color w:val="000000"/>
          <w:spacing w:val="0"/>
          <w:w w:val="100"/>
          <w:position w:val="0"/>
          <w:lang w:val="zh-CN" w:eastAsia="zh-CN" w:bidi="zh-CN"/>
        </w:rPr>
        <w:t>”的</w:t>
      </w:r>
      <w:r>
        <w:rPr>
          <w:color w:val="000000"/>
          <w:spacing w:val="0"/>
          <w:w w:val="100"/>
          <w:position w:val="0"/>
        </w:rPr>
        <w:t>规则，该裁判规则也可以适用于权利人的金钱被他人 占有、发生混同但能确定该金钱价值尚且留存的其他情形;另外，请求返还金钱价值的对象 也可扩及于不能善意取得金钱的第三人。但是，若能确定权利人的金钱价值已转化为动 产、不动产等其他财产形态,权利人能否对这些</w:t>
      </w:r>
      <w:r>
        <w:rPr>
          <w:color w:val="000000"/>
          <w:spacing w:val="0"/>
          <w:w w:val="100"/>
          <w:position w:val="0"/>
          <w:lang w:val="zh-CN" w:eastAsia="zh-CN" w:bidi="zh-CN"/>
        </w:rPr>
        <w:t>“变</w:t>
      </w:r>
      <w:r>
        <w:rPr>
          <w:color w:val="000000"/>
          <w:spacing w:val="0"/>
          <w:w w:val="100"/>
          <w:position w:val="0"/>
        </w:rPr>
        <w:t>形价值</w:t>
      </w:r>
      <w:r>
        <w:rPr>
          <w:color w:val="000000"/>
          <w:spacing w:val="0"/>
          <w:w w:val="100"/>
          <w:position w:val="0"/>
          <w:lang w:val="zh-CN" w:eastAsia="zh-CN" w:bidi="zh-CN"/>
        </w:rPr>
        <w:t>”主张</w:t>
      </w:r>
      <w:r>
        <w:rPr>
          <w:color w:val="000000"/>
          <w:spacing w:val="0"/>
          <w:w w:val="100"/>
          <w:position w:val="0"/>
        </w:rPr>
        <w:t>物权？尤其是，若混同后的 金钱进进出出，如何判断权利人的金钱价值是否留存以及留存的具体金额,都是值得进一 步深入研究的课题。</w:t>
      </w:r>
    </w:p>
    <w:p w14:paraId="26EB973C">
      <w:pPr>
        <w:pStyle w:val="17"/>
        <w:keepNext w:val="0"/>
        <w:keepLines w:val="0"/>
        <w:widowControl w:val="0"/>
        <w:shd w:val="clear" w:color="auto" w:fill="auto"/>
        <w:bidi w:val="0"/>
        <w:spacing w:before="0" w:after="80" w:line="340" w:lineRule="exact"/>
        <w:ind w:left="0" w:right="0" w:firstLine="0"/>
        <w:jc w:val="left"/>
      </w:pPr>
      <w:r>
        <w:rPr>
          <w:color w:val="000000"/>
          <w:spacing w:val="0"/>
          <w:w w:val="100"/>
          <w:position w:val="0"/>
        </w:rPr>
        <w:t>回参考文献</w:t>
      </w:r>
    </w:p>
    <w:p w14:paraId="58869D9A">
      <w:pPr>
        <w:pStyle w:val="25"/>
        <w:keepNext w:val="0"/>
        <w:keepLines w:val="0"/>
        <w:widowControl w:val="0"/>
        <w:shd w:val="clear" w:color="auto" w:fill="auto"/>
        <w:bidi w:val="0"/>
        <w:spacing w:before="0" w:after="0" w:line="307" w:lineRule="exact"/>
        <w:ind w:left="180" w:right="0" w:hanging="180"/>
        <w:jc w:val="both"/>
        <w:rPr>
          <w:sz w:val="18"/>
          <w:szCs w:val="18"/>
        </w:rPr>
      </w:pPr>
      <w:r>
        <w:rPr>
          <w:rFonts w:ascii="宋体" w:hAnsi="宋体" w:eastAsia="宋体" w:cs="宋体"/>
          <w:color w:val="000000"/>
          <w:spacing w:val="0"/>
          <w:w w:val="100"/>
          <w:position w:val="0"/>
          <w:sz w:val="18"/>
          <w:szCs w:val="18"/>
          <w:lang w:val="zh-TW" w:eastAsia="zh-TW" w:bidi="zh-TW"/>
        </w:rPr>
        <w:t>《最高院晏景法官：</w:t>
      </w:r>
      <w:r>
        <w:rPr>
          <w:rFonts w:ascii="宋体" w:hAnsi="宋体" w:eastAsia="宋体" w:cs="宋体"/>
          <w:color w:val="000000"/>
          <w:spacing w:val="0"/>
          <w:w w:val="100"/>
          <w:position w:val="0"/>
          <w:sz w:val="18"/>
          <w:szCs w:val="18"/>
          <w:lang w:val="zh-CN" w:eastAsia="zh-CN" w:bidi="zh-CN"/>
        </w:rPr>
        <w:t>“占有</w:t>
      </w:r>
      <w:r>
        <w:rPr>
          <w:rFonts w:ascii="宋体" w:hAnsi="宋体" w:eastAsia="宋体" w:cs="宋体"/>
          <w:color w:val="000000"/>
          <w:spacing w:val="0"/>
          <w:w w:val="100"/>
          <w:position w:val="0"/>
          <w:sz w:val="18"/>
          <w:szCs w:val="18"/>
          <w:lang w:val="zh-TW" w:eastAsia="zh-TW" w:bidi="zh-TW"/>
        </w:rPr>
        <w:t>即所有</w:t>
      </w:r>
      <w:r>
        <w:rPr>
          <w:rFonts w:ascii="宋体" w:hAnsi="宋体" w:eastAsia="宋体" w:cs="宋体"/>
          <w:color w:val="000000"/>
          <w:spacing w:val="0"/>
          <w:w w:val="100"/>
          <w:position w:val="0"/>
          <w:sz w:val="18"/>
          <w:szCs w:val="18"/>
          <w:lang w:val="zh-CN" w:eastAsia="zh-CN" w:bidi="zh-CN"/>
        </w:rPr>
        <w:t>”不</w:t>
      </w:r>
      <w:r>
        <w:rPr>
          <w:rFonts w:ascii="宋体" w:hAnsi="宋体" w:eastAsia="宋体" w:cs="宋体"/>
          <w:color w:val="000000"/>
          <w:spacing w:val="0"/>
          <w:w w:val="100"/>
          <w:position w:val="0"/>
          <w:sz w:val="18"/>
          <w:szCs w:val="18"/>
          <w:lang w:val="zh-TW" w:eastAsia="zh-TW" w:bidi="zh-TW"/>
        </w:rPr>
        <w:t>应做形而上的理解》，载个人图书馆:</w:t>
      </w:r>
      <w:r>
        <w:rPr>
          <w:rFonts w:ascii="Times New Roman" w:hAnsi="Times New Roman" w:eastAsia="Times New Roman" w:cs="Times New Roman"/>
          <w:color w:val="000000"/>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lang w:val="zh-TW" w:eastAsia="zh-TW" w:bidi="zh-TW"/>
        </w:rPr>
        <w:t>:</w:t>
      </w:r>
      <w:r>
        <w:rPr>
          <w:rFonts w:ascii="Times New Roman" w:hAnsi="Times New Roman" w:eastAsia="Times New Roman" w:cs="Times New Roman"/>
          <w:color w:val="000000"/>
          <w:spacing w:val="0"/>
          <w:w w:val="100"/>
          <w:position w:val="0"/>
          <w:sz w:val="17"/>
          <w:szCs w:val="17"/>
          <w:lang w:val="en-US" w:eastAsia="en-US" w:bidi="en-US"/>
        </w:rPr>
        <w:t>//www. 360doc. com/con- tent/1</w:t>
      </w:r>
      <w:r>
        <w:rPr>
          <w:rFonts w:ascii="Times New Roman" w:hAnsi="Times New Roman" w:eastAsia="Times New Roman" w:cs="Times New Roman"/>
          <w:color w:val="000000"/>
          <w:spacing w:val="0"/>
          <w:w w:val="100"/>
          <w:position w:val="0"/>
          <w:sz w:val="17"/>
          <w:szCs w:val="17"/>
          <w:lang w:val="zh-TW" w:eastAsia="zh-TW" w:bidi="zh-TW"/>
        </w:rPr>
        <w:t>8/05</w:t>
      </w:r>
      <w:r>
        <w:rPr>
          <w:rFonts w:ascii="Times New Roman" w:hAnsi="Times New Roman" w:eastAsia="Times New Roman" w:cs="Times New Roman"/>
          <w:color w:val="000000"/>
          <w:spacing w:val="0"/>
          <w:w w:val="100"/>
          <w:position w:val="0"/>
          <w:sz w:val="17"/>
          <w:szCs w:val="17"/>
          <w:lang w:val="en-US" w:eastAsia="en-US" w:bidi="en-US"/>
        </w:rPr>
        <w:t>16</w:t>
      </w:r>
      <w:r>
        <w:rPr>
          <w:rFonts w:ascii="Times New Roman" w:hAnsi="Times New Roman" w:eastAsia="Times New Roman" w:cs="Times New Roman"/>
          <w:color w:val="000000"/>
          <w:spacing w:val="0"/>
          <w:w w:val="100"/>
          <w:position w:val="0"/>
          <w:sz w:val="17"/>
          <w:szCs w:val="17"/>
          <w:lang w:val="zh-TW" w:eastAsia="zh-TW" w:bidi="zh-TW"/>
        </w:rPr>
        <w:t>/</w:t>
      </w:r>
      <w:r>
        <w:rPr>
          <w:rFonts w:ascii="Times New Roman" w:hAnsi="Times New Roman" w:eastAsia="Times New Roman" w:cs="Times New Roman"/>
          <w:color w:val="000000"/>
          <w:spacing w:val="0"/>
          <w:w w:val="100"/>
          <w:position w:val="0"/>
          <w:sz w:val="17"/>
          <w:szCs w:val="17"/>
          <w:lang w:val="en-US" w:eastAsia="en-US" w:bidi="en-US"/>
        </w:rPr>
        <w:t xml:space="preserve">12/55289765_754377947. shtml,2020 </w:t>
      </w:r>
      <w:r>
        <w:rPr>
          <w:rFonts w:ascii="宋体" w:hAnsi="宋体" w:eastAsia="宋体" w:cs="宋体"/>
          <w:color w:val="000000"/>
          <w:spacing w:val="0"/>
          <w:w w:val="100"/>
          <w:position w:val="0"/>
          <w:sz w:val="18"/>
          <w:szCs w:val="18"/>
          <w:lang w:val="zh-TW" w:eastAsia="zh-TW" w:bidi="zh-TW"/>
        </w:rPr>
        <w:t xml:space="preserve">年 </w:t>
      </w:r>
      <w:r>
        <w:rPr>
          <w:rFonts w:ascii="Times New Roman" w:hAnsi="Times New Roman" w:eastAsia="Times New Roman" w:cs="Times New Roman"/>
          <w:color w:val="000000"/>
          <w:spacing w:val="0"/>
          <w:w w:val="100"/>
          <w:position w:val="0"/>
          <w:sz w:val="17"/>
          <w:szCs w:val="17"/>
          <w:lang w:val="en-US" w:eastAsia="en-US" w:bidi="en-US"/>
        </w:rPr>
        <w:t xml:space="preserve">4 </w:t>
      </w:r>
      <w:r>
        <w:rPr>
          <w:rFonts w:ascii="宋体" w:hAnsi="宋体" w:eastAsia="宋体" w:cs="宋体"/>
          <w:color w:val="000000"/>
          <w:spacing w:val="0"/>
          <w:w w:val="100"/>
          <w:position w:val="0"/>
          <w:sz w:val="18"/>
          <w:szCs w:val="18"/>
          <w:lang w:val="zh-TW" w:eastAsia="zh-TW" w:bidi="zh-TW"/>
        </w:rPr>
        <w:t xml:space="preserve">月 </w:t>
      </w:r>
      <w:r>
        <w:rPr>
          <w:rFonts w:ascii="Times New Roman" w:hAnsi="Times New Roman" w:eastAsia="Times New Roman" w:cs="Times New Roman"/>
          <w:color w:val="000000"/>
          <w:spacing w:val="0"/>
          <w:w w:val="100"/>
          <w:position w:val="0"/>
          <w:sz w:val="17"/>
          <w:szCs w:val="17"/>
          <w:lang w:val="en-US" w:eastAsia="en-US" w:bidi="en-US"/>
        </w:rPr>
        <w:t xml:space="preserve">16 </w:t>
      </w:r>
      <w:r>
        <w:rPr>
          <w:rFonts w:ascii="宋体" w:hAnsi="宋体" w:eastAsia="宋体" w:cs="宋体"/>
          <w:color w:val="000000"/>
          <w:spacing w:val="0"/>
          <w:w w:val="100"/>
          <w:position w:val="0"/>
          <w:sz w:val="18"/>
          <w:szCs w:val="18"/>
          <w:lang w:val="zh-TW" w:eastAsia="zh-TW" w:bidi="zh-TW"/>
        </w:rPr>
        <w:t>日最后访问。</w:t>
      </w:r>
    </w:p>
    <w:p w14:paraId="04945D3D">
      <w:pPr>
        <w:pStyle w:val="17"/>
        <w:keepNext w:val="0"/>
        <w:keepLines w:val="0"/>
        <w:widowControl w:val="0"/>
        <w:shd w:val="clear" w:color="auto" w:fill="auto"/>
        <w:bidi w:val="0"/>
        <w:spacing w:before="0" w:after="0" w:line="307" w:lineRule="exact"/>
        <w:ind w:left="0" w:right="0" w:firstLine="0"/>
        <w:jc w:val="left"/>
      </w:pPr>
      <w:r>
        <w:rPr>
          <w:color w:val="000000"/>
          <w:spacing w:val="0"/>
          <w:w w:val="100"/>
          <w:position w:val="0"/>
        </w:rPr>
        <w:t>孙鹏:《金钱</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w:t>
      </w:r>
      <w:r>
        <w:rPr>
          <w:color w:val="000000"/>
          <w:spacing w:val="0"/>
          <w:w w:val="100"/>
          <w:position w:val="0"/>
        </w:rPr>
        <w:t>理批判及权利流转规则之重塑》，载《法学研究》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1186CD58">
      <w:pPr>
        <w:pStyle w:val="17"/>
        <w:keepNext w:val="0"/>
        <w:keepLines w:val="0"/>
        <w:widowControl w:val="0"/>
        <w:shd w:val="clear" w:color="auto" w:fill="auto"/>
        <w:bidi w:val="0"/>
        <w:spacing w:before="0" w:after="0" w:line="295" w:lineRule="exact"/>
        <w:ind w:left="180" w:right="0" w:hanging="180"/>
        <w:jc w:val="both"/>
      </w:pPr>
      <w:r>
        <w:rPr>
          <w:color w:val="000000"/>
          <w:spacing w:val="0"/>
          <w:w w:val="100"/>
          <w:position w:val="0"/>
        </w:rPr>
        <w:t>朱晓詰:《存款货币的权利归属与返还请求权——反思民法上货币</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”法则</w:t>
      </w:r>
      <w:r>
        <w:rPr>
          <w:color w:val="000000"/>
          <w:spacing w:val="0"/>
          <w:w w:val="100"/>
          <w:position w:val="0"/>
        </w:rPr>
        <w:t>的司法运用》，载 《法学研究》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053303E">
      <w:pPr>
        <w:pStyle w:val="17"/>
        <w:keepNext w:val="0"/>
        <w:keepLines w:val="0"/>
        <w:widowControl w:val="0"/>
        <w:shd w:val="clear" w:color="auto" w:fill="auto"/>
        <w:bidi w:val="0"/>
        <w:spacing w:before="0" w:after="40" w:line="312" w:lineRule="exact"/>
        <w:ind w:left="0" w:right="0" w:firstLine="0"/>
        <w:jc w:val="both"/>
        <w:sectPr>
          <w:headerReference r:id="rId224" w:type="default"/>
          <w:headerReference r:id="rId225" w:type="even"/>
          <w:footnotePr>
            <w:numFmt w:val="chicago"/>
          </w:footnotePr>
          <w:pgSz w:w="10099" w:h="14782"/>
          <w:pgMar w:top="1322" w:right="946" w:bottom="1003" w:left="1079" w:header="0" w:footer="575" w:gutter="0"/>
          <w:pgNumType w:start="170"/>
          <w:cols w:space="720" w:num="1"/>
          <w:rtlGutter w:val="0"/>
          <w:docGrid w:linePitch="360" w:charSpace="0"/>
        </w:sectPr>
      </w:pPr>
      <w:r>
        <w:rPr>
          <w:color w:val="000000"/>
          <w:spacing w:val="0"/>
          <w:w w:val="100"/>
          <w:position w:val="0"/>
        </w:rPr>
        <w:t>金印：《论货币作为所有物返还请求权客体的可行性——兼论抛弃</w:t>
      </w:r>
      <w:r>
        <w:rPr>
          <w:color w:val="000000"/>
          <w:spacing w:val="0"/>
          <w:w w:val="100"/>
          <w:position w:val="0"/>
          <w:lang w:val="zh-CN" w:eastAsia="zh-CN" w:bidi="zh-CN"/>
        </w:rPr>
        <w:t>“货币</w:t>
      </w:r>
      <w:r>
        <w:rPr>
          <w:color w:val="000000"/>
          <w:spacing w:val="0"/>
          <w:w w:val="100"/>
          <w:position w:val="0"/>
        </w:rPr>
        <w:t>占有即所有</w:t>
      </w:r>
      <w:r>
        <w:rPr>
          <w:color w:val="000000"/>
          <w:spacing w:val="0"/>
          <w:w w:val="100"/>
          <w:position w:val="0"/>
          <w:lang w:val="zh-CN" w:eastAsia="zh-CN" w:bidi="zh-CN"/>
        </w:rPr>
        <w:t>”原则</w:t>
      </w:r>
      <w:r>
        <w:rPr>
          <w:color w:val="000000"/>
          <w:spacing w:val="0"/>
          <w:w w:val="100"/>
          <w:position w:val="0"/>
        </w:rPr>
        <w:t>的必要性》, 载龙卫球、王文杰主编：《两岸民商法前沿——民法典编纂与创制发展》，中国法制出版社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 其木提:《货币所有权归属及其流转规则——对</w:t>
      </w:r>
      <w:r>
        <w:rPr>
          <w:color w:val="000000"/>
          <w:spacing w:val="0"/>
          <w:w w:val="100"/>
          <w:position w:val="0"/>
          <w:lang w:val="zh-CN" w:eastAsia="zh-CN" w:bidi="zh-CN"/>
        </w:rPr>
        <w:t>“占有</w:t>
      </w:r>
      <w:r>
        <w:rPr>
          <w:color w:val="000000"/>
          <w:spacing w:val="0"/>
          <w:w w:val="100"/>
          <w:position w:val="0"/>
        </w:rPr>
        <w:t>即所有</w:t>
      </w:r>
      <w:r>
        <w:rPr>
          <w:color w:val="000000"/>
          <w:spacing w:val="0"/>
          <w:w w:val="100"/>
          <w:position w:val="0"/>
          <w:lang w:val="zh-CN" w:eastAsia="zh-CN" w:bidi="zh-CN"/>
        </w:rPr>
        <w:t>”原</w:t>
      </w:r>
      <w:r>
        <w:rPr>
          <w:color w:val="000000"/>
          <w:spacing w:val="0"/>
          <w:w w:val="100"/>
          <w:position w:val="0"/>
        </w:rPr>
        <w:t>则的质疑》，载《法学》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77033FAF">
      <w:pPr>
        <w:widowControl w:val="0"/>
        <w:spacing w:line="129" w:lineRule="exact"/>
        <w:rPr>
          <w:sz w:val="10"/>
          <w:szCs w:val="10"/>
        </w:rPr>
      </w:pPr>
    </w:p>
    <w:p w14:paraId="5D40FA49">
      <w:pPr>
        <w:widowControl w:val="0"/>
        <w:spacing w:line="1" w:lineRule="exact"/>
        <w:sectPr>
          <w:headerReference r:id="rId226" w:type="default"/>
          <w:headerReference r:id="rId227" w:type="even"/>
          <w:footnotePr>
            <w:numFmt w:val="chicago"/>
          </w:footnotePr>
          <w:pgSz w:w="10099" w:h="14782"/>
          <w:pgMar w:top="1319" w:right="1079" w:bottom="1105" w:left="1023" w:header="0" w:footer="3" w:gutter="0"/>
          <w:pgNumType w:start="187"/>
          <w:cols w:space="720" w:num="1"/>
          <w:rtlGutter w:val="0"/>
          <w:docGrid w:linePitch="360" w:charSpace="0"/>
        </w:sectPr>
      </w:pPr>
    </w:p>
    <w:p w14:paraId="5748AB95">
      <w:pPr>
        <w:widowControl w:val="0"/>
        <w:spacing w:line="1" w:lineRule="exact"/>
      </w:pPr>
      <w:r>
        <mc:AlternateContent>
          <mc:Choice Requires="wps">
            <w:drawing>
              <wp:anchor distT="0" distB="66040" distL="0" distR="0" simplePos="0" relativeHeight="251660288" behindDoc="0" locked="0" layoutInCell="1" allowOverlap="1">
                <wp:simplePos x="0" y="0"/>
                <wp:positionH relativeFrom="page">
                  <wp:posOffset>716280</wp:posOffset>
                </wp:positionH>
                <wp:positionV relativeFrom="paragraph">
                  <wp:posOffset>0</wp:posOffset>
                </wp:positionV>
                <wp:extent cx="449580" cy="304800"/>
                <wp:effectExtent l="0" t="0" r="0" b="0"/>
                <wp:wrapTopAndBottom/>
                <wp:docPr id="511" name="Shape 511"/>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135A5D6F">
                            <w:pPr>
                              <w:pStyle w:val="27"/>
                              <w:keepNext/>
                              <w:keepLines/>
                              <w:widowControl w:val="0"/>
                              <w:shd w:val="clear" w:color="auto" w:fill="auto"/>
                              <w:bidi w:val="0"/>
                              <w:spacing w:before="0" w:after="0" w:line="240" w:lineRule="auto"/>
                              <w:ind w:left="0" w:right="0" w:firstLine="0"/>
                              <w:jc w:val="both"/>
                            </w:pPr>
                            <w:bookmarkStart w:id="360" w:name="bookmark224"/>
                            <w:bookmarkStart w:id="361" w:name="bookmark225"/>
                            <w:bookmarkStart w:id="362" w:name="bookmark223"/>
                            <w:r>
                              <w:rPr>
                                <w:rFonts w:ascii="Times New Roman" w:hAnsi="Times New Roman" w:eastAsia="Times New Roman" w:cs="Times New Roman"/>
                                <w:color w:val="000000"/>
                                <w:spacing w:val="0"/>
                                <w:w w:val="100"/>
                                <w:position w:val="0"/>
                              </w:rPr>
                              <w:t>035</w:t>
                            </w:r>
                            <w:bookmarkEnd w:id="360"/>
                            <w:bookmarkEnd w:id="361"/>
                            <w:bookmarkEnd w:id="362"/>
                          </w:p>
                        </w:txbxContent>
                      </wps:txbx>
                      <wps:bodyPr wrap="none" lIns="0" tIns="0" rIns="0" bIns="0">
                        <a:noAutofit/>
                      </wps:bodyPr>
                    </wps:wsp>
                  </a:graphicData>
                </a:graphic>
              </wp:anchor>
            </w:drawing>
          </mc:Choice>
          <mc:Fallback>
            <w:pict>
              <v:shape id="Shape 511" o:spid="_x0000_s1026" o:spt="202" type="#_x0000_t202" style="position:absolute;left:0pt;margin-left:56.4pt;margin-top:0pt;height:24pt;width:35.4pt;mso-position-horizontal-relative:page;mso-wrap-distance-bottom:5.2pt;mso-wrap-distance-top:0pt;mso-wrap-style:none;z-index:251660288;mso-width-relative:page;mso-height-relative:page;" filled="f" stroked="f" coordsize="21600,21600" o:gfxdata="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LLgqW0wAAAAcB&#10;AAAPAAAAAAAAAAEAIAAAACIAAABkcnMvZG93bnJldi54bWxQSwECFAAUAAAACACHTuJAjgpbAa4B&#10;AABzAwAADgAAAAAAAAABACAAAAAiAQAAZHJzL2Uyb0RvYy54bWxQSwUGAAAAAAYABgBZAQAAQgUA&#10;AAAA&#10;">
                <v:fill on="f" focussize="0,0"/>
                <v:stroke on="f"/>
                <v:imagedata o:title=""/>
                <o:lock v:ext="edit" aspectratio="f"/>
                <v:textbox inset="0mm,0mm,0mm,0mm">
                  <w:txbxContent>
                    <w:p w14:paraId="135A5D6F">
                      <w:pPr>
                        <w:pStyle w:val="27"/>
                        <w:keepNext/>
                        <w:keepLines/>
                        <w:widowControl w:val="0"/>
                        <w:shd w:val="clear" w:color="auto" w:fill="auto"/>
                        <w:bidi w:val="0"/>
                        <w:spacing w:before="0" w:after="0" w:line="240" w:lineRule="auto"/>
                        <w:ind w:left="0" w:right="0" w:firstLine="0"/>
                        <w:jc w:val="both"/>
                      </w:pPr>
                      <w:bookmarkStart w:id="360" w:name="bookmark224"/>
                      <w:bookmarkStart w:id="361" w:name="bookmark225"/>
                      <w:bookmarkStart w:id="362" w:name="bookmark223"/>
                      <w:r>
                        <w:rPr>
                          <w:rFonts w:ascii="Times New Roman" w:hAnsi="Times New Roman" w:eastAsia="Times New Roman" w:cs="Times New Roman"/>
                          <w:color w:val="000000"/>
                          <w:spacing w:val="0"/>
                          <w:w w:val="100"/>
                          <w:position w:val="0"/>
                        </w:rPr>
                        <w:t>035</w:t>
                      </w:r>
                      <w:bookmarkEnd w:id="360"/>
                      <w:bookmarkEnd w:id="361"/>
                      <w:bookmarkEnd w:id="362"/>
                    </w:p>
                  </w:txbxContent>
                </v:textbox>
                <w10:wrap type="topAndBottom"/>
              </v:shape>
            </w:pict>
          </mc:Fallback>
        </mc:AlternateContent>
      </w:r>
      <w:r>
        <mc:AlternateContent>
          <mc:Choice Requires="wps">
            <w:drawing>
              <wp:anchor distT="83820" distB="50800" distL="0" distR="0" simplePos="0" relativeHeight="251660288" behindDoc="0" locked="0" layoutInCell="1" allowOverlap="1">
                <wp:simplePos x="0" y="0"/>
                <wp:positionH relativeFrom="page">
                  <wp:posOffset>1296670</wp:posOffset>
                </wp:positionH>
                <wp:positionV relativeFrom="paragraph">
                  <wp:posOffset>83820</wp:posOffset>
                </wp:positionV>
                <wp:extent cx="1616710" cy="236220"/>
                <wp:effectExtent l="0" t="0" r="0" b="0"/>
                <wp:wrapTopAndBottom/>
                <wp:docPr id="513" name="Shape 513"/>
                <wp:cNvGraphicFramePr/>
                <a:graphic xmlns:a="http://schemas.openxmlformats.org/drawingml/2006/main">
                  <a:graphicData uri="http://schemas.microsoft.com/office/word/2010/wordprocessingShape">
                    <wps:wsp>
                      <wps:cNvSpPr txBox="1"/>
                      <wps:spPr>
                        <a:xfrm>
                          <a:off x="0" y="0"/>
                          <a:ext cx="1616710" cy="236220"/>
                        </a:xfrm>
                        <a:prstGeom prst="rect">
                          <a:avLst/>
                        </a:prstGeom>
                        <a:noFill/>
                      </wps:spPr>
                      <wps:txbx>
                        <w:txbxContent>
                          <w:p w14:paraId="65FCDC9E">
                            <w:pPr>
                              <w:pStyle w:val="15"/>
                              <w:keepNext/>
                              <w:keepLines/>
                              <w:widowControl w:val="0"/>
                              <w:shd w:val="clear" w:color="auto" w:fill="auto"/>
                              <w:bidi w:val="0"/>
                              <w:spacing w:before="0" w:after="0" w:line="240" w:lineRule="auto"/>
                              <w:ind w:left="0" w:right="0" w:firstLine="0"/>
                              <w:jc w:val="left"/>
                            </w:pPr>
                            <w:bookmarkStart w:id="363" w:name="bookmark227"/>
                            <w:bookmarkStart w:id="364" w:name="bookmark228"/>
                            <w:bookmarkStart w:id="365" w:name="bookmark226"/>
                            <w:r>
                              <w:rPr>
                                <w:color w:val="000000"/>
                                <w:spacing w:val="0"/>
                                <w:w w:val="100"/>
                                <w:position w:val="0"/>
                              </w:rPr>
                              <w:t>乌木的所有权归属</w:t>
                            </w:r>
                            <w:bookmarkEnd w:id="363"/>
                            <w:bookmarkEnd w:id="364"/>
                            <w:bookmarkEnd w:id="365"/>
                          </w:p>
                        </w:txbxContent>
                      </wps:txbx>
                      <wps:bodyPr wrap="none" lIns="0" tIns="0" rIns="0" bIns="0">
                        <a:noAutofit/>
                      </wps:bodyPr>
                    </wps:wsp>
                  </a:graphicData>
                </a:graphic>
              </wp:anchor>
            </w:drawing>
          </mc:Choice>
          <mc:Fallback>
            <w:pict>
              <v:shape id="Shape 513" o:spid="_x0000_s1026" o:spt="202" type="#_x0000_t202" style="position:absolute;left:0pt;margin-left:102.1pt;margin-top:6.6pt;height:18.6pt;width:127.3pt;mso-position-horizontal-relative:page;mso-wrap-distance-bottom:4pt;mso-wrap-distance-top:6.6pt;mso-wrap-style:none;z-index:251660288;mso-width-relative:page;mso-height-relative:page;" filled="f" stroked="f" coordsize="21600,21600" o:gfxdata="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szFZM1gAA&#10;AAkBAAAPAAAAAAAAAAEAIAAAACIAAABkcnMvZG93bnJldi54bWxQSwECFAAUAAAACACHTuJAdmqi&#10;oK4BAAB0AwAADgAAAAAAAAABACAAAAAlAQAAZHJzL2Uyb0RvYy54bWxQSwUGAAAAAAYABgBZAQAA&#10;RQUAAAAA&#10;">
                <v:fill on="f" focussize="0,0"/>
                <v:stroke on="f"/>
                <v:imagedata o:title=""/>
                <o:lock v:ext="edit" aspectratio="f"/>
                <v:textbox inset="0mm,0mm,0mm,0mm">
                  <w:txbxContent>
                    <w:p w14:paraId="65FCDC9E">
                      <w:pPr>
                        <w:pStyle w:val="15"/>
                        <w:keepNext/>
                        <w:keepLines/>
                        <w:widowControl w:val="0"/>
                        <w:shd w:val="clear" w:color="auto" w:fill="auto"/>
                        <w:bidi w:val="0"/>
                        <w:spacing w:before="0" w:after="0" w:line="240" w:lineRule="auto"/>
                        <w:ind w:left="0" w:right="0" w:firstLine="0"/>
                        <w:jc w:val="left"/>
                      </w:pPr>
                      <w:bookmarkStart w:id="363" w:name="bookmark227"/>
                      <w:bookmarkStart w:id="364" w:name="bookmark228"/>
                      <w:bookmarkStart w:id="365" w:name="bookmark226"/>
                      <w:r>
                        <w:rPr>
                          <w:color w:val="000000"/>
                          <w:spacing w:val="0"/>
                          <w:w w:val="100"/>
                          <w:position w:val="0"/>
                        </w:rPr>
                        <w:t>乌木的所有权归属</w:t>
                      </w:r>
                      <w:bookmarkEnd w:id="363"/>
                      <w:bookmarkEnd w:id="364"/>
                      <w:bookmarkEnd w:id="365"/>
                    </w:p>
                  </w:txbxContent>
                </v:textbox>
                <w10:wrap type="topAndBottom"/>
              </v:shape>
            </w:pict>
          </mc:Fallback>
        </mc:AlternateContent>
      </w:r>
    </w:p>
    <w:p w14:paraId="5596D352">
      <w:pPr>
        <w:pStyle w:val="17"/>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吴高亮、吴高惠诉四川省彭州市通济镇人民政府</w:t>
      </w:r>
      <w:r>
        <w:rPr>
          <w:color w:val="000000"/>
          <w:spacing w:val="0"/>
          <w:w w:val="100"/>
          <w:position w:val="0"/>
          <w:lang w:val="zh-CN" w:eastAsia="zh-CN" w:bidi="zh-CN"/>
        </w:rPr>
        <w:t>“乌木”行</w:t>
      </w:r>
      <w:r>
        <w:rPr>
          <w:color w:val="000000"/>
          <w:spacing w:val="0"/>
          <w:w w:val="100"/>
          <w:position w:val="0"/>
        </w:rPr>
        <w:t>政纠纷上诉案</w:t>
      </w:r>
    </w:p>
    <w:p w14:paraId="5E97680B">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金可可</w:t>
      </w:r>
      <w:r>
        <w:rPr>
          <w:color w:val="000000"/>
          <w:spacing w:val="0"/>
          <w:w w:val="100"/>
          <w:position w:val="0"/>
        </w:rPr>
        <w:t>华东政法大学法律学院</w:t>
      </w:r>
    </w:p>
    <w:p w14:paraId="249D807E">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02F520A6">
      <w:pPr>
        <w:pStyle w:val="17"/>
        <w:keepNext w:val="0"/>
        <w:keepLines w:val="0"/>
        <w:widowControl w:val="0"/>
        <w:shd w:val="clear" w:color="auto" w:fill="auto"/>
        <w:bidi w:val="0"/>
        <w:spacing w:before="0" w:after="0" w:line="341" w:lineRule="exact"/>
        <w:ind w:left="0" w:right="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日，四川省彭州市农民吴高亮，无意中在自己家附近的河渠（另一种说法 为吴高亮自家的土地承包地）中发现</w:t>
      </w:r>
      <w:r>
        <w:rPr>
          <w:color w:val="000000"/>
          <w:spacing w:val="0"/>
          <w:w w:val="100"/>
          <w:position w:val="0"/>
          <w:lang w:val="zh-CN" w:eastAsia="zh-CN" w:bidi="zh-CN"/>
        </w:rPr>
        <w:t>“乌木”，吴</w:t>
      </w:r>
      <w:r>
        <w:rPr>
          <w:color w:val="000000"/>
          <w:spacing w:val="0"/>
          <w:w w:val="100"/>
          <w:position w:val="0"/>
        </w:rPr>
        <w:t>高亮随即租借了一台挖掘机，并于当天下午 在自家承包地里进行挖掘。其中一根乌木长达</w:t>
      </w:r>
      <w:r>
        <w:rPr>
          <w:rFonts w:ascii="Times New Roman" w:hAnsi="Times New Roman" w:eastAsia="Times New Roman" w:cs="Times New Roman"/>
          <w:color w:val="000000"/>
          <w:spacing w:val="0"/>
          <w:w w:val="100"/>
          <w:position w:val="0"/>
          <w:sz w:val="19"/>
          <w:szCs w:val="19"/>
        </w:rPr>
        <w:t>34</w:t>
      </w:r>
      <w:r>
        <w:rPr>
          <w:color w:val="000000"/>
          <w:spacing w:val="0"/>
          <w:w w:val="100"/>
          <w:position w:val="0"/>
        </w:rPr>
        <w:t>米,胸径约</w:t>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米，重达</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余吨,据专家 估算,其价值达数百万元人民币。在挖掘即将结束时，当地镇派出所强行制止了吴高亮的 挖掘行动，并将地里埋藏的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根乌木全部掘出收走,并宣称</w:t>
      </w:r>
      <w:r>
        <w:rPr>
          <w:color w:val="000000"/>
          <w:spacing w:val="0"/>
          <w:w w:val="100"/>
          <w:position w:val="0"/>
          <w:lang w:val="zh-CN" w:eastAsia="zh-CN" w:bidi="zh-CN"/>
        </w:rPr>
        <w:t>“乌木”归</w:t>
      </w:r>
      <w:r>
        <w:rPr>
          <w:color w:val="000000"/>
          <w:spacing w:val="0"/>
          <w:w w:val="100"/>
          <w:position w:val="0"/>
        </w:rPr>
        <w:t>当地政府所有。</w:t>
      </w:r>
    </w:p>
    <w:p w14:paraId="0468874C">
      <w:pPr>
        <w:pStyle w:val="17"/>
        <w:keepNext w:val="0"/>
        <w:keepLines w:val="0"/>
        <w:widowControl w:val="0"/>
        <w:shd w:val="clear" w:color="auto" w:fill="auto"/>
        <w:bidi w:val="0"/>
        <w:spacing w:before="0" w:after="0" w:line="341" w:lineRule="exact"/>
        <w:ind w:left="0" w:right="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日，彭州市国有资产办公室正式宣布:乌木归国家，奖励发现者</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万元，镇 政府奖励吴高亮</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万元，合计</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万元,并且镇政府可以考虑补偿吴高亮前期挖掘费用。</w:t>
      </w:r>
    </w:p>
    <w:p w14:paraId="7F7B735C">
      <w:pPr>
        <w:pStyle w:val="17"/>
        <w:keepNext w:val="0"/>
        <w:keepLines w:val="0"/>
        <w:widowControl w:val="0"/>
        <w:shd w:val="clear" w:color="auto" w:fill="auto"/>
        <w:bidi w:val="0"/>
        <w:spacing w:before="0" w:after="360" w:line="341" w:lineRule="exact"/>
        <w:ind w:left="0" w:right="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 xml:space="preserve">日，吴高亮与姐姐吴高惠将通济镇政府告上法庭，要求通济镇政府：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归还乌木;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赔偿因其保管不当致乌木损坏而造成的损失</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万元。</w:t>
      </w:r>
    </w:p>
    <w:p w14:paraId="01D16FD9">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0721A27">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驳回上诉，维持原判。</w:t>
      </w:r>
    </w:p>
    <w:p w14:paraId="19F1F8F8">
      <w:pPr>
        <w:pStyle w:val="17"/>
        <w:keepNext w:val="0"/>
        <w:keepLines w:val="0"/>
        <w:widowControl w:val="0"/>
        <w:shd w:val="clear" w:color="auto" w:fill="auto"/>
        <w:bidi w:val="0"/>
        <w:spacing w:before="0" w:after="0" w:line="343" w:lineRule="exact"/>
        <w:ind w:left="0" w:right="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日，成都市中院审理此案，双方就乌木是谁发掘、是否位于吴高亮的承 包地下和通济镇政府是否有非法行政行为三大焦点问题进行了举证。</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日成 都市中院作出裁定，驳回了吴高亮关于确认位于二原告承包地下并由原告发现发掘的</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根 乌木为原告所有的起诉，和吴高惠的全部起诉。法院认为，吴高亮请求确认</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根乌木由他所 有的诉讼请求，是确认权属纠纷，不属于行政审判的权限范围。同时对于吴高惠和吴高亮 提起的另外三项诉讼请求，即确认通济镇政府运走并扣押乌木的行政行为违法;要求镇政 府返还乌木;要求镇政府赔偿不当保管导致乌木损毁的损失,还将继续审理。但因随后原 告提起上诉，这三项诉讼请求与二审结果有关,且涉及法律适用问题，需要送有权机关作出 解释或确认，故法院裁定终止诉讼。</w:t>
      </w:r>
    </w:p>
    <w:p w14:paraId="5C806B06">
      <w:pPr>
        <w:pStyle w:val="17"/>
        <w:keepNext w:val="0"/>
        <w:keepLines w:val="0"/>
        <w:widowControl w:val="0"/>
        <w:shd w:val="clear" w:color="auto" w:fill="auto"/>
        <w:bidi w:val="0"/>
        <w:spacing w:before="0" w:after="220" w:line="358" w:lineRule="exact"/>
        <w:ind w:left="0" w:right="0"/>
        <w:jc w:val="both"/>
        <w:sectPr>
          <w:footnotePr>
            <w:numFmt w:val="chicago"/>
          </w:footnotePr>
          <w:type w:val="continuous"/>
          <w:pgSz w:w="10099" w:h="14782"/>
          <w:pgMar w:top="1319" w:right="1079" w:bottom="1105" w:left="1023" w:header="891" w:footer="677"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日，四川省高院作出终审判决，维持成都市中院一审裁定，驳回吴高恵、 吴高亮的上诉。</w:t>
      </w:r>
    </w:p>
    <w:p w14:paraId="3A0D23C3">
      <w:pPr>
        <w:pStyle w:val="11"/>
        <w:keepNext w:val="0"/>
        <w:keepLines w:val="0"/>
        <w:widowControl w:val="0"/>
        <w:shd w:val="clear" w:color="auto" w:fill="auto"/>
        <w:bidi w:val="0"/>
        <w:spacing w:before="0" w:after="140" w:line="343" w:lineRule="exact"/>
        <w:ind w:left="0" w:right="0" w:firstLine="0"/>
        <w:jc w:val="left"/>
      </w:pPr>
      <w:r>
        <w:rPr>
          <w:color w:val="000000"/>
          <w:spacing w:val="0"/>
          <w:w w:val="100"/>
          <w:position w:val="0"/>
        </w:rPr>
        <w:t>■评析</w:t>
      </w:r>
    </w:p>
    <w:p w14:paraId="3B471F62">
      <w:pPr>
        <w:pStyle w:val="17"/>
        <w:keepNext w:val="0"/>
        <w:keepLines w:val="0"/>
        <w:widowControl w:val="0"/>
        <w:shd w:val="clear" w:color="auto" w:fill="auto"/>
        <w:bidi w:val="0"/>
        <w:spacing w:before="0" w:after="140" w:line="343"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本裁定的思路和意义</w:t>
      </w:r>
    </w:p>
    <w:p w14:paraId="45187102">
      <w:pPr>
        <w:pStyle w:val="17"/>
        <w:keepNext w:val="0"/>
        <w:keepLines w:val="0"/>
        <w:widowControl w:val="0"/>
        <w:shd w:val="clear" w:color="auto" w:fill="auto"/>
        <w:bidi w:val="0"/>
        <w:spacing w:before="0" w:after="180" w:line="343" w:lineRule="exact"/>
        <w:ind w:left="0" w:right="0" w:firstLine="420"/>
        <w:jc w:val="both"/>
      </w:pPr>
      <w:r>
        <w:rPr>
          <w:color w:val="000000"/>
          <w:spacing w:val="0"/>
          <w:w w:val="100"/>
          <w:position w:val="0"/>
        </w:rPr>
        <w:t>本案是近年来关于乌木挖掘所生纠纷中社会影响最大的一起，引起各界的广泛关注, 然而法院却采取了避实就虚的做法，避谈乌木在民法上的所有权归属，而将问题转向行政 诉讼案件的审理范围。然此等权宜之策终非长久,时至今日司法裁判上对乌木的所有权归 属仍无定论,本案作为其典型代表，可谓是树立了 一个并不成功的标杆。</w:t>
      </w:r>
    </w:p>
    <w:p w14:paraId="2F4AF71E">
      <w:pPr>
        <w:pStyle w:val="17"/>
        <w:keepNext w:val="0"/>
        <w:keepLines w:val="0"/>
        <w:widowControl w:val="0"/>
        <w:shd w:val="clear" w:color="auto" w:fill="auto"/>
        <w:bidi w:val="0"/>
        <w:spacing w:before="0" w:after="140" w:line="343"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乌木所有权归属的学理分析</w:t>
      </w:r>
    </w:p>
    <w:p w14:paraId="5DF06AC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关于乌木的所有权归属，目前学理上主要存在</w:t>
      </w:r>
      <w:r>
        <w:rPr>
          <w:color w:val="000000"/>
          <w:spacing w:val="0"/>
          <w:w w:val="100"/>
          <w:position w:val="0"/>
          <w:lang w:val="zh-CN" w:eastAsia="zh-CN" w:bidi="zh-CN"/>
        </w:rPr>
        <w:t>“确认</w:t>
      </w:r>
      <w:r>
        <w:rPr>
          <w:color w:val="000000"/>
          <w:spacing w:val="0"/>
          <w:w w:val="100"/>
          <w:position w:val="0"/>
        </w:rPr>
        <w:t>说”和</w:t>
      </w:r>
      <w:r>
        <w:rPr>
          <w:color w:val="000000"/>
          <w:spacing w:val="0"/>
          <w:w w:val="100"/>
          <w:position w:val="0"/>
          <w:lang w:val="zh-CN" w:eastAsia="zh-CN" w:bidi="zh-CN"/>
        </w:rPr>
        <w:t>“取得</w:t>
      </w:r>
      <w:r>
        <w:rPr>
          <w:color w:val="000000"/>
          <w:spacing w:val="0"/>
          <w:w w:val="100"/>
          <w:position w:val="0"/>
        </w:rPr>
        <w:t>说”两大类。</w:t>
      </w:r>
      <w:r>
        <w:rPr>
          <w:color w:val="000000"/>
          <w:spacing w:val="0"/>
          <w:w w:val="100"/>
          <w:position w:val="0"/>
          <w:lang w:val="zh-CN" w:eastAsia="zh-CN" w:bidi="zh-CN"/>
        </w:rPr>
        <w:t xml:space="preserve">“确认 </w:t>
      </w:r>
      <w:r>
        <w:rPr>
          <w:color w:val="000000"/>
          <w:spacing w:val="0"/>
          <w:w w:val="100"/>
          <w:position w:val="0"/>
        </w:rPr>
        <w:t>说”主张将乌木定性为国家所有的文物、古生物化石或资源等</w:t>
      </w:r>
      <w:r>
        <w:rPr>
          <w:color w:val="000000"/>
          <w:spacing w:val="0"/>
          <w:w w:val="100"/>
          <w:position w:val="0"/>
          <w:lang w:val="zh-CN" w:eastAsia="zh-CN" w:bidi="zh-CN"/>
        </w:rPr>
        <w:t>，“取</w:t>
      </w:r>
      <w:r>
        <w:rPr>
          <w:color w:val="000000"/>
          <w:spacing w:val="0"/>
          <w:w w:val="100"/>
          <w:position w:val="0"/>
        </w:rPr>
        <w:t>得说</w:t>
      </w:r>
      <w:r>
        <w:rPr>
          <w:color w:val="000000"/>
          <w:spacing w:val="0"/>
          <w:w w:val="100"/>
          <w:position w:val="0"/>
          <w:lang w:val="zh-CN" w:eastAsia="zh-CN" w:bidi="zh-CN"/>
        </w:rPr>
        <w:t>”则主</w:t>
      </w:r>
      <w:r>
        <w:rPr>
          <w:color w:val="000000"/>
          <w:spacing w:val="0"/>
          <w:w w:val="100"/>
          <w:position w:val="0"/>
        </w:rPr>
        <w:t>张权利人系依 他种法律事实而取得所有权，其包括</w:t>
      </w:r>
      <w:r>
        <w:rPr>
          <w:color w:val="000000"/>
          <w:spacing w:val="0"/>
          <w:w w:val="100"/>
          <w:position w:val="0"/>
          <w:lang w:val="zh-CN" w:eastAsia="zh-CN" w:bidi="zh-CN"/>
        </w:rPr>
        <w:t>“天然</w:t>
      </w:r>
      <w:r>
        <w:rPr>
          <w:color w:val="000000"/>
          <w:spacing w:val="0"/>
          <w:w w:val="100"/>
          <w:position w:val="0"/>
        </w:rPr>
        <w:t>孳息先占说” “埋藏物发现说</w:t>
      </w:r>
      <w:r>
        <w:rPr>
          <w:color w:val="000000"/>
          <w:spacing w:val="0"/>
          <w:w w:val="100"/>
          <w:position w:val="0"/>
          <w:lang w:val="zh-CN" w:eastAsia="zh-CN" w:bidi="zh-CN"/>
        </w:rPr>
        <w:t>”等</w:t>
      </w:r>
      <w:r>
        <w:rPr>
          <w:color w:val="000000"/>
          <w:spacing w:val="0"/>
          <w:w w:val="100"/>
          <w:position w:val="0"/>
        </w:rPr>
        <w:t>。</w:t>
      </w:r>
    </w:p>
    <w:p w14:paraId="7B853DE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关于“确认说</w:t>
      </w:r>
      <w:r>
        <w:rPr>
          <w:color w:val="000000"/>
          <w:spacing w:val="0"/>
          <w:w w:val="100"/>
          <w:position w:val="0"/>
          <w:lang w:val="zh-CN" w:eastAsia="zh-CN" w:bidi="zh-CN"/>
        </w:rPr>
        <w:t>”，首</w:t>
      </w:r>
      <w:r>
        <w:rPr>
          <w:color w:val="000000"/>
          <w:spacing w:val="0"/>
          <w:w w:val="100"/>
          <w:position w:val="0"/>
        </w:rPr>
        <w:t>先乌木不属于文物,文物定义应采日常用语,即“遗存在社会上或埋 藏在地下的人类文化遗物</w:t>
      </w:r>
      <w:r>
        <w:rPr>
          <w:color w:val="000000"/>
          <w:spacing w:val="0"/>
          <w:w w:val="100"/>
          <w:position w:val="0"/>
          <w:lang w:val="zh-CN" w:eastAsia="zh-CN" w:bidi="zh-CN"/>
        </w:rPr>
        <w:t>”［夏</w:t>
      </w:r>
      <w:r>
        <w:rPr>
          <w:color w:val="000000"/>
          <w:spacing w:val="0"/>
          <w:w w:val="100"/>
          <w:position w:val="0"/>
        </w:rPr>
        <w:t>征农、陈至立主编:《辞海》（第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版）（第</w:t>
      </w:r>
      <w:r>
        <w:rPr>
          <w:rFonts w:ascii="Times New Roman" w:hAnsi="Times New Roman" w:eastAsia="Times New Roman" w:cs="Times New Roman"/>
          <w:color w:val="000000"/>
          <w:spacing w:val="0"/>
          <w:w w:val="100"/>
          <w:position w:val="0"/>
          <w:sz w:val="19"/>
          <w:szCs w:val="19"/>
          <w:lang w:val="en-US" w:eastAsia="en-US" w:bidi="en-US"/>
        </w:rPr>
        <w:t>4W-Z</w:t>
      </w:r>
      <w:r>
        <w:rPr>
          <w:color w:val="000000"/>
          <w:spacing w:val="0"/>
          <w:w w:val="100"/>
          <w:position w:val="0"/>
        </w:rPr>
        <w:t>卷），上海辞书出版 社</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年版］，乌木不属其列。其次乌木亦非古生物化石，根据《古生物化石保护条例》第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款对古生物化石的法定定义，乌木不符合须于地质历史时期形成的时间要件和须保 存在岩层中的空间要件，且从该法立法目的观之,乌木与应纳入保护范围的化石相比,研究 价值甚小,其主要体现为经济价值。最后乌木也不属于资源，具体体现为</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乌木不属于 矿产资源，理由在于《矿产资源法》的立法目的是将矿产资源纳入国有，以保障工业生产,促 进国民经济和社会发展,而乌木并无工业利用价值</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乌木也非野生植物资源，《民法典》 第</w:t>
      </w:r>
      <w:r>
        <w:rPr>
          <w:rFonts w:ascii="Times New Roman" w:hAnsi="Times New Roman" w:eastAsia="Times New Roman" w:cs="Times New Roman"/>
          <w:color w:val="000000"/>
          <w:spacing w:val="0"/>
          <w:w w:val="100"/>
          <w:position w:val="0"/>
          <w:sz w:val="19"/>
          <w:szCs w:val="19"/>
        </w:rPr>
        <w:t>251</w:t>
      </w:r>
      <w:r>
        <w:rPr>
          <w:color w:val="000000"/>
          <w:spacing w:val="0"/>
          <w:w w:val="100"/>
          <w:position w:val="0"/>
        </w:rPr>
        <w:t>条中关于野生植物资源的定义应参引《野生植物保护条例》第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款，按照该款 规定,乌木不符合植物的通常特征，且将野生动植物资源纳入国有的目的仍在于保护与合 理利用有重要基础作用的资源，而乌木不具备此作用；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乌木不属于《宪法》第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 和《民法典》第</w:t>
      </w:r>
      <w:r>
        <w:rPr>
          <w:rFonts w:ascii="Times New Roman" w:hAnsi="Times New Roman" w:eastAsia="Times New Roman" w:cs="Times New Roman"/>
          <w:color w:val="000000"/>
          <w:spacing w:val="0"/>
          <w:w w:val="100"/>
          <w:position w:val="0"/>
          <w:sz w:val="19"/>
          <w:szCs w:val="19"/>
        </w:rPr>
        <w:t>250</w:t>
      </w:r>
      <w:r>
        <w:rPr>
          <w:color w:val="000000"/>
          <w:spacing w:val="0"/>
          <w:w w:val="100"/>
          <w:position w:val="0"/>
        </w:rPr>
        <w:t>条规定的“自然资源”。这里需要区分宪法上的国家所有权和民法上的 国家所有权，后者系前者于私法上之转化与落实,但两者之性质、规范对象与规范功能截然 不同。民法上国家所有权系采“种类法定主义”（《民法典》第</w:t>
      </w:r>
      <w:r>
        <w:rPr>
          <w:rFonts w:ascii="Times New Roman" w:hAnsi="Times New Roman" w:eastAsia="Times New Roman" w:cs="Times New Roman"/>
          <w:color w:val="000000"/>
          <w:spacing w:val="0"/>
          <w:w w:val="100"/>
          <w:position w:val="0"/>
          <w:sz w:val="19"/>
          <w:szCs w:val="19"/>
        </w:rPr>
        <w:t>246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款）。并非一切自 然资源均属民法上自然资源国家所有权之客体（《民法典》第</w:t>
      </w:r>
      <w:r>
        <w:rPr>
          <w:rFonts w:ascii="Times New Roman" w:hAnsi="Times New Roman" w:eastAsia="Times New Roman" w:cs="Times New Roman"/>
          <w:color w:val="000000"/>
          <w:spacing w:val="0"/>
          <w:w w:val="100"/>
          <w:position w:val="0"/>
          <w:sz w:val="19"/>
          <w:szCs w:val="19"/>
        </w:rPr>
        <w:t>250</w:t>
      </w:r>
      <w:r>
        <w:rPr>
          <w:color w:val="000000"/>
          <w:spacing w:val="0"/>
          <w:w w:val="100"/>
          <w:position w:val="0"/>
        </w:rPr>
        <w:t>条）所称</w:t>
      </w:r>
      <w:r>
        <w:rPr>
          <w:color w:val="000000"/>
          <w:spacing w:val="0"/>
          <w:w w:val="100"/>
          <w:position w:val="0"/>
          <w:lang w:val="zh-CN" w:eastAsia="zh-CN" w:bidi="zh-CN"/>
        </w:rPr>
        <w:t>“自</w:t>
      </w:r>
      <w:r>
        <w:rPr>
          <w:color w:val="000000"/>
          <w:spacing w:val="0"/>
          <w:w w:val="100"/>
          <w:position w:val="0"/>
        </w:rPr>
        <w:t>然资源</w:t>
      </w:r>
      <w:r>
        <w:rPr>
          <w:color w:val="000000"/>
          <w:spacing w:val="0"/>
          <w:w w:val="100"/>
          <w:position w:val="0"/>
          <w:lang w:val="zh-CN" w:eastAsia="zh-CN" w:bidi="zh-CN"/>
        </w:rPr>
        <w:t xml:space="preserve">”应作 </w:t>
      </w:r>
      <w:r>
        <w:rPr>
          <w:color w:val="000000"/>
          <w:spacing w:val="0"/>
          <w:w w:val="100"/>
          <w:position w:val="0"/>
        </w:rPr>
        <w:t>目的性限缩,限于构成“国民经济与社会发展的重要物质基础”者，乌木显不具有此种意义; 就属于自然资源国家所有权范围之客体，因公民有合理使用之基本权利（《宪法》第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句），故立法者解释立法或司法者适用法律时，应认为国家（全民）负有容忍合理使用 （包括先占）之义务。</w:t>
      </w:r>
    </w:p>
    <w:p w14:paraId="1C71E15A">
      <w:pPr>
        <w:pStyle w:val="17"/>
        <w:keepNext w:val="0"/>
        <w:keepLines w:val="0"/>
        <w:widowControl w:val="0"/>
        <w:shd w:val="clear" w:color="auto" w:fill="auto"/>
        <w:bidi w:val="0"/>
        <w:spacing w:before="0" w:after="0" w:line="343" w:lineRule="exact"/>
        <w:ind w:left="0" w:right="0" w:firstLine="420"/>
        <w:jc w:val="both"/>
        <w:sectPr>
          <w:headerReference r:id="rId228" w:type="default"/>
          <w:headerReference r:id="rId229" w:type="even"/>
          <w:footnotePr>
            <w:numFmt w:val="chicago"/>
          </w:footnotePr>
          <w:pgSz w:w="10099" w:h="14782"/>
          <w:pgMar w:top="1319" w:right="1079" w:bottom="1105" w:left="1023" w:header="0" w:footer="677" w:gutter="0"/>
          <w:pgNumType w:start="172"/>
          <w:cols w:space="720" w:num="1"/>
          <w:rtlGutter w:val="0"/>
          <w:docGrid w:linePitch="360" w:charSpace="0"/>
        </w:sectPr>
      </w:pPr>
      <w:r>
        <w:rPr>
          <w:color w:val="000000"/>
          <w:spacing w:val="0"/>
          <w:w w:val="100"/>
          <w:position w:val="0"/>
          <w:lang w:val="zh-CN" w:eastAsia="zh-CN" w:bidi="zh-CN"/>
        </w:rPr>
        <w:t>“取得</w:t>
      </w:r>
      <w:r>
        <w:rPr>
          <w:color w:val="000000"/>
          <w:spacing w:val="0"/>
          <w:w w:val="100"/>
          <w:position w:val="0"/>
        </w:rPr>
        <w:t>说”下对乌木定性又有不同学说,主要有</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天然孳息说。此说认为应根据乌木 发现地的所有权归属认定权属。天然孳息包括有机出产物和其他收获物,两者在分离前均 为原物组成部分。而原本独立之物与原物发生结合后，究属原物成分还是独立物，应依交 易观念判定。乌木既不似土壤、岩石、水文、大气和植被等要素，本身即属土地通常成分，也 未与土地融合到非经毁损不能分离或分离费用过巨（此处类推附合制度所要求的固定性） </w:t>
      </w:r>
    </w:p>
    <w:p w14:paraId="4CA8E664">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之程度，故乌木不属于土地的天然孳息。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埋藏物说。一方面，有观点望文生义地认为埋 藏物以人力埋藏为要件，忽略了因自然原因而得埋藏者亦属埋藏物;另一方面，原《民法通 贝</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款曾经明确埋藏物须为“所有权人不明</w:t>
      </w:r>
      <w:r>
        <w:rPr>
          <w:color w:val="000000"/>
          <w:spacing w:val="0"/>
          <w:w w:val="100"/>
          <w:position w:val="0"/>
          <w:lang w:val="zh-CN" w:eastAsia="zh-CN" w:bidi="zh-CN"/>
        </w:rPr>
        <w:t>”，文</w:t>
      </w:r>
      <w:r>
        <w:rPr>
          <w:color w:val="000000"/>
          <w:spacing w:val="0"/>
          <w:w w:val="100"/>
          <w:position w:val="0"/>
        </w:rPr>
        <w:t>义上应含有</w:t>
      </w:r>
      <w:r>
        <w:rPr>
          <w:color w:val="000000"/>
          <w:spacing w:val="0"/>
          <w:w w:val="100"/>
          <w:position w:val="0"/>
          <w:lang w:val="zh-CN" w:eastAsia="zh-CN" w:bidi="zh-CN"/>
        </w:rPr>
        <w:t>“此前</w:t>
      </w:r>
      <w:r>
        <w:rPr>
          <w:color w:val="000000"/>
          <w:spacing w:val="0"/>
          <w:w w:val="100"/>
          <w:position w:val="0"/>
        </w:rPr>
        <w:t>曾为人所有” 之要件，否则与无主物难以区分,乌木显然不符合这一要件。</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无主物说。因我国现行法 律并未规定无主物先占制度，关于如何确定无主物归属，即有争议。首先，有观点认为应类 推埋藏物,即由国家取得所有权，发现人获取一定报酬。但类推须以存在法律漏洞为前提， 两者应具有法律评价上的一致性,类推后的结果亦应妥当。具体到乌木，上述诸点均存在 疑问。例如，德国法上将木乃伊和陨石等符合无主物特征之物纳入埋藏物，其目的主要在 于鼓励发现人公开,以促进科研，但如前所述,乌木的价值主要在经济方面。其次，有观点认 为我国民法上并无关于无主物之规定，对于乌木应适用民事诉讼法上“认定无主财产案件” 之特别程序,经公告后无人认领的，判决认定财产无主，收归国家所有。但《民事诉讼法》第 </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款的规定包括两个部分，即确认财产现行权属状况和物权变动，两者的法律依据 都在民法上规定,即诉讼法上的规定不能作为物权变动的实体法依据。而认为无主物归国 家所有的观点，更是缺乏实体法依据。</w:t>
      </w:r>
    </w:p>
    <w:p w14:paraId="13477A9C">
      <w:pPr>
        <w:pStyle w:val="17"/>
        <w:keepNext w:val="0"/>
        <w:keepLines w:val="0"/>
        <w:widowControl w:val="0"/>
        <w:shd w:val="clear" w:color="auto" w:fill="auto"/>
        <w:bidi w:val="0"/>
        <w:spacing w:before="0" w:after="0" w:line="342" w:lineRule="exact"/>
        <w:ind w:left="0" w:right="0" w:firstLine="420"/>
        <w:jc w:val="both"/>
        <w:sectPr>
          <w:headerReference r:id="rId230" w:type="default"/>
          <w:headerReference r:id="rId231" w:type="even"/>
          <w:footnotePr>
            <w:numFmt w:val="chicago"/>
          </w:footnotePr>
          <w:pgSz w:w="10099" w:h="14782"/>
          <w:pgMar w:top="1319" w:right="1079" w:bottom="1105" w:left="1023" w:header="0" w:footer="677" w:gutter="0"/>
          <w:pgNumType w:start="189"/>
          <w:cols w:space="720" w:num="1"/>
          <w:rtlGutter w:val="0"/>
          <w:docGrid w:linePitch="360" w:charSpace="0"/>
        </w:sectPr>
      </w:pPr>
      <w:r>
        <w:rPr>
          <w:color w:val="000000"/>
          <w:spacing w:val="0"/>
          <w:w w:val="100"/>
          <w:position w:val="0"/>
        </w:rPr>
        <w:t>笔者认为，乌木的所有权归属应采先占说,但首先须指明，这里的先占，非如某些观点 所言，指无主物由国家先占或由个人自由先占，这两说都缺乏实证法依据。所谓先占，具体 是指土地上存有土地承包经营权、宅基地使用权等特定类型之用益物权时，用益物权人享 有排他先占权;土地上未设定上述特定类型用益物权时,如属集体土地，集体成员具有先占 权，其成员内部之利益分配,得以集体规约定之;如属国有土地，国家负有容忍合理自由先 占之义务。先占人若侵害他人之排他先占权，或违反先占之禁止，即不能取得其所有权。理 由在于:我国现行立法虽未规定无主物先占制度，但法条纵无明文规定，只要承认法官不得 以法无明文为由拒绝审判，就须运用漏洞填补、法外续造等法学方法从法教义学上得出答 案。详言之，可从两个角度进行论证，第一个角度是习惯法角度，即自由先占制度实质上已 具备交易上习惯法之要件——长期稳定实践之惯行，例如立法者在立法调查过程中确认 “法律上虽未明文规定先占制度,但事实上先占始终作为社会生活的习惯规则而广泛存续， 进入国家或集体所有的森林、荒原、滩涂、水面打猎、捕鱼、砍柴伐薪、采集野生植物、果实、药 材并取得猎获物、采集物的所有权，国家并不禁止，也存在捡拾抛弃物而取得所有权的情 况，因此，法律虽然没有明文规定先占制度，现实中通过先占取得所有权却是客观存在着 的”。（全国人大常委会法制工作委员会民法室编著：《物权法立法背景与观点全集》，法律出版社</w:t>
      </w:r>
      <w:r>
        <w:rPr>
          <w:rFonts w:ascii="Times New Roman" w:hAnsi="Times New Roman" w:eastAsia="Times New Roman" w:cs="Times New Roman"/>
          <w:color w:val="000000"/>
          <w:spacing w:val="0"/>
          <w:w w:val="100"/>
          <w:position w:val="0"/>
          <w:sz w:val="17"/>
          <w:szCs w:val="17"/>
        </w:rPr>
        <w:t xml:space="preserve">2007 </w:t>
      </w:r>
      <w:r>
        <w:rPr>
          <w:color w:val="000000"/>
          <w:spacing w:val="0"/>
          <w:w w:val="100"/>
          <w:position w:val="0"/>
        </w:rPr>
        <w:t xml:space="preserve">年版），且大众对其亦有法之确信，司法实践中亦有肯定先占取得无主物所有权的裁判［参见 </w:t>
      </w:r>
      <w:r>
        <w:rPr>
          <w:color w:val="000000"/>
          <w:spacing w:val="0"/>
          <w:w w:val="100"/>
          <w:position w:val="0"/>
          <w:lang w:val="zh-CN" w:eastAsia="zh-CN" w:bidi="zh-CN"/>
        </w:rPr>
        <w:t>“凌</w:t>
      </w:r>
      <w:r>
        <w:rPr>
          <w:color w:val="000000"/>
          <w:spacing w:val="0"/>
          <w:w w:val="100"/>
          <w:position w:val="0"/>
        </w:rPr>
        <w:t>有叔等与廖彩芬等返还原物纠纷上诉案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赣中民一终字第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号判决书；“陈学清诉雅辉（清 远）纸品有限公司返还原物纠纷案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清城法源民初字第</w:t>
      </w:r>
      <w:r>
        <w:rPr>
          <w:rFonts w:ascii="Times New Roman" w:hAnsi="Times New Roman" w:eastAsia="Times New Roman" w:cs="Times New Roman"/>
          <w:color w:val="000000"/>
          <w:spacing w:val="0"/>
          <w:w w:val="100"/>
          <w:position w:val="0"/>
          <w:sz w:val="17"/>
          <w:szCs w:val="17"/>
        </w:rPr>
        <w:t>330</w:t>
      </w:r>
      <w:r>
        <w:rPr>
          <w:color w:val="000000"/>
          <w:spacing w:val="0"/>
          <w:w w:val="100"/>
          <w:position w:val="0"/>
        </w:rPr>
        <w:t xml:space="preserve">号判决书］。第二个角度是法律 漏洞，即使否认习惯法的法源地位，不规定先占，也非立法者的有意沉默。所谓有意沉默，即 立法者就某项制度作出消极之评价决定，例如我国并未规定典权和居住权，系立法者明确 表示并无必要。但就先占立法者却从未公开表明态度,故应认为,先占制度阙如，是立法者 明知的法律漏洞，即立法者自觉对此问题尚无把握，从而不予规范,将之留待判例与学说进 </w:t>
      </w:r>
    </w:p>
    <w:p w14:paraId="52D9D3EC">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行完善，在立法表明态度前，应认为立法者已向法律适用者授予漏洞填补之权限。此时要 进行法内续造。因先占属于事实行为，故应以《民法典》第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条规定</w:t>
      </w:r>
      <w:r>
        <w:rPr>
          <w:color w:val="000000"/>
          <w:spacing w:val="0"/>
          <w:w w:val="100"/>
          <w:position w:val="0"/>
          <w:lang w:val="zh-CN" w:eastAsia="zh-CN" w:bidi="zh-CN"/>
        </w:rPr>
        <w:t>（“因</w:t>
      </w:r>
      <w:r>
        <w:rPr>
          <w:color w:val="000000"/>
          <w:spacing w:val="0"/>
          <w:w w:val="100"/>
          <w:position w:val="0"/>
        </w:rPr>
        <w:t>合法建造、拆除房 屋等事实行为设立或者消灭物权的，自事实行为成就时起发生效力”）作为裁判依据。</w:t>
      </w:r>
    </w:p>
    <w:p w14:paraId="350B444A">
      <w:pPr>
        <w:pStyle w:val="17"/>
        <w:keepNext w:val="0"/>
        <w:keepLines w:val="0"/>
        <w:widowControl w:val="0"/>
        <w:shd w:val="clear" w:color="auto" w:fill="auto"/>
        <w:bidi w:val="0"/>
        <w:spacing w:before="0" w:after="0" w:line="332" w:lineRule="exact"/>
        <w:ind w:left="0" w:right="0" w:firstLine="420"/>
        <w:jc w:val="both"/>
      </w:pPr>
      <w:r>
        <w:rPr>
          <w:color w:val="000000"/>
          <w:spacing w:val="0"/>
          <w:w w:val="100"/>
          <w:position w:val="0"/>
        </w:rPr>
        <w:t>其次，关于先占与土地所有权人、用益物权人的关系，（</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）对于本就未设定用益物权之 国有土地，应认为土地所有权人负有容忍先占之义务。此系基于《宪法》第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款国家 就自然资源</w:t>
      </w:r>
      <w:r>
        <w:rPr>
          <w:color w:val="000000"/>
          <w:spacing w:val="0"/>
          <w:w w:val="100"/>
          <w:position w:val="0"/>
          <w:lang w:val="zh-CN" w:eastAsia="zh-CN" w:bidi="zh-CN"/>
        </w:rPr>
        <w:t>“保</w:t>
      </w:r>
      <w:r>
        <w:rPr>
          <w:color w:val="000000"/>
          <w:spacing w:val="0"/>
          <w:w w:val="100"/>
          <w:position w:val="0"/>
        </w:rPr>
        <w:t>障合理利用”之义务，这也可类推适用于《宪法》第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条规定的土地，民法上 亦要在此基础上作合宪性解释;而对于未设定用益物权之集体土地，应认为集体成员具有 排他先占权。（</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）集体所有权,仅属于</w:t>
      </w:r>
      <w:r>
        <w:rPr>
          <w:color w:val="000000"/>
          <w:spacing w:val="0"/>
          <w:w w:val="100"/>
          <w:position w:val="0"/>
          <w:lang w:val="zh-CN" w:eastAsia="zh-CN" w:bidi="zh-CN"/>
        </w:rPr>
        <w:t>“本集</w:t>
      </w:r>
      <w:r>
        <w:rPr>
          <w:color w:val="000000"/>
          <w:spacing w:val="0"/>
          <w:w w:val="100"/>
          <w:position w:val="0"/>
        </w:rPr>
        <w:t>体成员</w:t>
      </w:r>
      <w:r>
        <w:rPr>
          <w:color w:val="000000"/>
          <w:spacing w:val="0"/>
          <w:w w:val="100"/>
          <w:position w:val="0"/>
          <w:lang w:val="zh-CN" w:eastAsia="zh-CN" w:bidi="zh-CN"/>
        </w:rPr>
        <w:t>”集</w:t>
      </w:r>
      <w:r>
        <w:rPr>
          <w:color w:val="000000"/>
          <w:spacing w:val="0"/>
          <w:w w:val="100"/>
          <w:position w:val="0"/>
        </w:rPr>
        <w:t>体所有,其客体上之利益仅得归属于 “本集体成员”;集体对其土地相关之利益通常均得主张排他权利，不独以土地本身为限,此 与社会一般观念并不相悖,故得目的性扩张其权能中之</w:t>
      </w:r>
      <w:r>
        <w:rPr>
          <w:color w:val="000000"/>
          <w:spacing w:val="0"/>
          <w:w w:val="100"/>
          <w:position w:val="0"/>
          <w:lang w:val="zh-CN" w:eastAsia="zh-CN" w:bidi="zh-CN"/>
        </w:rPr>
        <w:t>“收益”概念</w:t>
      </w: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240</w:t>
      </w:r>
      <w:r>
        <w:rPr>
          <w:color w:val="000000"/>
          <w:spacing w:val="0"/>
          <w:w w:val="100"/>
          <w:position w:val="0"/>
        </w:rPr>
        <w:t xml:space="preserve">条）。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）若土地上存在用益物权,原则上应认为用益物权人享有排他先占权，但依权利之目的， 此种利益不应归属于权利人者除外。前者如土地承包经营权、宅基地使用权;此时,亦应目 的性扩张用益物权</w:t>
      </w:r>
      <w:r>
        <w:rPr>
          <w:color w:val="000000"/>
          <w:spacing w:val="0"/>
          <w:w w:val="100"/>
          <w:position w:val="0"/>
          <w:lang w:val="zh-CN" w:eastAsia="zh-CN" w:bidi="zh-CN"/>
        </w:rPr>
        <w:t>“收益”权能</w:t>
      </w: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323</w:t>
      </w:r>
      <w:r>
        <w:rPr>
          <w:color w:val="000000"/>
          <w:spacing w:val="0"/>
          <w:w w:val="100"/>
          <w:position w:val="0"/>
        </w:rPr>
        <w:t>条）之概念，令其包含排他先占权在内;后 者如探矿权、采矿权、取水权、捕捞权、狩猎权等，因其权利目的已限定权利人所得收取之客 体范围。（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）无主物之先占，以不侵犯他人排他先占权为要件之一，若未经允许而占有他人 排他先占权下之客体，不发生先占之效力（违反《民法典》第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条之</w:t>
      </w:r>
      <w:r>
        <w:rPr>
          <w:color w:val="000000"/>
          <w:spacing w:val="0"/>
          <w:w w:val="100"/>
          <w:position w:val="0"/>
          <w:lang w:val="zh-CN" w:eastAsia="zh-CN" w:bidi="zh-CN"/>
        </w:rPr>
        <w:t>“合法”要</w:t>
      </w:r>
      <w:r>
        <w:rPr>
          <w:color w:val="000000"/>
          <w:spacing w:val="0"/>
          <w:w w:val="100"/>
          <w:position w:val="0"/>
        </w:rPr>
        <w:t>件）；其构成 排他先占权之侵害,排他先占权人得依侵权行为（《民法典》第</w:t>
      </w:r>
      <w:r>
        <w:rPr>
          <w:rFonts w:ascii="Times New Roman" w:hAnsi="Times New Roman" w:eastAsia="Times New Roman" w:cs="Times New Roman"/>
          <w:color w:val="000000"/>
          <w:spacing w:val="0"/>
          <w:w w:val="100"/>
          <w:position w:val="0"/>
          <w:sz w:val="19"/>
          <w:szCs w:val="19"/>
        </w:rPr>
        <w:t>1165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项），不当得利（《民法典》第</w:t>
      </w:r>
      <w:r>
        <w:rPr>
          <w:rFonts w:ascii="Times New Roman" w:hAnsi="Times New Roman" w:eastAsia="Times New Roman" w:cs="Times New Roman"/>
          <w:color w:val="000000"/>
          <w:spacing w:val="0"/>
          <w:w w:val="100"/>
          <w:position w:val="0"/>
          <w:sz w:val="19"/>
          <w:szCs w:val="19"/>
        </w:rPr>
        <w:t>122,985</w:t>
      </w:r>
      <w:r>
        <w:rPr>
          <w:color w:val="000000"/>
          <w:spacing w:val="0"/>
          <w:w w:val="100"/>
          <w:position w:val="0"/>
        </w:rPr>
        <w:t>条），原物返还请求权（《民法典》第</w:t>
      </w:r>
      <w:r>
        <w:rPr>
          <w:rFonts w:ascii="Times New Roman" w:hAnsi="Times New Roman" w:eastAsia="Times New Roman" w:cs="Times New Roman"/>
          <w:color w:val="000000"/>
          <w:spacing w:val="0"/>
          <w:w w:val="100"/>
          <w:position w:val="0"/>
          <w:sz w:val="19"/>
          <w:szCs w:val="19"/>
        </w:rPr>
        <w:t>235</w:t>
      </w:r>
      <w:r>
        <w:rPr>
          <w:color w:val="000000"/>
          <w:spacing w:val="0"/>
          <w:w w:val="100"/>
          <w:position w:val="0"/>
        </w:rPr>
        <w:t>条）等 请求返还;如有损失，亦得主张金钱赔偿（《民法典》第</w:t>
      </w:r>
      <w:r>
        <w:rPr>
          <w:rFonts w:ascii="Times New Roman" w:hAnsi="Times New Roman" w:eastAsia="Times New Roman" w:cs="Times New Roman"/>
          <w:color w:val="000000"/>
          <w:spacing w:val="0"/>
          <w:w w:val="100"/>
          <w:position w:val="0"/>
          <w:sz w:val="19"/>
          <w:szCs w:val="19"/>
        </w:rPr>
        <w:t>1165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项、第 </w:t>
      </w:r>
      <w:r>
        <w:rPr>
          <w:rFonts w:ascii="Times New Roman" w:hAnsi="Times New Roman" w:eastAsia="Times New Roman" w:cs="Times New Roman"/>
          <w:color w:val="000000"/>
          <w:spacing w:val="0"/>
          <w:w w:val="100"/>
          <w:position w:val="0"/>
          <w:sz w:val="19"/>
          <w:szCs w:val="19"/>
        </w:rPr>
        <w:t xml:space="preserve">1184 </w:t>
      </w:r>
      <w:r>
        <w:rPr>
          <w:color w:val="000000"/>
          <w:spacing w:val="0"/>
          <w:w w:val="100"/>
          <w:position w:val="0"/>
        </w:rPr>
        <w:t>条）。</w:t>
      </w:r>
    </w:p>
    <w:p w14:paraId="10BBDF50">
      <w:pPr>
        <w:pStyle w:val="17"/>
        <w:keepNext w:val="0"/>
        <w:keepLines w:val="0"/>
        <w:widowControl w:val="0"/>
        <w:shd w:val="clear" w:color="auto" w:fill="auto"/>
        <w:bidi w:val="0"/>
        <w:spacing w:before="0" w:after="260" w:line="335" w:lineRule="exact"/>
        <w:ind w:left="0" w:right="0" w:firstLine="420"/>
        <w:jc w:val="both"/>
      </w:pPr>
      <w:r>
        <w:rPr>
          <w:color w:val="000000"/>
          <w:spacing w:val="0"/>
          <w:w w:val="100"/>
          <w:position w:val="0"/>
        </w:rPr>
        <w:t>最后须注意，先占人自应遵守自然资源保护上之法律规定，其违反除引发相应刑事、行 政、民事责任外，亦因此不发生先占之效力（违反《民法典》第</w:t>
      </w:r>
      <w:r>
        <w:rPr>
          <w:rFonts w:ascii="Times New Roman" w:hAnsi="Times New Roman" w:eastAsia="Times New Roman" w:cs="Times New Roman"/>
          <w:color w:val="000000"/>
          <w:spacing w:val="0"/>
          <w:w w:val="100"/>
          <w:position w:val="0"/>
          <w:sz w:val="19"/>
          <w:szCs w:val="19"/>
        </w:rPr>
        <w:t>231</w:t>
      </w:r>
      <w:r>
        <w:rPr>
          <w:color w:val="000000"/>
          <w:spacing w:val="0"/>
          <w:w w:val="100"/>
          <w:position w:val="0"/>
        </w:rPr>
        <w:t>条之</w:t>
      </w:r>
      <w:r>
        <w:rPr>
          <w:color w:val="000000"/>
          <w:spacing w:val="0"/>
          <w:w w:val="100"/>
          <w:position w:val="0"/>
          <w:lang w:val="zh-CN" w:eastAsia="zh-CN" w:bidi="zh-CN"/>
        </w:rPr>
        <w:t>“合法”要</w:t>
      </w:r>
      <w:r>
        <w:rPr>
          <w:color w:val="000000"/>
          <w:spacing w:val="0"/>
          <w:w w:val="100"/>
          <w:position w:val="0"/>
        </w:rPr>
        <w:t>件）。先占人亦 应遵守环境保护义务（《环境保护法》第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款）。其违反除引发相应刑事、行政责任 外，尚得发生侵权责任（《环境保护法》第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条），主管机关或物权人自得责令其停止侵害、 排除妨碍、恢复原状等，由此可遏制或避免因先占而破坏自然资源或环境的行为。</w:t>
      </w:r>
    </w:p>
    <w:p w14:paraId="6C3A3468">
      <w:pPr>
        <w:pStyle w:val="17"/>
        <w:keepNext w:val="0"/>
        <w:keepLines w:val="0"/>
        <w:widowControl w:val="0"/>
        <w:shd w:val="clear" w:color="auto" w:fill="auto"/>
        <w:bidi w:val="0"/>
        <w:spacing w:before="0" w:after="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49677A6A">
      <w:pPr>
        <w:pStyle w:val="17"/>
        <w:keepNext w:val="0"/>
        <w:keepLines w:val="0"/>
        <w:widowControl w:val="0"/>
        <w:shd w:val="clear" w:color="auto" w:fill="auto"/>
        <w:bidi w:val="0"/>
        <w:spacing w:before="0" w:after="260" w:line="330" w:lineRule="exact"/>
        <w:ind w:left="0" w:right="0" w:firstLine="420"/>
        <w:jc w:val="both"/>
      </w:pPr>
      <w:r>
        <w:rPr>
          <w:color w:val="000000"/>
          <w:spacing w:val="0"/>
          <w:w w:val="100"/>
          <w:position w:val="0"/>
        </w:rPr>
        <w:t>近年来民众挖掘乌木屡生纠纷，因常涉及多家行政部门，法院往往偏向政府机关，除上 述案件外,还有下述事例:</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年重庆某地村民于当地河道挖出</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米长乌木，当地财政局 起诉要求其返还出卖所得价款，终获法院支持”（载人民</w:t>
      </w:r>
      <w:r>
        <w:rPr>
          <w:rFonts w:ascii="Times New Roman" w:hAnsi="Times New Roman" w:eastAsia="Times New Roman" w:cs="Times New Roman"/>
          <w:color w:val="000000"/>
          <w:spacing w:val="0"/>
          <w:w w:val="100"/>
          <w:position w:val="0"/>
          <w:sz w:val="19"/>
          <w:szCs w:val="19"/>
          <w:lang w:val="en-US" w:eastAsia="en-US" w:bidi="en-US"/>
        </w:rPr>
        <w:t xml:space="preserve">M </w:t>
      </w:r>
      <w:r>
        <w:rPr>
          <w:color w:val="000000"/>
          <w:spacing w:val="0"/>
          <w:w w:val="100"/>
          <w:position w:val="0"/>
        </w:rPr>
        <w:t>：</w:t>
      </w:r>
      <w:r>
        <w:rPr>
          <w:rFonts w:ascii="Times New Roman" w:hAnsi="Times New Roman" w:eastAsia="Times New Roman" w:cs="Times New Roman"/>
          <w:color w:val="000000"/>
          <w:spacing w:val="0"/>
          <w:w w:val="100"/>
          <w:position w:val="0"/>
          <w:sz w:val="19"/>
          <w:szCs w:val="19"/>
          <w:lang w:val="en-US" w:eastAsia="en-US" w:bidi="en-US"/>
        </w:rPr>
        <w:t>http</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//politics, people, com. cn/n/ 2014/1030/c70731 -25935383. html,2020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lang w:val="en-US" w:eastAsia="en-US" w:bidi="en-US"/>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lang w:val="en-US" w:eastAsia="en-US" w:bidi="en-US"/>
        </w:rPr>
        <w:t>10</w:t>
      </w:r>
      <w:r>
        <w:rPr>
          <w:color w:val="000000"/>
          <w:spacing w:val="0"/>
          <w:w w:val="100"/>
          <w:position w:val="0"/>
        </w:rPr>
        <w:t>日最后访问）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年江西修水某村民发现并 挖掘巨型乌木，当地政府宣布收归国有，再度引起纠纷”（载新华</w:t>
      </w:r>
      <w:r>
        <w:rPr>
          <w:rFonts w:ascii="Times New Roman" w:hAnsi="Times New Roman" w:eastAsia="Times New Roman" w:cs="Times New Roman"/>
          <w:color w:val="000000"/>
          <w:spacing w:val="0"/>
          <w:w w:val="100"/>
          <w:position w:val="0"/>
          <w:sz w:val="19"/>
          <w:szCs w:val="19"/>
          <w:lang w:val="en-US" w:eastAsia="en-US" w:bidi="en-US"/>
        </w:rPr>
        <w:t xml:space="preserve">M </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w:t>
      </w:r>
      <w:r>
        <w:rPr>
          <w:rFonts w:ascii="Times New Roman" w:hAnsi="Times New Roman" w:eastAsia="Times New Roman" w:cs="Times New Roman"/>
          <w:color w:val="000000"/>
          <w:spacing w:val="0"/>
          <w:w w:val="100"/>
          <w:position w:val="0"/>
          <w:sz w:val="19"/>
          <w:szCs w:val="19"/>
          <w:lang w:val="en-US" w:eastAsia="en-US" w:bidi="en-US"/>
        </w:rPr>
        <w:t>http</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//www. xinhuanet. com//photo/2013 -09/16/c_l25391674. htm,2020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lang w:val="en-US" w:eastAsia="en-US" w:bidi="en-US"/>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lang w:val="en-US" w:eastAsia="en-US" w:bidi="en-US"/>
        </w:rPr>
        <w:t>10</w:t>
      </w:r>
      <w:r>
        <w:rPr>
          <w:color w:val="000000"/>
          <w:spacing w:val="0"/>
          <w:w w:val="100"/>
          <w:position w:val="0"/>
        </w:rPr>
        <w:t>日最后访问）。学者专家亦众说纷纭、 见解不一（见上述各种</w:t>
      </w:r>
      <w:r>
        <w:rPr>
          <w:color w:val="000000"/>
          <w:spacing w:val="0"/>
          <w:w w:val="100"/>
          <w:position w:val="0"/>
          <w:lang w:val="zh-CN" w:eastAsia="zh-CN" w:bidi="zh-CN"/>
        </w:rPr>
        <w:t>“确认</w:t>
      </w:r>
      <w:r>
        <w:rPr>
          <w:color w:val="000000"/>
          <w:spacing w:val="0"/>
          <w:w w:val="100"/>
          <w:position w:val="0"/>
        </w:rPr>
        <w:t>说”和</w:t>
      </w:r>
      <w:r>
        <w:rPr>
          <w:color w:val="000000"/>
          <w:spacing w:val="0"/>
          <w:w w:val="100"/>
          <w:position w:val="0"/>
          <w:lang w:val="zh-CN" w:eastAsia="zh-CN" w:bidi="zh-CN"/>
        </w:rPr>
        <w:t>“取</w:t>
      </w:r>
      <w:r>
        <w:rPr>
          <w:color w:val="000000"/>
          <w:spacing w:val="0"/>
          <w:w w:val="100"/>
          <w:position w:val="0"/>
        </w:rPr>
        <w:t>得说”）。</w:t>
      </w:r>
    </w:p>
    <w:p w14:paraId="10ED42D8">
      <w:pPr>
        <w:pStyle w:val="17"/>
        <w:keepNext w:val="0"/>
        <w:keepLines w:val="0"/>
        <w:widowControl w:val="0"/>
        <w:shd w:val="clear" w:color="auto" w:fill="auto"/>
        <w:bidi w:val="0"/>
        <w:spacing w:before="0" w:after="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本裁定的参考意义及将来的课题</w:t>
      </w:r>
    </w:p>
    <w:p w14:paraId="7B28D710">
      <w:pPr>
        <w:pStyle w:val="17"/>
        <w:keepNext w:val="0"/>
        <w:keepLines w:val="0"/>
        <w:widowControl w:val="0"/>
        <w:shd w:val="clear" w:color="auto" w:fill="auto"/>
        <w:bidi w:val="0"/>
        <w:spacing w:before="0" w:after="380" w:line="332" w:lineRule="exact"/>
        <w:ind w:left="0" w:right="0"/>
        <w:jc w:val="both"/>
      </w:pPr>
      <w:r>
        <w:rPr>
          <w:color w:val="000000"/>
          <w:spacing w:val="0"/>
          <w:w w:val="100"/>
          <w:position w:val="0"/>
        </w:rPr>
        <w:t>虽然在司法裁判上关于乌木所有权归属的规则付之阙如，但现实中不可避免地会再度 发生乌木挖掘事件,裁判者不可能一直以其权属确认不属行政诉讼管辖范围为由回避实质 问题,应当如何裁判是亟待解决的难题。从长远考虑本案也有较大的反思余地。《民法典》 未规定先占制度，但规定习惯可作为法源（《民法典》第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条）。结合上述分析，先占制度阙 如，构成法律漏洞，司法者在将来应立足于民法条文和法学方法填补该漏洞。进一步说，是 否赞同适用先占规则这一结论并不重要，但至少裁判者不应再延续如本案简单粗暴之做 法,而应关注并进一步明确如何妥当协调各方利益。</w:t>
      </w:r>
    </w:p>
    <w:p w14:paraId="45BC623B">
      <w:pPr>
        <w:pStyle w:val="11"/>
        <w:keepNext w:val="0"/>
        <w:keepLines w:val="0"/>
        <w:widowControl w:val="0"/>
        <w:shd w:val="clear" w:color="auto" w:fill="auto"/>
        <w:bidi w:val="0"/>
        <w:spacing w:before="0" w:after="80" w:line="310" w:lineRule="exact"/>
        <w:ind w:left="0" w:right="0" w:firstLine="0"/>
        <w:jc w:val="both"/>
      </w:pPr>
      <w:r>
        <w:rPr>
          <w:color w:val="000000"/>
          <w:spacing w:val="0"/>
          <w:w w:val="100"/>
          <w:position w:val="0"/>
        </w:rPr>
        <w:t>回参考文献</w:t>
      </w:r>
    </w:p>
    <w:p w14:paraId="486D8A8E">
      <w:pPr>
        <w:pStyle w:val="17"/>
        <w:keepNext w:val="0"/>
        <w:keepLines w:val="0"/>
        <w:widowControl w:val="0"/>
        <w:shd w:val="clear" w:color="auto" w:fill="auto"/>
        <w:bidi w:val="0"/>
        <w:spacing w:before="0" w:after="0" w:line="310" w:lineRule="exact"/>
        <w:ind w:left="180" w:right="0" w:hanging="180"/>
        <w:jc w:val="both"/>
      </w:pPr>
      <w:r>
        <w:rPr>
          <w:color w:val="000000"/>
          <w:spacing w:val="0"/>
          <w:w w:val="100"/>
          <w:position w:val="0"/>
        </w:rPr>
        <w:t>全国人大常委会法制工作委员会民法室编：《〈中华人民共和国物权法〉条文说明、立法理由及相关规 定》，北京大学出版社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5C111336">
      <w:pPr>
        <w:pStyle w:val="17"/>
        <w:keepNext w:val="0"/>
        <w:keepLines w:val="0"/>
        <w:widowControl w:val="0"/>
        <w:shd w:val="clear" w:color="auto" w:fill="auto"/>
        <w:bidi w:val="0"/>
        <w:spacing w:before="0" w:after="0" w:line="310" w:lineRule="exact"/>
        <w:ind w:left="180" w:right="0" w:hanging="180"/>
        <w:jc w:val="both"/>
      </w:pPr>
      <w:r>
        <w:rPr>
          <w:color w:val="000000"/>
          <w:spacing w:val="0"/>
          <w:w w:val="100"/>
          <w:position w:val="0"/>
        </w:rPr>
        <w:t>［德］卡尔</w:t>
      </w:r>
      <w:r>
        <w:rPr>
          <w:color w:val="000000"/>
          <w:spacing w:val="0"/>
          <w:w w:val="100"/>
          <w:position w:val="0"/>
          <w:lang w:val="en-US" w:eastAsia="en-US" w:bidi="en-US"/>
        </w:rPr>
        <w:t>•</w:t>
      </w:r>
      <w:r>
        <w:rPr>
          <w:color w:val="000000"/>
          <w:spacing w:val="0"/>
          <w:w w:val="100"/>
          <w:position w:val="0"/>
        </w:rPr>
        <w:t>拉伦茨:《法学方法论》，陈爱娥译，商务印书馆</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2730C29E">
      <w:pPr>
        <w:pStyle w:val="17"/>
        <w:keepNext w:val="0"/>
        <w:keepLines w:val="0"/>
        <w:widowControl w:val="0"/>
        <w:shd w:val="clear" w:color="auto" w:fill="auto"/>
        <w:bidi w:val="0"/>
        <w:spacing w:before="0" w:after="0" w:line="310" w:lineRule="exact"/>
        <w:ind w:left="0" w:right="0" w:firstLine="0"/>
        <w:jc w:val="left"/>
      </w:pPr>
      <w:r>
        <w:rPr>
          <w:color w:val="000000"/>
          <w:spacing w:val="0"/>
          <w:w w:val="100"/>
          <w:position w:val="0"/>
        </w:rPr>
        <w:t>金可可：《论乌木之所有权归属——兼论国家所有权之种类及其限度》，载《东方法学》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朱虎：《国家所有和国家所有权一以乌木所有权归属为中心》，载《华东政法大学学报》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王永霞:《彭州乌木事件的法解释学思考》，载《政法论坛》</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88446B0">
      <w:pPr>
        <w:pStyle w:val="17"/>
        <w:keepNext w:val="0"/>
        <w:keepLines w:val="0"/>
        <w:widowControl w:val="0"/>
        <w:shd w:val="clear" w:color="auto" w:fill="auto"/>
        <w:bidi w:val="0"/>
        <w:spacing w:before="0" w:after="0" w:line="300" w:lineRule="exact"/>
        <w:ind w:left="180" w:right="0" w:hanging="180"/>
        <w:jc w:val="both"/>
      </w:pPr>
      <w:r>
        <w:rPr>
          <w:color w:val="000000"/>
          <w:spacing w:val="0"/>
          <w:w w:val="100"/>
          <w:position w:val="0"/>
        </w:rPr>
        <w:t>王建平:《乌木所有权的归属规则与物权立法的制度缺失——以媒体恶炒发现乌木归个人所有为视 角》，载《当代法学》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69E3699">
      <w:pPr>
        <w:pStyle w:val="17"/>
        <w:keepNext w:val="0"/>
        <w:keepLines w:val="0"/>
        <w:widowControl w:val="0"/>
        <w:shd w:val="clear" w:color="auto" w:fill="auto"/>
        <w:bidi w:val="0"/>
        <w:spacing w:before="0" w:after="0" w:line="300" w:lineRule="exact"/>
        <w:ind w:left="180" w:right="0" w:hanging="180"/>
        <w:jc w:val="both"/>
        <w:sectPr>
          <w:headerReference r:id="rId234" w:type="first"/>
          <w:headerReference r:id="rId232" w:type="default"/>
          <w:headerReference r:id="rId233" w:type="even"/>
          <w:footnotePr>
            <w:numFmt w:val="chicago"/>
          </w:footnotePr>
          <w:pgSz w:w="10099" w:h="14782"/>
          <w:pgMar w:top="1319" w:right="1079" w:bottom="1105" w:left="1023" w:header="0" w:footer="3" w:gutter="0"/>
          <w:pgNumType w:start="174"/>
          <w:cols w:space="720" w:num="1"/>
          <w:titlePg/>
          <w:rtlGutter w:val="0"/>
          <w:docGrid w:linePitch="360" w:charSpace="0"/>
        </w:sectPr>
      </w:pPr>
      <w:r>
        <w:rPr>
          <w:color w:val="000000"/>
          <w:spacing w:val="0"/>
          <w:w w:val="100"/>
          <w:position w:val="0"/>
        </w:rPr>
        <w:t>税兵:《自然资源国家所有权双阶构造说》，载《法学研究》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E97DA20">
      <w:pPr>
        <w:widowControl w:val="0"/>
        <w:spacing w:line="1" w:lineRule="exact"/>
      </w:pPr>
      <w:r>
        <mc:AlternateContent>
          <mc:Choice Requires="wps">
            <w:drawing>
              <wp:anchor distT="0" distB="15240" distL="114300" distR="3069590" simplePos="0" relativeHeight="251660288" behindDoc="0" locked="0" layoutInCell="1" allowOverlap="1">
                <wp:simplePos x="0" y="0"/>
                <wp:positionH relativeFrom="page">
                  <wp:posOffset>860425</wp:posOffset>
                </wp:positionH>
                <wp:positionV relativeFrom="paragraph">
                  <wp:posOffset>12700</wp:posOffset>
                </wp:positionV>
                <wp:extent cx="449580" cy="304800"/>
                <wp:effectExtent l="0" t="0" r="0" b="0"/>
                <wp:wrapTopAndBottom/>
                <wp:docPr id="529" name="Shape 52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523C3422">
                            <w:pPr>
                              <w:pStyle w:val="27"/>
                              <w:keepNext/>
                              <w:keepLines/>
                              <w:widowControl w:val="0"/>
                              <w:shd w:val="clear" w:color="auto" w:fill="auto"/>
                              <w:bidi w:val="0"/>
                              <w:spacing w:before="0" w:after="0" w:line="240" w:lineRule="auto"/>
                              <w:ind w:left="0" w:right="0" w:firstLine="0"/>
                              <w:jc w:val="both"/>
                            </w:pPr>
                            <w:bookmarkStart w:id="366" w:name="bookmark231"/>
                            <w:bookmarkStart w:id="367" w:name="bookmark230"/>
                            <w:bookmarkStart w:id="368" w:name="bookmark229"/>
                            <w:r>
                              <w:rPr>
                                <w:rFonts w:ascii="Times New Roman" w:hAnsi="Times New Roman" w:eastAsia="Times New Roman" w:cs="Times New Roman"/>
                                <w:color w:val="000000"/>
                                <w:spacing w:val="0"/>
                                <w:w w:val="100"/>
                                <w:position w:val="0"/>
                              </w:rPr>
                              <w:t>036</w:t>
                            </w:r>
                            <w:bookmarkEnd w:id="366"/>
                            <w:bookmarkEnd w:id="367"/>
                            <w:bookmarkEnd w:id="368"/>
                          </w:p>
                        </w:txbxContent>
                      </wps:txbx>
                      <wps:bodyPr wrap="none" lIns="0" tIns="0" rIns="0" bIns="0">
                        <a:noAutofit/>
                      </wps:bodyPr>
                    </wps:wsp>
                  </a:graphicData>
                </a:graphic>
              </wp:anchor>
            </w:drawing>
          </mc:Choice>
          <mc:Fallback>
            <w:pict>
              <v:shape id="Shape 529" o:spid="_x0000_s1026" o:spt="202" type="#_x0000_t202" style="position:absolute;left:0pt;margin-left:67.75pt;margin-top:1pt;height:24pt;width:35.4pt;mso-position-horizontal-relative:page;mso-wrap-distance-bottom:1.2pt;mso-wrap-distance-top:0pt;mso-wrap-style:none;z-index:251660288;mso-width-relative:page;mso-height-relative:page;" filled="f" stroked="f" coordsize="21600,21600" o:gfxdata="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DvWVrUAAAA&#10;CAEAAA8AAAAAAAAAAQAgAAAAIgAAAGRycy9kb3ducmV2LnhtbFBLAQIUABQAAAAIAIdO4kBrU9H6&#10;rwEAAHMDAAAOAAAAAAAAAAEAIAAAACMBAABkcnMvZTJvRG9jLnhtbFBLBQYAAAAABgAGAFkBAABE&#10;BQAAAAA=&#10;">
                <v:fill on="f" focussize="0,0"/>
                <v:stroke on="f"/>
                <v:imagedata o:title=""/>
                <o:lock v:ext="edit" aspectratio="f"/>
                <v:textbox inset="0mm,0mm,0mm,0mm">
                  <w:txbxContent>
                    <w:p w14:paraId="523C3422">
                      <w:pPr>
                        <w:pStyle w:val="27"/>
                        <w:keepNext/>
                        <w:keepLines/>
                        <w:widowControl w:val="0"/>
                        <w:shd w:val="clear" w:color="auto" w:fill="auto"/>
                        <w:bidi w:val="0"/>
                        <w:spacing w:before="0" w:after="0" w:line="240" w:lineRule="auto"/>
                        <w:ind w:left="0" w:right="0" w:firstLine="0"/>
                        <w:jc w:val="both"/>
                      </w:pPr>
                      <w:bookmarkStart w:id="366" w:name="bookmark231"/>
                      <w:bookmarkStart w:id="367" w:name="bookmark230"/>
                      <w:bookmarkStart w:id="368" w:name="bookmark229"/>
                      <w:r>
                        <w:rPr>
                          <w:rFonts w:ascii="Times New Roman" w:hAnsi="Times New Roman" w:eastAsia="Times New Roman" w:cs="Times New Roman"/>
                          <w:color w:val="000000"/>
                          <w:spacing w:val="0"/>
                          <w:w w:val="100"/>
                          <w:position w:val="0"/>
                        </w:rPr>
                        <w:t>036</w:t>
                      </w:r>
                      <w:bookmarkEnd w:id="366"/>
                      <w:bookmarkEnd w:id="367"/>
                      <w:bookmarkEnd w:id="368"/>
                    </w:p>
                  </w:txbxContent>
                </v:textbox>
                <w10:wrap type="topAndBottom"/>
              </v:shape>
            </w:pict>
          </mc:Fallback>
        </mc:AlternateContent>
      </w:r>
      <w:r>
        <mc:AlternateContent>
          <mc:Choice Requires="wps">
            <w:drawing>
              <wp:anchor distT="80645" distB="0" distL="702310" distR="114935" simplePos="0" relativeHeight="251660288" behindDoc="0" locked="0" layoutInCell="1" allowOverlap="1">
                <wp:simplePos x="0" y="0"/>
                <wp:positionH relativeFrom="page">
                  <wp:posOffset>1448435</wp:posOffset>
                </wp:positionH>
                <wp:positionV relativeFrom="paragraph">
                  <wp:posOffset>93345</wp:posOffset>
                </wp:positionV>
                <wp:extent cx="2816225" cy="239395"/>
                <wp:effectExtent l="0" t="0" r="0" b="0"/>
                <wp:wrapTopAndBottom/>
                <wp:docPr id="531" name="Shape 531"/>
                <wp:cNvGraphicFramePr/>
                <a:graphic xmlns:a="http://schemas.openxmlformats.org/drawingml/2006/main">
                  <a:graphicData uri="http://schemas.microsoft.com/office/word/2010/wordprocessingShape">
                    <wps:wsp>
                      <wps:cNvSpPr txBox="1"/>
                      <wps:spPr>
                        <a:xfrm>
                          <a:off x="0" y="0"/>
                          <a:ext cx="2816225" cy="239395"/>
                        </a:xfrm>
                        <a:prstGeom prst="rect">
                          <a:avLst/>
                        </a:prstGeom>
                        <a:noFill/>
                      </wps:spPr>
                      <wps:txbx>
                        <w:txbxContent>
                          <w:p w14:paraId="464AE9D1">
                            <w:pPr>
                              <w:pStyle w:val="15"/>
                              <w:keepNext/>
                              <w:keepLines/>
                              <w:widowControl w:val="0"/>
                              <w:shd w:val="clear" w:color="auto" w:fill="auto"/>
                              <w:bidi w:val="0"/>
                              <w:spacing w:before="0" w:after="0" w:line="240" w:lineRule="auto"/>
                              <w:ind w:left="0" w:right="0" w:firstLine="0"/>
                              <w:jc w:val="left"/>
                            </w:pPr>
                            <w:bookmarkStart w:id="369" w:name="bookmark234"/>
                            <w:bookmarkStart w:id="370" w:name="bookmark232"/>
                            <w:bookmarkStart w:id="371" w:name="bookmark233"/>
                            <w:r>
                              <w:rPr>
                                <w:color w:val="000000"/>
                                <w:spacing w:val="0"/>
                                <w:w w:val="100"/>
                                <w:position w:val="0"/>
                              </w:rPr>
                              <w:t>网络虚拟财产的返还财产请求权</w:t>
                            </w:r>
                            <w:bookmarkEnd w:id="369"/>
                            <w:bookmarkEnd w:id="370"/>
                            <w:bookmarkEnd w:id="371"/>
                          </w:p>
                        </w:txbxContent>
                      </wps:txbx>
                      <wps:bodyPr wrap="none" lIns="0" tIns="0" rIns="0" bIns="0">
                        <a:noAutofit/>
                      </wps:bodyPr>
                    </wps:wsp>
                  </a:graphicData>
                </a:graphic>
              </wp:anchor>
            </w:drawing>
          </mc:Choice>
          <mc:Fallback>
            <w:pict>
              <v:shape id="Shape 531" o:spid="_x0000_s1026" o:spt="202" type="#_x0000_t202" style="position:absolute;left:0pt;margin-left:114.05pt;margin-top:7.35pt;height:18.85pt;width:221.75pt;mso-position-horizontal-relative:page;mso-wrap-distance-bottom:0pt;mso-wrap-distance-top:6.35pt;mso-wrap-style:none;z-index:251660288;mso-width-relative:page;mso-height-relative:page;" filled="f" stroked="f" coordsize="21600,21600" o:gfxdata="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TBDrdYA&#10;AAAJAQAADwAAAAAAAAABACAAAAAiAAAAZHJzL2Rvd25yZXYueG1sUEsBAhQAFAAAAAgAh07iQKqH&#10;HO6vAQAAdAMAAA4AAAAAAAAAAQAgAAAAJQEAAGRycy9lMm9Eb2MueG1sUEsFBgAAAAAGAAYAWQEA&#10;AEYFAAAAAA==&#10;">
                <v:fill on="f" focussize="0,0"/>
                <v:stroke on="f"/>
                <v:imagedata o:title=""/>
                <o:lock v:ext="edit" aspectratio="f"/>
                <v:textbox inset="0mm,0mm,0mm,0mm">
                  <w:txbxContent>
                    <w:p w14:paraId="464AE9D1">
                      <w:pPr>
                        <w:pStyle w:val="15"/>
                        <w:keepNext/>
                        <w:keepLines/>
                        <w:widowControl w:val="0"/>
                        <w:shd w:val="clear" w:color="auto" w:fill="auto"/>
                        <w:bidi w:val="0"/>
                        <w:spacing w:before="0" w:after="0" w:line="240" w:lineRule="auto"/>
                        <w:ind w:left="0" w:right="0" w:firstLine="0"/>
                        <w:jc w:val="left"/>
                      </w:pPr>
                      <w:bookmarkStart w:id="369" w:name="bookmark234"/>
                      <w:bookmarkStart w:id="370" w:name="bookmark232"/>
                      <w:bookmarkStart w:id="371" w:name="bookmark233"/>
                      <w:r>
                        <w:rPr>
                          <w:color w:val="000000"/>
                          <w:spacing w:val="0"/>
                          <w:w w:val="100"/>
                          <w:position w:val="0"/>
                        </w:rPr>
                        <w:t>网络虚拟财产的返还财产请求权</w:t>
                      </w:r>
                      <w:bookmarkEnd w:id="369"/>
                      <w:bookmarkEnd w:id="370"/>
                      <w:bookmarkEnd w:id="371"/>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5243195</wp:posOffset>
            </wp:positionH>
            <wp:positionV relativeFrom="paragraph">
              <wp:posOffset>220980</wp:posOffset>
            </wp:positionV>
            <wp:extent cx="621665" cy="640080"/>
            <wp:effectExtent l="0" t="0" r="635" b="7620"/>
            <wp:wrapSquare wrapText="left"/>
            <wp:docPr id="533" name="Shape 533"/>
            <wp:cNvGraphicFramePr/>
            <a:graphic xmlns:a="http://schemas.openxmlformats.org/drawingml/2006/main">
              <a:graphicData uri="http://schemas.openxmlformats.org/drawingml/2006/picture">
                <pic:pic xmlns:pic="http://schemas.openxmlformats.org/drawingml/2006/picture">
                  <pic:nvPicPr>
                    <pic:cNvPr id="533" name="Shape 533"/>
                    <pic:cNvPicPr/>
                  </pic:nvPicPr>
                  <pic:blipFill>
                    <a:blip r:embed="rId640"/>
                    <a:stretch>
                      <a:fillRect/>
                    </a:stretch>
                  </pic:blipFill>
                  <pic:spPr>
                    <a:xfrm>
                      <a:off x="0" y="0"/>
                      <a:ext cx="621665" cy="640080"/>
                    </a:xfrm>
                    <a:prstGeom prst="rect">
                      <a:avLst/>
                    </a:prstGeom>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page">
                  <wp:posOffset>1445260</wp:posOffset>
                </wp:positionH>
                <wp:positionV relativeFrom="paragraph">
                  <wp:posOffset>659765</wp:posOffset>
                </wp:positionV>
                <wp:extent cx="2101850" cy="161290"/>
                <wp:effectExtent l="0" t="0" r="0" b="0"/>
                <wp:wrapTopAndBottom/>
                <wp:docPr id="535" name="Shape 535"/>
                <wp:cNvGraphicFramePr/>
                <a:graphic xmlns:a="http://schemas.openxmlformats.org/drawingml/2006/main">
                  <a:graphicData uri="http://schemas.microsoft.com/office/word/2010/wordprocessingShape">
                    <wps:wsp>
                      <wps:cNvSpPr txBox="1"/>
                      <wps:spPr>
                        <a:xfrm>
                          <a:off x="0" y="0"/>
                          <a:ext cx="2101850" cy="161290"/>
                        </a:xfrm>
                        <a:prstGeom prst="rect">
                          <a:avLst/>
                        </a:prstGeom>
                        <a:noFill/>
                      </wps:spPr>
                      <wps:txbx>
                        <w:txbxContent>
                          <w:p w14:paraId="1C2EE7C1">
                            <w:pPr>
                              <w:pStyle w:val="2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rPr>
                              <w:t>（2018）</w:t>
                            </w:r>
                            <w:r>
                              <w:rPr>
                                <w:rFonts w:ascii="宋体" w:hAnsi="宋体" w:eastAsia="宋体" w:cs="宋体"/>
                                <w:color w:val="000000"/>
                                <w:spacing w:val="0"/>
                                <w:w w:val="100"/>
                                <w:position w:val="0"/>
                                <w:sz w:val="18"/>
                                <w:szCs w:val="18"/>
                              </w:rPr>
                              <w:t>冀</w:t>
                            </w:r>
                            <w:r>
                              <w:rPr>
                                <w:rFonts w:ascii="Times New Roman" w:hAnsi="Times New Roman" w:eastAsia="Times New Roman" w:cs="Times New Roman"/>
                                <w:color w:val="000000"/>
                                <w:spacing w:val="0"/>
                                <w:w w:val="100"/>
                                <w:position w:val="0"/>
                                <w:sz w:val="19"/>
                                <w:szCs w:val="19"/>
                              </w:rPr>
                              <w:t>01</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13196</w:t>
                            </w:r>
                            <w:r>
                              <w:rPr>
                                <w:rFonts w:ascii="宋体" w:hAnsi="宋体" w:eastAsia="宋体" w:cs="宋体"/>
                                <w:color w:val="000000"/>
                                <w:spacing w:val="0"/>
                                <w:w w:val="100"/>
                                <w:position w:val="0"/>
                                <w:sz w:val="18"/>
                                <w:szCs w:val="18"/>
                              </w:rPr>
                              <w:t>号民事判决书</w:t>
                            </w:r>
                          </w:p>
                        </w:txbxContent>
                      </wps:txbx>
                      <wps:bodyPr wrap="none" lIns="0" tIns="0" rIns="0" bIns="0">
                        <a:noAutofit/>
                      </wps:bodyPr>
                    </wps:wsp>
                  </a:graphicData>
                </a:graphic>
              </wp:anchor>
            </w:drawing>
          </mc:Choice>
          <mc:Fallback>
            <w:pict>
              <v:shape id="Shape 535" o:spid="_x0000_s1026" o:spt="202" type="#_x0000_t202" style="position:absolute;left:0pt;margin-left:113.8pt;margin-top:51.95pt;height:12.7pt;width:165.5pt;mso-position-horizontal-relative:page;mso-wrap-distance-bottom:0pt;mso-wrap-distance-top:0pt;mso-wrap-style:none;z-index:251660288;mso-width-relative:page;mso-height-relative:page;" filled="f" stroked="f" coordsize="21600,21600" o:gfxdata="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GpWz&#10;2AAAAAsBAAAPAAAAAAAAAAEAIAAAACIAAABkcnMvZG93bnJldi54bWxQSwECFAAUAAAACACHTuJA&#10;W2FXJK8BAAB0AwAADgAAAAAAAAABACAAAAAnAQAAZHJzL2Uyb0RvYy54bWxQSwUGAAAAAAYABgBZ&#10;AQAASAUAAAAA&#10;">
                <v:fill on="f" focussize="0,0"/>
                <v:stroke on="f"/>
                <v:imagedata o:title=""/>
                <o:lock v:ext="edit" aspectratio="f"/>
                <v:textbox inset="0mm,0mm,0mm,0mm">
                  <w:txbxContent>
                    <w:p w14:paraId="1C2EE7C1">
                      <w:pPr>
                        <w:pStyle w:val="2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rPr>
                        <w:t>（2018）</w:t>
                      </w:r>
                      <w:r>
                        <w:rPr>
                          <w:rFonts w:ascii="宋体" w:hAnsi="宋体" w:eastAsia="宋体" w:cs="宋体"/>
                          <w:color w:val="000000"/>
                          <w:spacing w:val="0"/>
                          <w:w w:val="100"/>
                          <w:position w:val="0"/>
                          <w:sz w:val="18"/>
                          <w:szCs w:val="18"/>
                        </w:rPr>
                        <w:t>冀</w:t>
                      </w:r>
                      <w:r>
                        <w:rPr>
                          <w:rFonts w:ascii="Times New Roman" w:hAnsi="Times New Roman" w:eastAsia="Times New Roman" w:cs="Times New Roman"/>
                          <w:color w:val="000000"/>
                          <w:spacing w:val="0"/>
                          <w:w w:val="100"/>
                          <w:position w:val="0"/>
                          <w:sz w:val="19"/>
                          <w:szCs w:val="19"/>
                        </w:rPr>
                        <w:t>01</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13196</w:t>
                      </w:r>
                      <w:r>
                        <w:rPr>
                          <w:rFonts w:ascii="宋体" w:hAnsi="宋体" w:eastAsia="宋体" w:cs="宋体"/>
                          <w:color w:val="000000"/>
                          <w:spacing w:val="0"/>
                          <w:w w:val="100"/>
                          <w:position w:val="0"/>
                          <w:sz w:val="18"/>
                          <w:szCs w:val="18"/>
                        </w:rPr>
                        <w:t>号民事判决书</w:t>
                      </w:r>
                    </w:p>
                  </w:txbxContent>
                </v:textbox>
                <w10:wrap type="topAndBottom"/>
              </v:shape>
            </w:pict>
          </mc:Fallback>
        </mc:AlternateContent>
      </w:r>
    </w:p>
    <w:p w14:paraId="089A41F6">
      <w:pPr>
        <w:pStyle w:val="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韩某诉李某某返还原物纠纷案丨河北省石家庄市中级人民法院</w:t>
      </w:r>
    </w:p>
    <w:p w14:paraId="75674253">
      <w:pPr>
        <w:pStyle w:val="33"/>
        <w:keepNext w:val="0"/>
        <w:keepLines w:val="0"/>
        <w:widowControl w:val="0"/>
        <w:shd w:val="clear" w:color="auto" w:fill="auto"/>
        <w:bidi w:val="0"/>
        <w:spacing w:before="340" w:after="1380" w:line="240" w:lineRule="auto"/>
        <w:ind w:left="0" w:right="0" w:firstLine="0"/>
        <w:jc w:val="right"/>
      </w:pPr>
      <w:r>
        <w:rPr>
          <w:b/>
          <w:bCs/>
          <w:color w:val="000000"/>
          <w:spacing w:val="0"/>
          <w:w w:val="100"/>
          <w:position w:val="0"/>
          <w:sz w:val="18"/>
          <w:szCs w:val="18"/>
        </w:rPr>
        <w:t>李国弓虽</w:t>
      </w:r>
      <w:r>
        <w:rPr>
          <w:color w:val="000000"/>
          <w:spacing w:val="0"/>
          <w:w w:val="100"/>
          <w:position w:val="0"/>
        </w:rPr>
        <w:t>吉林大学法学院</w:t>
      </w:r>
    </w:p>
    <w:p w14:paraId="7D44C6EC">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7D10E036">
      <w:pPr>
        <w:pStyle w:val="17"/>
        <w:keepNext w:val="0"/>
        <w:keepLines w:val="0"/>
        <w:widowControl w:val="0"/>
        <w:shd w:val="clear" w:color="auto" w:fill="auto"/>
        <w:bidi w:val="0"/>
        <w:spacing w:before="0" w:after="340" w:line="341" w:lineRule="exact"/>
        <w:ind w:left="0" w:right="0"/>
        <w:jc w:val="both"/>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年年初，被上诉人（一审原告）韩某将自己的《大话西游</w:t>
      </w:r>
      <w:r>
        <w:rPr>
          <w:rFonts w:ascii="Times New Roman" w:hAnsi="Times New Roman" w:eastAsia="Times New Roman" w:cs="Times New Roman"/>
          <w:color w:val="000000"/>
          <w:spacing w:val="0"/>
          <w:w w:val="100"/>
          <w:position w:val="0"/>
          <w:sz w:val="19"/>
          <w:szCs w:val="19"/>
          <w:lang w:val="en-US" w:eastAsia="en-US" w:bidi="en-US"/>
        </w:rPr>
        <w:t>Online H</w:t>
      </w:r>
      <w:r>
        <w:rPr>
          <w:color w:val="000000"/>
          <w:spacing w:val="0"/>
          <w:w w:val="100"/>
          <w:position w:val="0"/>
        </w:rPr>
        <w:t>》四个账号交由 上诉人（一审被告）李某某使用。</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 ~24</w:t>
      </w:r>
      <w:r>
        <w:rPr>
          <w:color w:val="000000"/>
          <w:spacing w:val="0"/>
          <w:w w:val="100"/>
          <w:position w:val="0"/>
        </w:rPr>
        <w:t>日，李某某将韩某四个账号中的角色 和角色附带的物品以总计</w:t>
      </w:r>
      <w:r>
        <w:rPr>
          <w:rFonts w:ascii="Times New Roman" w:hAnsi="Times New Roman" w:eastAsia="Times New Roman" w:cs="Times New Roman"/>
          <w:color w:val="000000"/>
          <w:spacing w:val="0"/>
          <w:w w:val="100"/>
          <w:position w:val="0"/>
          <w:sz w:val="19"/>
          <w:szCs w:val="19"/>
        </w:rPr>
        <w:t>320</w:t>
      </w:r>
      <w:r>
        <w:rPr>
          <w:color w:val="000000"/>
          <w:spacing w:val="0"/>
          <w:w w:val="100"/>
          <w:position w:val="0"/>
        </w:rPr>
        <w:t>元的价格出售给自己。关于韩某将自己的四个账号交给上诉 人李某某使用的原因，双方各执一词,且均未能提供充分的证据证明自己的主张，故双方的 相关主张人民法院均不予认可。关于李某某出售给自己的游戏角色及物品的价值，韩某提 供了网络游戏《大话西游</w:t>
      </w:r>
      <w:r>
        <w:rPr>
          <w:rFonts w:ascii="Times New Roman" w:hAnsi="Times New Roman" w:eastAsia="Times New Roman" w:cs="Times New Roman"/>
          <w:color w:val="000000"/>
          <w:spacing w:val="0"/>
          <w:w w:val="100"/>
          <w:position w:val="0"/>
          <w:sz w:val="19"/>
          <w:szCs w:val="19"/>
          <w:lang w:val="en-US" w:eastAsia="en-US" w:bidi="en-US"/>
        </w:rPr>
        <w:t xml:space="preserve">Online </w:t>
      </w:r>
      <w:r>
        <w:rPr>
          <w:rFonts w:ascii="Times New Roman" w:hAnsi="Times New Roman" w:eastAsia="Times New Roman" w:cs="Times New Roman"/>
          <w:color w:val="000000"/>
          <w:spacing w:val="0"/>
          <w:w w:val="100"/>
          <w:position w:val="0"/>
          <w:sz w:val="19"/>
          <w:szCs w:val="19"/>
        </w:rPr>
        <w:t>II</w:t>
      </w:r>
      <w:r>
        <w:rPr>
          <w:color w:val="000000"/>
          <w:spacing w:val="0"/>
          <w:w w:val="100"/>
          <w:position w:val="0"/>
        </w:rPr>
        <w:t>》平台上的官方交易最低价格、《涉案角色物品出售情况》 中李某某向他人出售相关物品的价格等证据证明自己的主张。李某某未提供证据,故按照 其向他人出售相关物品的价格确定物品价值，但出售价格低于游戏平台最低交易价格的， 人民法院按照游戏平台最低交易价格确定物品价值。</w:t>
      </w:r>
    </w:p>
    <w:p w14:paraId="179B584D">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1A47BE0">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驳回上诉，维持原判。</w:t>
      </w:r>
    </w:p>
    <w:p w14:paraId="7111C993">
      <w:pPr>
        <w:pStyle w:val="17"/>
        <w:keepNext w:val="0"/>
        <w:keepLines w:val="0"/>
        <w:widowControl w:val="0"/>
        <w:shd w:val="clear" w:color="auto" w:fill="auto"/>
        <w:bidi w:val="0"/>
        <w:spacing w:before="0" w:after="340" w:line="338" w:lineRule="exact"/>
        <w:ind w:left="0" w:right="0"/>
        <w:jc w:val="both"/>
      </w:pPr>
      <w:r>
        <w:rPr>
          <w:color w:val="000000"/>
          <w:spacing w:val="0"/>
          <w:w w:val="100"/>
          <w:position w:val="0"/>
        </w:rPr>
        <w:t>被上诉人韩某在网络游戏《大话西游</w:t>
      </w:r>
      <w:r>
        <w:rPr>
          <w:rFonts w:ascii="Times New Roman" w:hAnsi="Times New Roman" w:eastAsia="Times New Roman" w:cs="Times New Roman"/>
          <w:color w:val="000000"/>
          <w:spacing w:val="0"/>
          <w:w w:val="100"/>
          <w:position w:val="0"/>
          <w:sz w:val="19"/>
          <w:szCs w:val="19"/>
          <w:lang w:val="en-US" w:eastAsia="en-US" w:bidi="en-US"/>
        </w:rPr>
        <w:t>Online D</w:t>
      </w:r>
      <w:r>
        <w:rPr>
          <w:color w:val="000000"/>
          <w:spacing w:val="0"/>
          <w:w w:val="100"/>
          <w:position w:val="0"/>
        </w:rPr>
        <w:t>》中所实际控制的四个游戏账号中的游 戏角色及附带物品属于原《民法总则》第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条所规定的网络虚拟财产，对该财产的合法权 利应当予以保护。被上诉人韩某将自己实际控制的游戏账号交给上诉人李某某使用，上诉 人在此使用过程中应当基于善意、合理的原则，不得对被上诉人的权利造成损害。而上诉 人在使用被上诉人账号过程中，在没有经过被上诉人同意的情况下,擅自将游戏中的角色 和装备以明显不合理的低价出售给自己，明显侵害了被上诉人的网络虚拟财产权利，故被 上诉人要求上诉人返还原物或赔偿损失的请求,人民法院予以支持。</w:t>
      </w:r>
    </w:p>
    <w:p w14:paraId="7F3278A9">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rPr>
        <w:t>■评析</w:t>
      </w:r>
    </w:p>
    <w:p w14:paraId="38C01316">
      <w:pPr>
        <w:pStyle w:val="17"/>
        <w:keepNext w:val="0"/>
        <w:keepLines w:val="0"/>
        <w:widowControl w:val="0"/>
        <w:shd w:val="clear" w:color="auto" w:fill="auto"/>
        <w:bidi w:val="0"/>
        <w:spacing w:before="0" w:after="80" w:line="341" w:lineRule="exact"/>
        <w:ind w:left="0" w:right="0" w:firstLine="0"/>
        <w:jc w:val="left"/>
      </w:pPr>
      <w:r>
        <w:rPr>
          <w:color w:val="000000"/>
          <w:spacing w:val="0"/>
          <w:w w:val="100"/>
          <w:position w:val="0"/>
        </w:rPr>
        <w:t>①本判决的思路和意义</w:t>
      </w:r>
    </w:p>
    <w:p w14:paraId="34EF70E8">
      <w:pPr>
        <w:pStyle w:val="17"/>
        <w:keepNext w:val="0"/>
        <w:keepLines w:val="0"/>
        <w:widowControl w:val="0"/>
        <w:shd w:val="clear" w:color="auto" w:fill="auto"/>
        <w:bidi w:val="0"/>
        <w:spacing w:before="0" w:after="220" w:line="343" w:lineRule="exact"/>
        <w:ind w:left="0" w:right="0"/>
        <w:jc w:val="both"/>
        <w:sectPr>
          <w:headerReference r:id="rId235" w:type="default"/>
          <w:headerReference r:id="rId236" w:type="even"/>
          <w:footnotePr>
            <w:numFmt w:val="chicago"/>
          </w:footnotePr>
          <w:pgSz w:w="10099" w:h="14782"/>
          <w:pgMar w:top="1319" w:right="988" w:bottom="1097" w:left="1105" w:header="891" w:footer="669" w:gutter="0"/>
          <w:pgNumType w:start="192"/>
          <w:cols w:space="720" w:num="1"/>
          <w:rtlGutter w:val="0"/>
          <w:docGrid w:linePitch="360" w:charSpace="0"/>
        </w:sectPr>
      </w:pPr>
      <w:r>
        <w:rPr>
          <w:color w:val="000000"/>
          <w:spacing w:val="0"/>
          <w:w w:val="100"/>
          <w:position w:val="0"/>
        </w:rPr>
        <w:t>本判决主要依据《侵权责任法》第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项规定作出,遵循的是侵权责任法 的逻辑。人民法院首先依据《民法总则》第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条认为被上诉人对网络虚拟财产享有的权</w:t>
      </w:r>
    </w:p>
    <w:p w14:paraId="0133A93F">
      <w:pPr>
        <w:pStyle w:val="17"/>
        <w:keepNext w:val="0"/>
        <w:keepLines w:val="0"/>
        <w:widowControl w:val="0"/>
        <w:shd w:val="clear" w:color="auto" w:fill="auto"/>
        <w:bidi w:val="0"/>
        <w:spacing w:before="0" w:after="280" w:line="342" w:lineRule="exact"/>
        <w:ind w:left="0" w:right="0" w:firstLine="0"/>
        <w:jc w:val="both"/>
      </w:pPr>
      <w:r>
        <w:rPr>
          <w:color w:val="000000"/>
          <w:spacing w:val="0"/>
          <w:w w:val="100"/>
          <w:position w:val="0"/>
        </w:rPr>
        <w:t>利为财产权，进而确认在权利人脱离了对网络虚拟财产控制并产生财产损失的情况下，权 利人既可以请求返还财产，也可以请求赔偿损失。本判决在《民法总则》第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条规定的基 础上，明确了网络虚拟财产权利的保护路径。虽然《民法总则》第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 xml:space="preserve">127 </w:t>
      </w:r>
      <w:r>
        <w:rPr>
          <w:color w:val="000000"/>
          <w:spacing w:val="0"/>
          <w:w w:val="100"/>
          <w:position w:val="0"/>
        </w:rPr>
        <w:t>条）已经明确规定网络虚拟财产上成立的民事权利受到法律保护，但其既没有明确其财产 权属性，也没有明确相关保护性请求权内容。本案作为第一例支持权利人基于网络虚拟财 产权利主张返还财产请求权的判决值得关注。</w:t>
      </w:r>
    </w:p>
    <w:p w14:paraId="25482D8D">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网络虚拟财产权利保护的规范依据及其学理分析</w:t>
      </w:r>
    </w:p>
    <w:p w14:paraId="57E6C78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网络虚拟财产纠纷已经随着计算机技术和网络的发展而层出不穷，如何保护网络虚拟 财产权利涉及两方面问题:一是作为保护前提的网络虚拟财产权利的性质定位问题;二是 权利保护方式或者保护性请求权的规范依据问题。</w:t>
      </w:r>
    </w:p>
    <w:p w14:paraId="34F250E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在原《民法总则》颁布之前,就网络虚拟财产权利的性质，学界存在债权说、物权说、知 识产权说、无形财产权说、新型财产权说等不同见解。其中物权说为多数说，而债权说亦为 有力说。在原《民法总则》的立法过程中，草案曾一度采纳将网络虚拟财产视为物而成立物 权的观点，《民法总则草案》（一审稿）第</w:t>
      </w:r>
      <w:r>
        <w:rPr>
          <w:rFonts w:ascii="Times New Roman" w:hAnsi="Times New Roman" w:eastAsia="Times New Roman" w:cs="Times New Roman"/>
          <w:color w:val="000000"/>
          <w:spacing w:val="0"/>
          <w:w w:val="100"/>
          <w:position w:val="0"/>
          <w:sz w:val="19"/>
          <w:szCs w:val="19"/>
        </w:rPr>
        <w:t>104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款规定:“法律规定具体权利或者网络虚 拟财产作为物权客体的，依照其规定</w:t>
      </w:r>
      <w:r>
        <w:rPr>
          <w:color w:val="000000"/>
          <w:spacing w:val="0"/>
          <w:w w:val="100"/>
          <w:position w:val="0"/>
          <w:lang w:val="zh-CN" w:eastAsia="zh-CN" w:bidi="zh-CN"/>
        </w:rPr>
        <w:t>。”但</w:t>
      </w:r>
      <w:r>
        <w:rPr>
          <w:color w:val="000000"/>
          <w:spacing w:val="0"/>
          <w:w w:val="100"/>
          <w:position w:val="0"/>
        </w:rPr>
        <w:t>最后鉴于各界对网络虚拟财产的概念范畴、保护 范围、权利属性、权利义务内容存在较大争议，因而最终原《民法总则》只作原则性规定。尽 管网络虚拟财产已被原《民法总则》第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条列为民事权利保护的对象，但网络虚拟财产权 利的性质仍未清晰界定,加之原《民法总则》第</w:t>
      </w:r>
      <w:r>
        <w:rPr>
          <w:rFonts w:ascii="Times New Roman" w:hAnsi="Times New Roman" w:eastAsia="Times New Roman" w:cs="Times New Roman"/>
          <w:color w:val="000000"/>
          <w:spacing w:val="0"/>
          <w:w w:val="100"/>
          <w:position w:val="0"/>
          <w:sz w:val="19"/>
          <w:szCs w:val="19"/>
        </w:rPr>
        <w:t>126</w:t>
      </w:r>
      <w:r>
        <w:rPr>
          <w:color w:val="000000"/>
          <w:spacing w:val="0"/>
          <w:w w:val="100"/>
          <w:position w:val="0"/>
        </w:rPr>
        <w:t>条是列举了人身权和财产权的民事权益 兜底性规定，因此也不能简单肯定其为财产权，但是从“网络虚拟财产</w:t>
      </w:r>
      <w:r>
        <w:rPr>
          <w:color w:val="000000"/>
          <w:spacing w:val="0"/>
          <w:w w:val="100"/>
          <w:position w:val="0"/>
          <w:lang w:val="zh-CN" w:eastAsia="zh-CN" w:bidi="zh-CN"/>
        </w:rPr>
        <w:t>”的用</w:t>
      </w:r>
      <w:r>
        <w:rPr>
          <w:color w:val="000000"/>
          <w:spacing w:val="0"/>
          <w:w w:val="100"/>
          <w:position w:val="0"/>
        </w:rPr>
        <w:t>语以及其与人 格身份没有必然联系等方面来看，网络虚拟财产权利应认定为财产权无疑，只是无法纳入 既有的财产权体系而已。原《民法总则》颁布后，比较有代表性的观点认为:网络虚拟财产 权并非是一种仅具单一法律属性的财产权利，而是由分别对应着网络虚拟财产权内部的相 对性债权和对应着外部法律关系的绝对性财产权共同组成的权利束［陈甦主编:《民法总则评 注》（下册），法律出版社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886</w:t>
      </w:r>
      <w:r>
        <w:rPr>
          <w:color w:val="000000"/>
          <w:spacing w:val="0"/>
          <w:w w:val="100"/>
          <w:position w:val="0"/>
        </w:rPr>
        <w:t>页］。学界的各种不同学说亦都明确了网络虚拟财产 权为财产权，本判决亦明确了网络虚拟财产权利这一性质定位。需要进一步明确的是，网 络虚拟财产权既具有传统民法物权的特征,也具有债权的特征:一方面，从权利主体到被支 配的虚拟物品，完全可以类比人对于有体物的支配，在使用的过程中虚拟物品会不断发生 变化,其变化的过程虽然发生在网络运营商的服务器中，但并不受网络运营商的控制；另一 方面，虚拟财产的运行、存储以及权利变动，需要通过网络经营者履行用户协议，实现用户 之间的信息交换，网络虚拟财产权利对于网络服务提供者与网络用户之间的合同具有依附 性，合同的履行会对网络虚拟财产权利中的利益关系产生直接影响。</w:t>
      </w:r>
    </w:p>
    <w:p w14:paraId="0C887D8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法律对网络虚拟财产权利的保护方式没有明确的规定，《民法典》第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条本质上是一 个指引性条款，并未具体规定网络虚拟财产权利相关保护性请求权的内容（张新宝:《〈中华人 民共和国民法总则〉释义》，中国人民大学出版社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250</w:t>
      </w:r>
      <w:r>
        <w:rPr>
          <w:color w:val="000000"/>
          <w:spacing w:val="0"/>
          <w:w w:val="100"/>
          <w:position w:val="0"/>
        </w:rPr>
        <w:t>页）。对此，《民法典》延续了原 《民法总则》的规定，未作修改。因此，只能通过援引类似权利的规则以完善保护的规则。 虽然网络虚拟财产权利是兼具物权和债权属性的财产权，但在物权和债权二分的财产权体 系下，也只能通过选择一种既有路径解释,将其纳入物权或债权的保护逻辑加以解释、描述 和表达，简单将网络虚拟财产权利定位为既不同于物权也不同于债权的新型财产权不能解 决任何问题,除非网络虚拟财产权利也像知识产权和股权一样有明确的特别规定。</w:t>
      </w:r>
    </w:p>
    <w:p w14:paraId="4987816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在本判决中，从规则适用的逻辑融贯与简练上考虑，应将网络虚拟财产类比物权加以 解释，因此判决虽然支持了返还原物的请求,但其依据是原《侵权责任法》第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条）而不是原《物权法》第</w:t>
      </w:r>
      <w:r>
        <w:rPr>
          <w:rFonts w:ascii="Times New Roman" w:hAnsi="Times New Roman" w:eastAsia="Times New Roman" w:cs="Times New Roman"/>
          <w:color w:val="000000"/>
          <w:spacing w:val="0"/>
          <w:w w:val="100"/>
          <w:position w:val="0"/>
          <w:sz w:val="19"/>
          <w:szCs w:val="19"/>
        </w:rPr>
        <w:t>34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235</w:t>
      </w:r>
      <w:r>
        <w:rPr>
          <w:color w:val="000000"/>
          <w:spacing w:val="0"/>
          <w:w w:val="100"/>
          <w:position w:val="0"/>
        </w:rPr>
        <w:t>条），说明人民法院并不认为网 络虚拟财产权利就是物权。严格地讲，返还财产和返还原物具有不同的含义,返还财产指 向的范围更广，返还不当得利以及合同无效或被撤销后的返还财产都不属于原《侵权责任 法》的返还财产，否则会发生法律关系混乱的结果（魏振瀛:《民事责任与债分离研究》，北京大学 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323</w:t>
      </w:r>
      <w:r>
        <w:rPr>
          <w:color w:val="000000"/>
          <w:spacing w:val="0"/>
          <w:w w:val="100"/>
          <w:position w:val="0"/>
        </w:rPr>
        <w:t>页）。《民法典》第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项规定的“返还财产</w:t>
      </w:r>
      <w:r>
        <w:rPr>
          <w:color w:val="000000"/>
          <w:spacing w:val="0"/>
          <w:w w:val="100"/>
          <w:position w:val="0"/>
          <w:lang w:val="zh-CN" w:eastAsia="zh-CN" w:bidi="zh-CN"/>
        </w:rPr>
        <w:t>”主</w:t>
      </w:r>
      <w:r>
        <w:rPr>
          <w:color w:val="000000"/>
          <w:spacing w:val="0"/>
          <w:w w:val="100"/>
          <w:position w:val="0"/>
        </w:rPr>
        <w:t>要是指 返还原物，除此之外,还应该包括其他具有绝对权属性的财产权利的返还,而虚拟财产权类 比物权也具有绝对权属性，虚拟财产权利人可以行使返还财产请求权。另外,在我国《民法 典》第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条规定了返还财产的责任承担方式的情况下，权利人这一请求并无逻辑障碍。 在具体操作层面，由于虚拟财产不具有物的有体性，因此其被他人侵占的主要表现形式是 权利人的账号及密码被修改,使得权利人不能登录账号,在返还财产请求权的行使上，只能 请求侵权人告知新的账号和密码,以此方式恢复对虚拟财产的控制。</w:t>
      </w:r>
    </w:p>
    <w:p w14:paraId="72854BA2">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综上所述，网络虚拟财产权利的保护应该通过解释《民法典》第</w:t>
      </w:r>
      <w:r>
        <w:rPr>
          <w:rFonts w:ascii="Times New Roman" w:hAnsi="Times New Roman" w:eastAsia="Times New Roman" w:cs="Times New Roman"/>
          <w:color w:val="000000"/>
          <w:spacing w:val="0"/>
          <w:w w:val="100"/>
          <w:position w:val="0"/>
          <w:sz w:val="19"/>
          <w:szCs w:val="19"/>
        </w:rPr>
        <w:t>127</w:t>
      </w:r>
      <w:r>
        <w:rPr>
          <w:color w:val="000000"/>
          <w:spacing w:val="0"/>
          <w:w w:val="100"/>
          <w:position w:val="0"/>
        </w:rPr>
        <w:t>条将其性质界定为 财产权，再根据具体情况分别适用物权或债权保护的规则，如本案所涉权利人对网络虚拟 财产的控制为他人侵夺的情形,可以将《民法典》第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条的相关规则适用于物权以外的具 有绝对权属性的财产权，确认权利人基于网络虚拟财产权可以主张返还财产请求权。</w:t>
      </w:r>
    </w:p>
    <w:p w14:paraId="7FEACA5A">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lang w:val="en-US" w:eastAsia="en-US" w:bidi="en-US"/>
        </w:rPr>
        <w:t>®</w:t>
      </w:r>
      <w:r>
        <w:rPr>
          <w:color w:val="000000"/>
          <w:spacing w:val="0"/>
          <w:w w:val="100"/>
          <w:position w:val="0"/>
        </w:rPr>
        <w:t>既往司法实践状况</w:t>
      </w:r>
    </w:p>
    <w:p w14:paraId="72D1EE83">
      <w:pPr>
        <w:pStyle w:val="17"/>
        <w:keepNext w:val="0"/>
        <w:keepLines w:val="0"/>
        <w:widowControl w:val="0"/>
        <w:shd w:val="clear" w:color="auto" w:fill="auto"/>
        <w:bidi w:val="0"/>
        <w:spacing w:before="0" w:after="0" w:line="342" w:lineRule="exact"/>
        <w:ind w:left="0" w:right="0" w:firstLine="420"/>
        <w:jc w:val="both"/>
        <w:sectPr>
          <w:headerReference r:id="rId239" w:type="first"/>
          <w:headerReference r:id="rId237" w:type="default"/>
          <w:headerReference r:id="rId238" w:type="even"/>
          <w:footnotePr>
            <w:numFmt w:val="chicago"/>
          </w:footnotePr>
          <w:pgSz w:w="10099" w:h="14782"/>
          <w:pgMar w:top="1319" w:right="988" w:bottom="1097" w:left="1105" w:header="0" w:footer="3" w:gutter="0"/>
          <w:pgNumType w:start="177"/>
          <w:cols w:space="720" w:num="1"/>
          <w:titlePg/>
          <w:rtlGutter w:val="0"/>
          <w:docGrid w:linePitch="360" w:charSpace="0"/>
        </w:sectPr>
      </w:pPr>
      <w:r>
        <w:rPr>
          <w:color w:val="000000"/>
          <w:spacing w:val="0"/>
          <w:w w:val="100"/>
          <w:position w:val="0"/>
        </w:rPr>
        <w:t>既往判决中，人民法院多不会明确网络虚拟财产权利属于物权,但会按照物权的逻辑 来论证其财产属性,例如，在</w:t>
      </w:r>
      <w:r>
        <w:rPr>
          <w:color w:val="000000"/>
          <w:spacing w:val="0"/>
          <w:w w:val="100"/>
          <w:position w:val="0"/>
          <w:lang w:val="zh-CN" w:eastAsia="zh-CN" w:bidi="zh-CN"/>
        </w:rPr>
        <w:t>“韩林</w:t>
      </w:r>
      <w:r>
        <w:rPr>
          <w:color w:val="000000"/>
          <w:spacing w:val="0"/>
          <w:w w:val="100"/>
          <w:position w:val="0"/>
        </w:rPr>
        <w:t>以虚拟财产被盗为由诉上海盛大网络发展有限公司娱乐 服务合同纠纷案</w:t>
      </w:r>
      <w:r>
        <w:rPr>
          <w:color w:val="000000"/>
          <w:spacing w:val="0"/>
          <w:w w:val="100"/>
          <w:position w:val="0"/>
          <w:lang w:val="zh-CN" w:eastAsia="zh-CN" w:bidi="zh-CN"/>
        </w:rPr>
        <w:t>”［开</w:t>
      </w:r>
      <w:r>
        <w:rPr>
          <w:color w:val="000000"/>
          <w:spacing w:val="0"/>
          <w:w w:val="100"/>
          <w:position w:val="0"/>
        </w:rPr>
        <w:t>封市鼓楼区人民法院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鼓民初字第</w:t>
      </w:r>
      <w:r>
        <w:rPr>
          <w:rFonts w:ascii="Times New Roman" w:hAnsi="Times New Roman" w:eastAsia="Times New Roman" w:cs="Times New Roman"/>
          <w:color w:val="000000"/>
          <w:spacing w:val="0"/>
          <w:w w:val="100"/>
          <w:position w:val="0"/>
          <w:sz w:val="17"/>
          <w:szCs w:val="17"/>
        </w:rPr>
        <w:t>475</w:t>
      </w:r>
      <w:r>
        <w:rPr>
          <w:color w:val="000000"/>
          <w:spacing w:val="0"/>
          <w:w w:val="100"/>
          <w:position w:val="0"/>
        </w:rPr>
        <w:t>号民事判决书］中，人民法院认 为原告作为消费者通过支付对价和亲身劳动获得游戏中的相关虚拟物品，系合法所得,且 在游戏中能够为玩家提供使用功能和交换价值，具有财产属性。在“于静诉孙江泰合同纠 纷案"北京市第二中级人民法院</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二中民终字第</w:t>
      </w:r>
      <w:r>
        <w:rPr>
          <w:rFonts w:ascii="Times New Roman" w:hAnsi="Times New Roman" w:eastAsia="Times New Roman" w:cs="Times New Roman"/>
          <w:color w:val="000000"/>
          <w:spacing w:val="0"/>
          <w:w w:val="100"/>
          <w:position w:val="0"/>
          <w:sz w:val="17"/>
          <w:szCs w:val="17"/>
        </w:rPr>
        <w:t>18570</w:t>
      </w:r>
      <w:r>
        <w:rPr>
          <w:color w:val="000000"/>
          <w:spacing w:val="0"/>
          <w:w w:val="100"/>
          <w:position w:val="0"/>
        </w:rPr>
        <w:t>号民事判决书］中，人民法院概括阐释 了网络虚拟财产具有一般财产的属性:第一,有用性;第二，稀缺性;第三，可控制性。这种财 产属性完全是依据物权客体的概括。原《民法总则》施行后的案例多承认网络虚拟财产权 的财产权属性，同时也指出其不属于物权。女口“冯亦然与北京乐酷达网络科技有限公司合 同纠纷案</w:t>
      </w:r>
      <w:r>
        <w:rPr>
          <w:color w:val="000000"/>
          <w:spacing w:val="0"/>
          <w:w w:val="100"/>
          <w:position w:val="0"/>
          <w:lang w:val="zh-CN" w:eastAsia="zh-CN" w:bidi="zh-CN"/>
        </w:rPr>
        <w:t>”［北</w:t>
      </w:r>
      <w:r>
        <w:rPr>
          <w:color w:val="000000"/>
          <w:spacing w:val="0"/>
          <w:w w:val="100"/>
          <w:position w:val="0"/>
        </w:rPr>
        <w:t>京市第一中级人民法院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9579</w:t>
      </w:r>
      <w:r>
        <w:rPr>
          <w:color w:val="000000"/>
          <w:spacing w:val="0"/>
          <w:w w:val="100"/>
          <w:position w:val="0"/>
        </w:rPr>
        <w:t>号民事判决书］中，人民法院认为，我 国现行法律没有将比特币等网络虚拟财产规定为物权法上的</w:t>
      </w:r>
      <w:r>
        <w:rPr>
          <w:color w:val="000000"/>
          <w:spacing w:val="0"/>
          <w:w w:val="100"/>
          <w:position w:val="0"/>
          <w:lang w:val="zh-CN" w:eastAsia="zh-CN" w:bidi="zh-CN"/>
        </w:rPr>
        <w:t>“物”，因</w:t>
      </w:r>
      <w:r>
        <w:rPr>
          <w:color w:val="000000"/>
          <w:spacing w:val="0"/>
          <w:w w:val="100"/>
          <w:position w:val="0"/>
        </w:rPr>
        <w:t>而基于物权法定原 则,冯亦然无法按照所有权的法律规定（如孳息）而要求乐酷达公司交付比特币</w:t>
      </w:r>
      <w:r>
        <w:rPr>
          <w:color w:val="000000"/>
          <w:spacing w:val="0"/>
          <w:w w:val="100"/>
          <w:position w:val="0"/>
          <w:lang w:val="zh-CN" w:eastAsia="zh-CN" w:bidi="zh-CN"/>
        </w:rPr>
        <w:t xml:space="preserve">“分叉”所产 </w:t>
      </w:r>
      <w:r>
        <w:rPr>
          <w:color w:val="000000"/>
          <w:spacing w:val="0"/>
          <w:w w:val="100"/>
          <w:position w:val="0"/>
        </w:rPr>
        <w:t xml:space="preserve">生的比特币现金。值得注意的是，有关网络虚拟财产的刑事案件有很多，在有关网络虚拟 </w:t>
      </w:r>
    </w:p>
    <w:p w14:paraId="782A81FF">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财产的唯一最高人民法院公报案例</w:t>
      </w:r>
      <w:r>
        <w:rPr>
          <w:color w:val="000000"/>
          <w:spacing w:val="0"/>
          <w:w w:val="100"/>
          <w:position w:val="0"/>
          <w:lang w:val="zh-CN" w:eastAsia="zh-CN" w:bidi="zh-CN"/>
        </w:rPr>
        <w:t>“上海</w:t>
      </w:r>
      <w:r>
        <w:rPr>
          <w:color w:val="000000"/>
          <w:spacing w:val="0"/>
          <w:w w:val="100"/>
          <w:position w:val="0"/>
        </w:rPr>
        <w:t>市黄浦区人民检察院诉孟动、何立康网络盗窃案” （载《中华人民共和国最高人民法院公报》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期）中，人民法院认定网络虚拟财产属于盗 窃罪的犯罪对象即公私财物，只要盗窃行为已实现了非法占有该虚拟财产在现实生活中所 对应的被害人财产。这是将网络虚拟财产视为物，但同时又考虑其虚拟的特殊性。</w:t>
      </w:r>
    </w:p>
    <w:p w14:paraId="21E9B86D">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在本判决之前，相关纠纷多发生在网络服务提供者和用户之间，既有合同纠纷也有侵 权纠纷，判决结果主要从市场价值的角度保护权利人的利益,确认的保护方式主要是赔偿 损失。在颇具影响的</w:t>
      </w:r>
      <w:r>
        <w:rPr>
          <w:color w:val="000000"/>
          <w:spacing w:val="0"/>
          <w:w w:val="100"/>
          <w:position w:val="0"/>
          <w:lang w:val="zh-CN" w:eastAsia="zh-CN" w:bidi="zh-CN"/>
        </w:rPr>
        <w:t>“李宏</w:t>
      </w:r>
      <w:r>
        <w:rPr>
          <w:color w:val="000000"/>
          <w:spacing w:val="0"/>
          <w:w w:val="100"/>
          <w:position w:val="0"/>
        </w:rPr>
        <w:t>晨诉北京北极冰科技发展有限公司娱乐服务合同纠纷案</w:t>
      </w:r>
      <w:r>
        <w:rPr>
          <w:color w:val="000000"/>
          <w:spacing w:val="0"/>
          <w:w w:val="100"/>
          <w:position w:val="0"/>
          <w:lang w:val="zh-CN" w:eastAsia="zh-CN" w:bidi="zh-CN"/>
        </w:rPr>
        <w:t>”［北</w:t>
      </w:r>
      <w:r>
        <w:rPr>
          <w:color w:val="000000"/>
          <w:spacing w:val="0"/>
          <w:w w:val="100"/>
          <w:position w:val="0"/>
        </w:rPr>
        <w:t>京 市第二中级人民法院</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二中民终字第</w:t>
      </w:r>
      <w:r>
        <w:rPr>
          <w:rFonts w:ascii="Times New Roman" w:hAnsi="Times New Roman" w:eastAsia="Times New Roman" w:cs="Times New Roman"/>
          <w:color w:val="000000"/>
          <w:spacing w:val="0"/>
          <w:w w:val="100"/>
          <w:position w:val="0"/>
          <w:sz w:val="17"/>
          <w:szCs w:val="17"/>
        </w:rPr>
        <w:t>02877</w:t>
      </w:r>
      <w:r>
        <w:rPr>
          <w:color w:val="000000"/>
          <w:spacing w:val="0"/>
          <w:w w:val="100"/>
          <w:position w:val="0"/>
        </w:rPr>
        <w:t>号民事判决书］中，人民法院判决被告网络服务提 供者承担网络安全保障不利的责任，依据的是违反安全保障义务承担侵权责任的逻辑。需 要厘清的一个重要问题是,网络服务提供者对于网络虚拟财产承担的此种安全保障义务， 究竟是来源于合同约定还是法律直接规定，仅从逻辑上来看,要求网络服务提供者对于网 络虚拟财产承担侵权法上的安全保障义务，实际上仍然是拟物化思维模式的产物，即研究 者先验地将网络虚拟财产视为一项绝对权，而对其所处之法律关系性质为何则未作更多关 注。该案发生于</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年,当时原《民法总则》和原《侵权责任法》都没有颁布,法律并未明文 规定网络服务提供者的安全保障义务,按照主流观点，对于网络服务提供者来说，所谓网络 虚拟财产只不过是其向网络用户提供的一系列服务行为而已，因此，网络用户实际上是要 求网络服务提供者继续履行合同义务，而非侵权法上的安全保障义务［陈甦主编:《民法总则评 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889</w:t>
      </w:r>
      <w:r>
        <w:rPr>
          <w:color w:val="000000"/>
          <w:spacing w:val="0"/>
          <w:w w:val="100"/>
          <w:position w:val="0"/>
        </w:rPr>
        <w:t>页］。所以,也可以认为网络用户向网络服务提供者主 张权利依据的是合同债权的保护逻辑，这在</w:t>
      </w:r>
      <w:r>
        <w:rPr>
          <w:color w:val="000000"/>
          <w:spacing w:val="0"/>
          <w:w w:val="100"/>
          <w:position w:val="0"/>
          <w:lang w:val="zh-CN" w:eastAsia="zh-CN" w:bidi="zh-CN"/>
        </w:rPr>
        <w:t>“张</w:t>
      </w:r>
      <w:r>
        <w:rPr>
          <w:color w:val="000000"/>
          <w:spacing w:val="0"/>
          <w:w w:val="100"/>
          <w:position w:val="0"/>
        </w:rPr>
        <w:t>戈与北京华清飞扬网络股份有限公司网络 侵权责任纠纷案</w:t>
      </w:r>
      <w:r>
        <w:rPr>
          <w:color w:val="000000"/>
          <w:spacing w:val="0"/>
          <w:w w:val="100"/>
          <w:position w:val="0"/>
          <w:lang w:val="zh-CN" w:eastAsia="zh-CN" w:bidi="zh-CN"/>
        </w:rPr>
        <w:t>”［北</w:t>
      </w:r>
      <w:r>
        <w:rPr>
          <w:color w:val="000000"/>
          <w:spacing w:val="0"/>
          <w:w w:val="100"/>
          <w:position w:val="0"/>
        </w:rPr>
        <w:t>京市第二中级人民法院（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4209</w:t>
      </w:r>
      <w:r>
        <w:rPr>
          <w:color w:val="000000"/>
          <w:spacing w:val="0"/>
          <w:w w:val="100"/>
          <w:position w:val="0"/>
        </w:rPr>
        <w:t>号民事判决书］中得到进一步 改进,人民法院认为，在华清飞扬网络公司提供有偿服务之时,概不应由他人直接承担提供 产品存在的瑕疵或疏漏之结果，在公平交易中，不应在无法定前提和明确约定的情况下由 一方决定双方的责任承担，故该公司理应承担侵权责任。在这些案例中，均不涉及网络虚 拟财产的返还财产请求权的问题。</w:t>
      </w:r>
    </w:p>
    <w:p w14:paraId="1FD597B0">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3ED508A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本判决通过侵权责任的路径,保护了网络虚拟财产权利人主张返还财产的权利，有利 于形成对网络虚拟财产保护的基本路径，也符合原《民法总则》颁布以来学界的多数观点。</w:t>
      </w:r>
    </w:p>
    <w:p w14:paraId="212FC89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需要注意的是，本判决同时引用原《侵权责任法》第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条和原《民法总则》第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条是 错误的。这是因为,两部法律关于返还财产的责任承担方式的规定是一致的，表述不同在 于一为侵权责任的承担方式，二为民事责任的承担方式。在《民法典》颁布之前，原《侵权责 任法》应为分则性质的特别法，原《民法总则》为总则性质的一般法，因此，按照法律适用的 规则,应适用原《侵权责任法》规定而无需再引用原《民法总则》的相关规定。而在民法典颁 布生效后，《民法典》侵权责任编不再规定责任承担方式的内容，因而也不会再有此种适用 法律的错误。</w:t>
      </w:r>
    </w:p>
    <w:p w14:paraId="6CCCD47C">
      <w:pPr>
        <w:pStyle w:val="17"/>
        <w:keepNext w:val="0"/>
        <w:keepLines w:val="0"/>
        <w:widowControl w:val="0"/>
        <w:shd w:val="clear" w:color="auto" w:fill="auto"/>
        <w:bidi w:val="0"/>
        <w:spacing w:before="0" w:after="360" w:line="344" w:lineRule="exact"/>
        <w:ind w:left="0" w:right="0" w:firstLine="420"/>
        <w:jc w:val="both"/>
        <w:sectPr>
          <w:headerReference r:id="rId240" w:type="default"/>
          <w:headerReference r:id="rId241" w:type="even"/>
          <w:footnotePr>
            <w:numFmt w:val="chicago"/>
          </w:footnotePr>
          <w:pgSz w:w="10099" w:h="14782"/>
          <w:pgMar w:top="1319" w:right="988" w:bottom="1097" w:left="1105" w:header="0" w:footer="669" w:gutter="0"/>
          <w:pgNumType w:start="195"/>
          <w:cols w:space="720" w:num="1"/>
          <w:rtlGutter w:val="0"/>
          <w:docGrid w:linePitch="360" w:charSpace="0"/>
        </w:sectPr>
      </w:pPr>
      <w:r>
        <w:rPr>
          <w:color w:val="000000"/>
          <w:spacing w:val="0"/>
          <w:w w:val="100"/>
          <w:position w:val="0"/>
        </w:rPr>
        <w:t xml:space="preserve">当前，造成网络虚拟财产利益损失的原因很多，大致可以归为四类:第一，网络游戏经 </w:t>
      </w:r>
    </w:p>
    <w:p w14:paraId="09B0C47D">
      <w:pPr>
        <w:pStyle w:val="17"/>
        <w:keepNext w:val="0"/>
        <w:keepLines w:val="0"/>
        <w:widowControl w:val="0"/>
        <w:shd w:val="clear" w:color="auto" w:fill="auto"/>
        <w:bidi w:val="0"/>
        <w:spacing w:before="0" w:after="360" w:line="344" w:lineRule="exact"/>
        <w:ind w:left="0" w:right="0" w:firstLine="0"/>
        <w:jc w:val="both"/>
      </w:pPr>
      <w:r>
        <w:rPr>
          <w:color w:val="000000"/>
          <w:spacing w:val="0"/>
          <w:w w:val="100"/>
          <w:position w:val="0"/>
        </w:rPr>
        <w:t>营者实施的行为导致虚拟财产损失;第二，网络游戏经营者未尽到安全注意义务导致虚拟 财产损失;第三，网络用户对自己的虚拟财产未尽到安全保护义务;第四，利用网络技术非 法入侵导致虚拟财产损失（沈德咏主编:《〈中华人民共和国民法总则〉条文理解与适用》，人民法院 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869</w:t>
      </w:r>
      <w:r>
        <w:rPr>
          <w:color w:val="000000"/>
          <w:spacing w:val="0"/>
          <w:w w:val="100"/>
          <w:position w:val="0"/>
        </w:rPr>
        <w:t>页）。复杂多样的纠纷使得网络虚拟财产的权利人面临向直接侵害者 和网络服务提供者主张权利的难题，在没有特别法规定网络虚拟财产权利保护的具体规则 以前，相对而言，人民法院也需要选择不同的物权和债权保护的逻辑来解释网络虚拟财产 权保护的规则，这些问题值得进一步探讨。</w:t>
      </w:r>
    </w:p>
    <w:p w14:paraId="3786EC78">
      <w:pPr>
        <w:pStyle w:val="11"/>
        <w:keepNext w:val="0"/>
        <w:keepLines w:val="0"/>
        <w:widowControl w:val="0"/>
        <w:shd w:val="clear" w:color="auto" w:fill="auto"/>
        <w:bidi w:val="0"/>
        <w:spacing w:before="0" w:after="40" w:line="340" w:lineRule="exact"/>
        <w:ind w:left="0" w:right="0" w:firstLine="0"/>
        <w:jc w:val="both"/>
      </w:pPr>
      <w:r>
        <w:rPr>
          <w:i/>
          <w:iCs/>
          <w:color w:val="000000"/>
          <w:spacing w:val="0"/>
          <w:w w:val="100"/>
          <w:position w:val="0"/>
        </w:rPr>
        <w:t>回</w:t>
      </w:r>
      <w:r>
        <w:rPr>
          <w:color w:val="000000"/>
          <w:spacing w:val="0"/>
          <w:w w:val="100"/>
          <w:position w:val="0"/>
        </w:rPr>
        <w:t>参考文献</w:t>
      </w:r>
    </w:p>
    <w:p w14:paraId="11DD9F38">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李适时:《中华人民共和国民法总则释义》，法律出版社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5D5BFC1">
      <w:pPr>
        <w:pStyle w:val="17"/>
        <w:keepNext w:val="0"/>
        <w:keepLines w:val="0"/>
        <w:widowControl w:val="0"/>
        <w:shd w:val="clear" w:color="auto" w:fill="auto"/>
        <w:bidi w:val="0"/>
        <w:spacing w:before="0" w:after="100" w:line="340" w:lineRule="exact"/>
        <w:ind w:left="0" w:right="0" w:firstLine="0"/>
        <w:jc w:val="left"/>
      </w:pPr>
      <w:r>
        <w:rPr>
          <w:color w:val="000000"/>
          <w:spacing w:val="0"/>
          <w:w w:val="100"/>
          <w:position w:val="0"/>
        </w:rPr>
        <w:t>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4182068">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张新宝：《〈中华人民共和国民法总则〉释义》，中国人民大学出版社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4B0A6A04">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林旭霞:《虚拟财产权研究》，法律出版社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40A9FC37">
      <w:pPr>
        <w:pStyle w:val="17"/>
        <w:keepNext w:val="0"/>
        <w:keepLines w:val="0"/>
        <w:widowControl w:val="0"/>
        <w:shd w:val="clear" w:color="auto" w:fill="auto"/>
        <w:bidi w:val="0"/>
        <w:spacing w:before="0" w:after="0" w:line="340" w:lineRule="exact"/>
        <w:ind w:left="0" w:right="0" w:firstLine="0"/>
        <w:jc w:val="left"/>
      </w:pPr>
      <w:r>
        <w:rPr>
          <w:color w:val="000000"/>
          <w:spacing w:val="0"/>
          <w:w w:val="100"/>
          <w:position w:val="0"/>
        </w:rPr>
        <w:t>魏振瀛:《民事责任与债分离研究》，北京大学出版社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6F24CBE9">
      <w:pPr>
        <w:pStyle w:val="17"/>
        <w:keepNext w:val="0"/>
        <w:keepLines w:val="0"/>
        <w:widowControl w:val="0"/>
        <w:shd w:val="clear" w:color="auto" w:fill="auto"/>
        <w:tabs>
          <w:tab w:val="left" w:leader="hyphen" w:pos="3374"/>
        </w:tabs>
        <w:bidi w:val="0"/>
        <w:spacing w:before="0" w:after="0" w:line="340" w:lineRule="exact"/>
        <w:ind w:left="0" w:right="0" w:firstLine="0"/>
        <w:jc w:val="both"/>
      </w:pPr>
      <w:r>
        <w:rPr>
          <w:color w:val="000000"/>
          <w:spacing w:val="0"/>
          <w:w w:val="100"/>
          <w:position w:val="0"/>
        </w:rPr>
        <w:t>许可：《网络虚拟财产物权定位的证立</w:t>
      </w:r>
      <w:r>
        <w:rPr>
          <w:color w:val="000000"/>
          <w:spacing w:val="0"/>
          <w:w w:val="100"/>
          <w:position w:val="0"/>
        </w:rPr>
        <w:tab/>
      </w:r>
      <w:r>
        <w:rPr>
          <w:color w:val="000000"/>
          <w:spacing w:val="0"/>
          <w:w w:val="100"/>
          <w:position w:val="0"/>
        </w:rPr>
        <w:t>个后果论的进路》，载《政法论坛》</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04D7080">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70BF5ED7">
      <w:pPr>
        <w:pStyle w:val="17"/>
        <w:keepNext w:val="0"/>
        <w:keepLines w:val="0"/>
        <w:widowControl w:val="0"/>
        <w:shd w:val="clear" w:color="auto" w:fill="auto"/>
        <w:bidi w:val="0"/>
        <w:spacing w:before="0" w:after="100" w:line="340" w:lineRule="exact"/>
        <w:ind w:left="0" w:right="0" w:firstLine="0"/>
        <w:jc w:val="both"/>
        <w:sectPr>
          <w:headerReference r:id="rId242" w:type="default"/>
          <w:headerReference r:id="rId243" w:type="even"/>
          <w:footnotePr>
            <w:numFmt w:val="chicago"/>
          </w:footnotePr>
          <w:pgSz w:w="10099" w:h="14782"/>
          <w:pgMar w:top="1319" w:right="988" w:bottom="1097" w:left="1105" w:header="0" w:footer="669" w:gutter="0"/>
          <w:pgNumType w:start="180"/>
          <w:cols w:space="720" w:num="1"/>
          <w:rtlGutter w:val="0"/>
          <w:docGrid w:linePitch="360" w:charSpace="0"/>
        </w:sectPr>
      </w:pPr>
      <w:r>
        <w:rPr>
          <w:color w:val="000000"/>
          <w:spacing w:val="0"/>
          <w:w w:val="100"/>
          <w:position w:val="0"/>
        </w:rPr>
        <w:t>沈德咏主编:《〈中华人民共和国民法总则〉条文理解与适用》，人民法院出版社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62B10AD">
      <w:pPr>
        <w:widowControl w:val="0"/>
        <w:spacing w:line="119" w:lineRule="exact"/>
        <w:rPr>
          <w:sz w:val="10"/>
          <w:szCs w:val="10"/>
        </w:rPr>
      </w:pPr>
    </w:p>
    <w:p w14:paraId="7672CA28">
      <w:pPr>
        <w:widowControl w:val="0"/>
        <w:spacing w:line="1" w:lineRule="exact"/>
        <w:sectPr>
          <w:headerReference r:id="rId244" w:type="default"/>
          <w:headerReference r:id="rId245" w:type="even"/>
          <w:footnotePr>
            <w:numFmt w:val="chicago"/>
          </w:footnotePr>
          <w:pgSz w:w="10099" w:h="14782"/>
          <w:pgMar w:top="1338" w:right="1094" w:bottom="1084" w:left="1011" w:header="0" w:footer="3" w:gutter="0"/>
          <w:pgNumType w:start="197"/>
          <w:cols w:space="720" w:num="1"/>
          <w:rtlGutter w:val="0"/>
          <w:docGrid w:linePitch="360" w:charSpace="0"/>
        </w:sectPr>
      </w:pPr>
    </w:p>
    <w:p w14:paraId="73299D6F">
      <w:pPr>
        <w:widowControl w:val="0"/>
        <w:spacing w:line="1" w:lineRule="exact"/>
      </w:pPr>
      <w:r>
        <mc:AlternateContent>
          <mc:Choice Requires="wps">
            <w:drawing>
              <wp:anchor distT="0" distB="35560" distL="0" distR="0" simplePos="0" relativeHeight="251660288" behindDoc="0" locked="0" layoutInCell="1" allowOverlap="1">
                <wp:simplePos x="0" y="0"/>
                <wp:positionH relativeFrom="page">
                  <wp:posOffset>705485</wp:posOffset>
                </wp:positionH>
                <wp:positionV relativeFrom="paragraph">
                  <wp:posOffset>0</wp:posOffset>
                </wp:positionV>
                <wp:extent cx="450850" cy="304800"/>
                <wp:effectExtent l="0" t="0" r="0" b="0"/>
                <wp:wrapTopAndBottom/>
                <wp:docPr id="551" name="Shape 551"/>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7B6F0773">
                            <w:pPr>
                              <w:pStyle w:val="27"/>
                              <w:keepNext/>
                              <w:keepLines/>
                              <w:widowControl w:val="0"/>
                              <w:shd w:val="clear" w:color="auto" w:fill="auto"/>
                              <w:bidi w:val="0"/>
                              <w:spacing w:before="0" w:after="0" w:line="240" w:lineRule="auto"/>
                              <w:ind w:left="0" w:right="0" w:firstLine="0"/>
                              <w:jc w:val="both"/>
                            </w:pPr>
                            <w:bookmarkStart w:id="372" w:name="bookmark235"/>
                            <w:bookmarkStart w:id="373" w:name="bookmark236"/>
                            <w:bookmarkStart w:id="374" w:name="bookmark237"/>
                            <w:r>
                              <w:rPr>
                                <w:rFonts w:ascii="Times New Roman" w:hAnsi="Times New Roman" w:eastAsia="Times New Roman" w:cs="Times New Roman"/>
                                <w:color w:val="000000"/>
                                <w:spacing w:val="0"/>
                                <w:w w:val="100"/>
                                <w:position w:val="0"/>
                                <w:lang w:val="zh-TW" w:eastAsia="zh-TW" w:bidi="zh-TW"/>
                              </w:rPr>
                              <w:t>037</w:t>
                            </w:r>
                            <w:bookmarkEnd w:id="372"/>
                            <w:bookmarkEnd w:id="373"/>
                            <w:bookmarkEnd w:id="374"/>
                          </w:p>
                        </w:txbxContent>
                      </wps:txbx>
                      <wps:bodyPr wrap="none" lIns="0" tIns="0" rIns="0" bIns="0">
                        <a:noAutofit/>
                      </wps:bodyPr>
                    </wps:wsp>
                  </a:graphicData>
                </a:graphic>
              </wp:anchor>
            </w:drawing>
          </mc:Choice>
          <mc:Fallback>
            <w:pict>
              <v:shape id="Shape 551" o:spid="_x0000_s1026" o:spt="202" type="#_x0000_t202" style="position:absolute;left:0pt;margin-left:55.55pt;margin-top:0pt;height:24pt;width:35.5pt;mso-position-horizontal-relative:page;mso-wrap-distance-bottom:2.8pt;mso-wrap-distance-top:0pt;mso-wrap-style:none;z-index:251660288;mso-width-relative:page;mso-height-relative:page;" filled="f" stroked="f" coordsize="21600,21600" o:gfxdata="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RD78JNEAAAAHAQAA&#10;DwAAAAAAAAABACAAAAAiAAAAZHJzL2Rvd25yZXYueG1sUEsBAhQAFAAAAAgAh07iQCkueCCuAQAA&#10;cwMAAA4AAAAAAAAAAQAgAAAAIAEAAGRycy9lMm9Eb2MueG1sUEsFBgAAAAAGAAYAWQEAAEAFAAAA&#10;AA==&#10;">
                <v:fill on="f" focussize="0,0"/>
                <v:stroke on="f"/>
                <v:imagedata o:title=""/>
                <o:lock v:ext="edit" aspectratio="f"/>
                <v:textbox inset="0mm,0mm,0mm,0mm">
                  <w:txbxContent>
                    <w:p w14:paraId="7B6F0773">
                      <w:pPr>
                        <w:pStyle w:val="27"/>
                        <w:keepNext/>
                        <w:keepLines/>
                        <w:widowControl w:val="0"/>
                        <w:shd w:val="clear" w:color="auto" w:fill="auto"/>
                        <w:bidi w:val="0"/>
                        <w:spacing w:before="0" w:after="0" w:line="240" w:lineRule="auto"/>
                        <w:ind w:left="0" w:right="0" w:firstLine="0"/>
                        <w:jc w:val="both"/>
                      </w:pPr>
                      <w:bookmarkStart w:id="372" w:name="bookmark235"/>
                      <w:bookmarkStart w:id="373" w:name="bookmark236"/>
                      <w:bookmarkStart w:id="374" w:name="bookmark237"/>
                      <w:r>
                        <w:rPr>
                          <w:rFonts w:ascii="Times New Roman" w:hAnsi="Times New Roman" w:eastAsia="Times New Roman" w:cs="Times New Roman"/>
                          <w:color w:val="000000"/>
                          <w:spacing w:val="0"/>
                          <w:w w:val="100"/>
                          <w:position w:val="0"/>
                          <w:lang w:val="zh-TW" w:eastAsia="zh-TW" w:bidi="zh-TW"/>
                        </w:rPr>
                        <w:t>037</w:t>
                      </w:r>
                      <w:bookmarkEnd w:id="372"/>
                      <w:bookmarkEnd w:id="373"/>
                      <w:bookmarkEnd w:id="374"/>
                    </w:p>
                  </w:txbxContent>
                </v:textbox>
                <w10:wrap type="topAndBottom"/>
              </v:shape>
            </w:pict>
          </mc:Fallback>
        </mc:AlternateContent>
      </w:r>
      <w:r>
        <mc:AlternateContent>
          <mc:Choice Requires="wps">
            <w:drawing>
              <wp:anchor distT="90170" distB="12700" distL="0" distR="0" simplePos="0" relativeHeight="251660288" behindDoc="0" locked="0" layoutInCell="1" allowOverlap="1">
                <wp:simplePos x="0" y="0"/>
                <wp:positionH relativeFrom="page">
                  <wp:posOffset>1289050</wp:posOffset>
                </wp:positionH>
                <wp:positionV relativeFrom="paragraph">
                  <wp:posOffset>90170</wp:posOffset>
                </wp:positionV>
                <wp:extent cx="3404870" cy="237490"/>
                <wp:effectExtent l="0" t="0" r="0" b="0"/>
                <wp:wrapTopAndBottom/>
                <wp:docPr id="553" name="Shape 553"/>
                <wp:cNvGraphicFramePr/>
                <a:graphic xmlns:a="http://schemas.openxmlformats.org/drawingml/2006/main">
                  <a:graphicData uri="http://schemas.microsoft.com/office/word/2010/wordprocessingShape">
                    <wps:wsp>
                      <wps:cNvSpPr txBox="1"/>
                      <wps:spPr>
                        <a:xfrm>
                          <a:off x="0" y="0"/>
                          <a:ext cx="3404870" cy="237490"/>
                        </a:xfrm>
                        <a:prstGeom prst="rect">
                          <a:avLst/>
                        </a:prstGeom>
                        <a:noFill/>
                      </wps:spPr>
                      <wps:txbx>
                        <w:txbxContent>
                          <w:p w14:paraId="6B3DEBB5">
                            <w:pPr>
                              <w:pStyle w:val="15"/>
                              <w:keepNext/>
                              <w:keepLines/>
                              <w:widowControl w:val="0"/>
                              <w:shd w:val="clear" w:color="auto" w:fill="auto"/>
                              <w:bidi w:val="0"/>
                              <w:spacing w:before="0" w:after="0" w:line="240" w:lineRule="auto"/>
                              <w:ind w:left="0" w:right="0" w:firstLine="0"/>
                              <w:jc w:val="left"/>
                            </w:pPr>
                            <w:bookmarkStart w:id="375" w:name="bookmark239"/>
                            <w:bookmarkStart w:id="376" w:name="bookmark240"/>
                            <w:bookmarkStart w:id="377" w:name="bookmark238"/>
                            <w:r>
                              <w:rPr>
                                <w:color w:val="000000"/>
                                <w:spacing w:val="0"/>
                                <w:w w:val="100"/>
                                <w:position w:val="0"/>
                              </w:rPr>
                              <w:t>区分所有建筑物楼顶空间及其架空层的</w:t>
                            </w:r>
                            <w:bookmarkEnd w:id="375"/>
                            <w:bookmarkEnd w:id="376"/>
                            <w:bookmarkEnd w:id="377"/>
                          </w:p>
                        </w:txbxContent>
                      </wps:txbx>
                      <wps:bodyPr wrap="none" lIns="0" tIns="0" rIns="0" bIns="0">
                        <a:noAutofit/>
                      </wps:bodyPr>
                    </wps:wsp>
                  </a:graphicData>
                </a:graphic>
              </wp:anchor>
            </w:drawing>
          </mc:Choice>
          <mc:Fallback>
            <w:pict>
              <v:shape id="Shape 553" o:spid="_x0000_s1026" o:spt="202" type="#_x0000_t202" style="position:absolute;left:0pt;margin-left:101.5pt;margin-top:7.1pt;height:18.7pt;width:268.1pt;mso-position-horizontal-relative:page;mso-wrap-distance-bottom:1pt;mso-wrap-distance-top:7.1pt;mso-wrap-style:none;z-index:251660288;mso-width-relative:page;mso-height-relative:page;" filled="f" stroked="f" coordsize="21600,21600" o:gfxdata="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y1Qgq&#10;1wAAAAkBAAAPAAAAAAAAAAEAIAAAACIAAABkcnMvZG93bnJldi54bWxQSwECFAAUAAAACACHTuJA&#10;ehpcV7ABAAB0AwAADgAAAAAAAAABACAAAAAmAQAAZHJzL2Uyb0RvYy54bWxQSwUGAAAAAAYABgBZ&#10;AQAASAUAAAAA&#10;">
                <v:fill on="f" focussize="0,0"/>
                <v:stroke on="f"/>
                <v:imagedata o:title=""/>
                <o:lock v:ext="edit" aspectratio="f"/>
                <v:textbox inset="0mm,0mm,0mm,0mm">
                  <w:txbxContent>
                    <w:p w14:paraId="6B3DEBB5">
                      <w:pPr>
                        <w:pStyle w:val="15"/>
                        <w:keepNext/>
                        <w:keepLines/>
                        <w:widowControl w:val="0"/>
                        <w:shd w:val="clear" w:color="auto" w:fill="auto"/>
                        <w:bidi w:val="0"/>
                        <w:spacing w:before="0" w:after="0" w:line="240" w:lineRule="auto"/>
                        <w:ind w:left="0" w:right="0" w:firstLine="0"/>
                        <w:jc w:val="left"/>
                      </w:pPr>
                      <w:bookmarkStart w:id="375" w:name="bookmark239"/>
                      <w:bookmarkStart w:id="376" w:name="bookmark240"/>
                      <w:bookmarkStart w:id="377" w:name="bookmark238"/>
                      <w:r>
                        <w:rPr>
                          <w:color w:val="000000"/>
                          <w:spacing w:val="0"/>
                          <w:w w:val="100"/>
                          <w:position w:val="0"/>
                        </w:rPr>
                        <w:t>区分所有建筑物楼顶空间及其架空层的</w:t>
                      </w:r>
                      <w:bookmarkEnd w:id="375"/>
                      <w:bookmarkEnd w:id="376"/>
                      <w:bookmarkEnd w:id="377"/>
                    </w:p>
                  </w:txbxContent>
                </v:textbox>
                <w10:wrap type="topAndBottom"/>
              </v:shape>
            </w:pict>
          </mc:Fallback>
        </mc:AlternateContent>
      </w:r>
    </w:p>
    <w:p w14:paraId="00260C62">
      <w:pPr>
        <w:pStyle w:val="15"/>
        <w:keepNext/>
        <w:keepLines/>
        <w:widowControl w:val="0"/>
        <w:shd w:val="clear" w:color="auto" w:fill="auto"/>
        <w:bidi w:val="0"/>
        <w:spacing w:before="0" w:after="0" w:line="240" w:lineRule="auto"/>
        <w:ind w:left="0" w:right="0" w:firstLine="1000"/>
        <w:jc w:val="left"/>
      </w:pPr>
      <w:bookmarkStart w:id="70" w:name="bookmark243"/>
      <w:bookmarkStart w:id="71" w:name="bookmark242"/>
      <w:bookmarkStart w:id="72" w:name="bookmark241"/>
      <w:r>
        <w:rPr>
          <w:color w:val="000000"/>
          <w:spacing w:val="0"/>
          <w:w w:val="100"/>
          <w:position w:val="0"/>
        </w:rPr>
        <w:t>所有权归属</w:t>
      </w:r>
      <w:bookmarkEnd w:id="70"/>
      <w:bookmarkEnd w:id="71"/>
      <w:bookmarkEnd w:id="72"/>
    </w:p>
    <w:p w14:paraId="1B50A8F8">
      <w:pPr>
        <w:pStyle w:val="17"/>
        <w:keepNext w:val="0"/>
        <w:keepLines w:val="0"/>
        <w:widowControl w:val="0"/>
        <w:shd w:val="clear" w:color="auto" w:fill="auto"/>
        <w:bidi w:val="0"/>
        <w:spacing w:before="0" w:after="400" w:line="336" w:lineRule="exact"/>
        <w:ind w:left="1000" w:right="0" w:firstLine="20"/>
        <w:jc w:val="left"/>
      </w:pPr>
      <w:r>
        <w:rPr>
          <w:color w:val="000000"/>
          <w:spacing w:val="0"/>
          <w:w w:val="100"/>
          <w:position w:val="0"/>
        </w:rPr>
        <w:t>曾李峰等</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人与东兴房地产开发有限公司、东淮房地产开发有限 公司财产损害纠纷案丨福建省泉州市中级人民法院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泉民 终字第</w:t>
      </w:r>
      <w:r>
        <w:rPr>
          <w:rFonts w:ascii="Times New Roman" w:hAnsi="Times New Roman" w:eastAsia="Times New Roman" w:cs="Times New Roman"/>
          <w:color w:val="000000"/>
          <w:spacing w:val="0"/>
          <w:w w:val="100"/>
          <w:position w:val="0"/>
          <w:sz w:val="19"/>
          <w:szCs w:val="19"/>
        </w:rPr>
        <w:t>342</w:t>
      </w:r>
      <w:r>
        <w:rPr>
          <w:color w:val="000000"/>
          <w:spacing w:val="0"/>
          <w:w w:val="100"/>
          <w:position w:val="0"/>
        </w:rPr>
        <w:t>号民事判决书</w:t>
      </w:r>
    </w:p>
    <w:p w14:paraId="0025921D">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陈华彬</w:t>
      </w:r>
      <w:r>
        <w:rPr>
          <w:color w:val="000000"/>
          <w:spacing w:val="0"/>
          <w:w w:val="100"/>
          <w:position w:val="0"/>
        </w:rPr>
        <w:t>中央财经大学法学院</w:t>
      </w:r>
    </w:p>
    <w:p w14:paraId="301A0A43">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20B55C09">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原告曾李峠等</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人系丰泽区兴淮花苑小区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幢的业主，二被告是该小区的开发公司： 东兴房地产开发有限公司、东淮房地产开发有限公司。开发商违反规划图纸的设计方案， 擅自将</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幢第十二层屋顶架空层围砌围墙，违章扩建成楼房。部分业主遂诉至法院，请求 判令被告立即停止侵权行为并拆除对屋顶围筑的违章建筑物,严格按规划部门批准的规划 设计方案恢复原状。</w:t>
      </w:r>
    </w:p>
    <w:p w14:paraId="0355C28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被告东兴房地产公司辩称，该屋顶也就是第十三层的建筑物，是经过政府相关部门批 准建筑的，并未作为公摊面积由业主公摊,所以其所有权并不属原告。</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幢第十二层屋顶与 原告不具有利益关系，未侵犯原告的合法权益,请求驳回原告的诉讼请求或中止其诉讼请 求。被告东淮房地产公司辩称,原告没有资格要求拆除建筑物,双方诉争的建筑物属行政 部门管理范畴，且该部分未列入原告的公摊部分，请求驳回原告的诉求。</w:t>
      </w:r>
    </w:p>
    <w:p w14:paraId="682B34E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一审法院福建省泉州市丰泽区人民法院认为，原告所提供的证据可以证明兴淮花苑小 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 xml:space="preserve">幢第十二层屋顶架空层原规划设计中并没有围砌成封闭墙体，被告所提供的证据印证 了这一事实，且被告对该事实也不予否认。现被告违反规划设计，私自将该架空层部分围 砌封闭墙体,侵犯了 </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幢业主的权益。该架空部分虽未计入业主的公摊面积，但其使用权 仍属</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幢的业主，被告作为开发公司无处分权。原告要求被告拆除私自围砌的封闭墙体合 理合法，该诉求应予支持。根据《民事诉讼法》第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款,《民法通则》第</w:t>
      </w:r>
      <w:r>
        <w:rPr>
          <w:rFonts w:ascii="Times New Roman" w:hAnsi="Times New Roman" w:eastAsia="Times New Roman" w:cs="Times New Roman"/>
          <w:color w:val="000000"/>
          <w:spacing w:val="0"/>
          <w:w w:val="100"/>
          <w:position w:val="0"/>
          <w:sz w:val="19"/>
          <w:szCs w:val="19"/>
        </w:rPr>
        <w:t xml:space="preserve">117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款的规定，判决二被告限期拆除在丰泽区兴淮花苑小区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幢第十二层屋顶架空层违 章围砌的建筑墙体。</w:t>
      </w:r>
    </w:p>
    <w:p w14:paraId="0B0195CC">
      <w:pPr>
        <w:pStyle w:val="17"/>
        <w:keepNext w:val="0"/>
        <w:keepLines w:val="0"/>
        <w:widowControl w:val="0"/>
        <w:shd w:val="clear" w:color="auto" w:fill="auto"/>
        <w:bidi w:val="0"/>
        <w:spacing w:before="0" w:after="400" w:line="341" w:lineRule="exact"/>
        <w:ind w:left="0" w:right="0" w:firstLine="420"/>
        <w:jc w:val="left"/>
        <w:sectPr>
          <w:footnotePr>
            <w:numFmt w:val="chicago"/>
          </w:footnotePr>
          <w:type w:val="continuous"/>
          <w:pgSz w:w="10099" w:h="14782"/>
          <w:pgMar w:top="1338" w:right="1094" w:bottom="1084" w:left="1011" w:header="910" w:footer="656" w:gutter="0"/>
          <w:cols w:space="720" w:num="1"/>
          <w:rtlGutter w:val="0"/>
          <w:docGrid w:linePitch="360" w:charSpace="0"/>
        </w:sectPr>
      </w:pPr>
      <w:r>
        <w:rPr>
          <w:color w:val="000000"/>
          <w:spacing w:val="0"/>
          <w:w w:val="100"/>
          <w:position w:val="0"/>
        </w:rPr>
        <w:t>东兴房地产开发有限公司、东淮房地产开发有限公司不服，提起上诉。</w:t>
      </w:r>
    </w:p>
    <w:p w14:paraId="0C258A98">
      <w:pPr>
        <w:pStyle w:val="11"/>
        <w:keepNext w:val="0"/>
        <w:keepLines w:val="0"/>
        <w:widowControl w:val="0"/>
        <w:shd w:val="clear" w:color="auto" w:fill="auto"/>
        <w:bidi w:val="0"/>
        <w:spacing w:before="0" w:after="100"/>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9D9E678">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驳回上诉，维持原判。</w:t>
      </w:r>
    </w:p>
    <w:p w14:paraId="597FE840">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二审法院福建省泉州市中级人民法院认为，本案诉争的屋顶架空部分在原规划设计中 并没有围砌封闭墙体，也没有涵括在</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幢建筑面积中，没有计入业主的公摊面积，属于非独 立的所有权空间,不属于某位业主所有，也不属于业主的公摊范围，更不属于开发公司的产 权保留空间,应属于兴淮花苑小区</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幢楼房全体区分所有权人所共有，上诉人无权处分。 上诉人未经该楼房的所有业主同意，违反规划设计，擅自将屋顶架空部分围砌成封闭墙体, 改变该架空层的结构和用途，侵犯了该楼房全体区分所有权人的权利。</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位被上诉人是该 楼房的部分业主,有权提起民事侵权诉讼,判决驳回上诉,维持原判。</w:t>
      </w:r>
    </w:p>
    <w:p w14:paraId="087064E9">
      <w:pPr>
        <w:pStyle w:val="11"/>
        <w:keepNext w:val="0"/>
        <w:keepLines w:val="0"/>
        <w:widowControl w:val="0"/>
        <w:shd w:val="clear" w:color="auto" w:fill="auto"/>
        <w:bidi w:val="0"/>
        <w:spacing w:before="0" w:after="100"/>
        <w:ind w:left="0" w:right="0" w:firstLine="0"/>
        <w:jc w:val="both"/>
      </w:pPr>
      <w:r>
        <w:rPr>
          <w:color w:val="000000"/>
          <w:spacing w:val="0"/>
          <w:w w:val="100"/>
          <w:position w:val="0"/>
        </w:rPr>
        <w:t>■评析</w:t>
      </w:r>
    </w:p>
    <w:p w14:paraId="7F33C4B8">
      <w:pPr>
        <w:pStyle w:val="17"/>
        <w:keepNext w:val="0"/>
        <w:keepLines w:val="0"/>
        <w:widowControl w:val="0"/>
        <w:shd w:val="clear" w:color="auto" w:fill="auto"/>
        <w:bidi w:val="0"/>
        <w:spacing w:before="0" w:after="100" w:line="340" w:lineRule="exact"/>
        <w:ind w:left="0" w:right="0" w:firstLine="0"/>
        <w:jc w:val="both"/>
      </w:pPr>
      <w:r>
        <w:rPr>
          <w:color w:val="000000"/>
          <w:spacing w:val="0"/>
          <w:w w:val="100"/>
          <w:position w:val="0"/>
        </w:rPr>
        <w:t>①本判决的思路和意义</w:t>
      </w:r>
    </w:p>
    <w:p w14:paraId="3B73B8C0">
      <w:pPr>
        <w:pStyle w:val="17"/>
        <w:keepNext w:val="0"/>
        <w:keepLines w:val="0"/>
        <w:widowControl w:val="0"/>
        <w:shd w:val="clear" w:color="auto" w:fill="auto"/>
        <w:bidi w:val="0"/>
        <w:spacing w:before="0" w:after="160" w:line="347" w:lineRule="exact"/>
        <w:ind w:left="0" w:right="0" w:firstLine="420"/>
        <w:jc w:val="both"/>
      </w:pPr>
      <w:r>
        <w:rPr>
          <w:color w:val="000000"/>
          <w:spacing w:val="0"/>
          <w:w w:val="100"/>
          <w:position w:val="0"/>
        </w:rPr>
        <w:t>本案于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年一审</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年二审，届时尚无关于该案件（问题）的明确规定，故法院主 要依物权法学理予以裁判。裁判主要围绕该楼顶空间及其架空层的所有权归属问题展开。 法院认为，该楼顶空间及其架空层,并非独立的所有权空间，其不属于某业主单独所有，也 不属于开发商的产权保留空间，即便未计入公摊面积,仍属于该幢楼房全体区分所有权人 共有。该裁判做出了正确的判断，有利于维护业主合法权益，正本清源，值得肯定。</w:t>
      </w:r>
    </w:p>
    <w:p w14:paraId="21F6BEA9">
      <w:pPr>
        <w:pStyle w:val="17"/>
        <w:keepNext w:val="0"/>
        <w:keepLines w:val="0"/>
        <w:widowControl w:val="0"/>
        <w:shd w:val="clear" w:color="auto" w:fill="auto"/>
        <w:bidi w:val="0"/>
        <w:spacing w:before="0" w:after="160" w:line="340"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区分所有建筑物楼顶空间及其架空层的所有权归属的规范与学理或法理</w:t>
      </w:r>
    </w:p>
    <w:p w14:paraId="1A3FDB8A">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立法上，关于楼顶空间及其架空层所有权的归属，主要经历了如下阶段:第一阶段，原 《物权法》颁布以前,建设部等的相关规定倾向于将此认定为共用部分（但非所有权归属意 义上的概念）。</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年原建设部、财政部《住宅共用部位共用设施设备维修基金管理办法》 （现已失效）第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条规定:“本办法所称共用部位是指住宅主体承重结构部位（包括基础、内 外承重墙体、柱、梁、楼板、屋顶等）、户外墙面、门厅、楼梯间、走廊通道等。</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年原 建设部《公有住宅售后维修养护管理暂行办法》（现已失效）第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“住</w:t>
      </w:r>
      <w:r>
        <w:rPr>
          <w:color w:val="000000"/>
          <w:spacing w:val="0"/>
          <w:w w:val="100"/>
          <w:position w:val="0"/>
        </w:rPr>
        <w:t>宅的共 用部位，是指承重结构部位（包括楼盖、屋顶、梁、柱、内外墙体和基础等）、外墙面、楼梯间、 走廊通道、门厅、楼内自行车存车库等</w:t>
      </w:r>
      <w:r>
        <w:rPr>
          <w:color w:val="000000"/>
          <w:spacing w:val="0"/>
          <w:w w:val="100"/>
          <w:position w:val="0"/>
          <w:lang w:val="zh-CN" w:eastAsia="zh-CN" w:bidi="zh-CN"/>
        </w:rPr>
        <w:t>。”第</w:t>
      </w:r>
      <w:r>
        <w:rPr>
          <w:color w:val="000000"/>
          <w:spacing w:val="0"/>
          <w:w w:val="100"/>
          <w:position w:val="0"/>
        </w:rPr>
        <w:t>二阶段，原《物权法》阶段,规定了涵括业主共有 权在内的建筑物区分所有权，但未明确提及楼顶的权属。原《物权法》第</w:t>
      </w:r>
      <w:r>
        <w:rPr>
          <w:rFonts w:ascii="Times New Roman" w:hAnsi="Times New Roman" w:eastAsia="Times New Roman" w:cs="Times New Roman"/>
          <w:color w:val="000000"/>
          <w:spacing w:val="0"/>
          <w:w w:val="100"/>
          <w:position w:val="0"/>
          <w:sz w:val="19"/>
          <w:szCs w:val="19"/>
        </w:rPr>
        <w:t>73</w:t>
      </w:r>
      <w:r>
        <w:rPr>
          <w:color w:val="000000"/>
          <w:spacing w:val="0"/>
          <w:w w:val="100"/>
          <w:position w:val="0"/>
        </w:rPr>
        <w:t xml:space="preserve">条（《民法典》第 </w:t>
      </w:r>
      <w:r>
        <w:rPr>
          <w:rFonts w:ascii="Times New Roman" w:hAnsi="Times New Roman" w:eastAsia="Times New Roman" w:cs="Times New Roman"/>
          <w:color w:val="000000"/>
          <w:spacing w:val="0"/>
          <w:w w:val="100"/>
          <w:position w:val="0"/>
          <w:sz w:val="19"/>
          <w:szCs w:val="19"/>
        </w:rPr>
        <w:t>274</w:t>
      </w:r>
      <w:r>
        <w:rPr>
          <w:color w:val="000000"/>
          <w:spacing w:val="0"/>
          <w:w w:val="100"/>
          <w:position w:val="0"/>
        </w:rPr>
        <w:t>条）规定:</w:t>
      </w:r>
      <w:r>
        <w:rPr>
          <w:color w:val="000000"/>
          <w:spacing w:val="0"/>
          <w:w w:val="100"/>
          <w:position w:val="0"/>
          <w:lang w:val="zh-CN" w:eastAsia="zh-CN" w:bidi="zh-CN"/>
        </w:rPr>
        <w:t>“建筑</w:t>
      </w:r>
      <w:r>
        <w:rPr>
          <w:color w:val="000000"/>
          <w:spacing w:val="0"/>
          <w:w w:val="100"/>
          <w:position w:val="0"/>
        </w:rPr>
        <w:t>区划内的道路，属于业主共有，但属于城镇公共道路的除外。建筑区划 内的绿地，属于业主共有,但属于城镇公共绿地或者明示属于个人的除外。建筑区划内的 其他公共场所、公用设施和物业服务用房，属于业主共有</w:t>
      </w:r>
      <w:r>
        <w:rPr>
          <w:color w:val="000000"/>
          <w:spacing w:val="0"/>
          <w:w w:val="100"/>
          <w:position w:val="0"/>
          <w:lang w:val="zh-CN" w:eastAsia="zh-CN" w:bidi="zh-CN"/>
        </w:rPr>
        <w:t>。”此</w:t>
      </w:r>
      <w:r>
        <w:rPr>
          <w:color w:val="000000"/>
          <w:spacing w:val="0"/>
          <w:w w:val="100"/>
          <w:position w:val="0"/>
        </w:rPr>
        <w:t>采列举与概括相结合的方式 规定共有部分，但仍未明确</w:t>
      </w:r>
      <w:r>
        <w:rPr>
          <w:color w:val="000000"/>
          <w:spacing w:val="0"/>
          <w:w w:val="100"/>
          <w:position w:val="0"/>
          <w:lang w:val="zh-CN" w:eastAsia="zh-CN" w:bidi="zh-CN"/>
        </w:rPr>
        <w:t>“其</w:t>
      </w:r>
      <w:r>
        <w:rPr>
          <w:color w:val="000000"/>
          <w:spacing w:val="0"/>
          <w:w w:val="100"/>
          <w:position w:val="0"/>
        </w:rPr>
        <w:t>他公共场所”的意涵，未明确提及是否涵括楼顶空间及其架 空层。第三阶段,司法解释阶段，肯定了“建筑物的屋顶</w:t>
      </w:r>
      <w:r>
        <w:rPr>
          <w:color w:val="000000"/>
          <w:spacing w:val="0"/>
          <w:w w:val="100"/>
          <w:position w:val="0"/>
          <w:lang w:val="zh-CN" w:eastAsia="zh-CN" w:bidi="zh-CN"/>
        </w:rPr>
        <w:t>”系共</w:t>
      </w:r>
      <w:r>
        <w:rPr>
          <w:color w:val="000000"/>
          <w:spacing w:val="0"/>
          <w:w w:val="100"/>
          <w:position w:val="0"/>
        </w:rPr>
        <w:t>有部分，但仍未明确是全体共 有还是部分共有。</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年最高人民法院发布的《关于审理建筑物区分所有权纠纷案件具体 应用法律若干问题的解释》（以下简称《建筑物区分所有权司法解释》）第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项规定： </w:t>
      </w:r>
      <w:r>
        <w:rPr>
          <w:color w:val="000000"/>
          <w:spacing w:val="0"/>
          <w:w w:val="100"/>
          <w:position w:val="0"/>
          <w:lang w:val="zh-CN" w:eastAsia="zh-CN" w:bidi="zh-CN"/>
        </w:rPr>
        <w:t>“除</w:t>
      </w:r>
      <w:r>
        <w:rPr>
          <w:color w:val="000000"/>
          <w:spacing w:val="0"/>
          <w:w w:val="100"/>
          <w:position w:val="0"/>
        </w:rPr>
        <w:t>法律、行政法规规定的共有部分外，建筑区划内的以下部分，也应当认定为物权法第六 章所称的共有部分：（一）建筑物的基础、承重结构、外墙、屋顶等基本结构部分，通道、楼梯、 大堂等公共通行部分，消防、公共照明等附属设施、设备，避难层、设备层或者设备间等结构 部分;”</w:t>
      </w:r>
    </w:p>
    <w:p w14:paraId="537EBE0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《物权法》第</w:t>
      </w:r>
      <w:r>
        <w:rPr>
          <w:rFonts w:ascii="Times New Roman" w:hAnsi="Times New Roman" w:eastAsia="Times New Roman" w:cs="Times New Roman"/>
          <w:color w:val="000000"/>
          <w:spacing w:val="0"/>
          <w:w w:val="100"/>
          <w:position w:val="0"/>
          <w:sz w:val="17"/>
          <w:szCs w:val="17"/>
        </w:rPr>
        <w:t>70</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271</w:t>
      </w:r>
      <w:r>
        <w:rPr>
          <w:color w:val="000000"/>
          <w:spacing w:val="0"/>
          <w:w w:val="100"/>
          <w:position w:val="0"/>
        </w:rPr>
        <w:t>条）规定建筑物区分所有权系由专有权、共有权及 共同管理权构成，此即三元论立场。此立场符合当代建筑物区分所有权制度发展的潮流或 趋势，应认为是一项先进的立法规定（陈华彬:《建筑物区分所有权法》，中国政法大学出版社</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页）。其中，共有权的客体是</w:t>
      </w:r>
      <w:r>
        <w:rPr>
          <w:color w:val="000000"/>
          <w:spacing w:val="0"/>
          <w:w w:val="100"/>
          <w:position w:val="0"/>
          <w:lang w:val="zh-CN" w:eastAsia="zh-CN" w:bidi="zh-CN"/>
        </w:rPr>
        <w:t>“共</w:t>
      </w:r>
      <w:r>
        <w:rPr>
          <w:color w:val="000000"/>
          <w:spacing w:val="0"/>
          <w:w w:val="100"/>
          <w:position w:val="0"/>
        </w:rPr>
        <w:t>用部分</w:t>
      </w:r>
      <w:r>
        <w:rPr>
          <w:color w:val="000000"/>
          <w:spacing w:val="0"/>
          <w:w w:val="100"/>
          <w:position w:val="0"/>
          <w:lang w:val="zh-CN" w:eastAsia="zh-CN" w:bidi="zh-CN"/>
        </w:rPr>
        <w:t>”或“共</w:t>
      </w:r>
      <w:r>
        <w:rPr>
          <w:color w:val="000000"/>
          <w:spacing w:val="0"/>
          <w:w w:val="100"/>
          <w:position w:val="0"/>
        </w:rPr>
        <w:t>有部分</w:t>
      </w:r>
      <w:r>
        <w:rPr>
          <w:color w:val="000000"/>
          <w:spacing w:val="0"/>
          <w:w w:val="100"/>
          <w:position w:val="0"/>
          <w:lang w:val="zh-CN" w:eastAsia="zh-CN" w:bidi="zh-CN"/>
        </w:rPr>
        <w:t>”（共</w:t>
      </w:r>
      <w:r>
        <w:rPr>
          <w:color w:val="000000"/>
          <w:spacing w:val="0"/>
          <w:w w:val="100"/>
          <w:position w:val="0"/>
        </w:rPr>
        <w:t>用部分是从区分所有 建筑物管理的角度的称谓,共有部分是自所有权视角的称谓）</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各国家或地区建筑物区分 所有权法通用</w:t>
      </w:r>
      <w:r>
        <w:rPr>
          <w:color w:val="000000"/>
          <w:spacing w:val="0"/>
          <w:w w:val="100"/>
          <w:position w:val="0"/>
          <w:lang w:val="zh-CN" w:eastAsia="zh-CN" w:bidi="zh-CN"/>
        </w:rPr>
        <w:t>“共</w:t>
      </w:r>
      <w:r>
        <w:rPr>
          <w:color w:val="000000"/>
          <w:spacing w:val="0"/>
          <w:w w:val="100"/>
          <w:position w:val="0"/>
        </w:rPr>
        <w:t>用部分</w:t>
      </w:r>
      <w:r>
        <w:rPr>
          <w:color w:val="000000"/>
          <w:spacing w:val="0"/>
          <w:w w:val="100"/>
          <w:position w:val="0"/>
          <w:lang w:val="zh-CN" w:eastAsia="zh-CN" w:bidi="zh-CN"/>
        </w:rPr>
        <w:t>”或“共有</w:t>
      </w:r>
      <w:r>
        <w:rPr>
          <w:color w:val="000000"/>
          <w:spacing w:val="0"/>
          <w:w w:val="100"/>
          <w:position w:val="0"/>
        </w:rPr>
        <w:t>部分”二概念，《物权法》第</w:t>
      </w:r>
      <w:r>
        <w:rPr>
          <w:rFonts w:ascii="Times New Roman" w:hAnsi="Times New Roman" w:eastAsia="Times New Roman" w:cs="Times New Roman"/>
          <w:color w:val="000000"/>
          <w:spacing w:val="0"/>
          <w:w w:val="100"/>
          <w:position w:val="0"/>
          <w:sz w:val="17"/>
          <w:szCs w:val="17"/>
        </w:rPr>
        <w:t>70</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271</w:t>
      </w:r>
      <w:r>
        <w:rPr>
          <w:color w:val="000000"/>
          <w:spacing w:val="0"/>
          <w:w w:val="100"/>
          <w:position w:val="0"/>
        </w:rPr>
        <w:t>条）仅 启用</w:t>
      </w:r>
      <w:r>
        <w:rPr>
          <w:color w:val="000000"/>
          <w:spacing w:val="0"/>
          <w:w w:val="100"/>
          <w:position w:val="0"/>
          <w:lang w:val="zh-CN" w:eastAsia="zh-CN" w:bidi="zh-CN"/>
        </w:rPr>
        <w:t>“共</w:t>
      </w:r>
      <w:r>
        <w:rPr>
          <w:color w:val="000000"/>
          <w:spacing w:val="0"/>
          <w:w w:val="100"/>
          <w:position w:val="0"/>
        </w:rPr>
        <w:t>有部分</w:t>
      </w:r>
      <w:r>
        <w:rPr>
          <w:color w:val="000000"/>
          <w:spacing w:val="0"/>
          <w:w w:val="100"/>
          <w:position w:val="0"/>
          <w:lang w:val="zh-CN" w:eastAsia="zh-CN" w:bidi="zh-CN"/>
        </w:rPr>
        <w:t>”的</w:t>
      </w:r>
      <w:r>
        <w:rPr>
          <w:color w:val="000000"/>
          <w:spacing w:val="0"/>
          <w:w w:val="100"/>
          <w:position w:val="0"/>
        </w:rPr>
        <w:t>术语。尽管如此,我们仍可知悉或明了，我国物权法所称</w:t>
      </w:r>
      <w:r>
        <w:rPr>
          <w:color w:val="000000"/>
          <w:spacing w:val="0"/>
          <w:w w:val="100"/>
          <w:position w:val="0"/>
          <w:lang w:val="zh-CN" w:eastAsia="zh-CN" w:bidi="zh-CN"/>
        </w:rPr>
        <w:t>“共有</w:t>
      </w:r>
      <w:r>
        <w:rPr>
          <w:color w:val="000000"/>
          <w:spacing w:val="0"/>
          <w:w w:val="100"/>
          <w:position w:val="0"/>
        </w:rPr>
        <w:t xml:space="preserve">部分” </w:t>
      </w:r>
      <w:r>
        <w:rPr>
          <w:color w:val="000000"/>
          <w:spacing w:val="0"/>
          <w:w w:val="100"/>
          <w:position w:val="0"/>
          <w:lang w:val="zh-CN" w:eastAsia="zh-CN" w:bidi="zh-CN"/>
        </w:rPr>
        <w:t>（“共</w:t>
      </w:r>
      <w:r>
        <w:rPr>
          <w:color w:val="000000"/>
          <w:spacing w:val="0"/>
          <w:w w:val="100"/>
          <w:position w:val="0"/>
        </w:rPr>
        <w:t>用部分”）乃具二项特性:其一，从属性。共有部分（共用部分）为附随于专有部分的附 属物或从物。其二,不可分割性。即共有部分（共用部分）本身不得被分割。原《物权法》对 共有部分（共用部分）的这两项特性未予明示，然解释上应借鉴域（境）外法经验或立法成 例,认为原《物权法》上的共有部分（共用部分）有此两项特性（陈华彬:《建筑物区分所有权法》， 中国政法大学出版社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93</w:t>
      </w:r>
      <w:r>
        <w:rPr>
          <w:color w:val="000000"/>
          <w:spacing w:val="0"/>
          <w:w w:val="100"/>
          <w:position w:val="0"/>
        </w:rPr>
        <w:t>页以下）。</w:t>
      </w:r>
    </w:p>
    <w:p w14:paraId="32962D4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关于楼顶空间及其架空层所有权的归属，学理上主要有业主共有说、开发商所有说、部 分业主专有说等不同观点。业主共有说的主要理由是，楼顶具有从属性和不可分割性，且 符合业主共同生活的需要,开发商所有说的主要理由是,开发商基于建造房屋取得所有权， 部分业主专有说，自利益最密切的角度认为系顶层业主专有。笔者认为，屋顶平台的归属 主要有两种情况（陈华彬：《建筑物区分所有权法》，中国政法大学出版社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 xml:space="preserve">页）： </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xml:space="preserve">归业主共有。根据建筑物区分所有权原理，屋顶平台事关业主的切身利益和区分建筑 物作为一项不动产的判断标准，故此在商品房预售合同或销售合同没有约定其归属时，应 推定为业主共有，属于区分所有建筑物结构上的法定共有部分。此种场合,屋顶平台不得 单独登记为一项独立的不动产留给开发商自己，或作为买卖标的物出售于他人，只能公摊 到区分所有建筑物的面积中，归业主共有。此时,全体业主或业主委员会有权将屋顶出租, 收取租金;但不得单独出卖，盖因它不是一个独立之物（崔建远:《物权法》，中国人民大学出版社 </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206</w:t>
      </w:r>
      <w:r>
        <w:rPr>
          <w:color w:val="000000"/>
          <w:spacing w:val="0"/>
          <w:w w:val="100"/>
          <w:position w:val="0"/>
        </w:rPr>
        <w:t>页</w:t>
      </w:r>
      <w:r>
        <w:rPr>
          <w:rFonts w:ascii="Times New Roman" w:hAnsi="Times New Roman" w:eastAsia="Times New Roman" w:cs="Times New Roman"/>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vertAlign w:val="subscript"/>
          <w:lang w:val="en-US" w:eastAsia="en-US" w:bidi="en-US"/>
        </w:rPr>
        <w:t>o</w:t>
      </w:r>
      <w:r>
        <w:rPr>
          <w:rFonts w:ascii="Times New Roman" w:hAnsi="Times New Roman" w:eastAsia="Times New Roman" w:cs="Times New Roman"/>
          <w:color w:val="000000"/>
          <w:spacing w:val="0"/>
          <w:w w:val="100"/>
          <w:position w:val="0"/>
          <w:sz w:val="17"/>
          <w:szCs w:val="17"/>
          <w:lang w:val="en-US" w:eastAsia="en-US" w:bidi="en-US"/>
        </w:rPr>
        <w:t xml:space="preserve"> </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作为专有部分对待,可单独地登记为一项不动产，成立一项不动产 所有权。参照《建筑物区分所有权解释》第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款的规定,符合以下条件的屋顶平台宜 作专有部分对待而登记为一项不动产所有权:第一，符合规划;第二,具备构造上的独立性, 能够明确区分，以及具有利用上的独立性，可以排他使用;第三，建设单位销售时已经根据 规划列入该特定房屋买卖合同（杜万华、辛正郁、杨永清:《最高人民法院〈关于审理建筑物区分所有 权纠纷案件具体应用法律若干问题的解释〉〈关于审理物业服务纠纷案件具体应用法律若干问题的解 释〉的理解与适用》，载《法律适用》</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期）。需注意的是，于屋顶平台归属于某特定的业 主或开发商抑或第三人的情况下，其与该栋建筑物的其他业主的不动产权利之间，应适用 相邻关系规则予以调整。概言之，区分所有建筑物的屋顶原则上应属于业主共有，仅于符 合特定条件时方可作为专有部分对待。而本案显然不符合前述特定条件的要求，故而实应 属于业主共有，法院的判断无疑是正确的。</w:t>
      </w:r>
    </w:p>
    <w:p w14:paraId="7FB7B637">
      <w:pPr>
        <w:pStyle w:val="17"/>
        <w:keepNext w:val="0"/>
        <w:keepLines w:val="0"/>
        <w:widowControl w:val="0"/>
        <w:shd w:val="clear" w:color="auto" w:fill="auto"/>
        <w:bidi w:val="0"/>
        <w:spacing w:before="0" w:after="300" w:line="341" w:lineRule="exact"/>
        <w:ind w:left="0" w:right="0" w:firstLine="420"/>
        <w:jc w:val="both"/>
      </w:pPr>
      <w:r>
        <w:rPr>
          <w:color w:val="000000"/>
          <w:spacing w:val="0"/>
          <w:w w:val="100"/>
          <w:position w:val="0"/>
        </w:rPr>
        <w:t>关于楼顶空间及其架空层属全体共有还是一部共有（该幢楼房的业主共有）。依共有 部分使用人的不同，可将共有部分划分为全体共有部分与一部共有部分。全体共有部分, 俗称</w:t>
      </w:r>
      <w:r>
        <w:rPr>
          <w:color w:val="000000"/>
          <w:spacing w:val="0"/>
          <w:w w:val="100"/>
          <w:position w:val="0"/>
          <w:lang w:val="zh-CN" w:eastAsia="zh-CN" w:bidi="zh-CN"/>
        </w:rPr>
        <w:t>“大公”，一</w:t>
      </w:r>
      <w:r>
        <w:rPr>
          <w:color w:val="000000"/>
          <w:spacing w:val="0"/>
          <w:w w:val="100"/>
          <w:position w:val="0"/>
        </w:rPr>
        <w:t>部共有部分，俗称</w:t>
      </w:r>
      <w:r>
        <w:rPr>
          <w:color w:val="000000"/>
          <w:spacing w:val="0"/>
          <w:w w:val="100"/>
          <w:position w:val="0"/>
          <w:lang w:val="zh-CN" w:eastAsia="zh-CN" w:bidi="zh-CN"/>
        </w:rPr>
        <w:t>“小</w:t>
      </w:r>
      <w:r>
        <w:rPr>
          <w:color w:val="000000"/>
          <w:spacing w:val="0"/>
          <w:w w:val="100"/>
          <w:position w:val="0"/>
        </w:rPr>
        <w:t>公”。究为全体共有部分还是一部共有部分，于发生疑 义时,当应解释为全体共有部分。需指出的是,全体共有部分与一部共有部分的划分标准 所强调的是某些共有部分可以为全体业主使用,而某些共有部分由于构造和设计的原因而 只能为部分业主使用，唯该共有部分的所有权依然属于全体业主。此种划分标准的意义在 于，使用</w:t>
      </w:r>
      <w:r>
        <w:rPr>
          <w:color w:val="000000"/>
          <w:spacing w:val="0"/>
          <w:w w:val="100"/>
          <w:position w:val="0"/>
          <w:lang w:val="zh-CN" w:eastAsia="zh-CN" w:bidi="zh-CN"/>
        </w:rPr>
        <w:t>“一</w:t>
      </w:r>
      <w:r>
        <w:rPr>
          <w:color w:val="000000"/>
          <w:spacing w:val="0"/>
          <w:w w:val="100"/>
          <w:position w:val="0"/>
        </w:rPr>
        <w:t>部共有部分</w:t>
      </w:r>
      <w:r>
        <w:rPr>
          <w:color w:val="000000"/>
          <w:spacing w:val="0"/>
          <w:w w:val="100"/>
          <w:position w:val="0"/>
          <w:lang w:val="zh-CN" w:eastAsia="zh-CN" w:bidi="zh-CN"/>
        </w:rPr>
        <w:t>”的部</w:t>
      </w:r>
      <w:r>
        <w:rPr>
          <w:color w:val="000000"/>
          <w:spacing w:val="0"/>
          <w:w w:val="100"/>
          <w:position w:val="0"/>
        </w:rPr>
        <w:t>分业主要依据合同的约定支付租金（陈华彬:《建筑物区分所有权 法》，中国政法大学出版社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173 </w:t>
      </w:r>
      <w:r>
        <w:rPr>
          <w:rFonts w:ascii="Times New Roman" w:hAnsi="Times New Roman" w:eastAsia="Times New Roman" w:cs="Times New Roman"/>
          <w:color w:val="000000"/>
          <w:spacing w:val="0"/>
          <w:w w:val="100"/>
          <w:position w:val="0"/>
          <w:sz w:val="17"/>
          <w:szCs w:val="17"/>
          <w:lang w:val="zh-CN" w:eastAsia="zh-CN" w:bidi="zh-CN"/>
        </w:rPr>
        <w:t xml:space="preserve">- </w:t>
      </w:r>
      <w:r>
        <w:rPr>
          <w:rFonts w:ascii="Times New Roman" w:hAnsi="Times New Roman" w:eastAsia="Times New Roman" w:cs="Times New Roman"/>
          <w:color w:val="000000"/>
          <w:spacing w:val="0"/>
          <w:w w:val="100"/>
          <w:position w:val="0"/>
          <w:sz w:val="17"/>
          <w:szCs w:val="17"/>
        </w:rPr>
        <w:t>174</w:t>
      </w:r>
      <w:r>
        <w:rPr>
          <w:color w:val="000000"/>
          <w:spacing w:val="0"/>
          <w:w w:val="100"/>
          <w:position w:val="0"/>
        </w:rPr>
        <w:t>页）。因此，楼顶空间及其架空层应属一部共 有，即为该幢楼房的业主共有，其可因生活需要而于屋顶安放太阳能热水器、空调外挂机 等。然若于临街的楼顶设置广告牌，其产生的收益则不能只归该栋楼房的业主享有，而应 归全体业主共同所有［北京市第一中级人民法院：《关于建筑物区分所有权类案件的调研报告</w:t>
      </w:r>
      <w:r>
        <w:rPr>
          <w:rFonts w:ascii="Times New Roman" w:hAnsi="Times New Roman" w:eastAsia="Times New Roman" w:cs="Times New Roman"/>
          <w:color w:val="000000"/>
          <w:spacing w:val="0"/>
          <w:w w:val="100"/>
          <w:position w:val="0"/>
          <w:sz w:val="17"/>
          <w:szCs w:val="17"/>
        </w:rPr>
        <w:t xml:space="preserve">＞（2009 </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月），第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页］。</w:t>
      </w:r>
    </w:p>
    <w:p w14:paraId="6271DC86">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4207B6C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有较早裁判认为系业主共有,但论述不够充分。比如“上海市虹古小区业主管理委员 会诉上海温哥华物业管理有限公司等排除妨碍案</w:t>
      </w:r>
      <w:r>
        <w:rPr>
          <w:color w:val="000000"/>
          <w:spacing w:val="0"/>
          <w:w w:val="100"/>
          <w:position w:val="0"/>
          <w:lang w:val="zh-CN" w:eastAsia="zh-CN" w:bidi="zh-CN"/>
        </w:rPr>
        <w:t>”［上</w:t>
      </w:r>
      <w:r>
        <w:rPr>
          <w:color w:val="000000"/>
          <w:spacing w:val="0"/>
          <w:w w:val="100"/>
          <w:position w:val="0"/>
        </w:rPr>
        <w:t>海市长宁区人民法院（</w:t>
      </w:r>
      <w:r>
        <w:rPr>
          <w:rFonts w:ascii="Times New Roman" w:hAnsi="Times New Roman" w:eastAsia="Times New Roman" w:cs="Times New Roman"/>
          <w:color w:val="000000"/>
          <w:spacing w:val="0"/>
          <w:w w:val="100"/>
          <w:position w:val="0"/>
          <w:sz w:val="17"/>
          <w:szCs w:val="17"/>
        </w:rPr>
        <w:t>1996）</w:t>
      </w:r>
      <w:r>
        <w:rPr>
          <w:color w:val="000000"/>
          <w:spacing w:val="0"/>
          <w:w w:val="100"/>
          <w:position w:val="0"/>
        </w:rPr>
        <w:t xml:space="preserve">长民初字第 </w:t>
      </w:r>
      <w:r>
        <w:rPr>
          <w:rFonts w:ascii="Times New Roman" w:hAnsi="Times New Roman" w:eastAsia="Times New Roman" w:cs="Times New Roman"/>
          <w:color w:val="000000"/>
          <w:spacing w:val="0"/>
          <w:w w:val="100"/>
          <w:position w:val="0"/>
          <w:sz w:val="17"/>
          <w:szCs w:val="17"/>
        </w:rPr>
        <w:t>2227</w:t>
      </w:r>
      <w:r>
        <w:rPr>
          <w:color w:val="000000"/>
          <w:spacing w:val="0"/>
          <w:w w:val="100"/>
          <w:position w:val="0"/>
        </w:rPr>
        <w:t>号民事判决书］中，法院认为，“上海永乐物业公司既不是受托的管理者，又不是上海市仙 霞路</w:t>
      </w:r>
      <w:r>
        <w:rPr>
          <w:rFonts w:ascii="Times New Roman" w:hAnsi="Times New Roman" w:eastAsia="Times New Roman" w:cs="Times New Roman"/>
          <w:color w:val="000000"/>
          <w:spacing w:val="0"/>
          <w:w w:val="100"/>
          <w:position w:val="0"/>
          <w:sz w:val="17"/>
          <w:szCs w:val="17"/>
        </w:rPr>
        <w:t>620</w:t>
      </w:r>
      <w:r>
        <w:rPr>
          <w:color w:val="000000"/>
          <w:spacing w:val="0"/>
          <w:w w:val="100"/>
          <w:position w:val="0"/>
        </w:rPr>
        <w:t>弄</w:t>
      </w:r>
      <w:r>
        <w:rPr>
          <w:rFonts w:ascii="Times New Roman" w:hAnsi="Times New Roman" w:eastAsia="Times New Roman" w:cs="Times New Roman"/>
          <w:color w:val="000000"/>
          <w:spacing w:val="0"/>
          <w:w w:val="100"/>
          <w:position w:val="0"/>
          <w:sz w:val="17"/>
          <w:szCs w:val="17"/>
        </w:rPr>
        <w:t>30</w:t>
      </w:r>
      <w:r>
        <w:rPr>
          <w:color w:val="000000"/>
          <w:spacing w:val="0"/>
          <w:w w:val="100"/>
          <w:position w:val="0"/>
        </w:rPr>
        <w:t>号业主的代表，不具备与被告签订在前述大楼房顶上设置基站协议的主体资 格，且损害了业主的合法利益，该协议应为无效”。</w:t>
      </w:r>
    </w:p>
    <w:p w14:paraId="6E8352D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当前诸多裁判明确釆业主共有说。比如</w:t>
      </w:r>
      <w:r>
        <w:rPr>
          <w:color w:val="000000"/>
          <w:spacing w:val="0"/>
          <w:w w:val="100"/>
          <w:position w:val="0"/>
          <w:lang w:val="zh-CN" w:eastAsia="zh-CN" w:bidi="zh-CN"/>
        </w:rPr>
        <w:t>“周</w:t>
      </w:r>
      <w:r>
        <w:rPr>
          <w:color w:val="000000"/>
          <w:spacing w:val="0"/>
          <w:w w:val="100"/>
          <w:position w:val="0"/>
        </w:rPr>
        <w:t>庆吾诉湖南三诚置业有限公司房屋买卖合 同纠纷再审案</w:t>
      </w:r>
      <w:r>
        <w:rPr>
          <w:color w:val="000000"/>
          <w:spacing w:val="0"/>
          <w:w w:val="100"/>
          <w:position w:val="0"/>
          <w:lang w:val="zh-CN" w:eastAsia="zh-CN" w:bidi="zh-CN"/>
        </w:rPr>
        <w:t>”［湖</w:t>
      </w:r>
      <w:r>
        <w:rPr>
          <w:color w:val="000000"/>
          <w:spacing w:val="0"/>
          <w:w w:val="100"/>
          <w:position w:val="0"/>
        </w:rPr>
        <w:t>南省高级人民法院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湘高法民再二终字第</w:t>
      </w:r>
      <w:r>
        <w:rPr>
          <w:rFonts w:ascii="Times New Roman" w:hAnsi="Times New Roman" w:eastAsia="Times New Roman" w:cs="Times New Roman"/>
          <w:color w:val="000000"/>
          <w:spacing w:val="0"/>
          <w:w w:val="100"/>
          <w:position w:val="0"/>
          <w:sz w:val="17"/>
          <w:szCs w:val="17"/>
        </w:rPr>
        <w:t>54</w:t>
      </w:r>
      <w:r>
        <w:rPr>
          <w:color w:val="000000"/>
          <w:spacing w:val="0"/>
          <w:w w:val="100"/>
          <w:position w:val="0"/>
        </w:rPr>
        <w:t xml:space="preserve">号民事判决书］中，法院认为， </w:t>
      </w:r>
      <w:r>
        <w:rPr>
          <w:color w:val="000000"/>
          <w:spacing w:val="0"/>
          <w:w w:val="100"/>
          <w:position w:val="0"/>
          <w:lang w:val="zh-CN" w:eastAsia="zh-CN" w:bidi="zh-CN"/>
        </w:rPr>
        <w:t>“楼顶</w:t>
      </w:r>
      <w:r>
        <w:rPr>
          <w:color w:val="000000"/>
          <w:spacing w:val="0"/>
          <w:w w:val="100"/>
          <w:position w:val="0"/>
        </w:rPr>
        <w:t xml:space="preserve">无疑属于建筑物中业主的共有部分，本案讼争的合同条款约定楼顶所有权归出卖人 所有，违反物权法定原则，当属无效” </w:t>
      </w:r>
      <w:r>
        <w:rPr>
          <w:rFonts w:ascii="Times New Roman" w:hAnsi="Times New Roman" w:eastAsia="Times New Roman" w:cs="Times New Roman"/>
          <w:color w:val="000000"/>
          <w:spacing w:val="0"/>
          <w:w w:val="100"/>
          <w:position w:val="0"/>
          <w:sz w:val="17"/>
          <w:szCs w:val="17"/>
          <w:lang w:val="en-US" w:eastAsia="en-US" w:bidi="en-US"/>
        </w:rPr>
        <w:t xml:space="preserve">O </w:t>
      </w:r>
      <w:r>
        <w:rPr>
          <w:color w:val="000000"/>
          <w:spacing w:val="0"/>
          <w:w w:val="100"/>
          <w:position w:val="0"/>
          <w:lang w:val="zh-CN" w:eastAsia="zh-CN" w:bidi="zh-CN"/>
        </w:rPr>
        <w:t>“王</w:t>
      </w:r>
      <w:r>
        <w:rPr>
          <w:color w:val="000000"/>
          <w:spacing w:val="0"/>
          <w:w w:val="100"/>
          <w:position w:val="0"/>
        </w:rPr>
        <w:t>树明诉王国佐等排除妨害纠纷案</w:t>
      </w:r>
      <w:r>
        <w:rPr>
          <w:color w:val="000000"/>
          <w:spacing w:val="0"/>
          <w:w w:val="100"/>
          <w:position w:val="0"/>
          <w:lang w:val="zh-CN" w:eastAsia="zh-CN" w:bidi="zh-CN"/>
        </w:rPr>
        <w:t>”［江</w:t>
      </w:r>
      <w:r>
        <w:rPr>
          <w:color w:val="000000"/>
          <w:spacing w:val="0"/>
          <w:w w:val="100"/>
          <w:position w:val="0"/>
        </w:rPr>
        <w:t>苏省高级人 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苏民申</w:t>
      </w:r>
      <w:r>
        <w:rPr>
          <w:rFonts w:ascii="Times New Roman" w:hAnsi="Times New Roman" w:eastAsia="Times New Roman" w:cs="Times New Roman"/>
          <w:color w:val="000000"/>
          <w:spacing w:val="0"/>
          <w:w w:val="100"/>
          <w:position w:val="0"/>
          <w:sz w:val="17"/>
          <w:szCs w:val="17"/>
        </w:rPr>
        <w:t>3062</w:t>
      </w:r>
      <w:r>
        <w:rPr>
          <w:color w:val="000000"/>
          <w:spacing w:val="0"/>
          <w:w w:val="100"/>
          <w:position w:val="0"/>
        </w:rPr>
        <w:t>号民事裁定书］中，法院认为</w:t>
      </w:r>
      <w:r>
        <w:rPr>
          <w:color w:val="000000"/>
          <w:spacing w:val="0"/>
          <w:w w:val="100"/>
          <w:position w:val="0"/>
          <w:lang w:val="zh-CN" w:eastAsia="zh-CN" w:bidi="zh-CN"/>
        </w:rPr>
        <w:t>，“金</w:t>
      </w:r>
      <w:r>
        <w:rPr>
          <w:color w:val="000000"/>
          <w:spacing w:val="0"/>
          <w:w w:val="100"/>
          <w:position w:val="0"/>
        </w:rPr>
        <w:t>丰汇贤居小区楼顶平台属于业主共 有”。</w:t>
      </w:r>
    </w:p>
    <w:p w14:paraId="06D717C6">
      <w:pPr>
        <w:pStyle w:val="17"/>
        <w:keepNext w:val="0"/>
        <w:keepLines w:val="0"/>
        <w:widowControl w:val="0"/>
        <w:shd w:val="clear" w:color="auto" w:fill="auto"/>
        <w:bidi w:val="0"/>
        <w:spacing w:before="0" w:after="0" w:line="342" w:lineRule="exact"/>
        <w:ind w:left="0" w:right="0" w:firstLine="420"/>
        <w:jc w:val="both"/>
        <w:sectPr>
          <w:headerReference r:id="rId246" w:type="default"/>
          <w:headerReference r:id="rId247" w:type="even"/>
          <w:footnotePr>
            <w:numFmt w:val="chicago"/>
          </w:footnotePr>
          <w:pgSz w:w="10099" w:h="14782"/>
          <w:pgMar w:top="1338" w:right="1094" w:bottom="1084" w:left="1011" w:header="0" w:footer="3" w:gutter="0"/>
          <w:pgNumType w:start="182"/>
          <w:cols w:space="720" w:num="1"/>
          <w:rtlGutter w:val="0"/>
          <w:docGrid w:linePitch="360" w:charSpace="0"/>
        </w:sectPr>
      </w:pPr>
      <w:r>
        <w:rPr>
          <w:color w:val="000000"/>
          <w:spacing w:val="0"/>
          <w:w w:val="100"/>
          <w:position w:val="0"/>
        </w:rPr>
        <w:t>少数裁判认为特定条件下系由特定业主专有。比如</w:t>
      </w:r>
      <w:r>
        <w:rPr>
          <w:color w:val="000000"/>
          <w:spacing w:val="0"/>
          <w:w w:val="100"/>
          <w:position w:val="0"/>
          <w:lang w:val="zh-CN" w:eastAsia="zh-CN" w:bidi="zh-CN"/>
        </w:rPr>
        <w:t>“原审</w:t>
      </w:r>
      <w:r>
        <w:rPr>
          <w:color w:val="000000"/>
          <w:spacing w:val="0"/>
          <w:w w:val="100"/>
          <w:position w:val="0"/>
        </w:rPr>
        <w:t>第三人上海锦绣华城房地产 开发有限公司排除妨害纠纷案”［上海市第一中级人民法院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沪</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8802</w:t>
      </w:r>
      <w:r>
        <w:rPr>
          <w:color w:val="000000"/>
          <w:spacing w:val="0"/>
          <w:w w:val="100"/>
          <w:position w:val="0"/>
        </w:rPr>
        <w:t>号民事判决书］ 中，法院认为，该建筑物</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层登记在华城公司名下，门牌号为</w:t>
      </w:r>
      <w:r>
        <w:rPr>
          <w:rFonts w:ascii="Times New Roman" w:hAnsi="Times New Roman" w:eastAsia="Times New Roman" w:cs="Times New Roman"/>
          <w:color w:val="000000"/>
          <w:spacing w:val="0"/>
          <w:w w:val="100"/>
          <w:position w:val="0"/>
          <w:sz w:val="17"/>
          <w:szCs w:val="17"/>
        </w:rPr>
        <w:t>3218,</w:t>
      </w:r>
      <w:r>
        <w:rPr>
          <w:color w:val="000000"/>
          <w:spacing w:val="0"/>
          <w:w w:val="100"/>
          <w:position w:val="0"/>
        </w:rPr>
        <w:t>房屋性质为商用;该 建筑</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层以上登记在上诉人等业主名下，对应的门牌号是</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弄</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号，房屋性质为 居住。业主使用的电梯不能到达该建筑物的</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层，在使用上具有独立性，因此相关部门 在产权登记时对</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层与</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层作了区分，分别登记在不同的产权证中,且没有标注为 共有关系。</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弄</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号屋顶与</w:t>
      </w:r>
      <w:r>
        <w:rPr>
          <w:rFonts w:ascii="Times New Roman" w:hAnsi="Times New Roman" w:eastAsia="Times New Roman" w:cs="Times New Roman"/>
          <w:color w:val="000000"/>
          <w:spacing w:val="0"/>
          <w:w w:val="100"/>
          <w:position w:val="0"/>
          <w:sz w:val="17"/>
          <w:szCs w:val="17"/>
        </w:rPr>
        <w:t>3218</w:t>
      </w:r>
      <w:r>
        <w:rPr>
          <w:color w:val="000000"/>
          <w:spacing w:val="0"/>
          <w:w w:val="100"/>
          <w:position w:val="0"/>
        </w:rPr>
        <w:t>号屋顶也不存在同一屋顶等基本结构关系。故 此,上诉人所在的</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弄</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x x</w:t>
      </w:r>
      <w:r>
        <w:rPr>
          <w:color w:val="000000"/>
          <w:spacing w:val="0"/>
          <w:w w:val="100"/>
          <w:position w:val="0"/>
        </w:rPr>
        <w:t>号与华城公司所有的</w:t>
      </w:r>
      <w:r>
        <w:rPr>
          <w:rFonts w:ascii="Times New Roman" w:hAnsi="Times New Roman" w:eastAsia="Times New Roman" w:cs="Times New Roman"/>
          <w:color w:val="000000"/>
          <w:spacing w:val="0"/>
          <w:w w:val="100"/>
          <w:position w:val="0"/>
          <w:sz w:val="17"/>
          <w:szCs w:val="17"/>
        </w:rPr>
        <w:t>3218</w:t>
      </w:r>
      <w:r>
        <w:rPr>
          <w:color w:val="000000"/>
          <w:spacing w:val="0"/>
          <w:w w:val="100"/>
          <w:position w:val="0"/>
        </w:rPr>
        <w:t xml:space="preserve">号之间已经属于“具有构造 上的独立性，能够明确区分;具有利用上的独立性，可以排他使用;能够登记成为特定业主 </w:t>
      </w:r>
    </w:p>
    <w:p w14:paraId="5592EB56">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所有权的客体”，争议的</w:t>
      </w:r>
      <w:r>
        <w:rPr>
          <w:rFonts w:ascii="Times New Roman" w:hAnsi="Times New Roman" w:eastAsia="Times New Roman" w:cs="Times New Roman"/>
          <w:color w:val="000000"/>
          <w:spacing w:val="0"/>
          <w:w w:val="100"/>
          <w:position w:val="0"/>
          <w:sz w:val="19"/>
          <w:szCs w:val="19"/>
        </w:rPr>
        <w:t>3218</w:t>
      </w:r>
      <w:r>
        <w:rPr>
          <w:color w:val="000000"/>
          <w:spacing w:val="0"/>
          <w:w w:val="100"/>
          <w:position w:val="0"/>
        </w:rPr>
        <w:t>号楼顶平台属于华城公司的专有部分，而非业主共有。</w:t>
      </w:r>
    </w:p>
    <w:p w14:paraId="0F73A6EE">
      <w:pPr>
        <w:pStyle w:val="17"/>
        <w:keepNext w:val="0"/>
        <w:keepLines w:val="0"/>
        <w:widowControl w:val="0"/>
        <w:shd w:val="clear" w:color="auto" w:fill="auto"/>
        <w:bidi w:val="0"/>
        <w:spacing w:before="0" w:after="140" w:line="341" w:lineRule="exact"/>
        <w:ind w:left="0" w:right="0" w:firstLine="420"/>
        <w:jc w:val="both"/>
      </w:pPr>
      <w:r>
        <w:rPr>
          <w:color w:val="000000"/>
          <w:spacing w:val="0"/>
          <w:w w:val="100"/>
          <w:position w:val="0"/>
        </w:rPr>
        <w:t>可见，认定建筑物楼顶系为业主共有乃符合司法实践的趋势与现实的需要或要求，仅 特定情形下方可认定为由特定业主专有,而这需要符合专有部分的特性或其严格的构成要 件。</w:t>
      </w:r>
    </w:p>
    <w:p w14:paraId="44C3CE69">
      <w:pPr>
        <w:pStyle w:val="17"/>
        <w:keepNext w:val="0"/>
        <w:keepLines w:val="0"/>
        <w:widowControl w:val="0"/>
        <w:shd w:val="clear" w:color="auto" w:fill="auto"/>
        <w:bidi w:val="0"/>
        <w:spacing w:before="0" w:after="140" w:line="341" w:lineRule="exact"/>
        <w:ind w:left="0" w:right="0" w:firstLine="0"/>
        <w:jc w:val="left"/>
      </w:pPr>
      <w:r>
        <w:rPr>
          <w:color w:val="000000"/>
          <w:spacing w:val="0"/>
          <w:w w:val="100"/>
          <w:position w:val="0"/>
        </w:rPr>
        <w:t>困本判决的影响及将来的课题</w:t>
      </w:r>
    </w:p>
    <w:p w14:paraId="16C8D108">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关于区分所有建筑物楼顶空间及其架空层的所有权归属，于当时的立法尚无明确规定 的背景下，法院明确认为，即便未计入公摊面积也属业主共有,开发商无权擅自改变其结构 和用途。该裁判对于认定业主共有部分具重要指导意义，对之后的立法与相关司法解释的 出台亦具先驱意义。未来应原则上坚持将楼顶认定为业主共有（一部共有），特定情形下认 定为专有部分应十分审慎。将来对于楼顶平台的科学管理、有效利用乃至产权（所有权）归 属的发展趋势与动向，仍有进一步加强研究的空间与必要</w:t>
      </w:r>
    </w:p>
    <w:p w14:paraId="008AFBA6">
      <w:pPr>
        <w:pStyle w:val="11"/>
        <w:keepNext w:val="0"/>
        <w:keepLines w:val="0"/>
        <w:widowControl w:val="0"/>
        <w:shd w:val="clear" w:color="auto" w:fill="auto"/>
        <w:bidi w:val="0"/>
        <w:spacing w:before="0" w:after="180" w:line="341" w:lineRule="exact"/>
        <w:ind w:left="0" w:right="0" w:firstLine="0"/>
        <w:jc w:val="both"/>
      </w:pPr>
      <w:r>
        <w:rPr>
          <w:color w:val="000000"/>
          <w:spacing w:val="0"/>
          <w:w w:val="100"/>
          <w:position w:val="0"/>
        </w:rPr>
        <w:t>回参考文献</w:t>
      </w:r>
    </w:p>
    <w:p w14:paraId="5D9529A7">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陈华彬:《建筑物区分所有权法》，中国政法大学出版社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5338D8FC">
      <w:pPr>
        <w:pStyle w:val="17"/>
        <w:keepNext w:val="0"/>
        <w:keepLines w:val="0"/>
        <w:widowControl w:val="0"/>
        <w:shd w:val="clear" w:color="auto" w:fill="auto"/>
        <w:bidi w:val="0"/>
        <w:spacing w:before="0" w:after="0" w:line="336" w:lineRule="exact"/>
        <w:ind w:left="180" w:right="0" w:hanging="180"/>
        <w:jc w:val="both"/>
      </w:pPr>
      <w:r>
        <w:rPr>
          <w:color w:val="000000"/>
          <w:spacing w:val="0"/>
          <w:w w:val="100"/>
          <w:position w:val="0"/>
        </w:rPr>
        <w:t>陈华彬:《论建筑物区分所有权的构成——兼议〈物权法〉第</w:t>
      </w:r>
      <w:r>
        <w:rPr>
          <w:rFonts w:ascii="Times New Roman" w:hAnsi="Times New Roman" w:eastAsia="Times New Roman" w:cs="Times New Roman"/>
          <w:color w:val="000000"/>
          <w:spacing w:val="0"/>
          <w:w w:val="100"/>
          <w:position w:val="0"/>
          <w:sz w:val="17"/>
          <w:szCs w:val="17"/>
        </w:rPr>
        <w:t>70</w:t>
      </w:r>
      <w:r>
        <w:rPr>
          <w:color w:val="000000"/>
          <w:spacing w:val="0"/>
          <w:w w:val="100"/>
          <w:position w:val="0"/>
        </w:rPr>
        <w:t>条的规定》，载《清华法学》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2 </w:t>
      </w:r>
      <w:r>
        <w:rPr>
          <w:color w:val="000000"/>
          <w:spacing w:val="0"/>
          <w:w w:val="100"/>
          <w:position w:val="0"/>
        </w:rPr>
        <w:t>期。</w:t>
      </w:r>
    </w:p>
    <w:p w14:paraId="3BC077CF">
      <w:pPr>
        <w:pStyle w:val="17"/>
        <w:keepNext w:val="0"/>
        <w:keepLines w:val="0"/>
        <w:widowControl w:val="0"/>
        <w:shd w:val="clear" w:color="auto" w:fill="auto"/>
        <w:bidi w:val="0"/>
        <w:spacing w:before="0" w:after="0" w:line="312" w:lineRule="exact"/>
        <w:ind w:left="0" w:right="0" w:firstLine="0"/>
        <w:jc w:val="left"/>
      </w:pPr>
      <w:r>
        <w:rPr>
          <w:color w:val="000000"/>
          <w:spacing w:val="0"/>
          <w:w w:val="100"/>
          <w:position w:val="0"/>
        </w:rPr>
        <w:t>陈华彬:《论建筑物区分所有权的概念》，载《法治研究》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45E2D659">
      <w:pPr>
        <w:pStyle w:val="17"/>
        <w:keepNext w:val="0"/>
        <w:keepLines w:val="0"/>
        <w:widowControl w:val="0"/>
        <w:shd w:val="clear" w:color="auto" w:fill="auto"/>
        <w:bidi w:val="0"/>
        <w:spacing w:before="0" w:after="0" w:line="312" w:lineRule="exact"/>
        <w:ind w:left="0" w:right="0" w:firstLine="0"/>
        <w:jc w:val="both"/>
      </w:pPr>
      <w:r>
        <w:rPr>
          <w:color w:val="000000"/>
          <w:spacing w:val="0"/>
          <w:w w:val="100"/>
          <w:position w:val="0"/>
        </w:rPr>
        <w:t>崔建远:《物权法》，中国人民大学出版社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2FFEC077">
      <w:pPr>
        <w:pStyle w:val="17"/>
        <w:keepNext w:val="0"/>
        <w:keepLines w:val="0"/>
        <w:widowControl w:val="0"/>
        <w:shd w:val="clear" w:color="auto" w:fill="auto"/>
        <w:bidi w:val="0"/>
        <w:spacing w:before="0" w:after="0" w:line="312" w:lineRule="exact"/>
        <w:ind w:left="180" w:right="0" w:hanging="180"/>
        <w:jc w:val="both"/>
      </w:pPr>
      <w:r>
        <w:rPr>
          <w:color w:val="000000"/>
          <w:spacing w:val="0"/>
          <w:w w:val="100"/>
          <w:position w:val="0"/>
        </w:rPr>
        <w:t>杜万华、辛正都、杨永清：《最高人民法院（关于审理建筑物区分所有权纠纷案件具体应用法律若干问题 的解释〉〈关于审理物业服务纠纷案件具体应用法律若干问题的解释〉的理解与适用》，载《法律适 用》</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1087946A">
      <w:pPr>
        <w:pStyle w:val="17"/>
        <w:keepNext w:val="0"/>
        <w:keepLines w:val="0"/>
        <w:widowControl w:val="0"/>
        <w:shd w:val="clear" w:color="auto" w:fill="auto"/>
        <w:bidi w:val="0"/>
        <w:spacing w:before="0" w:after="60" w:line="312" w:lineRule="exact"/>
        <w:ind w:left="0" w:right="0" w:firstLine="0"/>
        <w:jc w:val="both"/>
        <w:sectPr>
          <w:headerReference r:id="rId248" w:type="default"/>
          <w:headerReference r:id="rId249" w:type="even"/>
          <w:footnotePr>
            <w:numFmt w:val="chicago"/>
          </w:footnotePr>
          <w:type w:val="continuous"/>
          <w:pgSz w:w="10099" w:h="14782"/>
          <w:pgMar w:top="1338" w:right="1094" w:bottom="1084" w:left="1011" w:header="0" w:footer="656" w:gutter="0"/>
          <w:cols w:space="720" w:num="1"/>
          <w:rtlGutter w:val="0"/>
          <w:docGrid w:linePitch="360" w:charSpace="0"/>
        </w:sectPr>
      </w:pPr>
      <w:r>
        <w:rPr>
          <w:color w:val="000000"/>
          <w:spacing w:val="0"/>
          <w:w w:val="100"/>
          <w:position w:val="0"/>
        </w:rPr>
        <w:t>北京市第一中级人民法院:《关于建筑物区分所有权类案件的调研报告》（</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月）。</w:t>
      </w:r>
    </w:p>
    <w:p w14:paraId="02841A32">
      <w:pPr>
        <w:widowControl w:val="0"/>
        <w:spacing w:before="5" w:after="5" w:line="240" w:lineRule="exact"/>
        <w:rPr>
          <w:sz w:val="19"/>
          <w:szCs w:val="19"/>
        </w:rPr>
      </w:pPr>
    </w:p>
    <w:p w14:paraId="56D8DE5C">
      <w:pPr>
        <w:widowControl w:val="0"/>
        <w:spacing w:line="1" w:lineRule="exact"/>
        <w:sectPr>
          <w:headerReference r:id="rId250" w:type="default"/>
          <w:headerReference r:id="rId251" w:type="even"/>
          <w:footnotePr>
            <w:numFmt w:val="chicago"/>
          </w:footnotePr>
          <w:pgSz w:w="10099" w:h="14782"/>
          <w:pgMar w:top="1274" w:right="983" w:bottom="1135" w:left="1114" w:header="0" w:footer="3" w:gutter="0"/>
          <w:pgNumType w:start="202"/>
          <w:cols w:space="720" w:num="1"/>
          <w:rtlGutter w:val="0"/>
          <w:docGrid w:linePitch="360" w:charSpace="0"/>
        </w:sectPr>
      </w:pPr>
    </w:p>
    <w:p w14:paraId="2FFDF68F">
      <w:pPr>
        <w:widowControl w:val="0"/>
        <w:spacing w:line="1" w:lineRule="exact"/>
      </w:pPr>
      <w:r>
        <mc:AlternateContent>
          <mc:Choice Requires="wps">
            <w:drawing>
              <wp:anchor distT="0" distB="15240" distL="114300" distR="2463165" simplePos="0" relativeHeight="251660288" behindDoc="0" locked="0" layoutInCell="1" allowOverlap="1">
                <wp:simplePos x="0" y="0"/>
                <wp:positionH relativeFrom="page">
                  <wp:posOffset>775335</wp:posOffset>
                </wp:positionH>
                <wp:positionV relativeFrom="paragraph">
                  <wp:posOffset>12700</wp:posOffset>
                </wp:positionV>
                <wp:extent cx="446405" cy="304800"/>
                <wp:effectExtent l="0" t="0" r="0" b="0"/>
                <wp:wrapTopAndBottom/>
                <wp:docPr id="563" name="Shape 563"/>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321E7F6E">
                            <w:pPr>
                              <w:pStyle w:val="27"/>
                              <w:keepNext/>
                              <w:keepLines/>
                              <w:widowControl w:val="0"/>
                              <w:shd w:val="clear" w:color="auto" w:fill="auto"/>
                              <w:bidi w:val="0"/>
                              <w:spacing w:before="0" w:after="0" w:line="240" w:lineRule="auto"/>
                              <w:ind w:left="0" w:right="0" w:firstLine="0"/>
                              <w:jc w:val="both"/>
                            </w:pPr>
                            <w:bookmarkStart w:id="378" w:name="bookmark246"/>
                            <w:bookmarkStart w:id="379" w:name="bookmark244"/>
                            <w:bookmarkStart w:id="380" w:name="bookmark245"/>
                            <w:r>
                              <w:rPr>
                                <w:rFonts w:ascii="Times New Roman" w:hAnsi="Times New Roman" w:eastAsia="Times New Roman" w:cs="Times New Roman"/>
                                <w:color w:val="000000"/>
                                <w:spacing w:val="0"/>
                                <w:w w:val="100"/>
                                <w:position w:val="0"/>
                              </w:rPr>
                              <w:t>038</w:t>
                            </w:r>
                            <w:bookmarkEnd w:id="378"/>
                            <w:bookmarkEnd w:id="379"/>
                            <w:bookmarkEnd w:id="380"/>
                          </w:p>
                        </w:txbxContent>
                      </wps:txbx>
                      <wps:bodyPr wrap="none" lIns="0" tIns="0" rIns="0" bIns="0">
                        <a:noAutofit/>
                      </wps:bodyPr>
                    </wps:wsp>
                  </a:graphicData>
                </a:graphic>
              </wp:anchor>
            </w:drawing>
          </mc:Choice>
          <mc:Fallback>
            <w:pict>
              <v:shape id="Shape 563" o:spid="_x0000_s1026" o:spt="202" type="#_x0000_t202" style="position:absolute;left:0pt;margin-left:61.05pt;margin-top:1pt;height:24pt;width:35.15pt;mso-position-horizontal-relative:page;mso-wrap-distance-bottom:1.2pt;mso-wrap-distance-top:0pt;mso-wrap-style:none;z-index:251660288;mso-width-relative:page;mso-height-relative:page;" filled="f" stroked="f" coordsize="21600,21600" o:gfxdata="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M4UbXUAAAA&#10;CAEAAA8AAAAAAAAAAQAgAAAAIgAAAGRycy9kb3ducmV2LnhtbFBLAQIUABQAAAAIAIdO4kCIwG0a&#10;rwEAAHMDAAAOAAAAAAAAAAEAIAAAACMBAABkcnMvZTJvRG9jLnhtbFBLBQYAAAAABgAGAFkBAABE&#10;BQAAAAA=&#10;">
                <v:fill on="f" focussize="0,0"/>
                <v:stroke on="f"/>
                <v:imagedata o:title=""/>
                <o:lock v:ext="edit" aspectratio="f"/>
                <v:textbox inset="0mm,0mm,0mm,0mm">
                  <w:txbxContent>
                    <w:p w14:paraId="321E7F6E">
                      <w:pPr>
                        <w:pStyle w:val="27"/>
                        <w:keepNext/>
                        <w:keepLines/>
                        <w:widowControl w:val="0"/>
                        <w:shd w:val="clear" w:color="auto" w:fill="auto"/>
                        <w:bidi w:val="0"/>
                        <w:spacing w:before="0" w:after="0" w:line="240" w:lineRule="auto"/>
                        <w:ind w:left="0" w:right="0" w:firstLine="0"/>
                        <w:jc w:val="both"/>
                      </w:pPr>
                      <w:bookmarkStart w:id="378" w:name="bookmark246"/>
                      <w:bookmarkStart w:id="379" w:name="bookmark244"/>
                      <w:bookmarkStart w:id="380" w:name="bookmark245"/>
                      <w:r>
                        <w:rPr>
                          <w:rFonts w:ascii="Times New Roman" w:hAnsi="Times New Roman" w:eastAsia="Times New Roman" w:cs="Times New Roman"/>
                          <w:color w:val="000000"/>
                          <w:spacing w:val="0"/>
                          <w:w w:val="100"/>
                          <w:position w:val="0"/>
                        </w:rPr>
                        <w:t>038</w:t>
                      </w:r>
                      <w:bookmarkEnd w:id="378"/>
                      <w:bookmarkEnd w:id="379"/>
                      <w:bookmarkEnd w:id="380"/>
                    </w:p>
                  </w:txbxContent>
                </v:textbox>
                <w10:wrap type="topAndBottom"/>
              </v:shape>
            </w:pict>
          </mc:Fallback>
        </mc:AlternateContent>
      </w:r>
      <w:r>
        <mc:AlternateContent>
          <mc:Choice Requires="wps">
            <w:drawing>
              <wp:anchor distT="80645" distB="0" distL="690245" distR="114935" simplePos="0" relativeHeight="251660288" behindDoc="0" locked="0" layoutInCell="1" allowOverlap="1">
                <wp:simplePos x="0" y="0"/>
                <wp:positionH relativeFrom="page">
                  <wp:posOffset>1351280</wp:posOffset>
                </wp:positionH>
                <wp:positionV relativeFrom="paragraph">
                  <wp:posOffset>93345</wp:posOffset>
                </wp:positionV>
                <wp:extent cx="2218690" cy="239395"/>
                <wp:effectExtent l="0" t="0" r="0" b="0"/>
                <wp:wrapTopAndBottom/>
                <wp:docPr id="565" name="Shape 565"/>
                <wp:cNvGraphicFramePr/>
                <a:graphic xmlns:a="http://schemas.openxmlformats.org/drawingml/2006/main">
                  <a:graphicData uri="http://schemas.microsoft.com/office/word/2010/wordprocessingShape">
                    <wps:wsp>
                      <wps:cNvSpPr txBox="1"/>
                      <wps:spPr>
                        <a:xfrm>
                          <a:off x="0" y="0"/>
                          <a:ext cx="2218690" cy="239395"/>
                        </a:xfrm>
                        <a:prstGeom prst="rect">
                          <a:avLst/>
                        </a:prstGeom>
                        <a:noFill/>
                      </wps:spPr>
                      <wps:txbx>
                        <w:txbxContent>
                          <w:p w14:paraId="0971456D">
                            <w:pPr>
                              <w:pStyle w:val="15"/>
                              <w:keepNext/>
                              <w:keepLines/>
                              <w:widowControl w:val="0"/>
                              <w:shd w:val="clear" w:color="auto" w:fill="auto"/>
                              <w:bidi w:val="0"/>
                              <w:spacing w:before="0" w:after="0" w:line="240" w:lineRule="auto"/>
                              <w:ind w:left="0" w:right="0" w:firstLine="0"/>
                              <w:jc w:val="center"/>
                            </w:pPr>
                            <w:bookmarkStart w:id="381" w:name="bookmark247"/>
                            <w:bookmarkStart w:id="382" w:name="bookmark249"/>
                            <w:bookmarkStart w:id="383" w:name="bookmark248"/>
                            <w:r>
                              <w:rPr>
                                <w:color w:val="000000"/>
                                <w:spacing w:val="0"/>
                                <w:w w:val="100"/>
                                <w:position w:val="0"/>
                              </w:rPr>
                              <w:t>善意取得中的受让人登记</w:t>
                            </w:r>
                            <w:bookmarkEnd w:id="381"/>
                            <w:bookmarkEnd w:id="382"/>
                            <w:bookmarkEnd w:id="383"/>
                          </w:p>
                        </w:txbxContent>
                      </wps:txbx>
                      <wps:bodyPr wrap="none" lIns="0" tIns="0" rIns="0" bIns="0">
                        <a:noAutofit/>
                      </wps:bodyPr>
                    </wps:wsp>
                  </a:graphicData>
                </a:graphic>
              </wp:anchor>
            </w:drawing>
          </mc:Choice>
          <mc:Fallback>
            <w:pict>
              <v:shape id="Shape 565" o:spid="_x0000_s1026" o:spt="202" type="#_x0000_t202" style="position:absolute;left:0pt;margin-left:106.4pt;margin-top:7.35pt;height:18.85pt;width:174.7pt;mso-position-horizontal-relative:page;mso-wrap-distance-bottom:0pt;mso-wrap-distance-top:6.35pt;mso-wrap-style:none;z-index:251660288;mso-width-relative:page;mso-height-relative:page;" filled="f" stroked="f" coordsize="21600,21600" o:gfxdata="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aDSdYA&#10;AAAJAQAADwAAAAAAAAABACAAAAAiAAAAZHJzL2Rvd25yZXYueG1sUEsBAhQAFAAAAAgAh07iQK5o&#10;IEivAQAAdAMAAA4AAAAAAAAAAQAgAAAAJQEAAGRycy9lMm9Eb2MueG1sUEsFBgAAAAAGAAYAWQEA&#10;AEYFAAAAAA==&#10;">
                <v:fill on="f" focussize="0,0"/>
                <v:stroke on="f"/>
                <v:imagedata o:title=""/>
                <o:lock v:ext="edit" aspectratio="f"/>
                <v:textbox inset="0mm,0mm,0mm,0mm">
                  <w:txbxContent>
                    <w:p w14:paraId="0971456D">
                      <w:pPr>
                        <w:pStyle w:val="15"/>
                        <w:keepNext/>
                        <w:keepLines/>
                        <w:widowControl w:val="0"/>
                        <w:shd w:val="clear" w:color="auto" w:fill="auto"/>
                        <w:bidi w:val="0"/>
                        <w:spacing w:before="0" w:after="0" w:line="240" w:lineRule="auto"/>
                        <w:ind w:left="0" w:right="0" w:firstLine="0"/>
                        <w:jc w:val="center"/>
                      </w:pPr>
                      <w:bookmarkStart w:id="381" w:name="bookmark247"/>
                      <w:bookmarkStart w:id="382" w:name="bookmark249"/>
                      <w:bookmarkStart w:id="383" w:name="bookmark248"/>
                      <w:r>
                        <w:rPr>
                          <w:color w:val="000000"/>
                          <w:spacing w:val="0"/>
                          <w:w w:val="100"/>
                          <w:position w:val="0"/>
                        </w:rPr>
                        <w:t>善意取得中的受让人登记</w:t>
                      </w:r>
                      <w:bookmarkEnd w:id="381"/>
                      <w:bookmarkEnd w:id="382"/>
                      <w:bookmarkEnd w:id="38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5142865</wp:posOffset>
            </wp:positionH>
            <wp:positionV relativeFrom="paragraph">
              <wp:posOffset>212090</wp:posOffset>
            </wp:positionV>
            <wp:extent cx="615950" cy="633730"/>
            <wp:effectExtent l="0" t="0" r="6350" b="1270"/>
            <wp:wrapSquare wrapText="left"/>
            <wp:docPr id="567" name="Shape 567"/>
            <wp:cNvGraphicFramePr/>
            <a:graphic xmlns:a="http://schemas.openxmlformats.org/drawingml/2006/main">
              <a:graphicData uri="http://schemas.openxmlformats.org/drawingml/2006/picture">
                <pic:pic xmlns:pic="http://schemas.openxmlformats.org/drawingml/2006/picture">
                  <pic:nvPicPr>
                    <pic:cNvPr id="567" name="Shape 567"/>
                    <pic:cNvPicPr/>
                  </pic:nvPicPr>
                  <pic:blipFill>
                    <a:blip r:embed="rId641"/>
                    <a:stretch>
                      <a:fillRect/>
                    </a:stretch>
                  </pic:blipFill>
                  <pic:spPr>
                    <a:xfrm>
                      <a:off x="0" y="0"/>
                      <a:ext cx="615950" cy="633730"/>
                    </a:xfrm>
                    <a:prstGeom prst="rect">
                      <a:avLst/>
                    </a:prstGeom>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page">
                  <wp:posOffset>1357630</wp:posOffset>
                </wp:positionH>
                <wp:positionV relativeFrom="paragraph">
                  <wp:posOffset>659765</wp:posOffset>
                </wp:positionV>
                <wp:extent cx="2040890" cy="161290"/>
                <wp:effectExtent l="0" t="0" r="0" b="0"/>
                <wp:wrapTopAndBottom/>
                <wp:docPr id="569" name="Shape 569"/>
                <wp:cNvGraphicFramePr/>
                <a:graphic xmlns:a="http://schemas.openxmlformats.org/drawingml/2006/main">
                  <a:graphicData uri="http://schemas.microsoft.com/office/word/2010/wordprocessingShape">
                    <wps:wsp>
                      <wps:cNvSpPr txBox="1"/>
                      <wps:spPr>
                        <a:xfrm>
                          <a:off x="0" y="0"/>
                          <a:ext cx="2040890" cy="161290"/>
                        </a:xfrm>
                        <a:prstGeom prst="rect">
                          <a:avLst/>
                        </a:prstGeom>
                        <a:noFill/>
                      </wps:spPr>
                      <wps:txbx>
                        <w:txbxContent>
                          <w:p w14:paraId="2AD93300">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榕民终字第</w:t>
                            </w:r>
                            <w:r>
                              <w:rPr>
                                <w:rFonts w:ascii="Times New Roman" w:hAnsi="Times New Roman" w:eastAsia="Times New Roman" w:cs="Times New Roman"/>
                                <w:color w:val="000000"/>
                                <w:spacing w:val="0"/>
                                <w:w w:val="100"/>
                                <w:position w:val="0"/>
                                <w:sz w:val="19"/>
                                <w:szCs w:val="19"/>
                              </w:rPr>
                              <w:t>833</w:t>
                            </w:r>
                            <w:r>
                              <w:rPr>
                                <w:color w:val="000000"/>
                                <w:spacing w:val="0"/>
                                <w:w w:val="100"/>
                                <w:position w:val="0"/>
                              </w:rPr>
                              <w:t>号民事判决书</w:t>
                            </w:r>
                          </w:p>
                        </w:txbxContent>
                      </wps:txbx>
                      <wps:bodyPr wrap="none" lIns="0" tIns="0" rIns="0" bIns="0">
                        <a:noAutofit/>
                      </wps:bodyPr>
                    </wps:wsp>
                  </a:graphicData>
                </a:graphic>
              </wp:anchor>
            </w:drawing>
          </mc:Choice>
          <mc:Fallback>
            <w:pict>
              <v:shape id="Shape 569" o:spid="_x0000_s1026" o:spt="202" type="#_x0000_t202" style="position:absolute;left:0pt;margin-left:106.9pt;margin-top:51.95pt;height:12.7pt;width:160.7pt;mso-position-horizontal-relative:page;mso-wrap-distance-bottom:0pt;mso-wrap-distance-top:0pt;mso-wrap-style:none;z-index:251660288;mso-width-relative:page;mso-height-relative:page;" filled="f" stroked="f" coordsize="21600,21600" o:gfxdata="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1LmA3Y&#10;AAAACwEAAA8AAAAAAAAAAQAgAAAAIgAAAGRycy9kb3ducmV2LnhtbFBLAQIUABQAAAAIAIdO4kD9&#10;kI7JrgEAAHQDAAAOAAAAAAAAAAEAIAAAACcBAABkcnMvZTJvRG9jLnhtbFBLBQYAAAAABgAGAFkB&#10;AABHBQAAAAA=&#10;">
                <v:fill on="f" focussize="0,0"/>
                <v:stroke on="f"/>
                <v:imagedata o:title=""/>
                <o:lock v:ext="edit" aspectratio="f"/>
                <v:textbox inset="0mm,0mm,0mm,0mm">
                  <w:txbxContent>
                    <w:p w14:paraId="2AD93300">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榕民终字第</w:t>
                      </w:r>
                      <w:r>
                        <w:rPr>
                          <w:rFonts w:ascii="Times New Roman" w:hAnsi="Times New Roman" w:eastAsia="Times New Roman" w:cs="Times New Roman"/>
                          <w:color w:val="000000"/>
                          <w:spacing w:val="0"/>
                          <w:w w:val="100"/>
                          <w:position w:val="0"/>
                          <w:sz w:val="19"/>
                          <w:szCs w:val="19"/>
                        </w:rPr>
                        <w:t>833</w:t>
                      </w:r>
                      <w:r>
                        <w:rPr>
                          <w:color w:val="000000"/>
                          <w:spacing w:val="0"/>
                          <w:w w:val="100"/>
                          <w:position w:val="0"/>
                        </w:rPr>
                        <w:t>号民事判决书</w:t>
                      </w:r>
                    </w:p>
                  </w:txbxContent>
                </v:textbox>
                <w10:wrap type="topAndBottom"/>
              </v:shape>
            </w:pict>
          </mc:Fallback>
        </mc:AlternateContent>
      </w:r>
    </w:p>
    <w:p w14:paraId="7137C1F6">
      <w:pPr>
        <w:pStyle w:val="17"/>
        <w:keepNext w:val="0"/>
        <w:keepLines w:val="0"/>
        <w:widowControl w:val="0"/>
        <w:shd w:val="clear" w:color="auto" w:fill="auto"/>
        <w:bidi w:val="0"/>
        <w:spacing w:before="0" w:after="60" w:line="240" w:lineRule="auto"/>
        <w:ind w:left="0" w:right="0" w:firstLine="0"/>
        <w:jc w:val="center"/>
      </w:pPr>
      <w:r>
        <w:rPr>
          <w:color w:val="000000"/>
          <w:spacing w:val="0"/>
          <w:w w:val="100"/>
          <w:position w:val="0"/>
        </w:rPr>
        <w:t>杨家辉诉叶娟云返还原物案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福建省福州市中级人民法院</w:t>
      </w:r>
    </w:p>
    <w:p w14:paraId="1022450E">
      <w:pPr>
        <w:pStyle w:val="33"/>
        <w:keepNext w:val="0"/>
        <w:keepLines w:val="0"/>
        <w:widowControl w:val="0"/>
        <w:shd w:val="clear" w:color="auto" w:fill="auto"/>
        <w:bidi w:val="0"/>
        <w:spacing w:before="340" w:after="1360" w:line="240" w:lineRule="auto"/>
        <w:ind w:left="0" w:right="0" w:firstLine="0"/>
        <w:jc w:val="right"/>
      </w:pPr>
      <w:r>
        <w:rPr>
          <w:color w:val="000000"/>
          <w:spacing w:val="0"/>
          <w:w w:val="100"/>
          <w:position w:val="0"/>
          <w:sz w:val="18"/>
          <w:szCs w:val="18"/>
        </w:rPr>
        <w:t>娄爱华</w:t>
      </w:r>
      <w:r>
        <w:rPr>
          <w:color w:val="000000"/>
          <w:spacing w:val="0"/>
          <w:w w:val="100"/>
          <w:position w:val="0"/>
        </w:rPr>
        <w:t>苏州大学王健法学院</w:t>
      </w:r>
    </w:p>
    <w:p w14:paraId="361F02A2">
      <w:pPr>
        <w:pStyle w:val="11"/>
        <w:keepNext w:val="0"/>
        <w:keepLines w:val="0"/>
        <w:widowControl w:val="0"/>
        <w:shd w:val="clear" w:color="auto" w:fill="auto"/>
        <w:bidi w:val="0"/>
        <w:spacing w:before="0" w:after="60" w:line="335"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BC1CDBF">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原告杨家辉自</w:t>
      </w:r>
      <w:r>
        <w:rPr>
          <w:rFonts w:ascii="Times New Roman" w:hAnsi="Times New Roman" w:eastAsia="Times New Roman" w:cs="Times New Roman"/>
          <w:color w:val="000000"/>
          <w:spacing w:val="0"/>
          <w:w w:val="100"/>
          <w:position w:val="0"/>
          <w:sz w:val="19"/>
          <w:szCs w:val="19"/>
        </w:rPr>
        <w:t>1996</w:t>
      </w:r>
      <w:r>
        <w:rPr>
          <w:color w:val="000000"/>
          <w:spacing w:val="0"/>
          <w:w w:val="100"/>
          <w:position w:val="0"/>
        </w:rPr>
        <w:t>年年初在福建省福清市高山镇高民新村建设房屋。</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年，杨家 辉与其妻经福清市法院主持调解离婚,双方未对此房屋提出诉求。该房屋陆续建设完毕 后,为混合结构四层楼房，建设面积计</w:t>
      </w:r>
      <w:r>
        <w:rPr>
          <w:rFonts w:ascii="Times New Roman" w:hAnsi="Times New Roman" w:eastAsia="Times New Roman" w:cs="Times New Roman"/>
          <w:color w:val="000000"/>
          <w:spacing w:val="0"/>
          <w:w w:val="100"/>
          <w:position w:val="0"/>
          <w:sz w:val="19"/>
          <w:szCs w:val="19"/>
          <w:lang w:val="en-US" w:eastAsia="en-US" w:bidi="en-US"/>
        </w:rPr>
        <w:t xml:space="preserve">473. </w:t>
      </w:r>
      <w:r>
        <w:rPr>
          <w:rFonts w:ascii="Times New Roman" w:hAnsi="Times New Roman" w:eastAsia="Times New Roman" w:cs="Times New Roman"/>
          <w:color w:val="000000"/>
          <w:spacing w:val="0"/>
          <w:w w:val="100"/>
          <w:position w:val="0"/>
          <w:sz w:val="19"/>
          <w:szCs w:val="19"/>
        </w:rPr>
        <w:t>56</w:t>
      </w:r>
      <w:r>
        <w:rPr>
          <w:color w:val="000000"/>
          <w:spacing w:val="0"/>
          <w:w w:val="100"/>
          <w:position w:val="0"/>
        </w:rPr>
        <w:t>平方米。</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年，该房屋所有权证及土地使 用权证被杨家辉之子杨贤熙和杨艇更改在各自名下。</w:t>
      </w:r>
    </w:p>
    <w:p w14:paraId="5D72D953">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被告叶娟云于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年以杨艇房产的买受人身份入住该房屋，未办理产权变更登记手 续。在撤销杨贤熙、杨艇的相关权属证书后，福清市建设局于</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日向杨家辉 发放了房屋所有权证，福清市人民政府于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日向杨家辉发放了土地使用权证。 因要求被告叶娟云搬离该房屋未果，原告杨家辉于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日诉至法院。</w:t>
      </w:r>
    </w:p>
    <w:p w14:paraId="4B456473">
      <w:pPr>
        <w:pStyle w:val="17"/>
        <w:keepNext w:val="0"/>
        <w:keepLines w:val="0"/>
        <w:widowControl w:val="0"/>
        <w:shd w:val="clear" w:color="auto" w:fill="auto"/>
        <w:bidi w:val="0"/>
        <w:spacing w:before="0" w:after="340" w:line="326" w:lineRule="exact"/>
        <w:ind w:left="0" w:right="0" w:firstLine="420"/>
        <w:jc w:val="both"/>
      </w:pPr>
      <w:r>
        <w:rPr>
          <w:color w:val="000000"/>
          <w:spacing w:val="0"/>
          <w:w w:val="100"/>
          <w:position w:val="0"/>
        </w:rPr>
        <w:t>一审法院判决</w:t>
      </w:r>
      <w:r>
        <w:rPr>
          <w:color w:val="000000"/>
          <w:spacing w:val="0"/>
          <w:w w:val="100"/>
          <w:position w:val="0"/>
          <w:lang w:val="zh-CN" w:eastAsia="zh-CN" w:bidi="zh-CN"/>
        </w:rPr>
        <w:t>，“被</w:t>
      </w:r>
      <w:r>
        <w:rPr>
          <w:color w:val="000000"/>
          <w:spacing w:val="0"/>
          <w:w w:val="100"/>
          <w:position w:val="0"/>
        </w:rPr>
        <w:t>告叶娟云应当于判决生效之日起五个月内自讼争房屋中搬离”。一 审宣判后源审被告叶娟云不服，提起上诉。</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年二审法院判决</w:t>
      </w:r>
      <w:r>
        <w:rPr>
          <w:color w:val="000000"/>
          <w:spacing w:val="0"/>
          <w:w w:val="100"/>
          <w:position w:val="0"/>
          <w:lang w:val="zh-CN" w:eastAsia="zh-CN" w:bidi="zh-CN"/>
        </w:rPr>
        <w:t>，“驳</w:t>
      </w:r>
      <w:r>
        <w:rPr>
          <w:color w:val="000000"/>
          <w:spacing w:val="0"/>
          <w:w w:val="100"/>
          <w:position w:val="0"/>
        </w:rPr>
        <w:t>回上诉，维持原判”。</w:t>
      </w:r>
    </w:p>
    <w:p w14:paraId="088B5BCB">
      <w:pPr>
        <w:pStyle w:val="11"/>
        <w:keepNext w:val="0"/>
        <w:keepLines w:val="0"/>
        <w:widowControl w:val="0"/>
        <w:shd w:val="clear" w:color="auto" w:fill="auto"/>
        <w:bidi w:val="0"/>
        <w:spacing w:before="0" w:after="60" w:line="335"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A2D8329">
      <w:pPr>
        <w:pStyle w:val="17"/>
        <w:keepNext w:val="0"/>
        <w:keepLines w:val="0"/>
        <w:widowControl w:val="0"/>
        <w:shd w:val="clear" w:color="auto" w:fill="auto"/>
        <w:bidi w:val="0"/>
        <w:spacing w:before="0" w:after="0" w:line="335" w:lineRule="exact"/>
        <w:ind w:left="0" w:right="0"/>
        <w:jc w:val="both"/>
      </w:pPr>
      <w:r>
        <w:rPr>
          <w:color w:val="000000"/>
          <w:spacing w:val="0"/>
          <w:w w:val="100"/>
          <w:position w:val="0"/>
        </w:rPr>
        <w:t>驳回上诉，维持原判。</w:t>
      </w:r>
    </w:p>
    <w:p w14:paraId="5EFF7B43">
      <w:pPr>
        <w:pStyle w:val="17"/>
        <w:keepNext w:val="0"/>
        <w:keepLines w:val="0"/>
        <w:widowControl w:val="0"/>
        <w:shd w:val="clear" w:color="auto" w:fill="auto"/>
        <w:bidi w:val="0"/>
        <w:spacing w:before="0" w:after="200" w:line="335" w:lineRule="exact"/>
        <w:ind w:left="0" w:right="0" w:firstLine="420"/>
        <w:jc w:val="both"/>
        <w:sectPr>
          <w:footnotePr>
            <w:numFmt w:val="chicago"/>
          </w:footnotePr>
          <w:type w:val="continuous"/>
          <w:pgSz w:w="10099" w:h="14782"/>
          <w:pgMar w:top="1274" w:right="983" w:bottom="1135" w:left="1114" w:header="846" w:footer="707" w:gutter="0"/>
          <w:cols w:space="720" w:num="1"/>
          <w:rtlGutter w:val="0"/>
          <w:docGrid w:linePitch="360" w:charSpace="0"/>
        </w:sectPr>
      </w:pPr>
      <w:r>
        <w:rPr>
          <w:color w:val="000000"/>
          <w:spacing w:val="0"/>
          <w:w w:val="100"/>
          <w:position w:val="0"/>
        </w:rPr>
        <w:t>第一,房屋的所有权及土地使用权的权属。一审法院认为:</w:t>
      </w:r>
      <w:r>
        <w:rPr>
          <w:color w:val="000000"/>
          <w:spacing w:val="0"/>
          <w:w w:val="100"/>
          <w:position w:val="0"/>
          <w:lang w:val="zh-CN" w:eastAsia="zh-CN" w:bidi="zh-CN"/>
        </w:rPr>
        <w:t>“政府</w:t>
      </w:r>
      <w:r>
        <w:rPr>
          <w:color w:val="000000"/>
          <w:spacing w:val="0"/>
          <w:w w:val="100"/>
          <w:position w:val="0"/>
        </w:rPr>
        <w:t>相关颁发权证部门已 将本案讼争房屋的所有权及土地使用权确认归原告杨家辉享有</w:t>
      </w:r>
      <w:r>
        <w:rPr>
          <w:color w:val="000000"/>
          <w:spacing w:val="0"/>
          <w:w w:val="100"/>
          <w:position w:val="0"/>
          <w:lang w:val="zh-CN" w:eastAsia="zh-CN" w:bidi="zh-CN"/>
        </w:rPr>
        <w:t>。”二</w:t>
      </w:r>
      <w:r>
        <w:rPr>
          <w:color w:val="000000"/>
          <w:spacing w:val="0"/>
          <w:w w:val="100"/>
          <w:position w:val="0"/>
        </w:rPr>
        <w:t>审法院维持。第二，被 告是否构成善意取得。一审法院认为:“被告关于其善意取得该房屋所有权的主张,既缺乏 证据支持，也不符合《物权法》关于善意取得的构成要素</w:t>
      </w:r>
      <w:r>
        <w:rPr>
          <w:color w:val="000000"/>
          <w:spacing w:val="0"/>
          <w:w w:val="100"/>
          <w:position w:val="0"/>
          <w:lang w:val="zh-CN" w:eastAsia="zh-CN" w:bidi="zh-CN"/>
        </w:rPr>
        <w:t>。”二</w:t>
      </w:r>
      <w:r>
        <w:rPr>
          <w:color w:val="000000"/>
          <w:spacing w:val="0"/>
          <w:w w:val="100"/>
          <w:position w:val="0"/>
        </w:rPr>
        <w:t>审法院维持。第三，被告是否 应该搬离。一审法院认为:</w:t>
      </w:r>
      <w:r>
        <w:rPr>
          <w:color w:val="000000"/>
          <w:spacing w:val="0"/>
          <w:w w:val="100"/>
          <w:position w:val="0"/>
          <w:lang w:val="zh-CN" w:eastAsia="zh-CN" w:bidi="zh-CN"/>
        </w:rPr>
        <w:t>“无论</w:t>
      </w:r>
      <w:r>
        <w:rPr>
          <w:color w:val="000000"/>
          <w:spacing w:val="0"/>
          <w:w w:val="100"/>
          <w:position w:val="0"/>
        </w:rPr>
        <w:t>该房产是否属于原告杨家辉与其前妻的共同财产，原告杨 家辉均有权要求被告叶娟云停止侵占、搬离该房。”二审法院维持。第四，被告的救济途径。 一审法院认为:“被告与原告之子的合同纠纷属于另一法律关系，可由双方自行处理</w:t>
      </w:r>
      <w:r>
        <w:rPr>
          <w:color w:val="000000"/>
          <w:spacing w:val="0"/>
          <w:w w:val="100"/>
          <w:position w:val="0"/>
          <w:lang w:val="zh-CN" w:eastAsia="zh-CN" w:bidi="zh-CN"/>
        </w:rPr>
        <w:t>。”二</w:t>
      </w:r>
      <w:r>
        <w:rPr>
          <w:color w:val="000000"/>
          <w:spacing w:val="0"/>
          <w:w w:val="100"/>
          <w:position w:val="0"/>
        </w:rPr>
        <w:t>审 法院维持。第五，原告的诉请是否已过诉讼时效。一审法院认为:“从原告向有关部门要求 纠正房屋权属证书等事实来看,原告并非怠于行使自己的民事权利,且原告完整取得讼争 房地产权属证书的时间距原告就本案起诉的时间不足一年，故被告关于诉讼时效的抗辩缺 乏依据</w:t>
      </w:r>
      <w:r>
        <w:rPr>
          <w:color w:val="000000"/>
          <w:spacing w:val="0"/>
          <w:w w:val="100"/>
          <w:position w:val="0"/>
          <w:lang w:val="zh-CN" w:eastAsia="zh-CN" w:bidi="zh-CN"/>
        </w:rPr>
        <w:t>。”二</w:t>
      </w:r>
      <w:r>
        <w:rPr>
          <w:color w:val="000000"/>
          <w:spacing w:val="0"/>
          <w:w w:val="100"/>
          <w:position w:val="0"/>
        </w:rPr>
        <w:t>审法院在判决主文中未回应，但</w:t>
      </w:r>
      <w:r>
        <w:rPr>
          <w:color w:val="000000"/>
          <w:spacing w:val="0"/>
          <w:w w:val="100"/>
          <w:position w:val="0"/>
          <w:lang w:val="zh-CN" w:eastAsia="zh-CN" w:bidi="zh-CN"/>
        </w:rPr>
        <w:t>“驳</w:t>
      </w:r>
      <w:r>
        <w:rPr>
          <w:color w:val="000000"/>
          <w:spacing w:val="0"/>
          <w:w w:val="100"/>
          <w:position w:val="0"/>
        </w:rPr>
        <w:t>回上诉，维持原判”。</w:t>
      </w:r>
    </w:p>
    <w:p w14:paraId="3CE7E583">
      <w:pPr>
        <w:pStyle w:val="11"/>
        <w:keepNext w:val="0"/>
        <w:keepLines w:val="0"/>
        <w:widowControl w:val="0"/>
        <w:shd w:val="clear" w:color="auto" w:fill="auto"/>
        <w:bidi w:val="0"/>
        <w:spacing w:before="0" w:after="120" w:line="345" w:lineRule="exact"/>
        <w:ind w:left="0" w:right="0" w:firstLine="0"/>
        <w:jc w:val="both"/>
      </w:pPr>
      <w:r>
        <w:rPr>
          <w:color w:val="000000"/>
          <w:spacing w:val="0"/>
          <w:w w:val="100"/>
          <w:position w:val="0"/>
        </w:rPr>
        <w:t>■评析</w:t>
      </w:r>
    </w:p>
    <w:p w14:paraId="1F685ED4">
      <w:pPr>
        <w:pStyle w:val="17"/>
        <w:keepNext w:val="0"/>
        <w:keepLines w:val="0"/>
        <w:widowControl w:val="0"/>
        <w:shd w:val="clear" w:color="auto" w:fill="auto"/>
        <w:bidi w:val="0"/>
        <w:spacing w:before="0" w:after="120" w:line="345"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2D83F80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裁判要旨中所列的五个问题中，原告请求权的行使并未超过诉讼时效，应无异议。其 余四个问题,均与本案被告购买房屋的行为是否构成善意取得有关。如果本案被告购买房 屋的行为构成善意取得，则裁判要旨中所列四个争点均应作与本案一审、二审判决不同的 裁判:本案被告成为房屋所有权及土地使用权的权利人，本案被告不应搬离,本案被告取得 不动产的相应权利,本案被告与原告之子的法律关系构成其善意取得的要素，应在本案中 予以审查。由此可见,本案被告购买房屋的行为是否构成善意取得,构成本案的核心争点。</w:t>
      </w:r>
    </w:p>
    <w:p w14:paraId="74103102">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《人民法院报》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版登载的本案评析认为:</w:t>
      </w:r>
      <w:r>
        <w:rPr>
          <w:color w:val="000000"/>
          <w:spacing w:val="0"/>
          <w:w w:val="100"/>
          <w:position w:val="0"/>
          <w:lang w:val="zh-CN" w:eastAsia="zh-CN" w:bidi="zh-CN"/>
        </w:rPr>
        <w:t>“本</w:t>
      </w:r>
      <w:r>
        <w:rPr>
          <w:color w:val="000000"/>
          <w:spacing w:val="0"/>
          <w:w w:val="100"/>
          <w:position w:val="0"/>
        </w:rPr>
        <w:t>案被告叶娟云受让讼 争房屋时，原告杨家辉之子持有合法的房屋所有权证和土地使用权证，使得叶娟云有充分 的理由相信杨家辉之子拥有房屋所有权，叶娟云在主观上不知情，是善意的。但叶娟云对 其在买受讼争房屋时的价格未举证证明，且没有办理房屋所有权转移登记，而不动产的物 权变更登记，是不动产转移的必备条件，该物权变动登记要件未完成应被视为不动产交易 行为未完成,不发生所有权转移的后果。因此,叶娟云买受讼争房屋并不符合物权法关于 善意取得的规定。”</w:t>
      </w:r>
    </w:p>
    <w:p w14:paraId="631382A7">
      <w:pPr>
        <w:pStyle w:val="17"/>
        <w:keepNext w:val="0"/>
        <w:keepLines w:val="0"/>
        <w:widowControl w:val="0"/>
        <w:shd w:val="clear" w:color="auto" w:fill="auto"/>
        <w:bidi w:val="0"/>
        <w:spacing w:before="0" w:after="200" w:line="346" w:lineRule="exact"/>
        <w:ind w:left="0" w:right="0" w:firstLine="420"/>
        <w:jc w:val="both"/>
        <w:rPr>
          <w:sz w:val="17"/>
          <w:szCs w:val="17"/>
        </w:rPr>
      </w:pPr>
      <w:r>
        <w:rPr>
          <w:color w:val="000000"/>
          <w:spacing w:val="0"/>
          <w:w w:val="100"/>
          <w:position w:val="0"/>
          <w:sz w:val="18"/>
          <w:szCs w:val="18"/>
        </w:rPr>
        <w:t>依照《民法典》第</w:t>
      </w:r>
      <w:r>
        <w:rPr>
          <w:rFonts w:ascii="Times New Roman" w:hAnsi="Times New Roman" w:eastAsia="Times New Roman" w:cs="Times New Roman"/>
          <w:color w:val="000000"/>
          <w:spacing w:val="0"/>
          <w:w w:val="100"/>
          <w:position w:val="0"/>
          <w:sz w:val="19"/>
          <w:szCs w:val="19"/>
        </w:rPr>
        <w:t>311</w:t>
      </w:r>
      <w:r>
        <w:rPr>
          <w:color w:val="000000"/>
          <w:spacing w:val="0"/>
          <w:w w:val="100"/>
          <w:position w:val="0"/>
          <w:sz w:val="18"/>
          <w:szCs w:val="18"/>
        </w:rPr>
        <w:t>条的规定，无权处分时，受让人善意取得的构成要件应为，“（一）受 让人受让该不动产或者动产时是善意的；（二）以合理的价格转让；（三）转让的不动产或者 动产依照法律规定应当登记的已经登记，不需要登记的已经交付给受让人”。本案一审判 决认为:“本案既缺乏证据支持,也不符合《物权法》关于善意取得的构成要素</w:t>
      </w:r>
      <w:r>
        <w:rPr>
          <w:color w:val="000000"/>
          <w:spacing w:val="0"/>
          <w:w w:val="100"/>
          <w:position w:val="0"/>
          <w:sz w:val="18"/>
          <w:szCs w:val="18"/>
          <w:lang w:val="zh-CN" w:eastAsia="zh-CN" w:bidi="zh-CN"/>
        </w:rPr>
        <w:t>。”依</w:t>
      </w:r>
      <w:r>
        <w:rPr>
          <w:color w:val="000000"/>
          <w:spacing w:val="0"/>
          <w:w w:val="100"/>
          <w:position w:val="0"/>
          <w:sz w:val="18"/>
          <w:szCs w:val="18"/>
        </w:rPr>
        <w:t>上述《人 民法院报》评析内容的解释</w:t>
      </w:r>
      <w:r>
        <w:rPr>
          <w:color w:val="000000"/>
          <w:spacing w:val="0"/>
          <w:w w:val="100"/>
          <w:position w:val="0"/>
          <w:sz w:val="18"/>
          <w:szCs w:val="18"/>
          <w:lang w:val="zh-CN" w:eastAsia="zh-CN" w:bidi="zh-CN"/>
        </w:rPr>
        <w:t>，“缺</w:t>
      </w:r>
      <w:r>
        <w:rPr>
          <w:color w:val="000000"/>
          <w:spacing w:val="0"/>
          <w:w w:val="100"/>
          <w:position w:val="0"/>
          <w:sz w:val="18"/>
          <w:szCs w:val="18"/>
        </w:rPr>
        <w:t>乏证据支持</w:t>
      </w:r>
      <w:r>
        <w:rPr>
          <w:color w:val="000000"/>
          <w:spacing w:val="0"/>
          <w:w w:val="100"/>
          <w:position w:val="0"/>
          <w:sz w:val="18"/>
          <w:szCs w:val="18"/>
          <w:lang w:val="zh-CN" w:eastAsia="zh-CN" w:bidi="zh-CN"/>
        </w:rPr>
        <w:t>”应</w:t>
      </w:r>
      <w:r>
        <w:rPr>
          <w:color w:val="000000"/>
          <w:spacing w:val="0"/>
          <w:w w:val="100"/>
          <w:position w:val="0"/>
          <w:sz w:val="18"/>
          <w:szCs w:val="18"/>
        </w:rPr>
        <w:t>指缺乏</w:t>
      </w:r>
      <w:r>
        <w:rPr>
          <w:color w:val="000000"/>
          <w:spacing w:val="0"/>
          <w:w w:val="100"/>
          <w:position w:val="0"/>
          <w:sz w:val="18"/>
          <w:szCs w:val="18"/>
          <w:lang w:val="zh-CN" w:eastAsia="zh-CN" w:bidi="zh-CN"/>
        </w:rPr>
        <w:t>“以合</w:t>
      </w:r>
      <w:r>
        <w:rPr>
          <w:color w:val="000000"/>
          <w:spacing w:val="0"/>
          <w:w w:val="100"/>
          <w:position w:val="0"/>
          <w:sz w:val="18"/>
          <w:szCs w:val="18"/>
        </w:rPr>
        <w:t>理的价格转让</w:t>
      </w:r>
      <w:r>
        <w:rPr>
          <w:color w:val="000000"/>
          <w:spacing w:val="0"/>
          <w:w w:val="100"/>
          <w:position w:val="0"/>
          <w:sz w:val="18"/>
          <w:szCs w:val="18"/>
          <w:lang w:val="zh-CN" w:eastAsia="zh-CN" w:bidi="zh-CN"/>
        </w:rPr>
        <w:t>”的</w:t>
      </w:r>
      <w:r>
        <w:rPr>
          <w:color w:val="000000"/>
          <w:spacing w:val="0"/>
          <w:w w:val="100"/>
          <w:position w:val="0"/>
          <w:sz w:val="18"/>
          <w:szCs w:val="18"/>
        </w:rPr>
        <w:t>证据，而</w:t>
      </w:r>
      <w:r>
        <w:rPr>
          <w:color w:val="000000"/>
          <w:spacing w:val="0"/>
          <w:w w:val="100"/>
          <w:position w:val="0"/>
          <w:sz w:val="18"/>
          <w:szCs w:val="18"/>
          <w:lang w:val="zh-CN" w:eastAsia="zh-CN" w:bidi="zh-CN"/>
        </w:rPr>
        <w:t xml:space="preserve">“不 </w:t>
      </w:r>
      <w:r>
        <w:rPr>
          <w:color w:val="000000"/>
          <w:spacing w:val="0"/>
          <w:w w:val="100"/>
          <w:position w:val="0"/>
          <w:sz w:val="18"/>
          <w:szCs w:val="18"/>
        </w:rPr>
        <w:t>符合善意取得的构成要素</w:t>
      </w:r>
      <w:r>
        <w:rPr>
          <w:color w:val="000000"/>
          <w:spacing w:val="0"/>
          <w:w w:val="100"/>
          <w:position w:val="0"/>
          <w:sz w:val="18"/>
          <w:szCs w:val="18"/>
          <w:lang w:val="zh-CN" w:eastAsia="zh-CN" w:bidi="zh-CN"/>
        </w:rPr>
        <w:t>”，应</w:t>
      </w:r>
      <w:r>
        <w:rPr>
          <w:color w:val="000000"/>
          <w:spacing w:val="0"/>
          <w:w w:val="100"/>
          <w:position w:val="0"/>
          <w:sz w:val="18"/>
          <w:szCs w:val="18"/>
        </w:rPr>
        <w:t xml:space="preserve">指未满足“依照法律规定应当登记的已经登记”的构成要件。 被告善意的构成要件，法院已直接认定。本案被告之所以不构成善意取得,原因主要在于 被告“未依照法律规定进行登记” </w:t>
      </w:r>
      <w:r>
        <w:rPr>
          <w:rFonts w:ascii="Times New Roman" w:hAnsi="Times New Roman" w:eastAsia="Times New Roman" w:cs="Times New Roman"/>
          <w:color w:val="000000"/>
          <w:spacing w:val="0"/>
          <w:w w:val="100"/>
          <w:position w:val="0"/>
          <w:sz w:val="17"/>
          <w:szCs w:val="17"/>
          <w:lang w:val="en-US" w:eastAsia="en-US" w:bidi="en-US"/>
        </w:rPr>
        <w:t>O</w:t>
      </w:r>
    </w:p>
    <w:p w14:paraId="20BCED0F">
      <w:pPr>
        <w:pStyle w:val="17"/>
        <w:keepNext w:val="0"/>
        <w:keepLines w:val="0"/>
        <w:widowControl w:val="0"/>
        <w:shd w:val="clear" w:color="auto" w:fill="auto"/>
        <w:bidi w:val="0"/>
        <w:spacing w:before="0" w:after="120" w:line="345"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本判决的参考意义</w:t>
      </w:r>
    </w:p>
    <w:p w14:paraId="3EB717A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较之《民法典》第</w:t>
      </w:r>
      <w:r>
        <w:rPr>
          <w:rFonts w:ascii="Times New Roman" w:hAnsi="Times New Roman" w:eastAsia="Times New Roman" w:cs="Times New Roman"/>
          <w:color w:val="000000"/>
          <w:spacing w:val="0"/>
          <w:w w:val="100"/>
          <w:position w:val="0"/>
          <w:sz w:val="19"/>
          <w:szCs w:val="19"/>
        </w:rPr>
        <w:t>311</w:t>
      </w:r>
      <w:r>
        <w:rPr>
          <w:color w:val="000000"/>
          <w:spacing w:val="0"/>
          <w:w w:val="100"/>
          <w:position w:val="0"/>
        </w:rPr>
        <w:t>条的规定,本案进一步明确了 “善意取得中受让人登记”的法律意 义。《民法典》第</w:t>
      </w:r>
      <w:r>
        <w:rPr>
          <w:rFonts w:ascii="Times New Roman" w:hAnsi="Times New Roman" w:eastAsia="Times New Roman" w:cs="Times New Roman"/>
          <w:color w:val="000000"/>
          <w:spacing w:val="0"/>
          <w:w w:val="100"/>
          <w:position w:val="0"/>
          <w:sz w:val="19"/>
          <w:szCs w:val="19"/>
        </w:rPr>
        <w:t>311</w:t>
      </w:r>
      <w:r>
        <w:rPr>
          <w:color w:val="000000"/>
          <w:spacing w:val="0"/>
          <w:w w:val="100"/>
          <w:position w:val="0"/>
        </w:rPr>
        <w:t>条已经将登记作为不动产善意取得的构成要件，但并未明确</w:t>
      </w:r>
      <w:r>
        <w:rPr>
          <w:color w:val="000000"/>
          <w:spacing w:val="0"/>
          <w:w w:val="100"/>
          <w:position w:val="0"/>
          <w:lang w:val="zh-CN" w:eastAsia="zh-CN" w:bidi="zh-CN"/>
        </w:rPr>
        <w:t xml:space="preserve">“登记”为 </w:t>
      </w:r>
      <w:r>
        <w:rPr>
          <w:color w:val="000000"/>
          <w:spacing w:val="0"/>
          <w:w w:val="100"/>
          <w:position w:val="0"/>
        </w:rPr>
        <w:t>何成为不动产善意取得的构成要件之一。前述《人民法院报》的本案评析载明:</w:t>
      </w:r>
      <w:r>
        <w:rPr>
          <w:color w:val="000000"/>
          <w:spacing w:val="0"/>
          <w:w w:val="100"/>
          <w:position w:val="0"/>
          <w:lang w:val="zh-CN" w:eastAsia="zh-CN" w:bidi="zh-CN"/>
        </w:rPr>
        <w:t>“不</w:t>
      </w:r>
      <w:r>
        <w:rPr>
          <w:color w:val="000000"/>
          <w:spacing w:val="0"/>
          <w:w w:val="100"/>
          <w:position w:val="0"/>
        </w:rPr>
        <w:t>动产的 物权变更登记，是不动产转移的必备条件，该物权变动登记要件未完成应被视为不动产交 易行为未完成，不发生所有权转移的后果</w:t>
      </w:r>
      <w:r>
        <w:rPr>
          <w:color w:val="000000"/>
          <w:spacing w:val="0"/>
          <w:w w:val="100"/>
          <w:position w:val="0"/>
          <w:lang w:val="zh-CN" w:eastAsia="zh-CN" w:bidi="zh-CN"/>
        </w:rPr>
        <w:t>。”这</w:t>
      </w:r>
      <w:r>
        <w:rPr>
          <w:color w:val="000000"/>
          <w:spacing w:val="0"/>
          <w:w w:val="100"/>
          <w:position w:val="0"/>
        </w:rPr>
        <w:t>说明登记的意义在于完成不动产交易。未完 成的交易在有权处分的场合尚不能导致所有权的变动,在无权处分的场合自然也不能通过 善意取得导致所有权变动的法律效果。</w:t>
      </w:r>
    </w:p>
    <w:p w14:paraId="413A593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这也说明，在不动产交易的完成本身就不需要登记的情形，登记对不动产善意取得没 有意义，不应作为善意取得的构成要件。如“王某与汪某物权纠纷案</w:t>
      </w:r>
      <w:r>
        <w:rPr>
          <w:color w:val="000000"/>
          <w:spacing w:val="0"/>
          <w:w w:val="100"/>
          <w:position w:val="0"/>
          <w:lang w:val="zh-CN" w:eastAsia="zh-CN" w:bidi="zh-CN"/>
        </w:rPr>
        <w:t>”［北</w:t>
      </w:r>
      <w:r>
        <w:rPr>
          <w:color w:val="000000"/>
          <w:spacing w:val="0"/>
          <w:w w:val="100"/>
          <w:position w:val="0"/>
        </w:rPr>
        <w:t>京市第二中级人民 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943</w:t>
      </w:r>
      <w:r>
        <w:rPr>
          <w:color w:val="000000"/>
          <w:spacing w:val="0"/>
          <w:w w:val="100"/>
          <w:position w:val="0"/>
        </w:rPr>
        <w:t>号民事判决书］中，法院认为</w:t>
      </w:r>
      <w:r>
        <w:rPr>
          <w:color w:val="000000"/>
          <w:spacing w:val="0"/>
          <w:w w:val="100"/>
          <w:position w:val="0"/>
          <w:lang w:val="zh-CN" w:eastAsia="zh-CN" w:bidi="zh-CN"/>
        </w:rPr>
        <w:t>，“考</w:t>
      </w:r>
      <w:r>
        <w:rPr>
          <w:color w:val="000000"/>
          <w:spacing w:val="0"/>
          <w:w w:val="100"/>
          <w:position w:val="0"/>
        </w:rPr>
        <w:t>虑到我国农村不动产登记制度不完 善的客观实际，并鉴于涉案房屋未曾进行过不动产登记，王某分家之时亦未进行变更登记, 此时如要求汪某取得上述房屋需要登记，不合实际和情理，在此情形下要求当事人必须进 行上述登记行为，客观上不利于保护善意第三人的合法权益”。类似判例还有</w:t>
      </w:r>
      <w:r>
        <w:rPr>
          <w:color w:val="000000"/>
          <w:spacing w:val="0"/>
          <w:w w:val="100"/>
          <w:position w:val="0"/>
          <w:lang w:val="zh-CN" w:eastAsia="zh-CN" w:bidi="zh-CN"/>
        </w:rPr>
        <w:t>“张某</w:t>
      </w:r>
      <w:r>
        <w:rPr>
          <w:color w:val="000000"/>
          <w:spacing w:val="0"/>
          <w:w w:val="100"/>
          <w:position w:val="0"/>
        </w:rPr>
        <w:t>母与王 某物权保护纠纷案</w:t>
      </w:r>
      <w:r>
        <w:rPr>
          <w:color w:val="000000"/>
          <w:spacing w:val="0"/>
          <w:w w:val="100"/>
          <w:position w:val="0"/>
          <w:lang w:val="zh-CN" w:eastAsia="zh-CN" w:bidi="zh-CN"/>
        </w:rPr>
        <w:t>”［北</w:t>
      </w:r>
      <w:r>
        <w:rPr>
          <w:color w:val="000000"/>
          <w:spacing w:val="0"/>
          <w:w w:val="100"/>
          <w:position w:val="0"/>
        </w:rPr>
        <w:t>京市第二中级人民法院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二中民终字第</w:t>
      </w:r>
      <w:r>
        <w:rPr>
          <w:rFonts w:ascii="Times New Roman" w:hAnsi="Times New Roman" w:eastAsia="Times New Roman" w:cs="Times New Roman"/>
          <w:color w:val="000000"/>
          <w:spacing w:val="0"/>
          <w:w w:val="100"/>
          <w:position w:val="0"/>
          <w:sz w:val="17"/>
          <w:szCs w:val="17"/>
        </w:rPr>
        <w:t>12600</w:t>
      </w:r>
      <w:r>
        <w:rPr>
          <w:color w:val="000000"/>
          <w:spacing w:val="0"/>
          <w:w w:val="100"/>
          <w:position w:val="0"/>
        </w:rPr>
        <w:t>号民事判决书］,该案中 受让人虽未登记，但法院也认定构成了善意取得。</w:t>
      </w:r>
    </w:p>
    <w:p w14:paraId="4E1ACC7B">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本案对于抵押权的善意取得问题有意义。《民法典》第</w:t>
      </w:r>
      <w:r>
        <w:rPr>
          <w:rFonts w:ascii="Times New Roman" w:hAnsi="Times New Roman" w:eastAsia="Times New Roman" w:cs="Times New Roman"/>
          <w:color w:val="000000"/>
          <w:spacing w:val="0"/>
          <w:w w:val="100"/>
          <w:position w:val="0"/>
          <w:sz w:val="17"/>
          <w:szCs w:val="17"/>
        </w:rPr>
        <w:t>402</w:t>
      </w:r>
      <w:r>
        <w:rPr>
          <w:color w:val="000000"/>
          <w:spacing w:val="0"/>
          <w:w w:val="100"/>
          <w:position w:val="0"/>
        </w:rPr>
        <w:t>条和《民法典》第</w:t>
      </w:r>
      <w:r>
        <w:rPr>
          <w:rFonts w:ascii="Times New Roman" w:hAnsi="Times New Roman" w:eastAsia="Times New Roman" w:cs="Times New Roman"/>
          <w:color w:val="000000"/>
          <w:spacing w:val="0"/>
          <w:w w:val="100"/>
          <w:position w:val="0"/>
          <w:sz w:val="17"/>
          <w:szCs w:val="17"/>
        </w:rPr>
        <w:t>403</w:t>
      </w:r>
      <w:r>
        <w:rPr>
          <w:color w:val="000000"/>
          <w:spacing w:val="0"/>
          <w:w w:val="100"/>
          <w:position w:val="0"/>
        </w:rPr>
        <w:t>条，根 据抵押物的不同，分别规定了以登记时为抵押权设立之时的抵押和以抵押合同生效时为抵 押权设立之时的抵押。这两种情形下，登记分别为成立要件和对抗要件，具有不同效力。与 之对应，在两种抵押权的善意取得中，登记的意义也不同：仅在登记作为抵押权成立要件 时，登记才应作为抵押权善意取得的构成要件。如在</w:t>
      </w:r>
      <w:r>
        <w:rPr>
          <w:color w:val="000000"/>
          <w:spacing w:val="0"/>
          <w:w w:val="100"/>
          <w:position w:val="0"/>
          <w:lang w:val="zh-CN" w:eastAsia="zh-CN" w:bidi="zh-CN"/>
        </w:rPr>
        <w:t>“某</w:t>
      </w:r>
      <w:r>
        <w:rPr>
          <w:color w:val="000000"/>
          <w:spacing w:val="0"/>
          <w:w w:val="100"/>
          <w:position w:val="0"/>
        </w:rPr>
        <w:t>银行与占丽芳、占层松、蔡建清、胡 金香金融借款合同纠纷案</w:t>
      </w:r>
      <w:r>
        <w:rPr>
          <w:color w:val="000000"/>
          <w:spacing w:val="0"/>
          <w:w w:val="100"/>
          <w:position w:val="0"/>
          <w:lang w:val="zh-CN" w:eastAsia="zh-CN" w:bidi="zh-CN"/>
        </w:rPr>
        <w:t>”［江</w:t>
      </w:r>
      <w:r>
        <w:rPr>
          <w:color w:val="000000"/>
          <w:spacing w:val="0"/>
          <w:w w:val="100"/>
          <w:position w:val="0"/>
        </w:rPr>
        <w:t>西省高级人民法院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赣民再</w:t>
      </w:r>
      <w:r>
        <w:rPr>
          <w:rFonts w:ascii="Times New Roman" w:hAnsi="Times New Roman" w:eastAsia="Times New Roman" w:cs="Times New Roman"/>
          <w:color w:val="000000"/>
          <w:spacing w:val="0"/>
          <w:w w:val="100"/>
          <w:position w:val="0"/>
          <w:sz w:val="17"/>
          <w:szCs w:val="17"/>
        </w:rPr>
        <w:t>31</w:t>
      </w:r>
      <w:r>
        <w:rPr>
          <w:color w:val="000000"/>
          <w:spacing w:val="0"/>
          <w:w w:val="100"/>
          <w:position w:val="0"/>
        </w:rPr>
        <w:t>号民事判决书］中，法院在认 定银行善意取得抵押权时考虑了银行已办理了抵押权登记。</w:t>
      </w:r>
    </w:p>
    <w:p w14:paraId="59BD8A47">
      <w:pPr>
        <w:pStyle w:val="17"/>
        <w:keepNext w:val="0"/>
        <w:keepLines w:val="0"/>
        <w:widowControl w:val="0"/>
        <w:shd w:val="clear" w:color="auto" w:fill="auto"/>
        <w:bidi w:val="0"/>
        <w:spacing w:before="0" w:after="280" w:line="343" w:lineRule="exact"/>
        <w:ind w:left="0" w:right="0"/>
        <w:jc w:val="both"/>
      </w:pPr>
      <w:r>
        <w:rPr>
          <w:color w:val="000000"/>
          <w:spacing w:val="0"/>
          <w:w w:val="100"/>
          <w:position w:val="0"/>
        </w:rPr>
        <w:t xml:space="preserve">本案对股权善意取得的认定也有意义。《全国法院民商事审判工作会议纪要》［法 </w:t>
      </w:r>
      <w:r>
        <w:rPr>
          <w:rFonts w:ascii="Times New Roman" w:hAnsi="Times New Roman" w:eastAsia="Times New Roman" w:cs="Times New Roman"/>
          <w:color w:val="000000"/>
          <w:spacing w:val="0"/>
          <w:w w:val="100"/>
          <w:position w:val="0"/>
          <w:sz w:val="17"/>
          <w:szCs w:val="17"/>
        </w:rPr>
        <w:t>（2019）254</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条规定:</w:t>
      </w:r>
      <w:r>
        <w:rPr>
          <w:color w:val="000000"/>
          <w:spacing w:val="0"/>
          <w:w w:val="100"/>
          <w:position w:val="0"/>
          <w:lang w:val="zh-CN" w:eastAsia="zh-CN" w:bidi="zh-CN"/>
        </w:rPr>
        <w:t>“未向</w:t>
      </w:r>
      <w:r>
        <w:rPr>
          <w:color w:val="000000"/>
          <w:spacing w:val="0"/>
          <w:w w:val="100"/>
          <w:position w:val="0"/>
        </w:rPr>
        <w:t>公司登记机关办理股权变更登记的，不得对抗善意相对 人</w:t>
      </w:r>
      <w:r>
        <w:rPr>
          <w:color w:val="000000"/>
          <w:spacing w:val="0"/>
          <w:w w:val="100"/>
          <w:position w:val="0"/>
          <w:lang w:val="zh-CN" w:eastAsia="zh-CN" w:bidi="zh-CN"/>
        </w:rPr>
        <w:t>。”依</w:t>
      </w:r>
      <w:r>
        <w:rPr>
          <w:color w:val="000000"/>
          <w:spacing w:val="0"/>
          <w:w w:val="100"/>
          <w:position w:val="0"/>
        </w:rPr>
        <w:t>此见解，股权登记的效力仅为对抗第三人。若登记仅仅产生对抗效力，意味着登记 并不构成股权转让的一部分。依照最高人民法院《关于适用〈中华人民共和国公司法〉若干 问题的规定（三）》第</w:t>
      </w:r>
      <w:r>
        <w:rPr>
          <w:rFonts w:ascii="Times New Roman" w:hAnsi="Times New Roman" w:eastAsia="Times New Roman" w:cs="Times New Roman"/>
          <w:color w:val="000000"/>
          <w:spacing w:val="0"/>
          <w:w w:val="100"/>
          <w:position w:val="0"/>
          <w:sz w:val="17"/>
          <w:szCs w:val="17"/>
        </w:rPr>
        <w:t>25</w:t>
      </w:r>
      <w:r>
        <w:rPr>
          <w:color w:val="000000"/>
          <w:spacing w:val="0"/>
          <w:w w:val="100"/>
          <w:position w:val="0"/>
        </w:rPr>
        <w:t>、</w:t>
      </w:r>
      <w:r>
        <w:rPr>
          <w:rFonts w:ascii="Times New Roman" w:hAnsi="Times New Roman" w:eastAsia="Times New Roman" w:cs="Times New Roman"/>
          <w:color w:val="000000"/>
          <w:spacing w:val="0"/>
          <w:w w:val="100"/>
          <w:position w:val="0"/>
          <w:sz w:val="17"/>
          <w:szCs w:val="17"/>
        </w:rPr>
        <w:t>27</w:t>
      </w:r>
      <w:r>
        <w:rPr>
          <w:color w:val="000000"/>
          <w:spacing w:val="0"/>
          <w:w w:val="100"/>
          <w:position w:val="0"/>
        </w:rPr>
        <w:t>条，在名义股东处分股权和股东“一股二卖</w:t>
      </w:r>
      <w:r>
        <w:rPr>
          <w:color w:val="000000"/>
          <w:spacing w:val="0"/>
          <w:w w:val="100"/>
          <w:position w:val="0"/>
          <w:lang w:val="zh-CN" w:eastAsia="zh-CN" w:bidi="zh-CN"/>
        </w:rPr>
        <w:t>”时</w:t>
      </w:r>
      <w:r>
        <w:rPr>
          <w:color w:val="000000"/>
          <w:spacing w:val="0"/>
          <w:w w:val="100"/>
          <w:position w:val="0"/>
        </w:rPr>
        <w:t>，股权受让人是否 构成善意取得，应参照《民法典》第</w:t>
      </w:r>
      <w:r>
        <w:rPr>
          <w:rFonts w:ascii="Times New Roman" w:hAnsi="Times New Roman" w:eastAsia="Times New Roman" w:cs="Times New Roman"/>
          <w:color w:val="000000"/>
          <w:spacing w:val="0"/>
          <w:w w:val="100"/>
          <w:position w:val="0"/>
          <w:sz w:val="17"/>
          <w:szCs w:val="17"/>
        </w:rPr>
        <w:t>311</w:t>
      </w:r>
      <w:r>
        <w:rPr>
          <w:color w:val="000000"/>
          <w:spacing w:val="0"/>
          <w:w w:val="100"/>
          <w:position w:val="0"/>
        </w:rPr>
        <w:t>条判定。依本案见解，《物权法》第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条（《民法典》 第</w:t>
      </w:r>
      <w:r>
        <w:rPr>
          <w:rFonts w:ascii="Times New Roman" w:hAnsi="Times New Roman" w:eastAsia="Times New Roman" w:cs="Times New Roman"/>
          <w:color w:val="000000"/>
          <w:spacing w:val="0"/>
          <w:w w:val="100"/>
          <w:position w:val="0"/>
          <w:sz w:val="17"/>
          <w:szCs w:val="17"/>
        </w:rPr>
        <w:t>311</w:t>
      </w:r>
      <w:r>
        <w:rPr>
          <w:color w:val="000000"/>
          <w:spacing w:val="0"/>
          <w:w w:val="100"/>
          <w:position w:val="0"/>
        </w:rPr>
        <w:t>条）中的登记之所以构成善意取得的要件,在于登记为不动产交易的一部分。若登 记在股权转让中并非交易的一部分，在判定受让人是否构成善意取得时,就不应再考察是 否已经完成了股权变动的登记。实务中将受让人完成变更登记作为股权善意取得构成要 件之一，缺乏正当性依据。在“黄某与某实业公司等股东资格确认案</w:t>
      </w:r>
      <w:r>
        <w:rPr>
          <w:color w:val="000000"/>
          <w:spacing w:val="0"/>
          <w:w w:val="100"/>
          <w:position w:val="0"/>
          <w:lang w:val="zh-CN" w:eastAsia="zh-CN" w:bidi="zh-CN"/>
        </w:rPr>
        <w:t>”［福</w:t>
      </w:r>
      <w:r>
        <w:rPr>
          <w:color w:val="000000"/>
          <w:spacing w:val="0"/>
          <w:w w:val="100"/>
          <w:position w:val="0"/>
        </w:rPr>
        <w:t>建省厦门市中级人 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厦民终字第</w:t>
      </w:r>
      <w:r>
        <w:rPr>
          <w:rFonts w:ascii="Times New Roman" w:hAnsi="Times New Roman" w:eastAsia="Times New Roman" w:cs="Times New Roman"/>
          <w:color w:val="000000"/>
          <w:spacing w:val="0"/>
          <w:w w:val="100"/>
          <w:position w:val="0"/>
          <w:sz w:val="17"/>
          <w:szCs w:val="17"/>
        </w:rPr>
        <w:t>2882</w:t>
      </w:r>
      <w:r>
        <w:rPr>
          <w:color w:val="000000"/>
          <w:spacing w:val="0"/>
          <w:w w:val="100"/>
          <w:position w:val="0"/>
        </w:rPr>
        <w:t>号民事判决书］中,公司原股东刘某对股权为无权处分，在判定受 让人黄某是否善意取得股权时，法院认为</w:t>
      </w:r>
      <w:r>
        <w:rPr>
          <w:color w:val="000000"/>
          <w:spacing w:val="0"/>
          <w:w w:val="100"/>
          <w:position w:val="0"/>
          <w:lang w:val="zh-CN" w:eastAsia="zh-CN" w:bidi="zh-CN"/>
        </w:rPr>
        <w:t>，“依</w:t>
      </w:r>
      <w:r>
        <w:rPr>
          <w:color w:val="000000"/>
          <w:spacing w:val="0"/>
          <w:w w:val="100"/>
          <w:position w:val="0"/>
        </w:rPr>
        <w:t xml:space="preserve">《公司法》规定,公司应当将股东的姓名或者 名称向公司登记机关登记;登记事项发生变更的，应当办理变更登记;未经登记或者变更登 记的，不得对抗第三人。据此，股权属于依法应登记事项，故本案黄某虽支付了相应股权转 让款，但并未到工商行政部门办理股东变更登记手续，工商部门所登记股东仍为费某、刘 某，黄某并未取得讼争股权，未成为公司股东”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判决主文既已明确</w:t>
      </w:r>
      <w:r>
        <w:rPr>
          <w:color w:val="000000"/>
          <w:spacing w:val="0"/>
          <w:w w:val="100"/>
          <w:position w:val="0"/>
          <w:lang w:val="zh-CN" w:eastAsia="zh-CN" w:bidi="zh-CN"/>
        </w:rPr>
        <w:t>，“未</w:t>
      </w:r>
      <w:r>
        <w:rPr>
          <w:color w:val="000000"/>
          <w:spacing w:val="0"/>
          <w:w w:val="100"/>
          <w:position w:val="0"/>
        </w:rPr>
        <w:t>经登记或者变更登 记的，不得对抗第三人</w:t>
      </w:r>
      <w:r>
        <w:rPr>
          <w:color w:val="000000"/>
          <w:spacing w:val="0"/>
          <w:w w:val="100"/>
          <w:position w:val="0"/>
          <w:lang w:val="zh-CN" w:eastAsia="zh-CN" w:bidi="zh-CN"/>
        </w:rPr>
        <w:t>”，则</w:t>
      </w:r>
      <w:r>
        <w:rPr>
          <w:color w:val="000000"/>
          <w:spacing w:val="0"/>
          <w:w w:val="100"/>
          <w:position w:val="0"/>
        </w:rPr>
        <w:t>未登记并不影响股权变动,未登记仅导致股权变动不产生对抗 效力。既然登记并非股权转让的一部分,嗣后再将受让人完成登记作为善意取得的构成要 件，实有不妥。</w:t>
      </w:r>
    </w:p>
    <w:p w14:paraId="799D53E7">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本案遗留的问题</w:t>
      </w:r>
    </w:p>
    <w:p w14:paraId="04CE2624">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本案指明了“未登记则未完成不动产交易”，证成了登记作为不动产善意取得构成要件 的正当性</w:t>
      </w:r>
      <w:r>
        <w:rPr>
          <w:color w:val="000000"/>
          <w:spacing w:val="0"/>
          <w:w w:val="100"/>
          <w:position w:val="0"/>
          <w:lang w:val="zh-CN" w:eastAsia="zh-CN" w:bidi="zh-CN"/>
        </w:rPr>
        <w:t>。“不</w:t>
      </w:r>
      <w:r>
        <w:rPr>
          <w:color w:val="000000"/>
          <w:spacing w:val="0"/>
          <w:w w:val="100"/>
          <w:position w:val="0"/>
        </w:rPr>
        <w:t>动产交易”的所指及其中“登记</w:t>
      </w:r>
      <w:r>
        <w:rPr>
          <w:color w:val="000000"/>
          <w:spacing w:val="0"/>
          <w:w w:val="100"/>
          <w:position w:val="0"/>
          <w:lang w:val="zh-CN" w:eastAsia="zh-CN" w:bidi="zh-CN"/>
        </w:rPr>
        <w:t>”的法</w:t>
      </w:r>
      <w:r>
        <w:rPr>
          <w:color w:val="000000"/>
          <w:spacing w:val="0"/>
          <w:w w:val="100"/>
          <w:position w:val="0"/>
        </w:rPr>
        <w:t>律意义，有待进一步澄清。</w:t>
      </w:r>
    </w:p>
    <w:p w14:paraId="22CFF4EC">
      <w:pPr>
        <w:pStyle w:val="17"/>
        <w:keepNext w:val="0"/>
        <w:keepLines w:val="0"/>
        <w:widowControl w:val="0"/>
        <w:shd w:val="clear" w:color="auto" w:fill="auto"/>
        <w:bidi w:val="0"/>
        <w:spacing w:before="0" w:after="0" w:line="338" w:lineRule="exact"/>
        <w:ind w:left="0" w:right="0"/>
        <w:jc w:val="both"/>
        <w:sectPr>
          <w:headerReference r:id="rId254" w:type="first"/>
          <w:headerReference r:id="rId252" w:type="default"/>
          <w:headerReference r:id="rId253" w:type="even"/>
          <w:footnotePr>
            <w:numFmt w:val="chicago"/>
          </w:footnotePr>
          <w:pgSz w:w="10099" w:h="14782"/>
          <w:pgMar w:top="1274" w:right="983" w:bottom="1135" w:left="1114" w:header="0" w:footer="3" w:gutter="0"/>
          <w:pgNumType w:start="187"/>
          <w:cols w:space="720" w:num="1"/>
          <w:titlePg/>
          <w:rtlGutter w:val="0"/>
          <w:docGrid w:linePitch="360" w:charSpace="0"/>
        </w:sectPr>
      </w:pPr>
      <w:r>
        <w:rPr>
          <w:color w:val="000000"/>
          <w:spacing w:val="0"/>
          <w:w w:val="100"/>
          <w:position w:val="0"/>
        </w:rPr>
        <w:t xml:space="preserve">最高人民法院《关于适用〈中华人民共和国物权法〉若干问题的解释（一）》［以下简称 </w:t>
      </w:r>
    </w:p>
    <w:p w14:paraId="777AAD92">
      <w:pPr>
        <w:pStyle w:val="17"/>
        <w:keepNext w:val="0"/>
        <w:keepLines w:val="0"/>
        <w:widowControl w:val="0"/>
        <w:shd w:val="clear" w:color="auto" w:fill="auto"/>
        <w:bidi w:val="0"/>
        <w:spacing w:before="0" w:after="0" w:line="338" w:lineRule="exact"/>
        <w:ind w:left="0" w:right="0" w:firstLine="0"/>
        <w:jc w:val="both"/>
      </w:pPr>
      <w:r>
        <w:rPr>
          <w:color w:val="000000"/>
          <w:spacing w:val="0"/>
          <w:w w:val="100"/>
          <w:position w:val="0"/>
        </w:rPr>
        <w:t>《物权法司法解释（一）》］第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条规定，转让合同具有如下效力瑕疵的，不构成善意取得， “（一）转让合同因违反合同法第五十二条规定被认定无效；（二）转让合同因受让人存在欺 诈、胁迫或者乘人之危等法定事由被撤销”。依照该规定，善意取得时转让合同至少应不具 备《物权法司法解释（一）》第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条规定的两种效力瑕疵，该条文借此在原《物权法》第</w:t>
      </w:r>
      <w:r>
        <w:rPr>
          <w:rFonts w:ascii="Times New Roman" w:hAnsi="Times New Roman" w:eastAsia="Times New Roman" w:cs="Times New Roman"/>
          <w:color w:val="000000"/>
          <w:spacing w:val="0"/>
          <w:w w:val="100"/>
          <w:position w:val="0"/>
          <w:sz w:val="19"/>
          <w:szCs w:val="19"/>
        </w:rPr>
        <w:t xml:space="preserve">106 </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311</w:t>
      </w:r>
      <w:r>
        <w:rPr>
          <w:color w:val="000000"/>
          <w:spacing w:val="0"/>
          <w:w w:val="100"/>
          <w:position w:val="0"/>
        </w:rPr>
        <w:t>条）规定的三项要件之外为善意取得确定了第四个构成要件。《物权法 司法解释（一）》第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条规定的“转让合同</w:t>
      </w:r>
      <w:r>
        <w:rPr>
          <w:color w:val="000000"/>
          <w:spacing w:val="0"/>
          <w:w w:val="100"/>
          <w:position w:val="0"/>
          <w:lang w:val="zh-CN" w:eastAsia="zh-CN" w:bidi="zh-CN"/>
        </w:rPr>
        <w:t>”究</w:t>
      </w:r>
      <w:r>
        <w:rPr>
          <w:color w:val="000000"/>
          <w:spacing w:val="0"/>
          <w:w w:val="100"/>
          <w:position w:val="0"/>
        </w:rPr>
        <w:t>竟应如何解释，仍有疑问，下文仍以买卖为例 予以说明。</w:t>
      </w:r>
    </w:p>
    <w:p w14:paraId="05F3085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在现实生活中，买卖合同缔结后会有动产交付或不动产登记的发生。若以</w:t>
      </w:r>
      <w:r>
        <w:rPr>
          <w:color w:val="000000"/>
          <w:spacing w:val="0"/>
          <w:w w:val="100"/>
          <w:position w:val="0"/>
          <w:lang w:val="zh-CN" w:eastAsia="zh-CN" w:bidi="zh-CN"/>
        </w:rPr>
        <w:t>“所</w:t>
      </w:r>
      <w:r>
        <w:rPr>
          <w:color w:val="000000"/>
          <w:spacing w:val="0"/>
          <w:w w:val="100"/>
          <w:position w:val="0"/>
        </w:rPr>
        <w:t>有权转 移</w:t>
      </w:r>
      <w:r>
        <w:rPr>
          <w:color w:val="000000"/>
          <w:spacing w:val="0"/>
          <w:w w:val="100"/>
          <w:position w:val="0"/>
          <w:lang w:val="zh-CN" w:eastAsia="zh-CN" w:bidi="zh-CN"/>
        </w:rPr>
        <w:t>”作为“转让”合</w:t>
      </w:r>
      <w:r>
        <w:rPr>
          <w:color w:val="000000"/>
          <w:spacing w:val="0"/>
          <w:w w:val="100"/>
          <w:position w:val="0"/>
        </w:rPr>
        <w:t>同的法律效果，则在不同的理论模式下</w:t>
      </w:r>
      <w:r>
        <w:rPr>
          <w:color w:val="000000"/>
          <w:spacing w:val="0"/>
          <w:w w:val="100"/>
          <w:position w:val="0"/>
          <w:lang w:val="zh-CN" w:eastAsia="zh-CN" w:bidi="zh-CN"/>
        </w:rPr>
        <w:t>，“转</w:t>
      </w:r>
      <w:r>
        <w:rPr>
          <w:color w:val="000000"/>
          <w:spacing w:val="0"/>
          <w:w w:val="100"/>
          <w:position w:val="0"/>
        </w:rPr>
        <w:t>让合同</w:t>
      </w:r>
      <w:r>
        <w:rPr>
          <w:color w:val="000000"/>
          <w:spacing w:val="0"/>
          <w:w w:val="100"/>
          <w:position w:val="0"/>
          <w:lang w:val="zh-CN" w:eastAsia="zh-CN" w:bidi="zh-CN"/>
        </w:rPr>
        <w:t>”的所</w:t>
      </w:r>
      <w:r>
        <w:rPr>
          <w:color w:val="000000"/>
          <w:spacing w:val="0"/>
          <w:w w:val="100"/>
          <w:position w:val="0"/>
        </w:rPr>
        <w:t>指并不相同。依 我国学者所说的债权形式主义，买卖合同既产生债法层面的约束力，又引发物权变动的法 律效果，买卖合同即转让合同。但依照德国法上的物权行为理论，买卖合同作为负担行为 并不能导致所有权移转,只有与交付及登记伴生的处分行为才能导致所有权移转,处分行 为才是转让合同。</w:t>
      </w:r>
    </w:p>
    <w:p w14:paraId="72921100">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在上述两种所有权变动模式下，要求买卖合同没有特定瑕疵,法律效果是不同的。依 照债权形式主义,买卖合同无特定瑕疵，意味着所有权在有权处分时能够终局地移转。依 照德国法上的物权行为理论，买卖合同无特定瑕疵，意味着在有权处分时通过处分行为移 转的所有权不会存在因买卖合同效力瑕疵而发生的不当得利返还问题。就所有权的善意 取得而言,在后一种理论模式下，要求作为负担行为的买卖合同无特定瑕疵,逻辑上并无必 要。负担行为本就不会移转所有权，因而不必苛求负担行为无特定瑕疵，只要抽象地导致 所有权变动的处分行为无特定瑕疵即可。</w:t>
      </w:r>
    </w:p>
    <w:p w14:paraId="42B18FF5">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《物权法司法解释（一）》第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条规定的</w:t>
      </w:r>
      <w:r>
        <w:rPr>
          <w:color w:val="000000"/>
          <w:spacing w:val="0"/>
          <w:w w:val="100"/>
          <w:position w:val="0"/>
          <w:lang w:val="zh-CN" w:eastAsia="zh-CN" w:bidi="zh-CN"/>
        </w:rPr>
        <w:t>“转让</w:t>
      </w:r>
      <w:r>
        <w:rPr>
          <w:color w:val="000000"/>
          <w:spacing w:val="0"/>
          <w:w w:val="100"/>
          <w:position w:val="0"/>
        </w:rPr>
        <w:t>合同”，往往被理解为现实生活中的买卖 合同。由于德国法上的物权行为理论在我国仍存在很大争议，因而不能完全杜绝该</w:t>
      </w:r>
      <w:r>
        <w:rPr>
          <w:color w:val="000000"/>
          <w:spacing w:val="0"/>
          <w:w w:val="100"/>
          <w:position w:val="0"/>
          <w:lang w:val="zh-CN" w:eastAsia="zh-CN" w:bidi="zh-CN"/>
        </w:rPr>
        <w:t xml:space="preserve">“转让 </w:t>
      </w:r>
      <w:r>
        <w:rPr>
          <w:color w:val="000000"/>
          <w:spacing w:val="0"/>
          <w:w w:val="100"/>
          <w:position w:val="0"/>
        </w:rPr>
        <w:t>合同</w:t>
      </w:r>
      <w:r>
        <w:rPr>
          <w:color w:val="000000"/>
          <w:spacing w:val="0"/>
          <w:w w:val="100"/>
          <w:position w:val="0"/>
          <w:lang w:val="zh-CN" w:eastAsia="zh-CN" w:bidi="zh-CN"/>
        </w:rPr>
        <w:t>”被解</w:t>
      </w:r>
      <w:r>
        <w:rPr>
          <w:color w:val="000000"/>
          <w:spacing w:val="0"/>
          <w:w w:val="100"/>
          <w:position w:val="0"/>
        </w:rPr>
        <w:t>释为处分行为，以区别于作为负担行为的买卖合同的可能性。对于我国法律上 是否存在德国法上的物权行为理论，存在很大争议,已无需赘言。在法律适用层面,最高人 民法院《关于审理买卖合同纠纷案件适用法律问题的解释》第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条规定</w:t>
      </w:r>
      <w:r>
        <w:rPr>
          <w:color w:val="000000"/>
          <w:spacing w:val="0"/>
          <w:w w:val="100"/>
          <w:position w:val="0"/>
          <w:lang w:val="zh-CN" w:eastAsia="zh-CN" w:bidi="zh-CN"/>
        </w:rPr>
        <w:t>，“当</w:t>
      </w:r>
      <w:r>
        <w:rPr>
          <w:color w:val="000000"/>
          <w:spacing w:val="0"/>
          <w:w w:val="100"/>
          <w:position w:val="0"/>
        </w:rPr>
        <w:t>事人一方以出 卖人在缔约时对标的物没有所有权或者处分权为由主张合同无效的，人民法院不予支持”。 若买卖合同在不涉及所有权移转时依然有效，至少证明存在区别于我国学者所说的债权形 式主义意义上的买卖合同。就此而言</w:t>
      </w:r>
      <w:r>
        <w:rPr>
          <w:color w:val="000000"/>
          <w:spacing w:val="0"/>
          <w:w w:val="100"/>
          <w:position w:val="0"/>
          <w:lang w:val="zh-CN" w:eastAsia="zh-CN" w:bidi="zh-CN"/>
        </w:rPr>
        <w:t>，“转</w:t>
      </w:r>
      <w:r>
        <w:rPr>
          <w:color w:val="000000"/>
          <w:spacing w:val="0"/>
          <w:w w:val="100"/>
          <w:position w:val="0"/>
        </w:rPr>
        <w:t>让合同”的所指并不明朗</w:t>
      </w:r>
      <w:r>
        <w:rPr>
          <w:color w:val="000000"/>
          <w:spacing w:val="0"/>
          <w:w w:val="100"/>
          <w:position w:val="0"/>
          <w:lang w:val="zh-CN" w:eastAsia="zh-CN" w:bidi="zh-CN"/>
        </w:rPr>
        <w:t>，“不</w:t>
      </w:r>
      <w:r>
        <w:rPr>
          <w:color w:val="000000"/>
          <w:spacing w:val="0"/>
          <w:w w:val="100"/>
          <w:position w:val="0"/>
        </w:rPr>
        <w:t>动产交易”的所指 也就并不清楚。</w:t>
      </w:r>
    </w:p>
    <w:p w14:paraId="08FC6FE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与之相关，既然</w:t>
      </w:r>
      <w:r>
        <w:rPr>
          <w:color w:val="000000"/>
          <w:spacing w:val="0"/>
          <w:w w:val="100"/>
          <w:position w:val="0"/>
          <w:lang w:val="zh-CN" w:eastAsia="zh-CN" w:bidi="zh-CN"/>
        </w:rPr>
        <w:t>“转</w:t>
      </w:r>
      <w:r>
        <w:rPr>
          <w:color w:val="000000"/>
          <w:spacing w:val="0"/>
          <w:w w:val="100"/>
          <w:position w:val="0"/>
        </w:rPr>
        <w:t>让合同</w:t>
      </w:r>
      <w:r>
        <w:rPr>
          <w:color w:val="000000"/>
          <w:spacing w:val="0"/>
          <w:w w:val="100"/>
          <w:position w:val="0"/>
          <w:lang w:val="zh-CN" w:eastAsia="zh-CN" w:bidi="zh-CN"/>
        </w:rPr>
        <w:t>”存在</w:t>
      </w:r>
      <w:r>
        <w:rPr>
          <w:color w:val="000000"/>
          <w:spacing w:val="0"/>
          <w:w w:val="100"/>
          <w:position w:val="0"/>
        </w:rPr>
        <w:t>所谓“债权形式主义</w:t>
      </w:r>
      <w:r>
        <w:rPr>
          <w:color w:val="000000"/>
          <w:spacing w:val="0"/>
          <w:w w:val="100"/>
          <w:position w:val="0"/>
          <w:lang w:val="zh-CN" w:eastAsia="zh-CN" w:bidi="zh-CN"/>
        </w:rPr>
        <w:t>”与“</w:t>
      </w:r>
      <w:r>
        <w:rPr>
          <w:color w:val="000000"/>
          <w:spacing w:val="0"/>
          <w:w w:val="100"/>
          <w:position w:val="0"/>
        </w:rPr>
        <w:t>物权行为理论</w:t>
      </w:r>
      <w:r>
        <w:rPr>
          <w:color w:val="000000"/>
          <w:spacing w:val="0"/>
          <w:w w:val="100"/>
          <w:position w:val="0"/>
          <w:lang w:val="zh-CN" w:eastAsia="zh-CN" w:bidi="zh-CN"/>
        </w:rPr>
        <w:t>”两种</w:t>
      </w:r>
      <w:r>
        <w:rPr>
          <w:color w:val="000000"/>
          <w:spacing w:val="0"/>
          <w:w w:val="100"/>
          <w:position w:val="0"/>
        </w:rPr>
        <w:t>解释路 径，“登记</w:t>
      </w:r>
      <w:r>
        <w:rPr>
          <w:color w:val="000000"/>
          <w:spacing w:val="0"/>
          <w:w w:val="100"/>
          <w:position w:val="0"/>
          <w:lang w:val="zh-CN" w:eastAsia="zh-CN" w:bidi="zh-CN"/>
        </w:rPr>
        <w:t>”也就</w:t>
      </w:r>
      <w:r>
        <w:rPr>
          <w:color w:val="000000"/>
          <w:spacing w:val="0"/>
          <w:w w:val="100"/>
          <w:position w:val="0"/>
        </w:rPr>
        <w:t>具有两种不同的法律意义。依我国学者所说的债权形式主义，登记不过是 买卖合同的履行行为，虽构成所有权变动的要素，但仍在买卖合同的射程之内。依德国法 上的物权行为理论,导致所有权变动的登记，显然在作为负担行为的买卖合同的射程之外。</w:t>
      </w:r>
    </w:p>
    <w:p w14:paraId="767EB624">
      <w:pPr>
        <w:pStyle w:val="17"/>
        <w:keepNext w:val="0"/>
        <w:keepLines w:val="0"/>
        <w:widowControl w:val="0"/>
        <w:shd w:val="clear" w:color="auto" w:fill="auto"/>
        <w:bidi w:val="0"/>
        <w:spacing w:before="0" w:after="360" w:line="344" w:lineRule="exact"/>
        <w:ind w:left="0" w:right="0" w:firstLine="420"/>
        <w:jc w:val="both"/>
        <w:sectPr>
          <w:headerReference r:id="rId255" w:type="default"/>
          <w:headerReference r:id="rId256" w:type="even"/>
          <w:footnotePr>
            <w:numFmt w:val="chicago"/>
          </w:footnotePr>
          <w:pgSz w:w="10099" w:h="14782"/>
          <w:pgMar w:top="1274" w:right="983" w:bottom="1135" w:left="1114" w:header="0" w:footer="707" w:gutter="0"/>
          <w:pgNumType w:start="205"/>
          <w:cols w:space="720" w:num="1"/>
          <w:rtlGutter w:val="0"/>
          <w:docGrid w:linePitch="360" w:charSpace="0"/>
        </w:sectPr>
      </w:pPr>
      <w:r>
        <w:rPr>
          <w:color w:val="000000"/>
          <w:spacing w:val="0"/>
          <w:w w:val="100"/>
          <w:position w:val="0"/>
        </w:rPr>
        <w:t xml:space="preserve">不论依我国学者所说的债权形式主义，还是依德国法上的物权行为理论，登记对于所 有权的变动都是有意义的，因此对善意取得也有意义，这区别于法国法。依照法国法的合 意主义，只要买卖合同生效，无需登记，所有权就可依合同约定转移。在法国法中，虽然也有 </w:t>
      </w:r>
    </w:p>
    <w:p w14:paraId="039A2F0C">
      <w:pPr>
        <w:pStyle w:val="17"/>
        <w:keepNext w:val="0"/>
        <w:keepLines w:val="0"/>
        <w:widowControl w:val="0"/>
        <w:shd w:val="clear" w:color="auto" w:fill="auto"/>
        <w:bidi w:val="0"/>
        <w:spacing w:before="0" w:after="360" w:line="344" w:lineRule="exact"/>
        <w:ind w:left="0" w:right="0" w:firstLine="0"/>
        <w:jc w:val="both"/>
      </w:pPr>
      <w:r>
        <w:rPr>
          <w:color w:val="000000"/>
          <w:spacing w:val="0"/>
          <w:w w:val="100"/>
          <w:position w:val="0"/>
        </w:rPr>
        <w:t>不动产登记制度，但不动产登记仅仅产生对抗效力，即</w:t>
      </w:r>
      <w:r>
        <w:rPr>
          <w:color w:val="000000"/>
          <w:spacing w:val="0"/>
          <w:w w:val="100"/>
          <w:position w:val="0"/>
          <w:lang w:val="zh-CN" w:eastAsia="zh-CN" w:bidi="zh-CN"/>
        </w:rPr>
        <w:t>“非经</w:t>
      </w:r>
      <w:r>
        <w:rPr>
          <w:color w:val="000000"/>
          <w:spacing w:val="0"/>
          <w:w w:val="100"/>
          <w:position w:val="0"/>
        </w:rPr>
        <w:t>登记不得对抗善意第三人”，与 所有权的变动无关。在此模式下,登记对不动产善意取得没有意义。当然，法国法本身也不 承认不动产的善意取得,只是承认动产的善意取得。我国学界几乎无人主张不动产所有权 变动采法国模式，但在股权等权利变动的问题上，有合意主义的主张，对其中</w:t>
      </w:r>
      <w:r>
        <w:rPr>
          <w:color w:val="000000"/>
          <w:spacing w:val="0"/>
          <w:w w:val="100"/>
          <w:position w:val="0"/>
          <w:lang w:val="zh-CN" w:eastAsia="zh-CN" w:bidi="zh-CN"/>
        </w:rPr>
        <w:t>“登记”的</w:t>
      </w:r>
      <w:r>
        <w:rPr>
          <w:color w:val="000000"/>
          <w:spacing w:val="0"/>
          <w:w w:val="100"/>
          <w:position w:val="0"/>
        </w:rPr>
        <w:t>法律 意义如何判定，法国法有参考意义。</w:t>
      </w:r>
    </w:p>
    <w:p w14:paraId="230C9369">
      <w:pPr>
        <w:pStyle w:val="11"/>
        <w:keepNext w:val="0"/>
        <w:keepLines w:val="0"/>
        <w:widowControl w:val="0"/>
        <w:shd w:val="clear" w:color="auto" w:fill="auto"/>
        <w:bidi w:val="0"/>
        <w:spacing w:before="0" w:after="40" w:line="329" w:lineRule="exact"/>
        <w:ind w:left="0" w:right="0" w:firstLine="0"/>
        <w:jc w:val="both"/>
      </w:pPr>
      <w:r>
        <w:rPr>
          <w:color w:val="000000"/>
          <w:spacing w:val="0"/>
          <w:w w:val="100"/>
          <w:position w:val="0"/>
        </w:rPr>
        <w:t>回参考文献</w:t>
      </w:r>
    </w:p>
    <w:p w14:paraId="331B9717">
      <w:pPr>
        <w:pStyle w:val="17"/>
        <w:keepNext w:val="0"/>
        <w:keepLines w:val="0"/>
        <w:widowControl w:val="0"/>
        <w:shd w:val="clear" w:color="auto" w:fill="auto"/>
        <w:bidi w:val="0"/>
        <w:spacing w:before="0" w:after="0" w:line="317" w:lineRule="exact"/>
        <w:ind w:left="180" w:right="0" w:hanging="180"/>
        <w:jc w:val="both"/>
      </w:pPr>
      <w:r>
        <w:rPr>
          <w:color w:val="000000"/>
          <w:spacing w:val="0"/>
          <w:w w:val="100"/>
          <w:position w:val="0"/>
        </w:rPr>
        <w:t>娄爱华:《论善意取得制度中的转让合同效力问题——兼谈〈合同法〉第</w:t>
      </w:r>
      <w:r>
        <w:rPr>
          <w:rFonts w:ascii="Times New Roman" w:hAnsi="Times New Roman" w:eastAsia="Times New Roman" w:cs="Times New Roman"/>
          <w:color w:val="000000"/>
          <w:spacing w:val="0"/>
          <w:w w:val="100"/>
          <w:position w:val="0"/>
          <w:sz w:val="17"/>
          <w:szCs w:val="17"/>
        </w:rPr>
        <w:t>51</w:t>
      </w:r>
      <w:r>
        <w:rPr>
          <w:color w:val="000000"/>
          <w:spacing w:val="0"/>
          <w:w w:val="100"/>
          <w:position w:val="0"/>
        </w:rPr>
        <w:t>条与〈物权法〉第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条之关 系》，载《法律科学》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7FD63E0E">
      <w:pPr>
        <w:pStyle w:val="17"/>
        <w:keepNext w:val="0"/>
        <w:keepLines w:val="0"/>
        <w:widowControl w:val="0"/>
        <w:shd w:val="clear" w:color="auto" w:fill="auto"/>
        <w:bidi w:val="0"/>
        <w:spacing w:before="0" w:after="40" w:line="317" w:lineRule="exact"/>
        <w:ind w:left="180" w:right="0" w:hanging="180"/>
        <w:jc w:val="both"/>
      </w:pPr>
      <w:r>
        <w:rPr>
          <w:color w:val="000000"/>
          <w:spacing w:val="0"/>
          <w:w w:val="100"/>
          <w:position w:val="0"/>
        </w:rPr>
        <w:t>姚明斌:《善意取得之合同效力要件再检视——基于〈物权法解释（一）〉第</w:t>
      </w:r>
      <w:r>
        <w:rPr>
          <w:rFonts w:ascii="Times New Roman" w:hAnsi="Times New Roman" w:eastAsia="Times New Roman" w:cs="Times New Roman"/>
          <w:color w:val="000000"/>
          <w:spacing w:val="0"/>
          <w:w w:val="100"/>
          <w:position w:val="0"/>
          <w:sz w:val="17"/>
          <w:szCs w:val="17"/>
        </w:rPr>
        <w:t>21</w:t>
      </w:r>
      <w:r>
        <w:rPr>
          <w:color w:val="000000"/>
          <w:spacing w:val="0"/>
          <w:w w:val="100"/>
          <w:position w:val="0"/>
        </w:rPr>
        <w:t>条展开》，载《法学》</w:t>
      </w:r>
      <w:r>
        <w:rPr>
          <w:rFonts w:ascii="Times New Roman" w:hAnsi="Times New Roman" w:eastAsia="Times New Roman" w:cs="Times New Roman"/>
          <w:color w:val="000000"/>
          <w:spacing w:val="0"/>
          <w:w w:val="100"/>
          <w:position w:val="0"/>
          <w:sz w:val="17"/>
          <w:szCs w:val="17"/>
        </w:rPr>
        <w:t xml:space="preserve">2017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363F598">
      <w:pPr>
        <w:pStyle w:val="17"/>
        <w:keepNext w:val="0"/>
        <w:keepLines w:val="0"/>
        <w:widowControl w:val="0"/>
        <w:shd w:val="clear" w:color="auto" w:fill="auto"/>
        <w:bidi w:val="0"/>
        <w:spacing w:before="0" w:after="200" w:line="295" w:lineRule="exact"/>
        <w:ind w:left="180" w:right="0" w:hanging="180"/>
        <w:jc w:val="both"/>
        <w:sectPr>
          <w:headerReference r:id="rId257" w:type="default"/>
          <w:headerReference r:id="rId258" w:type="even"/>
          <w:footnotePr>
            <w:numFmt w:val="chicago"/>
          </w:footnotePr>
          <w:pgSz w:w="10099" w:h="14782"/>
          <w:pgMar w:top="1274" w:right="983" w:bottom="1135" w:left="1114" w:header="0" w:footer="707" w:gutter="0"/>
          <w:pgNumType w:start="190"/>
          <w:cols w:space="720" w:num="1"/>
          <w:rtlGutter w:val="0"/>
          <w:docGrid w:linePitch="360" w:charSpace="0"/>
        </w:sectPr>
      </w:pPr>
      <w:r>
        <w:rPr>
          <w:color w:val="000000"/>
          <w:spacing w:val="0"/>
          <w:w w:val="100"/>
          <w:position w:val="0"/>
        </w:rPr>
        <w:t>［德］雅各布-福图纳特-施塔格尔：《动产善意取得作为</w:t>
      </w:r>
      <w:r>
        <w:rPr>
          <w:color w:val="000000"/>
          <w:spacing w:val="0"/>
          <w:w w:val="100"/>
          <w:position w:val="0"/>
          <w:lang w:val="zh-CN" w:eastAsia="zh-CN" w:bidi="zh-CN"/>
        </w:rPr>
        <w:t>“即</w:t>
      </w:r>
      <w:r>
        <w:rPr>
          <w:color w:val="000000"/>
          <w:spacing w:val="0"/>
          <w:w w:val="100"/>
          <w:position w:val="0"/>
        </w:rPr>
        <w:t xml:space="preserve">时取得”》，王立栋译，载《中德私法研究》 </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年（总第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卷）。</w:t>
      </w:r>
    </w:p>
    <w:p w14:paraId="7171F7AE">
      <w:pPr>
        <w:widowControl w:val="0"/>
        <w:spacing w:line="1" w:lineRule="exact"/>
        <w:rPr>
          <w:sz w:val="2"/>
          <w:szCs w:val="2"/>
        </w:rPr>
      </w:pPr>
    </w:p>
    <w:p w14:paraId="67A6D237">
      <w:pPr>
        <w:widowControl w:val="0"/>
        <w:spacing w:line="1" w:lineRule="exact"/>
        <w:sectPr>
          <w:headerReference r:id="rId259" w:type="default"/>
          <w:headerReference r:id="rId260" w:type="even"/>
          <w:footnotePr>
            <w:numFmt w:val="chicago"/>
          </w:footnotePr>
          <w:pgSz w:w="10099" w:h="14782"/>
          <w:pgMar w:top="1267" w:right="1098" w:bottom="1160" w:left="1001" w:header="0" w:footer="3" w:gutter="0"/>
          <w:pgNumType w:start="207"/>
          <w:cols w:space="720" w:num="1"/>
          <w:rtlGutter w:val="0"/>
          <w:docGrid w:linePitch="360" w:charSpace="0"/>
        </w:sectPr>
      </w:pPr>
    </w:p>
    <w:p w14:paraId="6FEF5DA3">
      <w:pPr>
        <w:widowControl w:val="0"/>
        <w:spacing w:line="1" w:lineRule="exact"/>
      </w:pPr>
      <w:r>
        <w:drawing>
          <wp:anchor distT="0" distB="0" distL="114300" distR="3862070" simplePos="0" relativeHeight="251660288" behindDoc="0" locked="0" layoutInCell="1" allowOverlap="1">
            <wp:simplePos x="0" y="0"/>
            <wp:positionH relativeFrom="page">
              <wp:posOffset>666115</wp:posOffset>
            </wp:positionH>
            <wp:positionV relativeFrom="paragraph">
              <wp:posOffset>12700</wp:posOffset>
            </wp:positionV>
            <wp:extent cx="481330" cy="408305"/>
            <wp:effectExtent l="0" t="0" r="1270" b="10795"/>
            <wp:wrapTopAndBottom/>
            <wp:docPr id="585" name="Shape 585"/>
            <wp:cNvGraphicFramePr/>
            <a:graphic xmlns:a="http://schemas.openxmlformats.org/drawingml/2006/main">
              <a:graphicData uri="http://schemas.openxmlformats.org/drawingml/2006/picture">
                <pic:pic xmlns:pic="http://schemas.openxmlformats.org/drawingml/2006/picture">
                  <pic:nvPicPr>
                    <pic:cNvPr id="585" name="Shape 585"/>
                    <pic:cNvPicPr/>
                  </pic:nvPicPr>
                  <pic:blipFill>
                    <a:blip r:embed="rId642"/>
                    <a:stretch>
                      <a:fillRect/>
                    </a:stretch>
                  </pic:blipFill>
                  <pic:spPr>
                    <a:xfrm>
                      <a:off x="0" y="0"/>
                      <a:ext cx="481330" cy="408305"/>
                    </a:xfrm>
                    <a:prstGeom prst="rect">
                      <a:avLst/>
                    </a:prstGeom>
                  </pic:spPr>
                </pic:pic>
              </a:graphicData>
            </a:graphic>
          </wp:anchor>
        </w:drawing>
      </w:r>
      <w:r>
        <mc:AlternateContent>
          <mc:Choice Requires="wps">
            <w:drawing>
              <wp:anchor distT="130810" distB="44450" distL="728345" distR="114300" simplePos="0" relativeHeight="251660288" behindDoc="0" locked="0" layoutInCell="1" allowOverlap="1">
                <wp:simplePos x="0" y="0"/>
                <wp:positionH relativeFrom="page">
                  <wp:posOffset>1280160</wp:posOffset>
                </wp:positionH>
                <wp:positionV relativeFrom="paragraph">
                  <wp:posOffset>143510</wp:posOffset>
                </wp:positionV>
                <wp:extent cx="3615055" cy="233045"/>
                <wp:effectExtent l="0" t="0" r="0" b="0"/>
                <wp:wrapTopAndBottom/>
                <wp:docPr id="587" name="Shape 587"/>
                <wp:cNvGraphicFramePr/>
                <a:graphic xmlns:a="http://schemas.openxmlformats.org/drawingml/2006/main">
                  <a:graphicData uri="http://schemas.microsoft.com/office/word/2010/wordprocessingShape">
                    <wps:wsp>
                      <wps:cNvSpPr txBox="1"/>
                      <wps:spPr>
                        <a:xfrm>
                          <a:off x="0" y="0"/>
                          <a:ext cx="3615055" cy="233045"/>
                        </a:xfrm>
                        <a:prstGeom prst="rect">
                          <a:avLst/>
                        </a:prstGeom>
                        <a:noFill/>
                      </wps:spPr>
                      <wps:txbx>
                        <w:txbxContent>
                          <w:p w14:paraId="6D10B64C">
                            <w:pPr>
                              <w:pStyle w:val="15"/>
                              <w:keepNext/>
                              <w:keepLines/>
                              <w:widowControl w:val="0"/>
                              <w:shd w:val="clear" w:color="auto" w:fill="auto"/>
                              <w:bidi w:val="0"/>
                              <w:spacing w:before="0" w:after="0" w:line="240" w:lineRule="auto"/>
                              <w:ind w:left="0" w:right="0" w:firstLine="0"/>
                              <w:jc w:val="left"/>
                            </w:pPr>
                            <w:bookmarkStart w:id="384" w:name="bookmark252"/>
                            <w:bookmarkStart w:id="385" w:name="bookmark251"/>
                            <w:bookmarkStart w:id="386" w:name="bookmark250"/>
                            <w:r>
                              <w:rPr>
                                <w:color w:val="000000"/>
                                <w:spacing w:val="0"/>
                                <w:w w:val="100"/>
                                <w:position w:val="0"/>
                              </w:rPr>
                              <w:t>集体土地征收中土地承包经营权主体的确定</w:t>
                            </w:r>
                            <w:bookmarkEnd w:id="384"/>
                            <w:bookmarkEnd w:id="385"/>
                            <w:bookmarkEnd w:id="386"/>
                          </w:p>
                        </w:txbxContent>
                      </wps:txbx>
                      <wps:bodyPr wrap="none" lIns="0" tIns="0" rIns="0" bIns="0">
                        <a:noAutofit/>
                      </wps:bodyPr>
                    </wps:wsp>
                  </a:graphicData>
                </a:graphic>
              </wp:anchor>
            </w:drawing>
          </mc:Choice>
          <mc:Fallback>
            <w:pict>
              <v:shape id="Shape 587" o:spid="_x0000_s1026" o:spt="202" type="#_x0000_t202" style="position:absolute;left:0pt;margin-left:100.8pt;margin-top:11.3pt;height:18.35pt;width:284.65pt;mso-position-horizontal-relative:page;mso-wrap-distance-bottom:3.5pt;mso-wrap-distance-top:10.3pt;mso-wrap-style:none;z-index:251660288;mso-width-relative:page;mso-height-relative:page;" filled="f" stroked="f" coordsize="21600,21600" o:gfxdata="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uPsAtYA&#10;AAAJAQAADwAAAAAAAAABACAAAAAiAAAAZHJzL2Rvd25yZXYueG1sUEsBAhQAFAAAAAgAh07iQA18&#10;rSSvAQAAdAMAAA4AAAAAAAAAAQAgAAAAJQEAAGRycy9lMm9Eb2MueG1sUEsFBgAAAAAGAAYAWQEA&#10;AEYFAAAAAA==&#10;">
                <v:fill on="f" focussize="0,0"/>
                <v:stroke on="f"/>
                <v:imagedata o:title=""/>
                <o:lock v:ext="edit" aspectratio="f"/>
                <v:textbox inset="0mm,0mm,0mm,0mm">
                  <w:txbxContent>
                    <w:p w14:paraId="6D10B64C">
                      <w:pPr>
                        <w:pStyle w:val="15"/>
                        <w:keepNext/>
                        <w:keepLines/>
                        <w:widowControl w:val="0"/>
                        <w:shd w:val="clear" w:color="auto" w:fill="auto"/>
                        <w:bidi w:val="0"/>
                        <w:spacing w:before="0" w:after="0" w:line="240" w:lineRule="auto"/>
                        <w:ind w:left="0" w:right="0" w:firstLine="0"/>
                        <w:jc w:val="left"/>
                      </w:pPr>
                      <w:bookmarkStart w:id="384" w:name="bookmark252"/>
                      <w:bookmarkStart w:id="385" w:name="bookmark251"/>
                      <w:bookmarkStart w:id="386" w:name="bookmark250"/>
                      <w:r>
                        <w:rPr>
                          <w:color w:val="000000"/>
                          <w:spacing w:val="0"/>
                          <w:w w:val="100"/>
                          <w:position w:val="0"/>
                        </w:rPr>
                        <w:t>集体土地征收中土地承包经营权主体的确定</w:t>
                      </w:r>
                      <w:bookmarkEnd w:id="384"/>
                      <w:bookmarkEnd w:id="385"/>
                      <w:bookmarkEnd w:id="38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5104130</wp:posOffset>
            </wp:positionH>
            <wp:positionV relativeFrom="paragraph">
              <wp:posOffset>307975</wp:posOffset>
            </wp:positionV>
            <wp:extent cx="554990" cy="548640"/>
            <wp:effectExtent l="0" t="0" r="3810" b="10160"/>
            <wp:wrapSquare wrapText="left"/>
            <wp:docPr id="589" name="Shape 589"/>
            <wp:cNvGraphicFramePr/>
            <a:graphic xmlns:a="http://schemas.openxmlformats.org/drawingml/2006/main">
              <a:graphicData uri="http://schemas.openxmlformats.org/drawingml/2006/picture">
                <pic:pic xmlns:pic="http://schemas.openxmlformats.org/drawingml/2006/picture">
                  <pic:nvPicPr>
                    <pic:cNvPr id="589" name="Shape 589"/>
                    <pic:cNvPicPr/>
                  </pic:nvPicPr>
                  <pic:blipFill>
                    <a:blip r:embed="rId643"/>
                    <a:stretch>
                      <a:fillRect/>
                    </a:stretch>
                  </pic:blipFill>
                  <pic:spPr>
                    <a:xfrm>
                      <a:off x="0" y="0"/>
                      <a:ext cx="554990" cy="548640"/>
                    </a:xfrm>
                    <a:prstGeom prst="rect">
                      <a:avLst/>
                    </a:prstGeom>
                  </pic:spPr>
                </pic:pic>
              </a:graphicData>
            </a:graphic>
          </wp:anchor>
        </w:drawing>
      </w:r>
    </w:p>
    <w:p w14:paraId="7456AFCE">
      <w:pPr>
        <w:pStyle w:val="17"/>
        <w:keepNext w:val="0"/>
        <w:keepLines w:val="0"/>
        <w:widowControl w:val="0"/>
        <w:shd w:val="clear" w:color="auto" w:fill="auto"/>
        <w:bidi w:val="0"/>
        <w:spacing w:before="0" w:after="420" w:line="312" w:lineRule="exact"/>
        <w:ind w:left="1020" w:right="0" w:firstLine="0"/>
        <w:jc w:val="both"/>
      </w:pPr>
      <w:r>
        <w:rPr>
          <w:color w:val="000000"/>
          <w:spacing w:val="0"/>
          <w:w w:val="100"/>
          <w:position w:val="0"/>
        </w:rPr>
        <w:t>陈清棕诉亭洋村一组、亭洋村村委会征地补偿款分配纠纷丨《最 高人民法院公报》</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期</w:t>
      </w:r>
    </w:p>
    <w:p w14:paraId="26694C1E">
      <w:pPr>
        <w:pStyle w:val="33"/>
        <w:keepNext w:val="0"/>
        <w:keepLines w:val="0"/>
        <w:widowControl w:val="0"/>
        <w:shd w:val="clear" w:color="auto" w:fill="auto"/>
        <w:bidi w:val="0"/>
        <w:spacing w:before="0" w:after="1420" w:line="240" w:lineRule="auto"/>
        <w:ind w:left="0" w:right="0" w:firstLine="0"/>
        <w:jc w:val="right"/>
      </w:pPr>
      <w:r>
        <w:rPr>
          <w:color w:val="000000"/>
          <w:spacing w:val="0"/>
          <w:w w:val="100"/>
          <w:position w:val="0"/>
          <w:sz w:val="18"/>
          <w:szCs w:val="18"/>
        </w:rPr>
        <w:t>耿卓</w:t>
      </w:r>
      <w:r>
        <w:rPr>
          <w:color w:val="000000"/>
          <w:spacing w:val="0"/>
          <w:w w:val="100"/>
          <w:position w:val="0"/>
        </w:rPr>
        <w:t>广东外语外贸大学法学院</w:t>
      </w:r>
    </w:p>
    <w:p w14:paraId="695D4AA8">
      <w:pPr>
        <w:pStyle w:val="11"/>
        <w:keepNext w:val="0"/>
        <w:keepLines w:val="0"/>
        <w:widowControl w:val="0"/>
        <w:shd w:val="clear" w:color="auto" w:fill="auto"/>
        <w:bidi w:val="0"/>
        <w:spacing w:before="0" w:after="80" w:line="346"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57B52F83">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1996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日陈清棕全家承包了亭洋村一组的</w:t>
      </w:r>
      <w:r>
        <w:rPr>
          <w:rFonts w:ascii="Times New Roman" w:hAnsi="Times New Roman" w:eastAsia="Times New Roman" w:cs="Times New Roman"/>
          <w:color w:val="000000"/>
          <w:spacing w:val="0"/>
          <w:w w:val="100"/>
          <w:position w:val="0"/>
          <w:sz w:val="19"/>
          <w:szCs w:val="19"/>
          <w:lang w:val="en-US" w:eastAsia="en-US" w:bidi="en-US"/>
        </w:rPr>
        <w:t>1.</w:t>
      </w:r>
      <w:r>
        <w:rPr>
          <w:rFonts w:ascii="Times New Roman" w:hAnsi="Times New Roman" w:eastAsia="Times New Roman" w:cs="Times New Roman"/>
          <w:color w:val="000000"/>
          <w:spacing w:val="0"/>
          <w:w w:val="100"/>
          <w:position w:val="0"/>
          <w:sz w:val="19"/>
          <w:szCs w:val="19"/>
        </w:rPr>
        <w:t>54</w:t>
      </w:r>
      <w:r>
        <w:rPr>
          <w:color w:val="000000"/>
          <w:spacing w:val="0"/>
          <w:w w:val="100"/>
          <w:position w:val="0"/>
        </w:rPr>
        <w:t>亩土地，该土地承包关系得到厦 门市同安区人民政府于</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日颁发的</w:t>
      </w:r>
      <w:r>
        <w:rPr>
          <w:rFonts w:ascii="Times New Roman" w:hAnsi="Times New Roman" w:eastAsia="Times New Roman" w:cs="Times New Roman"/>
          <w:color w:val="000000"/>
          <w:spacing w:val="0"/>
          <w:w w:val="100"/>
          <w:position w:val="0"/>
          <w:sz w:val="19"/>
          <w:szCs w:val="19"/>
          <w:lang w:val="en-US" w:eastAsia="en-US" w:bidi="en-US"/>
        </w:rPr>
        <w:t xml:space="preserve">No. </w:t>
      </w:r>
      <w:r>
        <w:rPr>
          <w:rFonts w:ascii="Times New Roman" w:hAnsi="Times New Roman" w:eastAsia="Times New Roman" w:cs="Times New Roman"/>
          <w:color w:val="000000"/>
          <w:spacing w:val="0"/>
          <w:w w:val="100"/>
          <w:position w:val="0"/>
          <w:sz w:val="19"/>
          <w:szCs w:val="19"/>
        </w:rPr>
        <w:t>066277</w:t>
      </w:r>
      <w:r>
        <w:rPr>
          <w:color w:val="000000"/>
          <w:spacing w:val="0"/>
          <w:w w:val="100"/>
          <w:position w:val="0"/>
        </w:rPr>
        <w:t xml:space="preserve">号《土地承包经营权证》确认。 </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 xml:space="preserve">日，陈清棕一家迁往同安区大同镇碧岳村岳口居住，户别也转为非农业户。 </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日，亭洋村村委会与厦门如意食品公司签订土地征用协议，征用亭洋村包括 原告承包的</w:t>
      </w:r>
      <w:r>
        <w:rPr>
          <w:rFonts w:ascii="Times New Roman" w:hAnsi="Times New Roman" w:eastAsia="Times New Roman" w:cs="Times New Roman"/>
          <w:color w:val="000000"/>
          <w:spacing w:val="0"/>
          <w:w w:val="100"/>
          <w:position w:val="0"/>
          <w:sz w:val="19"/>
          <w:szCs w:val="19"/>
          <w:lang w:val="en-US" w:eastAsia="en-US" w:bidi="en-US"/>
        </w:rPr>
        <w:t>1.</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亩土地在内的旱地</w:t>
      </w:r>
      <w:r>
        <w:rPr>
          <w:rFonts w:ascii="Times New Roman" w:hAnsi="Times New Roman" w:eastAsia="Times New Roman" w:cs="Times New Roman"/>
          <w:color w:val="000000"/>
          <w:spacing w:val="0"/>
          <w:w w:val="100"/>
          <w:position w:val="0"/>
          <w:sz w:val="19"/>
          <w:szCs w:val="19"/>
          <w:lang w:val="en-US" w:eastAsia="en-US" w:bidi="en-US"/>
        </w:rPr>
        <w:t xml:space="preserve">69.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亩。亭洋村一组在向承包土地被征用的各户村民 发放土地补偿款时，未给陈清棕一家发放。陈清棕为此诉诸法院。一审法院认为，原告一家 已于</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日迁走且户别也转为非农户，因此已丧失作为农业人员承包土地的权 利，亭洋村一组依法有权收回其承包的土地，无需支付征地补偿安置款。</w:t>
      </w:r>
    </w:p>
    <w:p w14:paraId="1304E959">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原告陈清棕提岀上诉，其主要理由如下:(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《土地承包经营权证》是证实农村土地承包 合同关系真实有效存在的唯一法律凭证,亭洋村一组没有证据证明其已经收回上诉人的承 包地。</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根据</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年《农村土地承包法》第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条，只有在承包方全家迁入设区的市并转 为非农户的情况下，发包方才能收回承包地。而且从</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日起，厦门市的户籍管 理开始取消农户与非农户的区别。被上诉人亭洋村一组答辩称:本组村民的承包地根据各 户人口增减情况定期调整，已经延续</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年，成为本组村民约定俗成的土地调整分配形式。 这种约定俗成的承包土地分配形式，已构成一项村规民约。由于上诉人户口迁出后不再是 本组村民，不享有土地承包经营权,故无权请求分配征地补偿款。</w:t>
      </w:r>
    </w:p>
    <w:p w14:paraId="5C458F26">
      <w:pPr>
        <w:pStyle w:val="11"/>
        <w:keepNext w:val="0"/>
        <w:keepLines w:val="0"/>
        <w:widowControl w:val="0"/>
        <w:shd w:val="clear" w:color="auto" w:fill="auto"/>
        <w:bidi w:val="0"/>
        <w:spacing w:before="0" w:after="80" w:line="346"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575792F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撤销一审判决，改判被上诉人向上诉人支付征地补偿款。</w:t>
      </w:r>
    </w:p>
    <w:p w14:paraId="376256F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本案名义上是征地补偿款分配之争，实际上是集体成员全家迁出户口转为非农业户 后，是否仍为本集体成员而继续享有土地承包经营权。</w:t>
      </w:r>
    </w:p>
    <w:p w14:paraId="29E44B05">
      <w:pPr>
        <w:pStyle w:val="17"/>
        <w:keepNext w:val="0"/>
        <w:keepLines w:val="0"/>
        <w:widowControl w:val="0"/>
        <w:shd w:val="clear" w:color="auto" w:fill="auto"/>
        <w:bidi w:val="0"/>
        <w:spacing w:before="0" w:after="360" w:line="342" w:lineRule="exact"/>
        <w:ind w:left="0" w:right="0" w:firstLine="420"/>
        <w:jc w:val="both"/>
        <w:sectPr>
          <w:footnotePr>
            <w:numFmt w:val="chicago"/>
          </w:footnotePr>
          <w:type w:val="continuous"/>
          <w:pgSz w:w="10099" w:h="14782"/>
          <w:pgMar w:top="1267" w:right="1098" w:bottom="1160" w:left="1001" w:header="839" w:footer="732" w:gutter="0"/>
          <w:cols w:space="720" w:num="1"/>
          <w:rtlGutter w:val="0"/>
          <w:docGrid w:linePitch="360" w:charSpace="0"/>
        </w:sectPr>
      </w:pPr>
      <w:r>
        <w:rPr>
          <w:color w:val="000000"/>
          <w:spacing w:val="0"/>
          <w:w w:val="100"/>
          <w:position w:val="0"/>
        </w:rPr>
        <w:t xml:space="preserve">厦门市中级人民法院认为：承包土地的农民到小城镇落户后，其土地承包经营权可以 保留或者依法流转;该土地如果被征用，承包土地的农民有权获得征地补偿款。这主要是 考虑土地是农民的基本生活保障,在农民进入小城镇后的基本生活保障尚未落实时，如果 </w:t>
      </w:r>
    </w:p>
    <w:p w14:paraId="251A5098">
      <w:pPr>
        <w:pStyle w:val="17"/>
        <w:keepNext w:val="0"/>
        <w:keepLines w:val="0"/>
        <w:widowControl w:val="0"/>
        <w:shd w:val="clear" w:color="auto" w:fill="auto"/>
        <w:bidi w:val="0"/>
        <w:spacing w:before="0" w:after="360" w:line="342" w:lineRule="exact"/>
        <w:ind w:left="0" w:right="0" w:firstLine="0"/>
        <w:jc w:val="both"/>
      </w:pPr>
      <w:r>
        <w:rPr>
          <w:color w:val="000000"/>
          <w:spacing w:val="0"/>
          <w:w w:val="100"/>
          <w:position w:val="0"/>
        </w:rPr>
        <w:t>收回他们的承包地,可能使他们面临生活困难。</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日，陈清棕一家 的户口虽然迁离亭洋村并转为非农业户，但其不是迁往设区的市,而是小城镇。在此期间， 陈清棕一家在亭洋村承包的土地应当按照其意愿保留或者依法流转土地承包经营权。亭 洋村村委会和亭洋村一组没有证据证明陈清棕承包的旱地已经在征用前被调整给其他村 民，即使能证明此事属实，这种做法也由于不符合</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年《土地管理法》第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款和 </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年《农村土地承包法》第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款的规定而不能受到法律保护。</w:t>
      </w:r>
    </w:p>
    <w:p w14:paraId="22C2FD30">
      <w:pPr>
        <w:pStyle w:val="11"/>
        <w:keepNext w:val="0"/>
        <w:keepLines w:val="0"/>
        <w:widowControl w:val="0"/>
        <w:shd w:val="clear" w:color="auto" w:fill="auto"/>
        <w:bidi w:val="0"/>
        <w:spacing w:before="0" w:after="260" w:line="342" w:lineRule="exact"/>
        <w:ind w:left="0" w:right="0" w:firstLine="0"/>
        <w:jc w:val="both"/>
      </w:pPr>
      <w:r>
        <w:rPr>
          <w:color w:val="000000"/>
          <w:spacing w:val="0"/>
          <w:w w:val="100"/>
          <w:position w:val="0"/>
        </w:rPr>
        <w:t>■评析</w:t>
      </w:r>
    </w:p>
    <w:p w14:paraId="2B2CE4FD">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本判决的思路和意义</w:t>
      </w:r>
    </w:p>
    <w:p w14:paraId="72346083">
      <w:pPr>
        <w:pStyle w:val="17"/>
        <w:keepNext w:val="0"/>
        <w:keepLines w:val="0"/>
        <w:widowControl w:val="0"/>
        <w:shd w:val="clear" w:color="auto" w:fill="auto"/>
        <w:bidi w:val="0"/>
        <w:spacing w:before="0" w:after="260" w:line="346" w:lineRule="exact"/>
        <w:ind w:left="0" w:right="0" w:firstLine="420"/>
        <w:jc w:val="both"/>
      </w:pPr>
      <w:r>
        <w:rPr>
          <w:color w:val="000000"/>
          <w:spacing w:val="0"/>
          <w:w w:val="100"/>
          <w:position w:val="0"/>
        </w:rPr>
        <w:t>本判决以</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年《农村土地承包法》第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款为依据，没有将户籍作为认定拥有 集体成员资格的唯一因素，同时结合法律规定旨在保护农民基本生活保障的立法目的，突 破文义解释（小城镇一般包括县级市市区、县人民政府驻地镇和其他建制镇，厦门市同安区 大同镇已于</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月撤镇改为街道，是同安区的政治、经济、交通、文化中心，因此把其理 解为小城镇不无争议），对上诉人迁出户口并把户别改为非农业户的行为作出实质解释，维 护了其正当权益，对于从实质上理解集体成员认定资格、纠正实践中把户籍作为主要，特别 是唯一因素的做法具有一定价值。</w:t>
      </w:r>
    </w:p>
    <w:p w14:paraId="58DA4B21">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 xml:space="preserve">E </w:t>
      </w:r>
      <w:r>
        <w:rPr>
          <w:color w:val="000000"/>
          <w:spacing w:val="0"/>
          <w:w w:val="100"/>
          <w:position w:val="0"/>
        </w:rPr>
        <w:t>土地承包经营权主体确定的规范及学理</w:t>
      </w:r>
    </w:p>
    <w:p w14:paraId="1FA4E90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现行法律对土地承包经营权主体并未作出明确规定［王利明：《物权法研究》（下卷），中国 人民大学出版社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53</w:t>
      </w:r>
      <w:r>
        <w:rPr>
          <w:color w:val="000000"/>
          <w:spacing w:val="0"/>
          <w:w w:val="100"/>
          <w:position w:val="0"/>
        </w:rPr>
        <w:t>页］。一方面，《农村土地承包法》第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款前半句规定， 农村土地承包釆取农村集体经济组织内部的家庭承包方式,并在第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款进一步明确 规定，家庭承包的承包方是本集体经济组织的农户;另一方面,该法第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款规定，农村 集体经济组织成员有权依法承包由本集体经济组织发包的农村土地。原《民法总则》第</w:t>
      </w:r>
      <w:r>
        <w:rPr>
          <w:rFonts w:ascii="Times New Roman" w:hAnsi="Times New Roman" w:eastAsia="Times New Roman" w:cs="Times New Roman"/>
          <w:color w:val="000000"/>
          <w:spacing w:val="0"/>
          <w:w w:val="100"/>
          <w:position w:val="0"/>
          <w:sz w:val="19"/>
          <w:szCs w:val="19"/>
        </w:rPr>
        <w:t xml:space="preserve">55 </w:t>
      </w:r>
      <w:r>
        <w:rPr>
          <w:color w:val="000000"/>
          <w:spacing w:val="0"/>
          <w:w w:val="100"/>
          <w:position w:val="0"/>
        </w:rPr>
        <w:t>条的规定又加剧了土地承包经营权主体的混乱。对此，学界有两种主张，一种观点认为土 地承包经营权的主体是农户［崔建远:《物权:规范与学说</w:t>
      </w:r>
      <w:r>
        <w:rPr>
          <w:color w:val="000000"/>
          <w:spacing w:val="0"/>
          <w:w w:val="100"/>
          <w:position w:val="0"/>
          <w:lang w:val="en-US" w:eastAsia="en-US" w:bidi="en-US"/>
        </w:rPr>
        <w:t>——</w:t>
      </w:r>
      <w:r>
        <w:rPr>
          <w:color w:val="000000"/>
          <w:spacing w:val="0"/>
          <w:w w:val="100"/>
          <w:position w:val="0"/>
        </w:rPr>
        <w:t>以中国物权法的解释论为中心》（下 册），清华大学出版社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507</w:t>
      </w:r>
      <w:r>
        <w:rPr>
          <w:color w:val="000000"/>
          <w:spacing w:val="0"/>
          <w:w w:val="100"/>
          <w:position w:val="0"/>
        </w:rPr>
        <w:t>页］，另一种观点认为土地承包经营权的主体是集体经济 组织成员（朱广新:《论土地承包经营权的主体、期限和继承》，载《吉林大学社会科学学报》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实务界一般认为，土地承包经营权的主体是农户［《二轮土地承包期内，农户家庭成员中有 考入国家公务员或“农转非</w:t>
      </w:r>
      <w:r>
        <w:rPr>
          <w:color w:val="000000"/>
          <w:spacing w:val="0"/>
          <w:w w:val="100"/>
          <w:position w:val="0"/>
          <w:lang w:val="zh-CN" w:eastAsia="zh-CN" w:bidi="zh-CN"/>
        </w:rPr>
        <w:t>”的，</w:t>
      </w:r>
      <w:r>
        <w:rPr>
          <w:color w:val="000000"/>
          <w:spacing w:val="0"/>
          <w:w w:val="100"/>
          <w:position w:val="0"/>
        </w:rPr>
        <w:t>发包方能否收回其承包地》，载最高人民法院民事审判第一庭编：《民事 审判指导与参考》（总第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辑），人民法院出版社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259</w:t>
      </w:r>
      <w:r>
        <w:rPr>
          <w:color w:val="000000"/>
          <w:spacing w:val="0"/>
          <w:w w:val="100"/>
          <w:position w:val="0"/>
        </w:rPr>
        <w:t>页］。事实上，即使是认为土地 承包经营权主体是农户的主张也承认农户是由集体经济组织成员组成的，在家庭承包土地 和享有、行使土地承包经营权时也须考虑集体经济组织成员的资格认定问题。</w:t>
      </w:r>
    </w:p>
    <w:p w14:paraId="30040BB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我国法律对于集体经济组织成员资格的规定尚付阙如，农村集体经济组织立法虽已列 入全国人大立法规划，但因重重困难而进展缓慢。对于集体经济组织成员资格的认定，在 地方立法、社会实际和司法实践中存在多种不同做法,学界也是众说纷纭。从我国农村实 践来看，农村集体经济组织大多能形成调控自身成员资格的村规民约；地方立法对成员资 格的法定化路径做了积极探索，体现出公权力对集体自治的适度引导和干预。当前处于治 理现代化、新型城镇化和乡村振兴的新的历史时期，农业、农村和农民以及城乡关系都处于 巨大的变动之中，这决定了农村集体经济组织成员资格的认定难以采取单一标准,应从形 式和实质两个层面综合考量，即以户籍为外在的形式标准与以必要生活来源、权利义务对 等因素为内在的实质标准相结合。</w:t>
      </w:r>
    </w:p>
    <w:p w14:paraId="7ECEC03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接下来的问题就是，集体成员所享有的土地承包经营权在其资格发生变动时是否随之 变动。对此，法律规定经历了从严格到宽松的变化，体现出对农民权益保护的强化。</w:t>
      </w:r>
      <w:r>
        <w:rPr>
          <w:rFonts w:ascii="Times New Roman" w:hAnsi="Times New Roman" w:eastAsia="Times New Roman" w:cs="Times New Roman"/>
          <w:color w:val="000000"/>
          <w:spacing w:val="0"/>
          <w:w w:val="100"/>
          <w:position w:val="0"/>
          <w:sz w:val="19"/>
          <w:szCs w:val="19"/>
        </w:rPr>
        <w:t xml:space="preserve">2002 </w:t>
      </w:r>
      <w:r>
        <w:rPr>
          <w:color w:val="000000"/>
          <w:spacing w:val="0"/>
          <w:w w:val="100"/>
          <w:position w:val="0"/>
        </w:rPr>
        <w:t>年《农村土地承包法》第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条在规定发包方承包期内不得收回承包地的基础上，对承包方 承包期内全家迁入小城镇落户和设区的市并转为非农业户口的两种情形分别作出不同规 定:对于前者,发包方应当按照承包方的意愿对其土地承包经营权加以保留或者依法流转; 对于后者，承包方则应将承包地交回发包方，否则发包方有权收回。</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年《农村土地承包 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条对上述规定作了重要修改，强调国家保护进城农户的土地承包经营权,明确规 定不得以退出土地承包经营权作为农户进城落户的条件;对于承包期内进城落户的承包农 户，只能引导其按照自愿有偿原则依法在本集体经济组织内转让土地承包经营权、交回承 包地或者流转土地经营权，并且未再区分落户地是小城镇还是设区的市。虽然这样的规定 确实有助于为农民提供基本生活保障进而安心进城，但在法理上有待进一步论证。</w:t>
      </w:r>
    </w:p>
    <w:p w14:paraId="361AAEEA">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在</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年《农村土地承包法》的制度框架下，本案还需要回答以下问题:一是如何看待 定期调整土地，二是发包方如何收回承包地，三是村规民约的效力如何判定。</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年《土地 管理法》删除了原第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款关于调整土地程序的规则，进一步强化对土地承包经营权 的保护。即使部分地方集体组织决议定期调整土地并形成惯例，也会因为违反法律规定而 不受保护，因此亭洋村一组的做法即使有证据支持也不会被认可。发包方收回承包地是其 权利而非义务，且仅限于承包方承包期内全家迁入设区的市、转为非农业户口且拒不交回 的情形。收回权的行使因缺乏可操作细则，在实践中很少出现，而且出现争议时法院往往 以收回程序不规范、保障农民基本生活为由不予支持［如四川省内江市市中区人民法院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2017） </w:t>
      </w:r>
      <w:r>
        <w:rPr>
          <w:color w:val="000000"/>
          <w:spacing w:val="0"/>
          <w:w w:val="100"/>
          <w:position w:val="0"/>
        </w:rPr>
        <w:t>川</w:t>
      </w:r>
      <w:r>
        <w:rPr>
          <w:rFonts w:ascii="Times New Roman" w:hAnsi="Times New Roman" w:eastAsia="Times New Roman" w:cs="Times New Roman"/>
          <w:color w:val="000000"/>
          <w:spacing w:val="0"/>
          <w:w w:val="100"/>
          <w:position w:val="0"/>
          <w:sz w:val="17"/>
          <w:szCs w:val="17"/>
        </w:rPr>
        <w:t>1002</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1387</w:t>
      </w:r>
      <w:r>
        <w:rPr>
          <w:color w:val="000000"/>
          <w:spacing w:val="0"/>
          <w:w w:val="100"/>
          <w:position w:val="0"/>
        </w:rPr>
        <w:t>号民事判决书］。村规民约虽体现了村民自治，有其正当性和合法性,但也不 能违反法律规定。根据《村民委员会组织法》第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款的规定,村规民约既不得与法 律、法规和国家的政策相抵触，也不得侵害村民的人身权利、民主权利和合法财产权利。</w:t>
      </w:r>
    </w:p>
    <w:p w14:paraId="13804B17">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2F80DD7C">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从司法政策来看，安徽、陕西、天津和重庆等省级法院出台了内部指导意见对下级法院 进行指引。最高人民法院《第八次全国法院民商事审判工作会议（民事部分）纪要》提出</w:t>
      </w:r>
      <w:r>
        <w:rPr>
          <w:color w:val="000000"/>
          <w:spacing w:val="0"/>
          <w:w w:val="100"/>
          <w:position w:val="0"/>
          <w:lang w:val="zh-CN" w:eastAsia="zh-CN" w:bidi="zh-CN"/>
        </w:rPr>
        <w:t xml:space="preserve">“可 </w:t>
      </w:r>
      <w:r>
        <w:rPr>
          <w:color w:val="000000"/>
          <w:spacing w:val="0"/>
          <w:w w:val="100"/>
          <w:position w:val="0"/>
        </w:rPr>
        <w:t>替代性保障</w:t>
      </w:r>
      <w:r>
        <w:rPr>
          <w:color w:val="000000"/>
          <w:spacing w:val="0"/>
          <w:w w:val="100"/>
          <w:position w:val="0"/>
          <w:lang w:val="zh-CN" w:eastAsia="zh-CN" w:bidi="zh-CN"/>
        </w:rPr>
        <w:t>”裁</w:t>
      </w:r>
      <w:r>
        <w:rPr>
          <w:color w:val="000000"/>
          <w:spacing w:val="0"/>
          <w:w w:val="100"/>
          <w:position w:val="0"/>
        </w:rPr>
        <w:t>判标准，即综合考虑当事人生产生活状况、户口登记状况以及农村土地对农 民的基本生活保障功能等因素作出认定。</w:t>
      </w:r>
    </w:p>
    <w:p w14:paraId="17BAD3C6">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在本案后，在</w:t>
      </w:r>
      <w:r>
        <w:rPr>
          <w:color w:val="000000"/>
          <w:spacing w:val="0"/>
          <w:w w:val="100"/>
          <w:position w:val="0"/>
          <w:lang w:val="zh-CN" w:eastAsia="zh-CN" w:bidi="zh-CN"/>
        </w:rPr>
        <w:t>“王</w:t>
      </w:r>
      <w:r>
        <w:rPr>
          <w:color w:val="000000"/>
          <w:spacing w:val="0"/>
          <w:w w:val="100"/>
          <w:position w:val="0"/>
        </w:rPr>
        <w:t>淑荣与何福云、王喜胜等农村土地承包经营权纠纷案”（《最高人民法院 公报》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期）中，最高人民法院的立场,变的是对小城镇和设区的市的解释，不变的是 始终坚持集体成员资格认定的“生活保障</w:t>
      </w:r>
      <w:r>
        <w:rPr>
          <w:color w:val="000000"/>
          <w:spacing w:val="0"/>
          <w:w w:val="100"/>
          <w:position w:val="0"/>
          <w:lang w:val="zh-CN" w:eastAsia="zh-CN" w:bidi="zh-CN"/>
        </w:rPr>
        <w:t>”实质</w:t>
      </w:r>
      <w:r>
        <w:rPr>
          <w:color w:val="000000"/>
          <w:spacing w:val="0"/>
          <w:w w:val="100"/>
          <w:position w:val="0"/>
        </w:rPr>
        <w:t>标准。最高人民法院认为，根据《农村土地 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款的规定，王淑荣于</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月将户口从王振学家迁至白城市新立派 出所辖区内落户,成为城市居民，已经不属于农村集体经济组织的成员，因此不应再享有农 村土地承包经营权。因为土地承包经营权是农户成员进行正常生产、生活的基本保障，而 不是市民的基本保障。对于那些迁入设区的城市的农户或农户成员而言，衡量其是否丧失 农户成员资格的实质条件之一是其是否享有基本的生活、就业保障,而户口只是其中一个 参考因素［梁曙明、杨祥:《家庭成员脱离农户后的土地承包经营权利判定——何某云等三人与王某荣 土地承包经营权纠纷申请再审案》，载杜万华主编：《最高人民法院民商事案件审判指导》（第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卷），人 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20-31</w:t>
      </w:r>
      <w:r>
        <w:rPr>
          <w:color w:val="000000"/>
          <w:spacing w:val="0"/>
          <w:w w:val="100"/>
          <w:position w:val="0"/>
        </w:rPr>
        <w:t>页］。</w:t>
      </w:r>
    </w:p>
    <w:p w14:paraId="51A17EC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各地法院的裁判理据基本相同。集体经济组织成员资格的丧失是以当事人是否获得 其他替代性基本生活保障为主要考量因素的。落户小城镇的农民的工作可能不够稳定，加 之我国小城镇社会保障制度尚不健全，一旦失业,就会失去生活来源。因此,无论是农转非 和外嫁女［如广西壮族自治区兴业县人民法院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桂</w:t>
      </w:r>
      <w:r>
        <w:rPr>
          <w:rFonts w:ascii="Times New Roman" w:hAnsi="Times New Roman" w:eastAsia="Times New Roman" w:cs="Times New Roman"/>
          <w:color w:val="000000"/>
          <w:spacing w:val="0"/>
          <w:w w:val="100"/>
          <w:position w:val="0"/>
          <w:sz w:val="17"/>
          <w:szCs w:val="17"/>
        </w:rPr>
        <w:t>0924</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1070</w:t>
      </w:r>
      <w:r>
        <w:rPr>
          <w:color w:val="000000"/>
          <w:spacing w:val="0"/>
          <w:w w:val="100"/>
          <w:position w:val="0"/>
        </w:rPr>
        <w:t>号民事判决书］，还是义务兵 ［如广西壮族自治区崇左市中级人民法院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桂</w:t>
      </w:r>
      <w:r>
        <w:rPr>
          <w:rFonts w:ascii="Times New Roman" w:hAnsi="Times New Roman" w:eastAsia="Times New Roman" w:cs="Times New Roman"/>
          <w:color w:val="000000"/>
          <w:spacing w:val="0"/>
          <w:w w:val="100"/>
          <w:position w:val="0"/>
          <w:sz w:val="17"/>
          <w:szCs w:val="17"/>
        </w:rPr>
        <w:t>14</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339</w:t>
      </w:r>
      <w:r>
        <w:rPr>
          <w:color w:val="000000"/>
          <w:spacing w:val="0"/>
          <w:w w:val="100"/>
          <w:position w:val="0"/>
        </w:rPr>
        <w:t>号民事判决书］，集体成员的户口即 使已经迁出本村，也仍继续享有原有土地承包经营权。只有进入小城镇落户的农民在城镇 生活稳定后，法律才允许其将土地承包经营权转让或者以其他方式流转，或者自愿将承包 地交回发包方［如河南省平顶山市卫东区人民法院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豫</w:t>
      </w:r>
      <w:r>
        <w:rPr>
          <w:rFonts w:ascii="Times New Roman" w:hAnsi="Times New Roman" w:eastAsia="Times New Roman" w:cs="Times New Roman"/>
          <w:color w:val="000000"/>
          <w:spacing w:val="0"/>
          <w:w w:val="100"/>
          <w:position w:val="0"/>
          <w:sz w:val="17"/>
          <w:szCs w:val="17"/>
        </w:rPr>
        <w:t>0403</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2918</w:t>
      </w:r>
      <w:r>
        <w:rPr>
          <w:color w:val="000000"/>
          <w:spacing w:val="0"/>
          <w:w w:val="100"/>
          <w:position w:val="0"/>
        </w:rPr>
        <w:t>号民事判决书］;承包方 只有全家迁入设区的市并且全部转为非农户口从而享受城市居民生活保障时,才不再继续 享有土地承包权，即丧失土地承包经营权［如河北省邢台县人民法院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冀</w:t>
      </w:r>
      <w:r>
        <w:rPr>
          <w:rFonts w:ascii="Times New Roman" w:hAnsi="Times New Roman" w:eastAsia="Times New Roman" w:cs="Times New Roman"/>
          <w:color w:val="000000"/>
          <w:spacing w:val="0"/>
          <w:w w:val="100"/>
          <w:position w:val="0"/>
          <w:sz w:val="17"/>
          <w:szCs w:val="17"/>
        </w:rPr>
        <w:t>0521</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1464</w:t>
      </w:r>
      <w:r>
        <w:rPr>
          <w:color w:val="000000"/>
          <w:spacing w:val="0"/>
          <w:w w:val="100"/>
          <w:position w:val="0"/>
        </w:rPr>
        <w:t>号 民事判决书］。</w:t>
      </w:r>
    </w:p>
    <w:p w14:paraId="4A29A0BC">
      <w:pPr>
        <w:pStyle w:val="17"/>
        <w:keepNext w:val="0"/>
        <w:keepLines w:val="0"/>
        <w:widowControl w:val="0"/>
        <w:shd w:val="clear" w:color="auto" w:fill="auto"/>
        <w:bidi w:val="0"/>
        <w:spacing w:before="0" w:after="160" w:line="344" w:lineRule="exact"/>
        <w:ind w:left="0" w:right="0" w:firstLine="420"/>
        <w:jc w:val="both"/>
      </w:pPr>
      <w:r>
        <w:rPr>
          <w:color w:val="000000"/>
          <w:spacing w:val="0"/>
          <w:w w:val="100"/>
          <w:position w:val="0"/>
        </w:rPr>
        <w:t>鉴于《农村土地承包法》已于</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年修改并生效实施，法院在认定土地承包经营权主 体时依照该法第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条的规定,维持户口迁出者的土地承包经营权［如辽宁省丹东市中级人民 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辽</w:t>
      </w:r>
      <w:r>
        <w:rPr>
          <w:rFonts w:ascii="Times New Roman" w:hAnsi="Times New Roman" w:eastAsia="Times New Roman" w:cs="Times New Roman"/>
          <w:color w:val="000000"/>
          <w:spacing w:val="0"/>
          <w:w w:val="100"/>
          <w:position w:val="0"/>
          <w:sz w:val="17"/>
          <w:szCs w:val="17"/>
        </w:rPr>
        <w:t>06</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1786</w:t>
      </w:r>
      <w:r>
        <w:rPr>
          <w:color w:val="000000"/>
          <w:spacing w:val="0"/>
          <w:w w:val="100"/>
          <w:position w:val="0"/>
        </w:rPr>
        <w:t>号民事判决书］。</w:t>
      </w:r>
    </w:p>
    <w:p w14:paraId="4F02BABC">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7E28E42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本判决以土地承包经营权担负社会保障功能为前提，从保障农民基本生活的立法目的 出发，把厦门市同安区大同街道解释为</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年《农村土地承包法》第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款中的</w:t>
      </w:r>
      <w:r>
        <w:rPr>
          <w:color w:val="000000"/>
          <w:spacing w:val="0"/>
          <w:w w:val="100"/>
          <w:position w:val="0"/>
          <w:lang w:val="zh-CN" w:eastAsia="zh-CN" w:bidi="zh-CN"/>
        </w:rPr>
        <w:t xml:space="preserve">“小 </w:t>
      </w:r>
      <w:r>
        <w:rPr>
          <w:color w:val="000000"/>
          <w:spacing w:val="0"/>
          <w:w w:val="100"/>
          <w:position w:val="0"/>
        </w:rPr>
        <w:t>城镇</w:t>
      </w:r>
      <w:r>
        <w:rPr>
          <w:color w:val="000000"/>
          <w:spacing w:val="0"/>
          <w:w w:val="100"/>
          <w:position w:val="0"/>
          <w:lang w:val="zh-CN" w:eastAsia="zh-CN" w:bidi="zh-CN"/>
        </w:rPr>
        <w:t>”，突</w:t>
      </w:r>
      <w:r>
        <w:rPr>
          <w:color w:val="000000"/>
          <w:spacing w:val="0"/>
          <w:w w:val="100"/>
          <w:position w:val="0"/>
        </w:rPr>
        <w:t>破把户口迁入小城镇和户别转为非农业户口即丧失集体成员资格的理解和做法, 从而判定原告仍然享有土地承包经营权,对于深刻把握集体成员资格认定的实质性要素、 保护农民权益具有一定的参考价值。本判决及类似判决的主张已在</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年《农村土地承 包法》的修改中得以体现。</w:t>
      </w:r>
    </w:p>
    <w:p w14:paraId="14DC58A0">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虽然立法和国家政策已经明确并强调进城落户农民仍享有包括土地承包经营权在内 的</w:t>
      </w:r>
      <w:r>
        <w:rPr>
          <w:color w:val="000000"/>
          <w:spacing w:val="0"/>
          <w:w w:val="100"/>
          <w:position w:val="0"/>
          <w:lang w:val="zh-CN" w:eastAsia="zh-CN" w:bidi="zh-CN"/>
        </w:rPr>
        <w:t>“三权”，但</w:t>
      </w:r>
      <w:r>
        <w:rPr>
          <w:color w:val="000000"/>
          <w:spacing w:val="0"/>
          <w:w w:val="100"/>
          <w:position w:val="0"/>
        </w:rPr>
        <w:t>集体经济组织成员资格认定乃至整个成员权制度亟待建立。而且现行立法势 必为成员权制度构建带来挑战，如何在不同集体成员之间实现公平以及与推动新型城镇化 和乡村振兴协调，有待政策界、理论界和实务界的进一步努力。</w:t>
      </w:r>
    </w:p>
    <w:p w14:paraId="53911F0E">
      <w:pPr>
        <w:pStyle w:val="11"/>
        <w:keepNext w:val="0"/>
        <w:keepLines w:val="0"/>
        <w:widowControl w:val="0"/>
        <w:shd w:val="clear" w:color="auto" w:fill="auto"/>
        <w:bidi w:val="0"/>
        <w:spacing w:before="0" w:after="80" w:line="307" w:lineRule="exact"/>
        <w:ind w:left="0" w:right="0" w:firstLine="0"/>
        <w:jc w:val="left"/>
      </w:pPr>
      <w:r>
        <w:rPr>
          <w:color w:val="000000"/>
          <w:spacing w:val="0"/>
          <w:w w:val="100"/>
          <w:position w:val="0"/>
        </w:rPr>
        <w:t>回参考文献</w:t>
      </w:r>
    </w:p>
    <w:p w14:paraId="75C176BE">
      <w:pPr>
        <w:pStyle w:val="17"/>
        <w:keepNext w:val="0"/>
        <w:keepLines w:val="0"/>
        <w:widowControl w:val="0"/>
        <w:shd w:val="clear" w:color="auto" w:fill="auto"/>
        <w:bidi w:val="0"/>
        <w:spacing w:before="0" w:after="0" w:line="307" w:lineRule="exact"/>
        <w:ind w:left="0" w:right="0" w:firstLine="0"/>
        <w:jc w:val="both"/>
      </w:pPr>
      <w:r>
        <w:rPr>
          <w:color w:val="000000"/>
          <w:spacing w:val="0"/>
          <w:w w:val="100"/>
          <w:position w:val="0"/>
        </w:rPr>
        <w:t>崔建远:《物权:规范与学说</w:t>
      </w:r>
      <w:r>
        <w:rPr>
          <w:color w:val="000000"/>
          <w:spacing w:val="0"/>
          <w:w w:val="100"/>
          <w:position w:val="0"/>
          <w:lang w:val="en-US" w:eastAsia="en-US" w:bidi="en-US"/>
        </w:rPr>
        <w:t>一</w:t>
      </w:r>
      <w:r>
        <w:rPr>
          <w:color w:val="000000"/>
          <w:spacing w:val="0"/>
          <w:w w:val="100"/>
          <w:position w:val="0"/>
        </w:rPr>
        <w:t>以中国物权法的解释论为中心》（下册），清华大学出版社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 胡康生：《中华人民共和国物权法释义》，法律出版社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2FA8B33A">
      <w:pPr>
        <w:pStyle w:val="17"/>
        <w:keepNext w:val="0"/>
        <w:keepLines w:val="0"/>
        <w:widowControl w:val="0"/>
        <w:shd w:val="clear" w:color="auto" w:fill="auto"/>
        <w:bidi w:val="0"/>
        <w:spacing w:before="0" w:after="0" w:line="307" w:lineRule="exact"/>
        <w:ind w:left="0" w:right="0" w:firstLine="0"/>
        <w:jc w:val="both"/>
      </w:pPr>
      <w:r>
        <w:rPr>
          <w:color w:val="000000"/>
          <w:spacing w:val="0"/>
          <w:w w:val="100"/>
          <w:position w:val="0"/>
        </w:rPr>
        <w:t>王利明：《物权法研究》（下卷），中国人民大学出版社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6A74A655">
      <w:pPr>
        <w:pStyle w:val="17"/>
        <w:keepNext w:val="0"/>
        <w:keepLines w:val="0"/>
        <w:widowControl w:val="0"/>
        <w:shd w:val="clear" w:color="auto" w:fill="auto"/>
        <w:bidi w:val="0"/>
        <w:spacing w:before="0" w:after="0" w:line="307" w:lineRule="exact"/>
        <w:ind w:left="0" w:right="0" w:firstLine="0"/>
        <w:jc w:val="both"/>
      </w:pPr>
      <w:r>
        <w:rPr>
          <w:color w:val="000000"/>
          <w:spacing w:val="0"/>
          <w:w w:val="100"/>
          <w:position w:val="0"/>
        </w:rPr>
        <w:t>戴威:《农村集体经济组织成员资格制度研究》，载《法商研究》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85CEE35">
      <w:pPr>
        <w:pStyle w:val="17"/>
        <w:keepNext w:val="0"/>
        <w:keepLines w:val="0"/>
        <w:widowControl w:val="0"/>
        <w:shd w:val="clear" w:color="auto" w:fill="auto"/>
        <w:bidi w:val="0"/>
        <w:spacing w:before="0" w:after="0" w:line="307" w:lineRule="exact"/>
        <w:ind w:left="0" w:right="0" w:firstLine="0"/>
        <w:jc w:val="both"/>
        <w:sectPr>
          <w:headerReference r:id="rId261" w:type="default"/>
          <w:headerReference r:id="rId262" w:type="even"/>
          <w:footnotePr>
            <w:numFmt w:val="chicago"/>
          </w:footnotePr>
          <w:pgSz w:w="10099" w:h="14782"/>
          <w:pgMar w:top="1267" w:right="1098" w:bottom="1160" w:left="1001" w:header="0" w:footer="3" w:gutter="0"/>
          <w:pgNumType w:start="192"/>
          <w:cols w:space="720" w:num="1"/>
          <w:rtlGutter w:val="0"/>
          <w:docGrid w:linePitch="360" w:charSpace="0"/>
        </w:sectPr>
      </w:pPr>
      <w:r>
        <w:rPr>
          <w:color w:val="000000"/>
          <w:spacing w:val="0"/>
          <w:w w:val="100"/>
          <w:position w:val="0"/>
        </w:rPr>
        <w:t>朱广新:《论土地承包经营权的主体、期限和继承》，载《吉林大学社会科学学报》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4AB8AA0">
      <w:pPr>
        <w:widowControl w:val="0"/>
        <w:spacing w:line="49" w:lineRule="exact"/>
        <w:rPr>
          <w:sz w:val="4"/>
          <w:szCs w:val="4"/>
        </w:rPr>
      </w:pPr>
    </w:p>
    <w:p w14:paraId="2EA5F438">
      <w:pPr>
        <w:widowControl w:val="0"/>
        <w:spacing w:line="1" w:lineRule="exact"/>
        <w:sectPr>
          <w:headerReference r:id="rId265" w:type="first"/>
          <w:headerReference r:id="rId263" w:type="default"/>
          <w:headerReference r:id="rId264" w:type="even"/>
          <w:footnotePr>
            <w:numFmt w:val="chicago"/>
          </w:footnotePr>
          <w:pgSz w:w="10099" w:h="14782"/>
          <w:pgMar w:top="1263" w:right="856" w:bottom="1157" w:left="968" w:header="0" w:footer="3" w:gutter="0"/>
          <w:pgNumType w:start="212"/>
          <w:cols w:space="720" w:num="1"/>
          <w:titlePg/>
          <w:rtlGutter w:val="0"/>
          <w:docGrid w:linePitch="360" w:charSpace="0"/>
        </w:sectPr>
      </w:pPr>
    </w:p>
    <w:p w14:paraId="491215BC">
      <w:pPr>
        <w:widowControl w:val="0"/>
        <w:spacing w:line="1" w:lineRule="exact"/>
      </w:pPr>
      <w:r>
        <w:drawing>
          <wp:anchor distT="0" distB="0" distL="114300" distR="2267585" simplePos="0" relativeHeight="251660288" behindDoc="0" locked="0" layoutInCell="1" allowOverlap="1">
            <wp:simplePos x="0" y="0"/>
            <wp:positionH relativeFrom="page">
              <wp:posOffset>732790</wp:posOffset>
            </wp:positionH>
            <wp:positionV relativeFrom="paragraph">
              <wp:posOffset>12700</wp:posOffset>
            </wp:positionV>
            <wp:extent cx="481330" cy="408305"/>
            <wp:effectExtent l="0" t="0" r="1270" b="10795"/>
            <wp:wrapTopAndBottom/>
            <wp:docPr id="599" name="Shape 599"/>
            <wp:cNvGraphicFramePr/>
            <a:graphic xmlns:a="http://schemas.openxmlformats.org/drawingml/2006/main">
              <a:graphicData uri="http://schemas.openxmlformats.org/drawingml/2006/picture">
                <pic:pic xmlns:pic="http://schemas.openxmlformats.org/drawingml/2006/picture">
                  <pic:nvPicPr>
                    <pic:cNvPr id="599" name="Shape 599"/>
                    <pic:cNvPicPr/>
                  </pic:nvPicPr>
                  <pic:blipFill>
                    <a:blip r:embed="rId644"/>
                    <a:stretch>
                      <a:fillRect/>
                    </a:stretch>
                  </pic:blipFill>
                  <pic:spPr>
                    <a:xfrm>
                      <a:off x="0" y="0"/>
                      <a:ext cx="481330" cy="408305"/>
                    </a:xfrm>
                    <a:prstGeom prst="rect">
                      <a:avLst/>
                    </a:prstGeom>
                  </pic:spPr>
                </pic:pic>
              </a:graphicData>
            </a:graphic>
          </wp:anchor>
        </w:drawing>
      </w:r>
      <w:r>
        <mc:AlternateContent>
          <mc:Choice Requires="wps">
            <w:drawing>
              <wp:anchor distT="133985" distB="41275" distL="727075" distR="114300" simplePos="0" relativeHeight="251660288" behindDoc="0" locked="0" layoutInCell="1" allowOverlap="1">
                <wp:simplePos x="0" y="0"/>
                <wp:positionH relativeFrom="page">
                  <wp:posOffset>1345565</wp:posOffset>
                </wp:positionH>
                <wp:positionV relativeFrom="paragraph">
                  <wp:posOffset>146685</wp:posOffset>
                </wp:positionV>
                <wp:extent cx="2019300" cy="233045"/>
                <wp:effectExtent l="0" t="0" r="0" b="0"/>
                <wp:wrapTopAndBottom/>
                <wp:docPr id="601" name="Shape 601"/>
                <wp:cNvGraphicFramePr/>
                <a:graphic xmlns:a="http://schemas.openxmlformats.org/drawingml/2006/main">
                  <a:graphicData uri="http://schemas.microsoft.com/office/word/2010/wordprocessingShape">
                    <wps:wsp>
                      <wps:cNvSpPr txBox="1"/>
                      <wps:spPr>
                        <a:xfrm>
                          <a:off x="0" y="0"/>
                          <a:ext cx="2019300" cy="233045"/>
                        </a:xfrm>
                        <a:prstGeom prst="rect">
                          <a:avLst/>
                        </a:prstGeom>
                        <a:noFill/>
                      </wps:spPr>
                      <wps:txbx>
                        <w:txbxContent>
                          <w:p w14:paraId="7DAC4E9B">
                            <w:pPr>
                              <w:pStyle w:val="15"/>
                              <w:keepNext/>
                              <w:keepLines/>
                              <w:widowControl w:val="0"/>
                              <w:shd w:val="clear" w:color="auto" w:fill="auto"/>
                              <w:bidi w:val="0"/>
                              <w:spacing w:before="0" w:after="0" w:line="240" w:lineRule="auto"/>
                              <w:ind w:left="0" w:right="0" w:firstLine="0"/>
                              <w:jc w:val="left"/>
                            </w:pPr>
                            <w:bookmarkStart w:id="387" w:name="bookmark254"/>
                            <w:bookmarkStart w:id="388" w:name="bookmark253"/>
                            <w:bookmarkStart w:id="389" w:name="bookmark255"/>
                            <w:r>
                              <w:rPr>
                                <w:color w:val="000000"/>
                                <w:spacing w:val="0"/>
                                <w:w w:val="100"/>
                                <w:position w:val="0"/>
                              </w:rPr>
                              <w:t>宅基地使用权继承问题</w:t>
                            </w:r>
                            <w:bookmarkEnd w:id="387"/>
                            <w:bookmarkEnd w:id="388"/>
                            <w:bookmarkEnd w:id="389"/>
                          </w:p>
                        </w:txbxContent>
                      </wps:txbx>
                      <wps:bodyPr wrap="none" lIns="0" tIns="0" rIns="0" bIns="0">
                        <a:noAutofit/>
                      </wps:bodyPr>
                    </wps:wsp>
                  </a:graphicData>
                </a:graphic>
              </wp:anchor>
            </w:drawing>
          </mc:Choice>
          <mc:Fallback>
            <w:pict>
              <v:shape id="Shape 601" o:spid="_x0000_s1026" o:spt="202" type="#_x0000_t202" style="position:absolute;left:0pt;margin-left:105.95pt;margin-top:11.55pt;height:18.35pt;width:159pt;mso-position-horizontal-relative:page;mso-wrap-distance-bottom:3.25pt;mso-wrap-distance-top:10.55pt;mso-wrap-style:none;z-index:251660288;mso-width-relative:page;mso-height-relative:page;" filled="f" stroked="f" coordsize="21600,21600" o:gfxdata="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NPIF9UAAAAJ&#10;AQAADwAAAAAAAAABACAAAAAiAAAAZHJzL2Rvd25yZXYueG1sUEsBAhQAFAAAAAgAh07iQKYjS4et&#10;AQAAdAMAAA4AAAAAAAAAAQAgAAAAJAEAAGRycy9lMm9Eb2MueG1sUEsFBgAAAAAGAAYAWQEAAEMF&#10;AAAAAA==&#10;">
                <v:fill on="f" focussize="0,0"/>
                <v:stroke on="f"/>
                <v:imagedata o:title=""/>
                <o:lock v:ext="edit" aspectratio="f"/>
                <v:textbox inset="0mm,0mm,0mm,0mm">
                  <w:txbxContent>
                    <w:p w14:paraId="7DAC4E9B">
                      <w:pPr>
                        <w:pStyle w:val="15"/>
                        <w:keepNext/>
                        <w:keepLines/>
                        <w:widowControl w:val="0"/>
                        <w:shd w:val="clear" w:color="auto" w:fill="auto"/>
                        <w:bidi w:val="0"/>
                        <w:spacing w:before="0" w:after="0" w:line="240" w:lineRule="auto"/>
                        <w:ind w:left="0" w:right="0" w:firstLine="0"/>
                        <w:jc w:val="left"/>
                      </w:pPr>
                      <w:bookmarkStart w:id="387" w:name="bookmark254"/>
                      <w:bookmarkStart w:id="388" w:name="bookmark253"/>
                      <w:bookmarkStart w:id="389" w:name="bookmark255"/>
                      <w:r>
                        <w:rPr>
                          <w:color w:val="000000"/>
                          <w:spacing w:val="0"/>
                          <w:w w:val="100"/>
                          <w:position w:val="0"/>
                        </w:rPr>
                        <w:t>宅基地使用权继承问题</w:t>
                      </w:r>
                      <w:bookmarkEnd w:id="387"/>
                      <w:bookmarkEnd w:id="388"/>
                      <w:bookmarkEnd w:id="389"/>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5140325</wp:posOffset>
            </wp:positionH>
            <wp:positionV relativeFrom="paragraph">
              <wp:posOffset>277495</wp:posOffset>
            </wp:positionV>
            <wp:extent cx="615950" cy="585470"/>
            <wp:effectExtent l="0" t="0" r="6350" b="11430"/>
            <wp:wrapSquare wrapText="left"/>
            <wp:docPr id="603" name="Shape 603"/>
            <wp:cNvGraphicFramePr/>
            <a:graphic xmlns:a="http://schemas.openxmlformats.org/drawingml/2006/main">
              <a:graphicData uri="http://schemas.openxmlformats.org/drawingml/2006/picture">
                <pic:pic xmlns:pic="http://schemas.openxmlformats.org/drawingml/2006/picture">
                  <pic:nvPicPr>
                    <pic:cNvPr id="603" name="Shape 603"/>
                    <pic:cNvPicPr/>
                  </pic:nvPicPr>
                  <pic:blipFill>
                    <a:blip r:embed="rId645"/>
                    <a:stretch>
                      <a:fillRect/>
                    </a:stretch>
                  </pic:blipFill>
                  <pic:spPr>
                    <a:xfrm>
                      <a:off x="0" y="0"/>
                      <a:ext cx="615950" cy="585470"/>
                    </a:xfrm>
                    <a:prstGeom prst="rect">
                      <a:avLst/>
                    </a:prstGeom>
                  </pic:spPr>
                </pic:pic>
              </a:graphicData>
            </a:graphic>
          </wp:anchor>
        </w:drawing>
      </w:r>
    </w:p>
    <w:p w14:paraId="011C82FE">
      <w:pPr>
        <w:pStyle w:val="17"/>
        <w:keepNext w:val="0"/>
        <w:keepLines w:val="0"/>
        <w:widowControl w:val="0"/>
        <w:shd w:val="clear" w:color="auto" w:fill="auto"/>
        <w:bidi w:val="0"/>
        <w:spacing w:before="0" w:after="100" w:line="240" w:lineRule="auto"/>
        <w:ind w:left="1020" w:right="0" w:firstLine="0"/>
        <w:jc w:val="both"/>
      </w:pPr>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与陈某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继承纠纷上诉案丨浙江省宁波市中级人民法院</w:t>
      </w:r>
    </w:p>
    <w:p w14:paraId="0D1C0087">
      <w:pPr>
        <w:pStyle w:val="21"/>
        <w:keepNext w:val="0"/>
        <w:keepLines w:val="0"/>
        <w:widowControl w:val="0"/>
        <w:shd w:val="clear" w:color="auto" w:fill="auto"/>
        <w:bidi w:val="0"/>
        <w:spacing w:before="0" w:after="380" w:line="240" w:lineRule="auto"/>
        <w:ind w:left="1020" w:right="0" w:firstLine="0"/>
        <w:jc w:val="both"/>
        <w:rPr>
          <w:sz w:val="18"/>
          <w:szCs w:val="18"/>
        </w:rPr>
      </w:pPr>
      <w:r>
        <w:rPr>
          <w:rFonts w:ascii="Times New Roman" w:hAnsi="Times New Roman" w:eastAsia="Times New Roman" w:cs="Times New Roman"/>
          <w:color w:val="000000"/>
          <w:spacing w:val="0"/>
          <w:w w:val="100"/>
          <w:position w:val="0"/>
          <w:sz w:val="19"/>
          <w:szCs w:val="19"/>
        </w:rPr>
        <w:t>（2016）</w:t>
      </w:r>
      <w:r>
        <w:rPr>
          <w:rFonts w:ascii="宋体" w:hAnsi="宋体" w:eastAsia="宋体" w:cs="宋体"/>
          <w:color w:val="000000"/>
          <w:spacing w:val="0"/>
          <w:w w:val="100"/>
          <w:position w:val="0"/>
          <w:sz w:val="18"/>
          <w:szCs w:val="18"/>
        </w:rPr>
        <w:t>浙</w:t>
      </w:r>
      <w:r>
        <w:rPr>
          <w:rFonts w:ascii="Times New Roman" w:hAnsi="Times New Roman" w:eastAsia="Times New Roman" w:cs="Times New Roman"/>
          <w:color w:val="000000"/>
          <w:spacing w:val="0"/>
          <w:w w:val="100"/>
          <w:position w:val="0"/>
          <w:sz w:val="19"/>
          <w:szCs w:val="19"/>
        </w:rPr>
        <w:t>02</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3633</w:t>
      </w:r>
      <w:r>
        <w:rPr>
          <w:rFonts w:ascii="宋体" w:hAnsi="宋体" w:eastAsia="宋体" w:cs="宋体"/>
          <w:color w:val="000000"/>
          <w:spacing w:val="0"/>
          <w:w w:val="100"/>
          <w:position w:val="0"/>
          <w:sz w:val="18"/>
          <w:szCs w:val="18"/>
        </w:rPr>
        <w:t>号民事判决书</w:t>
      </w:r>
    </w:p>
    <w:p w14:paraId="77ECE615">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高飞广东外语外贸大学土地法制研究院</w:t>
      </w:r>
    </w:p>
    <w:p w14:paraId="5DA1617B">
      <w:pPr>
        <w:pStyle w:val="11"/>
        <w:keepNext w:val="0"/>
        <w:keepLines w:val="0"/>
        <w:widowControl w:val="0"/>
        <w:shd w:val="clear" w:color="auto" w:fill="auto"/>
        <w:bidi w:val="0"/>
        <w:spacing w:before="0" w:after="6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82B43DF">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1 （</w:t>
      </w:r>
      <w:r>
        <w:rPr>
          <w:color w:val="000000"/>
          <w:spacing w:val="0"/>
          <w:w w:val="100"/>
          <w:position w:val="0"/>
        </w:rPr>
        <w:t>上诉人、原审原告）、陈某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被上诉人、原审被告）系同胞兄弟,均为宁海县桃源 街道竹溪村村民,后陈某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因参军</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1968</w:t>
      </w:r>
      <w:r>
        <w:rPr>
          <w:color w:val="000000"/>
          <w:spacing w:val="0"/>
          <w:w w:val="100"/>
          <w:position w:val="0"/>
        </w:rPr>
        <w:t>年入伍</w:t>
      </w:r>
      <w:r>
        <w:rPr>
          <w:rFonts w:ascii="Times New Roman" w:hAnsi="Times New Roman" w:eastAsia="Times New Roman" w:cs="Times New Roman"/>
          <w:color w:val="000000"/>
          <w:spacing w:val="0"/>
          <w:w w:val="100"/>
          <w:position w:val="0"/>
          <w:sz w:val="19"/>
          <w:szCs w:val="19"/>
        </w:rPr>
        <w:t>,1971</w:t>
      </w:r>
      <w:r>
        <w:rPr>
          <w:color w:val="000000"/>
          <w:spacing w:val="0"/>
          <w:w w:val="100"/>
          <w:position w:val="0"/>
        </w:rPr>
        <w:t>年退伍）转为居民。</w:t>
      </w:r>
      <w:r>
        <w:rPr>
          <w:rFonts w:ascii="Times New Roman" w:hAnsi="Times New Roman" w:eastAsia="Times New Roman" w:cs="Times New Roman"/>
          <w:color w:val="000000"/>
          <w:spacing w:val="0"/>
          <w:w w:val="100"/>
          <w:position w:val="0"/>
          <w:sz w:val="19"/>
          <w:szCs w:val="19"/>
        </w:rPr>
        <w:t>1956</w:t>
      </w:r>
      <w:r>
        <w:rPr>
          <w:color w:val="000000"/>
          <w:spacing w:val="0"/>
          <w:w w:val="100"/>
          <w:position w:val="0"/>
        </w:rPr>
        <w:t>年,双方的 父亲陈炳育病逝，留有茅屋</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间、平屋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间，占地</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分</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厘</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毫。另据存于宁海县档案馆的 土地房产所有证存根显示：陈炳育名下有房产,房产所涉地基共</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段</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分</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厘</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毫。</w:t>
      </w:r>
      <w:r>
        <w:rPr>
          <w:rFonts w:ascii="Times New Roman" w:hAnsi="Times New Roman" w:eastAsia="Times New Roman" w:cs="Times New Roman"/>
          <w:color w:val="000000"/>
          <w:spacing w:val="0"/>
          <w:w w:val="100"/>
          <w:position w:val="0"/>
          <w:sz w:val="19"/>
          <w:szCs w:val="19"/>
        </w:rPr>
        <w:t xml:space="preserve">1995 </w:t>
      </w:r>
      <w:r>
        <w:rPr>
          <w:color w:val="000000"/>
          <w:spacing w:val="0"/>
          <w:w w:val="100"/>
          <w:position w:val="0"/>
        </w:rPr>
        <w:t>年，陈某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取得涉案土地的土地使用权证,面积为</w:t>
      </w:r>
      <w:r>
        <w:rPr>
          <w:rFonts w:ascii="Times New Roman" w:hAnsi="Times New Roman" w:eastAsia="Times New Roman" w:cs="Times New Roman"/>
          <w:color w:val="000000"/>
          <w:spacing w:val="0"/>
          <w:w w:val="100"/>
          <w:position w:val="0"/>
          <w:sz w:val="19"/>
          <w:szCs w:val="19"/>
          <w:lang w:val="en-US" w:eastAsia="en-US" w:bidi="en-US"/>
        </w:rPr>
        <w:t xml:space="preserve">345.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平方米。</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和陈 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签订《屋基地契分据》一份，载明：因父遗下兄弟未分，如今经兄弟俩共同协商决定，屋 基四至以房产证为准，陈某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划分在西首边为界，陈某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划分东首边。</w:t>
      </w:r>
    </w:p>
    <w:p w14:paraId="3DB85375">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现双方的争议焦点为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登记于陈某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名下的面积为</w:t>
      </w:r>
      <w:r>
        <w:rPr>
          <w:rFonts w:ascii="Times New Roman" w:hAnsi="Times New Roman" w:eastAsia="Times New Roman" w:cs="Times New Roman"/>
          <w:color w:val="000000"/>
          <w:spacing w:val="0"/>
          <w:w w:val="100"/>
          <w:position w:val="0"/>
          <w:sz w:val="19"/>
          <w:szCs w:val="19"/>
          <w:lang w:val="en-US" w:eastAsia="en-US" w:bidi="en-US"/>
        </w:rPr>
        <w:t xml:space="preserve">345.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平方米的土地使用权是 否属于陈炳育的遗产；</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能否基于《屋基地契分据》取得</w:t>
      </w:r>
      <w:r>
        <w:rPr>
          <w:rFonts w:ascii="Times New Roman" w:hAnsi="Times New Roman" w:eastAsia="Times New Roman" w:cs="Times New Roman"/>
          <w:color w:val="000000"/>
          <w:spacing w:val="0"/>
          <w:w w:val="100"/>
          <w:position w:val="0"/>
          <w:sz w:val="19"/>
          <w:szCs w:val="19"/>
        </w:rPr>
        <w:t>170</w:t>
      </w:r>
      <w:r>
        <w:rPr>
          <w:color w:val="000000"/>
          <w:spacing w:val="0"/>
          <w:w w:val="100"/>
          <w:position w:val="0"/>
        </w:rPr>
        <w:t>平方米的土地使用权。 一审法院认为：</w:t>
      </w:r>
    </w:p>
    <w:p w14:paraId="4E8A9642">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第一，对于未建有房屋的宅基地,其使用权不能继承。理由如下：（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）宅基地使用权的 初始取得具有人身依附性。申请宅基地的只能是本集体经济组织的成员。</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宅基地使用 权的初始取得具有福利性质。宅基地使用权的初始取得是无偿的，村民可以以宅基地自然 灭失、户内成员增加等理由向村集体提出审批宅基地，村集体经济组织依据村民的具体情 况重新调整、分配宅基地，这与我国的农村土地集体所有的制度相对应。</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）我国现有法律 并未规定宅基地使用权可以继承，反而对宅基地使用权的流转进行了严格限制。这种限制 主要是由宅基地使用权具有的农村集体居住保证功能决定的,宅基地使用权是农民的基本 生活保障和安身立命之本。对于建有房屋的宅基地,其使用权可以继承。《继承法》第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项明确规定公民的房屋属于遗产范围，故建在宅基地上的房屋属于遗产，而房屋的使 用、收益、处分必须依赖于宅基地使用权，因此在这种情况下，只有允许宅基地使用权作为 遗产继承,才能保障物权的实现。但这种继承存在限制条件，即不得对原有房屋进行翻建、 重建;如房屋灭失,则宅基地使用权收归集体。</w:t>
      </w:r>
    </w:p>
    <w:p w14:paraId="5F24B0BF">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现双方作为证据使用的存于宁海县档案馆的土地房产所有证存根,其形成时间为</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 纪</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年代初，其形成依据为新中国成立后进行土地改革所确定的农民私有土地制度。现陈 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主张涉案土地系继承父亲留下的屋基，但因父亲去世时在该部分土地上未建有房屋，而 未建有房屋的宅基地使用权不能继承。虽然陈某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在</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年取得土地使用权时的具结书 中记载房屋系祖传，但双方均确认父亲去世前并未在涉案土地上建有房屋，故陈某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的主张 不成立。登记于陈某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名下的面积为</w:t>
      </w:r>
      <w:r>
        <w:rPr>
          <w:rFonts w:ascii="Times New Roman" w:hAnsi="Times New Roman" w:eastAsia="Times New Roman" w:cs="Times New Roman"/>
          <w:color w:val="000000"/>
          <w:spacing w:val="0"/>
          <w:w w:val="100"/>
          <w:position w:val="0"/>
          <w:sz w:val="19"/>
          <w:szCs w:val="19"/>
          <w:lang w:val="en-US" w:eastAsia="en-US" w:bidi="en-US"/>
        </w:rPr>
        <w:t>345.8</w:t>
      </w:r>
      <w:r>
        <w:rPr>
          <w:color w:val="000000"/>
          <w:spacing w:val="0"/>
          <w:w w:val="100"/>
          <w:position w:val="0"/>
        </w:rPr>
        <w:t xml:space="preserve">平方米的土地使用权不属于父亲的遗产，陈某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不能基于继承取得</w:t>
      </w:r>
      <w:r>
        <w:rPr>
          <w:rFonts w:ascii="Times New Roman" w:hAnsi="Times New Roman" w:eastAsia="Times New Roman" w:cs="Times New Roman"/>
          <w:color w:val="000000"/>
          <w:spacing w:val="0"/>
          <w:w w:val="100"/>
          <w:position w:val="0"/>
          <w:sz w:val="19"/>
          <w:szCs w:val="19"/>
        </w:rPr>
        <w:t>170</w:t>
      </w:r>
      <w:r>
        <w:rPr>
          <w:color w:val="000000"/>
          <w:spacing w:val="0"/>
          <w:w w:val="100"/>
          <w:position w:val="0"/>
        </w:rPr>
        <w:t>平方米的土地使用权。</w:t>
      </w:r>
    </w:p>
    <w:p w14:paraId="6776FED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第二，宅基地使用权是与集体经济组织成员的权利与利益联系在一起的，它的取得具 有无偿性,带有福利性质，故不能在非本集体经济组织成员之间转让。现双方签订的《屋基 地契分据》所涉及的土地性质为集体所有，而陈某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系城镇居民，非该集体经济组织成员， 双方就分配集体土地使用权而签订的《屋基地契分据》无效,故陈某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无权基于该分据取得 土地使用权。</w:t>
      </w:r>
    </w:p>
    <w:p w14:paraId="25D4B9A6">
      <w:pPr>
        <w:pStyle w:val="17"/>
        <w:keepNext w:val="0"/>
        <w:keepLines w:val="0"/>
        <w:widowControl w:val="0"/>
        <w:shd w:val="clear" w:color="auto" w:fill="auto"/>
        <w:bidi w:val="0"/>
        <w:spacing w:before="0" w:after="360" w:line="341" w:lineRule="exact"/>
        <w:ind w:left="0" w:right="0" w:firstLine="380"/>
        <w:jc w:val="left"/>
      </w:pPr>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不服一审判决提起上诉。</w:t>
      </w:r>
    </w:p>
    <w:p w14:paraId="6937F7D3">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rPr>
        <w:t>■判决要旨</w:t>
      </w:r>
    </w:p>
    <w:p w14:paraId="2B77D4B5">
      <w:pPr>
        <w:pStyle w:val="17"/>
        <w:keepNext w:val="0"/>
        <w:keepLines w:val="0"/>
        <w:widowControl w:val="0"/>
        <w:shd w:val="clear" w:color="auto" w:fill="auto"/>
        <w:bidi w:val="0"/>
        <w:spacing w:before="0" w:after="0" w:line="342" w:lineRule="exact"/>
        <w:ind w:left="0" w:right="0" w:firstLine="380"/>
        <w:jc w:val="both"/>
      </w:pPr>
      <w:r>
        <w:rPr>
          <w:color w:val="000000"/>
          <w:spacing w:val="0"/>
          <w:w w:val="100"/>
          <w:position w:val="0"/>
        </w:rPr>
        <w:t>驳回上诉，维持原判。</w:t>
      </w:r>
    </w:p>
    <w:p w14:paraId="4FF9E6AA">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称涉案土地系其父亲遗留下来的屋基，为此提供了 </w:t>
      </w:r>
      <w:r>
        <w:rPr>
          <w:rFonts w:ascii="Times New Roman" w:hAnsi="Times New Roman" w:eastAsia="Times New Roman" w:cs="Times New Roman"/>
          <w:color w:val="000000"/>
          <w:spacing w:val="0"/>
          <w:w w:val="100"/>
          <w:position w:val="0"/>
          <w:sz w:val="19"/>
          <w:szCs w:val="19"/>
        </w:rPr>
        <w:t>1951</w:t>
      </w:r>
      <w:r>
        <w:rPr>
          <w:color w:val="000000"/>
          <w:spacing w:val="0"/>
          <w:w w:val="100"/>
          <w:position w:val="0"/>
        </w:rPr>
        <w:t>年的土地房产所有证存 根一份,双方确认本案讼争所涉及的</w:t>
      </w:r>
      <w:r>
        <w:rPr>
          <w:rFonts w:ascii="Times New Roman" w:hAnsi="Times New Roman" w:eastAsia="Times New Roman" w:cs="Times New Roman"/>
          <w:color w:val="000000"/>
          <w:spacing w:val="0"/>
          <w:w w:val="100"/>
          <w:position w:val="0"/>
          <w:sz w:val="19"/>
          <w:szCs w:val="19"/>
          <w:lang w:val="en-US" w:eastAsia="en-US" w:bidi="en-US"/>
        </w:rPr>
        <w:t>345.8</w:t>
      </w:r>
      <w:r>
        <w:rPr>
          <w:color w:val="000000"/>
          <w:spacing w:val="0"/>
          <w:w w:val="100"/>
          <w:position w:val="0"/>
        </w:rPr>
        <w:t>平方米土地系包含在原记载的坐落于大屋门前 的</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分土地上。但我国于</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年代中期从农民土地私有制过渡到集体所有制，个人 对土地不再享有所有权，故仅凭该份土地房产所有证无法证明双方讼争的土地系其父亲的 遗产。集体土地使用权只有本集体经济组织成员才能享有，陈某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系居民，双方当事人之间 签订的《屋基地契分据》对登记在陈某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名下的集体土地使用权进行分割无效。综上所述， 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诉请按照其与陈某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签订的《屋基地契分据》取得</w:t>
      </w:r>
      <w:r>
        <w:rPr>
          <w:rFonts w:ascii="Times New Roman" w:hAnsi="Times New Roman" w:eastAsia="Times New Roman" w:cs="Times New Roman"/>
          <w:color w:val="000000"/>
          <w:spacing w:val="0"/>
          <w:w w:val="100"/>
          <w:position w:val="0"/>
          <w:sz w:val="19"/>
          <w:szCs w:val="19"/>
        </w:rPr>
        <w:t>170</w:t>
      </w:r>
      <w:r>
        <w:rPr>
          <w:color w:val="000000"/>
          <w:spacing w:val="0"/>
          <w:w w:val="100"/>
          <w:position w:val="0"/>
        </w:rPr>
        <w:t>平方米的土地使用权的拆迁安 置补偿所得，缺乏依据,本院不予支持，故驳回上诉，维持原，</w:t>
      </w:r>
    </w:p>
    <w:p w14:paraId="368661B9">
      <w:pPr>
        <w:pStyle w:val="11"/>
        <w:keepNext w:val="0"/>
        <w:keepLines w:val="0"/>
        <w:widowControl w:val="0"/>
        <w:shd w:val="clear" w:color="auto" w:fill="auto"/>
        <w:bidi w:val="0"/>
        <w:spacing w:before="0" w:after="220" w:line="341" w:lineRule="exact"/>
        <w:ind w:left="0" w:right="0" w:firstLine="0"/>
        <w:jc w:val="left"/>
      </w:pPr>
      <w:r>
        <w:rPr>
          <w:color w:val="000000"/>
          <w:spacing w:val="0"/>
          <w:w w:val="100"/>
          <w:position w:val="0"/>
        </w:rPr>
        <w:t>■评析</w:t>
      </w:r>
    </w:p>
    <w:p w14:paraId="49C8D5E0">
      <w:pPr>
        <w:pStyle w:val="17"/>
        <w:keepNext w:val="0"/>
        <w:keepLines w:val="0"/>
        <w:widowControl w:val="0"/>
        <w:shd w:val="clear" w:color="auto" w:fill="auto"/>
        <w:bidi w:val="0"/>
        <w:spacing w:before="0" w:after="80" w:line="374" w:lineRule="auto"/>
        <w:ind w:left="0" w:right="0" w:firstLine="0"/>
        <w:jc w:val="left"/>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本案的争点</w:t>
      </w:r>
    </w:p>
    <w:p w14:paraId="57173A79">
      <w:pPr>
        <w:pStyle w:val="17"/>
        <w:keepNext w:val="0"/>
        <w:keepLines w:val="0"/>
        <w:widowControl w:val="0"/>
        <w:numPr>
          <w:ilvl w:val="0"/>
          <w:numId w:val="17"/>
        </w:numPr>
        <w:shd w:val="clear" w:color="auto" w:fill="auto"/>
        <w:bidi w:val="0"/>
        <w:spacing w:before="0" w:after="0" w:line="374" w:lineRule="auto"/>
        <w:ind w:left="0" w:right="0" w:firstLine="380"/>
        <w:jc w:val="left"/>
      </w:pPr>
      <w:bookmarkStart w:id="73" w:name="bookmark256"/>
      <w:bookmarkEnd w:id="73"/>
      <w:r>
        <w:rPr>
          <w:color w:val="000000"/>
          <w:spacing w:val="0"/>
          <w:w w:val="100"/>
          <w:position w:val="0"/>
        </w:rPr>
        <w:t>宅基地使用权能否作为遗产继承</w:t>
      </w:r>
    </w:p>
    <w:p w14:paraId="6468D3BD">
      <w:pPr>
        <w:pStyle w:val="17"/>
        <w:keepNext w:val="0"/>
        <w:keepLines w:val="0"/>
        <w:widowControl w:val="0"/>
        <w:shd w:val="clear" w:color="auto" w:fill="auto"/>
        <w:bidi w:val="0"/>
        <w:spacing w:before="0" w:after="0" w:line="340" w:lineRule="exact"/>
        <w:ind w:left="0" w:right="0" w:firstLine="420"/>
        <w:jc w:val="both"/>
        <w:sectPr>
          <w:footnotePr>
            <w:numFmt w:val="chicago"/>
          </w:footnotePr>
          <w:type w:val="continuous"/>
          <w:pgSz w:w="10099" w:h="14782"/>
          <w:pgMar w:top="1263" w:right="856" w:bottom="1157" w:left="968" w:header="0" w:footer="3" w:gutter="0"/>
          <w:cols w:space="720" w:num="1"/>
          <w:rtlGutter w:val="0"/>
          <w:docGrid w:linePitch="360" w:charSpace="0"/>
        </w:sectPr>
      </w:pPr>
      <w:r>
        <w:rPr>
          <w:color w:val="000000"/>
          <w:spacing w:val="0"/>
          <w:w w:val="100"/>
          <w:position w:val="0"/>
        </w:rPr>
        <w:t>本案中，陈炳育病逝后，其留下的房屋所占宅基地能否作为遗产由其子陈某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和陈某</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继承,这是主要争点。我国现行法律制度对宅基地使用权能否作为遗产被继承未作出明文 规定，理论中对该问题如何处理则是众说纷纭。原《继承法》第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条对遗产的范围进行了列 举（《民法典》第</w:t>
      </w:r>
      <w:r>
        <w:rPr>
          <w:rFonts w:ascii="Times New Roman" w:hAnsi="Times New Roman" w:eastAsia="Times New Roman" w:cs="Times New Roman"/>
          <w:color w:val="000000"/>
          <w:spacing w:val="0"/>
          <w:w w:val="100"/>
          <w:position w:val="0"/>
          <w:sz w:val="19"/>
          <w:szCs w:val="19"/>
        </w:rPr>
        <w:t>1122</w:t>
      </w:r>
      <w:r>
        <w:rPr>
          <w:color w:val="000000"/>
          <w:spacing w:val="0"/>
          <w:w w:val="100"/>
          <w:position w:val="0"/>
        </w:rPr>
        <w:t>条删除了列举情形，直接规定：“遗产是自然人死亡时遗留的个人合法财产。依照 法律规定或者根据其性质不得继承的遗产，不得继承。”），宅基地使用权是否属于遗产的范围取决 于对作为遗产的“公民的其他合法财产”的理解。《民法典》第</w:t>
      </w:r>
      <w:r>
        <w:rPr>
          <w:rFonts w:ascii="Times New Roman" w:hAnsi="Times New Roman" w:eastAsia="Times New Roman" w:cs="Times New Roman"/>
          <w:color w:val="000000"/>
          <w:spacing w:val="0"/>
          <w:w w:val="100"/>
          <w:position w:val="0"/>
          <w:sz w:val="19"/>
          <w:szCs w:val="19"/>
        </w:rPr>
        <w:t>362</w:t>
      </w:r>
      <w:r>
        <w:rPr>
          <w:color w:val="000000"/>
          <w:spacing w:val="0"/>
          <w:w w:val="100"/>
          <w:position w:val="0"/>
        </w:rPr>
        <w:t>条规定：“宅基地使用权 人依法对集体所有的土地享有占有和使用的权利，有权依法利用该土地建造住宅及其附属 设施。</w:t>
      </w:r>
      <w:r>
        <w:rPr>
          <w:color w:val="000000"/>
          <w:spacing w:val="0"/>
          <w:w w:val="100"/>
          <w:position w:val="0"/>
          <w:lang w:val="zh-CN" w:eastAsia="zh-CN" w:bidi="zh-CN"/>
        </w:rPr>
        <w:t>”可见</w:t>
      </w:r>
      <w:r>
        <w:rPr>
          <w:color w:val="000000"/>
          <w:spacing w:val="0"/>
          <w:w w:val="100"/>
          <w:position w:val="0"/>
        </w:rPr>
        <w:t>，作为用益物权的宅基地使用权，是民事主体的合法财产,这不存在任何疑问。 然而,《物权法》对宅基地使用权的内容没有进行具体规范，而是仅在该法第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 xml:space="preserve">条规定, </w:t>
      </w:r>
      <w:r>
        <w:rPr>
          <w:color w:val="000000"/>
          <w:spacing w:val="0"/>
          <w:w w:val="100"/>
          <w:position w:val="0"/>
          <w:lang w:val="zh-CN" w:eastAsia="zh-CN" w:bidi="zh-CN"/>
        </w:rPr>
        <w:t>“宅</w:t>
      </w:r>
      <w:r>
        <w:rPr>
          <w:color w:val="000000"/>
          <w:spacing w:val="0"/>
          <w:w w:val="100"/>
          <w:position w:val="0"/>
        </w:rPr>
        <w:t xml:space="preserve">基地使用权的取得、行使和转让，适用土地管理法等法律和国家的有关规定。”（《民法典》 </w:t>
      </w:r>
    </w:p>
    <w:p w14:paraId="496BA0CF">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第</w:t>
      </w:r>
      <w:r>
        <w:rPr>
          <w:rFonts w:ascii="Times New Roman" w:hAnsi="Times New Roman" w:eastAsia="Times New Roman" w:cs="Times New Roman"/>
          <w:color w:val="000000"/>
          <w:spacing w:val="0"/>
          <w:w w:val="100"/>
          <w:position w:val="0"/>
          <w:sz w:val="17"/>
          <w:szCs w:val="17"/>
        </w:rPr>
        <w:t>363</w:t>
      </w:r>
      <w:r>
        <w:rPr>
          <w:color w:val="000000"/>
          <w:spacing w:val="0"/>
          <w:w w:val="100"/>
          <w:position w:val="0"/>
        </w:rPr>
        <w:t>条:“宅基地使用权的取得、行使和转让，适用土地管理的法律和国家有关规定。”）从而将如何 规制宅基地使用权的取得转介到《土地管理法》。《土地管理法》是关于土地制度的公法性 规定，其中关于农村宅基地管理制度的规定不仅是理解宅基地使用权内容之基础，而且也 是对宅基地使用权行使的公法限制。</w:t>
      </w:r>
    </w:p>
    <w:p w14:paraId="38952589">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从《土地管理法》和国家的有关规定来看，宅基地使用权是一种带有社会福利性质的权 利，主要用于解决农民的基本居住问题,居住保障功能是宅基地使用权的首要功能（全国人 大常委会法制工作委员会民法室编:《〈中华人民共和国物权法〉条文说明、立法理由及相关规定》，北京 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319</w:t>
      </w:r>
      <w:r>
        <w:rPr>
          <w:color w:val="000000"/>
          <w:spacing w:val="0"/>
          <w:w w:val="100"/>
          <w:position w:val="0"/>
        </w:rPr>
        <w:t>页）。由于宅基地使用权是农村集体经济组织为其成员提供的一 种福利，故宅基地使用权的主体具有身份上的要求，即只有农村集体经济组织成员才能享 有宅基地使用权，此种成员身份一旦丧失，基于成员身份取得的宅基地使用权将因失去基 础而被农村集体经济组织收回，且宅基地通常是以户为单位申请，单个家庭成员不能以个 人名义申请宅基地［王利明：《物权法研究》（下卷），中国人民大学出版社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186</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187 </w:t>
      </w:r>
      <w:r>
        <w:rPr>
          <w:color w:val="000000"/>
          <w:spacing w:val="0"/>
          <w:w w:val="100"/>
          <w:position w:val="0"/>
        </w:rPr>
        <w:t>页］。而且</w:t>
      </w:r>
      <w:r>
        <w:rPr>
          <w:color w:val="000000"/>
          <w:spacing w:val="0"/>
          <w:w w:val="100"/>
          <w:position w:val="0"/>
          <w:lang w:val="zh-CN" w:eastAsia="zh-CN" w:bidi="zh-CN"/>
        </w:rPr>
        <w:t>“’户</w:t>
      </w:r>
      <w:r>
        <w:rPr>
          <w:color w:val="000000"/>
          <w:spacing w:val="0"/>
          <w:w w:val="100"/>
          <w:position w:val="0"/>
        </w:rPr>
        <w:t>’的存在是宅基地使用权存续的条件，农户中只要有成员存在,宅基地使用 权就当然存续，户员的迁出或者死亡可能导致宅基地的面积被核减,但宅基地使用权不会 灭失”（陈律、吴孙有:《宅基地使用权继承问题研究》，载《人民司法》</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期）。同时,法律和 国家政策对宅基地使用权的取得、流转、消灭等有诸多限制，如必须遵循</w:t>
      </w:r>
      <w:r>
        <w:rPr>
          <w:color w:val="000000"/>
          <w:spacing w:val="0"/>
          <w:w w:val="100"/>
          <w:position w:val="0"/>
          <w:lang w:val="zh-CN" w:eastAsia="zh-CN" w:bidi="zh-CN"/>
        </w:rPr>
        <w:t>“一户</w:t>
      </w:r>
      <w:r>
        <w:rPr>
          <w:color w:val="000000"/>
          <w:spacing w:val="0"/>
          <w:w w:val="100"/>
          <w:position w:val="0"/>
        </w:rPr>
        <w:t xml:space="preserve">一宅”原则和 </w:t>
      </w:r>
      <w:r>
        <w:rPr>
          <w:color w:val="000000"/>
          <w:spacing w:val="0"/>
          <w:w w:val="100"/>
          <w:position w:val="0"/>
          <w:lang w:val="zh-CN" w:eastAsia="zh-CN" w:bidi="zh-CN"/>
        </w:rPr>
        <w:t>“户</w:t>
      </w:r>
      <w:r>
        <w:rPr>
          <w:color w:val="000000"/>
          <w:spacing w:val="0"/>
          <w:w w:val="100"/>
          <w:position w:val="0"/>
        </w:rPr>
        <w:t>有所居</w:t>
      </w:r>
      <w:r>
        <w:rPr>
          <w:color w:val="000000"/>
          <w:spacing w:val="0"/>
          <w:w w:val="100"/>
          <w:position w:val="0"/>
          <w:lang w:val="zh-CN" w:eastAsia="zh-CN" w:bidi="zh-CN"/>
        </w:rPr>
        <w:t>”的底</w:t>
      </w:r>
      <w:r>
        <w:rPr>
          <w:color w:val="000000"/>
          <w:spacing w:val="0"/>
          <w:w w:val="100"/>
          <w:position w:val="0"/>
        </w:rPr>
        <w:t>线规则、宅基地的面积不得超过限定标准，禁止将宅基地使用权流转给城 镇居民等。</w:t>
      </w:r>
    </w:p>
    <w:p w14:paraId="6D88B25A">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宅基地使用权在内容上的福利性、权利主体的身份性、取得的无偿性和流转的禁止性 等特性，决定了宅基地使用权是一种较为特殊的用益物权，该权利尽管属于民事主体的合 法财产的范畴，但却不应被包含在原《继承法》第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条规定的作为遗产的</w:t>
      </w:r>
      <w:r>
        <w:rPr>
          <w:color w:val="000000"/>
          <w:spacing w:val="0"/>
          <w:w w:val="100"/>
          <w:position w:val="0"/>
          <w:lang w:val="zh-CN" w:eastAsia="zh-CN" w:bidi="zh-CN"/>
        </w:rPr>
        <w:t>“公</w:t>
      </w:r>
      <w:r>
        <w:rPr>
          <w:color w:val="000000"/>
          <w:spacing w:val="0"/>
          <w:w w:val="100"/>
          <w:position w:val="0"/>
        </w:rPr>
        <w:t>民的其他合法 财产</w:t>
      </w:r>
      <w:r>
        <w:rPr>
          <w:color w:val="000000"/>
          <w:spacing w:val="0"/>
          <w:w w:val="100"/>
          <w:position w:val="0"/>
          <w:lang w:val="zh-CN" w:eastAsia="zh-CN" w:bidi="zh-CN"/>
        </w:rPr>
        <w:t>”之中</w:t>
      </w:r>
      <w:r>
        <w:rPr>
          <w:color w:val="000000"/>
          <w:spacing w:val="0"/>
          <w:w w:val="100"/>
          <w:position w:val="0"/>
        </w:rPr>
        <w:t>，即宅基地使用权不能作为遗产被继承。</w:t>
      </w:r>
    </w:p>
    <w:p w14:paraId="77BF6446">
      <w:pPr>
        <w:pStyle w:val="17"/>
        <w:keepNext w:val="0"/>
        <w:keepLines w:val="0"/>
        <w:widowControl w:val="0"/>
        <w:numPr>
          <w:ilvl w:val="0"/>
          <w:numId w:val="17"/>
        </w:numPr>
        <w:shd w:val="clear" w:color="auto" w:fill="auto"/>
        <w:bidi w:val="0"/>
        <w:spacing w:before="0" w:after="0" w:line="377" w:lineRule="auto"/>
        <w:ind w:left="0" w:right="0" w:firstLine="420"/>
        <w:jc w:val="both"/>
      </w:pPr>
      <w:bookmarkStart w:id="74" w:name="bookmark257"/>
      <w:bookmarkEnd w:id="74"/>
      <w:r>
        <w:rPr>
          <w:color w:val="000000"/>
          <w:spacing w:val="0"/>
          <w:w w:val="100"/>
          <w:position w:val="0"/>
        </w:rPr>
        <w:t>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能否继承取得宅基地使用权</w:t>
      </w:r>
    </w:p>
    <w:p w14:paraId="3D1B021B">
      <w:pPr>
        <w:pStyle w:val="17"/>
        <w:keepNext w:val="0"/>
        <w:keepLines w:val="0"/>
        <w:widowControl w:val="0"/>
        <w:shd w:val="clear" w:color="auto" w:fill="auto"/>
        <w:bidi w:val="0"/>
        <w:spacing w:before="0" w:after="60" w:line="343" w:lineRule="exact"/>
        <w:ind w:left="0" w:right="0" w:firstLine="420"/>
        <w:jc w:val="both"/>
      </w:pPr>
      <w:r>
        <w:rPr>
          <w:color w:val="000000"/>
          <w:spacing w:val="0"/>
          <w:w w:val="100"/>
          <w:position w:val="0"/>
        </w:rPr>
        <w:t>现陈某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和陈某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提供存于宁海县档案馆的土地房产所有证存根，作为证明涉案土地 属于其父陈炳育所有的证据，但该土地房产所有证是新中国土地改革确定的农民私有土地 所有制的产物，而农民私有土地制度早就随着农业合作化运动而发生改变。如在</w:t>
      </w:r>
      <w:r>
        <w:rPr>
          <w:rFonts w:ascii="Times New Roman" w:hAnsi="Times New Roman" w:eastAsia="Times New Roman" w:cs="Times New Roman"/>
          <w:color w:val="000000"/>
          <w:spacing w:val="0"/>
          <w:w w:val="100"/>
          <w:position w:val="0"/>
          <w:sz w:val="19"/>
          <w:szCs w:val="19"/>
        </w:rPr>
        <w:t>1962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9 </w:t>
      </w:r>
      <w:r>
        <w:rPr>
          <w:color w:val="000000"/>
          <w:spacing w:val="0"/>
          <w:w w:val="100"/>
          <w:position w:val="0"/>
        </w:rPr>
        <w:t>月通过的《农村人民公社工作条例（修正草案）》第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款已经确定宅基地属于生产队 所有。在陈炳育病逝后，陈某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和陈某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有权共同享有陈炳育的宅基地使用权。虽然陈某 </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因参军转为居民，但在</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年《土地管理法》修订之前，其也能够在农村享有宅基地使用 权。不过，陈某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因一直未在该宅基地上建造住宅，也没能够提供享有宅基地使用权的证 据，故可以认定其原本享有的宅基地使用权已经被农村集体经济组织收回。相反，陈某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具 有农村集体经济组织成员身份，在农村集体经济组织的土地上建造了住宅,并取得了涉案 土地的土地使用权证，故其享有涉案土地的宅基地使用权。本案中法院没有言明陈某</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取 得宅基地使用权的依据，但从案件事实来看，其不是通过继承其父陈炳育的遗产而取得，应 属以农村集体经济组织成员身份申请而取得。因此，陈某</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主张依据《屋基地契分据》取得 土地使用权的理由不能成立。</w:t>
      </w:r>
    </w:p>
    <w:p w14:paraId="2D119460">
      <w:pPr>
        <w:pStyle w:val="17"/>
        <w:keepNext w:val="0"/>
        <w:keepLines w:val="0"/>
        <w:widowControl w:val="0"/>
        <w:shd w:val="clear" w:color="auto" w:fill="auto"/>
        <w:bidi w:val="0"/>
        <w:spacing w:before="0" w:after="16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本案的意义</w:t>
      </w:r>
    </w:p>
    <w:p w14:paraId="41287790">
      <w:pPr>
        <w:pStyle w:val="17"/>
        <w:keepNext w:val="0"/>
        <w:keepLines w:val="0"/>
        <w:widowControl w:val="0"/>
        <w:shd w:val="clear" w:color="auto" w:fill="auto"/>
        <w:bidi w:val="0"/>
        <w:spacing w:before="0" w:after="160" w:line="340" w:lineRule="exact"/>
        <w:ind w:left="0" w:right="0" w:firstLine="420"/>
        <w:jc w:val="both"/>
      </w:pPr>
      <w:r>
        <w:rPr>
          <w:color w:val="000000"/>
          <w:spacing w:val="0"/>
          <w:w w:val="100"/>
          <w:position w:val="0"/>
        </w:rPr>
        <w:t>在我国，宅基地使用权能否继承不仅具体规范缺失且立法态度模糊；同时，因宅基地使 用权纠纷的复杂性，司法实践中也存在同案不同判甚至裁判法理相悖的现象;学界对宅基 地使用权纠纷中所涉继承问题如何处理亦存有重大分歧。在本案中,法院根据现行法律和 国家的有关规定之精神,以宅基地使用权人的资格认定为基础，强调宅基地使用权的人身 依附性和社会福利性质，对实践中处理宅基地使用权纠纷案件具有一定示范意义。</w:t>
      </w:r>
    </w:p>
    <w:p w14:paraId="20F934F7">
      <w:pPr>
        <w:pStyle w:val="17"/>
        <w:keepNext w:val="0"/>
        <w:keepLines w:val="0"/>
        <w:widowControl w:val="0"/>
        <w:shd w:val="clear" w:color="auto" w:fill="auto"/>
        <w:bidi w:val="0"/>
        <w:spacing w:before="0" w:after="16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本案遗留的问题</w:t>
      </w:r>
    </w:p>
    <w:p w14:paraId="63C7DB66">
      <w:pPr>
        <w:pStyle w:val="17"/>
        <w:keepNext w:val="0"/>
        <w:keepLines w:val="0"/>
        <w:widowControl w:val="0"/>
        <w:shd w:val="clear" w:color="auto" w:fill="auto"/>
        <w:bidi w:val="0"/>
        <w:spacing w:before="0" w:after="0" w:line="341" w:lineRule="exact"/>
        <w:ind w:left="0" w:right="0" w:firstLine="420"/>
        <w:jc w:val="both"/>
        <w:rPr>
          <w:sz w:val="19"/>
          <w:szCs w:val="19"/>
        </w:rPr>
      </w:pPr>
      <w:r>
        <w:rPr>
          <w:color w:val="000000"/>
          <w:spacing w:val="0"/>
          <w:w w:val="100"/>
          <w:position w:val="0"/>
          <w:sz w:val="18"/>
          <w:szCs w:val="18"/>
        </w:rPr>
        <w:t xml:space="preserve">尽管宅基地使用权不能作为遗产继承,但房屋作为遗产显然可以被继承。在我国的 </w:t>
      </w:r>
      <w:r>
        <w:rPr>
          <w:color w:val="000000"/>
          <w:spacing w:val="0"/>
          <w:w w:val="100"/>
          <w:position w:val="0"/>
          <w:sz w:val="18"/>
          <w:szCs w:val="18"/>
          <w:lang w:val="zh-CN" w:eastAsia="zh-CN" w:bidi="zh-CN"/>
        </w:rPr>
        <w:t>“房地</w:t>
      </w:r>
      <w:r>
        <w:rPr>
          <w:color w:val="000000"/>
          <w:spacing w:val="0"/>
          <w:w w:val="100"/>
          <w:position w:val="0"/>
          <w:sz w:val="18"/>
          <w:szCs w:val="18"/>
        </w:rPr>
        <w:t>合一”模式下，为了充分保护房屋财产权，房屋的继承人即便不具有农村集体经济组 织成员身份或已经拥有一处宅基地，其也将因享有房屋财产权而必须享有使用该房屋坐落 的宅基地的权利</w:t>
      </w:r>
      <w:r>
        <w:rPr>
          <w:rFonts w:ascii="Times New Roman" w:hAnsi="Times New Roman" w:eastAsia="Times New Roman" w:cs="Times New Roman"/>
          <w:color w:val="000000"/>
          <w:spacing w:val="0"/>
          <w:w w:val="100"/>
          <w:position w:val="0"/>
          <w:sz w:val="19"/>
          <w:szCs w:val="19"/>
          <w:lang w:val="en-US" w:eastAsia="en-US" w:bidi="en-US"/>
        </w:rPr>
        <w:t>O</w:t>
      </w:r>
    </w:p>
    <w:p w14:paraId="3290B10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本案中法院认为，对于未建有房屋的宅基地，其使用权不能继承，对于建有房屋的宅基 地,其使用权可以继承。法院将宅基地使用权能否继承与宅基地上建造的房屋捆绑在一 起，这是房屋被继承后法院为保护该房屋的财产价值所提出的一个折中方案。但是，本案 中法院同时强调，这种继承存在限制条件，即不得对原有房屋进行翻建、重建;如房屋灭失， 则宅基地使用权收归集体。由于对宅基地使用权人来说，其享有和行使宅基地使用权不受 不得对原有房屋进行翻建、重建或房屋灭失则宅基地使用权收归集体的限制，可见,通过继 承房屋而享有的使用该房屋所坐落的宅基地的权利在性质上与宅基地使用权相去甚远。 不过，这种权利究竟属于何种性质的权利、具体内容如何等问题，在现行法律和国家政策中 均未规定。</w:t>
      </w:r>
    </w:p>
    <w:p w14:paraId="3C6BB12B">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当前，在“三块地</w:t>
      </w:r>
      <w:r>
        <w:rPr>
          <w:color w:val="000000"/>
          <w:spacing w:val="0"/>
          <w:w w:val="100"/>
          <w:position w:val="0"/>
          <w:lang w:val="zh-CN" w:eastAsia="zh-CN" w:bidi="zh-CN"/>
        </w:rPr>
        <w:t>”改革</w:t>
      </w:r>
      <w:r>
        <w:rPr>
          <w:color w:val="000000"/>
          <w:spacing w:val="0"/>
          <w:w w:val="100"/>
          <w:position w:val="0"/>
        </w:rPr>
        <w:t>试点对宅基地有偿使用制度进行诸多有益探索的基础上，现行 《土地管理法》第</w:t>
      </w:r>
      <w:r>
        <w:rPr>
          <w:rFonts w:ascii="Times New Roman" w:hAnsi="Times New Roman" w:eastAsia="Times New Roman" w:cs="Times New Roman"/>
          <w:color w:val="000000"/>
          <w:spacing w:val="0"/>
          <w:w w:val="100"/>
          <w:position w:val="0"/>
          <w:sz w:val="19"/>
          <w:szCs w:val="19"/>
        </w:rPr>
        <w:t>62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款规定</w:t>
      </w:r>
      <w:r>
        <w:rPr>
          <w:color w:val="000000"/>
          <w:spacing w:val="0"/>
          <w:w w:val="100"/>
          <w:position w:val="0"/>
          <w:lang w:val="zh-CN" w:eastAsia="zh-CN" w:bidi="zh-CN"/>
        </w:rPr>
        <w:t>，“国</w:t>
      </w:r>
      <w:r>
        <w:rPr>
          <w:color w:val="000000"/>
          <w:spacing w:val="0"/>
          <w:w w:val="100"/>
          <w:position w:val="0"/>
        </w:rPr>
        <w:t>家允许进城落户的农村村民依法自愿有偿退出宅基 地，鼓励农村集体经济组织及其成员盘活利用闲置宅基地和闲置住宅”，从而在社会福利性 质之外赋予了宅基地一定的经济价值，但该规定过于笼统且缺乏可操作性。为了将上述规 定在实践中落到实处，构建法定租赁权制度无疑是一个较优的选择，即</w:t>
      </w:r>
      <w:r>
        <w:rPr>
          <w:color w:val="000000"/>
          <w:spacing w:val="0"/>
          <w:w w:val="100"/>
          <w:position w:val="0"/>
          <w:lang w:val="zh-CN" w:eastAsia="zh-CN" w:bidi="zh-CN"/>
        </w:rPr>
        <w:t>“权利</w:t>
      </w:r>
      <w:r>
        <w:rPr>
          <w:color w:val="000000"/>
          <w:spacing w:val="0"/>
          <w:w w:val="100"/>
          <w:position w:val="0"/>
        </w:rPr>
        <w:t>主体在特定条 件下因继承、抵押权实现、买卖等方式获得宅基地上房屋及建筑物，但其无法获得宅基地使 用权时，依照法律规定享有的在一定期限内有偿使用宅基地的权利</w:t>
      </w:r>
      <w:r>
        <w:rPr>
          <w:color w:val="000000"/>
          <w:spacing w:val="0"/>
          <w:w w:val="100"/>
          <w:position w:val="0"/>
          <w:lang w:val="zh-CN" w:eastAsia="zh-CN" w:bidi="zh-CN"/>
        </w:rPr>
        <w:t>”（陈</w:t>
      </w:r>
      <w:r>
        <w:rPr>
          <w:color w:val="000000"/>
          <w:spacing w:val="0"/>
          <w:w w:val="100"/>
          <w:position w:val="0"/>
        </w:rPr>
        <w:t>小君:《宅基地使用权 的制度困局与破解之维》，载《法学研究》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期）。可见，本案对我国</w:t>
      </w:r>
      <w:r>
        <w:rPr>
          <w:color w:val="000000"/>
          <w:spacing w:val="0"/>
          <w:w w:val="100"/>
          <w:position w:val="0"/>
          <w:lang w:val="zh-CN" w:eastAsia="zh-CN" w:bidi="zh-CN"/>
        </w:rPr>
        <w:t>“房</w:t>
      </w:r>
      <w:r>
        <w:rPr>
          <w:color w:val="000000"/>
          <w:spacing w:val="0"/>
          <w:w w:val="100"/>
          <w:position w:val="0"/>
        </w:rPr>
        <w:t>地一体</w:t>
      </w:r>
      <w:r>
        <w:rPr>
          <w:color w:val="000000"/>
          <w:spacing w:val="0"/>
          <w:w w:val="100"/>
          <w:position w:val="0"/>
          <w:lang w:val="zh-CN" w:eastAsia="zh-CN" w:bidi="zh-CN"/>
        </w:rPr>
        <w:t>”模</w:t>
      </w:r>
      <w:r>
        <w:rPr>
          <w:color w:val="000000"/>
          <w:spacing w:val="0"/>
          <w:w w:val="100"/>
          <w:position w:val="0"/>
        </w:rPr>
        <w:t>式下因 房屋继承导致的个体利益与以农村集体经济组织为代表的集体利益产生冲突时，如何在保 证房屋和宅基地的价值均得到有效实现的同时，又使两者在权利实现时达成利益协调，从 而完成宅基地有偿使用制度的建构，留下了诸多值得进一步探讨的空间。</w:t>
      </w:r>
    </w:p>
    <w:p w14:paraId="5165F2DD">
      <w:pPr>
        <w:pStyle w:val="11"/>
        <w:keepNext w:val="0"/>
        <w:keepLines w:val="0"/>
        <w:widowControl w:val="0"/>
        <w:shd w:val="clear" w:color="auto" w:fill="auto"/>
        <w:bidi w:val="0"/>
        <w:spacing w:before="0" w:after="60" w:line="341" w:lineRule="exact"/>
        <w:ind w:left="0" w:right="0" w:firstLine="0"/>
        <w:jc w:val="left"/>
      </w:pPr>
      <w:r>
        <w:rPr>
          <w:i/>
          <w:iCs/>
          <w:color w:val="000000"/>
          <w:spacing w:val="0"/>
          <w:w w:val="100"/>
          <w:position w:val="0"/>
        </w:rPr>
        <w:t>回</w:t>
      </w:r>
      <w:r>
        <w:rPr>
          <w:color w:val="000000"/>
          <w:spacing w:val="0"/>
          <w:w w:val="100"/>
          <w:position w:val="0"/>
        </w:rPr>
        <w:t>参考文献</w:t>
      </w:r>
    </w:p>
    <w:p w14:paraId="63C7F3A8">
      <w:pPr>
        <w:pStyle w:val="17"/>
        <w:keepNext w:val="0"/>
        <w:keepLines w:val="0"/>
        <w:widowControl w:val="0"/>
        <w:shd w:val="clear" w:color="auto" w:fill="auto"/>
        <w:bidi w:val="0"/>
        <w:spacing w:before="0" w:after="160" w:line="341" w:lineRule="exact"/>
        <w:ind w:left="0" w:right="0" w:firstLine="0"/>
        <w:jc w:val="both"/>
      </w:pPr>
      <w:r>
        <w:rPr>
          <w:color w:val="000000"/>
          <w:spacing w:val="0"/>
          <w:w w:val="100"/>
          <w:position w:val="0"/>
        </w:rPr>
        <w:t>全国人大常委会法制工作委员会民法室编：《〈中华人民共和国物权法〉条文说明、立法理由及相关规</w:t>
      </w:r>
    </w:p>
    <w:p w14:paraId="4B494F83">
      <w:pPr>
        <w:pStyle w:val="17"/>
        <w:keepNext w:val="0"/>
        <w:keepLines w:val="0"/>
        <w:widowControl w:val="0"/>
        <w:shd w:val="clear" w:color="auto" w:fill="auto"/>
        <w:bidi w:val="0"/>
        <w:spacing w:before="0" w:after="0" w:line="302" w:lineRule="exact"/>
        <w:ind w:left="0" w:right="0" w:firstLine="500"/>
        <w:jc w:val="left"/>
      </w:pPr>
      <w:r>
        <w:rPr>
          <w:color w:val="000000"/>
          <w:spacing w:val="0"/>
          <w:w w:val="100"/>
          <w:position w:val="0"/>
        </w:rPr>
        <w:t>定》，北京大学出版社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0F28F360">
      <w:pPr>
        <w:pStyle w:val="17"/>
        <w:keepNext w:val="0"/>
        <w:keepLines w:val="0"/>
        <w:widowControl w:val="0"/>
        <w:shd w:val="clear" w:color="auto" w:fill="auto"/>
        <w:bidi w:val="0"/>
        <w:spacing w:before="0" w:after="0" w:line="302" w:lineRule="exact"/>
        <w:ind w:left="0" w:right="0" w:firstLine="320"/>
        <w:jc w:val="both"/>
      </w:pPr>
      <w:r>
        <w:rPr>
          <w:color w:val="000000"/>
          <w:spacing w:val="0"/>
          <w:w w:val="100"/>
          <w:position w:val="0"/>
        </w:rPr>
        <w:t>王利明：《物权法研究》（下卷），中国人民大学出版社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067C05A1">
      <w:pPr>
        <w:pStyle w:val="17"/>
        <w:keepNext w:val="0"/>
        <w:keepLines w:val="0"/>
        <w:widowControl w:val="0"/>
        <w:shd w:val="clear" w:color="auto" w:fill="auto"/>
        <w:bidi w:val="0"/>
        <w:spacing w:before="0" w:after="0" w:line="302" w:lineRule="exact"/>
        <w:ind w:left="0" w:right="0" w:firstLine="320"/>
        <w:jc w:val="both"/>
      </w:pPr>
      <w:r>
        <w:rPr>
          <w:color w:val="000000"/>
          <w:spacing w:val="0"/>
          <w:w w:val="100"/>
          <w:position w:val="0"/>
        </w:rPr>
        <w:t>陈律、吴孙有:《宅基地使用权继承问题研究》，载《人民司法》</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、期。</w:t>
      </w:r>
    </w:p>
    <w:p w14:paraId="5498A882">
      <w:pPr>
        <w:pStyle w:val="17"/>
        <w:keepNext w:val="0"/>
        <w:keepLines w:val="0"/>
        <w:widowControl w:val="0"/>
        <w:shd w:val="clear" w:color="auto" w:fill="auto"/>
        <w:bidi w:val="0"/>
        <w:spacing w:before="0" w:after="0" w:line="302" w:lineRule="exact"/>
        <w:ind w:left="0" w:right="0" w:firstLine="320"/>
        <w:jc w:val="both"/>
      </w:pPr>
      <w:r>
        <w:rPr>
          <w:color w:val="000000"/>
          <w:spacing w:val="0"/>
          <w:w w:val="100"/>
          <w:position w:val="0"/>
        </w:rPr>
        <w:t>陈小君:《宅基地使用权的制度困局与破解之维》，载《法学研究》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22B0FC4">
      <w:pPr>
        <w:pStyle w:val="17"/>
        <w:keepNext w:val="0"/>
        <w:keepLines w:val="0"/>
        <w:widowControl w:val="0"/>
        <w:shd w:val="clear" w:color="auto" w:fill="auto"/>
        <w:bidi w:val="0"/>
        <w:spacing w:before="0" w:after="0" w:line="302" w:lineRule="exact"/>
        <w:ind w:left="500" w:right="0" w:hanging="160"/>
        <w:jc w:val="left"/>
      </w:pPr>
      <w:r>
        <w:rPr>
          <w:color w:val="000000"/>
          <w:spacing w:val="0"/>
          <w:w w:val="100"/>
          <w:position w:val="0"/>
        </w:rPr>
        <w:t>高飞：《农村宅基地</w:t>
      </w:r>
      <w:r>
        <w:rPr>
          <w:color w:val="000000"/>
          <w:spacing w:val="0"/>
          <w:w w:val="100"/>
          <w:position w:val="0"/>
          <w:lang w:val="zh-CN" w:eastAsia="zh-CN" w:bidi="zh-CN"/>
        </w:rPr>
        <w:t>“三权</w:t>
      </w:r>
      <w:r>
        <w:rPr>
          <w:color w:val="000000"/>
          <w:spacing w:val="0"/>
          <w:w w:val="100"/>
          <w:position w:val="0"/>
        </w:rPr>
        <w:t>分置”政策入法的公法基础——以〈土地管理法〉第</w:t>
      </w:r>
      <w:r>
        <w:rPr>
          <w:rFonts w:ascii="Times New Roman" w:hAnsi="Times New Roman" w:eastAsia="Times New Roman" w:cs="Times New Roman"/>
          <w:color w:val="000000"/>
          <w:spacing w:val="0"/>
          <w:w w:val="100"/>
          <w:position w:val="0"/>
          <w:sz w:val="17"/>
          <w:szCs w:val="17"/>
        </w:rPr>
        <w:t>62</w:t>
      </w:r>
      <w:r>
        <w:rPr>
          <w:color w:val="000000"/>
          <w:spacing w:val="0"/>
          <w:w w:val="100"/>
          <w:position w:val="0"/>
        </w:rPr>
        <w:t>条之解读为线索》，载 《云南社会科学》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A7978D6">
      <w:pPr>
        <w:pStyle w:val="17"/>
        <w:keepNext w:val="0"/>
        <w:keepLines w:val="0"/>
        <w:widowControl w:val="0"/>
        <w:shd w:val="clear" w:color="auto" w:fill="auto"/>
        <w:bidi w:val="0"/>
        <w:spacing w:before="0" w:after="0" w:line="302" w:lineRule="exact"/>
        <w:ind w:left="0" w:right="0" w:firstLine="320"/>
        <w:jc w:val="both"/>
        <w:sectPr>
          <w:headerReference r:id="rId266" w:type="default"/>
          <w:headerReference r:id="rId267" w:type="even"/>
          <w:footnotePr>
            <w:numFmt w:val="chicago"/>
          </w:footnotePr>
          <w:pgSz w:w="10099" w:h="14782"/>
          <w:pgMar w:top="1263" w:right="856" w:bottom="1157" w:left="968" w:header="0" w:footer="3" w:gutter="0"/>
          <w:pgNumType w:start="198"/>
          <w:cols w:space="720" w:num="1"/>
          <w:rtlGutter w:val="0"/>
          <w:docGrid w:linePitch="360" w:charSpace="0"/>
        </w:sectPr>
      </w:pPr>
      <w:r>
        <w:rPr>
          <w:color w:val="000000"/>
          <w:spacing w:val="0"/>
          <w:w w:val="100"/>
          <w:position w:val="0"/>
        </w:rPr>
        <w:t>高海:《宅基地使用权继承:案例解析与立法构造》，载《东方法学》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2D832006">
      <w:pPr>
        <w:widowControl w:val="0"/>
        <w:spacing w:line="127" w:lineRule="exact"/>
        <w:rPr>
          <w:sz w:val="10"/>
          <w:szCs w:val="10"/>
        </w:rPr>
      </w:pPr>
    </w:p>
    <w:p w14:paraId="2E88E29D">
      <w:pPr>
        <w:widowControl w:val="0"/>
        <w:spacing w:line="1" w:lineRule="exact"/>
        <w:sectPr>
          <w:headerReference r:id="rId268" w:type="default"/>
          <w:headerReference r:id="rId269" w:type="even"/>
          <w:footnotePr>
            <w:numFmt w:val="chicago"/>
          </w:footnotePr>
          <w:pgSz w:w="10099" w:h="14782"/>
          <w:pgMar w:top="1257" w:right="1018" w:bottom="1129" w:left="1055" w:header="0" w:footer="3" w:gutter="0"/>
          <w:pgNumType w:start="217"/>
          <w:cols w:space="720" w:num="1"/>
          <w:rtlGutter w:val="0"/>
          <w:docGrid w:linePitch="360" w:charSpace="0"/>
        </w:sectPr>
      </w:pPr>
    </w:p>
    <w:p w14:paraId="112BA02E">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735330</wp:posOffset>
                </wp:positionH>
                <wp:positionV relativeFrom="paragraph">
                  <wp:posOffset>12700</wp:posOffset>
                </wp:positionV>
                <wp:extent cx="408305" cy="304800"/>
                <wp:effectExtent l="0" t="0" r="0" b="0"/>
                <wp:wrapSquare wrapText="right"/>
                <wp:docPr id="609" name="Shape 609"/>
                <wp:cNvGraphicFramePr/>
                <a:graphic xmlns:a="http://schemas.openxmlformats.org/drawingml/2006/main">
                  <a:graphicData uri="http://schemas.microsoft.com/office/word/2010/wordprocessingShape">
                    <wps:wsp>
                      <wps:cNvSpPr txBox="1"/>
                      <wps:spPr>
                        <a:xfrm>
                          <a:off x="0" y="0"/>
                          <a:ext cx="408305" cy="304800"/>
                        </a:xfrm>
                        <a:prstGeom prst="rect">
                          <a:avLst/>
                        </a:prstGeom>
                        <a:noFill/>
                      </wps:spPr>
                      <wps:txbx>
                        <w:txbxContent>
                          <w:p w14:paraId="4483E46A">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rPr>
                              <w:t>041</w:t>
                            </w:r>
                          </w:p>
                        </w:txbxContent>
                      </wps:txbx>
                      <wps:bodyPr wrap="none" lIns="0" tIns="0" rIns="0" bIns="0">
                        <a:noAutofit/>
                      </wps:bodyPr>
                    </wps:wsp>
                  </a:graphicData>
                </a:graphic>
              </wp:anchor>
            </w:drawing>
          </mc:Choice>
          <mc:Fallback>
            <w:pict>
              <v:shape id="Shape 609" o:spid="_x0000_s1026" o:spt="202" type="#_x0000_t202" style="position:absolute;left:0pt;margin-left:57.9pt;margin-top:1pt;height:24pt;width:32.15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Mvf8IdMAAAAI&#10;AQAADwAAAAAAAAABACAAAAAiAAAAZHJzL2Rvd25yZXYueG1sUEsBAhQAFAAAAAgAh07iQFhYd8ev&#10;AQAAcwMAAA4AAAAAAAAAAQAgAAAAIgEAAGRycy9lMm9Eb2MueG1sUEsFBgAAAAAGAAYAWQEAAEMF&#10;AAAAAA==&#10;">
                <v:fill on="f" focussize="0,0"/>
                <v:stroke on="f"/>
                <v:imagedata o:title=""/>
                <o:lock v:ext="edit" aspectratio="f"/>
                <v:textbox inset="0mm,0mm,0mm,0mm">
                  <w:txbxContent>
                    <w:p w14:paraId="4483E46A">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rPr>
                        <w:t>041</w:t>
                      </w:r>
                    </w:p>
                  </w:txbxContent>
                </v:textbox>
                <w10:wrap type="square" side="right"/>
              </v:shape>
            </w:pict>
          </mc:Fallback>
        </mc:AlternateContent>
      </w:r>
    </w:p>
    <w:p w14:paraId="40280454">
      <w:pPr>
        <w:pStyle w:val="15"/>
        <w:keepNext/>
        <w:keepLines/>
        <w:widowControl w:val="0"/>
        <w:shd w:val="clear" w:color="auto" w:fill="auto"/>
        <w:bidi w:val="0"/>
        <w:spacing w:before="0" w:after="140" w:line="240" w:lineRule="auto"/>
        <w:ind w:left="0" w:right="0" w:firstLine="0"/>
        <w:jc w:val="left"/>
      </w:pPr>
      <w:bookmarkStart w:id="75" w:name="bookmark262"/>
      <w:bookmarkStart w:id="76" w:name="bookmark263"/>
      <w:bookmarkStart w:id="77" w:name="bookmark261"/>
      <w:r>
        <w:rPr>
          <w:color w:val="000000"/>
          <w:spacing w:val="0"/>
          <w:w w:val="100"/>
          <w:position w:val="0"/>
        </w:rPr>
        <w:t>混合担保中担保人之间的追偿权及其范围凰皿］</w:t>
      </w:r>
      <w:bookmarkEnd w:id="75"/>
      <w:bookmarkEnd w:id="76"/>
      <w:bookmarkEnd w:id="77"/>
    </w:p>
    <w:p w14:paraId="6BC7C198">
      <w:pPr>
        <w:pStyle w:val="17"/>
        <w:keepNext w:val="0"/>
        <w:keepLines w:val="0"/>
        <w:widowControl w:val="0"/>
        <w:shd w:val="clear" w:color="auto" w:fill="auto"/>
        <w:tabs>
          <w:tab w:val="left" w:pos="6897"/>
        </w:tabs>
        <w:bidi w:val="0"/>
        <w:spacing w:before="0" w:after="360" w:line="331" w:lineRule="exact"/>
        <w:ind w:left="1000" w:right="0" w:firstLine="0"/>
        <w:jc w:val="left"/>
        <w:rPr>
          <w:sz w:val="19"/>
          <w:szCs w:val="19"/>
        </w:rPr>
      </w:pPr>
      <w:r>
        <w:rPr>
          <w:color w:val="000000"/>
          <w:spacing w:val="0"/>
          <w:w w:val="100"/>
          <w:position w:val="0"/>
          <w:sz w:val="18"/>
          <w:szCs w:val="18"/>
        </w:rPr>
        <w:t>顾正康等诉湖北汇城置业有限公司追偿权纠纷再审案丨最高人 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8"/>
          <w:szCs w:val="18"/>
        </w:rPr>
        <w:t>最高法民再</w:t>
      </w:r>
      <w:r>
        <w:rPr>
          <w:rFonts w:ascii="Times New Roman" w:hAnsi="Times New Roman" w:eastAsia="Times New Roman" w:cs="Times New Roman"/>
          <w:color w:val="000000"/>
          <w:spacing w:val="0"/>
          <w:w w:val="100"/>
          <w:position w:val="0"/>
          <w:sz w:val="19"/>
          <w:szCs w:val="19"/>
        </w:rPr>
        <w:t>137</w:t>
      </w:r>
      <w:r>
        <w:rPr>
          <w:color w:val="000000"/>
          <w:spacing w:val="0"/>
          <w:w w:val="100"/>
          <w:position w:val="0"/>
          <w:sz w:val="18"/>
          <w:szCs w:val="18"/>
        </w:rPr>
        <w:t>号民事判决书</w:t>
      </w:r>
      <w:r>
        <w:rPr>
          <w:color w:val="000000"/>
          <w:spacing w:val="0"/>
          <w:w w:val="100"/>
          <w:position w:val="0"/>
          <w:sz w:val="18"/>
          <w:szCs w:val="18"/>
        </w:rPr>
        <w:tab/>
      </w:r>
      <w:r>
        <w:rPr>
          <w:color w:val="000000"/>
          <w:spacing w:val="0"/>
          <w:w w:val="100"/>
          <w:position w:val="0"/>
          <w:sz w:val="30"/>
          <w:szCs w:val="30"/>
        </w:rPr>
        <w:t>:讖鬻</w:t>
      </w:r>
      <w:r>
        <w:rPr>
          <w:rFonts w:ascii="Times New Roman" w:hAnsi="Times New Roman" w:eastAsia="Times New Roman" w:cs="Times New Roman"/>
          <w:color w:val="000000"/>
          <w:spacing w:val="0"/>
          <w:w w:val="100"/>
          <w:position w:val="0"/>
          <w:sz w:val="19"/>
          <w:szCs w:val="19"/>
          <w:lang w:val="en-US" w:eastAsia="en-US" w:bidi="en-US"/>
        </w:rPr>
        <w:t>fej</w:t>
      </w:r>
    </w:p>
    <w:p w14:paraId="5C2BAB20">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口十名</w:t>
      </w:r>
      <w:r>
        <w:rPr>
          <w:color w:val="000000"/>
          <w:spacing w:val="0"/>
          <w:w w:val="100"/>
          <w:position w:val="0"/>
          <w:lang w:val="zh-CN" w:eastAsia="zh-CN" w:bidi="zh-CN"/>
        </w:rPr>
        <w:t>'怡</w:t>
      </w:r>
      <w:r>
        <w:rPr>
          <w:color w:val="000000"/>
          <w:spacing w:val="0"/>
          <w:w w:val="100"/>
          <w:position w:val="0"/>
        </w:rPr>
        <w:t>上海财经大学法学院</w:t>
      </w:r>
    </w:p>
    <w:p w14:paraId="3440822E">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35A1C2F">
      <w:pPr>
        <w:pStyle w:val="17"/>
        <w:keepNext w:val="0"/>
        <w:keepLines w:val="0"/>
        <w:widowControl w:val="0"/>
        <w:shd w:val="clear" w:color="auto" w:fill="auto"/>
        <w:bidi w:val="0"/>
        <w:spacing w:before="0" w:after="0" w:line="342" w:lineRule="exact"/>
        <w:ind w:left="0" w:right="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日，荣华公司法定代表人钱云富向汇城公司承诺,对荣华公司不能清偿 汇城公司的款项，用其个人资产承担连带担保。</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日，荣华公司向汇城公司承 诺:若贵公司因为我方融资提供担保而造成损失，我公司愿全额予以赔偿。</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20 </w:t>
      </w:r>
      <w:r>
        <w:rPr>
          <w:color w:val="000000"/>
          <w:spacing w:val="0"/>
          <w:w w:val="100"/>
          <w:position w:val="0"/>
        </w:rPr>
        <w:t>日，荣华公司子公司华泰龙公司向农行华中支行借款</w:t>
      </w:r>
      <w:r>
        <w:rPr>
          <w:rFonts w:ascii="Times New Roman" w:hAnsi="Times New Roman" w:eastAsia="Times New Roman" w:cs="Times New Roman"/>
          <w:color w:val="000000"/>
          <w:spacing w:val="0"/>
          <w:w w:val="100"/>
          <w:position w:val="0"/>
          <w:sz w:val="19"/>
          <w:szCs w:val="19"/>
        </w:rPr>
        <w:t>700</w:t>
      </w:r>
      <w:r>
        <w:rPr>
          <w:color w:val="000000"/>
          <w:spacing w:val="0"/>
          <w:w w:val="100"/>
          <w:position w:val="0"/>
        </w:rPr>
        <w:t>万元整；同日，汇城公司以其房产 为该借款提供抵押担保,顾正康、卞秀华为该借款提供连带保证。后因华泰龙公司未按期 还款引起诉讼。汇城公司在先行承担担保责任后起诉华泰龙公司，要求后者偿还前者已支 付给农行华中支行的本金、利息、案件受理费、执行费等合计</w:t>
      </w:r>
      <w:r>
        <w:rPr>
          <w:rFonts w:ascii="Times New Roman" w:hAnsi="Times New Roman" w:eastAsia="Times New Roman" w:cs="Times New Roman"/>
          <w:color w:val="000000"/>
          <w:spacing w:val="0"/>
          <w:w w:val="100"/>
          <w:position w:val="0"/>
          <w:sz w:val="19"/>
          <w:szCs w:val="19"/>
          <w:lang w:val="en-US" w:eastAsia="en-US" w:bidi="en-US"/>
        </w:rPr>
        <w:t>945.</w:t>
      </w:r>
      <w:r>
        <w:rPr>
          <w:rFonts w:ascii="Times New Roman" w:hAnsi="Times New Roman" w:eastAsia="Times New Roman" w:cs="Times New Roman"/>
          <w:color w:val="000000"/>
          <w:spacing w:val="0"/>
          <w:w w:val="100"/>
          <w:position w:val="0"/>
          <w:sz w:val="19"/>
          <w:szCs w:val="19"/>
        </w:rPr>
        <w:t>68003</w:t>
      </w:r>
      <w:r>
        <w:rPr>
          <w:color w:val="000000"/>
          <w:spacing w:val="0"/>
          <w:w w:val="100"/>
          <w:position w:val="0"/>
        </w:rPr>
        <w:t>万元,同时要求荣华 公司、钱云富、顾正康对前项款项承担连带清偿责任。原审两级法院均支持汇城公司的诉 请。</w:t>
      </w:r>
    </w:p>
    <w:p w14:paraId="444F000A">
      <w:pPr>
        <w:pStyle w:val="17"/>
        <w:keepNext w:val="0"/>
        <w:keepLines w:val="0"/>
        <w:widowControl w:val="0"/>
        <w:shd w:val="clear" w:color="auto" w:fill="auto"/>
        <w:bidi w:val="0"/>
        <w:spacing w:before="0" w:after="360" w:line="342" w:lineRule="exact"/>
        <w:ind w:left="0" w:right="0"/>
        <w:jc w:val="both"/>
      </w:pPr>
      <w:r>
        <w:rPr>
          <w:color w:val="000000"/>
          <w:spacing w:val="0"/>
          <w:w w:val="100"/>
          <w:position w:val="0"/>
        </w:rPr>
        <w:t>荣华公司、钱云富、顾正康向最高人民法院（以下简称最高院）申请再审。其主要理由 如下：（</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）申请再审人顾正康系独立与中国农业银行十堰华中支行签订《保证合同》，与汇城 公司之间没有关于担保顺序和份额的约定，汇城公司是农行贷款项下的抵押人，抵押人与 保证人之间相互追偿无法律依据。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条优先于最高人民法院《关于适用 〈中华人民共和国担保法〉若干问题的解释》［法释（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 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条适用，排除了担保人之间的追偿权。</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顾正康承担保证责任份额不当。即使 汇城公司偿还债务后有权向保证人顾正康追偿，依据《担保法司法解释》第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条的规定和 民法上的公平原则，也应当在</w:t>
      </w:r>
      <w:r>
        <w:rPr>
          <w:color w:val="000000"/>
          <w:spacing w:val="0"/>
          <w:w w:val="100"/>
          <w:position w:val="0"/>
          <w:lang w:val="zh-CN" w:eastAsia="zh-CN" w:bidi="zh-CN"/>
        </w:rPr>
        <w:t>“其应</w:t>
      </w:r>
      <w:r>
        <w:rPr>
          <w:color w:val="000000"/>
          <w:spacing w:val="0"/>
          <w:w w:val="100"/>
          <w:position w:val="0"/>
        </w:rPr>
        <w:t>当分担的份额</w:t>
      </w:r>
      <w:r>
        <w:rPr>
          <w:color w:val="000000"/>
          <w:spacing w:val="0"/>
          <w:w w:val="100"/>
          <w:position w:val="0"/>
          <w:lang w:val="zh-CN" w:eastAsia="zh-CN" w:bidi="zh-CN"/>
        </w:rPr>
        <w:t>”范围</w:t>
      </w:r>
      <w:r>
        <w:rPr>
          <w:color w:val="000000"/>
          <w:spacing w:val="0"/>
          <w:w w:val="100"/>
          <w:position w:val="0"/>
        </w:rPr>
        <w:t>内承担责任。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二审法院认定《担 保法》及其司法解释规定的保证期间条款不适用本案争议事项是错误的。</w:t>
      </w:r>
    </w:p>
    <w:p w14:paraId="16779190">
      <w:pPr>
        <w:pStyle w:val="11"/>
        <w:keepNext w:val="0"/>
        <w:keepLines w:val="0"/>
        <w:widowControl w:val="0"/>
        <w:shd w:val="clear" w:color="auto" w:fill="auto"/>
        <w:bidi w:val="0"/>
        <w:spacing w:before="0" w:after="100" w:line="342"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3C4FC8D5">
      <w:pPr>
        <w:pStyle w:val="17"/>
        <w:keepNext w:val="0"/>
        <w:keepLines w:val="0"/>
        <w:widowControl w:val="0"/>
        <w:shd w:val="clear" w:color="auto" w:fill="auto"/>
        <w:bidi w:val="0"/>
        <w:spacing w:before="0" w:after="0" w:line="340" w:lineRule="exact"/>
        <w:ind w:left="0" w:right="0"/>
        <w:jc w:val="both"/>
      </w:pPr>
      <w:r>
        <w:rPr>
          <w:color w:val="000000"/>
          <w:spacing w:val="0"/>
          <w:w w:val="100"/>
          <w:position w:val="0"/>
        </w:rPr>
        <w:t>部分支持再审申请。</w:t>
      </w:r>
    </w:p>
    <w:p w14:paraId="42512689">
      <w:pPr>
        <w:pStyle w:val="17"/>
        <w:keepNext w:val="0"/>
        <w:keepLines w:val="0"/>
        <w:widowControl w:val="0"/>
        <w:shd w:val="clear" w:color="auto" w:fill="auto"/>
        <w:bidi w:val="0"/>
        <w:spacing w:before="0" w:after="360" w:line="340" w:lineRule="exact"/>
        <w:ind w:left="0" w:right="0"/>
        <w:jc w:val="both"/>
        <w:sectPr>
          <w:footnotePr>
            <w:numFmt w:val="chicago"/>
          </w:footnotePr>
          <w:type w:val="continuous"/>
          <w:pgSz w:w="10099" w:h="14782"/>
          <w:pgMar w:top="1257" w:right="1018" w:bottom="1129" w:left="1055" w:header="829" w:footer="701" w:gutter="0"/>
          <w:cols w:space="720" w:num="1"/>
          <w:rtlGutter w:val="0"/>
          <w:docGrid w:linePitch="360" w:charSpace="0"/>
        </w:sectPr>
      </w:pPr>
      <w:r>
        <w:rPr>
          <w:color w:val="000000"/>
          <w:spacing w:val="0"/>
          <w:w w:val="100"/>
          <w:position w:val="0"/>
        </w:rPr>
        <w:t xml:space="preserve">关于混合担保中提供担保的第三人承担担保责任后，能否向其他担保人追偿，原《物权 法》无规定而《担保法司法解释》有明确规定，因此，原审两级法院适用《担保法司法解释》认 定抵押人汇城公司承担担保责任后对保证人顾正康享有追偿权并无不当。不过，关于汇城 </w:t>
      </w:r>
    </w:p>
    <w:p w14:paraId="07951177">
      <w:pPr>
        <w:pStyle w:val="17"/>
        <w:keepNext w:val="0"/>
        <w:keepLines w:val="0"/>
        <w:widowControl w:val="0"/>
        <w:shd w:val="clear" w:color="auto" w:fill="auto"/>
        <w:bidi w:val="0"/>
        <w:spacing w:before="0" w:after="360" w:line="340" w:lineRule="exact"/>
        <w:ind w:left="0" w:right="0" w:firstLine="0"/>
        <w:jc w:val="both"/>
      </w:pPr>
      <w:r>
        <w:rPr>
          <w:color w:val="000000"/>
          <w:spacing w:val="0"/>
          <w:w w:val="100"/>
          <w:position w:val="0"/>
        </w:rPr>
        <w:t xml:space="preserve">公司追偿的范围，顾正康是农行华中支行的连带保证人，而非抵押人汇城公司的连带保证 人，对汇城公司不负连带保证责任。原审法院判令顾正康对汇城公司承担连带责任，有所 不当。考虑到汇城公司和顾正康均是对农行华中支行的全部贷款债权及实现债权的一切 费用承担担保责任,在汇城公司已经单独承担了 </w:t>
      </w:r>
      <w:r>
        <w:rPr>
          <w:rFonts w:ascii="Times New Roman" w:hAnsi="Times New Roman" w:eastAsia="Times New Roman" w:cs="Times New Roman"/>
          <w:color w:val="000000"/>
          <w:spacing w:val="0"/>
          <w:w w:val="100"/>
          <w:position w:val="0"/>
          <w:sz w:val="19"/>
          <w:szCs w:val="19"/>
          <w:lang w:val="en-US" w:eastAsia="en-US" w:bidi="en-US"/>
        </w:rPr>
        <w:t>945.68003</w:t>
      </w:r>
      <w:r>
        <w:rPr>
          <w:color w:val="000000"/>
          <w:spacing w:val="0"/>
          <w:w w:val="100"/>
          <w:position w:val="0"/>
        </w:rPr>
        <w:t>万元担保责任的情况下,本院根 据公平原则，酌定顾正康分担</w:t>
      </w:r>
      <w:r>
        <w:rPr>
          <w:rFonts w:ascii="Times New Roman" w:hAnsi="Times New Roman" w:eastAsia="Times New Roman" w:cs="Times New Roman"/>
          <w:color w:val="000000"/>
          <w:spacing w:val="0"/>
          <w:w w:val="100"/>
          <w:position w:val="0"/>
          <w:sz w:val="19"/>
          <w:szCs w:val="19"/>
          <w:lang w:val="en-US" w:eastAsia="en-US" w:bidi="en-US"/>
        </w:rPr>
        <w:t>472.840015</w:t>
      </w:r>
      <w:r>
        <w:rPr>
          <w:color w:val="000000"/>
          <w:spacing w:val="0"/>
          <w:w w:val="100"/>
          <w:position w:val="0"/>
        </w:rPr>
        <w:t>万元,汇城公司有权在此范围内要求顾正康承担 清偿责任。</w:t>
      </w:r>
    </w:p>
    <w:p w14:paraId="0A887742">
      <w:pPr>
        <w:pStyle w:val="11"/>
        <w:keepNext w:val="0"/>
        <w:keepLines w:val="0"/>
        <w:widowControl w:val="0"/>
        <w:shd w:val="clear" w:color="auto" w:fill="auto"/>
        <w:bidi w:val="0"/>
        <w:spacing w:before="0" w:after="260" w:line="346" w:lineRule="exact"/>
        <w:ind w:left="0" w:right="0" w:firstLine="0"/>
        <w:jc w:val="both"/>
      </w:pPr>
      <w:r>
        <w:rPr>
          <w:color w:val="000000"/>
          <w:spacing w:val="0"/>
          <w:w w:val="100"/>
          <w:position w:val="0"/>
        </w:rPr>
        <w:t>■评析</w:t>
      </w:r>
    </w:p>
    <w:p w14:paraId="68025043">
      <w:pPr>
        <w:pStyle w:val="17"/>
        <w:keepNext w:val="0"/>
        <w:keepLines w:val="0"/>
        <w:widowControl w:val="0"/>
        <w:shd w:val="clear" w:color="auto" w:fill="auto"/>
        <w:bidi w:val="0"/>
        <w:spacing w:before="0" w:after="0" w:line="425"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 xml:space="preserve">S </w:t>
      </w:r>
      <w:r>
        <w:rPr>
          <w:color w:val="000000"/>
          <w:spacing w:val="0"/>
          <w:w w:val="100"/>
          <w:position w:val="0"/>
        </w:rPr>
        <w:t>本判决的思路和意义</w:t>
      </w:r>
    </w:p>
    <w:p w14:paraId="0DEC4D4E">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本案中，再审申请人以</w:t>
      </w:r>
      <w:r>
        <w:rPr>
          <w:color w:val="000000"/>
          <w:spacing w:val="0"/>
          <w:w w:val="100"/>
          <w:position w:val="0"/>
          <w:lang w:val="zh-CN" w:eastAsia="zh-CN" w:bidi="zh-CN"/>
        </w:rPr>
        <w:t>“《物</w:t>
      </w:r>
      <w:r>
        <w:rPr>
          <w:color w:val="000000"/>
          <w:spacing w:val="0"/>
          <w:w w:val="100"/>
          <w:position w:val="0"/>
        </w:rPr>
        <w:t>权法》没有沿袭《担保法司法解释》关于混合担保人之间有 追偿权的明文规定</w:t>
      </w:r>
      <w:r>
        <w:rPr>
          <w:color w:val="000000"/>
          <w:spacing w:val="0"/>
          <w:w w:val="100"/>
          <w:position w:val="0"/>
          <w:lang w:val="zh-CN" w:eastAsia="zh-CN" w:bidi="zh-CN"/>
        </w:rPr>
        <w:t>”为由</w:t>
      </w:r>
      <w:r>
        <w:rPr>
          <w:color w:val="000000"/>
          <w:spacing w:val="0"/>
          <w:w w:val="100"/>
          <w:position w:val="0"/>
        </w:rPr>
        <w:t>，主张汇城公司对其无追偿权。但最高院并未采纳该观点，而是认 为，之前《担保法司法解释》允许混合担保人之间相互追偿,而后原《物权法》又未明文禁止 这种追偿权，故《担保法司法解释》的相关规定仍可适用。本案关于混合担保中物保人可向 保证人追偿的再审判决，表明了最高院在判决当时对该问题的态度。该判决发布后，在实 务中产生重大影响，产生了极大的争议，引发了较为剧烈的反弹，并导致后续最高院在此问 题上的完全转向。</w:t>
      </w:r>
    </w:p>
    <w:p w14:paraId="3894BB1B">
      <w:pPr>
        <w:pStyle w:val="17"/>
        <w:keepNext w:val="0"/>
        <w:keepLines w:val="0"/>
        <w:widowControl w:val="0"/>
        <w:shd w:val="clear" w:color="auto" w:fill="auto"/>
        <w:bidi w:val="0"/>
        <w:spacing w:before="0" w:after="0" w:line="425"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混合担保场合下担保人之间追偿权的规范及学理</w:t>
      </w:r>
    </w:p>
    <w:p w14:paraId="1E9634D2">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原《担保法》第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条对共同保证人之间的追偿权予以肯定,</w:t>
      </w:r>
      <w:r>
        <w:rPr>
          <w:color w:val="000000"/>
          <w:spacing w:val="0"/>
          <w:w w:val="100"/>
          <w:position w:val="0"/>
          <w:lang w:val="zh-CN" w:eastAsia="zh-CN" w:bidi="zh-CN"/>
        </w:rPr>
        <w:t>“已经</w:t>
      </w:r>
      <w:r>
        <w:rPr>
          <w:color w:val="000000"/>
          <w:spacing w:val="0"/>
          <w:w w:val="100"/>
          <w:position w:val="0"/>
        </w:rPr>
        <w:t>承担保证责任的保证 人，有权向债务人追偿，或者要求承担连带责任的其他保证人清偿其应当承担的份额”。 《担保法司法解释》第</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款对共同抵押人之间的追偿权进行了规定，第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 对混合担保中各担保人之间的追偿权给予明文许可。然而，《物权法》第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条（《民法典》 第</w:t>
      </w:r>
      <w:r>
        <w:rPr>
          <w:rFonts w:ascii="Times New Roman" w:hAnsi="Times New Roman" w:eastAsia="Times New Roman" w:cs="Times New Roman"/>
          <w:color w:val="000000"/>
          <w:spacing w:val="0"/>
          <w:w w:val="100"/>
          <w:position w:val="0"/>
          <w:sz w:val="19"/>
          <w:szCs w:val="19"/>
        </w:rPr>
        <w:t>392</w:t>
      </w:r>
      <w:r>
        <w:rPr>
          <w:color w:val="000000"/>
          <w:spacing w:val="0"/>
          <w:w w:val="100"/>
          <w:position w:val="0"/>
        </w:rPr>
        <w:t>条）对混合担保中各担保人之间能否追偿权不置可否。原《物权法》与《担保法司法 解释》在此问题上的不同立法表达，引发了学说与判例长久而热烈的争论，迄今仍未平息。</w:t>
      </w:r>
    </w:p>
    <w:p w14:paraId="301F18F2">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自原《物权法》于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年颁行以来，一种似为多数说的观点认为,混合担保人之间有相 互追偿权，理由主要包括以下几点。</w:t>
      </w:r>
    </w:p>
    <w:p w14:paraId="727F4305">
      <w:pPr>
        <w:pStyle w:val="17"/>
        <w:keepNext w:val="0"/>
        <w:keepLines w:val="0"/>
        <w:widowControl w:val="0"/>
        <w:numPr>
          <w:ilvl w:val="0"/>
          <w:numId w:val="18"/>
        </w:numPr>
        <w:shd w:val="clear" w:color="auto" w:fill="auto"/>
        <w:tabs>
          <w:tab w:val="left" w:pos="666"/>
        </w:tabs>
        <w:bidi w:val="0"/>
        <w:spacing w:before="0" w:after="0" w:line="346" w:lineRule="exact"/>
        <w:ind w:left="0" w:right="0" w:firstLine="420"/>
        <w:jc w:val="both"/>
      </w:pPr>
      <w:bookmarkStart w:id="78" w:name="bookmark264"/>
      <w:bookmarkEnd w:id="78"/>
      <w:r>
        <w:rPr>
          <w:color w:val="000000"/>
          <w:spacing w:val="0"/>
          <w:w w:val="100"/>
          <w:position w:val="0"/>
        </w:rPr>
        <w:t>基于物保、人保责任平等的连带关系说。混合担保中各担保人之间的关系与连带共 同保证人之间的关系相似，在解释上可认定其构成连带债务关系（高圣平:《混合共同担保之研 究》，载《法律科学》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2197B7D">
      <w:pPr>
        <w:pStyle w:val="17"/>
        <w:keepNext w:val="0"/>
        <w:keepLines w:val="0"/>
        <w:widowControl w:val="0"/>
        <w:numPr>
          <w:ilvl w:val="0"/>
          <w:numId w:val="18"/>
        </w:numPr>
        <w:shd w:val="clear" w:color="auto" w:fill="auto"/>
        <w:tabs>
          <w:tab w:val="left" w:pos="678"/>
        </w:tabs>
        <w:bidi w:val="0"/>
        <w:spacing w:before="0" w:after="0" w:line="346" w:lineRule="exact"/>
        <w:ind w:left="0" w:right="0" w:firstLine="420"/>
        <w:jc w:val="both"/>
      </w:pPr>
      <w:bookmarkStart w:id="79" w:name="bookmark265"/>
      <w:bookmarkEnd w:id="79"/>
      <w:r>
        <w:rPr>
          <w:color w:val="000000"/>
          <w:spacing w:val="0"/>
          <w:w w:val="100"/>
          <w:position w:val="0"/>
        </w:rPr>
        <w:t>担保竞合说。为同一债务担保的共同目标使各担保人与债权人之间建立了联系，即 担保之连带或竞合［郑冠宇:《再论担保之竞合》，载《山东科技大学学报》（社会科学版</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rPr>
        <w:t>期］。</w:t>
      </w:r>
    </w:p>
    <w:p w14:paraId="614C2FBF">
      <w:pPr>
        <w:pStyle w:val="17"/>
        <w:keepNext w:val="0"/>
        <w:keepLines w:val="0"/>
        <w:widowControl w:val="0"/>
        <w:numPr>
          <w:ilvl w:val="0"/>
          <w:numId w:val="18"/>
        </w:numPr>
        <w:shd w:val="clear" w:color="auto" w:fill="auto"/>
        <w:tabs>
          <w:tab w:val="left" w:pos="680"/>
        </w:tabs>
        <w:bidi w:val="0"/>
        <w:spacing w:before="0" w:after="280" w:line="346" w:lineRule="exact"/>
        <w:ind w:left="0" w:right="0" w:firstLine="420"/>
        <w:jc w:val="both"/>
      </w:pPr>
      <w:bookmarkStart w:id="80" w:name="bookmark266"/>
      <w:bookmarkEnd w:id="80"/>
      <w:r>
        <w:rPr>
          <w:color w:val="000000"/>
          <w:spacing w:val="0"/>
          <w:w w:val="100"/>
          <w:position w:val="0"/>
        </w:rPr>
        <w:t>债的法定移转说与代位说。担保人承担担保责任后，其取代原债权人的地位,享有原 债权的效力，自可承受原债权的担保权,故可向其他担保人追偿（程啸:《混合共同担保中担保 人的追偿权与代位权》，载《政治与法律》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5B5D6BAC">
      <w:pPr>
        <w:pStyle w:val="17"/>
        <w:keepNext w:val="0"/>
        <w:keepLines w:val="0"/>
        <w:widowControl w:val="0"/>
        <w:numPr>
          <w:ilvl w:val="0"/>
          <w:numId w:val="18"/>
        </w:numPr>
        <w:shd w:val="clear" w:color="auto" w:fill="auto"/>
        <w:tabs>
          <w:tab w:val="left" w:pos="666"/>
        </w:tabs>
        <w:bidi w:val="0"/>
        <w:spacing w:before="0" w:after="0" w:line="334" w:lineRule="exact"/>
        <w:ind w:left="0" w:right="0"/>
        <w:jc w:val="both"/>
      </w:pPr>
      <w:bookmarkStart w:id="81" w:name="bookmark267"/>
      <w:bookmarkEnd w:id="81"/>
      <w:r>
        <w:rPr>
          <w:color w:val="000000"/>
          <w:spacing w:val="0"/>
          <w:w w:val="100"/>
          <w:position w:val="0"/>
        </w:rPr>
        <w:t xml:space="preserve">解释论视角下的原规则继续有效说。自解释论立场，新颁布的法律对既有规则的 </w:t>
      </w:r>
      <w:r>
        <w:rPr>
          <w:color w:val="000000"/>
          <w:spacing w:val="0"/>
          <w:w w:val="100"/>
          <w:position w:val="0"/>
          <w:lang w:val="zh-CN" w:eastAsia="zh-CN" w:bidi="zh-CN"/>
        </w:rPr>
        <w:t>“沉默”并</w:t>
      </w:r>
      <w:r>
        <w:rPr>
          <w:color w:val="000000"/>
          <w:spacing w:val="0"/>
          <w:w w:val="100"/>
          <w:position w:val="0"/>
        </w:rPr>
        <w:t>不必然意味着是对原有规则的否定，故《担保法司法解释》第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条仍有适用空间 （黄忠：《混合共同担保之内部追偿权的证立及其展开——〈物权法〉第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条的解释论》，载《中外法 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DD73FD1">
      <w:pPr>
        <w:pStyle w:val="17"/>
        <w:keepNext w:val="0"/>
        <w:keepLines w:val="0"/>
        <w:widowControl w:val="0"/>
        <w:numPr>
          <w:ilvl w:val="0"/>
          <w:numId w:val="18"/>
        </w:numPr>
        <w:shd w:val="clear" w:color="auto" w:fill="auto"/>
        <w:tabs>
          <w:tab w:val="left" w:pos="682"/>
        </w:tabs>
        <w:bidi w:val="0"/>
        <w:spacing w:before="0" w:after="0" w:line="340" w:lineRule="exact"/>
        <w:ind w:left="0" w:right="0"/>
        <w:jc w:val="both"/>
      </w:pPr>
      <w:bookmarkStart w:id="82" w:name="bookmark268"/>
      <w:bookmarkEnd w:id="82"/>
      <w:r>
        <w:rPr>
          <w:color w:val="000000"/>
          <w:spacing w:val="0"/>
          <w:w w:val="100"/>
          <w:position w:val="0"/>
        </w:rPr>
        <w:t>交易效率说。允许追偿并未使各担保人承受超出其当初同意担保时的责任,更符合 最大多数担保人的内心真意，既可避免投机行为带来的交易成本，还可避免各担保人另行 约定而支出的交易成本（贺剑:《走出共同担保人内部追偿的</w:t>
      </w:r>
      <w:r>
        <w:rPr>
          <w:color w:val="000000"/>
          <w:spacing w:val="0"/>
          <w:w w:val="100"/>
          <w:position w:val="0"/>
          <w:lang w:val="zh-CN" w:eastAsia="zh-CN" w:bidi="zh-CN"/>
        </w:rPr>
        <w:t>“公平”误区</w:t>
      </w:r>
      <w:r>
        <w:rPr>
          <w:color w:val="000000"/>
          <w:spacing w:val="0"/>
          <w:w w:val="100"/>
          <w:position w:val="0"/>
        </w:rPr>
        <w:t>——〈物权法〉第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 解释论》，载《法学》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133AF72">
      <w:pPr>
        <w:pStyle w:val="17"/>
        <w:keepNext w:val="0"/>
        <w:keepLines w:val="0"/>
        <w:widowControl w:val="0"/>
        <w:numPr>
          <w:ilvl w:val="0"/>
          <w:numId w:val="18"/>
        </w:numPr>
        <w:shd w:val="clear" w:color="auto" w:fill="auto"/>
        <w:tabs>
          <w:tab w:val="left" w:pos="682"/>
        </w:tabs>
        <w:bidi w:val="0"/>
        <w:spacing w:before="0" w:after="0" w:line="338" w:lineRule="exact"/>
        <w:ind w:left="0" w:right="0"/>
        <w:jc w:val="both"/>
      </w:pPr>
      <w:bookmarkStart w:id="83" w:name="bookmark269"/>
      <w:bookmarkEnd w:id="83"/>
      <w:r>
        <w:rPr>
          <w:color w:val="000000"/>
          <w:spacing w:val="0"/>
          <w:w w:val="100"/>
          <w:position w:val="0"/>
        </w:rPr>
        <w:t>道德风险防范说。不允许追偿将导致共同担保中担保责任承担的无序状态，岀现不 公平的后果或者引发某一担保人转嫁担保责任的道德风险，甚至为法院执行人员任意选择 被执行人、滥用权力、索贿受贿提供可能［刘保玉:《民法典物权编（草案）担保物权部分的修改建 议》，载《法学杂志》</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004927A">
      <w:pPr>
        <w:pStyle w:val="17"/>
        <w:keepNext w:val="0"/>
        <w:keepLines w:val="0"/>
        <w:widowControl w:val="0"/>
        <w:numPr>
          <w:ilvl w:val="0"/>
          <w:numId w:val="18"/>
        </w:numPr>
        <w:shd w:val="clear" w:color="auto" w:fill="auto"/>
        <w:tabs>
          <w:tab w:val="left" w:pos="654"/>
        </w:tabs>
        <w:bidi w:val="0"/>
        <w:spacing w:before="0" w:after="0" w:line="338" w:lineRule="exact"/>
        <w:ind w:left="0" w:right="0"/>
        <w:jc w:val="both"/>
      </w:pPr>
      <w:bookmarkStart w:id="84" w:name="bookmark270"/>
      <w:bookmarkEnd w:id="84"/>
      <w:r>
        <w:rPr>
          <w:color w:val="000000"/>
          <w:spacing w:val="0"/>
          <w:w w:val="100"/>
          <w:position w:val="0"/>
        </w:rPr>
        <w:t>公平正义说。令全体担保人共担债务人不能清偿的风险，更符合公平正义理念（王利 明：《论担保物权的立法构造》，载《东方法学》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318B692F">
      <w:pPr>
        <w:pStyle w:val="17"/>
        <w:keepNext w:val="0"/>
        <w:keepLines w:val="0"/>
        <w:widowControl w:val="0"/>
        <w:shd w:val="clear" w:color="auto" w:fill="auto"/>
        <w:bidi w:val="0"/>
        <w:spacing w:before="0" w:after="0" w:line="340" w:lineRule="exact"/>
        <w:ind w:left="0" w:right="0"/>
        <w:jc w:val="both"/>
      </w:pPr>
      <w:r>
        <w:rPr>
          <w:color w:val="000000"/>
          <w:spacing w:val="0"/>
          <w:w w:val="100"/>
          <w:position w:val="0"/>
        </w:rPr>
        <w:t>不过，另一种强有力的学说仍坚持认为，混合担保人之间无相互追偿权。其理论基础 如下：</w:t>
      </w:r>
    </w:p>
    <w:p w14:paraId="65021444">
      <w:pPr>
        <w:pStyle w:val="17"/>
        <w:keepNext w:val="0"/>
        <w:keepLines w:val="0"/>
        <w:widowControl w:val="0"/>
        <w:numPr>
          <w:ilvl w:val="0"/>
          <w:numId w:val="19"/>
        </w:numPr>
        <w:shd w:val="clear" w:color="auto" w:fill="auto"/>
        <w:tabs>
          <w:tab w:val="left" w:pos="678"/>
        </w:tabs>
        <w:bidi w:val="0"/>
        <w:spacing w:before="0" w:after="0" w:line="340" w:lineRule="exact"/>
        <w:ind w:left="0" w:right="0"/>
        <w:jc w:val="both"/>
      </w:pPr>
      <w:bookmarkStart w:id="85" w:name="bookmark271"/>
      <w:bookmarkEnd w:id="85"/>
      <w:r>
        <w:rPr>
          <w:color w:val="000000"/>
          <w:spacing w:val="0"/>
          <w:w w:val="100"/>
          <w:position w:val="0"/>
        </w:rPr>
        <w:t>新法取代旧法理论。依据原《物权法》第</w:t>
      </w:r>
      <w:r>
        <w:rPr>
          <w:rFonts w:ascii="Times New Roman" w:hAnsi="Times New Roman" w:eastAsia="Times New Roman" w:cs="Times New Roman"/>
          <w:color w:val="000000"/>
          <w:spacing w:val="0"/>
          <w:w w:val="100"/>
          <w:position w:val="0"/>
          <w:sz w:val="19"/>
          <w:szCs w:val="19"/>
        </w:rPr>
        <w:t>178</w:t>
      </w:r>
      <w:r>
        <w:rPr>
          <w:color w:val="000000"/>
          <w:spacing w:val="0"/>
          <w:w w:val="100"/>
          <w:position w:val="0"/>
        </w:rPr>
        <w:t>条，原《担保法》第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条因与原《物权 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392</w:t>
      </w:r>
      <w:r>
        <w:rPr>
          <w:color w:val="000000"/>
          <w:spacing w:val="0"/>
          <w:w w:val="100"/>
          <w:position w:val="0"/>
        </w:rPr>
        <w:t>条）相冲突而失去效力，而《担保法司法解释》第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条是对 《担保法》第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条所作的解释，当然也随之失去效力［黄詰:《保证与物的担保并存时法律规则之 探讨</w:t>
      </w:r>
      <w:r>
        <w:rPr>
          <w:color w:val="000000"/>
          <w:spacing w:val="0"/>
          <w:w w:val="100"/>
          <w:position w:val="0"/>
          <w:lang w:val="en-US" w:eastAsia="en-US" w:bidi="en-US"/>
        </w:rPr>
        <w:t>一一</w:t>
      </w:r>
      <w:r>
        <w:rPr>
          <w:color w:val="000000"/>
          <w:spacing w:val="0"/>
          <w:w w:val="100"/>
          <w:position w:val="0"/>
        </w:rPr>
        <w:t>以〈物权法〉第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条的规定为中心》，载《南京大学学报》（社科版</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E296AF5">
      <w:pPr>
        <w:pStyle w:val="17"/>
        <w:keepNext w:val="0"/>
        <w:keepLines w:val="0"/>
        <w:widowControl w:val="0"/>
        <w:numPr>
          <w:ilvl w:val="0"/>
          <w:numId w:val="19"/>
        </w:numPr>
        <w:shd w:val="clear" w:color="auto" w:fill="auto"/>
        <w:tabs>
          <w:tab w:val="left" w:pos="678"/>
        </w:tabs>
        <w:bidi w:val="0"/>
        <w:spacing w:before="0" w:after="0" w:line="337" w:lineRule="exact"/>
        <w:ind w:left="0" w:right="0"/>
        <w:jc w:val="both"/>
      </w:pPr>
      <w:bookmarkStart w:id="86" w:name="bookmark272"/>
      <w:bookmarkEnd w:id="86"/>
      <w:r>
        <w:rPr>
          <w:color w:val="000000"/>
          <w:spacing w:val="0"/>
          <w:w w:val="100"/>
          <w:position w:val="0"/>
        </w:rPr>
        <w:t>风险自负理论。担保人在设定担保时均清楚自己所面临的风险，若要避免这种风险 则应釆取相应措施（如另行约定），否则不得追偿，因为担保责任属于其本该承担的风险，并 未加重其责任（江海、石冠彬:《论共同担保人内部追偿规则的构建一兼评〈物权法〉第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条》，载 《法学评论》</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1E01E12E">
      <w:pPr>
        <w:pStyle w:val="17"/>
        <w:keepNext w:val="0"/>
        <w:keepLines w:val="0"/>
        <w:widowControl w:val="0"/>
        <w:numPr>
          <w:ilvl w:val="0"/>
          <w:numId w:val="19"/>
        </w:numPr>
        <w:shd w:val="clear" w:color="auto" w:fill="auto"/>
        <w:tabs>
          <w:tab w:val="left" w:pos="678"/>
        </w:tabs>
        <w:bidi w:val="0"/>
        <w:spacing w:before="0" w:after="0" w:line="336" w:lineRule="exact"/>
        <w:ind w:left="0" w:right="0"/>
        <w:jc w:val="both"/>
      </w:pPr>
      <w:bookmarkStart w:id="87" w:name="bookmark273"/>
      <w:bookmarkEnd w:id="87"/>
      <w:r>
        <w:rPr>
          <w:color w:val="000000"/>
          <w:spacing w:val="0"/>
          <w:w w:val="100"/>
          <w:position w:val="0"/>
        </w:rPr>
        <w:t>代位求偿权否定论。若为债权转让，则已履行债务的担保人作为新债权人，就对其他 担保人享有全部担保权利,可要求其履行全部担保责任，而不是分担其应当承担的份额（李 红建、雷新勇：《人保与第三人物保的相互追偿及担保物权未设立的责任问题探讨》，载《法律适用》</w:t>
      </w:r>
      <w:r>
        <w:rPr>
          <w:rFonts w:ascii="Times New Roman" w:hAnsi="Times New Roman" w:eastAsia="Times New Roman" w:cs="Times New Roman"/>
          <w:color w:val="000000"/>
          <w:spacing w:val="0"/>
          <w:w w:val="100"/>
          <w:position w:val="0"/>
          <w:sz w:val="17"/>
          <w:szCs w:val="17"/>
        </w:rPr>
        <w:t xml:space="preserve">2014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771B446A">
      <w:pPr>
        <w:pStyle w:val="17"/>
        <w:keepNext w:val="0"/>
        <w:keepLines w:val="0"/>
        <w:widowControl w:val="0"/>
        <w:numPr>
          <w:ilvl w:val="0"/>
          <w:numId w:val="19"/>
        </w:numPr>
        <w:shd w:val="clear" w:color="auto" w:fill="auto"/>
        <w:tabs>
          <w:tab w:val="left" w:pos="680"/>
        </w:tabs>
        <w:bidi w:val="0"/>
        <w:spacing w:before="0" w:after="0" w:line="336" w:lineRule="exact"/>
        <w:ind w:left="0" w:right="0"/>
        <w:jc w:val="both"/>
      </w:pPr>
      <w:bookmarkStart w:id="88" w:name="bookmark274"/>
      <w:bookmarkEnd w:id="88"/>
      <w:r>
        <w:rPr>
          <w:color w:val="000000"/>
          <w:spacing w:val="0"/>
          <w:w w:val="100"/>
          <w:position w:val="0"/>
        </w:rPr>
        <w:t>债权人放弃第三人物保无影响论（体系解释论）。物权法规定,债权人放弃债务人物 保的，保证人在相应范围内免责，但债权人放弃第三人物保的，保证人并不能免责。可见，法 律事实上允许物保第三人完全不担责，而保证人完全担责的情形存在［曹士兵:《中国担保制度 与担保方法》（第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版），中国法制出版社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304</w:t>
      </w:r>
      <w:r>
        <w:rPr>
          <w:color w:val="000000"/>
          <w:spacing w:val="0"/>
          <w:w w:val="100"/>
          <w:position w:val="0"/>
        </w:rPr>
        <w:t>页］。</w:t>
      </w:r>
    </w:p>
    <w:p w14:paraId="0CAFD607">
      <w:pPr>
        <w:pStyle w:val="17"/>
        <w:keepNext w:val="0"/>
        <w:keepLines w:val="0"/>
        <w:widowControl w:val="0"/>
        <w:numPr>
          <w:ilvl w:val="0"/>
          <w:numId w:val="19"/>
        </w:numPr>
        <w:shd w:val="clear" w:color="auto" w:fill="auto"/>
        <w:tabs>
          <w:tab w:val="left" w:pos="687"/>
        </w:tabs>
        <w:bidi w:val="0"/>
        <w:spacing w:before="0" w:after="0" w:line="338" w:lineRule="exact"/>
        <w:ind w:left="0" w:right="0"/>
        <w:jc w:val="both"/>
      </w:pPr>
      <w:bookmarkStart w:id="89" w:name="bookmark275"/>
      <w:bookmarkEnd w:id="89"/>
      <w:r>
        <w:rPr>
          <w:color w:val="000000"/>
          <w:spacing w:val="0"/>
          <w:w w:val="100"/>
          <w:position w:val="0"/>
        </w:rPr>
        <w:t xml:space="preserve">意思自治理论。承认各担保人对所担保之债承担连带责任，实质上是法律强行在各 担保人之间设定相互担保,这显然违背担保人的初衷（崔建远:《物权法》，中国人民大学出版社 </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346</w:t>
      </w:r>
      <w:r>
        <w:rPr>
          <w:color w:val="000000"/>
          <w:spacing w:val="0"/>
          <w:w w:val="100"/>
          <w:position w:val="0"/>
        </w:rPr>
        <w:t>页）。</w:t>
      </w:r>
    </w:p>
    <w:p w14:paraId="2A840E92">
      <w:pPr>
        <w:pStyle w:val="17"/>
        <w:keepNext w:val="0"/>
        <w:keepLines w:val="0"/>
        <w:widowControl w:val="0"/>
        <w:numPr>
          <w:ilvl w:val="0"/>
          <w:numId w:val="19"/>
        </w:numPr>
        <w:shd w:val="clear" w:color="auto" w:fill="auto"/>
        <w:tabs>
          <w:tab w:val="left" w:pos="286"/>
        </w:tabs>
        <w:bidi w:val="0"/>
        <w:spacing w:before="0" w:after="0" w:line="338" w:lineRule="exact"/>
        <w:ind w:left="0" w:right="0"/>
        <w:jc w:val="both"/>
      </w:pPr>
      <w:bookmarkStart w:id="90" w:name="bookmark276"/>
      <w:bookmarkEnd w:id="90"/>
      <w:r>
        <w:rPr>
          <w:color w:val="000000"/>
          <w:spacing w:val="0"/>
          <w:w w:val="100"/>
          <w:position w:val="0"/>
        </w:rPr>
        <w:t>各担保人无共同关系理论。数项义务本无内在联系，制定法硬性</w:t>
      </w:r>
      <w:r>
        <w:rPr>
          <w:color w:val="000000"/>
          <w:spacing w:val="0"/>
          <w:w w:val="100"/>
          <w:position w:val="0"/>
          <w:lang w:val="zh-CN" w:eastAsia="zh-CN" w:bidi="zh-CN"/>
        </w:rPr>
        <w:t>“拟制”数项</w:t>
      </w:r>
      <w:r>
        <w:rPr>
          <w:color w:val="000000"/>
          <w:spacing w:val="0"/>
          <w:w w:val="100"/>
          <w:position w:val="0"/>
        </w:rPr>
        <w:t>义务具 有内在联系，人为地形成</w:t>
      </w:r>
      <w:r>
        <w:rPr>
          <w:color w:val="000000"/>
          <w:spacing w:val="0"/>
          <w:w w:val="100"/>
          <w:position w:val="0"/>
          <w:lang w:val="zh-CN" w:eastAsia="zh-CN" w:bidi="zh-CN"/>
        </w:rPr>
        <w:t>“共</w:t>
      </w:r>
      <w:r>
        <w:rPr>
          <w:color w:val="000000"/>
          <w:spacing w:val="0"/>
          <w:w w:val="100"/>
          <w:position w:val="0"/>
        </w:rPr>
        <w:t>同关系</w:t>
      </w:r>
      <w:r>
        <w:rPr>
          <w:color w:val="000000"/>
          <w:spacing w:val="0"/>
          <w:w w:val="100"/>
          <w:position w:val="0"/>
          <w:lang w:val="zh-CN" w:eastAsia="zh-CN" w:bidi="zh-CN"/>
        </w:rPr>
        <w:t>”，违</w:t>
      </w:r>
      <w:r>
        <w:rPr>
          <w:color w:val="000000"/>
          <w:spacing w:val="0"/>
          <w:w w:val="100"/>
          <w:position w:val="0"/>
        </w:rPr>
        <w:t>反债的相对性原理、自己责任原贝叭物权法目的以 及物债法律关系二分理论（崔建远:《混合共同担保人相互间无追偿权论》，载《法学研究》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DCCFC94">
      <w:pPr>
        <w:pStyle w:val="17"/>
        <w:keepNext w:val="0"/>
        <w:keepLines w:val="0"/>
        <w:widowControl w:val="0"/>
        <w:shd w:val="clear" w:color="auto" w:fill="auto"/>
        <w:bidi w:val="0"/>
        <w:spacing w:before="0" w:after="280" w:line="345" w:lineRule="exact"/>
        <w:ind w:left="0" w:right="0" w:firstLine="420"/>
        <w:jc w:val="both"/>
      </w:pPr>
      <w:r>
        <w:rPr>
          <w:color w:val="000000"/>
          <w:spacing w:val="0"/>
          <w:w w:val="100"/>
          <w:position w:val="0"/>
        </w:rPr>
        <w:t>综上所述，关于混合担保中各担保人可否相互追偿，学说上主要有肯定说和否定说两 种观点。从本案的判决书来看，其处理显然采用了肯定说的主张。在肯定说内部，支持按比 例分摊责任的则为多数说。</w:t>
      </w:r>
    </w:p>
    <w:p w14:paraId="10254044">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2358BEE1">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在原《物权法》颁行之后，在本判决之前,各级法院对此问题的裁判立场不一，既有肯定 说也有否定说。在</w:t>
      </w:r>
      <w:r>
        <w:rPr>
          <w:color w:val="000000"/>
          <w:spacing w:val="0"/>
          <w:w w:val="100"/>
          <w:position w:val="0"/>
          <w:lang w:val="zh-CN" w:eastAsia="zh-CN" w:bidi="zh-CN"/>
        </w:rPr>
        <w:t>“南京</w:t>
      </w:r>
      <w:r>
        <w:rPr>
          <w:color w:val="000000"/>
          <w:spacing w:val="0"/>
          <w:w w:val="100"/>
          <w:position w:val="0"/>
        </w:rPr>
        <w:t>能发科技集团有限公司担保追偿权纠纷上诉案”［江苏省高级人民法 院</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苏商终字第</w:t>
      </w:r>
      <w:r>
        <w:rPr>
          <w:rFonts w:ascii="Times New Roman" w:hAnsi="Times New Roman" w:eastAsia="Times New Roman" w:cs="Times New Roman"/>
          <w:color w:val="000000"/>
          <w:spacing w:val="0"/>
          <w:w w:val="100"/>
          <w:position w:val="0"/>
          <w:sz w:val="17"/>
          <w:szCs w:val="17"/>
        </w:rPr>
        <w:t>0162</w:t>
      </w:r>
      <w:r>
        <w:rPr>
          <w:color w:val="000000"/>
          <w:spacing w:val="0"/>
          <w:w w:val="100"/>
          <w:position w:val="0"/>
        </w:rPr>
        <w:t>号民事判决书］中，法院认为</w:t>
      </w:r>
      <w:r>
        <w:rPr>
          <w:color w:val="000000"/>
          <w:spacing w:val="0"/>
          <w:w w:val="100"/>
          <w:position w:val="0"/>
          <w:lang w:val="zh-CN" w:eastAsia="zh-CN" w:bidi="zh-CN"/>
        </w:rPr>
        <w:t>，“同</w:t>
      </w:r>
      <w:r>
        <w:rPr>
          <w:color w:val="000000"/>
          <w:spacing w:val="0"/>
          <w:w w:val="100"/>
          <w:position w:val="0"/>
        </w:rPr>
        <w:t>一债权上既有保证也有物的担保 的,保证与物的担保居于同一清偿顺序，承担担保责任的一方可以请求另外一方分担责 任</w:t>
      </w:r>
      <w:r>
        <w:rPr>
          <w:color w:val="000000"/>
          <w:spacing w:val="0"/>
          <w:w w:val="100"/>
          <w:position w:val="0"/>
          <w:lang w:val="zh-CN" w:eastAsia="zh-CN" w:bidi="zh-CN"/>
        </w:rPr>
        <w:t>……</w:t>
      </w:r>
      <w:r>
        <w:rPr>
          <w:color w:val="000000"/>
          <w:spacing w:val="0"/>
          <w:w w:val="100"/>
          <w:position w:val="0"/>
        </w:rPr>
        <w:t xml:space="preserve">由斯威特集团和康成公司平均分担担保义务，既符合公平原则，也符合法律规定” </w:t>
      </w:r>
      <w:r>
        <w:rPr>
          <w:rFonts w:ascii="Times New Roman" w:hAnsi="Times New Roman" w:eastAsia="Times New Roman" w:cs="Times New Roman"/>
          <w:color w:val="000000"/>
          <w:spacing w:val="0"/>
          <w:w w:val="100"/>
          <w:position w:val="0"/>
          <w:sz w:val="17"/>
          <w:szCs w:val="17"/>
          <w:lang w:val="en-US" w:eastAsia="en-US" w:bidi="en-US"/>
        </w:rPr>
        <w:t xml:space="preserve">O </w:t>
      </w:r>
      <w:r>
        <w:rPr>
          <w:color w:val="000000"/>
          <w:spacing w:val="0"/>
          <w:w w:val="100"/>
          <w:position w:val="0"/>
        </w:rPr>
        <w:t>“邹平富而通工程咨询有限公司与楚志海等担保追偿权案</w:t>
      </w:r>
      <w:r>
        <w:rPr>
          <w:color w:val="000000"/>
          <w:spacing w:val="0"/>
          <w:w w:val="100"/>
          <w:position w:val="0"/>
          <w:lang w:val="zh-CN" w:eastAsia="zh-CN" w:bidi="zh-CN"/>
        </w:rPr>
        <w:t>”［山</w:t>
      </w:r>
      <w:r>
        <w:rPr>
          <w:color w:val="000000"/>
          <w:spacing w:val="0"/>
          <w:w w:val="100"/>
          <w:position w:val="0"/>
        </w:rPr>
        <w:t>东省高级人民法院（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）鲁商 终字第</w:t>
      </w:r>
      <w:r>
        <w:rPr>
          <w:rFonts w:ascii="Times New Roman" w:hAnsi="Times New Roman" w:eastAsia="Times New Roman" w:cs="Times New Roman"/>
          <w:color w:val="000000"/>
          <w:spacing w:val="0"/>
          <w:w w:val="100"/>
          <w:position w:val="0"/>
          <w:sz w:val="17"/>
          <w:szCs w:val="17"/>
        </w:rPr>
        <w:t>214</w:t>
      </w:r>
      <w:r>
        <w:rPr>
          <w:color w:val="000000"/>
          <w:spacing w:val="0"/>
          <w:w w:val="100"/>
          <w:position w:val="0"/>
        </w:rPr>
        <w:t>号民事判决书］同样持肯定说立场。</w:t>
      </w:r>
    </w:p>
    <w:p w14:paraId="2EAFC63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相反，支持否定说的案例也不在少数。例如，在</w:t>
      </w:r>
      <w:r>
        <w:rPr>
          <w:color w:val="000000"/>
          <w:spacing w:val="0"/>
          <w:w w:val="100"/>
          <w:position w:val="0"/>
          <w:lang w:val="zh-CN" w:eastAsia="zh-CN" w:bidi="zh-CN"/>
        </w:rPr>
        <w:t>“南</w:t>
      </w:r>
      <w:r>
        <w:rPr>
          <w:color w:val="000000"/>
          <w:spacing w:val="0"/>
          <w:w w:val="100"/>
          <w:position w:val="0"/>
        </w:rPr>
        <w:t>京东部路桥工程有限公司与王军等 担保合同追偿纠纷案</w:t>
      </w:r>
      <w:r>
        <w:rPr>
          <w:color w:val="000000"/>
          <w:spacing w:val="0"/>
          <w:w w:val="100"/>
          <w:position w:val="0"/>
          <w:lang w:val="zh-CN" w:eastAsia="zh-CN" w:bidi="zh-CN"/>
        </w:rPr>
        <w:t>”［江</w:t>
      </w:r>
      <w:r>
        <w:rPr>
          <w:color w:val="000000"/>
          <w:spacing w:val="0"/>
          <w:w w:val="100"/>
          <w:position w:val="0"/>
        </w:rPr>
        <w:t>苏省南京市中级人民法院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苏</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3182</w:t>
      </w:r>
      <w:r>
        <w:rPr>
          <w:color w:val="000000"/>
          <w:spacing w:val="0"/>
          <w:w w:val="100"/>
          <w:position w:val="0"/>
        </w:rPr>
        <w:t>号民事判决书］中，法院 认为,</w:t>
      </w:r>
      <w:r>
        <w:rPr>
          <w:color w:val="000000"/>
          <w:spacing w:val="0"/>
          <w:w w:val="100"/>
          <w:position w:val="0"/>
          <w:lang w:val="zh-CN" w:eastAsia="zh-CN" w:bidi="zh-CN"/>
        </w:rPr>
        <w:t>“《物</w:t>
      </w:r>
      <w:r>
        <w:rPr>
          <w:color w:val="000000"/>
          <w:spacing w:val="0"/>
          <w:w w:val="100"/>
          <w:position w:val="0"/>
        </w:rPr>
        <w:t>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条只规定了提供担保的第三人在承担担保责任后有权向债务人追 偿，未再规定提供物权担保的第三人与保证人之间的追偿权”。另外，在</w:t>
      </w:r>
      <w:r>
        <w:rPr>
          <w:color w:val="000000"/>
          <w:spacing w:val="0"/>
          <w:w w:val="100"/>
          <w:position w:val="0"/>
          <w:lang w:val="zh-CN" w:eastAsia="zh-CN" w:bidi="zh-CN"/>
        </w:rPr>
        <w:t>“北</w:t>
      </w:r>
      <w:r>
        <w:rPr>
          <w:color w:val="000000"/>
          <w:spacing w:val="0"/>
          <w:w w:val="100"/>
          <w:position w:val="0"/>
        </w:rPr>
        <w:t>京大唐燃料有 限公司与山东百富物流有限公司等买卖合同纠纷案”［最高人民法院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371</w:t>
      </w:r>
      <w:r>
        <w:rPr>
          <w:color w:val="000000"/>
          <w:spacing w:val="0"/>
          <w:w w:val="100"/>
          <w:position w:val="0"/>
        </w:rPr>
        <w:t>号 民事判决书］中，法院亦间接承认担保人之间无相互追偿权。</w:t>
      </w:r>
    </w:p>
    <w:p w14:paraId="06DAE3F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在本判决之后，审判实务立场并未就此统一。采否定说的案例如</w:t>
      </w:r>
      <w:r>
        <w:rPr>
          <w:color w:val="000000"/>
          <w:spacing w:val="0"/>
          <w:w w:val="100"/>
          <w:position w:val="0"/>
          <w:lang w:val="zh-CN" w:eastAsia="zh-CN" w:bidi="zh-CN"/>
        </w:rPr>
        <w:t>“桐城</w:t>
      </w:r>
      <w:r>
        <w:rPr>
          <w:color w:val="000000"/>
          <w:spacing w:val="0"/>
          <w:w w:val="100"/>
          <w:position w:val="0"/>
        </w:rPr>
        <w:t>市经济开发区 建设发展有限公司等企业借贷纠纷案［安徽省高级人民法院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皖民初</w:t>
      </w:r>
      <w:r>
        <w:rPr>
          <w:rFonts w:ascii="Times New Roman" w:hAnsi="Times New Roman" w:eastAsia="Times New Roman" w:cs="Times New Roman"/>
          <w:color w:val="000000"/>
          <w:spacing w:val="0"/>
          <w:w w:val="100"/>
          <w:position w:val="0"/>
          <w:sz w:val="17"/>
          <w:szCs w:val="17"/>
        </w:rPr>
        <w:t>84</w:t>
      </w:r>
      <w:r>
        <w:rPr>
          <w:color w:val="000000"/>
          <w:spacing w:val="0"/>
          <w:w w:val="100"/>
          <w:position w:val="0"/>
        </w:rPr>
        <w:t>号民事判决书］”， 法院指出，</w:t>
      </w:r>
      <w:r>
        <w:rPr>
          <w:color w:val="000000"/>
          <w:spacing w:val="0"/>
          <w:w w:val="100"/>
          <w:position w:val="0"/>
          <w:lang w:val="zh-CN" w:eastAsia="zh-CN" w:bidi="zh-CN"/>
        </w:rPr>
        <w:t>“《物</w:t>
      </w:r>
      <w:r>
        <w:rPr>
          <w:color w:val="000000"/>
          <w:spacing w:val="0"/>
          <w:w w:val="100"/>
          <w:position w:val="0"/>
        </w:rPr>
        <w:t>权法》第</w:t>
      </w:r>
      <w:r>
        <w:rPr>
          <w:rFonts w:ascii="Times New Roman" w:hAnsi="Times New Roman" w:eastAsia="Times New Roman" w:cs="Times New Roman"/>
          <w:color w:val="000000"/>
          <w:spacing w:val="0"/>
          <w:w w:val="100"/>
          <w:position w:val="0"/>
          <w:sz w:val="19"/>
          <w:szCs w:val="19"/>
        </w:rPr>
        <w:t>178</w:t>
      </w:r>
      <w:r>
        <w:rPr>
          <w:color w:val="000000"/>
          <w:spacing w:val="0"/>
          <w:w w:val="100"/>
          <w:position w:val="0"/>
        </w:rPr>
        <w:t>条规定，担保法与本法的规定不一致的，适用</w:t>
      </w:r>
      <w:r>
        <w:rPr>
          <w:color w:val="000000"/>
          <w:spacing w:val="0"/>
          <w:w w:val="100"/>
          <w:position w:val="0"/>
          <w:lang w:val="zh-CN" w:eastAsia="zh-CN" w:bidi="zh-CN"/>
        </w:rPr>
        <w:t>本法、</w:t>
      </w:r>
      <w:r>
        <w:rPr>
          <w:color w:val="000000"/>
          <w:spacing w:val="0"/>
          <w:w w:val="100"/>
          <w:position w:val="0"/>
        </w:rPr>
        <w:t>《物权 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条规定……根据《担保法》第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条……桐城建设发展公司有权要求上述八位保 证人承担保证责任，上述八位保证人承担保证责任后，有权向债务人追偿，或者要求承担连 带责任的其他保证人清偿其应当承担的份额”。</w:t>
      </w:r>
    </w:p>
    <w:p w14:paraId="2808C200">
      <w:pPr>
        <w:pStyle w:val="17"/>
        <w:keepNext w:val="0"/>
        <w:keepLines w:val="0"/>
        <w:widowControl w:val="0"/>
        <w:shd w:val="clear" w:color="auto" w:fill="auto"/>
        <w:bidi w:val="0"/>
        <w:spacing w:before="0" w:after="0" w:line="342" w:lineRule="exact"/>
        <w:ind w:left="0" w:right="0" w:firstLine="420"/>
        <w:jc w:val="both"/>
        <w:rPr>
          <w:sz w:val="17"/>
          <w:szCs w:val="17"/>
        </w:rPr>
      </w:pPr>
      <w:r>
        <w:rPr>
          <w:color w:val="000000"/>
          <w:spacing w:val="0"/>
          <w:w w:val="100"/>
          <w:position w:val="0"/>
          <w:sz w:val="18"/>
          <w:szCs w:val="18"/>
        </w:rPr>
        <w:t>采肯定说的案例如“黄伟莹、刘红琴保证合同纠纷案”［广东省高级人民法院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8"/>
          <w:szCs w:val="18"/>
        </w:rPr>
        <w:t xml:space="preserve">粤民申 </w:t>
      </w:r>
      <w:r>
        <w:rPr>
          <w:rFonts w:ascii="Times New Roman" w:hAnsi="Times New Roman" w:eastAsia="Times New Roman" w:cs="Times New Roman"/>
          <w:color w:val="000000"/>
          <w:spacing w:val="0"/>
          <w:w w:val="100"/>
          <w:position w:val="0"/>
          <w:sz w:val="17"/>
          <w:szCs w:val="17"/>
        </w:rPr>
        <w:t>980</w:t>
      </w:r>
      <w:r>
        <w:rPr>
          <w:color w:val="000000"/>
          <w:spacing w:val="0"/>
          <w:w w:val="100"/>
          <w:position w:val="0"/>
          <w:sz w:val="18"/>
          <w:szCs w:val="18"/>
        </w:rPr>
        <w:t>号民事裁定书］，该案中法院指出</w:t>
      </w:r>
      <w:r>
        <w:rPr>
          <w:color w:val="000000"/>
          <w:spacing w:val="0"/>
          <w:w w:val="100"/>
          <w:position w:val="0"/>
          <w:sz w:val="18"/>
          <w:szCs w:val="18"/>
          <w:lang w:val="zh-CN" w:eastAsia="zh-CN" w:bidi="zh-CN"/>
        </w:rPr>
        <w:t>，“该</w:t>
      </w:r>
      <w:r>
        <w:rPr>
          <w:color w:val="000000"/>
          <w:spacing w:val="0"/>
          <w:w w:val="100"/>
          <w:position w:val="0"/>
          <w:sz w:val="18"/>
          <w:szCs w:val="18"/>
        </w:rPr>
        <w:t>条款（即《担保法司法解释》第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sz w:val="18"/>
          <w:szCs w:val="18"/>
        </w:rPr>
        <w:t xml:space="preserve">条）明确规定了混 合担保中担保人之间享有追偿权，即实际承担担保责任的担保人，无论其是履行抵押担保 责任还是履行保证担保责任，均可以要求其他担保人承担相应的责任份额” </w:t>
      </w:r>
      <w:r>
        <w:rPr>
          <w:rFonts w:ascii="Times New Roman" w:hAnsi="Times New Roman" w:eastAsia="Times New Roman" w:cs="Times New Roman"/>
          <w:color w:val="000000"/>
          <w:spacing w:val="0"/>
          <w:w w:val="100"/>
          <w:position w:val="0"/>
          <w:sz w:val="17"/>
          <w:szCs w:val="17"/>
          <w:lang w:val="en-US" w:eastAsia="en-US" w:bidi="en-US"/>
        </w:rPr>
        <w:t>O</w:t>
      </w:r>
    </w:p>
    <w:p w14:paraId="635B536A">
      <w:pPr>
        <w:pStyle w:val="17"/>
        <w:keepNext w:val="0"/>
        <w:keepLines w:val="0"/>
        <w:widowControl w:val="0"/>
        <w:shd w:val="clear" w:color="auto" w:fill="auto"/>
        <w:bidi w:val="0"/>
        <w:spacing w:before="0" w:after="140" w:line="342" w:lineRule="exact"/>
        <w:ind w:left="0" w:right="0" w:firstLine="420"/>
        <w:jc w:val="both"/>
      </w:pPr>
      <w:r>
        <w:rPr>
          <w:color w:val="000000"/>
          <w:spacing w:val="0"/>
          <w:w w:val="100"/>
          <w:position w:val="0"/>
        </w:rPr>
        <w:t>值得特别注意的是，为了统一司法尺度，《全国法院民商事审判工作会议纪要》（以下简 称《九民纪要》）第</w:t>
      </w:r>
      <w:r>
        <w:rPr>
          <w:rFonts w:ascii="Times New Roman" w:hAnsi="Times New Roman" w:eastAsia="Times New Roman" w:cs="Times New Roman"/>
          <w:color w:val="000000"/>
          <w:spacing w:val="0"/>
          <w:w w:val="100"/>
          <w:position w:val="0"/>
          <w:sz w:val="19"/>
          <w:szCs w:val="19"/>
        </w:rPr>
        <w:t>56</w:t>
      </w:r>
      <w:r>
        <w:rPr>
          <w:color w:val="000000"/>
          <w:spacing w:val="0"/>
          <w:w w:val="100"/>
          <w:position w:val="0"/>
        </w:rPr>
        <w:t>条专门对</w:t>
      </w:r>
      <w:r>
        <w:rPr>
          <w:color w:val="000000"/>
          <w:spacing w:val="0"/>
          <w:w w:val="100"/>
          <w:position w:val="0"/>
          <w:lang w:val="zh-CN" w:eastAsia="zh-CN" w:bidi="zh-CN"/>
        </w:rPr>
        <w:t>“混合</w:t>
      </w:r>
      <w:r>
        <w:rPr>
          <w:color w:val="000000"/>
          <w:spacing w:val="0"/>
          <w:w w:val="100"/>
          <w:position w:val="0"/>
        </w:rPr>
        <w:t>担保中担保人之间的追偿问题”作出规定</w:t>
      </w:r>
      <w:r>
        <w:rPr>
          <w:color w:val="000000"/>
          <w:spacing w:val="0"/>
          <w:w w:val="100"/>
          <w:position w:val="0"/>
          <w:lang w:val="zh-CN" w:eastAsia="zh-CN" w:bidi="zh-CN"/>
        </w:rPr>
        <w:t>，“可</w:t>
      </w:r>
      <w:r>
        <w:rPr>
          <w:color w:val="000000"/>
          <w:spacing w:val="0"/>
          <w:w w:val="100"/>
          <w:position w:val="0"/>
        </w:rPr>
        <w:t>以要求 其他担保人清偿其应当分担的份额。但《物权法》第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条并未作出类似规定，根据《物权 法》第</w:t>
      </w:r>
      <w:r>
        <w:rPr>
          <w:rFonts w:ascii="Times New Roman" w:hAnsi="Times New Roman" w:eastAsia="Times New Roman" w:cs="Times New Roman"/>
          <w:color w:val="000000"/>
          <w:spacing w:val="0"/>
          <w:w w:val="100"/>
          <w:position w:val="0"/>
          <w:sz w:val="19"/>
          <w:szCs w:val="19"/>
        </w:rPr>
        <w:t>178</w:t>
      </w:r>
      <w:r>
        <w:rPr>
          <w:color w:val="000000"/>
          <w:spacing w:val="0"/>
          <w:w w:val="100"/>
          <w:position w:val="0"/>
        </w:rPr>
        <w:t xml:space="preserve">条关于'担保法与本法的规定不一致的，适用本法'的规定,承担了担保责任的担 保人向其他担保人追偿的，人民法院不予支持，但担保人在担保合同中约定可以相互追偿 的除外”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本条可视为最高院在此问题上的彻底定调,即采否定说。</w:t>
      </w:r>
    </w:p>
    <w:p w14:paraId="509E0662">
      <w:pPr>
        <w:pStyle w:val="17"/>
        <w:keepNext w:val="0"/>
        <w:keepLines w:val="0"/>
        <w:widowControl w:val="0"/>
        <w:shd w:val="clear" w:color="auto" w:fill="auto"/>
        <w:bidi w:val="0"/>
        <w:spacing w:before="0" w:after="140" w:line="341"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10DB3703">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一切分歧源于成文法的暧昧不明。从原《物权法》第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条的文义解释来看，支持追偿 的肯定说和反对追偿的否定说均可成立。从历史解释和立法者（官员）的主观解释来看，否 定说占优。自体系解释而言，既然债权人放弃债务人物保的,保证人可免责，那么，债权人放 弃第三人物保的,保证人自然不可免责，故否定说同样占优。从比较法解释来看，肯定说无 疑正确。从客观的目的解释出发,肯定说或许相对占优，无论如何，多人共担风险要比一人 承受所有负担让人感觉更公平一些。事实上，肯定说与否定说的选择,不涉及真理或谬误, 毋宁是一种价值抉择。不管是选择哪一种立场,都好过于现在的模棱两可。遗憾的是，《民 法典》第</w:t>
      </w:r>
      <w:r>
        <w:rPr>
          <w:rFonts w:ascii="Times New Roman" w:hAnsi="Times New Roman" w:eastAsia="Times New Roman" w:cs="Times New Roman"/>
          <w:color w:val="000000"/>
          <w:spacing w:val="0"/>
          <w:w w:val="100"/>
          <w:position w:val="0"/>
          <w:sz w:val="19"/>
          <w:szCs w:val="19"/>
        </w:rPr>
        <w:t>392</w:t>
      </w:r>
      <w:r>
        <w:rPr>
          <w:color w:val="000000"/>
          <w:spacing w:val="0"/>
          <w:w w:val="100"/>
          <w:position w:val="0"/>
        </w:rPr>
        <w:t>条的表达与原《物权法》第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条如出一辙，立法者坚决不肯在此问题上明确 表态,以消除疑义。</w:t>
      </w:r>
    </w:p>
    <w:p w14:paraId="2965887D">
      <w:pPr>
        <w:pStyle w:val="17"/>
        <w:keepNext w:val="0"/>
        <w:keepLines w:val="0"/>
        <w:widowControl w:val="0"/>
        <w:shd w:val="clear" w:color="auto" w:fill="auto"/>
        <w:bidi w:val="0"/>
        <w:spacing w:before="0" w:after="360" w:line="341" w:lineRule="exact"/>
        <w:ind w:left="0" w:right="0"/>
        <w:jc w:val="both"/>
      </w:pPr>
      <w:r>
        <w:rPr>
          <w:color w:val="000000"/>
          <w:spacing w:val="0"/>
          <w:w w:val="100"/>
          <w:position w:val="0"/>
        </w:rPr>
        <w:t>《民法典》正式条文依然如此，那么，最高院通过《九民纪要》确立下来的否定说,在未来 相当长一段时间，将会成为审判实务的主流立场。就此而言，本判决的参考意义相当有限。 与此同时，关于此问题的争论仍将会持续下去。当然,法律不允许追偿，并不否定当事人的 追偿约定,对于交易主体来说,预防才是最好的保护，约定明确方可杜绝嗣后争议。</w:t>
      </w:r>
    </w:p>
    <w:p w14:paraId="30F3C06B">
      <w:pPr>
        <w:pStyle w:val="11"/>
        <w:keepNext w:val="0"/>
        <w:keepLines w:val="0"/>
        <w:widowControl w:val="0"/>
        <w:shd w:val="clear" w:color="auto" w:fill="auto"/>
        <w:bidi w:val="0"/>
        <w:spacing w:before="0" w:after="60" w:line="341" w:lineRule="exact"/>
        <w:ind w:left="0" w:right="0" w:firstLine="0"/>
        <w:jc w:val="both"/>
      </w:pPr>
      <w:r>
        <w:rPr>
          <w:color w:val="000000"/>
          <w:spacing w:val="0"/>
          <w:w w:val="100"/>
          <w:position w:val="0"/>
        </w:rPr>
        <w:t>回参考文献</w:t>
      </w:r>
    </w:p>
    <w:p w14:paraId="02CBDC03">
      <w:pPr>
        <w:pStyle w:val="17"/>
        <w:keepNext w:val="0"/>
        <w:keepLines w:val="0"/>
        <w:widowControl w:val="0"/>
        <w:shd w:val="clear" w:color="auto" w:fill="auto"/>
        <w:bidi w:val="0"/>
        <w:spacing w:before="0" w:after="0" w:line="331" w:lineRule="exact"/>
        <w:ind w:left="0" w:right="0" w:firstLine="0"/>
        <w:jc w:val="both"/>
      </w:pPr>
      <w:r>
        <w:rPr>
          <w:color w:val="000000"/>
          <w:spacing w:val="0"/>
          <w:w w:val="100"/>
          <w:position w:val="0"/>
        </w:rPr>
        <w:t>王利明：《民法典物权编应规定混合共同担保追偿权》，载《东方法学》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1A2047B8">
      <w:pPr>
        <w:pStyle w:val="17"/>
        <w:keepNext w:val="0"/>
        <w:keepLines w:val="0"/>
        <w:widowControl w:val="0"/>
        <w:shd w:val="clear" w:color="auto" w:fill="auto"/>
        <w:bidi w:val="0"/>
        <w:spacing w:before="0" w:after="0" w:line="331" w:lineRule="exact"/>
        <w:ind w:left="0" w:right="0" w:firstLine="0"/>
        <w:jc w:val="both"/>
      </w:pPr>
      <w:r>
        <w:rPr>
          <w:color w:val="000000"/>
          <w:spacing w:val="0"/>
          <w:w w:val="100"/>
          <w:position w:val="0"/>
        </w:rPr>
        <w:t>崔建远:《混合共同担保人相互间无追偿权论》，载《法学研究》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AD9C0C1">
      <w:pPr>
        <w:pStyle w:val="17"/>
        <w:keepNext w:val="0"/>
        <w:keepLines w:val="0"/>
        <w:widowControl w:val="0"/>
        <w:shd w:val="clear" w:color="auto" w:fill="auto"/>
        <w:bidi w:val="0"/>
        <w:spacing w:before="0" w:after="0" w:line="331" w:lineRule="exact"/>
        <w:ind w:left="180" w:right="0" w:hanging="180"/>
        <w:jc w:val="both"/>
      </w:pPr>
      <w:r>
        <w:rPr>
          <w:color w:val="000000"/>
          <w:spacing w:val="0"/>
          <w:w w:val="100"/>
          <w:position w:val="0"/>
        </w:rPr>
        <w:t>高圣平:《混合共同担保之研究</w:t>
      </w:r>
      <w:r>
        <w:rPr>
          <w:color w:val="000000"/>
          <w:spacing w:val="0"/>
          <w:w w:val="100"/>
          <w:position w:val="0"/>
          <w:lang w:val="en-US" w:eastAsia="en-US" w:bidi="en-US"/>
        </w:rPr>
        <w:t>——</w:t>
      </w:r>
      <w:r>
        <w:rPr>
          <w:color w:val="000000"/>
          <w:spacing w:val="0"/>
          <w:w w:val="100"/>
          <w:position w:val="0"/>
        </w:rPr>
        <w:t>以我国〈物权法〉第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条为分析对象》，载《法律科学》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2 </w:t>
      </w:r>
      <w:r>
        <w:rPr>
          <w:color w:val="000000"/>
          <w:spacing w:val="0"/>
          <w:w w:val="100"/>
          <w:position w:val="0"/>
        </w:rPr>
        <w:t>期。</w:t>
      </w:r>
    </w:p>
    <w:p w14:paraId="1352D4FC">
      <w:pPr>
        <w:pStyle w:val="17"/>
        <w:keepNext w:val="0"/>
        <w:keepLines w:val="0"/>
        <w:widowControl w:val="0"/>
        <w:shd w:val="clear" w:color="auto" w:fill="auto"/>
        <w:bidi w:val="0"/>
        <w:spacing w:before="0" w:after="0" w:line="311" w:lineRule="exact"/>
        <w:ind w:left="180" w:right="0" w:hanging="180"/>
        <w:jc w:val="both"/>
      </w:pPr>
      <w:r>
        <w:rPr>
          <w:color w:val="000000"/>
          <w:spacing w:val="0"/>
          <w:w w:val="100"/>
          <w:position w:val="0"/>
        </w:rPr>
        <w:t>程啸:《混合共同担保中担保人的追偿权与代位权</w:t>
      </w:r>
      <w:r>
        <w:rPr>
          <w:color w:val="000000"/>
          <w:spacing w:val="0"/>
          <w:w w:val="100"/>
          <w:position w:val="0"/>
          <w:lang w:val="en-US" w:eastAsia="en-US" w:bidi="en-US"/>
        </w:rPr>
        <w:t>一一</w:t>
      </w:r>
      <w:r>
        <w:rPr>
          <w:color w:val="000000"/>
          <w:spacing w:val="0"/>
          <w:w w:val="100"/>
          <w:position w:val="0"/>
        </w:rPr>
        <w:t>对〈物权法〉第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 xml:space="preserve">条的理解》，载《政治与法律》 </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1B6EF1AD">
      <w:pPr>
        <w:pStyle w:val="17"/>
        <w:keepNext w:val="0"/>
        <w:keepLines w:val="0"/>
        <w:widowControl w:val="0"/>
        <w:shd w:val="clear" w:color="auto" w:fill="auto"/>
        <w:bidi w:val="0"/>
        <w:spacing w:before="0" w:after="0" w:line="311" w:lineRule="exact"/>
        <w:ind w:left="180" w:right="0" w:hanging="180"/>
        <w:jc w:val="both"/>
      </w:pPr>
      <w:r>
        <w:rPr>
          <w:color w:val="000000"/>
          <w:spacing w:val="0"/>
          <w:w w:val="100"/>
          <w:position w:val="0"/>
        </w:rPr>
        <w:t>贺剑：《走出共同担保人内部追偿的</w:t>
      </w:r>
      <w:r>
        <w:rPr>
          <w:color w:val="000000"/>
          <w:spacing w:val="0"/>
          <w:w w:val="100"/>
          <w:position w:val="0"/>
          <w:lang w:val="zh-CN" w:eastAsia="zh-CN" w:bidi="zh-CN"/>
        </w:rPr>
        <w:t>“公平”误区</w:t>
      </w:r>
      <w:r>
        <w:rPr>
          <w:color w:val="000000"/>
          <w:spacing w:val="0"/>
          <w:w w:val="100"/>
          <w:position w:val="0"/>
          <w:lang w:val="en-US" w:eastAsia="en-US" w:bidi="en-US"/>
        </w:rPr>
        <w:t>一</w:t>
      </w:r>
      <w:r>
        <w:rPr>
          <w:color w:val="000000"/>
          <w:spacing w:val="0"/>
          <w:w w:val="100"/>
          <w:position w:val="0"/>
        </w:rPr>
        <w:t>一〈物权法〉第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条的解释论》，载《法学》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045E4C3">
      <w:pPr>
        <w:pStyle w:val="17"/>
        <w:keepNext w:val="0"/>
        <w:keepLines w:val="0"/>
        <w:widowControl w:val="0"/>
        <w:shd w:val="clear" w:color="auto" w:fill="auto"/>
        <w:bidi w:val="0"/>
        <w:spacing w:before="0" w:after="0" w:line="311" w:lineRule="exact"/>
        <w:ind w:left="180" w:right="0" w:hanging="180"/>
        <w:jc w:val="both"/>
      </w:pPr>
      <w:r>
        <w:rPr>
          <w:color w:val="000000"/>
          <w:spacing w:val="0"/>
          <w:w w:val="100"/>
          <w:position w:val="0"/>
        </w:rPr>
        <w:t>黄忠：《混合共同担保之内部追偿权的证立及其展开一〈物权法〉第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 xml:space="preserve">条的解释论》，载《中外法学》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CBB1C04">
      <w:pPr>
        <w:pStyle w:val="17"/>
        <w:keepNext w:val="0"/>
        <w:keepLines w:val="0"/>
        <w:widowControl w:val="0"/>
        <w:shd w:val="clear" w:color="auto" w:fill="auto"/>
        <w:bidi w:val="0"/>
        <w:spacing w:before="0" w:after="100" w:line="311" w:lineRule="exact"/>
        <w:ind w:left="180" w:right="0" w:hanging="180"/>
        <w:jc w:val="both"/>
        <w:sectPr>
          <w:headerReference r:id="rId270" w:type="default"/>
          <w:headerReference r:id="rId271" w:type="even"/>
          <w:footnotePr>
            <w:numFmt w:val="chicago"/>
          </w:footnotePr>
          <w:pgSz w:w="10099" w:h="14782"/>
          <w:pgMar w:top="1257" w:right="1018" w:bottom="1129" w:left="1055" w:header="0" w:footer="3" w:gutter="0"/>
          <w:pgNumType w:start="202"/>
          <w:cols w:space="720" w:num="1"/>
          <w:rtlGutter w:val="0"/>
          <w:docGrid w:linePitch="360" w:charSpace="0"/>
        </w:sectPr>
      </w:pPr>
      <w:r>
        <w:rPr>
          <w:color w:val="000000"/>
          <w:spacing w:val="0"/>
          <w:w w:val="100"/>
          <w:position w:val="0"/>
        </w:rPr>
        <w:t>黄詰:《保证与物的担保并存时法律规则之探讨一以〈物权法〉第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条的规定为中心》，载《南京大学 学报》（哲学人文社会科学版</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09A630B">
      <w:pPr>
        <w:widowControl w:val="0"/>
        <w:spacing w:line="1" w:lineRule="exact"/>
      </w:pPr>
      <w:r>
        <w:drawing>
          <wp:anchor distT="0" distB="0" distL="0" distR="0" simplePos="0" relativeHeight="251660288" behindDoc="0" locked="0" layoutInCell="1" allowOverlap="1">
            <wp:simplePos x="0" y="0"/>
            <wp:positionH relativeFrom="page">
              <wp:posOffset>709930</wp:posOffset>
            </wp:positionH>
            <wp:positionV relativeFrom="paragraph">
              <wp:posOffset>0</wp:posOffset>
            </wp:positionV>
            <wp:extent cx="481330" cy="408305"/>
            <wp:effectExtent l="0" t="0" r="1270" b="10795"/>
            <wp:wrapTopAndBottom/>
            <wp:docPr id="615" name="Shape 615"/>
            <wp:cNvGraphicFramePr/>
            <a:graphic xmlns:a="http://schemas.openxmlformats.org/drawingml/2006/main">
              <a:graphicData uri="http://schemas.openxmlformats.org/drawingml/2006/picture">
                <pic:pic xmlns:pic="http://schemas.openxmlformats.org/drawingml/2006/picture">
                  <pic:nvPicPr>
                    <pic:cNvPr id="615" name="Shape 615"/>
                    <pic:cNvPicPr/>
                  </pic:nvPicPr>
                  <pic:blipFill>
                    <a:blip r:embed="rId646"/>
                    <a:stretch>
                      <a:fillRect/>
                    </a:stretch>
                  </pic:blipFill>
                  <pic:spPr>
                    <a:xfrm>
                      <a:off x="0" y="0"/>
                      <a:ext cx="481330" cy="408305"/>
                    </a:xfrm>
                    <a:prstGeom prst="rect">
                      <a:avLst/>
                    </a:prstGeom>
                  </pic:spPr>
                </pic:pic>
              </a:graphicData>
            </a:graphic>
          </wp:anchor>
        </w:drawing>
      </w:r>
      <w:r>
        <mc:AlternateContent>
          <mc:Choice Requires="wps">
            <w:drawing>
              <wp:anchor distT="130810" distB="44450" distL="0" distR="0" simplePos="0" relativeHeight="251660288" behindDoc="0" locked="0" layoutInCell="1" allowOverlap="1">
                <wp:simplePos x="0" y="0"/>
                <wp:positionH relativeFrom="page">
                  <wp:posOffset>1327150</wp:posOffset>
                </wp:positionH>
                <wp:positionV relativeFrom="paragraph">
                  <wp:posOffset>130810</wp:posOffset>
                </wp:positionV>
                <wp:extent cx="1818005" cy="233045"/>
                <wp:effectExtent l="0" t="0" r="0" b="0"/>
                <wp:wrapTopAndBottom/>
                <wp:docPr id="617" name="Shape 617"/>
                <wp:cNvGraphicFramePr/>
                <a:graphic xmlns:a="http://schemas.openxmlformats.org/drawingml/2006/main">
                  <a:graphicData uri="http://schemas.microsoft.com/office/word/2010/wordprocessingShape">
                    <wps:wsp>
                      <wps:cNvSpPr txBox="1"/>
                      <wps:spPr>
                        <a:xfrm>
                          <a:off x="0" y="0"/>
                          <a:ext cx="1818005" cy="233045"/>
                        </a:xfrm>
                        <a:prstGeom prst="rect">
                          <a:avLst/>
                        </a:prstGeom>
                        <a:noFill/>
                      </wps:spPr>
                      <wps:txbx>
                        <w:txbxContent>
                          <w:p w14:paraId="0E551658">
                            <w:pPr>
                              <w:pStyle w:val="15"/>
                              <w:keepNext/>
                              <w:keepLines/>
                              <w:widowControl w:val="0"/>
                              <w:shd w:val="clear" w:color="auto" w:fill="auto"/>
                              <w:bidi w:val="0"/>
                              <w:spacing w:before="0" w:after="0" w:line="240" w:lineRule="auto"/>
                              <w:ind w:left="0" w:right="0" w:firstLine="0"/>
                              <w:jc w:val="left"/>
                            </w:pPr>
                            <w:bookmarkStart w:id="390" w:name="bookmark258"/>
                            <w:bookmarkStart w:id="391" w:name="bookmark259"/>
                            <w:bookmarkStart w:id="392" w:name="bookmark260"/>
                            <w:r>
                              <w:rPr>
                                <w:color w:val="000000"/>
                                <w:spacing w:val="0"/>
                                <w:w w:val="100"/>
                                <w:position w:val="0"/>
                              </w:rPr>
                              <w:t>混合共同担保求偿权</w:t>
                            </w:r>
                            <w:bookmarkEnd w:id="390"/>
                            <w:bookmarkEnd w:id="391"/>
                            <w:bookmarkEnd w:id="392"/>
                          </w:p>
                        </w:txbxContent>
                      </wps:txbx>
                      <wps:bodyPr wrap="none" lIns="0" tIns="0" rIns="0" bIns="0">
                        <a:noAutofit/>
                      </wps:bodyPr>
                    </wps:wsp>
                  </a:graphicData>
                </a:graphic>
              </wp:anchor>
            </w:drawing>
          </mc:Choice>
          <mc:Fallback>
            <w:pict>
              <v:shape id="Shape 617" o:spid="_x0000_s1026" o:spt="202" type="#_x0000_t202" style="position:absolute;left:0pt;margin-left:104.5pt;margin-top:10.3pt;height:18.35pt;width:143.15pt;mso-position-horizontal-relative:page;mso-wrap-distance-bottom:3.5pt;mso-wrap-distance-top:10.3pt;mso-wrap-style:none;z-index:251660288;mso-width-relative:page;mso-height-relative:page;" filled="f" stroked="f" coordsize="21600,21600" o:gfxdata="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OZd0LX&#10;AAAACQEAAA8AAAAAAAAAAQAgAAAAIgAAAGRycy9kb3ducmV2LnhtbFBLAQIUABQAAAAIAIdO4kAz&#10;C/1crwEAAHQDAAAOAAAAAAAAAAEAIAAAACYBAABkcnMvZTJvRG9jLnhtbFBLBQYAAAAABgAGAFkB&#10;AABHBQAAAAA=&#10;">
                <v:fill on="f" focussize="0,0"/>
                <v:stroke on="f"/>
                <v:imagedata o:title=""/>
                <o:lock v:ext="edit" aspectratio="f"/>
                <v:textbox inset="0mm,0mm,0mm,0mm">
                  <w:txbxContent>
                    <w:p w14:paraId="0E551658">
                      <w:pPr>
                        <w:pStyle w:val="15"/>
                        <w:keepNext/>
                        <w:keepLines/>
                        <w:widowControl w:val="0"/>
                        <w:shd w:val="clear" w:color="auto" w:fill="auto"/>
                        <w:bidi w:val="0"/>
                        <w:spacing w:before="0" w:after="0" w:line="240" w:lineRule="auto"/>
                        <w:ind w:left="0" w:right="0" w:firstLine="0"/>
                        <w:jc w:val="left"/>
                      </w:pPr>
                      <w:bookmarkStart w:id="390" w:name="bookmark258"/>
                      <w:bookmarkStart w:id="391" w:name="bookmark259"/>
                      <w:bookmarkStart w:id="392" w:name="bookmark260"/>
                      <w:r>
                        <w:rPr>
                          <w:color w:val="000000"/>
                          <w:spacing w:val="0"/>
                          <w:w w:val="100"/>
                          <w:position w:val="0"/>
                        </w:rPr>
                        <w:t>混合共同担保求偿权</w:t>
                      </w:r>
                      <w:bookmarkEnd w:id="390"/>
                      <w:bookmarkEnd w:id="391"/>
                      <w:bookmarkEnd w:id="392"/>
                    </w:p>
                  </w:txbxContent>
                </v:textbox>
                <w10:wrap type="topAndBottom"/>
              </v:shape>
            </w:pict>
          </mc:Fallback>
        </mc:AlternateContent>
      </w:r>
    </w:p>
    <w:p w14:paraId="37DADD54">
      <w:pPr>
        <w:pStyle w:val="17"/>
        <w:keepNext w:val="0"/>
        <w:keepLines w:val="0"/>
        <w:widowControl w:val="0"/>
        <w:shd w:val="clear" w:color="auto" w:fill="auto"/>
        <w:bidi w:val="0"/>
        <w:spacing w:before="0" w:after="380" w:line="329" w:lineRule="exact"/>
        <w:ind w:left="1020" w:right="0" w:firstLine="0"/>
        <w:jc w:val="both"/>
      </w:pPr>
      <w:r>
        <w:drawing>
          <wp:anchor distT="0" distB="0" distL="114300" distR="114300" simplePos="0" relativeHeight="251660288" behindDoc="0" locked="0" layoutInCell="1" allowOverlap="1">
            <wp:simplePos x="0" y="0"/>
            <wp:positionH relativeFrom="page">
              <wp:posOffset>5154295</wp:posOffset>
            </wp:positionH>
            <wp:positionV relativeFrom="paragraph">
              <wp:posOffset>63500</wp:posOffset>
            </wp:positionV>
            <wp:extent cx="579120" cy="585470"/>
            <wp:effectExtent l="0" t="0" r="5080" b="11430"/>
            <wp:wrapSquare wrapText="left"/>
            <wp:docPr id="619" name="Shape 619"/>
            <wp:cNvGraphicFramePr/>
            <a:graphic xmlns:a="http://schemas.openxmlformats.org/drawingml/2006/main">
              <a:graphicData uri="http://schemas.openxmlformats.org/drawingml/2006/picture">
                <pic:pic xmlns:pic="http://schemas.openxmlformats.org/drawingml/2006/picture">
                  <pic:nvPicPr>
                    <pic:cNvPr id="619" name="Shape 619"/>
                    <pic:cNvPicPr/>
                  </pic:nvPicPr>
                  <pic:blipFill>
                    <a:blip r:embed="rId647"/>
                    <a:stretch>
                      <a:fillRect/>
                    </a:stretch>
                  </pic:blipFill>
                  <pic:spPr>
                    <a:xfrm>
                      <a:off x="0" y="0"/>
                      <a:ext cx="579120" cy="585470"/>
                    </a:xfrm>
                    <a:prstGeom prst="rect">
                      <a:avLst/>
                    </a:prstGeom>
                  </pic:spPr>
                </pic:pic>
              </a:graphicData>
            </a:graphic>
          </wp:anchor>
        </w:drawing>
      </w:r>
      <w:r>
        <w:rPr>
          <w:color w:val="000000"/>
          <w:spacing w:val="0"/>
          <w:w w:val="100"/>
          <w:position w:val="0"/>
        </w:rPr>
        <w:t>黑龙江北大荒投资担保股份有限公司与黑龙江省建三江农垦七星 粮油工贸有限责任公司、黑龙江省建三江农垦宏达粮油工贸有限公 司等担保合同纠纷案丨《最高人民法院公报》</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w:t>
      </w:r>
    </w:p>
    <w:p w14:paraId="11C0A7CB">
      <w:pPr>
        <w:pStyle w:val="17"/>
        <w:keepNext w:val="0"/>
        <w:keepLines w:val="0"/>
        <w:widowControl w:val="0"/>
        <w:shd w:val="clear" w:color="auto" w:fill="auto"/>
        <w:bidi w:val="0"/>
        <w:spacing w:before="0" w:after="1360" w:line="240" w:lineRule="auto"/>
        <w:ind w:left="0" w:right="0" w:firstLine="0"/>
        <w:jc w:val="right"/>
      </w:pPr>
      <w:r>
        <w:rPr>
          <w:color w:val="000000"/>
          <w:spacing w:val="0"/>
          <w:w w:val="100"/>
          <w:position w:val="0"/>
        </w:rPr>
        <w:t>耿林清华大学法学院</w:t>
      </w:r>
    </w:p>
    <w:p w14:paraId="0BB0A48C">
      <w:pPr>
        <w:pStyle w:val="11"/>
        <w:keepNext w:val="0"/>
        <w:keepLines w:val="0"/>
        <w:widowControl w:val="0"/>
        <w:shd w:val="clear" w:color="auto" w:fill="auto"/>
        <w:bidi w:val="0"/>
        <w:spacing w:before="0" w:after="80" w:line="33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C2D9D23">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本案属于借款担保案件，其基本案情分为三个层次:主债权债务关系——借款合同关 系;担保合同关系;反担保合同关系。争议发生在反担保环节。本案审理经历了一审（保证 人起诉）、二审（保证人与</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个反担保公司上诉）和最高人民法院的再审（保证人申请）。</w:t>
      </w:r>
    </w:p>
    <w:p w14:paraId="50AAF08A">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关于借款合同。</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日，黑龙江省建三江农垦三江缘米业有限责任公司 （以下简称三江缘公司）向中国建设银行股份有限公司哈尔滨农垦支行（以下简称农垦建 行）贷款</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万元并签订借款合同。</w:t>
      </w:r>
    </w:p>
    <w:p w14:paraId="25DD8247">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关于担保合同。黑龙江北大荒投资担保股份有限公司（以下简称北大荒担保公司）为 三江缘公司的上述借款债务向农垦建行提供连带保证担保。</w:t>
      </w:r>
    </w:p>
    <w:p w14:paraId="46E64FF7">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关于反担保合同关系。情况比较复杂，它既有债务人提供的物的担保（机械设备、稻 谷），又有债务人法定代表人和股东等两自然人提供的物的担保（各自房产）与股权担保（在 债务人公司中拥有股权），还有</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个第三人黑龙江省建三江农垦七星粮油工贸有限责任公 司、黑龙江省建三江农垦宏达粮油工贸有限公司、黑龙江省建三江农垦华龙粮油工贸有限 责任公司、黑龙江省建三江农垦稻福米业有限公司（以下简称七星公司、宏达公司、华龙公 司、稻福公司）提供的连带保证担保。主债务人以及第三人的反担保合同均在同一天签订 </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日）。另外，主债务人与四个第三人系五户联保关系，其中任何一方作为 借款人时，其他四方均向债权人提供保证担保,或向其保证人提供反担保。</w:t>
      </w:r>
    </w:p>
    <w:p w14:paraId="6298CBF4">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上述合同签订后，农垦建行依约向三江缘公司发放了贷款，三江缘公司未按合同约定 归还</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月之后的本息，北大荒担保公司向农垦建行代偿了三江缘公司的欠款本息。</w:t>
      </w:r>
    </w:p>
    <w:p w14:paraId="1088FC84">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反担保合同签订后，三江缘公司未将出质的</w:t>
      </w:r>
      <w:r>
        <w:rPr>
          <w:rFonts w:ascii="Times New Roman" w:hAnsi="Times New Roman" w:eastAsia="Times New Roman" w:cs="Times New Roman"/>
          <w:color w:val="000000"/>
          <w:spacing w:val="0"/>
          <w:w w:val="100"/>
          <w:position w:val="0"/>
          <w:sz w:val="19"/>
          <w:szCs w:val="19"/>
        </w:rPr>
        <w:t>4560</w:t>
      </w:r>
      <w:r>
        <w:rPr>
          <w:color w:val="000000"/>
          <w:spacing w:val="0"/>
          <w:w w:val="100"/>
          <w:position w:val="0"/>
        </w:rPr>
        <w:t>吨稻谷交付农垦建行，而是存放在该 公司仓库内且未停止生产经营，农垦建行也未委托第三方对出质稻谷进行监管或者封存质 押。</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月，七星公司、宏达公司和北大荒担保公司发现三江缘公司院内的</w:t>
      </w:r>
      <w:r>
        <w:rPr>
          <w:rFonts w:ascii="Times New Roman" w:hAnsi="Times New Roman" w:eastAsia="Times New Roman" w:cs="Times New Roman"/>
          <w:color w:val="000000"/>
          <w:spacing w:val="0"/>
          <w:w w:val="100"/>
          <w:position w:val="0"/>
          <w:sz w:val="19"/>
          <w:szCs w:val="19"/>
        </w:rPr>
        <w:t>4560</w:t>
      </w:r>
      <w:r>
        <w:rPr>
          <w:color w:val="000000"/>
          <w:spacing w:val="0"/>
          <w:w w:val="100"/>
          <w:position w:val="0"/>
        </w:rPr>
        <w:t>吨稻 谷不当减少,遂向公安机关报案。经公安侦查，三江缘公司已将</w:t>
      </w:r>
      <w:r>
        <w:rPr>
          <w:rFonts w:ascii="Times New Roman" w:hAnsi="Times New Roman" w:eastAsia="Times New Roman" w:cs="Times New Roman"/>
          <w:color w:val="000000"/>
          <w:spacing w:val="0"/>
          <w:w w:val="100"/>
          <w:position w:val="0"/>
          <w:sz w:val="19"/>
          <w:szCs w:val="19"/>
        </w:rPr>
        <w:t>4560</w:t>
      </w:r>
      <w:r>
        <w:rPr>
          <w:color w:val="000000"/>
          <w:spacing w:val="0"/>
          <w:w w:val="100"/>
          <w:position w:val="0"/>
        </w:rPr>
        <w:t>吨稻谷出卖给案外人 中储粮公司。</w:t>
      </w:r>
    </w:p>
    <w:p w14:paraId="4CA42448">
      <w:pPr>
        <w:pStyle w:val="17"/>
        <w:keepNext w:val="0"/>
        <w:keepLines w:val="0"/>
        <w:widowControl w:val="0"/>
        <w:shd w:val="clear" w:color="auto" w:fill="auto"/>
        <w:bidi w:val="0"/>
        <w:spacing w:before="0" w:after="0" w:line="336" w:lineRule="exact"/>
        <w:ind w:left="0" w:right="0" w:firstLine="420"/>
        <w:jc w:val="both"/>
        <w:sectPr>
          <w:headerReference r:id="rId272" w:type="default"/>
          <w:headerReference r:id="rId273" w:type="even"/>
          <w:footnotePr>
            <w:numFmt w:val="chicago"/>
          </w:footnotePr>
          <w:pgSz w:w="10099" w:h="14782"/>
          <w:pgMar w:top="1257" w:right="1018" w:bottom="1129" w:left="1055" w:header="829" w:footer="701" w:gutter="0"/>
          <w:pgNumType w:start="222"/>
          <w:cols w:space="720" w:num="1"/>
          <w:rtlGutter w:val="0"/>
          <w:docGrid w:linePitch="360" w:charSpace="0"/>
        </w:sectPr>
      </w:pPr>
      <w:r>
        <w:rPr>
          <w:color w:val="000000"/>
          <w:spacing w:val="0"/>
          <w:w w:val="100"/>
          <w:position w:val="0"/>
        </w:rPr>
        <w:t>北大荒担保公司提起本案诉讼［黑龙江省高级人民法院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黑民终</w:t>
      </w:r>
      <w:r>
        <w:rPr>
          <w:rFonts w:ascii="Times New Roman" w:hAnsi="Times New Roman" w:eastAsia="Times New Roman" w:cs="Times New Roman"/>
          <w:color w:val="000000"/>
          <w:spacing w:val="0"/>
          <w:w w:val="100"/>
          <w:position w:val="0"/>
          <w:sz w:val="17"/>
          <w:szCs w:val="17"/>
        </w:rPr>
        <w:t>200</w:t>
      </w:r>
      <w:r>
        <w:rPr>
          <w:color w:val="000000"/>
          <w:spacing w:val="0"/>
          <w:w w:val="100"/>
          <w:position w:val="0"/>
        </w:rPr>
        <w:t xml:space="preserve">号民事判决书］，请 </w:t>
      </w:r>
    </w:p>
    <w:p w14:paraId="066A5FF2">
      <w:pPr>
        <w:pStyle w:val="17"/>
        <w:keepNext w:val="0"/>
        <w:keepLines w:val="0"/>
        <w:widowControl w:val="0"/>
        <w:shd w:val="clear" w:color="auto" w:fill="auto"/>
        <w:bidi w:val="0"/>
        <w:spacing w:before="0" w:after="0" w:line="336" w:lineRule="exact"/>
        <w:ind w:left="0" w:right="0" w:firstLine="0"/>
        <w:jc w:val="both"/>
      </w:pPr>
      <w:r>
        <w:rPr>
          <w:color w:val="000000"/>
          <w:spacing w:val="0"/>
          <w:w w:val="100"/>
          <w:position w:val="0"/>
        </w:rPr>
        <w:t>求：（</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主债务人偿还代偿款项及利息；（</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主债务人支付违约金</w:t>
      </w:r>
      <w:r>
        <w:rPr>
          <w:rFonts w:ascii="Times New Roman" w:hAnsi="Times New Roman" w:eastAsia="Times New Roman" w:cs="Times New Roman"/>
          <w:color w:val="000000"/>
          <w:spacing w:val="0"/>
          <w:w w:val="100"/>
          <w:position w:val="0"/>
          <w:sz w:val="17"/>
          <w:szCs w:val="17"/>
        </w:rPr>
        <w:t>200</w:t>
      </w:r>
      <w:r>
        <w:rPr>
          <w:color w:val="000000"/>
          <w:spacing w:val="0"/>
          <w:w w:val="100"/>
          <w:position w:val="0"/>
        </w:rPr>
        <w:t>万元；（</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四保证人对 前两项给付义务承担连带清偿责任;（</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）对两自然人抵押房产折价或拍卖、变卖的价款优先 受偿;（</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）对两自然人持有三江缘公司股权转让的价款优先受偿。</w:t>
      </w:r>
    </w:p>
    <w:p w14:paraId="4E4DE8F1">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一审判决:除主债务人应代偿款项及利息，并依约判决反担保人承担</w:t>
      </w:r>
      <w:r>
        <w:rPr>
          <w:rFonts w:ascii="Times New Roman" w:hAnsi="Times New Roman" w:eastAsia="Times New Roman" w:cs="Times New Roman"/>
          <w:color w:val="000000"/>
          <w:spacing w:val="0"/>
          <w:w w:val="100"/>
          <w:position w:val="0"/>
          <w:sz w:val="17"/>
          <w:szCs w:val="17"/>
        </w:rPr>
        <w:t>200</w:t>
      </w:r>
      <w:r>
        <w:rPr>
          <w:color w:val="000000"/>
          <w:spacing w:val="0"/>
          <w:w w:val="100"/>
          <w:position w:val="0"/>
        </w:rPr>
        <w:t>万元的违约金 责任外,另判决,担保人就二反担保自然人的房产和股权享有优先受偿权;四反担保保证人 在未成立质押的稻谷价值</w:t>
      </w:r>
      <w:r>
        <w:rPr>
          <w:rFonts w:ascii="Times New Roman" w:hAnsi="Times New Roman" w:eastAsia="Times New Roman" w:cs="Times New Roman"/>
          <w:color w:val="000000"/>
          <w:spacing w:val="0"/>
          <w:w w:val="100"/>
          <w:position w:val="0"/>
          <w:sz w:val="17"/>
          <w:szCs w:val="17"/>
        </w:rPr>
        <w:t>50%</w:t>
      </w:r>
      <w:r>
        <w:rPr>
          <w:color w:val="000000"/>
          <w:spacing w:val="0"/>
          <w:w w:val="100"/>
          <w:position w:val="0"/>
        </w:rPr>
        <w:t>范围内，扣除房产和股权清偿部分，承担连带保证责任；四保 证人承担保证责任后，有权向主债务人追偿。</w:t>
      </w:r>
    </w:p>
    <w:p w14:paraId="296F53ED">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二审判决:改判四保证人对反担保债权不承担责任，维持其他一审判决内容。二审法 院认为，四保证人对水稻质押未成立并无过错，故无须承担</w:t>
      </w:r>
      <w:r>
        <w:rPr>
          <w:rFonts w:ascii="Times New Roman" w:hAnsi="Times New Roman" w:eastAsia="Times New Roman" w:cs="Times New Roman"/>
          <w:color w:val="000000"/>
          <w:spacing w:val="0"/>
          <w:w w:val="100"/>
          <w:position w:val="0"/>
          <w:sz w:val="17"/>
          <w:szCs w:val="17"/>
        </w:rPr>
        <w:t>50%</w:t>
      </w:r>
      <w:r>
        <w:rPr>
          <w:color w:val="000000"/>
          <w:spacing w:val="0"/>
          <w:w w:val="100"/>
          <w:position w:val="0"/>
        </w:rPr>
        <w:t>的责任，且稻谷价值已超过 主债务金额，也无须承担其他责任。</w:t>
      </w:r>
    </w:p>
    <w:p w14:paraId="086A9F38">
      <w:pPr>
        <w:pStyle w:val="11"/>
        <w:keepNext w:val="0"/>
        <w:keepLines w:val="0"/>
        <w:widowControl w:val="0"/>
        <w:shd w:val="clear" w:color="auto" w:fill="auto"/>
        <w:bidi w:val="0"/>
        <w:spacing w:before="0" w:after="0"/>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67578DF">
      <w:pPr>
        <w:pStyle w:val="17"/>
        <w:keepNext w:val="0"/>
        <w:keepLines w:val="0"/>
        <w:widowControl w:val="0"/>
        <w:shd w:val="clear" w:color="auto" w:fill="auto"/>
        <w:bidi w:val="0"/>
        <w:spacing w:before="0" w:after="0" w:line="340" w:lineRule="exact"/>
        <w:ind w:left="0" w:right="0"/>
        <w:jc w:val="both"/>
      </w:pPr>
      <w:r>
        <w:rPr>
          <w:color w:val="000000"/>
          <w:spacing w:val="0"/>
          <w:w w:val="100"/>
          <w:position w:val="0"/>
        </w:rPr>
        <w:t>驳回再审申请。</w:t>
      </w:r>
    </w:p>
    <w:p w14:paraId="0C6A42AE">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最高人民法院再审认为:质权未设立时,保证人应否在质押物优先受偿的范围内免除 保证责任,是核心争议。北大荒担保公司与三江缘公司未能诚实守信积极履行生效的质押 合同义务，双方对质权未设立均存在过错，过错当事人应承担不利后果。保证合同中虽未 明确约定债务人提供水稻质押是保证人提供保证的条件，但原《物权法》对债务人提供的物 保与第三人提供的人保并存时的债权实现顺序有明确规定，保证人对先以债务人的质物清 偿债务存在合理信赖利益,北大荒担保公司怠于行使质物交付请求权损害了保证人的顺位 信赖利益，保证人应在质物优先受偿价值范围内免责。再结合三江缘公司出卖质押物所得 款项为</w:t>
      </w:r>
      <w:r>
        <w:rPr>
          <w:rFonts w:ascii="Times New Roman" w:hAnsi="Times New Roman" w:eastAsia="Times New Roman" w:cs="Times New Roman"/>
          <w:color w:val="000000"/>
          <w:spacing w:val="0"/>
          <w:w w:val="100"/>
          <w:position w:val="0"/>
          <w:sz w:val="17"/>
          <w:szCs w:val="17"/>
        </w:rPr>
        <w:t>1300</w:t>
      </w:r>
      <w:r>
        <w:rPr>
          <w:color w:val="000000"/>
          <w:spacing w:val="0"/>
          <w:w w:val="100"/>
          <w:position w:val="0"/>
        </w:rPr>
        <w:t>余万元、诉争债权金额为</w:t>
      </w:r>
      <w:r>
        <w:rPr>
          <w:rFonts w:ascii="Times New Roman" w:hAnsi="Times New Roman" w:eastAsia="Times New Roman" w:cs="Times New Roman"/>
          <w:color w:val="000000"/>
          <w:spacing w:val="0"/>
          <w:w w:val="100"/>
          <w:position w:val="0"/>
          <w:sz w:val="17"/>
          <w:szCs w:val="17"/>
        </w:rPr>
        <w:t>1000</w:t>
      </w:r>
      <w:r>
        <w:rPr>
          <w:color w:val="000000"/>
          <w:spacing w:val="0"/>
          <w:w w:val="100"/>
          <w:position w:val="0"/>
        </w:rPr>
        <w:t>万元的事实来看，二审法院判令四保证人免除保 证责任并无不当，故驳回北大荒公司再审申请。</w:t>
      </w:r>
    </w:p>
    <w:p w14:paraId="07216CD5">
      <w:pPr>
        <w:pStyle w:val="11"/>
        <w:keepNext w:val="0"/>
        <w:keepLines w:val="0"/>
        <w:widowControl w:val="0"/>
        <w:shd w:val="clear" w:color="auto" w:fill="auto"/>
        <w:bidi w:val="0"/>
        <w:spacing w:before="0" w:after="100"/>
        <w:ind w:left="0" w:right="0" w:firstLine="0"/>
        <w:jc w:val="both"/>
      </w:pPr>
      <w:r>
        <w:rPr>
          <w:color w:val="000000"/>
          <w:spacing w:val="0"/>
          <w:w w:val="100"/>
          <w:position w:val="0"/>
        </w:rPr>
        <w:t>■评析</w:t>
      </w:r>
    </w:p>
    <w:p w14:paraId="7CC3F8B0">
      <w:pPr>
        <w:pStyle w:val="17"/>
        <w:keepNext w:val="0"/>
        <w:keepLines w:val="0"/>
        <w:widowControl w:val="0"/>
        <w:shd w:val="clear" w:color="auto" w:fill="auto"/>
        <w:bidi w:val="0"/>
        <w:spacing w:before="0" w:after="100" w:line="340"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本判决争点的学说整理</w:t>
      </w:r>
    </w:p>
    <w:p w14:paraId="3CDC82AF">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现行法对所谓混合共同担保的直接规定主要是《民法典》第</w:t>
      </w:r>
      <w:r>
        <w:rPr>
          <w:rFonts w:ascii="Times New Roman" w:hAnsi="Times New Roman" w:eastAsia="Times New Roman" w:cs="Times New Roman"/>
          <w:color w:val="000000"/>
          <w:spacing w:val="0"/>
          <w:w w:val="100"/>
          <w:position w:val="0"/>
          <w:sz w:val="17"/>
          <w:szCs w:val="17"/>
        </w:rPr>
        <w:t>392</w:t>
      </w:r>
      <w:r>
        <w:rPr>
          <w:color w:val="000000"/>
          <w:spacing w:val="0"/>
          <w:w w:val="100"/>
          <w:position w:val="0"/>
        </w:rPr>
        <w:t>条。但是该条究竟应 如何理解，特别是在条文本身并未对混合共同担保做完整规定的情况下，如何通过解释来 构建规范,是艰巨的法解释工作。</w:t>
      </w:r>
    </w:p>
    <w:p w14:paraId="0EE059A4">
      <w:pPr>
        <w:pStyle w:val="17"/>
        <w:keepNext w:val="0"/>
        <w:keepLines w:val="0"/>
        <w:widowControl w:val="0"/>
        <w:shd w:val="clear" w:color="auto" w:fill="auto"/>
        <w:bidi w:val="0"/>
        <w:spacing w:before="0" w:after="0" w:line="336" w:lineRule="exact"/>
        <w:ind w:left="0" w:right="0" w:firstLine="420"/>
        <w:jc w:val="both"/>
      </w:pPr>
      <w:r>
        <w:rPr>
          <w:rFonts w:ascii="Times New Roman" w:hAnsi="Times New Roman" w:eastAsia="Times New Roman" w:cs="Times New Roman"/>
          <w:color w:val="000000"/>
          <w:spacing w:val="0"/>
          <w:w w:val="100"/>
          <w:position w:val="0"/>
          <w:sz w:val="17"/>
          <w:szCs w:val="17"/>
          <w:lang w:val="en-US" w:eastAsia="en-US" w:bidi="en-US"/>
        </w:rPr>
        <w:t>1.</w:t>
      </w:r>
      <w:r>
        <w:rPr>
          <w:color w:val="000000"/>
          <w:spacing w:val="0"/>
          <w:w w:val="100"/>
          <w:position w:val="0"/>
        </w:rPr>
        <w:t>关于主债权人与担保人之间的关系</w:t>
      </w:r>
    </w:p>
    <w:p w14:paraId="3C05EEA2">
      <w:pPr>
        <w:pStyle w:val="17"/>
        <w:keepNext w:val="0"/>
        <w:keepLines w:val="0"/>
        <w:widowControl w:val="0"/>
        <w:shd w:val="clear" w:color="auto" w:fill="auto"/>
        <w:bidi w:val="0"/>
        <w:spacing w:before="0" w:after="60" w:line="336" w:lineRule="exact"/>
        <w:ind w:left="0" w:right="0" w:firstLine="420"/>
        <w:jc w:val="both"/>
      </w:pPr>
      <w:r>
        <w:rPr>
          <w:color w:val="000000"/>
          <w:spacing w:val="0"/>
          <w:w w:val="100"/>
          <w:position w:val="0"/>
        </w:rPr>
        <w:t>学说上的观点主要有三种类型:第一，物的担保责任绝对优先说（邹海林、常敏:《债权担保 的方式和应用》，法律出版社</w:t>
      </w:r>
      <w:r>
        <w:rPr>
          <w:rFonts w:ascii="Times New Roman" w:hAnsi="Times New Roman" w:eastAsia="Times New Roman" w:cs="Times New Roman"/>
          <w:color w:val="000000"/>
          <w:spacing w:val="0"/>
          <w:w w:val="100"/>
          <w:position w:val="0"/>
          <w:sz w:val="17"/>
          <w:szCs w:val="17"/>
        </w:rPr>
        <w:t>1998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69 -70</w:t>
      </w:r>
      <w:r>
        <w:rPr>
          <w:color w:val="000000"/>
          <w:spacing w:val="0"/>
          <w:w w:val="100"/>
          <w:position w:val="0"/>
        </w:rPr>
        <w:t>页）。这也是对我国原《担保法》第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 规定的文义追随。第二，物的担保责任相对优先说（叶金强:《担保法原理》，科学出版社</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25~26</w:t>
      </w:r>
      <w:r>
        <w:rPr>
          <w:color w:val="000000"/>
          <w:spacing w:val="0"/>
          <w:w w:val="100"/>
          <w:position w:val="0"/>
        </w:rPr>
        <w:t xml:space="preserve">页）。第三，物的担保责任与人的担保责任平等说（史尚宽:《债法各论》，作者自版 </w:t>
      </w:r>
      <w:r>
        <w:rPr>
          <w:rFonts w:ascii="Times New Roman" w:hAnsi="Times New Roman" w:eastAsia="Times New Roman" w:cs="Times New Roman"/>
          <w:color w:val="000000"/>
          <w:spacing w:val="0"/>
          <w:w w:val="100"/>
          <w:position w:val="0"/>
          <w:sz w:val="17"/>
          <w:szCs w:val="17"/>
        </w:rPr>
        <w:t>1974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845</w:t>
      </w:r>
      <w:r>
        <w:rPr>
          <w:color w:val="000000"/>
          <w:spacing w:val="0"/>
          <w:w w:val="100"/>
          <w:position w:val="0"/>
        </w:rPr>
        <w:t>页）。</w:t>
      </w:r>
    </w:p>
    <w:p w14:paraId="1B97396A">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.关于担保人之间的求偿关系</w:t>
      </w:r>
    </w:p>
    <w:p w14:paraId="396EE06C">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主张</w:t>
      </w:r>
      <w:r>
        <w:rPr>
          <w:color w:val="000000"/>
          <w:spacing w:val="0"/>
          <w:w w:val="100"/>
          <w:position w:val="0"/>
          <w:lang w:val="zh-CN" w:eastAsia="zh-CN" w:bidi="zh-CN"/>
        </w:rPr>
        <w:t>“物的</w:t>
      </w:r>
      <w:r>
        <w:rPr>
          <w:color w:val="000000"/>
          <w:spacing w:val="0"/>
          <w:w w:val="100"/>
          <w:position w:val="0"/>
        </w:rPr>
        <w:t>担保责任绝对优先说</w:t>
      </w:r>
      <w:r>
        <w:rPr>
          <w:color w:val="000000"/>
          <w:spacing w:val="0"/>
          <w:w w:val="100"/>
          <w:position w:val="0"/>
          <w:lang w:val="zh-CN" w:eastAsia="zh-CN" w:bidi="zh-CN"/>
        </w:rPr>
        <w:t>”和“物的</w:t>
      </w:r>
      <w:r>
        <w:rPr>
          <w:color w:val="000000"/>
          <w:spacing w:val="0"/>
          <w:w w:val="100"/>
          <w:position w:val="0"/>
        </w:rPr>
        <w:t>担保责任相对优先说</w:t>
      </w:r>
      <w:r>
        <w:rPr>
          <w:color w:val="000000"/>
          <w:spacing w:val="0"/>
          <w:w w:val="100"/>
          <w:position w:val="0"/>
          <w:lang w:val="zh-CN" w:eastAsia="zh-CN" w:bidi="zh-CN"/>
        </w:rPr>
        <w:t>”的学</w:t>
      </w:r>
      <w:r>
        <w:rPr>
          <w:color w:val="000000"/>
          <w:spacing w:val="0"/>
          <w:w w:val="100"/>
          <w:position w:val="0"/>
        </w:rPr>
        <w:t>者认为,保证人先 为清偿时可向物上保证人主张担保物权，即可行使求偿权，但物上保证人先清偿时,因其本 应优先负责，故无向保证人行使求偿权的可能［郑玉波:《民法债编各论》（下），作者自版</w:t>
      </w:r>
      <w:r>
        <w:rPr>
          <w:rFonts w:ascii="Times New Roman" w:hAnsi="Times New Roman" w:eastAsia="Times New Roman" w:cs="Times New Roman"/>
          <w:color w:val="000000"/>
          <w:spacing w:val="0"/>
          <w:w w:val="100"/>
          <w:position w:val="0"/>
          <w:sz w:val="17"/>
          <w:szCs w:val="17"/>
        </w:rPr>
        <w:t>1981</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856</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857</w:t>
      </w:r>
      <w:r>
        <w:rPr>
          <w:color w:val="000000"/>
          <w:spacing w:val="0"/>
          <w:w w:val="100"/>
          <w:position w:val="0"/>
        </w:rPr>
        <w:t>页］。有学者认为承认担保人之间的求偿关系欠缺法理基础（胡康生主编:《中 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381 </w:t>
      </w:r>
      <w:r>
        <w:rPr>
          <w:rFonts w:ascii="Times New Roman" w:hAnsi="Times New Roman" w:eastAsia="Times New Roman" w:cs="Times New Roman"/>
          <w:color w:val="000000"/>
          <w:spacing w:val="0"/>
          <w:w w:val="100"/>
          <w:position w:val="0"/>
          <w:sz w:val="17"/>
          <w:szCs w:val="17"/>
          <w:lang w:val="en-US" w:eastAsia="en-US" w:bidi="en-US"/>
        </w:rPr>
        <w:t>-382</w:t>
      </w:r>
      <w:r>
        <w:rPr>
          <w:color w:val="000000"/>
          <w:spacing w:val="0"/>
          <w:w w:val="100"/>
          <w:position w:val="0"/>
        </w:rPr>
        <w:t>页），不宜将并存的人保与物保看 作是连带共同债务,也不能依不真正连带责任理论来合理地解释保证人与物上保证人之间 的求偿关系（李红建、雷新勇：《人保与第三人物保的相互追偿及担保物权未设立的责任问题探讨》，载 《法律适用》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2584601E">
      <w:pPr>
        <w:pStyle w:val="17"/>
        <w:keepNext w:val="0"/>
        <w:keepLines w:val="0"/>
        <w:widowControl w:val="0"/>
        <w:shd w:val="clear" w:color="auto" w:fill="auto"/>
        <w:bidi w:val="0"/>
        <w:spacing w:before="0" w:after="180" w:line="341" w:lineRule="exact"/>
        <w:ind w:left="0" w:right="0" w:firstLine="420"/>
        <w:jc w:val="both"/>
      </w:pPr>
      <w:r>
        <w:rPr>
          <w:color w:val="000000"/>
          <w:spacing w:val="0"/>
          <w:w w:val="100"/>
          <w:position w:val="0"/>
        </w:rPr>
        <w:t>主张</w:t>
      </w:r>
      <w:r>
        <w:rPr>
          <w:color w:val="000000"/>
          <w:spacing w:val="0"/>
          <w:w w:val="100"/>
          <w:position w:val="0"/>
          <w:lang w:val="zh-CN" w:eastAsia="zh-CN" w:bidi="zh-CN"/>
        </w:rPr>
        <w:t>“物</w:t>
      </w:r>
      <w:r>
        <w:rPr>
          <w:color w:val="000000"/>
          <w:spacing w:val="0"/>
          <w:w w:val="100"/>
          <w:position w:val="0"/>
        </w:rPr>
        <w:t>的担保责任与人的担保责任平等说</w:t>
      </w:r>
      <w:r>
        <w:rPr>
          <w:color w:val="000000"/>
          <w:spacing w:val="0"/>
          <w:w w:val="100"/>
          <w:position w:val="0"/>
          <w:lang w:val="zh-CN" w:eastAsia="zh-CN" w:bidi="zh-CN"/>
        </w:rPr>
        <w:t>”的学</w:t>
      </w:r>
      <w:r>
        <w:rPr>
          <w:color w:val="000000"/>
          <w:spacing w:val="0"/>
          <w:w w:val="100"/>
          <w:position w:val="0"/>
        </w:rPr>
        <w:t>者认为,物上保证人与保证人地位相 同,除合同另有约定之外，两者间应连带负担保责任，无论谁先清偿,彼此之间均发生求偿 问题。持此观点的学者在论证担保人之间的求偿关系时，多以连带债务或不真正连带债务 为其理论基础。人的担保和物的担保并存时，各担保人之间如无约定，从表面上看确实不 存在任何法律关系，但是</w:t>
      </w:r>
      <w:r>
        <w:rPr>
          <w:color w:val="000000"/>
          <w:spacing w:val="0"/>
          <w:w w:val="100"/>
          <w:position w:val="0"/>
          <w:lang w:val="zh-CN" w:eastAsia="zh-CN" w:bidi="zh-CN"/>
        </w:rPr>
        <w:t>，“为</w:t>
      </w:r>
      <w:r>
        <w:rPr>
          <w:color w:val="000000"/>
          <w:spacing w:val="0"/>
          <w:w w:val="100"/>
          <w:position w:val="0"/>
        </w:rPr>
        <w:t>同一债务担保</w:t>
      </w:r>
      <w:r>
        <w:rPr>
          <w:color w:val="000000"/>
          <w:spacing w:val="0"/>
          <w:w w:val="100"/>
          <w:position w:val="0"/>
          <w:lang w:val="zh-CN" w:eastAsia="zh-CN" w:bidi="zh-CN"/>
        </w:rPr>
        <w:t>”的</w:t>
      </w:r>
      <w:r>
        <w:rPr>
          <w:color w:val="000000"/>
          <w:spacing w:val="0"/>
          <w:w w:val="100"/>
          <w:position w:val="0"/>
        </w:rPr>
        <w:t>共同目标实际上已经使各担保人与债权人 之间建立了联系，即担保之连带或竞合［郑冠宇：《再论担保之竞合》，载《山东科技大学学报》（社 会科学版</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期］，这也是债权人在主张担保权利时可以就保证人和物上保证人之间 享有选择权的逻辑前提。有学者认为，共同保证与混合共同担保在发生机理上并无实质的 不同（黄忠：《混合共同担保之内部追偿权的证立及其展开——〈物权法〉第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条的解释论》，载《中外 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649A8AC5">
      <w:pPr>
        <w:pStyle w:val="17"/>
        <w:keepNext w:val="0"/>
        <w:keepLines w:val="0"/>
        <w:widowControl w:val="0"/>
        <w:shd w:val="clear" w:color="auto" w:fill="auto"/>
        <w:bidi w:val="0"/>
        <w:spacing w:before="0" w:after="140" w:line="341"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判例状况</w:t>
      </w:r>
    </w:p>
    <w:p w14:paraId="0BB9EA4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在原《物权法》颁布前，因最高人民法院《关于适用〈中华人民共和国担保法〉若干问题 的解释》第</w:t>
      </w:r>
      <w:r>
        <w:rPr>
          <w:rFonts w:ascii="Times New Roman" w:hAnsi="Times New Roman" w:eastAsia="Times New Roman" w:cs="Times New Roman"/>
          <w:color w:val="000000"/>
          <w:spacing w:val="0"/>
          <w:w w:val="100"/>
          <w:position w:val="0"/>
          <w:sz w:val="19"/>
          <w:szCs w:val="19"/>
        </w:rPr>
        <w:t>38</w:t>
      </w:r>
      <w:r>
        <w:rPr>
          <w:color w:val="000000"/>
          <w:spacing w:val="0"/>
          <w:w w:val="100"/>
          <w:position w:val="0"/>
        </w:rPr>
        <w:t>条明文规定了混合共同担保时的内部追偿规则，因此司法实践中就理所当然 地根据该解释的规定直接肯定各担保人之间的追偿权［如上海市第二中级人民法院（</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沪</w:t>
      </w:r>
      <w:r>
        <w:rPr>
          <w:i/>
          <w:iCs/>
          <w:color w:val="000000"/>
          <w:spacing w:val="0"/>
          <w:w w:val="100"/>
          <w:position w:val="0"/>
          <w:sz w:val="22"/>
          <w:szCs w:val="22"/>
        </w:rPr>
        <w:t xml:space="preserve">二 </w:t>
      </w:r>
      <w:r>
        <w:rPr>
          <w:color w:val="000000"/>
          <w:spacing w:val="0"/>
          <w:w w:val="100"/>
          <w:position w:val="0"/>
        </w:rPr>
        <w:t>中民三（商）初字第</w:t>
      </w:r>
      <w:r>
        <w:rPr>
          <w:rFonts w:ascii="Times New Roman" w:hAnsi="Times New Roman" w:eastAsia="Times New Roman" w:cs="Times New Roman"/>
          <w:color w:val="000000"/>
          <w:spacing w:val="0"/>
          <w:w w:val="100"/>
          <w:position w:val="0"/>
          <w:sz w:val="17"/>
          <w:szCs w:val="17"/>
        </w:rPr>
        <w:t>157</w:t>
      </w:r>
      <w:r>
        <w:rPr>
          <w:color w:val="000000"/>
          <w:spacing w:val="0"/>
          <w:w w:val="100"/>
          <w:position w:val="0"/>
        </w:rPr>
        <w:t>号民事判决书；上海市第二中级人民法院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沪二中民三（商）初字第</w:t>
      </w:r>
      <w:r>
        <w:rPr>
          <w:rFonts w:ascii="Times New Roman" w:hAnsi="Times New Roman" w:eastAsia="Times New Roman" w:cs="Times New Roman"/>
          <w:color w:val="000000"/>
          <w:spacing w:val="0"/>
          <w:w w:val="100"/>
          <w:position w:val="0"/>
          <w:sz w:val="17"/>
          <w:szCs w:val="17"/>
        </w:rPr>
        <w:t>352</w:t>
      </w:r>
      <w:r>
        <w:rPr>
          <w:color w:val="000000"/>
          <w:spacing w:val="0"/>
          <w:w w:val="100"/>
          <w:position w:val="0"/>
        </w:rPr>
        <w:t>号 民事判决书；上海市高级人民法院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rPr>
        <w:t>沪高民二（商）终字第</w:t>
      </w:r>
      <w:r>
        <w:rPr>
          <w:rFonts w:ascii="Times New Roman" w:hAnsi="Times New Roman" w:eastAsia="Times New Roman" w:cs="Times New Roman"/>
          <w:color w:val="000000"/>
          <w:spacing w:val="0"/>
          <w:w w:val="100"/>
          <w:position w:val="0"/>
          <w:sz w:val="17"/>
          <w:szCs w:val="17"/>
        </w:rPr>
        <w:t>162</w:t>
      </w:r>
      <w:r>
        <w:rPr>
          <w:color w:val="000000"/>
          <w:spacing w:val="0"/>
          <w:w w:val="100"/>
          <w:position w:val="0"/>
        </w:rPr>
        <w:t>号民事裁定书］。但在原《物权 法》颁布实施后，由于原《物权法》第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392</w:t>
      </w:r>
      <w:r>
        <w:rPr>
          <w:color w:val="000000"/>
          <w:spacing w:val="0"/>
          <w:w w:val="100"/>
          <w:position w:val="0"/>
        </w:rPr>
        <w:t>条）对混合共同担保人之间相 互追偿权的沉默态度，使学界出现了否定混合共同担保人之间相互求偿权的论断。一些权 威著述也主张</w:t>
      </w:r>
      <w:r>
        <w:rPr>
          <w:color w:val="000000"/>
          <w:spacing w:val="0"/>
          <w:w w:val="100"/>
          <w:position w:val="0"/>
          <w:lang w:val="zh-CN" w:eastAsia="zh-CN" w:bidi="zh-CN"/>
        </w:rPr>
        <w:t>，“在</w:t>
      </w:r>
      <w:r>
        <w:rPr>
          <w:color w:val="000000"/>
          <w:spacing w:val="0"/>
          <w:w w:val="100"/>
          <w:position w:val="0"/>
        </w:rPr>
        <w:t>当事人没有明确约定承担连带担保责任的情况下，规定各担保人之间相 互追偿是不妥的</w:t>
      </w:r>
      <w:r>
        <w:rPr>
          <w:color w:val="000000"/>
          <w:spacing w:val="0"/>
          <w:w w:val="100"/>
          <w:position w:val="0"/>
          <w:lang w:val="zh-CN" w:eastAsia="zh-CN" w:bidi="zh-CN"/>
        </w:rPr>
        <w:t>”（胡</w:t>
      </w:r>
      <w:r>
        <w:rPr>
          <w:color w:val="000000"/>
          <w:spacing w:val="0"/>
          <w:w w:val="100"/>
          <w:position w:val="0"/>
        </w:rPr>
        <w:t>康生主编:《中华人民共和国物权法释义》，法律出版社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381 </w:t>
      </w:r>
      <w:r>
        <w:rPr>
          <w:rFonts w:ascii="Times New Roman" w:hAnsi="Times New Roman" w:eastAsia="Times New Roman" w:cs="Times New Roman"/>
          <w:color w:val="000000"/>
          <w:spacing w:val="0"/>
          <w:w w:val="100"/>
          <w:position w:val="0"/>
          <w:sz w:val="17"/>
          <w:szCs w:val="17"/>
          <w:lang w:val="en-US" w:eastAsia="en-US" w:bidi="en-US"/>
        </w:rPr>
        <w:t xml:space="preserve">-382 </w:t>
      </w:r>
      <w:r>
        <w:rPr>
          <w:color w:val="000000"/>
          <w:spacing w:val="0"/>
          <w:w w:val="100"/>
          <w:position w:val="0"/>
        </w:rPr>
        <w:t>页）。</w:t>
      </w:r>
    </w:p>
    <w:p w14:paraId="74AAACF5">
      <w:pPr>
        <w:pStyle w:val="17"/>
        <w:keepNext w:val="0"/>
        <w:keepLines w:val="0"/>
        <w:widowControl w:val="0"/>
        <w:shd w:val="clear" w:color="auto" w:fill="auto"/>
        <w:bidi w:val="0"/>
        <w:spacing w:before="0" w:after="140" w:line="342" w:lineRule="exact"/>
        <w:ind w:left="0" w:right="0" w:firstLine="420"/>
        <w:jc w:val="both"/>
        <w:rPr>
          <w:sz w:val="17"/>
          <w:szCs w:val="17"/>
        </w:rPr>
      </w:pPr>
      <w:r>
        <w:rPr>
          <w:color w:val="000000"/>
          <w:spacing w:val="0"/>
          <w:w w:val="100"/>
          <w:position w:val="0"/>
          <w:sz w:val="18"/>
          <w:szCs w:val="18"/>
        </w:rPr>
        <w:t>受此影响，学界有观点认为，《物权法》第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9"/>
          <w:szCs w:val="19"/>
        </w:rPr>
        <w:t>392</w:t>
      </w:r>
      <w:r>
        <w:rPr>
          <w:color w:val="000000"/>
          <w:spacing w:val="0"/>
          <w:w w:val="100"/>
          <w:position w:val="0"/>
          <w:sz w:val="18"/>
          <w:szCs w:val="18"/>
        </w:rPr>
        <w:t>条）的立法原意是否 定在担保人之间互设追偿。但是，在司法实务中不同法院对此有不同的解读，因此所作判 决也有所不同。个别法院在具体审理案件过程中认为在人的担保和第三人提供的物的担 保并存时，承担了担保责任的担保人能否向其他担保人追偿,应当首先取决于当事人的约 定。如没有约定或约定不明,则只能向债务人追偿［如江苏省南京市中级人民法院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8"/>
          <w:szCs w:val="18"/>
        </w:rPr>
        <w:t>苏</w:t>
      </w:r>
      <w:r>
        <w:rPr>
          <w:rFonts w:ascii="Times New Roman" w:hAnsi="Times New Roman" w:eastAsia="Times New Roman" w:cs="Times New Roman"/>
          <w:color w:val="000000"/>
          <w:spacing w:val="0"/>
          <w:w w:val="100"/>
          <w:position w:val="0"/>
          <w:sz w:val="17"/>
          <w:szCs w:val="17"/>
        </w:rPr>
        <w:t>01</w:t>
      </w:r>
    </w:p>
    <w:p w14:paraId="53BBFC08">
      <w:pPr>
        <w:pStyle w:val="17"/>
        <w:keepNext w:val="0"/>
        <w:keepLines w:val="0"/>
        <w:widowControl w:val="0"/>
        <w:shd w:val="clear" w:color="auto" w:fill="auto"/>
        <w:bidi w:val="0"/>
        <w:spacing w:before="0" w:after="160" w:line="346" w:lineRule="exact"/>
        <w:ind w:left="0" w:right="0" w:firstLine="0"/>
        <w:jc w:val="both"/>
      </w:pP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3182</w:t>
      </w:r>
      <w:r>
        <w:rPr>
          <w:color w:val="000000"/>
          <w:spacing w:val="0"/>
          <w:w w:val="100"/>
          <w:position w:val="0"/>
        </w:rPr>
        <w:t>号民事判决书］。但是，也有相当一部分的判决仍然沿袭最高人民法院《关于适用 〈中华人民共和国担保法〉若干问题的解释》第</w:t>
      </w:r>
      <w:r>
        <w:rPr>
          <w:rFonts w:ascii="Times New Roman" w:hAnsi="Times New Roman" w:eastAsia="Times New Roman" w:cs="Times New Roman"/>
          <w:color w:val="000000"/>
          <w:spacing w:val="0"/>
          <w:w w:val="100"/>
          <w:position w:val="0"/>
          <w:sz w:val="17"/>
          <w:szCs w:val="17"/>
        </w:rPr>
        <w:t>38</w:t>
      </w:r>
      <w:r>
        <w:rPr>
          <w:color w:val="000000"/>
          <w:spacing w:val="0"/>
          <w:w w:val="100"/>
          <w:position w:val="0"/>
        </w:rPr>
        <w:t>条的立场，肯定了混合共同担保情形下各 担保人之间的追偿权［重庆市渝中区人民法院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中区法民初字第</w:t>
      </w:r>
      <w:r>
        <w:rPr>
          <w:rFonts w:ascii="Times New Roman" w:hAnsi="Times New Roman" w:eastAsia="Times New Roman" w:cs="Times New Roman"/>
          <w:color w:val="000000"/>
          <w:spacing w:val="0"/>
          <w:w w:val="100"/>
          <w:position w:val="0"/>
          <w:sz w:val="17"/>
          <w:szCs w:val="17"/>
        </w:rPr>
        <w:t>02315</w:t>
      </w:r>
      <w:r>
        <w:rPr>
          <w:color w:val="000000"/>
          <w:spacing w:val="0"/>
          <w:w w:val="100"/>
          <w:position w:val="0"/>
        </w:rPr>
        <w:t>号民事判决书；新疆维 吾尔自治区乌鲁木齐市中级人民法院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乌中民四终字第</w:t>
      </w:r>
      <w:r>
        <w:rPr>
          <w:rFonts w:ascii="Times New Roman" w:hAnsi="Times New Roman" w:eastAsia="Times New Roman" w:cs="Times New Roman"/>
          <w:color w:val="000000"/>
          <w:spacing w:val="0"/>
          <w:w w:val="100"/>
          <w:position w:val="0"/>
          <w:sz w:val="17"/>
          <w:szCs w:val="17"/>
        </w:rPr>
        <w:t>1303</w:t>
      </w:r>
      <w:r>
        <w:rPr>
          <w:color w:val="000000"/>
          <w:spacing w:val="0"/>
          <w:w w:val="100"/>
          <w:position w:val="0"/>
        </w:rPr>
        <w:t>号民事判决书］。</w:t>
      </w:r>
    </w:p>
    <w:p w14:paraId="43277A96">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本案例作者观点</w:t>
      </w:r>
    </w:p>
    <w:p w14:paraId="69BC430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担保人无论是同时还是先后订立担保合同，无论是否相互知晓，也无论是提供人的担 保还是物的担保,以担保同一债务清偿为目的，且其担保处于同一位阶的多数担保人，均对 债权人承担连带担保责任。债务人未清偿到期债务时，债权人有权选择任何一个担保人， 要求其承担一部或全部担保责任。担保人向债权人清偿债务后，债权人对债务人的债权即 转移给该担保人。担保人在清偿对债权人的债务后，各担保人应平均对受清偿的债务承担 责任。清偿债务的担保人有权向其他担保人追偿;其中一担保人无法分担的，其他担保人 对该无法分担部分应平均承担责任。物的担保人于分担时在担保债务范围内以物的实际 价值为限分担责任。</w:t>
      </w:r>
    </w:p>
    <w:p w14:paraId="09021E6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向债权人清偿债务的担保人可选择直接向主债务人追偿，但不能追偿部分仍应由其他 担保人平均分担。债权人放弃对一担保人的责任导致其他担保人无法充分追偿的，其他担 保人在其放弃范围内免除清偿责任。放弃应有明确的意思表示，且须满足必要的权利消灭 的实质与程序要件。债务人自己提供物的担保时，债权人也有权选择要求债务人以外的担 保人向自己履行。其他担保人履行清偿义务后，有权直接要求未履行清偿义务的其他担保 人予以平均分担。</w:t>
      </w:r>
    </w:p>
    <w:p w14:paraId="0C20F4C9">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法律规定的债权人与担保人之间的外部关系以及担促人之间的内部关系，均可由各当 事人通过约定予以排除，但约定不明时仍适用法定规则</w:t>
      </w:r>
    </w:p>
    <w:p w14:paraId="4ADDF735">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lang w:val="en-US" w:eastAsia="en-US" w:bidi="en-US"/>
        </w:rPr>
        <w:t>®</w:t>
      </w:r>
      <w:r>
        <w:rPr>
          <w:color w:val="000000"/>
          <w:spacing w:val="0"/>
          <w:w w:val="100"/>
          <w:position w:val="0"/>
        </w:rPr>
        <w:t>本案相关问题的理想结果</w:t>
      </w:r>
    </w:p>
    <w:p w14:paraId="26E25EE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本案审理结果基本代表了实务界的主流观点,其方法是对现行法规定做偏童文文的解 释。但从公正合理的角度出发，本案对现行法的解释仍有值得改进之处。</w:t>
      </w:r>
    </w:p>
    <w:p w14:paraId="1673D8DB">
      <w:pPr>
        <w:pStyle w:val="17"/>
        <w:keepNext w:val="0"/>
        <w:keepLines w:val="0"/>
        <w:widowControl w:val="0"/>
        <w:numPr>
          <w:ilvl w:val="0"/>
          <w:numId w:val="20"/>
        </w:numPr>
        <w:shd w:val="clear" w:color="auto" w:fill="auto"/>
        <w:tabs>
          <w:tab w:val="left" w:pos="682"/>
        </w:tabs>
        <w:bidi w:val="0"/>
        <w:spacing w:before="0" w:after="0" w:line="343" w:lineRule="exact"/>
        <w:ind w:left="0" w:right="0" w:firstLine="420"/>
        <w:jc w:val="both"/>
      </w:pPr>
      <w:bookmarkStart w:id="91" w:name="bookmark277"/>
      <w:bookmarkEnd w:id="91"/>
      <w:r>
        <w:rPr>
          <w:color w:val="000000"/>
          <w:spacing w:val="0"/>
          <w:w w:val="100"/>
          <w:position w:val="0"/>
        </w:rPr>
        <w:t>主债务人提供的物的担保与第三担保人之间的关系。三江缘公司作为主债务人提供 了水稻做物的担保。作为保证人，为什么必须在主债务人的物保之外承担责任？《民法典》 第</w:t>
      </w:r>
      <w:r>
        <w:rPr>
          <w:rFonts w:ascii="Times New Roman" w:hAnsi="Times New Roman" w:eastAsia="Times New Roman" w:cs="Times New Roman"/>
          <w:color w:val="000000"/>
          <w:spacing w:val="0"/>
          <w:w w:val="100"/>
          <w:position w:val="0"/>
          <w:sz w:val="17"/>
          <w:szCs w:val="17"/>
        </w:rPr>
        <w:t>392</w:t>
      </w:r>
      <w:r>
        <w:rPr>
          <w:color w:val="000000"/>
          <w:spacing w:val="0"/>
          <w:w w:val="100"/>
          <w:position w:val="0"/>
        </w:rPr>
        <w:t>条的顺序有无例外？此其一。其是否意味着保证人应在物保范围之外承担责任？此 其二。未设立之物保，为何应由债权人（本案主债务人的担保人）来承担全部责任？这些问 题，均须从整个担保各方的利益关系中作出公正解答,而非简单地从已有条文的字面获取 规则。</w:t>
      </w:r>
    </w:p>
    <w:p w14:paraId="67C5F77B">
      <w:pPr>
        <w:pStyle w:val="17"/>
        <w:keepNext w:val="0"/>
        <w:keepLines w:val="0"/>
        <w:widowControl w:val="0"/>
        <w:numPr>
          <w:ilvl w:val="0"/>
          <w:numId w:val="20"/>
        </w:numPr>
        <w:shd w:val="clear" w:color="auto" w:fill="auto"/>
        <w:tabs>
          <w:tab w:val="left" w:pos="680"/>
        </w:tabs>
        <w:bidi w:val="0"/>
        <w:spacing w:before="0" w:after="160" w:line="348" w:lineRule="exact"/>
        <w:ind w:left="0" w:right="0" w:firstLine="420"/>
        <w:jc w:val="both"/>
      </w:pPr>
      <w:bookmarkStart w:id="92" w:name="bookmark278"/>
      <w:bookmarkEnd w:id="92"/>
      <w:r>
        <w:rPr>
          <w:color w:val="000000"/>
          <w:spacing w:val="0"/>
          <w:w w:val="100"/>
          <w:position w:val="0"/>
        </w:rPr>
        <w:t>保证人与提供物保的第三人之间的关系。原《担保法》第</w:t>
      </w:r>
      <w:r>
        <w:rPr>
          <w:rFonts w:ascii="Times New Roman" w:hAnsi="Times New Roman" w:eastAsia="Times New Roman" w:cs="Times New Roman"/>
          <w:color w:val="000000"/>
          <w:spacing w:val="0"/>
          <w:w w:val="100"/>
          <w:position w:val="0"/>
          <w:sz w:val="17"/>
          <w:szCs w:val="17"/>
        </w:rPr>
        <w:t>28</w:t>
      </w:r>
      <w:r>
        <w:rPr>
          <w:color w:val="000000"/>
          <w:spacing w:val="0"/>
          <w:w w:val="100"/>
          <w:position w:val="0"/>
        </w:rPr>
        <w:t>条规定保证人就物的担 保以外的债权承担责任，但是该规则已被《民法典》第</w:t>
      </w:r>
      <w:r>
        <w:rPr>
          <w:rFonts w:ascii="Times New Roman" w:hAnsi="Times New Roman" w:eastAsia="Times New Roman" w:cs="Times New Roman"/>
          <w:color w:val="000000"/>
          <w:spacing w:val="0"/>
          <w:w w:val="100"/>
          <w:position w:val="0"/>
          <w:sz w:val="17"/>
          <w:szCs w:val="17"/>
        </w:rPr>
        <w:t>392</w:t>
      </w:r>
      <w:r>
        <w:rPr>
          <w:color w:val="000000"/>
          <w:spacing w:val="0"/>
          <w:w w:val="100"/>
          <w:position w:val="0"/>
        </w:rPr>
        <w:t>条修正，同为第三人时让债权人 选择，也就是说，他们彼此都是平等的。因此，一审、二审均让两自然人优先承担担保责任， 并不妥当。</w:t>
      </w:r>
    </w:p>
    <w:p w14:paraId="28BEB4CC">
      <w:pPr>
        <w:pStyle w:val="17"/>
        <w:keepNext w:val="0"/>
        <w:keepLines w:val="0"/>
        <w:widowControl w:val="0"/>
        <w:numPr>
          <w:ilvl w:val="0"/>
          <w:numId w:val="20"/>
        </w:numPr>
        <w:shd w:val="clear" w:color="auto" w:fill="auto"/>
        <w:tabs>
          <w:tab w:val="left" w:pos="680"/>
        </w:tabs>
        <w:bidi w:val="0"/>
        <w:spacing w:before="0" w:after="0" w:line="341" w:lineRule="exact"/>
        <w:ind w:left="0" w:right="0" w:firstLine="420"/>
        <w:jc w:val="both"/>
      </w:pPr>
      <w:bookmarkStart w:id="93" w:name="bookmark279"/>
      <w:bookmarkEnd w:id="93"/>
      <w:r>
        <w:rPr>
          <w:color w:val="000000"/>
          <w:spacing w:val="0"/>
          <w:w w:val="100"/>
          <w:position w:val="0"/>
        </w:rPr>
        <w:t>本案案情所掩盖的追偿问题。由于二审和再审均让四保证人不再承担保证责任，故 不发生与物保人的相互追偿问题。并且,判决四保证人承担责任的一审判决也只是允许四 保证人向主债务人追偿，而未允许物保人向保证人追偿，也未允许保证人之间彼此追偿。 究其根源，当时《物权法》第</w:t>
      </w:r>
      <w:r>
        <w:rPr>
          <w:rFonts w:ascii="Times New Roman" w:hAnsi="Times New Roman" w:eastAsia="Times New Roman" w:cs="Times New Roman"/>
          <w:color w:val="000000"/>
          <w:spacing w:val="0"/>
          <w:w w:val="100"/>
          <w:position w:val="0"/>
          <w:sz w:val="19"/>
          <w:szCs w:val="19"/>
        </w:rPr>
        <w:t>176</w:t>
      </w:r>
      <w:r>
        <w:rPr>
          <w:color w:val="000000"/>
          <w:spacing w:val="0"/>
          <w:w w:val="100"/>
          <w:position w:val="0"/>
        </w:rPr>
        <w:t>条未明文规定向主债务人追偿以外的其他追偿情形。第三 人作为物保人与作为保证人既然处于同一地位,可任由债权人选择承担责任，自然就应无 地位差异，处于</w:t>
      </w:r>
      <w:r>
        <w:rPr>
          <w:color w:val="000000"/>
          <w:spacing w:val="0"/>
          <w:w w:val="100"/>
          <w:position w:val="0"/>
          <w:lang w:val="zh-CN" w:eastAsia="zh-CN" w:bidi="zh-CN"/>
        </w:rPr>
        <w:t>“共同”清</w:t>
      </w:r>
      <w:r>
        <w:rPr>
          <w:color w:val="000000"/>
          <w:spacing w:val="0"/>
          <w:w w:val="100"/>
          <w:position w:val="0"/>
        </w:rPr>
        <w:t>偿地位，即连带责任关系。一人承担超过自己应担份额以外的部 分向其他</w:t>
      </w:r>
      <w:r>
        <w:rPr>
          <w:color w:val="000000"/>
          <w:spacing w:val="0"/>
          <w:w w:val="100"/>
          <w:position w:val="0"/>
          <w:lang w:val="zh-CN" w:eastAsia="zh-CN" w:bidi="zh-CN"/>
        </w:rPr>
        <w:t>“共同”责</w:t>
      </w:r>
      <w:r>
        <w:rPr>
          <w:color w:val="000000"/>
          <w:spacing w:val="0"/>
          <w:w w:val="100"/>
          <w:position w:val="0"/>
        </w:rPr>
        <w:t>任追偿，符合基本正义精神，也可从现行法规范中解释出来。</w:t>
      </w:r>
    </w:p>
    <w:p w14:paraId="0EAD5047">
      <w:pPr>
        <w:pStyle w:val="17"/>
        <w:keepNext w:val="0"/>
        <w:keepLines w:val="0"/>
        <w:widowControl w:val="0"/>
        <w:numPr>
          <w:ilvl w:val="0"/>
          <w:numId w:val="20"/>
        </w:numPr>
        <w:shd w:val="clear" w:color="auto" w:fill="auto"/>
        <w:tabs>
          <w:tab w:val="left" w:pos="682"/>
        </w:tabs>
        <w:bidi w:val="0"/>
        <w:spacing w:before="0" w:after="380" w:line="341" w:lineRule="exact"/>
        <w:ind w:left="0" w:right="0" w:firstLine="420"/>
        <w:jc w:val="both"/>
      </w:pPr>
      <w:bookmarkStart w:id="94" w:name="bookmark280"/>
      <w:bookmarkEnd w:id="94"/>
      <w:r>
        <w:rPr>
          <w:color w:val="000000"/>
          <w:spacing w:val="0"/>
          <w:w w:val="100"/>
          <w:position w:val="0"/>
        </w:rPr>
        <w:t>混合共同担保以外的“违约金”问题。保证合同中约定,</w:t>
      </w:r>
      <w:r>
        <w:rPr>
          <w:color w:val="000000"/>
          <w:spacing w:val="0"/>
          <w:w w:val="100"/>
          <w:position w:val="0"/>
          <w:lang w:val="zh-CN" w:eastAsia="zh-CN" w:bidi="zh-CN"/>
        </w:rPr>
        <w:t>“任何</w:t>
      </w:r>
      <w:r>
        <w:rPr>
          <w:color w:val="000000"/>
          <w:spacing w:val="0"/>
          <w:w w:val="100"/>
          <w:position w:val="0"/>
        </w:rPr>
        <w:t>一方违反本合同之部 分或全部即构成违约，违约方须向守约方支付反担保金额总额</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的违约金”，主债务人和 两自然人因违反约定的“通知义务</w:t>
      </w:r>
      <w:r>
        <w:rPr>
          <w:color w:val="000000"/>
          <w:spacing w:val="0"/>
          <w:w w:val="100"/>
          <w:position w:val="0"/>
          <w:lang w:val="zh-CN" w:eastAsia="zh-CN" w:bidi="zh-CN"/>
        </w:rPr>
        <w:t>”，被</w:t>
      </w:r>
      <w:r>
        <w:rPr>
          <w:color w:val="000000"/>
          <w:spacing w:val="0"/>
          <w:w w:val="100"/>
          <w:position w:val="0"/>
        </w:rPr>
        <w:t>判决另行承担不属于担保责任的</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万元违约金责 任。担保合同中担保人的责任基础是被担保人的债权，或如本案,是担保人承担保证责任 后的责任范围，担保人或反担保人只应就此承担责任。额外的违约责任约定并无正当理 由，也为《全国法院民商事审判工作会议纪要》［法</w:t>
      </w:r>
      <w:r>
        <w:rPr>
          <w:rFonts w:ascii="Times New Roman" w:hAnsi="Times New Roman" w:eastAsia="Times New Roman" w:cs="Times New Roman"/>
          <w:color w:val="000000"/>
          <w:spacing w:val="0"/>
          <w:w w:val="100"/>
          <w:position w:val="0"/>
          <w:sz w:val="19"/>
          <w:szCs w:val="19"/>
        </w:rPr>
        <w:t>(2019)254</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条所否定。</w:t>
      </w:r>
    </w:p>
    <w:p w14:paraId="0BE36ABD">
      <w:pPr>
        <w:pStyle w:val="11"/>
        <w:keepNext w:val="0"/>
        <w:keepLines w:val="0"/>
        <w:widowControl w:val="0"/>
        <w:shd w:val="clear" w:color="auto" w:fill="auto"/>
        <w:bidi w:val="0"/>
        <w:spacing w:before="0" w:after="40" w:line="341" w:lineRule="exact"/>
        <w:ind w:left="0" w:right="0" w:firstLine="0"/>
        <w:jc w:val="both"/>
      </w:pPr>
      <w:r>
        <w:rPr>
          <w:color w:val="000000"/>
          <w:spacing w:val="0"/>
          <w:w w:val="100"/>
          <w:position w:val="0"/>
        </w:rPr>
        <w:t>回参考文献</w:t>
      </w:r>
    </w:p>
    <w:p w14:paraId="7DA3B808">
      <w:pPr>
        <w:pStyle w:val="17"/>
        <w:keepNext w:val="0"/>
        <w:keepLines w:val="0"/>
        <w:widowControl w:val="0"/>
        <w:shd w:val="clear" w:color="auto" w:fill="auto"/>
        <w:bidi w:val="0"/>
        <w:spacing w:before="0" w:after="0" w:line="338" w:lineRule="exact"/>
        <w:ind w:left="220" w:right="0" w:hanging="220"/>
        <w:jc w:val="both"/>
      </w:pPr>
      <w:r>
        <w:rPr>
          <w:color w:val="000000"/>
          <w:spacing w:val="0"/>
          <w:w w:val="100"/>
          <w:position w:val="0"/>
        </w:rPr>
        <w:t>高圣平:《混合共同担保之研究</w:t>
      </w:r>
      <w:r>
        <w:rPr>
          <w:color w:val="000000"/>
          <w:spacing w:val="0"/>
          <w:w w:val="100"/>
          <w:position w:val="0"/>
          <w:lang w:val="en-US" w:eastAsia="en-US" w:bidi="en-US"/>
        </w:rPr>
        <w:t>一一</w:t>
      </w:r>
      <w:r>
        <w:rPr>
          <w:color w:val="000000"/>
          <w:spacing w:val="0"/>
          <w:w w:val="100"/>
          <w:position w:val="0"/>
        </w:rPr>
        <w:t>以我国〈物权法〉第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条为分析对象》，载《法律科学》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2 </w:t>
      </w:r>
      <w:r>
        <w:rPr>
          <w:color w:val="000000"/>
          <w:spacing w:val="0"/>
          <w:w w:val="100"/>
          <w:position w:val="0"/>
        </w:rPr>
        <w:t>期。</w:t>
      </w:r>
    </w:p>
    <w:p w14:paraId="3109716C">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耿林:《比较法视野下的混合共同担保》，载《江汉论坛》</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 胡康生主编:《中华人民共和国物权法释义》，法律出版社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07578919">
      <w:pPr>
        <w:pStyle w:val="17"/>
        <w:keepNext w:val="0"/>
        <w:keepLines w:val="0"/>
        <w:widowControl w:val="0"/>
        <w:shd w:val="clear" w:color="auto" w:fill="auto"/>
        <w:bidi w:val="0"/>
        <w:spacing w:before="0" w:after="0" w:line="314" w:lineRule="exact"/>
        <w:ind w:left="0" w:right="0" w:firstLine="0"/>
        <w:jc w:val="both"/>
      </w:pPr>
      <w:r>
        <w:rPr>
          <w:color w:val="000000"/>
          <w:spacing w:val="0"/>
          <w:w w:val="100"/>
          <w:position w:val="0"/>
        </w:rPr>
        <w:t>杨明刚：《新物权法:担保物权适用解说与典型案例评析》，法律出版社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 韩松等编著:《物权法》，法律出版社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w:t>
      </w:r>
    </w:p>
    <w:p w14:paraId="4EEC4530">
      <w:pPr>
        <w:pStyle w:val="17"/>
        <w:keepNext w:val="0"/>
        <w:keepLines w:val="0"/>
        <w:widowControl w:val="0"/>
        <w:shd w:val="clear" w:color="auto" w:fill="auto"/>
        <w:bidi w:val="0"/>
        <w:spacing w:before="0" w:after="0" w:line="314" w:lineRule="exact"/>
        <w:ind w:left="220" w:right="0" w:hanging="220"/>
        <w:jc w:val="both"/>
      </w:pPr>
      <w:r>
        <w:rPr>
          <w:color w:val="000000"/>
          <w:spacing w:val="0"/>
          <w:w w:val="100"/>
          <w:position w:val="0"/>
        </w:rPr>
        <w:t>黄詰:《保证与物的担保并存时法律规则之探讨一以〈物权法〉第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rPr>
        <w:t>条的规定为中心》，载《南京大学 学报》</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77F5FC10">
      <w:pPr>
        <w:pStyle w:val="17"/>
        <w:keepNext w:val="0"/>
        <w:keepLines w:val="0"/>
        <w:widowControl w:val="0"/>
        <w:shd w:val="clear" w:color="auto" w:fill="auto"/>
        <w:bidi w:val="0"/>
        <w:spacing w:before="0" w:after="40" w:line="314" w:lineRule="exact"/>
        <w:ind w:left="220" w:right="0" w:hanging="220"/>
        <w:jc w:val="both"/>
        <w:sectPr>
          <w:headerReference r:id="rId274" w:type="default"/>
          <w:headerReference r:id="rId275" w:type="even"/>
          <w:footnotePr>
            <w:numFmt w:val="chicago"/>
          </w:footnotePr>
          <w:pgSz w:w="10099" w:h="14782"/>
          <w:pgMar w:top="1257" w:right="1018" w:bottom="1129" w:left="1055" w:header="0" w:footer="3" w:gutter="0"/>
          <w:pgNumType w:start="207"/>
          <w:cols w:space="720" w:num="1"/>
          <w:rtlGutter w:val="0"/>
          <w:docGrid w:linePitch="360" w:charSpace="0"/>
        </w:sectPr>
      </w:pPr>
      <w:r>
        <w:rPr>
          <w:color w:val="000000"/>
          <w:spacing w:val="0"/>
          <w:w w:val="100"/>
          <w:position w:val="0"/>
        </w:rPr>
        <w:t>崔建远:《物权法》(第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6E86CDB7">
      <w:pPr>
        <w:widowControl w:val="0"/>
        <w:spacing w:line="96" w:lineRule="exact"/>
        <w:rPr>
          <w:sz w:val="8"/>
          <w:szCs w:val="8"/>
        </w:rPr>
      </w:pPr>
    </w:p>
    <w:p w14:paraId="25558663">
      <w:pPr>
        <w:widowControl w:val="0"/>
        <w:spacing w:line="1" w:lineRule="exact"/>
        <w:sectPr>
          <w:headerReference r:id="rId276" w:type="default"/>
          <w:headerReference r:id="rId277" w:type="even"/>
          <w:footnotePr>
            <w:numFmt w:val="chicago"/>
          </w:footnotePr>
          <w:pgSz w:w="10099" w:h="14782"/>
          <w:pgMar w:top="1331" w:right="1081" w:bottom="1083" w:left="1013" w:header="0" w:footer="3" w:gutter="0"/>
          <w:pgNumType w:start="227"/>
          <w:cols w:space="720" w:num="1"/>
          <w:rtlGutter w:val="0"/>
          <w:docGrid w:linePitch="360" w:charSpace="0"/>
        </w:sectPr>
      </w:pPr>
    </w:p>
    <w:p w14:paraId="24B84850">
      <w:pPr>
        <w:widowControl w:val="0"/>
        <w:spacing w:line="1" w:lineRule="exact"/>
      </w:pPr>
      <w:r>
        <mc:AlternateContent>
          <mc:Choice Requires="wps">
            <w:drawing>
              <wp:anchor distT="0" distB="59690" distL="0" distR="0" simplePos="0" relativeHeight="251660288" behindDoc="0" locked="0" layoutInCell="1" allowOverlap="1">
                <wp:simplePos x="0" y="0"/>
                <wp:positionH relativeFrom="page">
                  <wp:posOffset>711835</wp:posOffset>
                </wp:positionH>
                <wp:positionV relativeFrom="paragraph">
                  <wp:posOffset>0</wp:posOffset>
                </wp:positionV>
                <wp:extent cx="448310" cy="304800"/>
                <wp:effectExtent l="0" t="0" r="0" b="0"/>
                <wp:wrapTopAndBottom/>
                <wp:docPr id="625" name="Shape 625"/>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006B5843">
                            <w:pPr>
                              <w:pStyle w:val="27"/>
                              <w:keepNext/>
                              <w:keepLines/>
                              <w:widowControl w:val="0"/>
                              <w:shd w:val="clear" w:color="auto" w:fill="auto"/>
                              <w:bidi w:val="0"/>
                              <w:spacing w:before="0" w:after="0" w:line="240" w:lineRule="auto"/>
                              <w:ind w:left="0" w:right="0" w:firstLine="0"/>
                              <w:jc w:val="both"/>
                            </w:pPr>
                            <w:bookmarkStart w:id="393" w:name="bookmark282"/>
                            <w:bookmarkStart w:id="394" w:name="bookmark283"/>
                            <w:bookmarkStart w:id="395" w:name="bookmark281"/>
                            <w:r>
                              <w:rPr>
                                <w:rFonts w:ascii="Times New Roman" w:hAnsi="Times New Roman" w:eastAsia="Times New Roman" w:cs="Times New Roman"/>
                                <w:color w:val="000000"/>
                                <w:spacing w:val="0"/>
                                <w:w w:val="100"/>
                                <w:position w:val="0"/>
                              </w:rPr>
                              <w:t>043</w:t>
                            </w:r>
                            <w:bookmarkEnd w:id="393"/>
                            <w:bookmarkEnd w:id="394"/>
                            <w:bookmarkEnd w:id="395"/>
                          </w:p>
                        </w:txbxContent>
                      </wps:txbx>
                      <wps:bodyPr wrap="none" lIns="0" tIns="0" rIns="0" bIns="0">
                        <a:noAutofit/>
                      </wps:bodyPr>
                    </wps:wsp>
                  </a:graphicData>
                </a:graphic>
              </wp:anchor>
            </w:drawing>
          </mc:Choice>
          <mc:Fallback>
            <w:pict>
              <v:shape id="Shape 625" o:spid="_x0000_s1026" o:spt="202" type="#_x0000_t202" style="position:absolute;left:0pt;margin-left:56.05pt;margin-top:0pt;height:24pt;width:35.3pt;mso-position-horizontal-relative:page;mso-wrap-distance-bottom:4.7pt;mso-wrap-distance-top:0pt;mso-wrap-style:none;z-index:251660288;mso-width-relative:page;mso-height-relative:page;" filled="f" stroked="f" coordsize="21600,21600" o:gfxdata="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OeJFR0wAAAAcB&#10;AAAPAAAAAAAAAAEAIAAAACIAAABkcnMvZG93bnJldi54bWxQSwECFAAUAAAACACHTuJAzqp/6K4B&#10;AABzAwAADgAAAAAAAAABACAAAAAiAQAAZHJzL2Uyb0RvYy54bWxQSwUGAAAAAAYABgBZAQAAQgUA&#10;AAAA&#10;">
                <v:fill on="f" focussize="0,0"/>
                <v:stroke on="f"/>
                <v:imagedata o:title=""/>
                <o:lock v:ext="edit" aspectratio="f"/>
                <v:textbox inset="0mm,0mm,0mm,0mm">
                  <w:txbxContent>
                    <w:p w14:paraId="006B5843">
                      <w:pPr>
                        <w:pStyle w:val="27"/>
                        <w:keepNext/>
                        <w:keepLines/>
                        <w:widowControl w:val="0"/>
                        <w:shd w:val="clear" w:color="auto" w:fill="auto"/>
                        <w:bidi w:val="0"/>
                        <w:spacing w:before="0" w:after="0" w:line="240" w:lineRule="auto"/>
                        <w:ind w:left="0" w:right="0" w:firstLine="0"/>
                        <w:jc w:val="both"/>
                      </w:pPr>
                      <w:bookmarkStart w:id="393" w:name="bookmark282"/>
                      <w:bookmarkStart w:id="394" w:name="bookmark283"/>
                      <w:bookmarkStart w:id="395" w:name="bookmark281"/>
                      <w:r>
                        <w:rPr>
                          <w:rFonts w:ascii="Times New Roman" w:hAnsi="Times New Roman" w:eastAsia="Times New Roman" w:cs="Times New Roman"/>
                          <w:color w:val="000000"/>
                          <w:spacing w:val="0"/>
                          <w:w w:val="100"/>
                          <w:position w:val="0"/>
                        </w:rPr>
                        <w:t>043</w:t>
                      </w:r>
                      <w:bookmarkEnd w:id="393"/>
                      <w:bookmarkEnd w:id="394"/>
                      <w:bookmarkEnd w:id="395"/>
                    </w:p>
                  </w:txbxContent>
                </v:textbox>
                <w10:wrap type="topAndBottom"/>
              </v:shape>
            </w:pict>
          </mc:Fallback>
        </mc:AlternateContent>
      </w:r>
      <w:r>
        <mc:AlternateContent>
          <mc:Choice Requires="wps">
            <w:drawing>
              <wp:anchor distT="85090" distB="38735" distL="0" distR="0" simplePos="0" relativeHeight="251660288" behindDoc="0" locked="0" layoutInCell="1" allowOverlap="1">
                <wp:simplePos x="0" y="0"/>
                <wp:positionH relativeFrom="page">
                  <wp:posOffset>1297305</wp:posOffset>
                </wp:positionH>
                <wp:positionV relativeFrom="paragraph">
                  <wp:posOffset>85090</wp:posOffset>
                </wp:positionV>
                <wp:extent cx="3611880" cy="240665"/>
                <wp:effectExtent l="0" t="0" r="0" b="0"/>
                <wp:wrapTopAndBottom/>
                <wp:docPr id="627" name="Shape 627"/>
                <wp:cNvGraphicFramePr/>
                <a:graphic xmlns:a="http://schemas.openxmlformats.org/drawingml/2006/main">
                  <a:graphicData uri="http://schemas.microsoft.com/office/word/2010/wordprocessingShape">
                    <wps:wsp>
                      <wps:cNvSpPr txBox="1"/>
                      <wps:spPr>
                        <a:xfrm>
                          <a:off x="0" y="0"/>
                          <a:ext cx="3611880" cy="240665"/>
                        </a:xfrm>
                        <a:prstGeom prst="rect">
                          <a:avLst/>
                        </a:prstGeom>
                        <a:noFill/>
                      </wps:spPr>
                      <wps:txbx>
                        <w:txbxContent>
                          <w:p w14:paraId="7EE0F0E3">
                            <w:pPr>
                              <w:pStyle w:val="15"/>
                              <w:keepNext/>
                              <w:keepLines/>
                              <w:widowControl w:val="0"/>
                              <w:shd w:val="clear" w:color="auto" w:fill="auto"/>
                              <w:bidi w:val="0"/>
                              <w:spacing w:before="0" w:after="0" w:line="240" w:lineRule="auto"/>
                              <w:ind w:left="0" w:right="0" w:firstLine="0"/>
                              <w:jc w:val="left"/>
                            </w:pPr>
                            <w:bookmarkStart w:id="396" w:name="bookmark285"/>
                            <w:bookmarkStart w:id="397" w:name="bookmark284"/>
                            <w:bookmarkStart w:id="398" w:name="bookmark286"/>
                            <w:r>
                              <w:rPr>
                                <w:color w:val="000000"/>
                                <w:spacing w:val="0"/>
                                <w:w w:val="100"/>
                                <w:position w:val="0"/>
                              </w:rPr>
                              <w:t>以个人资产作抵押为债权提供担保属于保证</w:t>
                            </w:r>
                            <w:bookmarkEnd w:id="396"/>
                            <w:bookmarkEnd w:id="397"/>
                            <w:bookmarkEnd w:id="398"/>
                          </w:p>
                        </w:txbxContent>
                      </wps:txbx>
                      <wps:bodyPr wrap="none" lIns="0" tIns="0" rIns="0" bIns="0">
                        <a:noAutofit/>
                      </wps:bodyPr>
                    </wps:wsp>
                  </a:graphicData>
                </a:graphic>
              </wp:anchor>
            </w:drawing>
          </mc:Choice>
          <mc:Fallback>
            <w:pict>
              <v:shape id="Shape 627" o:spid="_x0000_s1026" o:spt="202" type="#_x0000_t202" style="position:absolute;left:0pt;margin-left:102.15pt;margin-top:6.7pt;height:18.95pt;width:284.4pt;mso-position-horizontal-relative:page;mso-wrap-distance-bottom:3.05pt;mso-wrap-distance-top:6.7pt;mso-wrap-style:none;z-index:251660288;mso-width-relative:page;mso-height-relative:page;" filled="f" stroked="f" coordsize="21600,21600" o:gfxdata="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6wY2odYA&#10;AAAJAQAADwAAAAAAAAABACAAAAAiAAAAZHJzL2Rvd25yZXYueG1sUEsBAhQAFAAAAAgAh07iQPGa&#10;N6ivAQAAdAMAAA4AAAAAAAAAAQAgAAAAJQEAAGRycy9lMm9Eb2MueG1sUEsFBgAAAAAGAAYAWQEA&#10;AEYFAAAAAA==&#10;">
                <v:fill on="f" focussize="0,0"/>
                <v:stroke on="f"/>
                <v:imagedata o:title=""/>
                <o:lock v:ext="edit" aspectratio="f"/>
                <v:textbox inset="0mm,0mm,0mm,0mm">
                  <w:txbxContent>
                    <w:p w14:paraId="7EE0F0E3">
                      <w:pPr>
                        <w:pStyle w:val="15"/>
                        <w:keepNext/>
                        <w:keepLines/>
                        <w:widowControl w:val="0"/>
                        <w:shd w:val="clear" w:color="auto" w:fill="auto"/>
                        <w:bidi w:val="0"/>
                        <w:spacing w:before="0" w:after="0" w:line="240" w:lineRule="auto"/>
                        <w:ind w:left="0" w:right="0" w:firstLine="0"/>
                        <w:jc w:val="left"/>
                      </w:pPr>
                      <w:bookmarkStart w:id="396" w:name="bookmark285"/>
                      <w:bookmarkStart w:id="397" w:name="bookmark284"/>
                      <w:bookmarkStart w:id="398" w:name="bookmark286"/>
                      <w:r>
                        <w:rPr>
                          <w:color w:val="000000"/>
                          <w:spacing w:val="0"/>
                          <w:w w:val="100"/>
                          <w:position w:val="0"/>
                        </w:rPr>
                        <w:t>以个人资产作抵押为债权提供担保属于保证</w:t>
                      </w:r>
                      <w:bookmarkEnd w:id="396"/>
                      <w:bookmarkEnd w:id="397"/>
                      <w:bookmarkEnd w:id="398"/>
                    </w:p>
                  </w:txbxContent>
                </v:textbox>
                <w10:wrap type="topAndBottom"/>
              </v:shape>
            </w:pict>
          </mc:Fallback>
        </mc:AlternateContent>
      </w:r>
    </w:p>
    <w:p w14:paraId="48DD561F">
      <w:pPr>
        <w:pStyle w:val="17"/>
        <w:keepNext w:val="0"/>
        <w:keepLines w:val="0"/>
        <w:widowControl w:val="0"/>
        <w:shd w:val="clear" w:color="auto" w:fill="auto"/>
        <w:bidi w:val="0"/>
        <w:spacing w:before="0" w:after="120" w:line="240" w:lineRule="auto"/>
        <w:ind w:left="0" w:right="0" w:firstLine="1000"/>
        <w:jc w:val="both"/>
      </w:pPr>
      <w:r>
        <w:rPr>
          <w:color w:val="000000"/>
          <w:spacing w:val="0"/>
          <w:w w:val="100"/>
          <w:position w:val="0"/>
        </w:rPr>
        <w:t>张玉彪与江苏省无锡欧翔动力机车贸易有限公司抵押权纠纷上诉</w:t>
      </w:r>
      <w:r>
        <w:rPr>
          <w:rFonts w:ascii="Times New Roman" w:hAnsi="Times New Roman" w:eastAsia="Times New Roman" w:cs="Times New Roman"/>
          <w:color w:val="000000"/>
          <w:spacing w:val="0"/>
          <w:w w:val="100"/>
          <w:position w:val="0"/>
          <w:sz w:val="19"/>
          <w:szCs w:val="19"/>
          <w:lang w:val="en-US" w:eastAsia="en-US" w:bidi="en-US"/>
        </w:rPr>
        <w:t>j</w:t>
      </w:r>
      <w:r>
        <w:rPr>
          <w:color w:val="000000"/>
          <w:spacing w:val="0"/>
          <w:w w:val="100"/>
          <w:position w:val="0"/>
        </w:rPr>
        <w:t>聽廳豪</w:t>
      </w:r>
    </w:p>
    <w:p w14:paraId="3A6637CD">
      <w:pPr>
        <w:pStyle w:val="17"/>
        <w:keepNext w:val="0"/>
        <w:keepLines w:val="0"/>
        <w:widowControl w:val="0"/>
        <w:shd w:val="clear" w:color="auto" w:fill="auto"/>
        <w:bidi w:val="0"/>
        <w:spacing w:before="0" w:after="120" w:line="240" w:lineRule="auto"/>
        <w:ind w:left="0" w:right="0" w:firstLine="1000"/>
        <w:jc w:val="left"/>
      </w:pPr>
      <w:r>
        <w:rPr>
          <w:color w:val="000000"/>
          <w:spacing w:val="0"/>
          <w:w w:val="100"/>
          <w:position w:val="0"/>
        </w:rPr>
        <w:t>案丨江苏省无锡市中级人民法院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锡商终字第</w:t>
      </w:r>
      <w:r>
        <w:rPr>
          <w:rFonts w:ascii="Times New Roman" w:hAnsi="Times New Roman" w:eastAsia="Times New Roman" w:cs="Times New Roman"/>
          <w:color w:val="000000"/>
          <w:spacing w:val="0"/>
          <w:w w:val="100"/>
          <w:position w:val="0"/>
          <w:sz w:val="19"/>
          <w:szCs w:val="19"/>
        </w:rPr>
        <w:t>0169</w:t>
      </w:r>
      <w:r>
        <w:rPr>
          <w:color w:val="000000"/>
          <w:spacing w:val="0"/>
          <w:w w:val="100"/>
          <w:position w:val="0"/>
        </w:rPr>
        <w:t>号民事</w:t>
      </w:r>
    </w:p>
    <w:p w14:paraId="70B2542B">
      <w:pPr>
        <w:pStyle w:val="17"/>
        <w:keepNext w:val="0"/>
        <w:keepLines w:val="0"/>
        <w:widowControl w:val="0"/>
        <w:shd w:val="clear" w:color="auto" w:fill="auto"/>
        <w:bidi w:val="0"/>
        <w:spacing w:before="0" w:after="360" w:line="240" w:lineRule="auto"/>
        <w:ind w:left="0" w:right="0" w:firstLine="1000"/>
        <w:jc w:val="both"/>
      </w:pPr>
      <w:r>
        <w:rPr>
          <w:color w:val="000000"/>
          <w:spacing w:val="0"/>
          <w:w w:val="100"/>
          <w:position w:val="0"/>
        </w:rPr>
        <w:t>判决书</w:t>
      </w:r>
    </w:p>
    <w:p w14:paraId="0A7FD28B">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董学立</w:t>
      </w:r>
      <w:r>
        <w:rPr>
          <w:color w:val="000000"/>
          <w:spacing w:val="0"/>
          <w:w w:val="100"/>
          <w:position w:val="0"/>
        </w:rPr>
        <w:t>苏州大学王健法学院</w:t>
      </w:r>
    </w:p>
    <w:p w14:paraId="1CBE6EE5">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130F575">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欧翔公司与翔鹿公司签订供货合同一份，约定欧翔公司向翔鹿公司供货，且在翔鹿公 司无法承担所有债务时，由翔鹿公司签字人以其个人资产作抵押偿还债务。张某代表翔鹿 公司在合同上签字。后因翔鹿公司未按合同约定支付货款，欧翔公司遂以翔鹿公司与张某 为被告向无锡市锡山区法院提起诉讼，请求判令</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两被告支付货款及逾期付款利息；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张某承担付款的连带责任。无锡市锡山区人民法院作出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锡法商初字第</w:t>
      </w:r>
      <w:r>
        <w:rPr>
          <w:rFonts w:ascii="Times New Roman" w:hAnsi="Times New Roman" w:eastAsia="Times New Roman" w:cs="Times New Roman"/>
          <w:color w:val="000000"/>
          <w:spacing w:val="0"/>
          <w:w w:val="100"/>
          <w:position w:val="0"/>
          <w:sz w:val="19"/>
          <w:szCs w:val="19"/>
        </w:rPr>
        <w:t>0850</w:t>
      </w:r>
      <w:r>
        <w:rPr>
          <w:color w:val="000000"/>
          <w:spacing w:val="0"/>
          <w:w w:val="100"/>
          <w:position w:val="0"/>
        </w:rPr>
        <w:t>号 民事判决，支持欧翔公司的货款及利息请求，但以合同中</w:t>
      </w:r>
      <w:r>
        <w:rPr>
          <w:color w:val="000000"/>
          <w:spacing w:val="0"/>
          <w:w w:val="100"/>
          <w:position w:val="0"/>
          <w:lang w:val="zh-CN" w:eastAsia="zh-CN" w:bidi="zh-CN"/>
        </w:rPr>
        <w:t>“抵押</w:t>
      </w:r>
      <w:r>
        <w:rPr>
          <w:color w:val="000000"/>
          <w:spacing w:val="0"/>
          <w:w w:val="100"/>
          <w:position w:val="0"/>
        </w:rPr>
        <w:t>财产未作约定，且未事后补 正</w:t>
      </w:r>
      <w:r>
        <w:rPr>
          <w:color w:val="000000"/>
          <w:spacing w:val="0"/>
          <w:w w:val="100"/>
          <w:position w:val="0"/>
          <w:lang w:val="zh-CN" w:eastAsia="zh-CN" w:bidi="zh-CN"/>
        </w:rPr>
        <w:t>”为由</w:t>
      </w:r>
      <w:r>
        <w:rPr>
          <w:color w:val="000000"/>
          <w:spacing w:val="0"/>
          <w:w w:val="100"/>
          <w:position w:val="0"/>
        </w:rPr>
        <w:t>，认定抵押不成立，故张某不承担民事责任。判决生效后，被告翔鹿公司未履行判 决义务，该案进入执行程序。</w:t>
      </w:r>
    </w:p>
    <w:p w14:paraId="5F3EC444">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之后欧翔公司以张某为被告诉至锡山区法院，请求判令张某对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 xml:space="preserve">锡法商初字第 </w:t>
      </w:r>
      <w:r>
        <w:rPr>
          <w:rFonts w:ascii="Times New Roman" w:hAnsi="Times New Roman" w:eastAsia="Times New Roman" w:cs="Times New Roman"/>
          <w:color w:val="000000"/>
          <w:spacing w:val="0"/>
          <w:w w:val="100"/>
          <w:position w:val="0"/>
          <w:sz w:val="19"/>
          <w:szCs w:val="19"/>
        </w:rPr>
        <w:t>0850</w:t>
      </w:r>
      <w:r>
        <w:rPr>
          <w:color w:val="000000"/>
          <w:spacing w:val="0"/>
          <w:w w:val="100"/>
          <w:position w:val="0"/>
        </w:rPr>
        <w:t>号民事判决中的货款及利息债务承担一般保证责任；张某则以重复诉讼为由提岀抗 辩。锡山区法院经审理认为本案焦点为:一是该案与（</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锡法商初字第</w:t>
      </w:r>
      <w:r>
        <w:rPr>
          <w:rFonts w:ascii="Times New Roman" w:hAnsi="Times New Roman" w:eastAsia="Times New Roman" w:cs="Times New Roman"/>
          <w:color w:val="000000"/>
          <w:spacing w:val="0"/>
          <w:w w:val="100"/>
          <w:position w:val="0"/>
          <w:sz w:val="19"/>
          <w:szCs w:val="19"/>
        </w:rPr>
        <w:t>0850</w:t>
      </w:r>
      <w:r>
        <w:rPr>
          <w:color w:val="000000"/>
          <w:spacing w:val="0"/>
          <w:w w:val="100"/>
          <w:position w:val="0"/>
        </w:rPr>
        <w:t xml:space="preserve">号案是否 属于重复诉讼;二是张某是否对前述判决中翔鹿公司的债务承担一般保证责任。关于焦点 一，法院认为两次起诉的请求权基础不同,故不属于重复诉讼。关于焦点二，法院认为，虽然 张某在合同中约定了以个人资产提供抵押的条款，但个人资产处于变动之中不具有特定 性，这违反抵押物特定的要求，故抵押权不成立。但张某具有为翔鹿公司债务提供担保的 真实意思表示，故可将此认定为保证担保;且合同中约定，在翔鹿公司无法承担债务时,张 某才负责偿还翔鹿公司所欠货款，故该保证属于一般保证。基于此，锡山区法院作出 </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锡法商初字第</w:t>
      </w:r>
      <w:r>
        <w:rPr>
          <w:rFonts w:ascii="Times New Roman" w:hAnsi="Times New Roman" w:eastAsia="Times New Roman" w:cs="Times New Roman"/>
          <w:color w:val="000000"/>
          <w:spacing w:val="0"/>
          <w:w w:val="100"/>
          <w:position w:val="0"/>
          <w:sz w:val="19"/>
          <w:szCs w:val="19"/>
        </w:rPr>
        <w:t>0554</w:t>
      </w:r>
      <w:r>
        <w:rPr>
          <w:color w:val="000000"/>
          <w:spacing w:val="0"/>
          <w:w w:val="100"/>
          <w:position w:val="0"/>
        </w:rPr>
        <w:t>号判决:若翔鹿公司在强制执行程序后仍不能履行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锡法 商初字第</w:t>
      </w:r>
      <w:r>
        <w:rPr>
          <w:rFonts w:ascii="Times New Roman" w:hAnsi="Times New Roman" w:eastAsia="Times New Roman" w:cs="Times New Roman"/>
          <w:color w:val="000000"/>
          <w:spacing w:val="0"/>
          <w:w w:val="100"/>
          <w:position w:val="0"/>
          <w:sz w:val="19"/>
          <w:szCs w:val="19"/>
        </w:rPr>
        <w:t>0850</w:t>
      </w:r>
      <w:r>
        <w:rPr>
          <w:color w:val="000000"/>
          <w:spacing w:val="0"/>
          <w:w w:val="100"/>
          <w:position w:val="0"/>
        </w:rPr>
        <w:t>号判决所确定的货款债务，张某便承担保证责任。</w:t>
      </w:r>
    </w:p>
    <w:p w14:paraId="57651EBC">
      <w:pPr>
        <w:pStyle w:val="17"/>
        <w:keepNext w:val="0"/>
        <w:keepLines w:val="0"/>
        <w:widowControl w:val="0"/>
        <w:shd w:val="clear" w:color="auto" w:fill="auto"/>
        <w:bidi w:val="0"/>
        <w:spacing w:before="0" w:after="240" w:line="339" w:lineRule="exact"/>
        <w:ind w:left="0" w:right="0" w:firstLine="420"/>
        <w:jc w:val="both"/>
        <w:sectPr>
          <w:footnotePr>
            <w:numFmt w:val="chicago"/>
          </w:footnotePr>
          <w:type w:val="continuous"/>
          <w:pgSz w:w="10099" w:h="14782"/>
          <w:pgMar w:top="1331" w:right="1081" w:bottom="1083" w:left="1013" w:header="903" w:footer="655" w:gutter="0"/>
          <w:cols w:space="720" w:num="1"/>
          <w:rtlGutter w:val="0"/>
          <w:docGrid w:linePitch="360" w:charSpace="0"/>
        </w:sectPr>
      </w:pPr>
      <w:r>
        <w:rPr>
          <w:color w:val="000000"/>
          <w:spacing w:val="0"/>
          <w:w w:val="100"/>
          <w:position w:val="0"/>
        </w:rPr>
        <w:t>张某不服该判决，向无锡市中院提起上诉。经审理，无锡市中院以相同理由认定本案 不属于重复诉讼且抵押权不成立;张某以个人资产提供抵押的行为应被认定为保证,并于 本案中承担一般保证责任。最终，无锡市中院作岀</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锡商终字第</w:t>
      </w:r>
      <w:r>
        <w:rPr>
          <w:rFonts w:ascii="Times New Roman" w:hAnsi="Times New Roman" w:eastAsia="Times New Roman" w:cs="Times New Roman"/>
          <w:color w:val="000000"/>
          <w:spacing w:val="0"/>
          <w:w w:val="100"/>
          <w:position w:val="0"/>
          <w:sz w:val="19"/>
          <w:szCs w:val="19"/>
        </w:rPr>
        <w:t>0169</w:t>
      </w:r>
      <w:r>
        <w:rPr>
          <w:color w:val="000000"/>
          <w:spacing w:val="0"/>
          <w:w w:val="100"/>
          <w:position w:val="0"/>
        </w:rPr>
        <w:t>号判决，驳回张 某的上诉，维持一审原判。</w:t>
      </w:r>
    </w:p>
    <w:p w14:paraId="4448740D">
      <w:pPr>
        <w:pStyle w:val="11"/>
        <w:keepNext w:val="0"/>
        <w:keepLines w:val="0"/>
        <w:widowControl w:val="0"/>
        <w:shd w:val="clear" w:color="auto" w:fill="auto"/>
        <w:bidi w:val="0"/>
        <w:spacing w:before="0" w:after="120" w:line="339"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2FBFDF6">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驳回上诉，维持原判。</w:t>
      </w:r>
    </w:p>
    <w:p w14:paraId="08663E16">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第一,本案不属于重复诉讼，因为两案的法律关系不同:前案是欧翔公司以抵押权人的 身份主张抵押人张某对翔鹿公司的债务承担连带责任,其请求权基础为抵押权；本案是欧 翔公司以被保证人的身份主张保证人张某对翔鹿公司的债务承担一般保证责任，请求权基 础为一般保证。第二，本案合同中的担保条款不能成立抵押担保。张某约定以个人资产作 抵押偿还欧翔公司货款，但个人资产属于集合概念，通常处于变化之中，不具有特定性，与 担保物的特定性要求不符,且事后未就抵押物特定化予以补正，故该担保条款不能起到抵 押担保的作用。第三，个人资产抵押的约定虽不能设立有效的抵押权，但其实质是当事人 以其个人资产信用为债权提供担保，符合保证的规定，故当事人应当承担相应的保证责任。</w:t>
      </w:r>
    </w:p>
    <w:p w14:paraId="447AF40A">
      <w:pPr>
        <w:pStyle w:val="11"/>
        <w:keepNext w:val="0"/>
        <w:keepLines w:val="0"/>
        <w:widowControl w:val="0"/>
        <w:shd w:val="clear" w:color="auto" w:fill="auto"/>
        <w:bidi w:val="0"/>
        <w:spacing w:before="0" w:after="120" w:line="339" w:lineRule="exact"/>
        <w:ind w:left="0" w:right="0" w:firstLine="0"/>
        <w:jc w:val="left"/>
      </w:pPr>
      <w:r>
        <w:rPr>
          <w:color w:val="000000"/>
          <w:spacing w:val="0"/>
          <w:w w:val="100"/>
          <w:position w:val="0"/>
        </w:rPr>
        <w:t>■评析</w:t>
      </w:r>
    </w:p>
    <w:p w14:paraId="5BBE6812">
      <w:pPr>
        <w:pStyle w:val="17"/>
        <w:keepNext w:val="0"/>
        <w:keepLines w:val="0"/>
        <w:widowControl w:val="0"/>
        <w:shd w:val="clear" w:color="auto" w:fill="auto"/>
        <w:bidi w:val="0"/>
        <w:spacing w:before="0" w:after="120" w:line="339"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本案的核心争点</w:t>
      </w:r>
    </w:p>
    <w:p w14:paraId="0C529D78">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.个人资产抵押的约定不能成立抵押权</w:t>
      </w:r>
    </w:p>
    <w:p w14:paraId="7298050F">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本案中张某在合同中约定以个人资产作抵押为债务提供担保。法院认为，抵押物必须 是抵押人为担保债务的履行和债权的实现而提供的特定财产。但个人资产属集合概念，通 常处于动态变化中,不具有特定性，与法律规定的抵押财产须特定化不符,且当事人亦未就 抵押物特定化予以补正，故张某约定的担保条款不能起到抵押担保的作用。</w:t>
      </w:r>
    </w:p>
    <w:p w14:paraId="5749B9FC">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根据传统的物权法原理，担保物权须存在他人之特定物或权利上，此盖为物权标的物 须具特定性所当然［谢在全:《民法物权论》（中册），中国政法大学出版社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年版］。担保物权是 以财富所具有的交换价值为中心成立的，以此为投资客体于金融市场流通且与担保人的个 人信用脱离关系（</w:t>
      </w:r>
      <w:r>
        <w:rPr>
          <w:color w:val="000000"/>
          <w:spacing w:val="0"/>
          <w:w w:val="100"/>
          <w:position w:val="0"/>
          <w:lang w:val="en-US" w:eastAsia="en-US" w:bidi="en-US"/>
        </w:rPr>
        <w:t>［</w:t>
      </w:r>
      <w:r>
        <w:rPr>
          <w:color w:val="000000"/>
          <w:spacing w:val="0"/>
          <w:w w:val="100"/>
          <w:position w:val="0"/>
        </w:rPr>
        <w:t>日］我妻荣:《新订担保物权法》，中国法制出版社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年版）。因此担保物价值 的大小、担保物价值的安全性与稳定性都是债权人看重的因素。通常的逻辑是，担保物越 是特定明确，债权人对担保物价值的预期就越稳定，除自然的损耗以及正常的市场贬值外， 不易发生较大的价值波动。通过立法规定担保物必须特定明确，可以在很大程度上固定担 保物的价值，减少其不足受偿的风险，以此保障债权人的合法权益。</w:t>
      </w:r>
    </w:p>
    <w:p w14:paraId="4795821A">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因此，传统物权法要求担保物须在物理属性上确定存在，即担保物应是现存的、特定 的。而担保物是否特定需要通过担保人在担保合同中对担保物信息的描述来判断。担保 人对担保物的信息描述越是具体，则担保物特定的程度越高，反之亦然。我国原《物权法》 第</w:t>
      </w:r>
      <w:r>
        <w:rPr>
          <w:rFonts w:ascii="Times New Roman" w:hAnsi="Times New Roman" w:eastAsia="Times New Roman" w:cs="Times New Roman"/>
          <w:color w:val="000000"/>
          <w:spacing w:val="0"/>
          <w:w w:val="100"/>
          <w:position w:val="0"/>
          <w:sz w:val="19"/>
          <w:szCs w:val="19"/>
        </w:rPr>
        <w:t>185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项（《民法典》第</w:t>
      </w:r>
      <w:r>
        <w:rPr>
          <w:rFonts w:ascii="Times New Roman" w:hAnsi="Times New Roman" w:eastAsia="Times New Roman" w:cs="Times New Roman"/>
          <w:color w:val="000000"/>
          <w:spacing w:val="0"/>
          <w:w w:val="100"/>
          <w:position w:val="0"/>
          <w:sz w:val="17"/>
          <w:szCs w:val="17"/>
        </w:rPr>
        <w:t>400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项,但具体表述为</w:t>
      </w:r>
      <w:r>
        <w:rPr>
          <w:color w:val="000000"/>
          <w:spacing w:val="0"/>
          <w:w w:val="100"/>
          <w:position w:val="0"/>
          <w:lang w:val="zh-CN" w:eastAsia="zh-CN" w:bidi="zh-CN"/>
        </w:rPr>
        <w:t>“抵押</w:t>
      </w:r>
      <w:r>
        <w:rPr>
          <w:color w:val="000000"/>
          <w:spacing w:val="0"/>
          <w:w w:val="100"/>
          <w:position w:val="0"/>
        </w:rPr>
        <w:t>财产的名称、数量等 情况”）中规定了抵押合同必须写明</w:t>
      </w:r>
      <w:r>
        <w:rPr>
          <w:color w:val="000000"/>
          <w:spacing w:val="0"/>
          <w:w w:val="100"/>
          <w:position w:val="0"/>
          <w:lang w:val="zh-CN" w:eastAsia="zh-CN" w:bidi="zh-CN"/>
        </w:rPr>
        <w:t>“抵</w:t>
      </w:r>
      <w:r>
        <w:rPr>
          <w:color w:val="000000"/>
          <w:spacing w:val="0"/>
          <w:w w:val="100"/>
          <w:position w:val="0"/>
        </w:rPr>
        <w:t>押财产的名称、数量、质量、状况、所在地、所有权归属 或者使用权归属”；第</w:t>
      </w:r>
      <w:r>
        <w:rPr>
          <w:rFonts w:ascii="Times New Roman" w:hAnsi="Times New Roman" w:eastAsia="Times New Roman" w:cs="Times New Roman"/>
          <w:color w:val="000000"/>
          <w:spacing w:val="0"/>
          <w:w w:val="100"/>
          <w:position w:val="0"/>
          <w:sz w:val="19"/>
          <w:szCs w:val="19"/>
        </w:rPr>
        <w:t>210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项（《民法典》第</w:t>
      </w:r>
      <w:r>
        <w:rPr>
          <w:rFonts w:ascii="Times New Roman" w:hAnsi="Times New Roman" w:eastAsia="Times New Roman" w:cs="Times New Roman"/>
          <w:color w:val="000000"/>
          <w:spacing w:val="0"/>
          <w:w w:val="100"/>
          <w:position w:val="0"/>
          <w:sz w:val="17"/>
          <w:szCs w:val="17"/>
        </w:rPr>
        <w:t>427</w:t>
      </w:r>
      <w:r>
        <w:rPr>
          <w:color w:val="000000"/>
          <w:spacing w:val="0"/>
          <w:w w:val="100"/>
          <w:position w:val="0"/>
        </w:rPr>
        <w:t>条,但具体表述为</w:t>
      </w:r>
      <w:r>
        <w:rPr>
          <w:color w:val="000000"/>
          <w:spacing w:val="0"/>
          <w:w w:val="100"/>
          <w:position w:val="0"/>
          <w:lang w:val="zh-CN" w:eastAsia="zh-CN" w:bidi="zh-CN"/>
        </w:rPr>
        <w:t>“质押</w:t>
      </w:r>
      <w:r>
        <w:rPr>
          <w:color w:val="000000"/>
          <w:spacing w:val="0"/>
          <w:w w:val="100"/>
          <w:position w:val="0"/>
        </w:rPr>
        <w:t>财产的名称、 数量等情况”）则规定质权合同必须写明</w:t>
      </w:r>
      <w:r>
        <w:rPr>
          <w:color w:val="000000"/>
          <w:spacing w:val="0"/>
          <w:w w:val="100"/>
          <w:position w:val="0"/>
          <w:lang w:val="zh-CN" w:eastAsia="zh-CN" w:bidi="zh-CN"/>
        </w:rPr>
        <w:t>“质</w:t>
      </w:r>
      <w:r>
        <w:rPr>
          <w:color w:val="000000"/>
          <w:spacing w:val="0"/>
          <w:w w:val="100"/>
          <w:position w:val="0"/>
        </w:rPr>
        <w:t>押财产的名称、数量、质量、状况”。这一标准详 细具体，担保人需要在担保合同中描述担保物的上述信息，以满足担保物特定性要求。</w:t>
      </w:r>
    </w:p>
    <w:p w14:paraId="583C7722">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随着现代担保法制中担保物范围的不断扩展,担保物的特定性呈现缓和化的趋势（谢在 全:《担保物权制度的成长与蜕变》，载《法学家》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期）。担保物不仅限于有形财产，亦包 括股票、应收账款和知识产权等无形财产;而除现有财产外,将来取得的财产，即未来物上 亦可设定担保。例如，原《物权法》规定既可以在</w:t>
      </w:r>
      <w:r>
        <w:rPr>
          <w:color w:val="000000"/>
          <w:spacing w:val="0"/>
          <w:w w:val="100"/>
          <w:position w:val="0"/>
          <w:lang w:val="zh-CN" w:eastAsia="zh-CN" w:bidi="zh-CN"/>
        </w:rPr>
        <w:t>“正在</w:t>
      </w:r>
      <w:r>
        <w:rPr>
          <w:color w:val="000000"/>
          <w:spacing w:val="0"/>
          <w:w w:val="100"/>
          <w:position w:val="0"/>
        </w:rPr>
        <w:t>建造的建筑物、船舶、航空器”等未来 物上设立抵押权，也可在现有的以及将有的</w:t>
      </w:r>
      <w:r>
        <w:rPr>
          <w:color w:val="000000"/>
          <w:spacing w:val="0"/>
          <w:w w:val="100"/>
          <w:position w:val="0"/>
          <w:lang w:val="zh-CN" w:eastAsia="zh-CN" w:bidi="zh-CN"/>
        </w:rPr>
        <w:t>“生</w:t>
      </w:r>
      <w:r>
        <w:rPr>
          <w:color w:val="000000"/>
          <w:spacing w:val="0"/>
          <w:w w:val="100"/>
          <w:position w:val="0"/>
        </w:rPr>
        <w:t>产设备、原材料、半成品、产品</w:t>
      </w:r>
      <w:r>
        <w:rPr>
          <w:color w:val="000000"/>
          <w:spacing w:val="0"/>
          <w:w w:val="100"/>
          <w:position w:val="0"/>
          <w:lang w:val="zh-CN" w:eastAsia="zh-CN" w:bidi="zh-CN"/>
        </w:rPr>
        <w:t>”等流</w:t>
      </w:r>
      <w:r>
        <w:rPr>
          <w:color w:val="000000"/>
          <w:spacing w:val="0"/>
          <w:w w:val="100"/>
          <w:position w:val="0"/>
        </w:rPr>
        <w:t>动性较 强的财产上设立浮动抵押权。在这一立法变化之下，抵押人往往无法在抵押合同中对抵押 物的具体信息予以特定化描述。</w:t>
      </w:r>
    </w:p>
    <w:p w14:paraId="69DD003F">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对此,《美国统一商法典》第九编采用合理识别（</w:t>
      </w:r>
      <w:r>
        <w:rPr>
          <w:rFonts w:ascii="Times New Roman" w:hAnsi="Times New Roman" w:eastAsia="Times New Roman" w:cs="Times New Roman"/>
          <w:color w:val="000000"/>
          <w:spacing w:val="0"/>
          <w:w w:val="100"/>
          <w:position w:val="0"/>
          <w:sz w:val="19"/>
          <w:szCs w:val="19"/>
          <w:lang w:val="en-US" w:eastAsia="en-US" w:bidi="en-US"/>
        </w:rPr>
        <w:t>reasonable identification）</w:t>
      </w:r>
      <w:r>
        <w:rPr>
          <w:color w:val="000000"/>
          <w:spacing w:val="0"/>
          <w:w w:val="100"/>
          <w:position w:val="0"/>
        </w:rPr>
        <w:t>的标准来判断 担保物是否特定，更加符合担保物特定缓和化的趋势。该编第</w:t>
      </w:r>
      <w:r>
        <w:rPr>
          <w:rFonts w:ascii="Times New Roman" w:hAnsi="Times New Roman" w:eastAsia="Times New Roman" w:cs="Times New Roman"/>
          <w:color w:val="000000"/>
          <w:spacing w:val="0"/>
          <w:w w:val="100"/>
          <w:position w:val="0"/>
          <w:sz w:val="19"/>
          <w:szCs w:val="19"/>
          <w:lang w:val="en-US" w:eastAsia="en-US" w:bidi="en-US"/>
        </w:rPr>
        <w:t>9-108</w:t>
      </w:r>
      <w:r>
        <w:rPr>
          <w:color w:val="000000"/>
          <w:spacing w:val="0"/>
          <w:w w:val="100"/>
          <w:position w:val="0"/>
        </w:rPr>
        <w:t>条</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款规定，担保 合同中对于动产或不动产的描述无须特定明确，只要能够合理识别其所描述的内容，即为 充分。而</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款规定了担保人以</w:t>
      </w:r>
      <w:r>
        <w:rPr>
          <w:color w:val="000000"/>
          <w:spacing w:val="0"/>
          <w:w w:val="100"/>
          <w:position w:val="0"/>
          <w:lang w:val="zh-CN" w:eastAsia="zh-CN" w:bidi="zh-CN"/>
        </w:rPr>
        <w:t>“具</w:t>
      </w:r>
      <w:r>
        <w:rPr>
          <w:color w:val="000000"/>
          <w:spacing w:val="0"/>
          <w:w w:val="100"/>
          <w:position w:val="0"/>
        </w:rPr>
        <w:t>体列举、担保物种类、担保物数量或计算、分配的方式或 步骤</w:t>
      </w:r>
      <w:r>
        <w:rPr>
          <w:color w:val="000000"/>
          <w:spacing w:val="0"/>
          <w:w w:val="100"/>
          <w:position w:val="0"/>
          <w:lang w:val="zh-CN" w:eastAsia="zh-CN" w:bidi="zh-CN"/>
        </w:rPr>
        <w:t>”中</w:t>
      </w:r>
      <w:r>
        <w:rPr>
          <w:color w:val="000000"/>
          <w:spacing w:val="0"/>
          <w:w w:val="100"/>
          <w:position w:val="0"/>
        </w:rPr>
        <w:t>的任何一种方式在担保合同中描述担保物，都可被视为可合理识别,担保合同均能 有效成立。以浮动抵押为例,抵押人只需在浮动抵押合同中描述抵押物的名称、数量等基 本信息，如现有及将有的存货、原材料、产品，只要能够被抵押权人合理识别,则该描述就是 充分的，抵押合同便可生效。</w:t>
      </w:r>
    </w:p>
    <w:p w14:paraId="672AD859">
      <w:pPr>
        <w:pStyle w:val="17"/>
        <w:keepNext w:val="0"/>
        <w:keepLines w:val="0"/>
        <w:widowControl w:val="0"/>
        <w:shd w:val="clear" w:color="auto" w:fill="auto"/>
        <w:bidi w:val="0"/>
        <w:spacing w:before="0" w:after="120" w:line="342" w:lineRule="exact"/>
        <w:ind w:left="0" w:right="0"/>
        <w:jc w:val="both"/>
      </w:pPr>
      <w:r>
        <w:rPr>
          <w:color w:val="000000"/>
          <w:spacing w:val="0"/>
          <w:w w:val="100"/>
          <w:position w:val="0"/>
        </w:rPr>
        <w:t>值得注意的是，以</w:t>
      </w:r>
      <w:r>
        <w:rPr>
          <w:color w:val="000000"/>
          <w:spacing w:val="0"/>
          <w:w w:val="100"/>
          <w:position w:val="0"/>
          <w:lang w:val="zh-CN" w:eastAsia="zh-CN" w:bidi="zh-CN"/>
        </w:rPr>
        <w:t>“债务</w:t>
      </w:r>
      <w:r>
        <w:rPr>
          <w:color w:val="000000"/>
          <w:spacing w:val="0"/>
          <w:w w:val="100"/>
          <w:position w:val="0"/>
        </w:rPr>
        <w:t>人的所有财产</w:t>
      </w:r>
      <w:r>
        <w:rPr>
          <w:color w:val="000000"/>
          <w:spacing w:val="0"/>
          <w:w w:val="100"/>
          <w:position w:val="0"/>
          <w:lang w:val="zh-CN" w:eastAsia="zh-CN" w:bidi="zh-CN"/>
        </w:rPr>
        <w:t>”“债</w:t>
      </w:r>
      <w:r>
        <w:rPr>
          <w:color w:val="000000"/>
          <w:spacing w:val="0"/>
          <w:w w:val="100"/>
          <w:position w:val="0"/>
        </w:rPr>
        <w:t>务人的所有动产</w:t>
      </w:r>
      <w:r>
        <w:rPr>
          <w:color w:val="000000"/>
          <w:spacing w:val="0"/>
          <w:w w:val="100"/>
          <w:position w:val="0"/>
          <w:lang w:val="zh-CN" w:eastAsia="zh-CN" w:bidi="zh-CN"/>
        </w:rPr>
        <w:t>”或类</w:t>
      </w:r>
      <w:r>
        <w:rPr>
          <w:color w:val="000000"/>
          <w:spacing w:val="0"/>
          <w:w w:val="100"/>
          <w:position w:val="0"/>
        </w:rPr>
        <w:t xml:space="preserve">似词语进行描述属于 </w:t>
      </w:r>
      <w:r>
        <w:rPr>
          <w:color w:val="000000"/>
          <w:spacing w:val="0"/>
          <w:w w:val="100"/>
          <w:position w:val="0"/>
          <w:lang w:val="zh-CN" w:eastAsia="zh-CN" w:bidi="zh-CN"/>
        </w:rPr>
        <w:t>“超</w:t>
      </w:r>
      <w:r>
        <w:rPr>
          <w:color w:val="000000"/>
          <w:spacing w:val="0"/>
          <w:w w:val="100"/>
          <w:position w:val="0"/>
        </w:rPr>
        <w:t>一般的描述”</w:t>
      </w:r>
      <w:r>
        <w:rPr>
          <w:rFonts w:ascii="Times New Roman" w:hAnsi="Times New Roman" w:eastAsia="Times New Roman" w:cs="Times New Roman"/>
          <w:color w:val="000000"/>
          <w:spacing w:val="0"/>
          <w:w w:val="100"/>
          <w:position w:val="0"/>
          <w:sz w:val="19"/>
          <w:szCs w:val="19"/>
          <w:lang w:val="en-US" w:eastAsia="en-US" w:bidi="en-US"/>
        </w:rPr>
        <w:t>（super-generic description）</w:t>
      </w:r>
      <w:r>
        <w:rPr>
          <w:color w:val="000000"/>
          <w:spacing w:val="0"/>
          <w:w w:val="100"/>
          <w:position w:val="0"/>
        </w:rPr>
        <w:t>，并不能合理地指明担保物。</w:t>
      </w:r>
      <w:r>
        <w:rPr>
          <w:color w:val="000000"/>
          <w:spacing w:val="0"/>
          <w:w w:val="100"/>
          <w:position w:val="0"/>
          <w:lang w:val="zh-CN" w:eastAsia="zh-CN" w:bidi="zh-CN"/>
        </w:rPr>
        <w:t>“个</w:t>
      </w:r>
      <w:r>
        <w:rPr>
          <w:color w:val="000000"/>
          <w:spacing w:val="0"/>
          <w:w w:val="100"/>
          <w:position w:val="0"/>
        </w:rPr>
        <w:t>人资产</w:t>
      </w:r>
      <w:r>
        <w:rPr>
          <w:color w:val="000000"/>
          <w:spacing w:val="0"/>
          <w:w w:val="100"/>
          <w:position w:val="0"/>
          <w:lang w:val="zh-CN" w:eastAsia="zh-CN" w:bidi="zh-CN"/>
        </w:rPr>
        <w:t xml:space="preserve">”抵押 </w:t>
      </w:r>
      <w:r>
        <w:rPr>
          <w:color w:val="000000"/>
          <w:spacing w:val="0"/>
          <w:w w:val="100"/>
          <w:position w:val="0"/>
        </w:rPr>
        <w:t>的约定与此如出一辙，当事人在抵押合同中约定以个人资产设立抵押，其实就是指代其所 有财产。这种描述的确无法使抵押权人合理地识别抵押财产的大致范围，财产的种类、数 量、名称等最为基本的信息都无法在这一描述中得以体现，抵押权人甚至完全无法对抵押 财产的价值建立起有效的评估与预期，更无法进行合理的监管，这将提高债权人实现债权 的风险。因此，个人资产抵押的约定属于不充分的描述，也就无法设立有效的抵押权。本案 中法院认为“未经特定化的个人资产与物权法或担保法中规定的抵押财产即抵押物须特定 化不符”，其道理与“超一般的描述并不充分</w:t>
      </w:r>
      <w:r>
        <w:rPr>
          <w:color w:val="000000"/>
          <w:spacing w:val="0"/>
          <w:w w:val="100"/>
          <w:position w:val="0"/>
          <w:lang w:val="zh-CN" w:eastAsia="zh-CN" w:bidi="zh-CN"/>
        </w:rPr>
        <w:t>”异曲</w:t>
      </w:r>
      <w:r>
        <w:rPr>
          <w:color w:val="000000"/>
          <w:spacing w:val="0"/>
          <w:w w:val="100"/>
          <w:position w:val="0"/>
        </w:rPr>
        <w:t>同工,都指出了个人资产抵押的约定无法 使抵押权人合理识别抵押物的基本信息，违反担保物特定性要求，因此无法成立抵押权。</w:t>
      </w:r>
    </w:p>
    <w:p w14:paraId="5844E301">
      <w:pPr>
        <w:pStyle w:val="17"/>
        <w:keepNext w:val="0"/>
        <w:keepLines w:val="0"/>
        <w:widowControl w:val="0"/>
        <w:shd w:val="clear" w:color="auto" w:fill="auto"/>
        <w:bidi w:val="0"/>
        <w:spacing w:before="0" w:after="0" w:line="377" w:lineRule="auto"/>
        <w:ind w:left="0" w:right="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个人资产抵押与集合抵押、浮动抵押的区别</w:t>
      </w:r>
    </w:p>
    <w:p w14:paraId="7B3F7F94">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个人资产由不动产、动产以及权利构成，通常包括个人的房屋、汽车、各类物品、存款、现 金及股票等，具备集合性、不特定性与浮动性的特点。因此有观点认为个人资产抵押可解 释为集合抵押或浮动抵押。本案中法院依据学理以及原《物权法》的规定，否定了该种观 点。</w:t>
      </w:r>
    </w:p>
    <w:p w14:paraId="07A4F4C0">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首先，集合抵押（又称财团抵押）是指抵押人（企业）将属于企业的土地、建筑物、机械等 物的设备以及企业的知识产权作为一个财产目录的财团，而在其上设定的抵押权［程啸:《担 保物权研究》（第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年版］。对于我国有无集合抵押制度，学界一直 存在争议。有观点认为《物权法》第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395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款）规定的</w:t>
      </w:r>
      <w:r>
        <w:rPr>
          <w:color w:val="000000"/>
          <w:spacing w:val="0"/>
          <w:w w:val="100"/>
          <w:position w:val="0"/>
          <w:lang w:val="zh-CN" w:eastAsia="zh-CN" w:bidi="zh-CN"/>
        </w:rPr>
        <w:t xml:space="preserve">“抵押 </w:t>
      </w:r>
      <w:r>
        <w:rPr>
          <w:color w:val="000000"/>
          <w:spacing w:val="0"/>
          <w:w w:val="100"/>
          <w:position w:val="0"/>
        </w:rPr>
        <w:t>人可以将前款所列财产一并抵押”可以解释为集合抵押，也有观点认为该款规定的是共同 抵押（冉克平:《我国〈物权法〉第</w:t>
      </w:r>
      <w:r>
        <w:rPr>
          <w:rFonts w:ascii="Times New Roman" w:hAnsi="Times New Roman" w:eastAsia="Times New Roman" w:cs="Times New Roman"/>
          <w:color w:val="000000"/>
          <w:spacing w:val="0"/>
          <w:w w:val="100"/>
          <w:position w:val="0"/>
          <w:sz w:val="17"/>
          <w:szCs w:val="17"/>
        </w:rPr>
        <w:t>180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款的理解与适用》，载《法学》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期）。但无论 如何理解《物权法》第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395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款），个人资产抵押都无法解释 为集合抵押。因为集合抵押成立的前提之一是抵押人通过制作抵押财产目录将抵押物特 定化，明示被抵押的财产，并予以总括性的登记。个人资产抵押并不符合这一要求。集合抵 押的实质是数个特定物上分别设立的数个抵押权的集合。</w:t>
      </w:r>
    </w:p>
    <w:p w14:paraId="06A608F1">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其次,浮动抵押是指抵押人以其现有或将有的全部财产或部分财产设立抵押权的制 度。《物权法》以第</w:t>
      </w:r>
      <w:r>
        <w:rPr>
          <w:rFonts w:ascii="Times New Roman" w:hAnsi="Times New Roman" w:eastAsia="Times New Roman" w:cs="Times New Roman"/>
          <w:color w:val="000000"/>
          <w:spacing w:val="0"/>
          <w:w w:val="100"/>
          <w:position w:val="0"/>
          <w:sz w:val="19"/>
          <w:szCs w:val="19"/>
        </w:rPr>
        <w:t>181</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189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404</w:t>
      </w:r>
      <w:r>
        <w:rPr>
          <w:color w:val="000000"/>
          <w:spacing w:val="0"/>
          <w:w w:val="100"/>
          <w:position w:val="0"/>
        </w:rPr>
        <w:t xml:space="preserve">条）和第 </w:t>
      </w:r>
      <w:r>
        <w:rPr>
          <w:rFonts w:ascii="Times New Roman" w:hAnsi="Times New Roman" w:eastAsia="Times New Roman" w:cs="Times New Roman"/>
          <w:color w:val="000000"/>
          <w:spacing w:val="0"/>
          <w:w w:val="100"/>
          <w:position w:val="0"/>
          <w:sz w:val="19"/>
          <w:szCs w:val="19"/>
        </w:rPr>
        <w:t>196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411</w:t>
      </w:r>
      <w:r>
        <w:rPr>
          <w:color w:val="000000"/>
          <w:spacing w:val="0"/>
          <w:w w:val="100"/>
          <w:position w:val="0"/>
        </w:rPr>
        <w:t xml:space="preserve">条）三个条款规定了浮动抵押制度。浮动抵押的特点之一便是其 抵押物处于变动之中，且在法律规定的情形发生前，抵押人可以不经抵押权人同意自由处 分抵押物。因此,浮动抵押制度兼具了融资的高效率性与抵押权实现的高风险性两个特 点，立法者出于利益平衡的目的对主体和抵押物范围进行了适当限制。根据原《物权法》第 </w:t>
      </w:r>
      <w:r>
        <w:rPr>
          <w:rFonts w:ascii="Times New Roman" w:hAnsi="Times New Roman" w:eastAsia="Times New Roman" w:cs="Times New Roman"/>
          <w:color w:val="000000"/>
          <w:spacing w:val="0"/>
          <w:w w:val="100"/>
          <w:position w:val="0"/>
          <w:sz w:val="19"/>
          <w:szCs w:val="19"/>
        </w:rPr>
        <w:t>181</w:t>
      </w:r>
      <w:r>
        <w:rPr>
          <w:color w:val="000000"/>
          <w:spacing w:val="0"/>
          <w:w w:val="100"/>
          <w:position w:val="0"/>
        </w:rPr>
        <w:t>条的规定，我国浮动抵押的设立主体仅包括</w:t>
      </w:r>
      <w:r>
        <w:rPr>
          <w:color w:val="000000"/>
          <w:spacing w:val="0"/>
          <w:w w:val="100"/>
          <w:position w:val="0"/>
          <w:lang w:val="zh-CN" w:eastAsia="zh-CN" w:bidi="zh-CN"/>
        </w:rPr>
        <w:t>“企业</w:t>
      </w:r>
      <w:r>
        <w:rPr>
          <w:color w:val="000000"/>
          <w:spacing w:val="0"/>
          <w:w w:val="100"/>
          <w:position w:val="0"/>
        </w:rPr>
        <w:t>、个体工商户、农业生产经营者</w:t>
      </w:r>
      <w:r>
        <w:rPr>
          <w:color w:val="000000"/>
          <w:spacing w:val="0"/>
          <w:w w:val="100"/>
          <w:position w:val="0"/>
          <w:lang w:val="zh-CN" w:eastAsia="zh-CN" w:bidi="zh-CN"/>
        </w:rPr>
        <w:t>”三类</w:t>
      </w:r>
      <w:r>
        <w:rPr>
          <w:color w:val="000000"/>
          <w:spacing w:val="0"/>
          <w:w w:val="100"/>
          <w:position w:val="0"/>
        </w:rPr>
        <w:t>, 而抵押物仅限于现有的以及将有的</w:t>
      </w:r>
      <w:r>
        <w:rPr>
          <w:color w:val="000000"/>
          <w:spacing w:val="0"/>
          <w:w w:val="100"/>
          <w:position w:val="0"/>
          <w:lang w:val="zh-CN" w:eastAsia="zh-CN" w:bidi="zh-CN"/>
        </w:rPr>
        <w:t>“生</w:t>
      </w:r>
      <w:r>
        <w:rPr>
          <w:color w:val="000000"/>
          <w:spacing w:val="0"/>
          <w:w w:val="100"/>
          <w:position w:val="0"/>
        </w:rPr>
        <w:t>产设备、原材料、半成品、产品</w:t>
      </w:r>
      <w:r>
        <w:rPr>
          <w:color w:val="000000"/>
          <w:spacing w:val="0"/>
          <w:w w:val="100"/>
          <w:position w:val="0"/>
          <w:lang w:val="zh-CN" w:eastAsia="zh-CN" w:bidi="zh-CN"/>
        </w:rPr>
        <w:t>”四类</w:t>
      </w:r>
      <w:r>
        <w:rPr>
          <w:color w:val="000000"/>
          <w:spacing w:val="0"/>
          <w:w w:val="100"/>
          <w:position w:val="0"/>
        </w:rPr>
        <w:t>动产。基于此, 本案二审法官认为，虽然个人资产抵押的概括性约定在性质上比较接近浮动抵押，但个人 资产抵押的主体为自然人，抵押物更是超过了上述四类动产的范围，与原《物权法》规定不 符,因此个人资产抵押不能解释为浮动抵押。</w:t>
      </w:r>
    </w:p>
    <w:p w14:paraId="7DF42C61">
      <w:pPr>
        <w:pStyle w:val="17"/>
        <w:keepNext w:val="0"/>
        <w:keepLines w:val="0"/>
        <w:widowControl w:val="0"/>
        <w:shd w:val="clear" w:color="auto" w:fill="auto"/>
        <w:bidi w:val="0"/>
        <w:spacing w:before="0" w:after="4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既有司法实践状况</w:t>
      </w:r>
    </w:p>
    <w:p w14:paraId="0EFD7C82">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司法实践中，当事人未经专业的法律训练,其用于表达内心意思的用语往往不是专业 的法律术语，而是日常生活中的经验性表述。因此合同中会出现担保人以个人资产作抵押 这样的概括性约定。本案的判决于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年作出，为之后法院对个人资产抵押的约定进行裁 判提供了极大的参考价值。如“曾逸文、汪蕾与被告兴化市三鑫农村小额贷款有限公司、金 霞民间借贷纠纷案</w:t>
      </w:r>
      <w:r>
        <w:rPr>
          <w:color w:val="000000"/>
          <w:spacing w:val="0"/>
          <w:w w:val="100"/>
          <w:position w:val="0"/>
          <w:lang w:val="zh-CN" w:eastAsia="zh-CN" w:bidi="zh-CN"/>
        </w:rPr>
        <w:t>”［江</w:t>
      </w:r>
      <w:r>
        <w:rPr>
          <w:color w:val="000000"/>
          <w:spacing w:val="0"/>
          <w:w w:val="100"/>
          <w:position w:val="0"/>
        </w:rPr>
        <w:t>苏省南京市玄武区人民法院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玄锁民初字第</w:t>
      </w:r>
      <w:r>
        <w:rPr>
          <w:rFonts w:ascii="Times New Roman" w:hAnsi="Times New Roman" w:eastAsia="Times New Roman" w:cs="Times New Roman"/>
          <w:color w:val="000000"/>
          <w:spacing w:val="0"/>
          <w:w w:val="100"/>
          <w:position w:val="0"/>
          <w:sz w:val="17"/>
          <w:szCs w:val="17"/>
        </w:rPr>
        <w:t>550</w:t>
      </w:r>
      <w:r>
        <w:rPr>
          <w:color w:val="000000"/>
          <w:spacing w:val="0"/>
          <w:w w:val="100"/>
          <w:position w:val="0"/>
        </w:rPr>
        <w:t>号民事判决书］</w:t>
      </w:r>
      <w:r>
        <w:rPr>
          <w:color w:val="000000"/>
          <w:spacing w:val="0"/>
          <w:w w:val="100"/>
          <w:position w:val="0"/>
          <w:lang w:val="zh-CN" w:eastAsia="zh-CN" w:bidi="zh-CN"/>
        </w:rPr>
        <w:t xml:space="preserve">、“合 </w:t>
      </w:r>
      <w:r>
        <w:rPr>
          <w:color w:val="000000"/>
          <w:spacing w:val="0"/>
          <w:w w:val="100"/>
          <w:position w:val="0"/>
        </w:rPr>
        <w:t>肥迈新电子科技有限公司与黄山市浩涵电子标识销售有限公司、吴清平买卖合同纠纷案” ［合肥市包河区法院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包民二初字第</w:t>
      </w:r>
      <w:r>
        <w:rPr>
          <w:rFonts w:ascii="Times New Roman" w:hAnsi="Times New Roman" w:eastAsia="Times New Roman" w:cs="Times New Roman"/>
          <w:color w:val="000000"/>
          <w:spacing w:val="0"/>
          <w:w w:val="100"/>
          <w:position w:val="0"/>
          <w:sz w:val="17"/>
          <w:szCs w:val="17"/>
        </w:rPr>
        <w:t>01373</w:t>
      </w:r>
      <w:r>
        <w:rPr>
          <w:color w:val="000000"/>
          <w:spacing w:val="0"/>
          <w:w w:val="100"/>
          <w:position w:val="0"/>
        </w:rPr>
        <w:t>号民事判决书］</w:t>
      </w:r>
      <w:r>
        <w:rPr>
          <w:color w:val="000000"/>
          <w:spacing w:val="0"/>
          <w:w w:val="100"/>
          <w:position w:val="0"/>
          <w:lang w:val="zh-CN" w:eastAsia="zh-CN" w:bidi="zh-CN"/>
        </w:rPr>
        <w:t>、“无</w:t>
      </w:r>
      <w:r>
        <w:rPr>
          <w:color w:val="000000"/>
          <w:spacing w:val="0"/>
          <w:w w:val="100"/>
          <w:position w:val="0"/>
        </w:rPr>
        <w:t>锡凯奥动力机械有限公司与 重庆鑫水机械制造有限公司、袁心红买卖合同纠纷案”［无锡市滨湖区法院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苏</w:t>
      </w:r>
      <w:r>
        <w:rPr>
          <w:rFonts w:ascii="Times New Roman" w:hAnsi="Times New Roman" w:eastAsia="Times New Roman" w:cs="Times New Roman"/>
          <w:color w:val="000000"/>
          <w:spacing w:val="0"/>
          <w:w w:val="100"/>
          <w:position w:val="0"/>
          <w:sz w:val="17"/>
          <w:szCs w:val="17"/>
        </w:rPr>
        <w:t>0211</w:t>
      </w:r>
      <w:r>
        <w:rPr>
          <w:color w:val="000000"/>
          <w:spacing w:val="0"/>
          <w:w w:val="100"/>
          <w:position w:val="0"/>
        </w:rPr>
        <w:t xml:space="preserve">民初 </w:t>
      </w:r>
      <w:r>
        <w:rPr>
          <w:rFonts w:ascii="Times New Roman" w:hAnsi="Times New Roman" w:eastAsia="Times New Roman" w:cs="Times New Roman"/>
          <w:color w:val="000000"/>
          <w:spacing w:val="0"/>
          <w:w w:val="100"/>
          <w:position w:val="0"/>
          <w:sz w:val="17"/>
          <w:szCs w:val="17"/>
        </w:rPr>
        <w:t>206</w:t>
      </w:r>
      <w:r>
        <w:rPr>
          <w:color w:val="000000"/>
          <w:spacing w:val="0"/>
          <w:w w:val="100"/>
          <w:position w:val="0"/>
        </w:rPr>
        <w:t>号民事判决书］</w:t>
      </w:r>
      <w:r>
        <w:rPr>
          <w:color w:val="000000"/>
          <w:spacing w:val="0"/>
          <w:w w:val="100"/>
          <w:position w:val="0"/>
          <w:lang w:val="zh-CN" w:eastAsia="zh-CN" w:bidi="zh-CN"/>
        </w:rPr>
        <w:t>、“湘</w:t>
      </w:r>
      <w:r>
        <w:rPr>
          <w:color w:val="000000"/>
          <w:spacing w:val="0"/>
          <w:w w:val="100"/>
          <w:position w:val="0"/>
        </w:rPr>
        <w:t>西自治州鸿瑞科技有限公司与保靖县永和新型材料有限公司进出口 代理合同纠纷案</w:t>
      </w:r>
      <w:r>
        <w:rPr>
          <w:color w:val="000000"/>
          <w:spacing w:val="0"/>
          <w:w w:val="100"/>
          <w:position w:val="0"/>
          <w:lang w:val="zh-CN" w:eastAsia="zh-CN" w:bidi="zh-CN"/>
        </w:rPr>
        <w:t>”［湖</w:t>
      </w:r>
      <w:r>
        <w:rPr>
          <w:color w:val="000000"/>
          <w:spacing w:val="0"/>
          <w:w w:val="100"/>
          <w:position w:val="0"/>
        </w:rPr>
        <w:t>南省保靖县人民法院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湘</w:t>
      </w:r>
      <w:r>
        <w:rPr>
          <w:rFonts w:ascii="Times New Roman" w:hAnsi="Times New Roman" w:eastAsia="Times New Roman" w:cs="Times New Roman"/>
          <w:color w:val="000000"/>
          <w:spacing w:val="0"/>
          <w:w w:val="100"/>
          <w:position w:val="0"/>
          <w:sz w:val="17"/>
          <w:szCs w:val="17"/>
        </w:rPr>
        <w:t>3125</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391</w:t>
      </w:r>
      <w:r>
        <w:rPr>
          <w:color w:val="000000"/>
          <w:spacing w:val="0"/>
          <w:w w:val="100"/>
          <w:position w:val="0"/>
        </w:rPr>
        <w:t>号民事判决书］等。上述案件 中担保人釆用了以个人资产作抵押为债务提供担保的约定，审理法院均认为该约定违反抵 押物特定性要求而不能成立抵押担保，其更加符合保证的性质，判决担保人承担相应的保 证责任。</w:t>
      </w:r>
    </w:p>
    <w:p w14:paraId="520CAAB0">
      <w:pPr>
        <w:pStyle w:val="17"/>
        <w:keepNext w:val="0"/>
        <w:keepLines w:val="0"/>
        <w:widowControl w:val="0"/>
        <w:shd w:val="clear" w:color="auto" w:fill="auto"/>
        <w:bidi w:val="0"/>
        <w:spacing w:before="0" w:after="4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本案的参考意义及将来的课题</w:t>
      </w:r>
    </w:p>
    <w:p w14:paraId="3FC516E7">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本案明确了个人资产抵押的约定因违反担保物特定性要求而不能成立抵押权。该判 决不仅为类案裁判提供参考，亦能发挥对当事人的指引作用。当事人在担保合同中应当避 免使用个人资产抵押这样过于概括性的描述，而是对担保物信息进行最基本的描述，否则 无法成立有效的抵押权。此外，法院应当注意到《民法典》对当事人在担保合同中应当描述 的担保物信息进行了修改:第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项规定抵押合同中一般包括</w:t>
      </w:r>
      <w:r>
        <w:rPr>
          <w:color w:val="000000"/>
          <w:spacing w:val="0"/>
          <w:w w:val="100"/>
          <w:position w:val="0"/>
          <w:lang w:val="zh-CN" w:eastAsia="zh-CN" w:bidi="zh-CN"/>
        </w:rPr>
        <w:t>“抵</w:t>
      </w:r>
      <w:r>
        <w:rPr>
          <w:color w:val="000000"/>
          <w:spacing w:val="0"/>
          <w:w w:val="100"/>
          <w:position w:val="0"/>
        </w:rPr>
        <w:t>押财产的名 称、数量等情况”;第</w:t>
      </w:r>
      <w:r>
        <w:rPr>
          <w:rFonts w:ascii="Times New Roman" w:hAnsi="Times New Roman" w:eastAsia="Times New Roman" w:cs="Times New Roman"/>
          <w:color w:val="000000"/>
          <w:spacing w:val="0"/>
          <w:w w:val="100"/>
          <w:position w:val="0"/>
          <w:sz w:val="19"/>
          <w:szCs w:val="19"/>
        </w:rPr>
        <w:t>427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项规定质权合同中一般包括</w:t>
      </w:r>
      <w:r>
        <w:rPr>
          <w:color w:val="000000"/>
          <w:spacing w:val="0"/>
          <w:w w:val="100"/>
          <w:position w:val="0"/>
          <w:lang w:val="zh-CN" w:eastAsia="zh-CN" w:bidi="zh-CN"/>
        </w:rPr>
        <w:t>“质</w:t>
      </w:r>
      <w:r>
        <w:rPr>
          <w:color w:val="000000"/>
          <w:spacing w:val="0"/>
          <w:w w:val="100"/>
          <w:position w:val="0"/>
        </w:rPr>
        <w:t>押财产的名称、数量 等情况</w:t>
      </w:r>
      <w:r>
        <w:rPr>
          <w:color w:val="000000"/>
          <w:spacing w:val="0"/>
          <w:w w:val="100"/>
          <w:position w:val="0"/>
          <w:lang w:val="zh-CN" w:eastAsia="zh-CN" w:bidi="zh-CN"/>
        </w:rPr>
        <w:t>”，一</w:t>
      </w:r>
      <w:r>
        <w:rPr>
          <w:color w:val="000000"/>
          <w:spacing w:val="0"/>
          <w:w w:val="100"/>
          <w:position w:val="0"/>
        </w:rPr>
        <w:t>改原《物权法》中要求担保合同中详尽描述担保物信息的规定。名称、数量作为 识别担保物的最基本信息，也是担保物特定的最低要求。这一修改极大缓和了原先担保物 特定的严格标准，为浮动抵押的设立提供了更为灵活的空间。《民法典》颁布后，担保人在 担保合同中必须描述担保物的名称与数量，法院应当以此作为判断担保物是否特定的标 准,而是否记载原《物权法》所要求的担保物的质量、状况、所在地以及权属问题，则属于当 事人自行约定选择的内容。</w:t>
      </w:r>
    </w:p>
    <w:p w14:paraId="37D60C14">
      <w:pPr>
        <w:pStyle w:val="11"/>
        <w:keepNext w:val="0"/>
        <w:keepLines w:val="0"/>
        <w:widowControl w:val="0"/>
        <w:shd w:val="clear" w:color="auto" w:fill="auto"/>
        <w:bidi w:val="0"/>
        <w:spacing w:before="0" w:after="40" w:line="345" w:lineRule="exact"/>
        <w:ind w:left="0" w:right="0" w:firstLine="0"/>
        <w:jc w:val="both"/>
      </w:pPr>
      <w:r>
        <w:rPr>
          <w:color w:val="000000"/>
          <w:spacing w:val="0"/>
          <w:w w:val="100"/>
          <w:position w:val="0"/>
        </w:rPr>
        <w:t>回参考文献</w:t>
      </w:r>
    </w:p>
    <w:p w14:paraId="0CFE7C8D">
      <w:pPr>
        <w:pStyle w:val="17"/>
        <w:keepNext w:val="0"/>
        <w:keepLines w:val="0"/>
        <w:widowControl w:val="0"/>
        <w:shd w:val="clear" w:color="auto" w:fill="auto"/>
        <w:bidi w:val="0"/>
        <w:spacing w:before="0" w:after="100" w:line="345" w:lineRule="exact"/>
        <w:ind w:left="0" w:right="0" w:firstLine="0"/>
        <w:jc w:val="both"/>
      </w:pPr>
      <w:r>
        <w:rPr>
          <w:color w:val="000000"/>
          <w:spacing w:val="0"/>
          <w:w w:val="100"/>
          <w:position w:val="0"/>
        </w:rPr>
        <w:t>程啸:《担保物权研究》（第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w:t>
      </w:r>
    </w:p>
    <w:p w14:paraId="351B66A0">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lang w:val="en-US" w:eastAsia="en-US" w:bidi="en-US"/>
        </w:rPr>
        <w:t>［</w:t>
      </w:r>
      <w:r>
        <w:rPr>
          <w:color w:val="000000"/>
          <w:spacing w:val="0"/>
          <w:w w:val="100"/>
          <w:position w:val="0"/>
        </w:rPr>
        <w:t>日</w:t>
      </w:r>
      <w:r>
        <w:rPr>
          <w:color w:val="000000"/>
          <w:spacing w:val="0"/>
          <w:w w:val="100"/>
          <w:position w:val="0"/>
          <w:lang w:val="en-US" w:eastAsia="en-US" w:bidi="en-US"/>
        </w:rPr>
        <w:t>］</w:t>
      </w:r>
      <w:r>
        <w:rPr>
          <w:color w:val="000000"/>
          <w:spacing w:val="0"/>
          <w:w w:val="100"/>
          <w:position w:val="0"/>
        </w:rPr>
        <w:t>我妻荣:《新订担保物权法》，中国法制出版社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w:t>
      </w:r>
    </w:p>
    <w:p w14:paraId="42967C71">
      <w:pPr>
        <w:pStyle w:val="17"/>
        <w:keepNext w:val="0"/>
        <w:keepLines w:val="0"/>
        <w:widowControl w:val="0"/>
        <w:shd w:val="clear" w:color="auto" w:fill="auto"/>
        <w:bidi w:val="0"/>
        <w:spacing w:before="0" w:after="0" w:line="240" w:lineRule="auto"/>
        <w:ind w:left="0" w:right="0" w:firstLine="0"/>
        <w:jc w:val="both"/>
      </w:pPr>
      <w:r>
        <w:rPr>
          <w:color w:val="000000"/>
          <w:spacing w:val="0"/>
          <w:w w:val="100"/>
          <w:position w:val="0"/>
        </w:rPr>
        <w:t>谢在全:《民法物权论》（中册），中国政法大学出版社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7463E017">
      <w:pPr>
        <w:pStyle w:val="17"/>
        <w:keepNext w:val="0"/>
        <w:keepLines w:val="0"/>
        <w:widowControl w:val="0"/>
        <w:shd w:val="clear" w:color="auto" w:fill="auto"/>
        <w:bidi w:val="0"/>
        <w:spacing w:before="0" w:after="0" w:line="345" w:lineRule="exact"/>
        <w:ind w:left="0" w:right="0" w:firstLine="0"/>
        <w:jc w:val="both"/>
      </w:pPr>
      <w:r>
        <w:rPr>
          <w:color w:val="000000"/>
          <w:spacing w:val="0"/>
          <w:w w:val="100"/>
          <w:position w:val="0"/>
        </w:rPr>
        <w:t>谢在全:《担保物权制度的成长与蜕变》，载《法学家》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0427083">
      <w:pPr>
        <w:pStyle w:val="17"/>
        <w:keepNext w:val="0"/>
        <w:keepLines w:val="0"/>
        <w:widowControl w:val="0"/>
        <w:shd w:val="clear" w:color="auto" w:fill="auto"/>
        <w:bidi w:val="0"/>
        <w:spacing w:before="0" w:after="100" w:line="345" w:lineRule="exact"/>
        <w:ind w:left="0" w:right="0" w:firstLine="0"/>
        <w:jc w:val="both"/>
        <w:sectPr>
          <w:headerReference r:id="rId278" w:type="default"/>
          <w:headerReference r:id="rId279" w:type="even"/>
          <w:footnotePr>
            <w:numFmt w:val="chicago"/>
          </w:footnotePr>
          <w:pgSz w:w="10099" w:h="14782"/>
          <w:pgMar w:top="1331" w:right="1081" w:bottom="1083" w:left="1013" w:header="0" w:footer="3" w:gutter="0"/>
          <w:pgNumType w:start="212"/>
          <w:cols w:space="720" w:num="1"/>
          <w:rtlGutter w:val="0"/>
          <w:docGrid w:linePitch="360" w:charSpace="0"/>
        </w:sectPr>
      </w:pPr>
      <w:r>
        <w:rPr>
          <w:color w:val="000000"/>
          <w:spacing w:val="0"/>
          <w:w w:val="100"/>
          <w:position w:val="0"/>
        </w:rPr>
        <w:t>冉克平:《我国〈物权法〉第</w:t>
      </w:r>
      <w:r>
        <w:rPr>
          <w:rFonts w:ascii="Times New Roman" w:hAnsi="Times New Roman" w:eastAsia="Times New Roman" w:cs="Times New Roman"/>
          <w:color w:val="000000"/>
          <w:spacing w:val="0"/>
          <w:w w:val="100"/>
          <w:position w:val="0"/>
          <w:sz w:val="17"/>
          <w:szCs w:val="17"/>
        </w:rPr>
        <w:t>180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款的理解与适用》，载《法学》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w:t>
      </w:r>
    </w:p>
    <w:p w14:paraId="2771BE81">
      <w:pPr>
        <w:widowControl w:val="0"/>
        <w:spacing w:line="159" w:lineRule="exact"/>
        <w:rPr>
          <w:sz w:val="13"/>
          <w:szCs w:val="13"/>
        </w:rPr>
      </w:pPr>
    </w:p>
    <w:p w14:paraId="1B330D6F">
      <w:pPr>
        <w:widowControl w:val="0"/>
        <w:spacing w:line="1" w:lineRule="exact"/>
        <w:sectPr>
          <w:headerReference r:id="rId280" w:type="default"/>
          <w:headerReference r:id="rId281" w:type="even"/>
          <w:footnotePr>
            <w:numFmt w:val="chicago"/>
          </w:footnotePr>
          <w:pgSz w:w="10099" w:h="14782"/>
          <w:pgMar w:top="1292" w:right="981" w:bottom="1126" w:left="1102" w:header="0" w:footer="3" w:gutter="0"/>
          <w:pgNumType w:start="232"/>
          <w:cols w:space="720" w:num="1"/>
          <w:rtlGutter w:val="0"/>
          <w:docGrid w:linePitch="360" w:charSpace="0"/>
        </w:sectPr>
      </w:pPr>
    </w:p>
    <w:p w14:paraId="4B8E9A6F">
      <w:pPr>
        <w:widowControl w:val="0"/>
        <w:spacing w:line="1" w:lineRule="exact"/>
      </w:pPr>
      <w:r>
        <mc:AlternateContent>
          <mc:Choice Requires="wps">
            <w:drawing>
              <wp:anchor distT="0" distB="13970" distL="114300" distR="2257425" simplePos="0" relativeHeight="251660288" behindDoc="0" locked="0" layoutInCell="1" allowOverlap="1">
                <wp:simplePos x="0" y="0"/>
                <wp:positionH relativeFrom="page">
                  <wp:posOffset>765175</wp:posOffset>
                </wp:positionH>
                <wp:positionV relativeFrom="paragraph">
                  <wp:posOffset>12700</wp:posOffset>
                </wp:positionV>
                <wp:extent cx="450850" cy="304800"/>
                <wp:effectExtent l="0" t="0" r="0" b="0"/>
                <wp:wrapTopAndBottom/>
                <wp:docPr id="633" name="Shape 633"/>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234E043E">
                            <w:pPr>
                              <w:pStyle w:val="27"/>
                              <w:keepNext/>
                              <w:keepLines/>
                              <w:widowControl w:val="0"/>
                              <w:shd w:val="clear" w:color="auto" w:fill="auto"/>
                              <w:bidi w:val="0"/>
                              <w:spacing w:before="0" w:after="0" w:line="240" w:lineRule="auto"/>
                              <w:ind w:left="0" w:right="0" w:firstLine="0"/>
                              <w:jc w:val="both"/>
                            </w:pPr>
                            <w:bookmarkStart w:id="399" w:name="bookmark288"/>
                            <w:bookmarkStart w:id="400" w:name="bookmark289"/>
                            <w:bookmarkStart w:id="401" w:name="bookmark287"/>
                            <w:r>
                              <w:rPr>
                                <w:rFonts w:ascii="Times New Roman" w:hAnsi="Times New Roman" w:eastAsia="Times New Roman" w:cs="Times New Roman"/>
                                <w:color w:val="000000"/>
                                <w:spacing w:val="0"/>
                                <w:w w:val="100"/>
                                <w:position w:val="0"/>
                              </w:rPr>
                              <w:t>044</w:t>
                            </w:r>
                            <w:bookmarkEnd w:id="399"/>
                            <w:bookmarkEnd w:id="400"/>
                            <w:bookmarkEnd w:id="401"/>
                          </w:p>
                        </w:txbxContent>
                      </wps:txbx>
                      <wps:bodyPr wrap="none" lIns="0" tIns="0" rIns="0" bIns="0">
                        <a:noAutofit/>
                      </wps:bodyPr>
                    </wps:wsp>
                  </a:graphicData>
                </a:graphic>
              </wp:anchor>
            </w:drawing>
          </mc:Choice>
          <mc:Fallback>
            <w:pict>
              <v:shape id="Shape 633" o:spid="_x0000_s1026" o:spt="202" type="#_x0000_t202" style="position:absolute;left:0pt;margin-left:60.25pt;margin-top:1pt;height:24pt;width:35.5pt;mso-position-horizontal-relative:page;mso-wrap-distance-bottom:1.1pt;mso-wrap-distance-top:0pt;mso-wrap-style:none;z-index:251660288;mso-width-relative:page;mso-height-relative:page;" filled="f" stroked="f" coordsize="21600,21600" o:gfxdata="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8iW1K0wAAAAgB&#10;AAAPAAAAAAAAAAEAIAAAACIAAABkcnMvZG93bnJldi54bWxQSwECFAAUAAAACACHTuJANhpXeq4B&#10;AABzAwAADgAAAAAAAAABACAAAAAiAQAAZHJzL2Uyb0RvYy54bWxQSwUGAAAAAAYABgBZAQAAQgUA&#10;AAAA&#10;">
                <v:fill on="f" focussize="0,0"/>
                <v:stroke on="f"/>
                <v:imagedata o:title=""/>
                <o:lock v:ext="edit" aspectratio="f"/>
                <v:textbox inset="0mm,0mm,0mm,0mm">
                  <w:txbxContent>
                    <w:p w14:paraId="234E043E">
                      <w:pPr>
                        <w:pStyle w:val="27"/>
                        <w:keepNext/>
                        <w:keepLines/>
                        <w:widowControl w:val="0"/>
                        <w:shd w:val="clear" w:color="auto" w:fill="auto"/>
                        <w:bidi w:val="0"/>
                        <w:spacing w:before="0" w:after="0" w:line="240" w:lineRule="auto"/>
                        <w:ind w:left="0" w:right="0" w:firstLine="0"/>
                        <w:jc w:val="both"/>
                      </w:pPr>
                      <w:bookmarkStart w:id="399" w:name="bookmark288"/>
                      <w:bookmarkStart w:id="400" w:name="bookmark289"/>
                      <w:bookmarkStart w:id="401" w:name="bookmark287"/>
                      <w:r>
                        <w:rPr>
                          <w:rFonts w:ascii="Times New Roman" w:hAnsi="Times New Roman" w:eastAsia="Times New Roman" w:cs="Times New Roman"/>
                          <w:color w:val="000000"/>
                          <w:spacing w:val="0"/>
                          <w:w w:val="100"/>
                          <w:position w:val="0"/>
                        </w:rPr>
                        <w:t>044</w:t>
                      </w:r>
                      <w:bookmarkEnd w:id="399"/>
                      <w:bookmarkEnd w:id="400"/>
                      <w:bookmarkEnd w:id="401"/>
                    </w:p>
                  </w:txbxContent>
                </v:textbox>
                <w10:wrap type="topAndBottom"/>
              </v:shape>
            </w:pict>
          </mc:Fallback>
        </mc:AlternateContent>
      </w:r>
      <w:r>
        <mc:AlternateContent>
          <mc:Choice Requires="wps">
            <w:drawing>
              <wp:anchor distT="82550" distB="0" distL="690245" distR="114300" simplePos="0" relativeHeight="251660288" behindDoc="0" locked="0" layoutInCell="1" allowOverlap="1">
                <wp:simplePos x="0" y="0"/>
                <wp:positionH relativeFrom="page">
                  <wp:posOffset>1341120</wp:posOffset>
                </wp:positionH>
                <wp:positionV relativeFrom="paragraph">
                  <wp:posOffset>95250</wp:posOffset>
                </wp:positionV>
                <wp:extent cx="2018030" cy="236220"/>
                <wp:effectExtent l="0" t="0" r="0" b="0"/>
                <wp:wrapTopAndBottom/>
                <wp:docPr id="635" name="Shape 635"/>
                <wp:cNvGraphicFramePr/>
                <a:graphic xmlns:a="http://schemas.openxmlformats.org/drawingml/2006/main">
                  <a:graphicData uri="http://schemas.microsoft.com/office/word/2010/wordprocessingShape">
                    <wps:wsp>
                      <wps:cNvSpPr txBox="1"/>
                      <wps:spPr>
                        <a:xfrm>
                          <a:off x="0" y="0"/>
                          <a:ext cx="2018030" cy="236220"/>
                        </a:xfrm>
                        <a:prstGeom prst="rect">
                          <a:avLst/>
                        </a:prstGeom>
                        <a:noFill/>
                      </wps:spPr>
                      <wps:txbx>
                        <w:txbxContent>
                          <w:p w14:paraId="483074B0">
                            <w:pPr>
                              <w:pStyle w:val="15"/>
                              <w:keepNext/>
                              <w:keepLines/>
                              <w:widowControl w:val="0"/>
                              <w:shd w:val="clear" w:color="auto" w:fill="auto"/>
                              <w:bidi w:val="0"/>
                              <w:spacing w:before="0" w:after="0" w:line="240" w:lineRule="auto"/>
                              <w:ind w:left="0" w:right="0" w:firstLine="0"/>
                              <w:jc w:val="left"/>
                            </w:pPr>
                            <w:bookmarkStart w:id="402" w:name="bookmark291"/>
                            <w:bookmarkStart w:id="403" w:name="bookmark292"/>
                            <w:bookmarkStart w:id="404" w:name="bookmark290"/>
                            <w:r>
                              <w:rPr>
                                <w:color w:val="000000"/>
                                <w:spacing w:val="0"/>
                                <w:w w:val="100"/>
                                <w:position w:val="0"/>
                              </w:rPr>
                              <w:t>未登记抵押合同的效力</w:t>
                            </w:r>
                            <w:bookmarkEnd w:id="402"/>
                            <w:bookmarkEnd w:id="403"/>
                            <w:bookmarkEnd w:id="404"/>
                          </w:p>
                        </w:txbxContent>
                      </wps:txbx>
                      <wps:bodyPr wrap="none" lIns="0" tIns="0" rIns="0" bIns="0">
                        <a:noAutofit/>
                      </wps:bodyPr>
                    </wps:wsp>
                  </a:graphicData>
                </a:graphic>
              </wp:anchor>
            </w:drawing>
          </mc:Choice>
          <mc:Fallback>
            <w:pict>
              <v:shape id="Shape 635" o:spid="_x0000_s1026" o:spt="202" type="#_x0000_t202" style="position:absolute;left:0pt;margin-left:105.6pt;margin-top:7.5pt;height:18.6pt;width:158.9pt;mso-position-horizontal-relative:page;mso-wrap-distance-bottom:0pt;mso-wrap-distance-top:6.5pt;mso-wrap-style:none;z-index:251660288;mso-width-relative:page;mso-height-relative:page;" filled="f" stroked="f" coordsize="21600,21600" o:gfxdata="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WubNs1AAAAAkB&#10;AAAPAAAAAAAAAAEAIAAAACIAAABkcnMvZG93bnJldi54bWxQSwECFAAUAAAACACHTuJArbA2ya0B&#10;AAB0AwAADgAAAAAAAAABACAAAAAjAQAAZHJzL2Uyb0RvYy54bWxQSwUGAAAAAAYABgBZAQAAQgUA&#10;AAAA&#10;">
                <v:fill on="f" focussize="0,0"/>
                <v:stroke on="f"/>
                <v:imagedata o:title=""/>
                <o:lock v:ext="edit" aspectratio="f"/>
                <v:textbox inset="0mm,0mm,0mm,0mm">
                  <w:txbxContent>
                    <w:p w14:paraId="483074B0">
                      <w:pPr>
                        <w:pStyle w:val="15"/>
                        <w:keepNext/>
                        <w:keepLines/>
                        <w:widowControl w:val="0"/>
                        <w:shd w:val="clear" w:color="auto" w:fill="auto"/>
                        <w:bidi w:val="0"/>
                        <w:spacing w:before="0" w:after="0" w:line="240" w:lineRule="auto"/>
                        <w:ind w:left="0" w:right="0" w:firstLine="0"/>
                        <w:jc w:val="left"/>
                      </w:pPr>
                      <w:bookmarkStart w:id="402" w:name="bookmark291"/>
                      <w:bookmarkStart w:id="403" w:name="bookmark292"/>
                      <w:bookmarkStart w:id="404" w:name="bookmark290"/>
                      <w:r>
                        <w:rPr>
                          <w:color w:val="000000"/>
                          <w:spacing w:val="0"/>
                          <w:w w:val="100"/>
                          <w:position w:val="0"/>
                        </w:rPr>
                        <w:t>未登记抵押合同的效力</w:t>
                      </w:r>
                      <w:bookmarkEnd w:id="402"/>
                      <w:bookmarkEnd w:id="403"/>
                      <w:bookmarkEnd w:id="404"/>
                    </w:p>
                  </w:txbxContent>
                </v:textbox>
                <w10:wrap type="topAndBottom"/>
              </v:shape>
            </w:pict>
          </mc:Fallback>
        </mc:AlternateContent>
      </w:r>
      <w:r>
        <w:drawing>
          <wp:anchor distT="0" distB="0" distL="427990" distR="114300" simplePos="0" relativeHeight="251660288" behindDoc="0" locked="0" layoutInCell="1" allowOverlap="1">
            <wp:simplePos x="0" y="0"/>
            <wp:positionH relativeFrom="page">
              <wp:posOffset>5139055</wp:posOffset>
            </wp:positionH>
            <wp:positionV relativeFrom="paragraph">
              <wp:posOffset>216535</wp:posOffset>
            </wp:positionV>
            <wp:extent cx="615950" cy="621665"/>
            <wp:effectExtent l="0" t="0" r="6350" b="635"/>
            <wp:wrapSquare wrapText="left"/>
            <wp:docPr id="637" name="Shape 637"/>
            <wp:cNvGraphicFramePr/>
            <a:graphic xmlns:a="http://schemas.openxmlformats.org/drawingml/2006/main">
              <a:graphicData uri="http://schemas.openxmlformats.org/drawingml/2006/picture">
                <pic:pic xmlns:pic="http://schemas.openxmlformats.org/drawingml/2006/picture">
                  <pic:nvPicPr>
                    <pic:cNvPr id="637" name="Shape 637"/>
                    <pic:cNvPicPr/>
                  </pic:nvPicPr>
                  <pic:blipFill>
                    <a:blip r:embed="rId648"/>
                    <a:stretch>
                      <a:fillRect/>
                    </a:stretch>
                  </pic:blipFill>
                  <pic:spPr>
                    <a:xfrm>
                      <a:off x="0" y="0"/>
                      <a:ext cx="615950" cy="621665"/>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4825365</wp:posOffset>
                </wp:positionH>
                <wp:positionV relativeFrom="paragraph">
                  <wp:posOffset>448310</wp:posOffset>
                </wp:positionV>
                <wp:extent cx="144780" cy="158750"/>
                <wp:effectExtent l="0" t="0" r="0" b="0"/>
                <wp:wrapNone/>
                <wp:docPr id="639" name="Shape 639"/>
                <wp:cNvGraphicFramePr/>
                <a:graphic xmlns:a="http://schemas.openxmlformats.org/drawingml/2006/main">
                  <a:graphicData uri="http://schemas.microsoft.com/office/word/2010/wordprocessingShape">
                    <wps:wsp>
                      <wps:cNvSpPr txBox="1"/>
                      <wps:spPr>
                        <a:xfrm>
                          <a:off x="0" y="0"/>
                          <a:ext cx="144780" cy="158750"/>
                        </a:xfrm>
                        <a:prstGeom prst="rect">
                          <a:avLst/>
                        </a:prstGeom>
                        <a:noFill/>
                      </wps:spPr>
                      <wps:txbx>
                        <w:txbxContent>
                          <w:p w14:paraId="241FA77D">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w:t>
                            </w:r>
                          </w:p>
                        </w:txbxContent>
                      </wps:txbx>
                      <wps:bodyPr lIns="0" tIns="0" rIns="0" bIns="0">
                        <a:noAutofit/>
                      </wps:bodyPr>
                    </wps:wsp>
                  </a:graphicData>
                </a:graphic>
              </wp:anchor>
            </w:drawing>
          </mc:Choice>
          <mc:Fallback>
            <w:pict>
              <v:shape id="Shape 639" o:spid="_x0000_s1026" o:spt="202" type="#_x0000_t202" style="position:absolute;left:0pt;margin-left:379.95pt;margin-top:35.3pt;height:12.5pt;width:11.4pt;mso-position-horizontal-relative:page;z-index:251661312;mso-width-relative:page;mso-height-relative:page;" filled="f" stroked="f" coordsize="21600,21600" o:gfxdata="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t8OcjZAAAACQEA&#10;AA8AAAAAAAAAAQAgAAAAIgAAAGRycy9kb3ducmV2LnhtbFBLAQIUABQAAAAIAIdO4kB4fhCgpwEA&#10;AGcDAAAOAAAAAAAAAAEAIAAAACgBAABkcnMvZTJvRG9jLnhtbFBLBQYAAAAABgAGAFkBAABBBQAA&#10;AAA=&#10;">
                <v:fill on="f" focussize="0,0"/>
                <v:stroke on="f"/>
                <v:imagedata o:title=""/>
                <o:lock v:ext="edit" aspectratio="f"/>
                <v:textbox inset="0mm,0mm,0mm,0mm">
                  <w:txbxContent>
                    <w:p w14:paraId="241FA77D">
                      <w:pPr>
                        <w:pStyle w:val="3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w:t>
                      </w:r>
                    </w:p>
                  </w:txbxContent>
                </v:textbox>
              </v:shape>
            </w:pict>
          </mc:Fallback>
        </mc:AlternateContent>
      </w:r>
    </w:p>
    <w:p w14:paraId="4C55B681">
      <w:pPr>
        <w:pStyle w:val="17"/>
        <w:keepNext w:val="0"/>
        <w:keepLines w:val="0"/>
        <w:widowControl w:val="0"/>
        <w:shd w:val="clear" w:color="auto" w:fill="auto"/>
        <w:bidi w:val="0"/>
        <w:spacing w:before="0" w:after="80" w:line="240" w:lineRule="auto"/>
        <w:ind w:left="0" w:right="0" w:firstLine="1000"/>
        <w:jc w:val="left"/>
      </w:pPr>
      <w:r>
        <w:rPr>
          <w:color w:val="000000"/>
          <w:spacing w:val="0"/>
          <w:w w:val="100"/>
          <w:position w:val="0"/>
        </w:rPr>
        <w:t>新疆石河子农村合作银行与刘峻瑞、步春华借款合同纠纷案</w:t>
      </w:r>
    </w:p>
    <w:p w14:paraId="66AF6B23">
      <w:pPr>
        <w:pStyle w:val="17"/>
        <w:keepNext w:val="0"/>
        <w:keepLines w:val="0"/>
        <w:widowControl w:val="0"/>
        <w:shd w:val="clear" w:color="auto" w:fill="auto"/>
        <w:bidi w:val="0"/>
        <w:spacing w:before="0" w:after="420" w:line="240" w:lineRule="auto"/>
        <w:ind w:left="0" w:right="0" w:firstLine="1000"/>
        <w:jc w:val="left"/>
      </w:pP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民申字第</w:t>
      </w:r>
      <w:r>
        <w:rPr>
          <w:rFonts w:ascii="Times New Roman" w:hAnsi="Times New Roman" w:eastAsia="Times New Roman" w:cs="Times New Roman"/>
          <w:color w:val="000000"/>
          <w:spacing w:val="0"/>
          <w:w w:val="100"/>
          <w:position w:val="0"/>
          <w:sz w:val="19"/>
          <w:szCs w:val="19"/>
        </w:rPr>
        <w:t>2354</w:t>
      </w:r>
      <w:r>
        <w:rPr>
          <w:color w:val="000000"/>
          <w:spacing w:val="0"/>
          <w:w w:val="100"/>
          <w:position w:val="0"/>
        </w:rPr>
        <w:t>号民事裁定书</w:t>
      </w:r>
    </w:p>
    <w:p w14:paraId="67AED5F9">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冉克平</w:t>
      </w:r>
      <w:r>
        <w:rPr>
          <w:color w:val="000000"/>
          <w:spacing w:val="0"/>
          <w:w w:val="100"/>
          <w:position w:val="0"/>
        </w:rPr>
        <w:t>武汉大学法学院</w:t>
      </w:r>
    </w:p>
    <w:p w14:paraId="4EFB76BD">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0AFE2F2E">
      <w:pPr>
        <w:pStyle w:val="17"/>
        <w:keepNext w:val="0"/>
        <w:keepLines w:val="0"/>
        <w:widowControl w:val="0"/>
        <w:shd w:val="clear" w:color="auto" w:fill="auto"/>
        <w:bidi w:val="0"/>
        <w:spacing w:before="0" w:after="380" w:line="342" w:lineRule="exact"/>
        <w:ind w:left="0" w:right="0" w:firstLine="420"/>
        <w:jc w:val="both"/>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日新疆石河子农村合作银行（以下简称合作银行）与刘峻瑞、步春华三 方签订的《贷款合同书》中约定:贷款</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万元，期限</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个月，步春华以房产作为借款抵押，刘 峻瑞在合同中注明房产抵押证号</w:t>
      </w:r>
      <w:r>
        <w:rPr>
          <w:rFonts w:ascii="Times New Roman" w:hAnsi="Times New Roman" w:eastAsia="Times New Roman" w:cs="Times New Roman"/>
          <w:color w:val="000000"/>
          <w:spacing w:val="0"/>
          <w:w w:val="100"/>
          <w:position w:val="0"/>
          <w:sz w:val="19"/>
          <w:szCs w:val="19"/>
        </w:rPr>
        <w:t xml:space="preserve">31 </w:t>
      </w:r>
      <w:r>
        <w:rPr>
          <w:rFonts w:ascii="Times New Roman" w:hAnsi="Times New Roman" w:eastAsia="Times New Roman" w:cs="Times New Roman"/>
          <w:color w:val="000000"/>
          <w:spacing w:val="0"/>
          <w:w w:val="100"/>
          <w:position w:val="0"/>
          <w:sz w:val="19"/>
          <w:szCs w:val="19"/>
          <w:lang w:val="en-US" w:eastAsia="en-US" w:bidi="en-US"/>
        </w:rPr>
        <w:t>x x36</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32x x31</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对于该抵押未办理登记的原因，合 作银行称是为了减少刘峻瑞的房产抵押登记费用，故同意刘峻瑞提岀的继续以房产抵押担 保、不解除该房产抵押登记的要求。刘峻瑞在申请再审理由中亦自陈其</w:t>
      </w:r>
      <w:r>
        <w:rPr>
          <w:rFonts w:ascii="Times New Roman" w:hAnsi="Times New Roman" w:eastAsia="Times New Roman" w:cs="Times New Roman"/>
          <w:color w:val="000000"/>
          <w:spacing w:val="0"/>
          <w:w w:val="100"/>
          <w:position w:val="0"/>
          <w:sz w:val="19"/>
          <w:szCs w:val="19"/>
        </w:rPr>
        <w:t xml:space="preserve">31 </w:t>
      </w:r>
      <w:r>
        <w:rPr>
          <w:rFonts w:ascii="Times New Roman" w:hAnsi="Times New Roman" w:eastAsia="Times New Roman" w:cs="Times New Roman"/>
          <w:color w:val="000000"/>
          <w:spacing w:val="0"/>
          <w:w w:val="100"/>
          <w:position w:val="0"/>
          <w:sz w:val="19"/>
          <w:szCs w:val="19"/>
          <w:lang w:val="en-US" w:eastAsia="en-US" w:bidi="en-US"/>
        </w:rPr>
        <w:t>x x</w:t>
      </w:r>
      <w:r>
        <w:rPr>
          <w:rFonts w:ascii="Times New Roman" w:hAnsi="Times New Roman" w:eastAsia="Times New Roman" w:cs="Times New Roman"/>
          <w:color w:val="000000"/>
          <w:spacing w:val="0"/>
          <w:w w:val="100"/>
          <w:position w:val="0"/>
          <w:sz w:val="19"/>
          <w:szCs w:val="19"/>
        </w:rPr>
        <w:t xml:space="preserve">36,32 </w:t>
      </w:r>
      <w:r>
        <w:rPr>
          <w:rFonts w:ascii="Times New Roman" w:hAnsi="Times New Roman" w:eastAsia="Times New Roman" w:cs="Times New Roman"/>
          <w:color w:val="000000"/>
          <w:spacing w:val="0"/>
          <w:w w:val="100"/>
          <w:position w:val="0"/>
          <w:sz w:val="19"/>
          <w:szCs w:val="19"/>
          <w:lang w:val="en-US" w:eastAsia="en-US" w:bidi="en-US"/>
        </w:rPr>
        <w:t xml:space="preserve">x x31 </w:t>
      </w:r>
      <w:r>
        <w:rPr>
          <w:color w:val="000000"/>
          <w:spacing w:val="0"/>
          <w:w w:val="100"/>
          <w:position w:val="0"/>
        </w:rPr>
        <w:t xml:space="preserve">号房产是为此前步春华向合作银行的贷款提供抵押并办理了抵押登记，结合本案中刘峻瑞 在步春华此前贷款还清之后并未申请注销抵押登记，以及在一审诉讼的早期阶段刘峻瑞一 直承认其为案涉贷款提供了房产抵押等案件事实，应当认定合作银行的陈述符合本案的实 际情况。故应认定本案当事人之所以未办理抵押登记手续，是因为合作银行已经因步春 华的此前贷款而成为该房产的抵押权人，双方存在此前贷款还清后不办理注销登记，以 </w:t>
      </w:r>
      <w:r>
        <w:rPr>
          <w:rFonts w:ascii="Times New Roman" w:hAnsi="Times New Roman" w:eastAsia="Times New Roman" w:cs="Times New Roman"/>
          <w:color w:val="000000"/>
          <w:spacing w:val="0"/>
          <w:w w:val="100"/>
          <w:position w:val="0"/>
          <w:sz w:val="19"/>
          <w:szCs w:val="19"/>
        </w:rPr>
        <w:t xml:space="preserve">31 </w:t>
      </w:r>
      <w:r>
        <w:rPr>
          <w:rFonts w:ascii="Times New Roman" w:hAnsi="Times New Roman" w:eastAsia="Times New Roman" w:cs="Times New Roman"/>
          <w:color w:val="000000"/>
          <w:spacing w:val="0"/>
          <w:w w:val="100"/>
          <w:position w:val="0"/>
          <w:sz w:val="19"/>
          <w:szCs w:val="19"/>
          <w:lang w:val="en-US" w:eastAsia="en-US" w:bidi="en-US"/>
        </w:rPr>
        <w:t>x x36</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32x x31</w:t>
      </w:r>
      <w:r>
        <w:rPr>
          <w:color w:val="000000"/>
          <w:spacing w:val="0"/>
          <w:w w:val="100"/>
          <w:position w:val="0"/>
        </w:rPr>
        <w:t>号房产继续为该</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万元贷款的抵押担保的口头约定。</w:t>
      </w:r>
    </w:p>
    <w:p w14:paraId="23AAFD29">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8857735">
      <w:pPr>
        <w:pStyle w:val="17"/>
        <w:keepNext w:val="0"/>
        <w:keepLines w:val="0"/>
        <w:widowControl w:val="0"/>
        <w:shd w:val="clear" w:color="auto" w:fill="auto"/>
        <w:bidi w:val="0"/>
        <w:spacing w:before="0" w:after="360" w:line="340" w:lineRule="exact"/>
        <w:ind w:left="0" w:right="0" w:firstLine="420"/>
        <w:jc w:val="both"/>
        <w:sectPr>
          <w:footnotePr>
            <w:numFmt w:val="chicago"/>
          </w:footnotePr>
          <w:type w:val="continuous"/>
          <w:pgSz w:w="10099" w:h="14782"/>
          <w:pgMar w:top="1292" w:right="981" w:bottom="1126" w:left="1102" w:header="864" w:footer="698" w:gutter="0"/>
          <w:cols w:space="720" w:num="1"/>
          <w:rtlGutter w:val="0"/>
          <w:docGrid w:linePitch="360" w:charSpace="0"/>
        </w:sectPr>
      </w:pPr>
      <w:r>
        <w:rPr>
          <w:color w:val="000000"/>
          <w:spacing w:val="0"/>
          <w:w w:val="100"/>
          <w:position w:val="0"/>
        </w:rPr>
        <w:t>刘峻瑞与合作银行之间关于先前的贷款还清后不办理注销登记，抵押房产继续为</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 元贷款提供担保的约定尽管是双方的真实意思表示,但并不能发生双方所希望的法律后 果，案涉抵押合同并不能为该</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万元贷款依法设定抵押权。对于未履行登记手续的抵押合 同,其法律效力并非确定无效。为救济其法律效力的瑕疵，除可以通过补办登记手续这种 方式加以补正使其发生法律效力外，还可以通过解释上的转换这一方式，将其转换为有效 的担保行为，以节约交易成本，促进交易发展。根据民法的基本原理，法律行为的转换是指 原有行为如果具备替代行为的要件，并且可以认为当事人如果知道原有行为不生效力或无 效将希望替代行为生效的,可以将原有行为转换为替代行为而生效。其制度趣旨在于不拘 泥于法律行为的外观，而是在尊重当事人的真实意思的基础上，对交易做出新的评价,用一 种适当的行为去替换当事人所选择的不适当的行为，以平衡当事人之间的利益。因此，根 据本案的实际情况，本院将案涉</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 xml:space="preserve">万元的抵押担保合同转换为连带责任保证合同。由于抵 </w:t>
      </w:r>
    </w:p>
    <w:p w14:paraId="5128C032">
      <w:pPr>
        <w:pStyle w:val="17"/>
        <w:keepNext w:val="0"/>
        <w:keepLines w:val="0"/>
        <w:widowControl w:val="0"/>
        <w:shd w:val="clear" w:color="auto" w:fill="auto"/>
        <w:bidi w:val="0"/>
        <w:spacing w:before="0" w:after="360" w:line="340" w:lineRule="exact"/>
        <w:ind w:left="0" w:right="0" w:firstLine="0"/>
        <w:jc w:val="both"/>
      </w:pPr>
      <w:r>
        <w:rPr>
          <w:color w:val="000000"/>
          <w:spacing w:val="0"/>
          <w:w w:val="100"/>
          <w:position w:val="0"/>
        </w:rPr>
        <w:t>押担保是以物的价值为限承担有限责任,而保证则是以保证人的全部责任财产承担无限责 任，在担保方式转换后刘峻瑞所应承担的</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万元本息的保证责任并未超出其所提供的担保 物的价值，故本院对担保方式转换后刘峻瑞的保证责任范围不再予以限定。</w:t>
      </w:r>
    </w:p>
    <w:p w14:paraId="6D21F935">
      <w:pPr>
        <w:pStyle w:val="17"/>
        <w:keepNext w:val="0"/>
        <w:keepLines w:val="0"/>
        <w:widowControl w:val="0"/>
        <w:shd w:val="clear" w:color="auto" w:fill="auto"/>
        <w:bidi w:val="0"/>
        <w:spacing w:before="0" w:after="160" w:line="342" w:lineRule="exact"/>
        <w:ind w:left="0" w:right="0" w:firstLine="0"/>
        <w:jc w:val="left"/>
      </w:pPr>
      <w:r>
        <w:rPr>
          <w:color w:val="000000"/>
          <w:spacing w:val="0"/>
          <w:w w:val="100"/>
          <w:position w:val="0"/>
        </w:rPr>
        <w:t>•评析</w:t>
      </w:r>
    </w:p>
    <w:p w14:paraId="514CE77C">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法律规范</w:t>
      </w:r>
    </w:p>
    <w:p w14:paraId="40510769">
      <w:pPr>
        <w:pStyle w:val="17"/>
        <w:keepNext w:val="0"/>
        <w:keepLines w:val="0"/>
        <w:widowControl w:val="0"/>
        <w:shd w:val="clear" w:color="auto" w:fill="auto"/>
        <w:bidi w:val="0"/>
        <w:spacing w:before="0" w:after="0" w:line="347" w:lineRule="exact"/>
        <w:ind w:left="0" w:right="0" w:firstLine="460"/>
        <w:jc w:val="both"/>
      </w:pP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 xml:space="preserve">年最高人民法院《关于适用〈中华人民共和国担保法〉若干问题的解释》［法释 </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w:t>
      </w:r>
      <w:r>
        <w:rPr>
          <w:rFonts w:ascii="Times New Roman" w:hAnsi="Times New Roman" w:eastAsia="Times New Roman" w:cs="Times New Roman"/>
          <w:color w:val="000000"/>
          <w:spacing w:val="0"/>
          <w:w w:val="100"/>
          <w:position w:val="0"/>
          <w:sz w:val="19"/>
          <w:szCs w:val="19"/>
          <w:lang w:val="en-US" w:eastAsia="en-US" w:bidi="en-US"/>
        </w:rPr>
        <w:t>］（</w:t>
      </w:r>
      <w:r>
        <w:rPr>
          <w:color w:val="000000"/>
          <w:spacing w:val="0"/>
          <w:w w:val="100"/>
          <w:position w:val="0"/>
        </w:rPr>
        <w:t>以下简称《担保法司法解释》）具体规定</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若担保合同无效,依据债权人是 否有过错区分抵押人的赔偿责任（《担保法司法解释》第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抵押人违背诚实信用原 则拒绝办理登记的赔偿责任（《担保法司法解释》第</w:t>
      </w:r>
      <w:r>
        <w:rPr>
          <w:rFonts w:ascii="Times New Roman" w:hAnsi="Times New Roman" w:eastAsia="Times New Roman" w:cs="Times New Roman"/>
          <w:color w:val="000000"/>
          <w:spacing w:val="0"/>
          <w:w w:val="100"/>
          <w:position w:val="0"/>
          <w:sz w:val="19"/>
          <w:szCs w:val="19"/>
        </w:rPr>
        <w:t>56</w:t>
      </w:r>
      <w:r>
        <w:rPr>
          <w:color w:val="000000"/>
          <w:spacing w:val="0"/>
          <w:w w:val="100"/>
          <w:position w:val="0"/>
        </w:rPr>
        <w:t>条）。</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因不动产登记机构的原因 导致无法办理抵押登记的效力（《担保法司法解释》第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w:t>
      </w:r>
    </w:p>
    <w:p w14:paraId="439B1A8D">
      <w:pPr>
        <w:pStyle w:val="17"/>
        <w:keepNext w:val="0"/>
        <w:keepLines w:val="0"/>
        <w:widowControl w:val="0"/>
        <w:shd w:val="clear" w:color="auto" w:fill="auto"/>
        <w:bidi w:val="0"/>
        <w:spacing w:before="0" w:after="160" w:line="347" w:lineRule="exact"/>
        <w:ind w:left="0" w:right="0" w:firstLine="46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214</w:t>
      </w:r>
      <w:r>
        <w:rPr>
          <w:color w:val="000000"/>
          <w:spacing w:val="0"/>
          <w:w w:val="100"/>
          <w:position w:val="0"/>
        </w:rPr>
        <w:t>条规定:</w:t>
      </w:r>
      <w:r>
        <w:rPr>
          <w:color w:val="000000"/>
          <w:spacing w:val="0"/>
          <w:w w:val="100"/>
          <w:position w:val="0"/>
          <w:lang w:val="zh-CN" w:eastAsia="zh-CN" w:bidi="zh-CN"/>
        </w:rPr>
        <w:t>“不动</w:t>
      </w:r>
      <w:r>
        <w:rPr>
          <w:color w:val="000000"/>
          <w:spacing w:val="0"/>
          <w:w w:val="100"/>
          <w:position w:val="0"/>
        </w:rPr>
        <w:t>产物权的设立、变更、转让和消灭，依照法律规定应当登 记的，自记载于不动产登记簿时发生效力</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条规定:</w:t>
      </w:r>
      <w:r>
        <w:rPr>
          <w:color w:val="000000"/>
          <w:spacing w:val="0"/>
          <w:w w:val="100"/>
          <w:position w:val="0"/>
          <w:lang w:val="zh-CN" w:eastAsia="zh-CN" w:bidi="zh-CN"/>
        </w:rPr>
        <w:t>“以</w:t>
      </w:r>
      <w:r>
        <w:rPr>
          <w:color w:val="000000"/>
          <w:spacing w:val="0"/>
          <w:w w:val="100"/>
          <w:position w:val="0"/>
        </w:rPr>
        <w:t>本法第三百九十五条第一款 第一项至第三项规定的财产或者第五项规定的正在建造的建筑物抵押的，应当办理抵押登 记。抵押权自登记时设立。</w:t>
      </w:r>
    </w:p>
    <w:p w14:paraId="3495B1F4">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rPr>
        <w:t>闺判例与学说状况</w:t>
      </w:r>
    </w:p>
    <w:p w14:paraId="5EC508C6">
      <w:pPr>
        <w:pStyle w:val="17"/>
        <w:keepNext w:val="0"/>
        <w:keepLines w:val="0"/>
        <w:widowControl w:val="0"/>
        <w:numPr>
          <w:ilvl w:val="0"/>
          <w:numId w:val="21"/>
        </w:numPr>
        <w:shd w:val="clear" w:color="auto" w:fill="auto"/>
        <w:tabs>
          <w:tab w:val="left" w:pos="761"/>
        </w:tabs>
        <w:bidi w:val="0"/>
        <w:spacing w:before="0" w:after="0" w:line="377" w:lineRule="auto"/>
        <w:ind w:left="0" w:right="0" w:firstLine="460"/>
        <w:jc w:val="both"/>
      </w:pPr>
      <w:bookmarkStart w:id="95" w:name="bookmark293"/>
      <w:bookmarkEnd w:id="95"/>
      <w:r>
        <w:rPr>
          <w:color w:val="000000"/>
          <w:spacing w:val="0"/>
          <w:w w:val="100"/>
          <w:position w:val="0"/>
        </w:rPr>
        <w:t>判例状况</w:t>
      </w:r>
    </w:p>
    <w:p w14:paraId="3F8C1E19">
      <w:pPr>
        <w:pStyle w:val="17"/>
        <w:keepNext w:val="0"/>
        <w:keepLines w:val="0"/>
        <w:widowControl w:val="0"/>
        <w:shd w:val="clear" w:color="auto" w:fill="auto"/>
        <w:bidi w:val="0"/>
        <w:spacing w:before="0" w:after="0" w:line="342" w:lineRule="exact"/>
        <w:ind w:left="0" w:right="0" w:firstLine="460"/>
        <w:jc w:val="both"/>
      </w:pPr>
      <w:r>
        <w:rPr>
          <w:color w:val="000000"/>
          <w:spacing w:val="0"/>
          <w:w w:val="100"/>
          <w:position w:val="0"/>
        </w:rPr>
        <w:t>若第三人与债权人订立的抵押合同未经登记，抵押合同的效切如何？最高人民法院近 年来接连对此作出数个重要裁判，然而其间分歧明显，具体而言</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以法律行为的转换为 理论基础，抵押人应承担以抵押物为限的连带保证责任。前述案例就是如此。</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双方当 事人以登记作为抵押合同的生效要件，法院认为抵押合同未生效，以缔约过失责任为基础， 要求抵押人承担相应的赔偿责任［“中国银行股份有限公司大连甘井子支行、库伦旗首宇甜菊糖有 限公司金融借款合同纠纷</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最高法民终</w:t>
      </w:r>
      <w:r>
        <w:rPr>
          <w:rFonts w:ascii="Times New Roman" w:hAnsi="Times New Roman" w:eastAsia="Times New Roman" w:cs="Times New Roman"/>
          <w:color w:val="000000"/>
          <w:spacing w:val="0"/>
          <w:w w:val="100"/>
          <w:position w:val="0"/>
          <w:sz w:val="19"/>
          <w:szCs w:val="19"/>
        </w:rPr>
        <w:t>436</w:t>
      </w:r>
      <w:r>
        <w:rPr>
          <w:color w:val="000000"/>
          <w:spacing w:val="0"/>
          <w:w w:val="100"/>
          <w:position w:val="0"/>
        </w:rPr>
        <w:t>号民事判决书］。（</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双方当事人 以登记作为抵押合同的生效要件，尽管涉案房产因未办理抵押登记而致抵押权未依法设 立,但并不影响抵押合同的有效性以及抵押人应当承担的担保责任</w:t>
      </w:r>
      <w:r>
        <w:rPr>
          <w:color w:val="000000"/>
          <w:spacing w:val="0"/>
          <w:w w:val="100"/>
          <w:position w:val="0"/>
          <w:lang w:val="zh-CN" w:eastAsia="zh-CN" w:bidi="zh-CN"/>
        </w:rPr>
        <w:t>［“常</w:t>
      </w:r>
      <w:r>
        <w:rPr>
          <w:color w:val="000000"/>
          <w:spacing w:val="0"/>
          <w:w w:val="100"/>
          <w:position w:val="0"/>
        </w:rPr>
        <w:t>州市武进高新技术投 资担保有限公司与肖洪涛、常州美泰精密机械有限公司等追偿权纠纷案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2016 ）</w:t>
      </w:r>
      <w:r>
        <w:rPr>
          <w:color w:val="000000"/>
          <w:spacing w:val="0"/>
          <w:w w:val="100"/>
          <w:position w:val="0"/>
        </w:rPr>
        <w:t xml:space="preserve">民申 </w:t>
      </w:r>
      <w:r>
        <w:rPr>
          <w:rFonts w:ascii="Times New Roman" w:hAnsi="Times New Roman" w:eastAsia="Times New Roman" w:cs="Times New Roman"/>
          <w:color w:val="000000"/>
          <w:spacing w:val="0"/>
          <w:w w:val="100"/>
          <w:position w:val="0"/>
          <w:sz w:val="19"/>
          <w:szCs w:val="19"/>
        </w:rPr>
        <w:t>3276</w:t>
      </w:r>
      <w:r>
        <w:rPr>
          <w:color w:val="000000"/>
          <w:spacing w:val="0"/>
          <w:w w:val="100"/>
          <w:position w:val="0"/>
        </w:rPr>
        <w:t>号民事裁定书］。（</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以违约责任为基础，抵押人承担连带性的违约损害赔偿责任</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“万安 县银山矿业投资有限公司与吉安市吉州区银丰小额贷款股份有限公司等合同纠纷案</w:t>
      </w:r>
      <w:r>
        <w:rPr>
          <w:color w:val="000000"/>
          <w:spacing w:val="0"/>
          <w:w w:val="100"/>
          <w:position w:val="0"/>
          <w:lang w:val="zh-CN" w:eastAsia="zh-CN" w:bidi="zh-CN"/>
        </w:rPr>
        <w:t>”，最</w:t>
      </w:r>
      <w:r>
        <w:rPr>
          <w:color w:val="000000"/>
          <w:spacing w:val="0"/>
          <w:w w:val="100"/>
          <w:position w:val="0"/>
        </w:rPr>
        <w:t xml:space="preserve">高人民法院 </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）民申字第</w:t>
      </w:r>
      <w:r>
        <w:rPr>
          <w:rFonts w:ascii="Times New Roman" w:hAnsi="Times New Roman" w:eastAsia="Times New Roman" w:cs="Times New Roman"/>
          <w:color w:val="000000"/>
          <w:spacing w:val="0"/>
          <w:w w:val="100"/>
          <w:position w:val="0"/>
          <w:sz w:val="19"/>
          <w:szCs w:val="19"/>
        </w:rPr>
        <w:t>3285</w:t>
      </w:r>
      <w:r>
        <w:rPr>
          <w:color w:val="000000"/>
          <w:spacing w:val="0"/>
          <w:w w:val="100"/>
          <w:position w:val="0"/>
        </w:rPr>
        <w:t>号民事裁定书］。（</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欠缺说理部分，径直认为抵押人应当以抵押财产为 限承担连带责任［“李向龙与商都县众邦亿兴能源材料有限责任公司、韩福全等民间借贷纠纷案</w:t>
      </w:r>
      <w:r>
        <w:rPr>
          <w:color w:val="000000"/>
          <w:spacing w:val="0"/>
          <w:w w:val="100"/>
          <w:position w:val="0"/>
          <w:lang w:val="zh-CN" w:eastAsia="zh-CN" w:bidi="zh-CN"/>
        </w:rPr>
        <w:t xml:space="preserve">”，最 </w:t>
      </w: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）民申字第</w:t>
      </w:r>
      <w:r>
        <w:rPr>
          <w:rFonts w:ascii="Times New Roman" w:hAnsi="Times New Roman" w:eastAsia="Times New Roman" w:cs="Times New Roman"/>
          <w:color w:val="000000"/>
          <w:spacing w:val="0"/>
          <w:w w:val="100"/>
          <w:position w:val="0"/>
          <w:sz w:val="19"/>
          <w:szCs w:val="19"/>
        </w:rPr>
        <w:t>3256</w:t>
      </w:r>
      <w:r>
        <w:rPr>
          <w:color w:val="000000"/>
          <w:spacing w:val="0"/>
          <w:w w:val="100"/>
          <w:position w:val="0"/>
        </w:rPr>
        <w:t>号民事裁定书］。</w:t>
      </w:r>
    </w:p>
    <w:p w14:paraId="11CFCF3E">
      <w:pPr>
        <w:pStyle w:val="17"/>
        <w:keepNext w:val="0"/>
        <w:keepLines w:val="0"/>
        <w:widowControl w:val="0"/>
        <w:numPr>
          <w:ilvl w:val="0"/>
          <w:numId w:val="21"/>
        </w:numPr>
        <w:shd w:val="clear" w:color="auto" w:fill="auto"/>
        <w:tabs>
          <w:tab w:val="left" w:pos="781"/>
        </w:tabs>
        <w:bidi w:val="0"/>
        <w:spacing w:before="0" w:after="0" w:line="377" w:lineRule="auto"/>
        <w:ind w:left="0" w:right="0" w:firstLine="460"/>
        <w:jc w:val="both"/>
      </w:pPr>
      <w:bookmarkStart w:id="96" w:name="bookmark294"/>
      <w:bookmarkEnd w:id="96"/>
      <w:r>
        <w:rPr>
          <w:color w:val="000000"/>
          <w:spacing w:val="0"/>
          <w:w w:val="100"/>
          <w:position w:val="0"/>
        </w:rPr>
        <w:t>学理状况</w:t>
      </w:r>
    </w:p>
    <w:p w14:paraId="5341155E">
      <w:pPr>
        <w:pStyle w:val="17"/>
        <w:keepNext w:val="0"/>
        <w:keepLines w:val="0"/>
        <w:widowControl w:val="0"/>
        <w:shd w:val="clear" w:color="auto" w:fill="auto"/>
        <w:bidi w:val="0"/>
        <w:spacing w:before="0" w:after="0" w:line="342" w:lineRule="exact"/>
        <w:ind w:left="0" w:right="0" w:firstLine="460"/>
        <w:jc w:val="both"/>
      </w:pPr>
      <w:r>
        <w:rPr>
          <w:color w:val="000000"/>
          <w:spacing w:val="0"/>
          <w:w w:val="100"/>
          <w:position w:val="0"/>
        </w:rPr>
        <w:t>近年来有观点认为，在未办理抵押登记的情况下,不动产抵押合同具有非典型担保的 法律意义。未登记不动产抵押合同属于非典型担保之一，介于保证与抵押权之间。由于不 动产未经登记因而债权人不享有优先受偿权,抵押人在抵押物价值范围内承担连带责任（杨 日洪、徐琦:《非典型担保意思表示下抵押人的责任承担》，载《人民法院报》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25</w:t>
      </w:r>
      <w:r>
        <w:rPr>
          <w:color w:val="000000"/>
          <w:spacing w:val="0"/>
          <w:w w:val="100"/>
          <w:position w:val="0"/>
        </w:rPr>
        <w:t>日）。债权 人除享有登记请求权外，还享有与抵押合同上的担保权，即债权人要求抵押人（物上保证 人）依照抵押合同承担合同上的担保义务的权利。若债权人不行使登记请求权，可以通过 行使抵押合同上的担保权的方式担保主债权的实现（刘延杰、王明华:《未办理抵押权登记时抵 押人应承担何种责任》，载《人民司法》</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6B14FE9">
      <w:pPr>
        <w:pStyle w:val="17"/>
        <w:keepNext w:val="0"/>
        <w:keepLines w:val="0"/>
        <w:widowControl w:val="0"/>
        <w:shd w:val="clear" w:color="auto" w:fill="auto"/>
        <w:bidi w:val="0"/>
        <w:spacing w:before="0" w:after="300" w:line="340" w:lineRule="exact"/>
        <w:ind w:left="0" w:right="0" w:firstLine="420"/>
        <w:jc w:val="both"/>
      </w:pPr>
      <w:r>
        <w:rPr>
          <w:color w:val="000000"/>
          <w:spacing w:val="0"/>
          <w:w w:val="100"/>
          <w:position w:val="0"/>
        </w:rPr>
        <w:t>从学理上看，有学者主张，若当事人因为自己的原因或者其他原因却未能登记,此时虽 然不能认为作为物权的不动产抵押权已经设定生效，但是当事人之间的抵押合同是真实的 意思表示的结果。</w:t>
      </w:r>
      <w:r>
        <w:rPr>
          <w:color w:val="000000"/>
          <w:spacing w:val="0"/>
          <w:w w:val="100"/>
          <w:position w:val="0"/>
          <w:lang w:val="zh-CN" w:eastAsia="zh-CN" w:bidi="zh-CN"/>
        </w:rPr>
        <w:t>“抵押</w:t>
      </w:r>
      <w:r>
        <w:rPr>
          <w:color w:val="000000"/>
          <w:spacing w:val="0"/>
          <w:w w:val="100"/>
          <w:position w:val="0"/>
        </w:rPr>
        <w:t>人”具有以自己的财产为他人担保的意思，这一意思是合法的，虽 然不符合物权设定的要求，但是却符合</w:t>
      </w:r>
      <w:r>
        <w:rPr>
          <w:color w:val="000000"/>
          <w:spacing w:val="0"/>
          <w:w w:val="100"/>
          <w:position w:val="0"/>
          <w:lang w:val="zh-CN" w:eastAsia="zh-CN" w:bidi="zh-CN"/>
        </w:rPr>
        <w:t>“保证”的</w:t>
      </w:r>
      <w:r>
        <w:rPr>
          <w:color w:val="000000"/>
          <w:spacing w:val="0"/>
          <w:w w:val="100"/>
          <w:position w:val="0"/>
        </w:rPr>
        <w:t>要求，可以依法认定并加以保护，并以此发 生保证的法律效果。在抵押权不存在的情况下，可以依据保证的规则来处理,这符合《德国 民法典》第</w:t>
      </w:r>
      <w:r>
        <w:rPr>
          <w:rFonts w:ascii="Times New Roman" w:hAnsi="Times New Roman" w:eastAsia="Times New Roman" w:cs="Times New Roman"/>
          <w:color w:val="000000"/>
          <w:spacing w:val="0"/>
          <w:w w:val="100"/>
          <w:position w:val="0"/>
          <w:sz w:val="17"/>
          <w:szCs w:val="17"/>
        </w:rPr>
        <w:t>140</w:t>
      </w:r>
      <w:r>
        <w:rPr>
          <w:color w:val="000000"/>
          <w:spacing w:val="0"/>
          <w:w w:val="100"/>
          <w:position w:val="0"/>
        </w:rPr>
        <w:t>条规定的“无效法律行为的转换</w:t>
      </w:r>
      <w:r>
        <w:rPr>
          <w:color w:val="000000"/>
          <w:spacing w:val="0"/>
          <w:w w:val="100"/>
          <w:position w:val="0"/>
          <w:lang w:val="zh-CN" w:eastAsia="zh-CN" w:bidi="zh-CN"/>
        </w:rPr>
        <w:t>”理论</w:t>
      </w:r>
      <w:r>
        <w:rPr>
          <w:color w:val="000000"/>
          <w:spacing w:val="0"/>
          <w:w w:val="100"/>
          <w:position w:val="0"/>
        </w:rPr>
        <w:t>［孙宪忠:《中国物权法总论》（第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 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266</w:t>
      </w:r>
      <w:r>
        <w:rPr>
          <w:color w:val="000000"/>
          <w:spacing w:val="0"/>
          <w:w w:val="100"/>
          <w:position w:val="0"/>
        </w:rPr>
        <w:t>页］。</w:t>
      </w:r>
    </w:p>
    <w:p w14:paraId="5A60954B">
      <w:pPr>
        <w:pStyle w:val="17"/>
        <w:keepNext w:val="0"/>
        <w:keepLines w:val="0"/>
        <w:widowControl w:val="0"/>
        <w:shd w:val="clear" w:color="auto" w:fill="auto"/>
        <w:bidi w:val="0"/>
        <w:spacing w:before="0" w:after="12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a</w:t>
      </w:r>
      <w:r>
        <w:rPr>
          <w:color w:val="000000"/>
          <w:spacing w:val="0"/>
          <w:w w:val="100"/>
          <w:position w:val="0"/>
        </w:rPr>
        <w:t>评析</w:t>
      </w:r>
    </w:p>
    <w:p w14:paraId="58466E38">
      <w:pPr>
        <w:pStyle w:val="17"/>
        <w:keepNext w:val="0"/>
        <w:keepLines w:val="0"/>
        <w:widowControl w:val="0"/>
        <w:numPr>
          <w:ilvl w:val="0"/>
          <w:numId w:val="22"/>
        </w:numPr>
        <w:shd w:val="clear" w:color="auto" w:fill="auto"/>
        <w:tabs>
          <w:tab w:val="left" w:pos="685"/>
        </w:tabs>
        <w:bidi w:val="0"/>
        <w:spacing w:before="0" w:after="0" w:line="420" w:lineRule="auto"/>
        <w:ind w:left="0" w:right="0" w:firstLine="420"/>
        <w:jc w:val="both"/>
      </w:pPr>
      <w:bookmarkStart w:id="97" w:name="bookmark295"/>
      <w:bookmarkEnd w:id="97"/>
      <w:r>
        <w:rPr>
          <w:color w:val="000000"/>
          <w:spacing w:val="0"/>
          <w:w w:val="100"/>
          <w:position w:val="0"/>
        </w:rPr>
        <w:t>不动产抵押合同未登记作为非典型担保方式之评析</w:t>
      </w:r>
    </w:p>
    <w:p w14:paraId="4140465D">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 xml:space="preserve">在不动产抵押合同未登记时，将其解释为非典型担保方式并不合理。这是因为:其一, 在现代民法上，债的特别担保方式包括人的担保、物的担保和金钱担保三种方式。非典型 担保方式通常包括让与担保、所有权保留、代物清偿预约等（高圣平:《担保法论》，法律出版社 </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页）。未登记不动产抵押合同不属于其中任何一例。其二,非典型担保方 式通常依据习惯而逐渐形成，具有满足社会生活实践需求、避免担保方式僵化、缓和物权法 定原则的功能。但是，就未登记的不动产抵押合同而言，恐难认为其已经具有习惯法的地 位，否则对其责任承担，最高人民法院的相关判决也不至于在路径和结果上迥然不同。</w:t>
      </w:r>
    </w:p>
    <w:p w14:paraId="13135897">
      <w:pPr>
        <w:pStyle w:val="17"/>
        <w:keepNext w:val="0"/>
        <w:keepLines w:val="0"/>
        <w:widowControl w:val="0"/>
        <w:numPr>
          <w:ilvl w:val="0"/>
          <w:numId w:val="22"/>
        </w:numPr>
        <w:shd w:val="clear" w:color="auto" w:fill="auto"/>
        <w:tabs>
          <w:tab w:val="left" w:pos="699"/>
        </w:tabs>
        <w:bidi w:val="0"/>
        <w:spacing w:before="0" w:after="0" w:line="420" w:lineRule="auto"/>
        <w:ind w:left="0" w:right="0" w:firstLine="420"/>
        <w:jc w:val="both"/>
      </w:pPr>
      <w:bookmarkStart w:id="98" w:name="bookmark296"/>
      <w:bookmarkEnd w:id="98"/>
      <w:r>
        <w:rPr>
          <w:color w:val="000000"/>
          <w:spacing w:val="0"/>
          <w:w w:val="100"/>
          <w:position w:val="0"/>
        </w:rPr>
        <w:t>未登记不动产抵押合同转换连带保证之评判</w:t>
      </w:r>
    </w:p>
    <w:p w14:paraId="7085F95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最高人民法院的上述见解并不具有合理性。主要理由如下。</w:t>
      </w:r>
    </w:p>
    <w:p w14:paraId="7991071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首先，法律行为转换以行为无效为前提，未登记不动产抵押合同并无任何无效事由存 在。无效法律行为的转换的适用前提是，当事人已经表示出来的法律行为因为违反禁止性 规定或者公序良俗而无效（［德</w:t>
      </w:r>
      <w:r>
        <w:rPr>
          <w:color w:val="000000"/>
          <w:spacing w:val="0"/>
          <w:w w:val="100"/>
          <w:position w:val="0"/>
          <w:lang w:val="en-US" w:eastAsia="en-US" w:bidi="en-US"/>
        </w:rPr>
        <w:t>］</w:t>
      </w:r>
      <w:r>
        <w:rPr>
          <w:color w:val="000000"/>
          <w:spacing w:val="0"/>
          <w:w w:val="100"/>
          <w:position w:val="0"/>
        </w:rPr>
        <w:t>迪特尔-梅迪库斯:《德国民法总论》，邵建东译，法律出版社</w:t>
      </w:r>
      <w:r>
        <w:rPr>
          <w:rFonts w:ascii="Times New Roman" w:hAnsi="Times New Roman" w:eastAsia="Times New Roman" w:cs="Times New Roman"/>
          <w:color w:val="000000"/>
          <w:spacing w:val="0"/>
          <w:w w:val="100"/>
          <w:position w:val="0"/>
          <w:sz w:val="17"/>
          <w:szCs w:val="17"/>
        </w:rPr>
        <w:t xml:space="preserve">2001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395 </w:t>
      </w:r>
      <w:r>
        <w:rPr>
          <w:rFonts w:ascii="Times New Roman" w:hAnsi="Times New Roman" w:eastAsia="Times New Roman" w:cs="Times New Roman"/>
          <w:color w:val="000000"/>
          <w:spacing w:val="0"/>
          <w:w w:val="100"/>
          <w:position w:val="0"/>
          <w:sz w:val="17"/>
          <w:szCs w:val="17"/>
          <w:lang w:val="en-US" w:eastAsia="en-US" w:bidi="en-US"/>
        </w:rPr>
        <w:t>-396</w:t>
      </w:r>
      <w:r>
        <w:rPr>
          <w:color w:val="000000"/>
          <w:spacing w:val="0"/>
          <w:w w:val="100"/>
          <w:position w:val="0"/>
        </w:rPr>
        <w:t>页）。不动产抵押合同未经登记,当事人因违反物权法定原则而不能如愿创 设物权，但抵押合同的效力并不受任何影响。无论是从物权法定原则的指涉范围、当事人 的效果意思,抑或是从物权行为理论出发，未登记不动产抵押合同均不能通过无效行为适 格标准的检验。因此未登记不动产抵押合同并无适用法律行为转换规范的余地。</w:t>
      </w:r>
    </w:p>
    <w:p w14:paraId="065DD56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其次，连带保证作为替代行为，超出了不动产抵押合同的内容。只有当替代行为的范 围比无效行为更小或者被后者所涵盖时,才能进行转换。完全与无效法律行为不同的或者 更为广泛的效果意思并不符合当事人的想法，因此不可以通过转换而被创设。由于抵押与 连带保证系两个完全不同的担保方式,在抵押权未设立的情形，也不能推测出当事人具有 承担连带保证的意图。即使当事人的价值标准可能被认为是不合理的，法官也不能以自己 的利益价值标准来取代可知的当事人的价值标准。</w:t>
      </w:r>
    </w:p>
    <w:p w14:paraId="2DFC4C81">
      <w:pPr>
        <w:pStyle w:val="17"/>
        <w:keepNext w:val="0"/>
        <w:keepLines w:val="0"/>
        <w:widowControl w:val="0"/>
        <w:shd w:val="clear" w:color="auto" w:fill="auto"/>
        <w:bidi w:val="0"/>
        <w:spacing w:before="0" w:after="120" w:line="343" w:lineRule="exact"/>
        <w:ind w:left="0" w:right="0" w:firstLine="420"/>
        <w:jc w:val="both"/>
      </w:pPr>
      <w:r>
        <w:rPr>
          <w:color w:val="000000"/>
          <w:spacing w:val="0"/>
          <w:w w:val="100"/>
          <w:position w:val="0"/>
        </w:rPr>
        <w:t>最后，抵押合同与保证合同的成立方式不同，受法律保护的期间及计算方式也不同。 对于连带责任保证,主合同履行期届满时，主债务诉讼时效期间和保证期间开始计算。在 保证期间内，债权人向保证人主张保证债权，此时，保证期间因未完成而失去意义,若此时 保证人拒绝履行保证债务,则保证债务诉讼时效期间开始计算</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年)。若将不动产抵押合 同转换为连带保证，由于</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个月法定保证期间的存在,如何确立保证债务诉讼时效的起算 点,势必成为司法难题。本案中，最高人民法院认为：</w:t>
      </w:r>
      <w:r>
        <w:rPr>
          <w:color w:val="000000"/>
          <w:spacing w:val="0"/>
          <w:w w:val="100"/>
          <w:position w:val="0"/>
          <w:lang w:val="zh-CN" w:eastAsia="zh-CN" w:bidi="zh-CN"/>
        </w:rPr>
        <w:t>“在担</w:t>
      </w:r>
      <w:r>
        <w:rPr>
          <w:color w:val="000000"/>
          <w:spacing w:val="0"/>
          <w:w w:val="100"/>
          <w:position w:val="0"/>
        </w:rPr>
        <w:t>保方式转换后……刘峻瑞应当 承担责任的保证期间依法应确定为主债务履行期届满之日起二年</w:t>
      </w:r>
      <w:r>
        <w:rPr>
          <w:color w:val="000000"/>
          <w:spacing w:val="0"/>
          <w:w w:val="100"/>
          <w:position w:val="0"/>
          <w:lang w:val="zh-CN" w:eastAsia="zh-CN" w:bidi="zh-CN"/>
        </w:rPr>
        <w:t>。”这</w:t>
      </w:r>
      <w:r>
        <w:rPr>
          <w:color w:val="000000"/>
          <w:spacing w:val="0"/>
          <w:w w:val="100"/>
          <w:position w:val="0"/>
        </w:rPr>
        <w:t>显然比法定的</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个 月的连带保证期间长得多。</w:t>
      </w:r>
    </w:p>
    <w:p w14:paraId="2479D9B6">
      <w:pPr>
        <w:pStyle w:val="17"/>
        <w:keepNext w:val="0"/>
        <w:keepLines w:val="0"/>
        <w:widowControl w:val="0"/>
        <w:numPr>
          <w:ilvl w:val="0"/>
          <w:numId w:val="22"/>
        </w:numPr>
        <w:shd w:val="clear" w:color="auto" w:fill="auto"/>
        <w:bidi w:val="0"/>
        <w:spacing w:before="0" w:after="0" w:line="422" w:lineRule="auto"/>
        <w:ind w:left="0" w:right="0" w:firstLine="420"/>
        <w:jc w:val="both"/>
      </w:pPr>
      <w:bookmarkStart w:id="99" w:name="bookmark297"/>
      <w:bookmarkEnd w:id="99"/>
      <w:r>
        <w:rPr>
          <w:color w:val="000000"/>
          <w:spacing w:val="0"/>
          <w:w w:val="100"/>
          <w:position w:val="0"/>
        </w:rPr>
        <w:t>不动产抵押合同未登记的法律效力</w:t>
      </w:r>
    </w:p>
    <w:p w14:paraId="030612D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抵押人与债权人当事人约定抵押合同未经登记则抵押合同无效的，若抵押权人能够举 证证明抵押人故意不办理,此时可以视为抵押人恶意阻止条件不成就，则视为抵押合同已 经登记。反之，抵押合同未生效,法院可以依据缔约过失责任要求抵押人承担相应的赔偿 责任。通常情形，抵押合同的效力与抵押登记之间相互区隔。不动产抵押合同未登记的法 律效力如下。</w:t>
      </w:r>
    </w:p>
    <w:p w14:paraId="5C41CB3D">
      <w:pPr>
        <w:pStyle w:val="17"/>
        <w:keepNext w:val="0"/>
        <w:keepLines w:val="0"/>
        <w:widowControl w:val="0"/>
        <w:numPr>
          <w:ilvl w:val="0"/>
          <w:numId w:val="23"/>
        </w:numPr>
        <w:shd w:val="clear" w:color="auto" w:fill="auto"/>
        <w:tabs>
          <w:tab w:val="left" w:pos="843"/>
        </w:tabs>
        <w:bidi w:val="0"/>
        <w:spacing w:before="0" w:after="0" w:line="343" w:lineRule="exact"/>
        <w:ind w:left="0" w:right="0" w:firstLine="420"/>
        <w:jc w:val="both"/>
      </w:pPr>
      <w:bookmarkStart w:id="100" w:name="bookmark298"/>
      <w:bookmarkEnd w:id="100"/>
      <w:r>
        <w:rPr>
          <w:color w:val="000000"/>
          <w:spacing w:val="0"/>
          <w:w w:val="100"/>
          <w:position w:val="0"/>
        </w:rPr>
        <w:t>强制实际履行与不动产抵押登记请求权。债权人作为登记请求权人，可以向抵押 人主张申请办理抵押登记，抵押人作为登记义务人应当协助。债权人强制不动产抵押登记 请求权属于债权上的请求权，其应适用诉讼时效规定。然而，从司法审判的实践来看，法院 强制抵押人办理抵押登记的情形非常罕见。此外，若主合同归于无效或者被撤销,登记请 求权也归于消灭。但是，主合同被解除的,除当事人另有约定外,担保合同的效力不受影响 (冉克平:《论违约解除后的责任承担》，载《法律科学》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0EBE6A65">
      <w:pPr>
        <w:pStyle w:val="17"/>
        <w:keepNext w:val="0"/>
        <w:keepLines w:val="0"/>
        <w:widowControl w:val="0"/>
        <w:numPr>
          <w:ilvl w:val="0"/>
          <w:numId w:val="23"/>
        </w:numPr>
        <w:shd w:val="clear" w:color="auto" w:fill="auto"/>
        <w:tabs>
          <w:tab w:val="left" w:pos="843"/>
        </w:tabs>
        <w:bidi w:val="0"/>
        <w:spacing w:before="0" w:after="0" w:line="343" w:lineRule="exact"/>
        <w:ind w:left="0" w:right="0" w:firstLine="420"/>
        <w:jc w:val="both"/>
      </w:pPr>
      <w:bookmarkStart w:id="101" w:name="bookmark299"/>
      <w:bookmarkEnd w:id="101"/>
      <w:r>
        <w:rPr>
          <w:color w:val="000000"/>
          <w:spacing w:val="0"/>
          <w:w w:val="100"/>
          <w:position w:val="0"/>
        </w:rPr>
        <w:t>解除不动产抵押合同。在不动产抵押合同订立之后登记之前，若是抵押财产因自 然原因而灭失，或者抵押物被征收，或者抵押物的价值急剧下降等，由此导致抵押权的设立 不能实现保障主债权的目的时，抵押人或债权人均可解除抵押合同。因债权人的原因导致 抵押登记不能在约定的期限或者合理的期限内办理,抵押人可以解除抵押合同。鉴于抵押 人解除抵押合同，相当于解除其负担并使其获利,无须进一步考虑解除的法律效果。若抵 押人在约定的抵押登记期间明确表示拒绝办理抵押登记，或者在抵押财产上为成立在后的 其他债权人设立先顺位的抵押权，从而使抵押财产的价值不足以担保债权，或者在约定的 抵押登记期间届满之后，经催告后在合理期限内仍然拒绝办理抵押登记，债权人可以解除 合同。因抵押人的违约行为导致债权人解除抵押合同的，抵押合同终止履行。当事人可以 要求恢复原状、采取其他补救措施，并有权要求赔偿损失。</w:t>
      </w:r>
    </w:p>
    <w:p w14:paraId="2E8C0D3C">
      <w:pPr>
        <w:pStyle w:val="17"/>
        <w:keepNext w:val="0"/>
        <w:keepLines w:val="0"/>
        <w:widowControl w:val="0"/>
        <w:numPr>
          <w:ilvl w:val="0"/>
          <w:numId w:val="23"/>
        </w:numPr>
        <w:shd w:val="clear" w:color="auto" w:fill="auto"/>
        <w:tabs>
          <w:tab w:val="left" w:pos="841"/>
        </w:tabs>
        <w:bidi w:val="0"/>
        <w:spacing w:before="0" w:after="0" w:line="343" w:lineRule="exact"/>
        <w:ind w:left="0" w:right="0" w:firstLine="420"/>
        <w:jc w:val="both"/>
      </w:pPr>
      <w:bookmarkStart w:id="102" w:name="bookmark300"/>
      <w:bookmarkEnd w:id="102"/>
      <w:r>
        <w:rPr>
          <w:color w:val="000000"/>
          <w:spacing w:val="0"/>
          <w:w w:val="100"/>
          <w:position w:val="0"/>
        </w:rPr>
        <w:t>违约损害赔偿范围。在约定的抵押登记期间届满之后，如果因债权人原因未完成 抵押登记，应解释为债权人以自己的行为放弃了抵押权,抵押人无须承担违约责任;若是因 为不动产登记机构的原因导致抵押登记未能办理或者登记错误的，债权人可以依法要求登 记机构承担赔偿责任。如果抵押人无正当理由拒绝办理抵押登记的,债权人可以直接要求 抵押人承担违约损害赔偿责任。《全国法院民商事审判工作会议纪要》［法</w:t>
      </w:r>
      <w:r>
        <w:rPr>
          <w:rFonts w:ascii="Times New Roman" w:hAnsi="Times New Roman" w:eastAsia="Times New Roman" w:cs="Times New Roman"/>
          <w:color w:val="000000"/>
          <w:spacing w:val="0"/>
          <w:w w:val="100"/>
          <w:position w:val="0"/>
          <w:sz w:val="19"/>
          <w:szCs w:val="19"/>
        </w:rPr>
        <w:t>(2019)254</w:t>
      </w:r>
      <w:r>
        <w:rPr>
          <w:color w:val="000000"/>
          <w:spacing w:val="0"/>
          <w:w w:val="100"/>
          <w:position w:val="0"/>
        </w:rPr>
        <w:t>号］ 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条规定:</w:t>
      </w:r>
      <w:r>
        <w:rPr>
          <w:color w:val="000000"/>
          <w:spacing w:val="0"/>
          <w:w w:val="100"/>
          <w:position w:val="0"/>
          <w:lang w:val="zh-CN" w:eastAsia="zh-CN" w:bidi="zh-CN"/>
        </w:rPr>
        <w:t>“不动</w:t>
      </w:r>
      <w:r>
        <w:rPr>
          <w:color w:val="000000"/>
          <w:spacing w:val="0"/>
          <w:w w:val="100"/>
          <w:position w:val="0"/>
        </w:rPr>
        <w:t>产抵押合同依法成立，但未办理抵押登记手续，债权人请求抵押人办理 抵押登记手续的，人民法院依法予以支持。因抵押物灭失以及抵押物转让他人等原因不能 办理抵押登记，债权人请求抵押人以抵押物的价值为限承担责任的,人民法院依法予以支 持，但其范围不得超过抵押权有效设立时抵押人所应当承担的责任。”</w:t>
      </w:r>
    </w:p>
    <w:p w14:paraId="2F50A477">
      <w:pPr>
        <w:pStyle w:val="17"/>
        <w:keepNext w:val="0"/>
        <w:keepLines w:val="0"/>
        <w:widowControl w:val="0"/>
        <w:numPr>
          <w:ilvl w:val="0"/>
          <w:numId w:val="23"/>
        </w:numPr>
        <w:shd w:val="clear" w:color="auto" w:fill="auto"/>
        <w:bidi w:val="0"/>
        <w:spacing w:before="0" w:after="360" w:line="338" w:lineRule="exact"/>
        <w:ind w:left="0" w:right="0" w:firstLine="440"/>
        <w:jc w:val="both"/>
      </w:pPr>
      <w:bookmarkStart w:id="103" w:name="bookmark301"/>
      <w:bookmarkEnd w:id="103"/>
      <w:r>
        <w:rPr>
          <w:color w:val="000000"/>
          <w:spacing w:val="0"/>
          <w:w w:val="100"/>
          <w:position w:val="0"/>
        </w:rPr>
        <w:t xml:space="preserve">抵押人违约时的责任形式:不真正连带之债。在抵押人因违约引起损害赔偿责任 时，其与债务人并不处于相同的连带责任人的法律地位。相反，抵押人仅在其自身引起的 损害范围内承担赔偿责任，在抵押人承担责任之后,其有权向债权人代位求偿。就此而言, 除非抵押合同明确约定抵押人承担连带责任,否则,其仅在债务人不能清偿时承担补充责 任。此种补充责任是以抵押物价值为限，如果抵押合同约定的担保范围小于抵押物价值 的，以约定的担保范围为限，不得超过抵押权有效设立时抵押人所应当承担的责任(最高人 民法院民事审判第二庭编著：《〈全国法院民商事审判工作会议纪要〉理解与适用》，人民法院出版社 </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364</w:t>
      </w:r>
      <w:r>
        <w:rPr>
          <w:color w:val="000000"/>
          <w:spacing w:val="0"/>
          <w:w w:val="100"/>
          <w:position w:val="0"/>
        </w:rPr>
        <w:t>页)。</w:t>
      </w:r>
    </w:p>
    <w:p w14:paraId="637D9C5E">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rPr>
        <w:t>回参考文献</w:t>
      </w:r>
    </w:p>
    <w:p w14:paraId="28139BAC">
      <w:pPr>
        <w:pStyle w:val="17"/>
        <w:keepNext w:val="0"/>
        <w:keepLines w:val="0"/>
        <w:widowControl w:val="0"/>
        <w:shd w:val="clear" w:color="auto" w:fill="auto"/>
        <w:bidi w:val="0"/>
        <w:spacing w:before="0" w:after="0" w:line="304" w:lineRule="exact"/>
        <w:ind w:left="0" w:right="0" w:firstLine="0"/>
        <w:jc w:val="left"/>
      </w:pPr>
      <w:r>
        <w:rPr>
          <w:color w:val="000000"/>
          <w:spacing w:val="0"/>
          <w:w w:val="100"/>
          <w:position w:val="0"/>
        </w:rPr>
        <w:t>刘延杰、王明华:《未办理抵押权登记时抵押人应承担何种责任》，载《人民司法》</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孙宪忠：《中国物权法总论》(第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w:t>
      </w:r>
    </w:p>
    <w:p w14:paraId="773FF256">
      <w:pPr>
        <w:pStyle w:val="17"/>
        <w:keepNext w:val="0"/>
        <w:keepLines w:val="0"/>
        <w:widowControl w:val="0"/>
        <w:shd w:val="clear" w:color="auto" w:fill="auto"/>
        <w:bidi w:val="0"/>
        <w:spacing w:before="0" w:after="0" w:line="304" w:lineRule="exact"/>
        <w:ind w:left="0" w:right="0" w:firstLine="0"/>
        <w:jc w:val="both"/>
      </w:pPr>
      <w:r>
        <w:rPr>
          <w:color w:val="000000"/>
          <w:spacing w:val="0"/>
          <w:w w:val="100"/>
          <w:position w:val="0"/>
        </w:rPr>
        <w:t>高圣平:《担保法论》，法律出版社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6A9707FA">
      <w:pPr>
        <w:pStyle w:val="17"/>
        <w:keepNext w:val="0"/>
        <w:keepLines w:val="0"/>
        <w:widowControl w:val="0"/>
        <w:shd w:val="clear" w:color="auto" w:fill="auto"/>
        <w:bidi w:val="0"/>
        <w:spacing w:before="0" w:after="0" w:line="304" w:lineRule="exact"/>
        <w:ind w:left="0" w:right="0" w:firstLine="0"/>
        <w:jc w:val="both"/>
      </w:pPr>
      <w:r>
        <w:rPr>
          <w:color w:val="000000"/>
          <w:spacing w:val="0"/>
          <w:w w:val="100"/>
          <w:position w:val="0"/>
        </w:rPr>
        <w:t>［德］迪特尔-梅迪库斯:《德国民法总论》，邵建东译，法律出版社</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年版。</w:t>
      </w:r>
    </w:p>
    <w:p w14:paraId="1C5DF18F">
      <w:pPr>
        <w:pStyle w:val="17"/>
        <w:keepNext w:val="0"/>
        <w:keepLines w:val="0"/>
        <w:widowControl w:val="0"/>
        <w:shd w:val="clear" w:color="auto" w:fill="auto"/>
        <w:bidi w:val="0"/>
        <w:spacing w:before="0" w:after="0" w:line="304" w:lineRule="exact"/>
        <w:ind w:left="0" w:right="0" w:firstLine="0"/>
        <w:jc w:val="both"/>
      </w:pPr>
      <w:r>
        <w:rPr>
          <w:color w:val="000000"/>
          <w:spacing w:val="0"/>
          <w:w w:val="100"/>
          <w:position w:val="0"/>
        </w:rPr>
        <w:t>冉克平:《论违约解除后的责任承担》，载《法律科学》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3A800A2D">
      <w:pPr>
        <w:pStyle w:val="17"/>
        <w:keepNext w:val="0"/>
        <w:keepLines w:val="0"/>
        <w:widowControl w:val="0"/>
        <w:shd w:val="clear" w:color="auto" w:fill="auto"/>
        <w:bidi w:val="0"/>
        <w:spacing w:before="0" w:after="0" w:line="304" w:lineRule="exact"/>
        <w:ind w:left="200" w:right="0" w:hanging="200"/>
        <w:jc w:val="both"/>
        <w:sectPr>
          <w:headerReference r:id="rId284" w:type="first"/>
          <w:headerReference r:id="rId282" w:type="default"/>
          <w:headerReference r:id="rId283" w:type="even"/>
          <w:footnotePr>
            <w:numFmt w:val="chicago"/>
          </w:footnotePr>
          <w:pgSz w:w="10099" w:h="14782"/>
          <w:pgMar w:top="1292" w:right="981" w:bottom="1126" w:left="1102" w:header="0" w:footer="3" w:gutter="0"/>
          <w:pgNumType w:start="217"/>
          <w:cols w:space="720" w:num="1"/>
          <w:titlePg/>
          <w:rtlGutter w:val="0"/>
          <w:docGrid w:linePitch="360" w:charSpace="0"/>
        </w:sectPr>
      </w:pPr>
      <w:r>
        <w:rPr>
          <w:color w:val="000000"/>
          <w:spacing w:val="0"/>
          <w:w w:val="100"/>
          <w:position w:val="0"/>
        </w:rPr>
        <w:t>最高人民法院民事审判第二庭编著:《〈全国法院民商事审判工作会议纪要〉理解与适用》，人民法院出 版社</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w:t>
      </w:r>
    </w:p>
    <w:p w14:paraId="5260580C">
      <w:pPr>
        <w:widowControl w:val="0"/>
        <w:spacing w:line="53" w:lineRule="exact"/>
        <w:rPr>
          <w:sz w:val="4"/>
          <w:szCs w:val="4"/>
        </w:rPr>
      </w:pPr>
    </w:p>
    <w:p w14:paraId="02B9EBF9">
      <w:pPr>
        <w:widowControl w:val="0"/>
        <w:spacing w:line="1" w:lineRule="exact"/>
        <w:sectPr>
          <w:headerReference r:id="rId285" w:type="default"/>
          <w:headerReference r:id="rId286" w:type="even"/>
          <w:footnotePr>
            <w:numFmt w:val="chicago"/>
          </w:footnotePr>
          <w:pgSz w:w="10099" w:h="14782"/>
          <w:pgMar w:top="1284" w:right="935" w:bottom="1128" w:left="932" w:header="0" w:footer="3" w:gutter="0"/>
          <w:pgNumType w:start="237"/>
          <w:cols w:space="720" w:num="1"/>
          <w:rtlGutter w:val="0"/>
          <w:docGrid w:linePitch="360" w:charSpace="0"/>
        </w:sectPr>
      </w:pPr>
    </w:p>
    <w:p w14:paraId="45B64D1F">
      <w:pPr>
        <w:widowControl w:val="0"/>
        <w:spacing w:line="1" w:lineRule="exact"/>
      </w:pPr>
      <w:r>
        <mc:AlternateContent>
          <mc:Choice Requires="wps">
            <w:drawing>
              <wp:anchor distT="0" distB="0" distL="114300" distR="3451860" simplePos="0" relativeHeight="251660288" behindDoc="0" locked="0" layoutInCell="1" allowOverlap="1">
                <wp:simplePos x="0" y="0"/>
                <wp:positionH relativeFrom="page">
                  <wp:posOffset>725805</wp:posOffset>
                </wp:positionH>
                <wp:positionV relativeFrom="paragraph">
                  <wp:posOffset>12700</wp:posOffset>
                </wp:positionV>
                <wp:extent cx="449580" cy="304800"/>
                <wp:effectExtent l="0" t="0" r="0" b="0"/>
                <wp:wrapTopAndBottom/>
                <wp:docPr id="647" name="Shape 64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C9D9E65">
                            <w:pPr>
                              <w:pStyle w:val="27"/>
                              <w:keepNext/>
                              <w:keepLines/>
                              <w:widowControl w:val="0"/>
                              <w:shd w:val="clear" w:color="auto" w:fill="auto"/>
                              <w:bidi w:val="0"/>
                              <w:spacing w:before="0" w:after="0" w:line="240" w:lineRule="auto"/>
                              <w:ind w:left="0" w:right="0" w:firstLine="0"/>
                              <w:jc w:val="left"/>
                            </w:pPr>
                            <w:bookmarkStart w:id="405" w:name="bookmark302"/>
                            <w:bookmarkStart w:id="406" w:name="bookmark304"/>
                            <w:bookmarkStart w:id="407" w:name="bookmark303"/>
                            <w:r>
                              <w:rPr>
                                <w:rFonts w:ascii="Times New Roman" w:hAnsi="Times New Roman" w:eastAsia="Times New Roman" w:cs="Times New Roman"/>
                                <w:color w:val="000000"/>
                                <w:spacing w:val="0"/>
                                <w:w w:val="100"/>
                                <w:position w:val="0"/>
                              </w:rPr>
                              <w:t>045</w:t>
                            </w:r>
                            <w:bookmarkEnd w:id="405"/>
                            <w:bookmarkEnd w:id="406"/>
                            <w:bookmarkEnd w:id="407"/>
                          </w:p>
                        </w:txbxContent>
                      </wps:txbx>
                      <wps:bodyPr wrap="none" lIns="0" tIns="0" rIns="0" bIns="0">
                        <a:noAutofit/>
                      </wps:bodyPr>
                    </wps:wsp>
                  </a:graphicData>
                </a:graphic>
              </wp:anchor>
            </w:drawing>
          </mc:Choice>
          <mc:Fallback>
            <w:pict>
              <v:shape id="Shape 647" o:spid="_x0000_s1026" o:spt="202" type="#_x0000_t202" style="position:absolute;left:0pt;margin-left:57.15pt;margin-top:1pt;height:24pt;width:35.4pt;mso-position-horizontal-relative:page;mso-wrap-distance-bottom:0pt;mso-wrap-distance-top:0pt;mso-wrap-style:none;z-index:251660288;mso-width-relative:page;mso-height-relative:page;" filled="f" stroked="f" coordsize="21600,21600" o:gfxdata="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9gjpDUAAAA&#10;CAEAAA8AAAAAAAAAAQAgAAAAIgAAAGRycy9kb3ducmV2LnhtbFBLAQIUABQAAAAIAIdO4kCK+e12&#10;rwEAAHMDAAAOAAAAAAAAAAEAIAAAACMBAABkcnMvZTJvRG9jLnhtbFBLBQYAAAAABgAGAFkBAABE&#10;BQAAAAA=&#10;">
                <v:fill on="f" focussize="0,0"/>
                <v:stroke on="f"/>
                <v:imagedata o:title=""/>
                <o:lock v:ext="edit" aspectratio="f"/>
                <v:textbox inset="0mm,0mm,0mm,0mm">
                  <w:txbxContent>
                    <w:p w14:paraId="7C9D9E65">
                      <w:pPr>
                        <w:pStyle w:val="27"/>
                        <w:keepNext/>
                        <w:keepLines/>
                        <w:widowControl w:val="0"/>
                        <w:shd w:val="clear" w:color="auto" w:fill="auto"/>
                        <w:bidi w:val="0"/>
                        <w:spacing w:before="0" w:after="0" w:line="240" w:lineRule="auto"/>
                        <w:ind w:left="0" w:right="0" w:firstLine="0"/>
                        <w:jc w:val="left"/>
                      </w:pPr>
                      <w:bookmarkStart w:id="405" w:name="bookmark302"/>
                      <w:bookmarkStart w:id="406" w:name="bookmark304"/>
                      <w:bookmarkStart w:id="407" w:name="bookmark303"/>
                      <w:r>
                        <w:rPr>
                          <w:rFonts w:ascii="Times New Roman" w:hAnsi="Times New Roman" w:eastAsia="Times New Roman" w:cs="Times New Roman"/>
                          <w:color w:val="000000"/>
                          <w:spacing w:val="0"/>
                          <w:w w:val="100"/>
                          <w:position w:val="0"/>
                        </w:rPr>
                        <w:t>045</w:t>
                      </w:r>
                      <w:bookmarkEnd w:id="405"/>
                      <w:bookmarkEnd w:id="406"/>
                      <w:bookmarkEnd w:id="407"/>
                    </w:p>
                  </w:txbxContent>
                </v:textbox>
                <w10:wrap type="topAndBottom"/>
              </v:shape>
            </w:pict>
          </mc:Fallback>
        </mc:AlternateContent>
      </w:r>
      <w:r>
        <mc:AlternateContent>
          <mc:Choice Requires="wps">
            <w:drawing>
              <wp:anchor distT="74930" distB="0" distL="692150" distR="114300" simplePos="0" relativeHeight="251660288" behindDoc="0" locked="0" layoutInCell="1" allowOverlap="1">
                <wp:simplePos x="0" y="0"/>
                <wp:positionH relativeFrom="page">
                  <wp:posOffset>1303655</wp:posOffset>
                </wp:positionH>
                <wp:positionV relativeFrom="paragraph">
                  <wp:posOffset>87630</wp:posOffset>
                </wp:positionV>
                <wp:extent cx="3209290" cy="229870"/>
                <wp:effectExtent l="0" t="0" r="0" b="0"/>
                <wp:wrapTopAndBottom/>
                <wp:docPr id="649" name="Shape 649"/>
                <wp:cNvGraphicFramePr/>
                <a:graphic xmlns:a="http://schemas.openxmlformats.org/drawingml/2006/main">
                  <a:graphicData uri="http://schemas.microsoft.com/office/word/2010/wordprocessingShape">
                    <wps:wsp>
                      <wps:cNvSpPr txBox="1"/>
                      <wps:spPr>
                        <a:xfrm>
                          <a:off x="0" y="0"/>
                          <a:ext cx="3209290" cy="229870"/>
                        </a:xfrm>
                        <a:prstGeom prst="rect">
                          <a:avLst/>
                        </a:prstGeom>
                        <a:noFill/>
                      </wps:spPr>
                      <wps:txbx>
                        <w:txbxContent>
                          <w:p w14:paraId="77F35A3A">
                            <w:pPr>
                              <w:pStyle w:val="15"/>
                              <w:keepNext/>
                              <w:keepLines/>
                              <w:widowControl w:val="0"/>
                              <w:shd w:val="clear" w:color="auto" w:fill="auto"/>
                              <w:bidi w:val="0"/>
                              <w:spacing w:before="0" w:after="0" w:line="240" w:lineRule="auto"/>
                              <w:ind w:left="0" w:right="0" w:firstLine="0"/>
                              <w:jc w:val="left"/>
                            </w:pPr>
                            <w:bookmarkStart w:id="408" w:name="bookmark305"/>
                            <w:bookmarkStart w:id="409" w:name="bookmark306"/>
                            <w:bookmarkStart w:id="410" w:name="bookmark307"/>
                            <w:r>
                              <w:rPr>
                                <w:color w:val="000000"/>
                                <w:spacing w:val="0"/>
                                <w:w w:val="100"/>
                                <w:position w:val="0"/>
                              </w:rPr>
                              <w:t>在建工程抵押与房地一体原则的适用</w:t>
                            </w:r>
                            <w:bookmarkEnd w:id="408"/>
                            <w:bookmarkEnd w:id="409"/>
                            <w:bookmarkEnd w:id="410"/>
                          </w:p>
                        </w:txbxContent>
                      </wps:txbx>
                      <wps:bodyPr wrap="none" lIns="0" tIns="0" rIns="0" bIns="0">
                        <a:noAutofit/>
                      </wps:bodyPr>
                    </wps:wsp>
                  </a:graphicData>
                </a:graphic>
              </wp:anchor>
            </w:drawing>
          </mc:Choice>
          <mc:Fallback>
            <w:pict>
              <v:shape id="Shape 649" o:spid="_x0000_s1026" o:spt="202" type="#_x0000_t202" style="position:absolute;left:0pt;margin-left:102.65pt;margin-top:6.9pt;height:18.1pt;width:252.7pt;mso-position-horizontal-relative:page;mso-wrap-distance-bottom:0pt;mso-wrap-distance-top:5.9pt;mso-wrap-style:none;z-index:251660288;mso-width-relative:page;mso-height-relative:page;" filled="f" stroked="f" coordsize="21600,21600" o:gfxdata="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PCHo9YA&#10;AAAJAQAADwAAAAAAAAABACAAAAAiAAAAZHJzL2Rvd25yZXYueG1sUEsBAhQAFAAAAAgAh07iQB2h&#10;WB6vAQAAdAMAAA4AAAAAAAAAAQAgAAAAJQEAAGRycy9lMm9Eb2MueG1sUEsFBgAAAAAGAAYAWQEA&#10;AEYFAAAAAA==&#10;">
                <v:fill on="f" focussize="0,0"/>
                <v:stroke on="f"/>
                <v:imagedata o:title=""/>
                <o:lock v:ext="edit" aspectratio="f"/>
                <v:textbox inset="0mm,0mm,0mm,0mm">
                  <w:txbxContent>
                    <w:p w14:paraId="77F35A3A">
                      <w:pPr>
                        <w:pStyle w:val="15"/>
                        <w:keepNext/>
                        <w:keepLines/>
                        <w:widowControl w:val="0"/>
                        <w:shd w:val="clear" w:color="auto" w:fill="auto"/>
                        <w:bidi w:val="0"/>
                        <w:spacing w:before="0" w:after="0" w:line="240" w:lineRule="auto"/>
                        <w:ind w:left="0" w:right="0" w:firstLine="0"/>
                        <w:jc w:val="left"/>
                      </w:pPr>
                      <w:bookmarkStart w:id="408" w:name="bookmark305"/>
                      <w:bookmarkStart w:id="409" w:name="bookmark306"/>
                      <w:bookmarkStart w:id="410" w:name="bookmark307"/>
                      <w:r>
                        <w:rPr>
                          <w:color w:val="000000"/>
                          <w:spacing w:val="0"/>
                          <w:w w:val="100"/>
                          <w:position w:val="0"/>
                        </w:rPr>
                        <w:t>在建工程抵押与房地一体原则的适用</w:t>
                      </w:r>
                      <w:bookmarkEnd w:id="408"/>
                      <w:bookmarkEnd w:id="409"/>
                      <w:bookmarkEnd w:id="410"/>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5101590</wp:posOffset>
            </wp:positionH>
            <wp:positionV relativeFrom="paragraph">
              <wp:posOffset>224155</wp:posOffset>
            </wp:positionV>
            <wp:extent cx="615950" cy="615950"/>
            <wp:effectExtent l="0" t="0" r="6350" b="6350"/>
            <wp:wrapSquare wrapText="left"/>
            <wp:docPr id="651" name="Shape 651"/>
            <wp:cNvGraphicFramePr/>
            <a:graphic xmlns:a="http://schemas.openxmlformats.org/drawingml/2006/main">
              <a:graphicData uri="http://schemas.openxmlformats.org/drawingml/2006/picture">
                <pic:pic xmlns:pic="http://schemas.openxmlformats.org/drawingml/2006/picture">
                  <pic:nvPicPr>
                    <pic:cNvPr id="651" name="Shape 651"/>
                    <pic:cNvPicPr/>
                  </pic:nvPicPr>
                  <pic:blipFill>
                    <a:blip r:embed="rId649"/>
                    <a:stretch>
                      <a:fillRect/>
                    </a:stretch>
                  </pic:blipFill>
                  <pic:spPr>
                    <a:xfrm>
                      <a:off x="0" y="0"/>
                      <a:ext cx="615950" cy="615950"/>
                    </a:xfrm>
                    <a:prstGeom prst="rect">
                      <a:avLst/>
                    </a:prstGeom>
                  </pic:spPr>
                </pic:pic>
              </a:graphicData>
            </a:graphic>
          </wp:anchor>
        </w:drawing>
      </w:r>
    </w:p>
    <w:p w14:paraId="71183D14">
      <w:pPr>
        <w:pStyle w:val="17"/>
        <w:keepNext w:val="0"/>
        <w:keepLines w:val="0"/>
        <w:widowControl w:val="0"/>
        <w:shd w:val="clear" w:color="auto" w:fill="auto"/>
        <w:bidi w:val="0"/>
        <w:spacing w:before="0" w:after="340" w:line="331" w:lineRule="exact"/>
        <w:ind w:left="1000" w:right="0" w:firstLine="20"/>
        <w:jc w:val="both"/>
      </w:pPr>
      <w:r>
        <w:rPr>
          <w:color w:val="000000"/>
          <w:spacing w:val="0"/>
          <w:w w:val="100"/>
          <w:position w:val="0"/>
        </w:rPr>
        <w:t>山东省国际信托股份有限公司与田佳灵执行异议之诉纠纷案</w:t>
      </w:r>
      <w:r>
        <w:rPr>
          <w:color w:val="000000"/>
          <w:spacing w:val="0"/>
          <w:w w:val="100"/>
          <w:position w:val="0"/>
          <w:lang w:val="zh-CN" w:eastAsia="zh-CN" w:bidi="zh-CN"/>
        </w:rPr>
        <w:t xml:space="preserve">| </w:t>
      </w:r>
      <w:r>
        <w:rPr>
          <w:color w:val="000000"/>
          <w:spacing w:val="0"/>
          <w:w w:val="100"/>
          <w:position w:val="0"/>
        </w:rPr>
        <w:t>湖北省宜昌市中级人民法院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鄂</w:t>
      </w:r>
      <w:r>
        <w:rPr>
          <w:rFonts w:ascii="Times New Roman" w:hAnsi="Times New Roman" w:eastAsia="Times New Roman" w:cs="Times New Roman"/>
          <w:color w:val="000000"/>
          <w:spacing w:val="0"/>
          <w:w w:val="100"/>
          <w:position w:val="0"/>
          <w:sz w:val="19"/>
          <w:szCs w:val="19"/>
        </w:rPr>
        <w:t>05</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776</w:t>
      </w:r>
      <w:r>
        <w:rPr>
          <w:color w:val="000000"/>
          <w:spacing w:val="0"/>
          <w:w w:val="100"/>
          <w:position w:val="0"/>
        </w:rPr>
        <w:t>号民事判决书</w:t>
      </w:r>
    </w:p>
    <w:p w14:paraId="58B0EAB1">
      <w:pPr>
        <w:pStyle w:val="33"/>
        <w:keepNext w:val="0"/>
        <w:keepLines w:val="0"/>
        <w:widowControl w:val="0"/>
        <w:shd w:val="clear" w:color="auto" w:fill="auto"/>
        <w:tabs>
          <w:tab w:val="left" w:pos="370"/>
        </w:tabs>
        <w:bidi w:val="0"/>
        <w:spacing w:before="0" w:after="1340" w:line="240" w:lineRule="auto"/>
        <w:ind w:left="0" w:right="0" w:firstLine="0"/>
        <w:jc w:val="right"/>
      </w:pPr>
      <w:r>
        <w:rPr>
          <w:color w:val="000000"/>
          <w:spacing w:val="0"/>
          <w:w w:val="100"/>
          <w:position w:val="0"/>
        </w:rPr>
        <w:t>刘</w:t>
      </w:r>
      <w:r>
        <w:rPr>
          <w:rFonts w:ascii="Times New Roman" w:hAnsi="Times New Roman" w:eastAsia="Times New Roman" w:cs="Times New Roman"/>
          <w:color w:val="000000"/>
          <w:spacing w:val="0"/>
          <w:w w:val="100"/>
          <w:position w:val="0"/>
          <w:sz w:val="26"/>
          <w:szCs w:val="26"/>
          <w:lang w:val="en-US" w:eastAsia="en-US" w:bidi="en-US"/>
        </w:rPr>
        <w:t>J</w:t>
      </w:r>
      <w:r>
        <w:rPr>
          <w:rFonts w:ascii="Times New Roman" w:hAnsi="Times New Roman" w:eastAsia="Times New Roman" w:cs="Times New Roman"/>
          <w:color w:val="000000"/>
          <w:spacing w:val="0"/>
          <w:w w:val="100"/>
          <w:position w:val="0"/>
          <w:sz w:val="26"/>
          <w:szCs w:val="26"/>
          <w:lang w:val="en-US" w:eastAsia="en-US" w:bidi="en-US"/>
        </w:rPr>
        <w:tab/>
      </w:r>
      <w:r>
        <w:rPr>
          <w:color w:val="000000"/>
          <w:spacing w:val="0"/>
          <w:w w:val="100"/>
          <w:position w:val="0"/>
        </w:rPr>
        <w:t>颖同济大学法学院</w:t>
      </w:r>
    </w:p>
    <w:p w14:paraId="7523C6B1">
      <w:pPr>
        <w:pStyle w:val="11"/>
        <w:keepNext w:val="0"/>
        <w:keepLines w:val="0"/>
        <w:widowControl w:val="0"/>
        <w:shd w:val="clear" w:color="auto" w:fill="auto"/>
        <w:bidi w:val="0"/>
        <w:spacing w:before="0" w:after="80" w:line="33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48B7DF1">
      <w:pPr>
        <w:pStyle w:val="17"/>
        <w:keepNext w:val="0"/>
        <w:keepLines w:val="0"/>
        <w:widowControl w:val="0"/>
        <w:shd w:val="clear" w:color="auto" w:fill="auto"/>
        <w:bidi w:val="0"/>
        <w:spacing w:before="0" w:after="0" w:line="338" w:lineRule="exact"/>
        <w:ind w:left="0" w:right="0"/>
        <w:jc w:val="both"/>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日，山东省国际信托股份有限公司（以下简称山东信托公司）与宜昌弘 健新材料有限公司（以下简称弘健公司）签订《信托贷款合同》,约定弘健公司作为借款人向 山东省信托公司借款</w:t>
      </w:r>
      <w:r>
        <w:rPr>
          <w:rFonts w:ascii="Times New Roman" w:hAnsi="Times New Roman" w:eastAsia="Times New Roman" w:cs="Times New Roman"/>
          <w:color w:val="000000"/>
          <w:spacing w:val="0"/>
          <w:w w:val="100"/>
          <w:position w:val="0"/>
          <w:sz w:val="19"/>
          <w:szCs w:val="19"/>
        </w:rPr>
        <w:t>60,000, 000</w:t>
      </w:r>
      <w:r>
        <w:rPr>
          <w:color w:val="000000"/>
          <w:spacing w:val="0"/>
          <w:w w:val="100"/>
          <w:position w:val="0"/>
        </w:rPr>
        <w:t>元。同时山东信托公司与宜昌弗洛伊德商务有限公司（以 下简称弗洛伊德公司）签订《抵押合同》，约定弗洛伊德公司以其两处国有土地的土地使用 权作为抵押物为弘健公司上述贷款提供担保而向山东信托公司抵押,三方就《信托贷款合 同》《抵押合同》均在北京市方圆公证处进行了公证。</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日，山东信托公司与弗 洛伊德公司就上述抵押物在房产管理局办理了在建工程抵押权登记。因弘健公司未按约 定还款，山东信托公司依北京市方圆公证处出具的</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京方圆执字第</w:t>
      </w:r>
      <w:r>
        <w:rPr>
          <w:rFonts w:ascii="Times New Roman" w:hAnsi="Times New Roman" w:eastAsia="Times New Roman" w:cs="Times New Roman"/>
          <w:color w:val="000000"/>
          <w:spacing w:val="0"/>
          <w:w w:val="100"/>
          <w:position w:val="0"/>
          <w:sz w:val="19"/>
          <w:szCs w:val="19"/>
        </w:rPr>
        <w:t>0089</w:t>
      </w:r>
      <w:r>
        <w:rPr>
          <w:color w:val="000000"/>
          <w:spacing w:val="0"/>
          <w:w w:val="100"/>
          <w:position w:val="0"/>
        </w:rPr>
        <w:t>号执行证书 向湖北省高级人民法院申请对弘健公司、弗洛伊德公司强制执行以偿还债务，湖北省高级 人民法院于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日裁定该执行案由宜昌市中级人民法院执行。</w:t>
      </w:r>
    </w:p>
    <w:p w14:paraId="1CDB3A36">
      <w:pPr>
        <w:pStyle w:val="17"/>
        <w:keepNext w:val="0"/>
        <w:keepLines w:val="0"/>
        <w:widowControl w:val="0"/>
        <w:shd w:val="clear" w:color="auto" w:fill="auto"/>
        <w:bidi w:val="0"/>
        <w:spacing w:before="0" w:after="0" w:line="331" w:lineRule="exact"/>
        <w:ind w:left="0" w:right="0"/>
        <w:jc w:val="both"/>
      </w:pPr>
      <w:r>
        <w:rPr>
          <w:color w:val="000000"/>
          <w:spacing w:val="0"/>
          <w:w w:val="100"/>
          <w:position w:val="0"/>
        </w:rPr>
        <w:t>弘健公司、弗洛伊德公司因借贷纠纷被田佳灵向宜昌市中级人民法院申请执行上述两 处国有土地的土地使用权,该院裁定两执行案件指定由一审法院执行，经一审法院对宜昌 市中级人民法院查封的两处土地及地上建筑进行拍卖，所得价款</w:t>
      </w:r>
      <w:r>
        <w:rPr>
          <w:rFonts w:ascii="Times New Roman" w:hAnsi="Times New Roman" w:eastAsia="Times New Roman" w:cs="Times New Roman"/>
          <w:color w:val="000000"/>
          <w:spacing w:val="0"/>
          <w:w w:val="100"/>
          <w:position w:val="0"/>
          <w:sz w:val="19"/>
          <w:szCs w:val="19"/>
        </w:rPr>
        <w:t>65, 867, 500</w:t>
      </w:r>
      <w:r>
        <w:rPr>
          <w:color w:val="000000"/>
          <w:spacing w:val="0"/>
          <w:w w:val="100"/>
          <w:position w:val="0"/>
        </w:rPr>
        <w:t>元，其中土地 使用权拍卖价款</w:t>
      </w:r>
      <w:r>
        <w:rPr>
          <w:rFonts w:ascii="Times New Roman" w:hAnsi="Times New Roman" w:eastAsia="Times New Roman" w:cs="Times New Roman"/>
          <w:color w:val="000000"/>
          <w:spacing w:val="0"/>
          <w:w w:val="100"/>
          <w:position w:val="0"/>
          <w:sz w:val="19"/>
          <w:szCs w:val="19"/>
        </w:rPr>
        <w:t>65, 559,100</w:t>
      </w:r>
      <w:r>
        <w:rPr>
          <w:color w:val="000000"/>
          <w:spacing w:val="0"/>
          <w:w w:val="100"/>
          <w:position w:val="0"/>
        </w:rPr>
        <w:t>元、在建工程拍卖价款</w:t>
      </w:r>
      <w:r>
        <w:rPr>
          <w:rFonts w:ascii="Times New Roman" w:hAnsi="Times New Roman" w:eastAsia="Times New Roman" w:cs="Times New Roman"/>
          <w:color w:val="000000"/>
          <w:spacing w:val="0"/>
          <w:w w:val="100"/>
          <w:position w:val="0"/>
          <w:sz w:val="19"/>
          <w:szCs w:val="19"/>
        </w:rPr>
        <w:t>308, 400</w:t>
      </w:r>
      <w:r>
        <w:rPr>
          <w:color w:val="000000"/>
          <w:spacing w:val="0"/>
          <w:w w:val="100"/>
          <w:position w:val="0"/>
        </w:rPr>
        <w:t>元，全部留存于一审法院账户。</w:t>
      </w:r>
    </w:p>
    <w:p w14:paraId="0BF4B5E1">
      <w:pPr>
        <w:pStyle w:val="17"/>
        <w:keepNext w:val="0"/>
        <w:keepLines w:val="0"/>
        <w:widowControl w:val="0"/>
        <w:shd w:val="clear" w:color="auto" w:fill="auto"/>
        <w:bidi w:val="0"/>
        <w:spacing w:before="0" w:after="0" w:line="336" w:lineRule="exact"/>
        <w:ind w:left="0" w:right="0"/>
        <w:jc w:val="both"/>
      </w:pPr>
      <w:r>
        <w:rPr>
          <w:color w:val="000000"/>
          <w:spacing w:val="0"/>
          <w:w w:val="100"/>
          <w:position w:val="0"/>
        </w:rPr>
        <w:t>在执行过程中，山东信托公司作为案外人向一审法院提出执行异议，认为其对案涉两 处土地的土地使用权及在建工程办理了抵押登记而享有抵押权，其对该拍卖价款享有优先 受偿权。一审法院裁定山东信托公司仅对在建工程的拍卖价款</w:t>
      </w:r>
      <w:r>
        <w:rPr>
          <w:rFonts w:ascii="Times New Roman" w:hAnsi="Times New Roman" w:eastAsia="Times New Roman" w:cs="Times New Roman"/>
          <w:color w:val="000000"/>
          <w:spacing w:val="0"/>
          <w:w w:val="100"/>
          <w:position w:val="0"/>
          <w:sz w:val="19"/>
          <w:szCs w:val="19"/>
        </w:rPr>
        <w:t>308, 400</w:t>
      </w:r>
      <w:r>
        <w:rPr>
          <w:color w:val="000000"/>
          <w:spacing w:val="0"/>
          <w:w w:val="100"/>
          <w:position w:val="0"/>
        </w:rPr>
        <w:t>元享有优先受偿 权，对土地使用权的拍卖价款不享有优先受偿权。其后，山东信托公司向一审法院提起诉 讼，请求停止对涉案土地使用权及在建工程拍卖价款的执行,确认山东信托公司对土地使 用权及在建工程拍卖所得全部价款享有优先受偿权。</w:t>
      </w:r>
    </w:p>
    <w:p w14:paraId="397A7CFF">
      <w:pPr>
        <w:pStyle w:val="17"/>
        <w:keepNext w:val="0"/>
        <w:keepLines w:val="0"/>
        <w:widowControl w:val="0"/>
        <w:shd w:val="clear" w:color="auto" w:fill="auto"/>
        <w:bidi w:val="0"/>
        <w:spacing w:before="0" w:after="360" w:line="336" w:lineRule="exact"/>
        <w:ind w:left="0" w:right="0"/>
        <w:jc w:val="both"/>
        <w:sectPr>
          <w:footnotePr>
            <w:numFmt w:val="chicago"/>
          </w:footnotePr>
          <w:type w:val="continuous"/>
          <w:pgSz w:w="10099" w:h="14782"/>
          <w:pgMar w:top="1284" w:right="935" w:bottom="1128" w:left="932" w:header="856" w:footer="700" w:gutter="0"/>
          <w:cols w:space="720" w:num="1"/>
          <w:rtlGutter w:val="0"/>
          <w:docGrid w:linePitch="360" w:charSpace="0"/>
        </w:sectPr>
      </w:pPr>
      <w:r>
        <w:rPr>
          <w:color w:val="000000"/>
          <w:spacing w:val="0"/>
          <w:w w:val="100"/>
          <w:position w:val="0"/>
        </w:rPr>
        <w:t xml:space="preserve">一审法院认为，山东信托公司与弗洛伊德公司签订的《抵押合同》是双方真实意思表 示，依法成立。双方在房管部门办理了在建工程抵押登记，但未到土管部门办理土地使用 权抵押手续,且在建工程抵押登记因土管部门不知情而未起到公示排他效果，致使涉案土 地被田佳灵及中信逸百年融资租赁有限公司先后申请司法部门查封,故该在建工程抵押权 登记不能及于涉案土地。故山东信托公司仅对在建工程拍卖价款享有优先受偿权，对未办 </w:t>
      </w:r>
    </w:p>
    <w:p w14:paraId="0617003F">
      <w:pPr>
        <w:pStyle w:val="17"/>
        <w:keepNext w:val="0"/>
        <w:keepLines w:val="0"/>
        <w:widowControl w:val="0"/>
        <w:shd w:val="clear" w:color="auto" w:fill="auto"/>
        <w:bidi w:val="0"/>
        <w:spacing w:before="0" w:after="360" w:line="336" w:lineRule="exact"/>
        <w:ind w:left="0" w:right="0" w:firstLine="0"/>
        <w:jc w:val="both"/>
      </w:pPr>
      <w:r>
        <w:rPr>
          <w:color w:val="000000"/>
          <w:spacing w:val="0"/>
          <w:w w:val="100"/>
          <w:position w:val="0"/>
        </w:rPr>
        <w:t>理抵押登记的土地使用权拍卖价款不享有优先受偿权。山东信托公司不服一审判决提起 上诉。</w:t>
      </w:r>
    </w:p>
    <w:p w14:paraId="12CD9682">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4232AC6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驳回上诉，维持原判。</w:t>
      </w:r>
    </w:p>
    <w:p w14:paraId="6B34989F">
      <w:pPr>
        <w:pStyle w:val="17"/>
        <w:keepNext w:val="0"/>
        <w:keepLines w:val="0"/>
        <w:widowControl w:val="0"/>
        <w:shd w:val="clear" w:color="auto" w:fill="auto"/>
        <w:bidi w:val="0"/>
        <w:spacing w:before="0" w:after="360" w:line="347" w:lineRule="exact"/>
        <w:ind w:left="0" w:right="0" w:firstLine="420"/>
        <w:jc w:val="both"/>
      </w:pPr>
      <w:r>
        <w:rPr>
          <w:color w:val="000000"/>
          <w:spacing w:val="0"/>
          <w:w w:val="100"/>
          <w:position w:val="0"/>
        </w:rPr>
        <w:t>根据《物权法》第</w:t>
      </w:r>
      <w:r>
        <w:rPr>
          <w:rFonts w:ascii="Times New Roman" w:hAnsi="Times New Roman" w:eastAsia="Times New Roman" w:cs="Times New Roman"/>
          <w:color w:val="000000"/>
          <w:spacing w:val="0"/>
          <w:w w:val="100"/>
          <w:position w:val="0"/>
          <w:sz w:val="19"/>
          <w:szCs w:val="19"/>
          <w:lang w:val="en-US" w:eastAsia="en-US" w:bidi="en-US"/>
        </w:rPr>
        <w:t>180J87</w:t>
      </w:r>
      <w:r>
        <w:rPr>
          <w:color w:val="000000"/>
          <w:spacing w:val="0"/>
          <w:w w:val="100"/>
          <w:position w:val="0"/>
        </w:rPr>
        <w:t>条的规定,虽然双方在房管部门办理了在建工程抵押登记， 但因双方未到土管部门办理土地使用权抵押登记手续,且在建工程抵押登记因土管部门不 知情而未起到公示排他效果。故山东信托公司只对案涉在建工程拍卖价款享有优先受偿 权，对未办理抵押登记的土地使用权不具有抵押权，对该土地使用权的拍卖价款不享有优 先受偿权。</w:t>
      </w:r>
    </w:p>
    <w:p w14:paraId="17330689">
      <w:pPr>
        <w:pStyle w:val="11"/>
        <w:keepNext w:val="0"/>
        <w:keepLines w:val="0"/>
        <w:widowControl w:val="0"/>
        <w:shd w:val="clear" w:color="auto" w:fill="auto"/>
        <w:bidi w:val="0"/>
        <w:spacing w:before="0" w:after="220" w:line="342" w:lineRule="exact"/>
        <w:ind w:left="0" w:right="0" w:firstLine="0"/>
        <w:jc w:val="left"/>
      </w:pPr>
      <w:r>
        <w:rPr>
          <w:color w:val="000000"/>
          <w:spacing w:val="0"/>
          <w:w w:val="100"/>
          <w:position w:val="0"/>
        </w:rPr>
        <w:t>■评析</w:t>
      </w:r>
    </w:p>
    <w:p w14:paraId="2447B543">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1C41AA2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两审法院在本案中的判决思路为，当事人双方签订的在建工程抵押合同有效成立，抵 押效力范围应根据是否适用</w:t>
      </w:r>
      <w:r>
        <w:rPr>
          <w:color w:val="000000"/>
          <w:spacing w:val="0"/>
          <w:w w:val="100"/>
          <w:position w:val="0"/>
          <w:lang w:val="zh-CN" w:eastAsia="zh-CN" w:bidi="zh-CN"/>
        </w:rPr>
        <w:t>“房</w:t>
      </w:r>
      <w:r>
        <w:rPr>
          <w:color w:val="000000"/>
          <w:spacing w:val="0"/>
          <w:w w:val="100"/>
          <w:position w:val="0"/>
        </w:rPr>
        <w:t>地一体</w:t>
      </w:r>
      <w:r>
        <w:rPr>
          <w:color w:val="000000"/>
          <w:spacing w:val="0"/>
          <w:w w:val="100"/>
          <w:position w:val="0"/>
          <w:lang w:val="zh-CN" w:eastAsia="zh-CN" w:bidi="zh-CN"/>
        </w:rPr>
        <w:t>”原</w:t>
      </w:r>
      <w:r>
        <w:rPr>
          <w:color w:val="000000"/>
          <w:spacing w:val="0"/>
          <w:w w:val="100"/>
          <w:position w:val="0"/>
        </w:rPr>
        <w:t>则进行判断。我国《物权法》第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条）规定了</w:t>
      </w:r>
      <w:r>
        <w:rPr>
          <w:color w:val="000000"/>
          <w:spacing w:val="0"/>
          <w:w w:val="100"/>
          <w:position w:val="0"/>
          <w:lang w:val="zh-CN" w:eastAsia="zh-CN" w:bidi="zh-CN"/>
        </w:rPr>
        <w:t>“房</w:t>
      </w:r>
      <w:r>
        <w:rPr>
          <w:color w:val="000000"/>
          <w:spacing w:val="0"/>
          <w:w w:val="100"/>
          <w:position w:val="0"/>
        </w:rPr>
        <w:t>地一体，地随房走</w:t>
      </w:r>
      <w:r>
        <w:rPr>
          <w:color w:val="000000"/>
          <w:spacing w:val="0"/>
          <w:w w:val="100"/>
          <w:position w:val="0"/>
          <w:lang w:val="zh-CN" w:eastAsia="zh-CN" w:bidi="zh-CN"/>
        </w:rPr>
        <w:t>”的</w:t>
      </w:r>
      <w:r>
        <w:rPr>
          <w:color w:val="000000"/>
          <w:spacing w:val="0"/>
          <w:w w:val="100"/>
          <w:position w:val="0"/>
        </w:rPr>
        <w:t>双向统一原则，该原则仅适用于</w:t>
      </w:r>
      <w:r>
        <w:rPr>
          <w:color w:val="000000"/>
          <w:spacing w:val="0"/>
          <w:w w:val="100"/>
          <w:position w:val="0"/>
          <w:lang w:val="zh-CN" w:eastAsia="zh-CN" w:bidi="zh-CN"/>
        </w:rPr>
        <w:t>“建</w:t>
      </w:r>
      <w:r>
        <w:rPr>
          <w:color w:val="000000"/>
          <w:spacing w:val="0"/>
          <w:w w:val="100"/>
          <w:position w:val="0"/>
        </w:rPr>
        <w:t>筑物抵 押”的情形,未有法律法规和行政规章明确规定以未完工的在建工程办理抵押,土地使用权 亦随之抵押。因此，在建工程抵押的效力不能及于涉案土地使用权，需分别办理抵押登记。 本案原告仅在房管部门办理了在建工程抵押登记，未在土地管理部门办理抵押登记，故其 抵押效力限于在建工程，对在建工程涉及的土地使用权无优先受偿权。</w:t>
      </w:r>
    </w:p>
    <w:p w14:paraId="3BAFC68B">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本案的意义在于,明确了在建工程抵押不适用《物权法》第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条） 的“房地一体，地随房走</w:t>
      </w:r>
      <w:r>
        <w:rPr>
          <w:color w:val="000000"/>
          <w:spacing w:val="0"/>
          <w:w w:val="100"/>
          <w:position w:val="0"/>
          <w:lang w:val="zh-CN" w:eastAsia="zh-CN" w:bidi="zh-CN"/>
        </w:rPr>
        <w:t>”的</w:t>
      </w:r>
      <w:r>
        <w:rPr>
          <w:color w:val="000000"/>
          <w:spacing w:val="0"/>
          <w:w w:val="100"/>
          <w:position w:val="0"/>
        </w:rPr>
        <w:t>双向统一原则，在建工程、土地使用权抵押应分别登记,未登记 不得产生公示排他效果，由此造成相关财产被法院执行时，债权人并无优先受偿权。</w:t>
      </w:r>
    </w:p>
    <w:p w14:paraId="55EDB634">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在建工程抵押是否适用房地一体原则的规范及学理</w:t>
      </w:r>
    </w:p>
    <w:p w14:paraId="2DC5F1F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我国《民法典》第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条规定了建筑物抵押的房地一体原则,该条以</w:t>
      </w:r>
      <w:r>
        <w:rPr>
          <w:color w:val="000000"/>
          <w:spacing w:val="0"/>
          <w:w w:val="100"/>
          <w:position w:val="0"/>
          <w:lang w:val="zh-CN" w:eastAsia="zh-CN" w:bidi="zh-CN"/>
        </w:rPr>
        <w:t>“建筑</w:t>
      </w:r>
      <w:r>
        <w:rPr>
          <w:color w:val="000000"/>
          <w:spacing w:val="0"/>
          <w:w w:val="100"/>
          <w:position w:val="0"/>
        </w:rPr>
        <w:t>物抵押</w:t>
      </w:r>
      <w:r>
        <w:rPr>
          <w:color w:val="000000"/>
          <w:spacing w:val="0"/>
          <w:w w:val="100"/>
          <w:position w:val="0"/>
          <w:lang w:val="zh-CN" w:eastAsia="zh-CN" w:bidi="zh-CN"/>
        </w:rPr>
        <w:t xml:space="preserve">”作为 </w:t>
      </w:r>
      <w:r>
        <w:rPr>
          <w:color w:val="000000"/>
          <w:spacing w:val="0"/>
          <w:w w:val="100"/>
          <w:position w:val="0"/>
        </w:rPr>
        <w:t>限定语，似乎房地一体原则仅限于</w:t>
      </w:r>
      <w:r>
        <w:rPr>
          <w:color w:val="000000"/>
          <w:spacing w:val="0"/>
          <w:w w:val="100"/>
          <w:position w:val="0"/>
          <w:lang w:val="zh-CN" w:eastAsia="zh-CN" w:bidi="zh-CN"/>
        </w:rPr>
        <w:t>“建筑</w:t>
      </w:r>
      <w:r>
        <w:rPr>
          <w:color w:val="000000"/>
          <w:spacing w:val="0"/>
          <w:w w:val="100"/>
          <w:position w:val="0"/>
        </w:rPr>
        <w:t>物抵押</w:t>
      </w:r>
      <w:r>
        <w:rPr>
          <w:color w:val="000000"/>
          <w:spacing w:val="0"/>
          <w:w w:val="100"/>
          <w:position w:val="0"/>
          <w:lang w:val="zh-CN" w:eastAsia="zh-CN" w:bidi="zh-CN"/>
        </w:rPr>
        <w:t>”的</w:t>
      </w:r>
      <w:r>
        <w:rPr>
          <w:color w:val="000000"/>
          <w:spacing w:val="0"/>
          <w:w w:val="100"/>
          <w:position w:val="0"/>
        </w:rPr>
        <w:t>情形。至于在建工程抵押是否适用该原 则，《民法典》并未明文规定。</w:t>
      </w:r>
    </w:p>
    <w:p w14:paraId="74F615EF">
      <w:pPr>
        <w:pStyle w:val="17"/>
        <w:keepNext w:val="0"/>
        <w:keepLines w:val="0"/>
        <w:widowControl w:val="0"/>
        <w:shd w:val="clear" w:color="auto" w:fill="auto"/>
        <w:bidi w:val="0"/>
        <w:spacing w:before="0" w:after="0" w:line="342" w:lineRule="exact"/>
        <w:ind w:left="0" w:right="0" w:firstLine="420"/>
        <w:jc w:val="both"/>
        <w:sectPr>
          <w:headerReference r:id="rId287" w:type="default"/>
          <w:headerReference r:id="rId288" w:type="even"/>
          <w:footnotePr>
            <w:numFmt w:val="chicago"/>
          </w:footnotePr>
          <w:pgSz w:w="10099" w:h="14782"/>
          <w:pgMar w:top="1284" w:right="935" w:bottom="1128" w:left="932" w:header="0" w:footer="700" w:gutter="0"/>
          <w:pgNumType w:start="222"/>
          <w:cols w:space="720" w:num="1"/>
          <w:rtlGutter w:val="0"/>
          <w:docGrid w:linePitch="360" w:charSpace="0"/>
        </w:sectPr>
      </w:pPr>
      <w:r>
        <w:rPr>
          <w:color w:val="000000"/>
          <w:spacing w:val="0"/>
          <w:w w:val="100"/>
          <w:position w:val="0"/>
        </w:rPr>
        <w:t xml:space="preserve">从立法史观察，在建工程是否可以作为抵押财产经过了模糊到认可的阶段。首先，在 </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年颁行的原《担保法》中并未予以明确。因为在建工程既不在该法第</w:t>
      </w:r>
      <w:r>
        <w:rPr>
          <w:rFonts w:ascii="Times New Roman" w:hAnsi="Times New Roman" w:eastAsia="Times New Roman" w:cs="Times New Roman"/>
          <w:color w:val="000000"/>
          <w:spacing w:val="0"/>
          <w:w w:val="100"/>
          <w:position w:val="0"/>
          <w:sz w:val="19"/>
          <w:szCs w:val="19"/>
        </w:rPr>
        <w:t>34</w:t>
      </w:r>
      <w:r>
        <w:rPr>
          <w:color w:val="000000"/>
          <w:spacing w:val="0"/>
          <w:w w:val="100"/>
          <w:position w:val="0"/>
        </w:rPr>
        <w:t>条抵押财产规 定的范围，也不属于该法第</w:t>
      </w:r>
      <w:r>
        <w:rPr>
          <w:rFonts w:ascii="Times New Roman" w:hAnsi="Times New Roman" w:eastAsia="Times New Roman" w:cs="Times New Roman"/>
          <w:color w:val="000000"/>
          <w:spacing w:val="0"/>
          <w:w w:val="100"/>
          <w:position w:val="0"/>
          <w:sz w:val="19"/>
          <w:szCs w:val="19"/>
        </w:rPr>
        <w:t>37</w:t>
      </w:r>
      <w:r>
        <w:rPr>
          <w:color w:val="000000"/>
          <w:spacing w:val="0"/>
          <w:w w:val="100"/>
          <w:position w:val="0"/>
        </w:rPr>
        <w:t>条规定的不得设定抵押财产。其次，建设部于</w:t>
      </w:r>
      <w:r>
        <w:rPr>
          <w:rFonts w:ascii="Times New Roman" w:hAnsi="Times New Roman" w:eastAsia="Times New Roman" w:cs="Times New Roman"/>
          <w:color w:val="000000"/>
          <w:spacing w:val="0"/>
          <w:w w:val="100"/>
          <w:position w:val="0"/>
          <w:sz w:val="19"/>
          <w:szCs w:val="19"/>
        </w:rPr>
        <w:t>1997</w:t>
      </w:r>
      <w:r>
        <w:rPr>
          <w:color w:val="000000"/>
          <w:spacing w:val="0"/>
          <w:w w:val="100"/>
          <w:position w:val="0"/>
        </w:rPr>
        <w:t>年通过并 实施了《城市房地产抵押管理办法》，该办法第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款对于在 建工程抵押的概念、抵押订立程序与登记等作出了规定。但该办法具有一定的局限性，具 体如</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该办法由建设部指定施行，位阶为部门规章，效力有限;</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该办法第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 xml:space="preserve">款 所规定的在建工程抵押的抵押权人限于贷款银行，对于其他金融公司或机构是否可以作为 </w:t>
      </w:r>
    </w:p>
    <w:p w14:paraId="629DF269">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抵押权人并未说明。再次</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年最高人民法院《关于适用〈中华人民共和国担保法〉若干 问题的解释》［法释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号］(以下简称《担保法司法解释》)第</w:t>
      </w:r>
      <w:r>
        <w:rPr>
          <w:rFonts w:ascii="Times New Roman" w:hAnsi="Times New Roman" w:eastAsia="Times New Roman" w:cs="Times New Roman"/>
          <w:color w:val="000000"/>
          <w:spacing w:val="0"/>
          <w:w w:val="100"/>
          <w:position w:val="0"/>
          <w:sz w:val="19"/>
          <w:szCs w:val="19"/>
        </w:rPr>
        <w:t>47</w:t>
      </w:r>
      <w:r>
        <w:rPr>
          <w:color w:val="000000"/>
          <w:spacing w:val="0"/>
          <w:w w:val="100"/>
          <w:position w:val="0"/>
        </w:rPr>
        <w:t>条“以依法获准尚未 建造的或者正在建造中的房屋或者其他建筑物抵押的，当事人办理了抵押物登记，人民法 院可以认定抵押有效</w:t>
      </w:r>
      <w:r>
        <w:rPr>
          <w:color w:val="000000"/>
          <w:spacing w:val="0"/>
          <w:w w:val="100"/>
          <w:position w:val="0"/>
          <w:lang w:val="zh-CN" w:eastAsia="zh-CN" w:bidi="zh-CN"/>
        </w:rPr>
        <w:t>”，作</w:t>
      </w:r>
      <w:r>
        <w:rPr>
          <w:color w:val="000000"/>
          <w:spacing w:val="0"/>
          <w:w w:val="100"/>
          <w:position w:val="0"/>
        </w:rPr>
        <w:t>了回应并认可了</w:t>
      </w:r>
      <w:r>
        <w:rPr>
          <w:color w:val="000000"/>
          <w:spacing w:val="0"/>
          <w:w w:val="100"/>
          <w:position w:val="0"/>
          <w:lang w:val="zh-CN" w:eastAsia="zh-CN" w:bidi="zh-CN"/>
        </w:rPr>
        <w:t>“正在</w:t>
      </w:r>
      <w:r>
        <w:rPr>
          <w:color w:val="000000"/>
          <w:spacing w:val="0"/>
          <w:w w:val="100"/>
          <w:position w:val="0"/>
        </w:rPr>
        <w:t>建造中的房屋</w:t>
      </w:r>
      <w:r>
        <w:rPr>
          <w:color w:val="000000"/>
          <w:spacing w:val="0"/>
          <w:w w:val="100"/>
          <w:position w:val="0"/>
          <w:lang w:val="zh-CN" w:eastAsia="zh-CN" w:bidi="zh-CN"/>
        </w:rPr>
        <w:t>”的</w:t>
      </w:r>
      <w:r>
        <w:rPr>
          <w:color w:val="000000"/>
          <w:spacing w:val="0"/>
          <w:w w:val="100"/>
          <w:position w:val="0"/>
        </w:rPr>
        <w:t>抵押效力。最后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 原《物权法》第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项规定</w:t>
      </w:r>
      <w:r>
        <w:rPr>
          <w:color w:val="000000"/>
          <w:spacing w:val="0"/>
          <w:w w:val="100"/>
          <w:position w:val="0"/>
          <w:lang w:val="zh-CN" w:eastAsia="zh-CN" w:bidi="zh-CN"/>
        </w:rPr>
        <w:t>“正在</w:t>
      </w:r>
      <w:r>
        <w:rPr>
          <w:color w:val="000000"/>
          <w:spacing w:val="0"/>
          <w:w w:val="100"/>
          <w:position w:val="0"/>
        </w:rPr>
        <w:t>建造的建筑物</w:t>
      </w:r>
      <w:r>
        <w:rPr>
          <w:color w:val="000000"/>
          <w:spacing w:val="0"/>
          <w:w w:val="100"/>
          <w:position w:val="0"/>
          <w:lang w:val="zh-CN" w:eastAsia="zh-CN" w:bidi="zh-CN"/>
        </w:rPr>
        <w:t>”可</w:t>
      </w:r>
      <w:r>
        <w:rPr>
          <w:color w:val="000000"/>
          <w:spacing w:val="0"/>
          <w:w w:val="100"/>
          <w:position w:val="0"/>
        </w:rPr>
        <w:t>以抵押，从此我国正式从法 律层面认可了</w:t>
      </w:r>
      <w:r>
        <w:rPr>
          <w:color w:val="000000"/>
          <w:spacing w:val="0"/>
          <w:w w:val="100"/>
          <w:position w:val="0"/>
          <w:lang w:val="zh-CN" w:eastAsia="zh-CN" w:bidi="zh-CN"/>
        </w:rPr>
        <w:t>“在</w:t>
      </w:r>
      <w:r>
        <w:rPr>
          <w:color w:val="000000"/>
          <w:spacing w:val="0"/>
          <w:w w:val="100"/>
          <w:position w:val="0"/>
        </w:rPr>
        <w:t>建工程抵押”可以作为抵押范围。《民法典》第</w:t>
      </w:r>
      <w:r>
        <w:rPr>
          <w:rFonts w:ascii="Times New Roman" w:hAnsi="Times New Roman" w:eastAsia="Times New Roman" w:cs="Times New Roman"/>
          <w:color w:val="000000"/>
          <w:spacing w:val="0"/>
          <w:w w:val="100"/>
          <w:position w:val="0"/>
          <w:sz w:val="19"/>
          <w:szCs w:val="19"/>
        </w:rPr>
        <w:t>395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项保留 了这一规定。</w:t>
      </w:r>
    </w:p>
    <w:p w14:paraId="2287C181">
      <w:pPr>
        <w:pStyle w:val="17"/>
        <w:keepNext w:val="0"/>
        <w:keepLines w:val="0"/>
        <w:widowControl w:val="0"/>
        <w:shd w:val="clear" w:color="auto" w:fill="auto"/>
        <w:bidi w:val="0"/>
        <w:spacing w:before="0" w:after="0" w:line="345" w:lineRule="exact"/>
        <w:ind w:left="0" w:right="0"/>
        <w:jc w:val="both"/>
      </w:pPr>
      <w:r>
        <w:rPr>
          <w:color w:val="000000"/>
          <w:spacing w:val="0"/>
          <w:w w:val="100"/>
          <w:position w:val="0"/>
        </w:rPr>
        <w:t>但问题也由此而来，《担保法》《城市房地产抵押管理办法》与《物权法》可能存在交错 与不协调之处。例如，其一，在建工程抵押的抵押权人是否限于贷款银行，其他金融公司或 机构是否可以作为抵押权人？其二,在建工程抵押与建筑物的抵押是否有区别，是否可以 适用原《物权法》第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条的</w:t>
      </w:r>
      <w:r>
        <w:rPr>
          <w:color w:val="000000"/>
          <w:spacing w:val="0"/>
          <w:w w:val="100"/>
          <w:position w:val="0"/>
          <w:lang w:val="zh-CN" w:eastAsia="zh-CN" w:bidi="zh-CN"/>
        </w:rPr>
        <w:t>“房地</w:t>
      </w:r>
      <w:r>
        <w:rPr>
          <w:color w:val="000000"/>
          <w:spacing w:val="0"/>
          <w:w w:val="100"/>
          <w:position w:val="0"/>
        </w:rPr>
        <w:t>一体原则”。其三，上述三部法律或部门规章并未明确规 定在建工程抵押的登记机关，各省市规定的登记机关存有差异。上述问题给在建工程抵押 实务造成了困扰。</w:t>
      </w:r>
    </w:p>
    <w:p w14:paraId="54C50321">
      <w:pPr>
        <w:pStyle w:val="17"/>
        <w:keepNext w:val="0"/>
        <w:keepLines w:val="0"/>
        <w:widowControl w:val="0"/>
        <w:shd w:val="clear" w:color="auto" w:fill="auto"/>
        <w:bidi w:val="0"/>
        <w:spacing w:before="0" w:after="0" w:line="343" w:lineRule="exact"/>
        <w:ind w:left="0" w:right="0"/>
        <w:jc w:val="both"/>
        <w:sectPr>
          <w:headerReference r:id="rId289" w:type="default"/>
          <w:headerReference r:id="rId290" w:type="even"/>
          <w:footnotePr>
            <w:numFmt w:val="chicago"/>
          </w:footnotePr>
          <w:pgSz w:w="10099" w:h="14782"/>
          <w:pgMar w:top="1284" w:right="935" w:bottom="1128" w:left="932" w:header="0" w:footer="700" w:gutter="0"/>
          <w:pgNumType w:start="239"/>
          <w:cols w:space="720" w:num="1"/>
          <w:rtlGutter w:val="0"/>
          <w:docGrid w:linePitch="360" w:charSpace="0"/>
        </w:sectPr>
      </w:pPr>
      <w:r>
        <w:rPr>
          <w:color w:val="000000"/>
          <w:spacing w:val="0"/>
          <w:w w:val="100"/>
          <w:position w:val="0"/>
        </w:rPr>
        <w:t>对于问题一</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月公布的北京市国土资源局、北京市建设委员会《关于房地产开 发项目在建工程抵押登记有关问题的通知》［京国土籍</w:t>
      </w:r>
      <w:r>
        <w:rPr>
          <w:rFonts w:ascii="Times New Roman" w:hAnsi="Times New Roman" w:eastAsia="Times New Roman" w:cs="Times New Roman"/>
          <w:color w:val="000000"/>
          <w:spacing w:val="0"/>
          <w:w w:val="100"/>
          <w:position w:val="0"/>
          <w:sz w:val="19"/>
          <w:szCs w:val="19"/>
        </w:rPr>
        <w:t>(2007)751</w:t>
      </w:r>
      <w:r>
        <w:rPr>
          <w:color w:val="000000"/>
          <w:spacing w:val="0"/>
          <w:w w:val="100"/>
          <w:position w:val="0"/>
        </w:rPr>
        <w:t>号］中明确规定,在建工 程抵押，是指抵押人为取得在建工程继续建造资金的贷款，以其合法方式取得的土地使用 权连同在建工程的投入资产，以不转移占有的方式抵押给贷款银行(包括其他法定金融机 构)作为偿还贷款履行担保的行为。此外,最高人民法院《关于〈城市房地产抵押管理办法〉 在建工程抵押规定与上位法是否冲突问题的答复》</w:t>
      </w:r>
      <w:r>
        <w:rPr>
          <w:color w:val="000000"/>
          <w:spacing w:val="0"/>
          <w:w w:val="100"/>
          <w:position w:val="0"/>
          <w:lang w:val="en-US" w:eastAsia="en-US" w:bidi="en-US"/>
        </w:rPr>
        <w:t>［</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行他字第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号］指出，在建工程 属于原《担保法》规定的可以抵押的财产范围。法律对在建工程抵押权人的范围没有作出 限制性规定。《城市房地产抵押管理办法》第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款有关在建工程抵押的规定，是针对 贷款银行作为抵押权人时的特别规定，但并不限制贷款银行以外的主体成为在建工程的抵 押权人。由此可知,为解决《城市房地产抵押管理办法》与原《物权法》之间关于在建工程抵 押权人范围不一致的问题,实务中一般将《城市房地产抵押管理办法》的规定解释为特别规 定，而除银行以外的主体亦可成为在建工程抵押权人。本案中，弗洛伊德公司以其两处国 有土地上的在建工程作为抵押物为弘健公司提供担保而向山东信托公司抵押。尽管作为 抵押权人的山东信托公司并非银行，但不影响该抵押合同及抵押权的效力。对于问题二与 问题三</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年《城市房地产抵押管理办法》第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条规定了“以在建工程已完工部分抵押 的,土地使用权随之抵押</w:t>
      </w:r>
      <w:r>
        <w:rPr>
          <w:color w:val="000000"/>
          <w:spacing w:val="0"/>
          <w:w w:val="100"/>
          <w:position w:val="0"/>
          <w:lang w:val="zh-CN" w:eastAsia="zh-CN" w:bidi="zh-CN"/>
        </w:rPr>
        <w:t>”，该</w:t>
      </w:r>
      <w:r>
        <w:rPr>
          <w:color w:val="000000"/>
          <w:spacing w:val="0"/>
          <w:w w:val="100"/>
          <w:position w:val="0"/>
        </w:rPr>
        <w:t>条仅规定在建工程已完工部分适用</w:t>
      </w:r>
      <w:r>
        <w:rPr>
          <w:color w:val="000000"/>
          <w:spacing w:val="0"/>
          <w:w w:val="100"/>
          <w:position w:val="0"/>
          <w:lang w:val="zh-CN" w:eastAsia="zh-CN" w:bidi="zh-CN"/>
        </w:rPr>
        <w:t>“房</w:t>
      </w:r>
      <w:r>
        <w:rPr>
          <w:color w:val="000000"/>
          <w:spacing w:val="0"/>
          <w:w w:val="100"/>
          <w:position w:val="0"/>
        </w:rPr>
        <w:t>地一体原则</w:t>
      </w:r>
      <w:r>
        <w:rPr>
          <w:color w:val="000000"/>
          <w:spacing w:val="0"/>
          <w:w w:val="100"/>
          <w:position w:val="0"/>
          <w:lang w:val="zh-CN" w:eastAsia="zh-CN" w:bidi="zh-CN"/>
        </w:rPr>
        <w:t>”，但</w:t>
      </w:r>
      <w:r>
        <w:rPr>
          <w:color w:val="000000"/>
          <w:spacing w:val="0"/>
          <w:w w:val="100"/>
          <w:position w:val="0"/>
        </w:rPr>
        <w:t xml:space="preserve">对于 </w:t>
      </w:r>
      <w:r>
        <w:rPr>
          <w:color w:val="000000"/>
          <w:spacing w:val="0"/>
          <w:w w:val="100"/>
          <w:position w:val="0"/>
          <w:lang w:val="zh-CN" w:eastAsia="zh-CN" w:bidi="zh-CN"/>
        </w:rPr>
        <w:t>“未</w:t>
      </w:r>
      <w:r>
        <w:rPr>
          <w:color w:val="000000"/>
          <w:spacing w:val="0"/>
          <w:w w:val="100"/>
          <w:position w:val="0"/>
        </w:rPr>
        <w:t>完工的在建工程抵押</w:t>
      </w:r>
      <w:r>
        <w:rPr>
          <w:color w:val="000000"/>
          <w:spacing w:val="0"/>
          <w:w w:val="100"/>
          <w:position w:val="0"/>
          <w:lang w:val="zh-CN" w:eastAsia="zh-CN" w:bidi="zh-CN"/>
        </w:rPr>
        <w:t>”是否</w:t>
      </w:r>
      <w:r>
        <w:rPr>
          <w:color w:val="000000"/>
          <w:spacing w:val="0"/>
          <w:w w:val="100"/>
          <w:position w:val="0"/>
        </w:rPr>
        <w:t>适用仍然存在疑问。</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年颁行的原《物权法》第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条首 次明确了</w:t>
      </w:r>
      <w:r>
        <w:rPr>
          <w:color w:val="000000"/>
          <w:spacing w:val="0"/>
          <w:w w:val="100"/>
          <w:position w:val="0"/>
          <w:lang w:val="zh-CN" w:eastAsia="zh-CN" w:bidi="zh-CN"/>
        </w:rPr>
        <w:t>“正在</w:t>
      </w:r>
      <w:r>
        <w:rPr>
          <w:color w:val="000000"/>
          <w:spacing w:val="0"/>
          <w:w w:val="100"/>
          <w:position w:val="0"/>
        </w:rPr>
        <w:t>建造的建筑物</w:t>
      </w:r>
      <w:r>
        <w:rPr>
          <w:color w:val="000000"/>
          <w:spacing w:val="0"/>
          <w:w w:val="100"/>
          <w:position w:val="0"/>
          <w:lang w:val="zh-CN" w:eastAsia="zh-CN" w:bidi="zh-CN"/>
        </w:rPr>
        <w:t>”可以</w:t>
      </w:r>
      <w:r>
        <w:rPr>
          <w:color w:val="000000"/>
          <w:spacing w:val="0"/>
          <w:w w:val="100"/>
          <w:position w:val="0"/>
        </w:rPr>
        <w:t>作为抵押财产，该条在表述时将第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项的</w:t>
      </w:r>
      <w:r>
        <w:rPr>
          <w:color w:val="000000"/>
          <w:spacing w:val="0"/>
          <w:w w:val="100"/>
          <w:position w:val="0"/>
          <w:lang w:val="zh-CN" w:eastAsia="zh-CN" w:bidi="zh-CN"/>
        </w:rPr>
        <w:t>“正在</w:t>
      </w:r>
      <w:r>
        <w:rPr>
          <w:color w:val="000000"/>
          <w:spacing w:val="0"/>
          <w:w w:val="100"/>
          <w:position w:val="0"/>
        </w:rPr>
        <w:t>建造的 建筑物</w:t>
      </w:r>
      <w:r>
        <w:rPr>
          <w:color w:val="000000"/>
          <w:spacing w:val="0"/>
          <w:w w:val="100"/>
          <w:position w:val="0"/>
          <w:lang w:val="zh-CN" w:eastAsia="zh-CN" w:bidi="zh-CN"/>
        </w:rPr>
        <w:t>”与第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项的“建筑物</w:t>
      </w:r>
      <w:r>
        <w:rPr>
          <w:color w:val="000000"/>
          <w:spacing w:val="0"/>
          <w:w w:val="100"/>
          <w:position w:val="0"/>
          <w:lang w:val="zh-CN" w:eastAsia="zh-CN" w:bidi="zh-CN"/>
        </w:rPr>
        <w:t>”并列</w:t>
      </w:r>
      <w:r>
        <w:rPr>
          <w:color w:val="000000"/>
          <w:spacing w:val="0"/>
          <w:w w:val="100"/>
          <w:position w:val="0"/>
        </w:rPr>
        <w:t>，由此产生了解释上的争议。即在我国物权法中,似乎该 条的表述是将</w:t>
      </w:r>
      <w:r>
        <w:rPr>
          <w:color w:val="000000"/>
          <w:spacing w:val="0"/>
          <w:w w:val="100"/>
          <w:position w:val="0"/>
          <w:lang w:val="zh-CN" w:eastAsia="zh-CN" w:bidi="zh-CN"/>
        </w:rPr>
        <w:t>“正在</w:t>
      </w:r>
      <w:r>
        <w:rPr>
          <w:color w:val="000000"/>
          <w:spacing w:val="0"/>
          <w:w w:val="100"/>
          <w:position w:val="0"/>
        </w:rPr>
        <w:t>建造的建筑物</w:t>
      </w:r>
      <w:r>
        <w:rPr>
          <w:color w:val="000000"/>
          <w:spacing w:val="0"/>
          <w:w w:val="100"/>
          <w:position w:val="0"/>
          <w:lang w:val="zh-CN" w:eastAsia="zh-CN" w:bidi="zh-CN"/>
        </w:rPr>
        <w:t>”与“</w:t>
      </w:r>
      <w:r>
        <w:rPr>
          <w:color w:val="000000"/>
          <w:spacing w:val="0"/>
          <w:w w:val="100"/>
          <w:position w:val="0"/>
        </w:rPr>
        <w:t>建筑物</w:t>
      </w:r>
      <w:r>
        <w:rPr>
          <w:color w:val="000000"/>
          <w:spacing w:val="0"/>
          <w:w w:val="100"/>
          <w:position w:val="0"/>
          <w:lang w:val="zh-CN" w:eastAsia="zh-CN" w:bidi="zh-CN"/>
        </w:rPr>
        <w:t>”作为</w:t>
      </w:r>
      <w:r>
        <w:rPr>
          <w:color w:val="000000"/>
          <w:spacing w:val="0"/>
          <w:w w:val="100"/>
          <w:position w:val="0"/>
        </w:rPr>
        <w:t>两个不同的抵押财产类型。故而原《物 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条的</w:t>
      </w:r>
      <w:r>
        <w:rPr>
          <w:color w:val="000000"/>
          <w:spacing w:val="0"/>
          <w:w w:val="100"/>
          <w:position w:val="0"/>
          <w:lang w:val="zh-CN" w:eastAsia="zh-CN" w:bidi="zh-CN"/>
        </w:rPr>
        <w:t>“房</w:t>
      </w:r>
      <w:r>
        <w:rPr>
          <w:color w:val="000000"/>
          <w:spacing w:val="0"/>
          <w:w w:val="100"/>
          <w:position w:val="0"/>
        </w:rPr>
        <w:t>地一体原则”仅限于建筑物，并不涉及</w:t>
      </w:r>
      <w:r>
        <w:rPr>
          <w:color w:val="000000"/>
          <w:spacing w:val="0"/>
          <w:w w:val="100"/>
          <w:position w:val="0"/>
          <w:lang w:val="zh-CN" w:eastAsia="zh-CN" w:bidi="zh-CN"/>
        </w:rPr>
        <w:t>“正</w:t>
      </w:r>
      <w:r>
        <w:rPr>
          <w:color w:val="000000"/>
          <w:spacing w:val="0"/>
          <w:w w:val="100"/>
          <w:position w:val="0"/>
        </w:rPr>
        <w:t>在建造的建筑物”。换言之, 在建工程抵押不适用该原则。本案一审法院即持此观点，二审法院也予以支持。但是，昆明 市人民政府《关于印发昆明市在建工程抵押管理暂行办法的通知》</w:t>
      </w:r>
      <w:r>
        <w:rPr>
          <w:color w:val="000000"/>
          <w:spacing w:val="0"/>
          <w:w w:val="100"/>
          <w:position w:val="0"/>
          <w:lang w:val="en-US" w:eastAsia="en-US" w:bidi="en-US"/>
        </w:rPr>
        <w:t>［</w:t>
      </w:r>
      <w:r>
        <w:rPr>
          <w:color w:val="000000"/>
          <w:spacing w:val="0"/>
          <w:w w:val="100"/>
          <w:position w:val="0"/>
        </w:rPr>
        <w:t>昆政发</w:t>
      </w:r>
      <w:r>
        <w:rPr>
          <w:rFonts w:ascii="Times New Roman" w:hAnsi="Times New Roman" w:eastAsia="Times New Roman" w:cs="Times New Roman"/>
          <w:color w:val="000000"/>
          <w:spacing w:val="0"/>
          <w:w w:val="100"/>
          <w:position w:val="0"/>
          <w:sz w:val="19"/>
          <w:szCs w:val="19"/>
        </w:rPr>
        <w:t>(2011)79</w:t>
      </w:r>
      <w:r>
        <w:rPr>
          <w:color w:val="000000"/>
          <w:spacing w:val="0"/>
          <w:w w:val="100"/>
          <w:position w:val="0"/>
        </w:rPr>
        <w:t xml:space="preserve">号］第 </w:t>
      </w:r>
    </w:p>
    <w:p w14:paraId="3C8D5F1B">
      <w:pPr>
        <w:pStyle w:val="17"/>
        <w:keepNext w:val="0"/>
        <w:keepLines w:val="0"/>
        <w:widowControl w:val="0"/>
        <w:shd w:val="clear" w:color="auto" w:fill="auto"/>
        <w:bidi w:val="0"/>
        <w:spacing w:before="0" w:after="0" w:line="343" w:lineRule="exact"/>
        <w:ind w:left="0" w:right="0" w:firstLine="0"/>
        <w:jc w:val="both"/>
      </w:pP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条规定，在建工程抵押的,该在建工程占用范围内的土地使用权一并抵押。该规定明确了 在建工程抵押，无论是否完工部分均一并抵押,也认可了 </w:t>
      </w:r>
      <w:r>
        <w:rPr>
          <w:color w:val="000000"/>
          <w:spacing w:val="0"/>
          <w:w w:val="100"/>
          <w:position w:val="0"/>
          <w:lang w:val="zh-CN" w:eastAsia="zh-CN" w:bidi="zh-CN"/>
        </w:rPr>
        <w:t>“房地</w:t>
      </w:r>
      <w:r>
        <w:rPr>
          <w:color w:val="000000"/>
          <w:spacing w:val="0"/>
          <w:w w:val="100"/>
          <w:position w:val="0"/>
        </w:rPr>
        <w:t>一体原则”适用于在建工程 抵押。此外,各省市关于在建工程抵押登记的部门存有差异。如前所述［京国土籍</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2007） 751</w:t>
      </w:r>
      <w:r>
        <w:rPr>
          <w:color w:val="000000"/>
          <w:spacing w:val="0"/>
          <w:w w:val="100"/>
          <w:position w:val="0"/>
        </w:rPr>
        <w:t>号］文规定在建工程抵押登记工作统一由市、区（县）国土资源管理部门负责办理。</w:t>
      </w:r>
    </w:p>
    <w:p w14:paraId="3F11D2DB">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在学理上,对于在建工程抵押是否适用房地一体原则上似乎均持肯定观点。学者们认 为，在建工程抵押适用房地一体原则［王利明：《物权法研究》（下卷），中国人民大学出版社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430</w:t>
      </w:r>
      <w:r>
        <w:rPr>
          <w:color w:val="000000"/>
          <w:spacing w:val="0"/>
          <w:w w:val="100"/>
          <w:position w:val="0"/>
        </w:rPr>
        <w:t>页；高圣平、严之:《房地单独抵押、房地分别抵押的效力</w:t>
      </w:r>
      <w:r>
        <w:rPr>
          <w:color w:val="000000"/>
          <w:spacing w:val="0"/>
          <w:w w:val="100"/>
          <w:position w:val="0"/>
          <w:lang w:val="en-US" w:eastAsia="en-US" w:bidi="en-US"/>
        </w:rPr>
        <w:t>一一</w:t>
      </w:r>
      <w:r>
        <w:rPr>
          <w:color w:val="000000"/>
          <w:spacing w:val="0"/>
          <w:w w:val="100"/>
          <w:position w:val="0"/>
        </w:rPr>
        <w:t>以〈物权法〉第</w:t>
      </w:r>
      <w:r>
        <w:rPr>
          <w:rFonts w:ascii="Times New Roman" w:hAnsi="Times New Roman" w:eastAsia="Times New Roman" w:cs="Times New Roman"/>
          <w:color w:val="000000"/>
          <w:spacing w:val="0"/>
          <w:w w:val="100"/>
          <w:position w:val="0"/>
          <w:sz w:val="17"/>
          <w:szCs w:val="17"/>
        </w:rPr>
        <w:t>182</w:t>
      </w:r>
      <w:r>
        <w:rPr>
          <w:color w:val="000000"/>
          <w:spacing w:val="0"/>
          <w:w w:val="100"/>
          <w:position w:val="0"/>
        </w:rPr>
        <w:t>条为分析对 象》，载《烟台大学学报》（哲学社会科学版</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期；魏雁飞：《银行在建工程抵押若干问题的法 律分析一兼评〈物权法〉第一百八十二条》，载《甘肃金融》</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期］，即原《物权法》第</w:t>
      </w:r>
      <w:r>
        <w:rPr>
          <w:rFonts w:ascii="Times New Roman" w:hAnsi="Times New Roman" w:eastAsia="Times New Roman" w:cs="Times New Roman"/>
          <w:color w:val="000000"/>
          <w:spacing w:val="0"/>
          <w:w w:val="100"/>
          <w:position w:val="0"/>
          <w:sz w:val="19"/>
          <w:szCs w:val="19"/>
        </w:rPr>
        <w:t xml:space="preserve">182 </w:t>
      </w:r>
      <w:r>
        <w:rPr>
          <w:color w:val="000000"/>
          <w:spacing w:val="0"/>
          <w:w w:val="100"/>
          <w:position w:val="0"/>
        </w:rPr>
        <w:t>条的</w:t>
      </w:r>
      <w:r>
        <w:rPr>
          <w:color w:val="000000"/>
          <w:spacing w:val="0"/>
          <w:w w:val="100"/>
          <w:position w:val="0"/>
          <w:lang w:val="zh-CN" w:eastAsia="zh-CN" w:bidi="zh-CN"/>
        </w:rPr>
        <w:t>“建筑</w:t>
      </w:r>
      <w:r>
        <w:rPr>
          <w:color w:val="000000"/>
          <w:spacing w:val="0"/>
          <w:w w:val="100"/>
          <w:position w:val="0"/>
        </w:rPr>
        <w:t>物”应包括“在建工程”。笔者赞同在建工程抵押适用房地一体原则，即适用原 《物权法》第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条的规定。理由如下:其一，在建工程抵押与建筑物抵押本质上并无太大 差别，均以其物质性财产价值作为抵押，性质上亦均属于本登记［程啸:《担保物权研究》（第</w:t>
      </w:r>
      <w:r>
        <w:rPr>
          <w:rFonts w:ascii="Times New Roman" w:hAnsi="Times New Roman" w:eastAsia="Times New Roman" w:cs="Times New Roman"/>
          <w:color w:val="000000"/>
          <w:spacing w:val="0"/>
          <w:w w:val="100"/>
          <w:position w:val="0"/>
          <w:sz w:val="17"/>
          <w:szCs w:val="17"/>
        </w:rPr>
        <w:t xml:space="preserve">2 </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516-517</w:t>
      </w:r>
      <w:r>
        <w:rPr>
          <w:color w:val="000000"/>
          <w:spacing w:val="0"/>
          <w:w w:val="100"/>
          <w:position w:val="0"/>
        </w:rPr>
        <w:t>页］，两者只是在价值范围大小以及是否完工上 存有差异;其二,从体系解释上，建筑物在物权法体系中具有重要篇幅，除原《物权法》第六 章的</w:t>
      </w:r>
      <w:r>
        <w:rPr>
          <w:color w:val="000000"/>
          <w:spacing w:val="0"/>
          <w:w w:val="100"/>
          <w:position w:val="0"/>
          <w:lang w:val="zh-CN" w:eastAsia="zh-CN" w:bidi="zh-CN"/>
        </w:rPr>
        <w:t>“业主</w:t>
      </w:r>
      <w:r>
        <w:rPr>
          <w:color w:val="000000"/>
          <w:spacing w:val="0"/>
          <w:w w:val="100"/>
          <w:position w:val="0"/>
        </w:rPr>
        <w:t>的建筑物区分所有权</w:t>
      </w:r>
      <w:r>
        <w:rPr>
          <w:color w:val="000000"/>
          <w:spacing w:val="0"/>
          <w:w w:val="100"/>
          <w:position w:val="0"/>
          <w:lang w:val="zh-CN" w:eastAsia="zh-CN" w:bidi="zh-CN"/>
        </w:rPr>
        <w:t>”与第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项仅指已经完工并投入使用的建筑物外, 其余均有解释的空间（第</w:t>
      </w:r>
      <w:r>
        <w:rPr>
          <w:rFonts w:ascii="Times New Roman" w:hAnsi="Times New Roman" w:eastAsia="Times New Roman" w:cs="Times New Roman"/>
          <w:color w:val="000000"/>
          <w:spacing w:val="0"/>
          <w:w w:val="100"/>
          <w:position w:val="0"/>
          <w:sz w:val="19"/>
          <w:szCs w:val="19"/>
        </w:rPr>
        <w:t>146</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147</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183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条等），无须机械地进行统一解释;其三，从 立法目的上,房地一体原则的目的是将建筑物与建设用地使用权在实际使用、经济交易和 权利归属上捆绑在一起，否则彼此将失去价值与意义。因此无论工程是否在建或完工，均 需与建设用地使用权捆绑在一起。</w:t>
      </w:r>
    </w:p>
    <w:p w14:paraId="5D94D071">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11296B93">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对于在建工程抵押是否适用房地一体原则,本案釆否定说。但在</w:t>
      </w:r>
      <w:r>
        <w:rPr>
          <w:color w:val="000000"/>
          <w:spacing w:val="0"/>
          <w:w w:val="100"/>
          <w:position w:val="0"/>
          <w:lang w:val="zh-CN" w:eastAsia="zh-CN" w:bidi="zh-CN"/>
        </w:rPr>
        <w:t>“浙商</w:t>
      </w:r>
      <w:r>
        <w:rPr>
          <w:color w:val="000000"/>
          <w:spacing w:val="0"/>
          <w:w w:val="100"/>
          <w:position w:val="0"/>
        </w:rPr>
        <w:t>金汇信托股份 有限公司与浙江三联集团有限公司、三联控股集团有限公司、马某生、楼某珍、金华市华源 置业有限公司金融借款合同纠纷再审案”［最高人民法院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 xml:space="preserve">号民事判决书］与 </w:t>
      </w:r>
      <w:r>
        <w:rPr>
          <w:color w:val="000000"/>
          <w:spacing w:val="0"/>
          <w:w w:val="100"/>
          <w:position w:val="0"/>
          <w:lang w:val="zh-CN" w:eastAsia="zh-CN" w:bidi="zh-CN"/>
        </w:rPr>
        <w:t>“锦宸</w:t>
      </w:r>
      <w:r>
        <w:rPr>
          <w:color w:val="000000"/>
          <w:spacing w:val="0"/>
          <w:w w:val="100"/>
          <w:position w:val="0"/>
        </w:rPr>
        <w:t>集团有限公司等与中国工商银行股份有限公司厦门开元支行等执行分配方案异议纠 纷上诉案”［福建省高级人民法院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闽民终</w:t>
      </w:r>
      <w:r>
        <w:rPr>
          <w:rFonts w:ascii="Times New Roman" w:hAnsi="Times New Roman" w:eastAsia="Times New Roman" w:cs="Times New Roman"/>
          <w:color w:val="000000"/>
          <w:spacing w:val="0"/>
          <w:w w:val="100"/>
          <w:position w:val="0"/>
          <w:sz w:val="17"/>
          <w:szCs w:val="17"/>
        </w:rPr>
        <w:t>960</w:t>
      </w:r>
      <w:r>
        <w:rPr>
          <w:color w:val="000000"/>
          <w:spacing w:val="0"/>
          <w:w w:val="100"/>
          <w:position w:val="0"/>
        </w:rPr>
        <w:t>号民事判决书］均认为在建工程抵押的范围 及于土地使用权（建设用地使用权）。少有法院［如“恒丰银行股份有限公司绍兴支行、赵柏茂执 行分配方案异议之诉</w:t>
      </w:r>
      <w:r>
        <w:rPr>
          <w:color w:val="000000"/>
          <w:spacing w:val="0"/>
          <w:w w:val="100"/>
          <w:position w:val="0"/>
          <w:lang w:val="zh-CN" w:eastAsia="zh-CN" w:bidi="zh-CN"/>
        </w:rPr>
        <w:t>”，浙</w:t>
      </w:r>
      <w:r>
        <w:rPr>
          <w:color w:val="000000"/>
          <w:spacing w:val="0"/>
          <w:w w:val="100"/>
          <w:position w:val="0"/>
        </w:rPr>
        <w:t>江省绍兴市中级人民法院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浙</w:t>
      </w:r>
      <w:r>
        <w:rPr>
          <w:rFonts w:ascii="Times New Roman" w:hAnsi="Times New Roman" w:eastAsia="Times New Roman" w:cs="Times New Roman"/>
          <w:color w:val="000000"/>
          <w:spacing w:val="0"/>
          <w:w w:val="100"/>
          <w:position w:val="0"/>
          <w:sz w:val="17"/>
          <w:szCs w:val="17"/>
        </w:rPr>
        <w:t>06</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3342</w:t>
      </w:r>
      <w:r>
        <w:rPr>
          <w:color w:val="000000"/>
          <w:spacing w:val="0"/>
          <w:w w:val="100"/>
          <w:position w:val="0"/>
        </w:rPr>
        <w:t>号民事判决书］与本案持 同一立场。</w:t>
      </w:r>
    </w:p>
    <w:p w14:paraId="33C9EB23">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9"/>
          <w:szCs w:val="19"/>
        </w:rPr>
        <w:t>0</w:t>
      </w:r>
      <w:r>
        <w:rPr>
          <w:color w:val="000000"/>
          <w:spacing w:val="0"/>
          <w:w w:val="100"/>
          <w:position w:val="0"/>
        </w:rPr>
        <w:t>本判决的影响及将来的课题</w:t>
      </w:r>
    </w:p>
    <w:p w14:paraId="53E775FC">
      <w:pPr>
        <w:pStyle w:val="17"/>
        <w:keepNext w:val="0"/>
        <w:keepLines w:val="0"/>
        <w:widowControl w:val="0"/>
        <w:shd w:val="clear" w:color="auto" w:fill="auto"/>
        <w:bidi w:val="0"/>
        <w:spacing w:before="0" w:after="0" w:line="344" w:lineRule="exact"/>
        <w:ind w:left="0" w:right="0" w:firstLine="420"/>
        <w:jc w:val="both"/>
        <w:sectPr>
          <w:headerReference r:id="rId291" w:type="default"/>
          <w:headerReference r:id="rId292" w:type="even"/>
          <w:footnotePr>
            <w:numFmt w:val="chicago"/>
          </w:footnotePr>
          <w:pgSz w:w="10099" w:h="14782"/>
          <w:pgMar w:top="1284" w:right="935" w:bottom="1128" w:left="932" w:header="0" w:footer="700" w:gutter="0"/>
          <w:pgNumType w:start="224"/>
          <w:cols w:space="720" w:num="1"/>
          <w:rtlGutter w:val="0"/>
          <w:docGrid w:linePitch="360" w:charSpace="0"/>
        </w:sectPr>
      </w:pPr>
      <w:r>
        <w:rPr>
          <w:color w:val="000000"/>
          <w:spacing w:val="0"/>
          <w:w w:val="100"/>
          <w:position w:val="0"/>
        </w:rPr>
        <w:t>本案的裁判要旨认为，在建工程抵押不适用于《物权法》第</w:t>
      </w:r>
      <w:r>
        <w:rPr>
          <w:rFonts w:ascii="Times New Roman" w:hAnsi="Times New Roman" w:eastAsia="Times New Roman" w:cs="Times New Roman"/>
          <w:color w:val="000000"/>
          <w:spacing w:val="0"/>
          <w:w w:val="100"/>
          <w:position w:val="0"/>
          <w:sz w:val="19"/>
          <w:szCs w:val="19"/>
        </w:rPr>
        <w:t>182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397</w:t>
      </w:r>
      <w:r>
        <w:rPr>
          <w:color w:val="000000"/>
          <w:spacing w:val="0"/>
          <w:w w:val="100"/>
          <w:position w:val="0"/>
        </w:rPr>
        <w:t>条） 的</w:t>
      </w:r>
      <w:r>
        <w:rPr>
          <w:color w:val="000000"/>
          <w:spacing w:val="0"/>
          <w:w w:val="100"/>
          <w:position w:val="0"/>
          <w:lang w:val="zh-CN" w:eastAsia="zh-CN" w:bidi="zh-CN"/>
        </w:rPr>
        <w:t>“房地</w:t>
      </w:r>
      <w:r>
        <w:rPr>
          <w:color w:val="000000"/>
          <w:spacing w:val="0"/>
          <w:w w:val="100"/>
          <w:position w:val="0"/>
        </w:rPr>
        <w:t xml:space="preserve">一体原则”。因为房屋与土地登记部门不统一,如当事人未对在建工程与土地使用 权分别抵押,则在建工程抵押的效力不及于土地使用权，故对于土地使用权不具有优先受 偿权。同时,本案是执行异议之诉，所涉及问题是抵押权与强制执行中查封之间的顺序，与 一般的担保物权优先受偿有些不同。因此,本案似乎还将涉及另一问题，在人民法院查封 </w:t>
      </w:r>
    </w:p>
    <w:p w14:paraId="6CFC677A">
      <w:pPr>
        <w:pStyle w:val="17"/>
        <w:keepNext w:val="0"/>
        <w:keepLines w:val="0"/>
        <w:widowControl w:val="0"/>
        <w:shd w:val="clear" w:color="auto" w:fill="auto"/>
        <w:bidi w:val="0"/>
        <w:spacing w:before="0" w:after="0" w:line="344" w:lineRule="exact"/>
        <w:ind w:left="0" w:right="0" w:firstLine="0"/>
        <w:jc w:val="both"/>
      </w:pPr>
      <w:r>
        <w:rPr>
          <w:color w:val="000000"/>
          <w:spacing w:val="0"/>
          <w:w w:val="100"/>
          <w:position w:val="0"/>
        </w:rPr>
        <w:t>不动产的执行程序中，是否须履行房地一体原则的审查义务。即基于我国对于土地与房屋 采取的分离主义，但在抵押时又采“房地一体原则</w:t>
      </w:r>
      <w:r>
        <w:rPr>
          <w:color w:val="000000"/>
          <w:spacing w:val="0"/>
          <w:w w:val="100"/>
          <w:position w:val="0"/>
          <w:lang w:val="zh-CN" w:eastAsia="zh-CN" w:bidi="zh-CN"/>
        </w:rPr>
        <w:t>”，故</w:t>
      </w:r>
      <w:r>
        <w:rPr>
          <w:color w:val="000000"/>
          <w:spacing w:val="0"/>
          <w:w w:val="100"/>
          <w:position w:val="0"/>
        </w:rPr>
        <w:t>人民法院在查封不动产时，是否需审 查相关不动产是否有抵押或存在根据“房地一体</w:t>
      </w:r>
      <w:r>
        <w:rPr>
          <w:color w:val="000000"/>
          <w:spacing w:val="0"/>
          <w:w w:val="100"/>
          <w:position w:val="0"/>
          <w:lang w:val="zh-CN" w:eastAsia="zh-CN" w:bidi="zh-CN"/>
        </w:rPr>
        <w:t>”原则</w:t>
      </w:r>
      <w:r>
        <w:rPr>
          <w:color w:val="000000"/>
          <w:spacing w:val="0"/>
          <w:w w:val="100"/>
          <w:position w:val="0"/>
        </w:rPr>
        <w:t>抵押效力及于土地使用权的情形。 此问题在本案中并未提及，是为遗留问题。</w:t>
      </w:r>
    </w:p>
    <w:p w14:paraId="439BE9D4">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尽管本判决对于在建工程抵押的效力是否及于土地使用权的问题上采否定观点，但此 问题并非就此终结。本案争点的产生具有一定的历史背景，即各地对于房屋与土地登记部 门不统一的情形。在不动产统一登记后，房屋与土地登记部门将统一，本案法院的论证理 由可能并不成立。由此,在新的形势下，在建工程抵押的效力是否及于土地使用权,仍然值 得探讨。</w:t>
      </w:r>
    </w:p>
    <w:p w14:paraId="00162389">
      <w:pPr>
        <w:pStyle w:val="11"/>
        <w:keepNext w:val="0"/>
        <w:keepLines w:val="0"/>
        <w:widowControl w:val="0"/>
        <w:shd w:val="clear" w:color="auto" w:fill="auto"/>
        <w:bidi w:val="0"/>
        <w:spacing w:before="0" w:after="80" w:line="339" w:lineRule="exact"/>
        <w:ind w:left="0" w:right="0" w:firstLine="0"/>
        <w:jc w:val="left"/>
      </w:pPr>
      <w:r>
        <w:rPr>
          <w:color w:val="000000"/>
          <w:spacing w:val="0"/>
          <w:w w:val="100"/>
          <w:position w:val="0"/>
        </w:rPr>
        <w:t>回参考文献</w:t>
      </w:r>
    </w:p>
    <w:p w14:paraId="1F2D74AD">
      <w:pPr>
        <w:pStyle w:val="17"/>
        <w:keepNext w:val="0"/>
        <w:keepLines w:val="0"/>
        <w:widowControl w:val="0"/>
        <w:shd w:val="clear" w:color="auto" w:fill="auto"/>
        <w:bidi w:val="0"/>
        <w:spacing w:before="0" w:after="0" w:line="309" w:lineRule="exact"/>
        <w:ind w:left="0" w:right="0" w:firstLine="0"/>
        <w:jc w:val="left"/>
      </w:pPr>
      <w:r>
        <w:rPr>
          <w:color w:val="000000"/>
          <w:spacing w:val="0"/>
          <w:w w:val="100"/>
          <w:position w:val="0"/>
        </w:rPr>
        <w:t>王利明：《物权法研究》（下卷），中国人民大学出版社</w:t>
      </w:r>
      <w:r>
        <w:rPr>
          <w:rFonts w:ascii="Times New Roman" w:hAnsi="Times New Roman" w:eastAsia="Times New Roman" w:cs="Times New Roman"/>
          <w:b/>
          <w:bCs/>
          <w:color w:val="000000"/>
          <w:spacing w:val="0"/>
          <w:w w:val="100"/>
          <w:position w:val="0"/>
          <w:sz w:val="15"/>
          <w:szCs w:val="15"/>
        </w:rPr>
        <w:t>2007</w:t>
      </w:r>
      <w:r>
        <w:rPr>
          <w:color w:val="000000"/>
          <w:spacing w:val="0"/>
          <w:w w:val="100"/>
          <w:position w:val="0"/>
        </w:rPr>
        <w:t>年，</w:t>
      </w:r>
    </w:p>
    <w:p w14:paraId="09CA9FA7">
      <w:pPr>
        <w:pStyle w:val="17"/>
        <w:keepNext w:val="0"/>
        <w:keepLines w:val="0"/>
        <w:widowControl w:val="0"/>
        <w:shd w:val="clear" w:color="auto" w:fill="auto"/>
        <w:bidi w:val="0"/>
        <w:spacing w:before="0" w:after="0" w:line="309" w:lineRule="exact"/>
        <w:ind w:left="180" w:right="0" w:hanging="180"/>
        <w:jc w:val="left"/>
      </w:pPr>
      <w:r>
        <w:rPr>
          <w:color w:val="000000"/>
          <w:spacing w:val="0"/>
          <w:w w:val="100"/>
          <w:position w:val="0"/>
        </w:rPr>
        <w:t>朱晓詰:《房、地分离抵押的法律效果</w:t>
      </w:r>
      <w:r>
        <w:rPr>
          <w:color w:val="000000"/>
          <w:spacing w:val="0"/>
          <w:w w:val="100"/>
          <w:position w:val="0"/>
          <w:lang w:val="en-US" w:eastAsia="en-US" w:bidi="en-US"/>
        </w:rPr>
        <w:t>一一</w:t>
      </w:r>
      <w:r>
        <w:rPr>
          <w:color w:val="000000"/>
          <w:spacing w:val="0"/>
          <w:w w:val="100"/>
          <w:position w:val="0"/>
        </w:rPr>
        <w:t>〈物权法〉第</w:t>
      </w:r>
      <w:r>
        <w:rPr>
          <w:rFonts w:ascii="Times New Roman" w:hAnsi="Times New Roman" w:eastAsia="Times New Roman" w:cs="Times New Roman"/>
          <w:color w:val="000000"/>
          <w:spacing w:val="0"/>
          <w:w w:val="100"/>
          <w:position w:val="0"/>
          <w:sz w:val="17"/>
          <w:szCs w:val="17"/>
        </w:rPr>
        <w:t>182</w:t>
      </w:r>
      <w:r>
        <w:rPr>
          <w:color w:val="000000"/>
          <w:spacing w:val="0"/>
          <w:w w:val="100"/>
          <w:position w:val="0"/>
        </w:rPr>
        <w:t>条的法教义学茶析</w:t>
      </w:r>
      <w:r>
        <w:rPr>
          <w:rFonts w:ascii="Times New Roman" w:hAnsi="Times New Roman" w:eastAsia="Times New Roman" w:cs="Times New Roman"/>
          <w:color w:val="000000"/>
          <w:spacing w:val="0"/>
          <w:w w:val="100"/>
          <w:position w:val="0"/>
          <w:sz w:val="17"/>
          <w:szCs w:val="17"/>
          <w:lang w:val="en-US" w:eastAsia="en-US" w:bidi="en-US"/>
        </w:rPr>
        <w:t>JETTW</w:t>
      </w:r>
      <w:r>
        <w:rPr>
          <w:color w:val="000000"/>
          <w:spacing w:val="0"/>
          <w:w w:val="100"/>
          <w:position w:val="0"/>
        </w:rPr>
        <w:t xml:space="preserve">大学学报沪淄 </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73C9A40F">
      <w:pPr>
        <w:pStyle w:val="17"/>
        <w:keepNext w:val="0"/>
        <w:keepLines w:val="0"/>
        <w:widowControl w:val="0"/>
        <w:shd w:val="clear" w:color="auto" w:fill="auto"/>
        <w:bidi w:val="0"/>
        <w:spacing w:before="0" w:after="0" w:line="309" w:lineRule="exact"/>
        <w:ind w:left="180" w:right="0" w:hanging="180"/>
        <w:jc w:val="left"/>
      </w:pPr>
      <w:r>
        <w:rPr>
          <w:color w:val="000000"/>
          <w:spacing w:val="0"/>
          <w:w w:val="100"/>
          <w:position w:val="0"/>
        </w:rPr>
        <w:t>高圣平、严之:《房地单独抵押、房地分别抵押的效力 —— 以〈物权法〉第</w:t>
      </w:r>
      <w:r>
        <w:rPr>
          <w:rFonts w:ascii="Times New Roman" w:hAnsi="Times New Roman" w:eastAsia="Times New Roman" w:cs="Times New Roman"/>
          <w:color w:val="000000"/>
          <w:spacing w:val="0"/>
          <w:w w:val="100"/>
          <w:position w:val="0"/>
          <w:sz w:val="17"/>
          <w:szCs w:val="17"/>
        </w:rPr>
        <w:t>182</w:t>
      </w:r>
      <w:r>
        <w:rPr>
          <w:color w:val="000000"/>
          <w:spacing w:val="0"/>
          <w:w w:val="100"/>
          <w:position w:val="0"/>
        </w:rPr>
        <w:t>条为分析对象》，载《烟台大 学学报》（哲学社会科学版）</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17671C0">
      <w:pPr>
        <w:pStyle w:val="17"/>
        <w:keepNext w:val="0"/>
        <w:keepLines w:val="0"/>
        <w:widowControl w:val="0"/>
        <w:shd w:val="clear" w:color="auto" w:fill="auto"/>
        <w:bidi w:val="0"/>
        <w:spacing w:before="0" w:after="0" w:line="309" w:lineRule="exact"/>
        <w:ind w:left="180" w:right="0" w:hanging="180"/>
        <w:jc w:val="left"/>
      </w:pPr>
      <w:r>
        <w:rPr>
          <w:color w:val="000000"/>
          <w:spacing w:val="0"/>
          <w:w w:val="100"/>
          <w:position w:val="0"/>
        </w:rPr>
        <w:t xml:space="preserve">魏雁飞：《银行在建工程抵押若干问题的法律分析一兼评（物权法〉第一百八十二条》，载《甘肃金融》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53159287">
      <w:pPr>
        <w:pStyle w:val="17"/>
        <w:keepNext w:val="0"/>
        <w:keepLines w:val="0"/>
        <w:widowControl w:val="0"/>
        <w:shd w:val="clear" w:color="auto" w:fill="auto"/>
        <w:bidi w:val="0"/>
        <w:spacing w:before="0" w:after="0" w:line="309" w:lineRule="exact"/>
        <w:ind w:left="180" w:right="0" w:hanging="180"/>
        <w:jc w:val="left"/>
        <w:sectPr>
          <w:headerReference r:id="rId293" w:type="default"/>
          <w:headerReference r:id="rId294" w:type="even"/>
          <w:footnotePr>
            <w:numFmt w:val="chicago"/>
          </w:footnotePr>
          <w:pgSz w:w="10099" w:h="14782"/>
          <w:pgMar w:top="1284" w:right="935" w:bottom="1128" w:left="932" w:header="0" w:footer="700" w:gutter="0"/>
          <w:pgNumType w:start="241"/>
          <w:cols w:space="720" w:num="1"/>
          <w:rtlGutter w:val="0"/>
          <w:docGrid w:linePitch="360" w:charSpace="0"/>
        </w:sectPr>
      </w:pPr>
      <w:r>
        <w:rPr>
          <w:color w:val="000000"/>
          <w:spacing w:val="0"/>
          <w:w w:val="100"/>
          <w:position w:val="0"/>
        </w:rPr>
        <w:t>程啸:《担保物权研究》（第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年版。</w:t>
      </w:r>
    </w:p>
    <w:p w14:paraId="328E009F">
      <w:pPr>
        <w:widowControl w:val="0"/>
        <w:spacing w:before="55" w:after="55" w:line="240" w:lineRule="exact"/>
        <w:rPr>
          <w:sz w:val="19"/>
          <w:szCs w:val="19"/>
        </w:rPr>
      </w:pPr>
    </w:p>
    <w:p w14:paraId="42503560">
      <w:pPr>
        <w:widowControl w:val="0"/>
        <w:spacing w:line="1" w:lineRule="exact"/>
        <w:sectPr>
          <w:headerReference r:id="rId295" w:type="default"/>
          <w:headerReference r:id="rId296" w:type="even"/>
          <w:footnotePr>
            <w:numFmt w:val="chicago"/>
          </w:footnotePr>
          <w:pgSz w:w="10099" w:h="14782"/>
          <w:pgMar w:top="1085" w:right="939" w:bottom="846" w:left="1057" w:header="0" w:footer="3" w:gutter="0"/>
          <w:cols w:space="720" w:num="1"/>
          <w:rtlGutter w:val="0"/>
          <w:docGrid w:linePitch="360" w:charSpace="0"/>
        </w:sectPr>
      </w:pPr>
    </w:p>
    <w:p w14:paraId="6A8572CA">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768350</wp:posOffset>
                </wp:positionH>
                <wp:positionV relativeFrom="paragraph">
                  <wp:posOffset>12700</wp:posOffset>
                </wp:positionV>
                <wp:extent cx="449580" cy="304800"/>
                <wp:effectExtent l="0" t="0" r="0" b="0"/>
                <wp:wrapSquare wrapText="right"/>
                <wp:docPr id="669" name="Shape 66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2D199C7A">
                            <w:pPr>
                              <w:pStyle w:val="2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046</w:t>
                            </w:r>
                          </w:p>
                        </w:txbxContent>
                      </wps:txbx>
                      <wps:bodyPr wrap="none" lIns="0" tIns="0" rIns="0" bIns="0">
                        <a:noAutofit/>
                      </wps:bodyPr>
                    </wps:wsp>
                  </a:graphicData>
                </a:graphic>
              </wp:anchor>
            </w:drawing>
          </mc:Choice>
          <mc:Fallback>
            <w:pict>
              <v:shape id="Shape 669" o:spid="_x0000_s1026" o:spt="202" type="#_x0000_t202" style="position:absolute;left:0pt;margin-left:60.5pt;margin-top:1pt;height:24pt;width:35.4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Y8Jy3UAAAA&#10;CAEAAA8AAAAAAAAAAQAgAAAAIgAAAGRycy9kb3ducmV2LnhtbFBLAQIUABQAAAAIAIdO4kBAA5lw&#10;rwEAAHMDAAAOAAAAAAAAAAEAIAAAACMBAABkcnMvZTJvRG9jLnhtbFBLBQYAAAAABgAGAFkBAABE&#10;BQAAAAA=&#10;">
                <v:fill on="f" focussize="0,0"/>
                <v:stroke on="f"/>
                <v:imagedata o:title=""/>
                <o:lock v:ext="edit" aspectratio="f"/>
                <v:textbox inset="0mm,0mm,0mm,0mm">
                  <w:txbxContent>
                    <w:p w14:paraId="2D199C7A">
                      <w:pPr>
                        <w:pStyle w:val="2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046</w:t>
                      </w:r>
                    </w:p>
                  </w:txbxContent>
                </v:textbox>
                <w10:wrap type="square" side="right"/>
              </v:shape>
            </w:pict>
          </mc:Fallback>
        </mc:AlternateContent>
      </w:r>
      <w:r>
        <w:drawing>
          <wp:anchor distT="0" distB="0" distL="114300" distR="114300" simplePos="0" relativeHeight="251660288" behindDoc="0" locked="0" layoutInCell="1" allowOverlap="1">
            <wp:simplePos x="0" y="0"/>
            <wp:positionH relativeFrom="page">
              <wp:posOffset>5132705</wp:posOffset>
            </wp:positionH>
            <wp:positionV relativeFrom="paragraph">
              <wp:posOffset>216535</wp:posOffset>
            </wp:positionV>
            <wp:extent cx="628015" cy="621665"/>
            <wp:effectExtent l="0" t="0" r="6985" b="635"/>
            <wp:wrapSquare wrapText="left"/>
            <wp:docPr id="671" name="Shape 671"/>
            <wp:cNvGraphicFramePr/>
            <a:graphic xmlns:a="http://schemas.openxmlformats.org/drawingml/2006/main">
              <a:graphicData uri="http://schemas.openxmlformats.org/drawingml/2006/picture">
                <pic:pic xmlns:pic="http://schemas.openxmlformats.org/drawingml/2006/picture">
                  <pic:nvPicPr>
                    <pic:cNvPr id="671" name="Shape 671"/>
                    <pic:cNvPicPr/>
                  </pic:nvPicPr>
                  <pic:blipFill>
                    <a:blip r:embed="rId650"/>
                    <a:stretch>
                      <a:fillRect/>
                    </a:stretch>
                  </pic:blipFill>
                  <pic:spPr>
                    <a:xfrm>
                      <a:off x="0" y="0"/>
                      <a:ext cx="628015" cy="621665"/>
                    </a:xfrm>
                    <a:prstGeom prst="rect">
                      <a:avLst/>
                    </a:prstGeom>
                  </pic:spPr>
                </pic:pic>
              </a:graphicData>
            </a:graphic>
          </wp:anchor>
        </w:drawing>
      </w:r>
    </w:p>
    <w:p w14:paraId="61981630">
      <w:pPr>
        <w:pStyle w:val="15"/>
        <w:keepNext/>
        <w:keepLines/>
        <w:widowControl w:val="0"/>
        <w:shd w:val="clear" w:color="auto" w:fill="auto"/>
        <w:bidi w:val="0"/>
        <w:spacing w:before="0" w:after="200" w:line="240" w:lineRule="auto"/>
        <w:ind w:left="0" w:right="0" w:firstLine="0"/>
        <w:jc w:val="center"/>
      </w:pPr>
      <w:bookmarkStart w:id="104" w:name="bookmark308"/>
      <w:bookmarkStart w:id="105" w:name="bookmark309"/>
      <w:bookmarkStart w:id="106" w:name="bookmark310"/>
      <w:r>
        <w:rPr>
          <w:color w:val="000000"/>
          <w:spacing w:val="0"/>
          <w:w w:val="100"/>
          <w:position w:val="0"/>
        </w:rPr>
        <w:t>主债权诉讼时效期间届满抵押权是否消灭</w:t>
      </w:r>
      <w:bookmarkEnd w:id="104"/>
      <w:bookmarkEnd w:id="105"/>
      <w:bookmarkEnd w:id="106"/>
    </w:p>
    <w:p w14:paraId="51A1530B">
      <w:pPr>
        <w:pStyle w:val="17"/>
        <w:keepNext w:val="0"/>
        <w:keepLines w:val="0"/>
        <w:widowControl w:val="0"/>
        <w:shd w:val="clear" w:color="auto" w:fill="auto"/>
        <w:bidi w:val="0"/>
        <w:spacing w:before="0" w:after="700" w:line="240" w:lineRule="auto"/>
        <w:ind w:left="0" w:right="0" w:firstLine="0"/>
        <w:jc w:val="center"/>
        <w:rPr>
          <w:sz w:val="19"/>
          <w:szCs w:val="19"/>
        </w:rPr>
      </w:pPr>
      <w:r>
        <w:rPr>
          <w:color w:val="000000"/>
          <w:spacing w:val="0"/>
          <w:w w:val="100"/>
          <w:position w:val="0"/>
          <w:sz w:val="18"/>
          <w:szCs w:val="18"/>
        </w:rPr>
        <w:t>王军诉李睿抵押合同纠纷案</w:t>
      </w:r>
      <w:r>
        <w:rPr>
          <w:color w:val="000000"/>
          <w:spacing w:val="0"/>
          <w:w w:val="100"/>
          <w:position w:val="0"/>
          <w:sz w:val="18"/>
          <w:szCs w:val="18"/>
          <w:lang w:val="zh-CN" w:eastAsia="zh-CN" w:bidi="zh-CN"/>
        </w:rPr>
        <w:t>|</w:t>
      </w:r>
      <w:r>
        <w:rPr>
          <w:color w:val="000000"/>
          <w:spacing w:val="0"/>
          <w:w w:val="100"/>
          <w:position w:val="0"/>
          <w:sz w:val="18"/>
          <w:szCs w:val="18"/>
        </w:rPr>
        <w:t>《最高人民法院公报》</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8"/>
          <w:szCs w:val="18"/>
        </w:rPr>
        <w:t>年第</w:t>
      </w:r>
      <w:r>
        <w:rPr>
          <w:rFonts w:ascii="Times New Roman" w:hAnsi="Times New Roman" w:eastAsia="Times New Roman" w:cs="Times New Roman"/>
          <w:color w:val="000000"/>
          <w:spacing w:val="0"/>
          <w:w w:val="100"/>
          <w:position w:val="0"/>
          <w:sz w:val="19"/>
          <w:szCs w:val="19"/>
        </w:rPr>
        <w:t>7</w:t>
      </w:r>
    </w:p>
    <w:p w14:paraId="08538F1E">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程啸</w:t>
      </w:r>
      <w:r>
        <w:rPr>
          <w:color w:val="000000"/>
          <w:spacing w:val="0"/>
          <w:w w:val="100"/>
          <w:position w:val="0"/>
        </w:rPr>
        <w:t>清华大学法学院</w:t>
      </w:r>
    </w:p>
    <w:p w14:paraId="3EFD9A41">
      <w:pPr>
        <w:pStyle w:val="11"/>
        <w:keepNext w:val="0"/>
        <w:keepLines w:val="0"/>
        <w:widowControl w:val="0"/>
        <w:shd w:val="clear" w:color="auto" w:fill="auto"/>
        <w:bidi w:val="0"/>
        <w:spacing w:before="0" w:after="80" w:line="338"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0721D40">
      <w:pPr>
        <w:pStyle w:val="17"/>
        <w:keepNext w:val="0"/>
        <w:keepLines w:val="0"/>
        <w:widowControl w:val="0"/>
        <w:shd w:val="clear" w:color="auto" w:fill="auto"/>
        <w:bidi w:val="0"/>
        <w:spacing w:before="0" w:after="340" w:line="342"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日，王军与李睿签订协议书,约定王军向李睿借款</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万元,期限自</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日。期满一次性偿还全部借款。王军将</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房屋抵押给李睿用于担 保该借款。</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日，双方办理涉案房屋的抵押登记。</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日，李睿被登记 为上述房屋的他项权利人。借款到期后，王军一直未还款。原告王军以被告李睿未在主债权 诉讼时效期间行使抵押权，故抵押权不予保护为由，诉至法院，请求判令李睿协助王军办理注 销</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房屋的抵押登记手续。北京市通州区人民法院一审认为，因李睿作为抵押权人未在主债 权诉讼时效期间内行使抵押权，故抵押权已消灭,法院支持王军的诉讼请求。李睿提起上诉。</w:t>
      </w:r>
    </w:p>
    <w:p w14:paraId="6C85965E">
      <w:pPr>
        <w:pStyle w:val="11"/>
        <w:keepNext w:val="0"/>
        <w:keepLines w:val="0"/>
        <w:widowControl w:val="0"/>
        <w:shd w:val="clear" w:color="auto" w:fill="auto"/>
        <w:bidi w:val="0"/>
        <w:spacing w:before="0" w:after="80" w:line="338"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C5E5B1F">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驳回上诉，维持原判。</w:t>
      </w:r>
    </w:p>
    <w:p w14:paraId="21CE75C2">
      <w:pPr>
        <w:pStyle w:val="17"/>
        <w:keepNext w:val="0"/>
        <w:keepLines w:val="0"/>
        <w:widowControl w:val="0"/>
        <w:shd w:val="clear" w:color="auto" w:fill="auto"/>
        <w:bidi w:val="0"/>
        <w:spacing w:before="0" w:after="340" w:line="338" w:lineRule="exact"/>
        <w:ind w:left="0" w:right="0" w:firstLine="420"/>
        <w:jc w:val="both"/>
      </w:pPr>
      <w:r>
        <w:rPr>
          <w:color w:val="000000"/>
          <w:spacing w:val="0"/>
          <w:w w:val="100"/>
          <w:position w:val="0"/>
        </w:rPr>
        <w:t>抵押权人在主债权诉讼时效期间未行使抵押权将导致抵押权消灭，而非胜诉权的丧 失。抵押权消灭后，抵押人要求解除抵押权登记的,人民法院应当支持。在债权与为担保债 的履行的抵押权并存时,债权是主权利，抵押权为从权利。在主权利已经丧失国家强制力 保护的状态下，抵押物上所负担的抵押权也应消灭方能更好地发挥物的效用，亦符合物权 法之担保物权体系的内在逻辑。故《物权法》第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条规定抵押权行使期间的重要目的之 一当在于促使抵押权人积极地行使抵押权，迅速了结债权债务关系，维系社会经济秩序的 稳定。综合上述分析，应当认定在法律已设定行使期限后，抵押权人仍长期怠于行使权利 时,法律对之也无特别加以保护的必要,应使抵押权消灭。</w:t>
      </w:r>
    </w:p>
    <w:p w14:paraId="5D55FA41">
      <w:pPr>
        <w:pStyle w:val="11"/>
        <w:keepNext w:val="0"/>
        <w:keepLines w:val="0"/>
        <w:widowControl w:val="0"/>
        <w:shd w:val="clear" w:color="auto" w:fill="auto"/>
        <w:bidi w:val="0"/>
        <w:spacing w:before="0" w:after="80" w:line="338" w:lineRule="exact"/>
        <w:ind w:left="0" w:right="0" w:firstLine="0"/>
        <w:jc w:val="left"/>
      </w:pPr>
      <w:r>
        <w:rPr>
          <w:color w:val="000000"/>
          <w:spacing w:val="0"/>
          <w:w w:val="100"/>
          <w:position w:val="0"/>
        </w:rPr>
        <w:t>■评析</w:t>
      </w:r>
    </w:p>
    <w:p w14:paraId="05D568C6">
      <w:pPr>
        <w:pStyle w:val="17"/>
        <w:keepNext w:val="0"/>
        <w:keepLines w:val="0"/>
        <w:widowControl w:val="0"/>
        <w:shd w:val="clear" w:color="auto" w:fill="auto"/>
        <w:bidi w:val="0"/>
        <w:spacing w:before="0" w:after="80" w:line="338"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654AB414">
      <w:pPr>
        <w:pStyle w:val="17"/>
        <w:keepNext w:val="0"/>
        <w:keepLines w:val="0"/>
        <w:widowControl w:val="0"/>
        <w:shd w:val="clear" w:color="auto" w:fill="auto"/>
        <w:bidi w:val="0"/>
        <w:spacing w:before="0" w:after="280" w:line="335" w:lineRule="exact"/>
        <w:ind w:left="0" w:right="0" w:firstLine="420"/>
        <w:jc w:val="both"/>
        <w:sectPr>
          <w:footnotePr>
            <w:numFmt w:val="chicago"/>
          </w:footnotePr>
          <w:type w:val="continuous"/>
          <w:pgSz w:w="10099" w:h="14782"/>
          <w:pgMar w:top="1085" w:right="939" w:bottom="846" w:left="1057" w:header="657" w:footer="418" w:gutter="0"/>
          <w:cols w:space="720" w:num="1"/>
          <w:rtlGutter w:val="0"/>
          <w:docGrid w:linePitch="360" w:charSpace="0"/>
        </w:sectPr>
      </w:pPr>
      <w:r>
        <w:rPr>
          <w:color w:val="000000"/>
          <w:spacing w:val="0"/>
          <w:w w:val="100"/>
          <w:position w:val="0"/>
        </w:rPr>
        <w:t xml:space="preserve">本案的核心问题在于，抵押权人在主债权诉讼时效期间没有行使抵押权的，该权利是 否消灭。本案法院判决认为，虽然抵押权是支配权而非请求权，不适用诉讼时效，但由于抵 押权的目的在于担保债务的履行，以确保抵押权人对抵押物的价值享有优先受偿的权利。 </w:t>
      </w:r>
    </w:p>
    <w:p w14:paraId="4ADF110B">
      <w:pPr>
        <w:pStyle w:val="17"/>
        <w:keepNext w:val="0"/>
        <w:keepLines w:val="0"/>
        <w:widowControl w:val="0"/>
        <w:shd w:val="clear" w:color="auto" w:fill="auto"/>
        <w:bidi w:val="0"/>
        <w:spacing w:before="0" w:after="280" w:line="335" w:lineRule="exact"/>
        <w:ind w:left="0" w:right="0" w:firstLine="0"/>
        <w:jc w:val="both"/>
      </w:pPr>
      <w:r>
        <w:rPr>
          <w:color w:val="000000"/>
          <w:spacing w:val="0"/>
          <w:w w:val="100"/>
          <w:position w:val="0"/>
        </w:rPr>
        <w:t>如果对抵押权人行使抵押权的期限不进行限制，将使抵押财产的归属长期处于不稳定状 态,不仅不利于保护当事人的合法权益，亦不利于物之使用和流通效能的发挥。《物权法》 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419</w:t>
      </w:r>
      <w:r>
        <w:rPr>
          <w:color w:val="000000"/>
          <w:spacing w:val="0"/>
          <w:w w:val="100"/>
          <w:position w:val="0"/>
        </w:rPr>
        <w:t>条）的立法目的正在于此。故此，抵押权人在主债权诉讼时效期 间未行使抵押权的，该抵押权消灭。本案判决的意义在于，从目的解释的角度明确了《物权 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419</w:t>
      </w:r>
      <w:r>
        <w:rPr>
          <w:color w:val="000000"/>
          <w:spacing w:val="0"/>
          <w:w w:val="100"/>
          <w:position w:val="0"/>
        </w:rPr>
        <w:t>条）中</w:t>
      </w:r>
      <w:r>
        <w:rPr>
          <w:color w:val="000000"/>
          <w:spacing w:val="0"/>
          <w:w w:val="100"/>
          <w:position w:val="0"/>
          <w:lang w:val="zh-CN" w:eastAsia="zh-CN" w:bidi="zh-CN"/>
        </w:rPr>
        <w:t>“人民</w:t>
      </w:r>
      <w:r>
        <w:rPr>
          <w:color w:val="000000"/>
          <w:spacing w:val="0"/>
          <w:w w:val="100"/>
          <w:position w:val="0"/>
        </w:rPr>
        <w:t>法院不予保护</w:t>
      </w:r>
      <w:r>
        <w:rPr>
          <w:color w:val="000000"/>
          <w:spacing w:val="0"/>
          <w:w w:val="100"/>
          <w:position w:val="0"/>
          <w:lang w:val="zh-CN" w:eastAsia="zh-CN" w:bidi="zh-CN"/>
        </w:rPr>
        <w:t>”的</w:t>
      </w:r>
      <w:r>
        <w:rPr>
          <w:color w:val="000000"/>
          <w:spacing w:val="0"/>
          <w:w w:val="100"/>
          <w:position w:val="0"/>
        </w:rPr>
        <w:t>含义，将之界定为抵押权的法 定存续期限,从而有利于解决司法实践中的争议，更好地发挥财产的价值并促进财产的流 通。</w:t>
      </w:r>
    </w:p>
    <w:p w14:paraId="67371870">
      <w:pPr>
        <w:pStyle w:val="17"/>
        <w:keepNext w:val="0"/>
        <w:keepLines w:val="0"/>
        <w:widowControl w:val="0"/>
        <w:shd w:val="clear" w:color="auto" w:fill="auto"/>
        <w:bidi w:val="0"/>
        <w:spacing w:before="0" w:after="0" w:line="37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担保物权法定存续期限规则的演变</w:t>
      </w:r>
    </w:p>
    <w:p w14:paraId="5C2D567E">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最早对担保物权的法定存续期限作出规定的是最高人民法院《关于适用〈中华人民共 和国担保法〉若干问题的解释》［法释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号］（以下简称《担保法司法解释》），该司法 解释在借鉴我国台湾地区</w:t>
      </w:r>
      <w:r>
        <w:rPr>
          <w:color w:val="000000"/>
          <w:spacing w:val="0"/>
          <w:w w:val="100"/>
          <w:position w:val="0"/>
          <w:lang w:val="zh-CN" w:eastAsia="zh-CN" w:bidi="zh-CN"/>
        </w:rPr>
        <w:t>“民法”第</w:t>
      </w:r>
      <w:r>
        <w:rPr>
          <w:rFonts w:ascii="Times New Roman" w:hAnsi="Times New Roman" w:eastAsia="Times New Roman" w:cs="Times New Roman"/>
          <w:color w:val="000000"/>
          <w:spacing w:val="0"/>
          <w:w w:val="100"/>
          <w:position w:val="0"/>
          <w:sz w:val="19"/>
          <w:szCs w:val="19"/>
        </w:rPr>
        <w:t>880</w:t>
      </w:r>
      <w:r>
        <w:rPr>
          <w:color w:val="000000"/>
          <w:spacing w:val="0"/>
          <w:w w:val="100"/>
          <w:position w:val="0"/>
        </w:rPr>
        <w:t>条的基础上，于第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“担保</w:t>
      </w:r>
      <w:r>
        <w:rPr>
          <w:color w:val="000000"/>
          <w:spacing w:val="0"/>
          <w:w w:val="100"/>
          <w:position w:val="0"/>
        </w:rPr>
        <w:t>物权所 担保的债权的诉讼时效结束后,担保权人在诉讼时效结束后的二年内行使担保物权的,人 民法院应当予以支持</w:t>
      </w:r>
      <w:r>
        <w:rPr>
          <w:color w:val="000000"/>
          <w:spacing w:val="0"/>
          <w:w w:val="100"/>
          <w:position w:val="0"/>
          <w:lang w:val="zh-CN" w:eastAsia="zh-CN" w:bidi="zh-CN"/>
        </w:rPr>
        <w:t>。”从</w:t>
      </w:r>
      <w:r>
        <w:rPr>
          <w:color w:val="000000"/>
          <w:spacing w:val="0"/>
          <w:w w:val="100"/>
          <w:position w:val="0"/>
        </w:rPr>
        <w:t>该款的表述可知,《担保法司法解释》并不承认担保物权的存续受 主债权时效届满的影响,而是规定了一个担保物权的法定存续期限（除斥期间），即“主债权 诉讼时效期间+两年</w:t>
      </w:r>
      <w:r>
        <w:rPr>
          <w:color w:val="000000"/>
          <w:spacing w:val="0"/>
          <w:w w:val="100"/>
          <w:position w:val="0"/>
          <w:lang w:val="zh-CN" w:eastAsia="zh-CN" w:bidi="zh-CN"/>
        </w:rPr>
        <w:t>”，该</w:t>
      </w:r>
      <w:r>
        <w:rPr>
          <w:color w:val="000000"/>
          <w:spacing w:val="0"/>
          <w:w w:val="100"/>
          <w:position w:val="0"/>
        </w:rPr>
        <w:t>期限届满后，担保物权即归于消灭。</w:t>
      </w:r>
    </w:p>
    <w:p w14:paraId="74F3E15E">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起草原《物权法》的时候，就担保物权是否因主债权罹于时效而消灭以及应否规定担保 物权的法定存续期限等问题，有很大的争议。一种观点认为，担保物权不应受到主债权罹 于时效的影响。因为主债权的诉讼时效期间届满后，权利本身并不消灭，债务人只是享有 时效抗辩权而已。担保物权属于从权利，从属于其担保的债权，既然主债权不消灭，则担保 物权也并不因此消灭，仍得以存续（邹海林、常敏:《债权担保的方式和应用》，法律出版社</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 版）。此外,担保物权是一种物权，不是请求权，其本身也不适用诉讼时效。故此，建议继续 沿用《担保法司法解释》第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条的规定，为担保物权的存续规定一个法定的期限即可。另 一种观点认为，法律最好规定，主债权诉讼时效届满后,担保物权不消灭，但担保人享有对 担保权人的抗辩权，该抗辩权可以在担保权人要求实现担保物权时主张（全国人民代表大会 常务委员会法制工作委员会民法室编:《物权法立法背景与观点全集》，法律出版社</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年版）。</w:t>
      </w:r>
    </w:p>
    <w:p w14:paraId="5241B75D">
      <w:pPr>
        <w:pStyle w:val="17"/>
        <w:keepNext w:val="0"/>
        <w:keepLines w:val="0"/>
        <w:widowControl w:val="0"/>
        <w:shd w:val="clear" w:color="auto" w:fill="auto"/>
        <w:bidi w:val="0"/>
        <w:spacing w:before="0" w:after="140" w:line="336" w:lineRule="exact"/>
        <w:ind w:left="0" w:right="0"/>
        <w:jc w:val="both"/>
      </w:pPr>
      <w:r>
        <w:rPr>
          <w:color w:val="000000"/>
          <w:spacing w:val="0"/>
          <w:w w:val="100"/>
          <w:position w:val="0"/>
        </w:rPr>
        <w:t>原《物权法》最终并未对所有的担保物权的存续期限作出规定，只是规定了主债权诉讼 时效期间届满对抵押权的影响。该法第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条规定：“抵押权人应当在主债权诉讼时效期 间行使抵押权;未行使的，人民法院不予保护</w:t>
      </w:r>
      <w:r>
        <w:rPr>
          <w:color w:val="000000"/>
          <w:spacing w:val="0"/>
          <w:w w:val="100"/>
          <w:position w:val="0"/>
          <w:lang w:val="zh-CN" w:eastAsia="zh-CN" w:bidi="zh-CN"/>
        </w:rPr>
        <w:t>。”全</w:t>
      </w:r>
      <w:r>
        <w:rPr>
          <w:color w:val="000000"/>
          <w:spacing w:val="0"/>
          <w:w w:val="100"/>
          <w:position w:val="0"/>
        </w:rPr>
        <w:t>国人大常委会法制工作委员会民法室的 有关人士认为，原《物权法》该条的立法理由为:“随着市场经济的快速运转,如果允许抵押 权一直存续,可能会使抵押权人怠于行使抵押权，不利于发挥抵押财产的经济效用，制约经 济的发展。因此，规定抵押权的存续期限，能够促使抵押权人积极行使权利，促进经济的发 展。由于抵押权是主债权的从权利，因此一些国家民法和我国台湾地区’民法’将抵押权的 存续期限与主债权的消灭时效或者诉讼时效挂钩的做法，值得借鉴。</w:t>
      </w:r>
      <w:r>
        <w:rPr>
          <w:color w:val="000000"/>
          <w:spacing w:val="0"/>
          <w:w w:val="100"/>
          <w:position w:val="0"/>
          <w:lang w:val="zh-CN" w:eastAsia="zh-CN" w:bidi="zh-CN"/>
        </w:rPr>
        <w:t>”（胡</w:t>
      </w:r>
      <w:r>
        <w:rPr>
          <w:color w:val="000000"/>
          <w:spacing w:val="0"/>
          <w:w w:val="100"/>
          <w:position w:val="0"/>
        </w:rPr>
        <w:t>康生主编:《中华人 民共和国物权法释义》，法律出版社</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年版）《民法典》第</w:t>
      </w:r>
      <w:r>
        <w:rPr>
          <w:rFonts w:ascii="Times New Roman" w:hAnsi="Times New Roman" w:eastAsia="Times New Roman" w:cs="Times New Roman"/>
          <w:color w:val="000000"/>
          <w:spacing w:val="0"/>
          <w:w w:val="100"/>
          <w:position w:val="0"/>
          <w:sz w:val="19"/>
          <w:szCs w:val="19"/>
        </w:rPr>
        <w:t>419</w:t>
      </w:r>
      <w:r>
        <w:rPr>
          <w:color w:val="000000"/>
          <w:spacing w:val="0"/>
          <w:w w:val="100"/>
          <w:position w:val="0"/>
        </w:rPr>
        <w:t>条保留了该条未作修改。</w:t>
      </w:r>
    </w:p>
    <w:p w14:paraId="4832FBF5">
      <w:pPr>
        <w:pStyle w:val="17"/>
        <w:keepNext w:val="0"/>
        <w:keepLines w:val="0"/>
        <w:widowControl w:val="0"/>
        <w:shd w:val="clear" w:color="auto" w:fill="auto"/>
        <w:bidi w:val="0"/>
        <w:spacing w:before="0" w:after="120" w:line="340" w:lineRule="exact"/>
        <w:ind w:left="0" w:right="0" w:firstLine="0"/>
        <w:jc w:val="both"/>
      </w:pPr>
      <w:r>
        <w:rPr>
          <w:rFonts w:ascii="Times New Roman" w:hAnsi="Times New Roman" w:eastAsia="Times New Roman" w:cs="Times New Roman"/>
          <w:b/>
          <w:bCs/>
          <w:color w:val="000000"/>
          <w:spacing w:val="0"/>
          <w:w w:val="100"/>
          <w:position w:val="0"/>
          <w:sz w:val="19"/>
          <w:szCs w:val="19"/>
          <w:lang w:val="en-US" w:eastAsia="en-US" w:bidi="en-US"/>
        </w:rPr>
        <w:t xml:space="preserve">a </w:t>
      </w:r>
      <w:r>
        <w:rPr>
          <w:color w:val="000000"/>
          <w:spacing w:val="0"/>
          <w:w w:val="100"/>
          <w:position w:val="0"/>
        </w:rPr>
        <w:t>对原《物权法》第</w:t>
      </w:r>
      <w:r>
        <w:rPr>
          <w:rFonts w:ascii="Times New Roman" w:hAnsi="Times New Roman" w:eastAsia="Times New Roman" w:cs="Times New Roman"/>
          <w:b/>
          <w:bCs/>
          <w:color w:val="000000"/>
          <w:spacing w:val="0"/>
          <w:w w:val="100"/>
          <w:position w:val="0"/>
          <w:sz w:val="19"/>
          <w:szCs w:val="19"/>
        </w:rPr>
        <w:t>202</w:t>
      </w:r>
      <w:r>
        <w:rPr>
          <w:color w:val="000000"/>
          <w:spacing w:val="0"/>
          <w:w w:val="100"/>
          <w:position w:val="0"/>
        </w:rPr>
        <w:t>条的不同理解</w:t>
      </w:r>
    </w:p>
    <w:p w14:paraId="7D2D42EB">
      <w:pPr>
        <w:pStyle w:val="17"/>
        <w:keepNext w:val="0"/>
        <w:keepLines w:val="0"/>
        <w:widowControl w:val="0"/>
        <w:shd w:val="clear" w:color="auto" w:fill="auto"/>
        <w:bidi w:val="0"/>
        <w:spacing w:before="0" w:after="0" w:line="367" w:lineRule="exact"/>
        <w:ind w:left="0" w:right="0" w:firstLine="420"/>
        <w:jc w:val="both"/>
      </w:pPr>
      <w:r>
        <w:rPr>
          <w:color w:val="000000"/>
          <w:spacing w:val="0"/>
          <w:w w:val="100"/>
          <w:position w:val="0"/>
        </w:rPr>
        <w:t>原《物权法》颁行后，围绕着第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句中规定的</w:t>
      </w:r>
      <w:r>
        <w:rPr>
          <w:color w:val="000000"/>
          <w:spacing w:val="0"/>
          <w:w w:val="100"/>
          <w:position w:val="0"/>
          <w:lang w:val="zh-CN" w:eastAsia="zh-CN" w:bidi="zh-CN"/>
        </w:rPr>
        <w:t>“人民</w:t>
      </w:r>
      <w:r>
        <w:rPr>
          <w:color w:val="000000"/>
          <w:spacing w:val="0"/>
          <w:w w:val="100"/>
          <w:position w:val="0"/>
        </w:rPr>
        <w:t>法院不予保护</w:t>
      </w:r>
      <w:r>
        <w:rPr>
          <w:color w:val="000000"/>
          <w:spacing w:val="0"/>
          <w:w w:val="100"/>
          <w:position w:val="0"/>
          <w:lang w:val="zh-CN" w:eastAsia="zh-CN" w:bidi="zh-CN"/>
        </w:rPr>
        <w:t>”的</w:t>
      </w:r>
      <w:r>
        <w:rPr>
          <w:color w:val="000000"/>
          <w:spacing w:val="0"/>
          <w:w w:val="100"/>
          <w:position w:val="0"/>
        </w:rPr>
        <w:t>含义，理 论界与司法实务界产生了三种不同的观点。</w:t>
      </w:r>
    </w:p>
    <w:p w14:paraId="33401622">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第一种观点为</w:t>
      </w:r>
      <w:r>
        <w:rPr>
          <w:color w:val="000000"/>
          <w:spacing w:val="0"/>
          <w:w w:val="100"/>
          <w:position w:val="0"/>
          <w:lang w:val="zh-CN" w:eastAsia="zh-CN" w:bidi="zh-CN"/>
        </w:rPr>
        <w:t>“胜</w:t>
      </w:r>
      <w:r>
        <w:rPr>
          <w:color w:val="000000"/>
          <w:spacing w:val="0"/>
          <w:w w:val="100"/>
          <w:position w:val="0"/>
        </w:rPr>
        <w:t>诉权丧失说”，也称</w:t>
      </w:r>
      <w:r>
        <w:rPr>
          <w:color w:val="000000"/>
          <w:spacing w:val="0"/>
          <w:w w:val="100"/>
          <w:position w:val="0"/>
          <w:lang w:val="zh-CN" w:eastAsia="zh-CN" w:bidi="zh-CN"/>
        </w:rPr>
        <w:t>“执行</w:t>
      </w:r>
      <w:r>
        <w:rPr>
          <w:color w:val="000000"/>
          <w:spacing w:val="0"/>
          <w:w w:val="100"/>
          <w:position w:val="0"/>
        </w:rPr>
        <w:t>力丧失说”。该说认为，过了主债权诉讼时 效期间后，抵押权人丧失的是抵押权受人民法院保护的权利即胜诉权，而抵押权本身并没 有消灭，如果抵押人自愿履行担保义务的，抵押权人仍可以行使抵押权（胡康生主编:《中华人 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年版）。申言之，原《物权法》第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条规定的是抵押权 的司法保护期，而非抵押权的存续期限。也就是说，原《物权法》规定的抵押权的行使期间 近似于抵押权的</w:t>
      </w:r>
      <w:r>
        <w:rPr>
          <w:color w:val="000000"/>
          <w:spacing w:val="0"/>
          <w:w w:val="100"/>
          <w:position w:val="0"/>
          <w:lang w:val="zh-CN" w:eastAsia="zh-CN" w:bidi="zh-CN"/>
        </w:rPr>
        <w:t>“诉讼</w:t>
      </w:r>
      <w:r>
        <w:rPr>
          <w:color w:val="000000"/>
          <w:spacing w:val="0"/>
          <w:w w:val="100"/>
          <w:position w:val="0"/>
        </w:rPr>
        <w:t>时效”，因为与诉讼时效的法律效果一样，该司法保护期届满后抵押 权并不消灭，抵押权人丧失的是抵押权受人民法院保护的权利即胜诉权。在我国法律和司 法解释没有明确规定主债权诉讼时效届满抵押权消灭的情况下，必须严格遵循文义解释的 原则，在</w:t>
      </w:r>
      <w:r>
        <w:rPr>
          <w:color w:val="000000"/>
          <w:spacing w:val="0"/>
          <w:w w:val="100"/>
          <w:position w:val="0"/>
          <w:lang w:val="zh-CN" w:eastAsia="zh-CN" w:bidi="zh-CN"/>
        </w:rPr>
        <w:t>“法”</w:t>
      </w:r>
      <w:r>
        <w:rPr>
          <w:color w:val="000000"/>
          <w:spacing w:val="0"/>
          <w:w w:val="100"/>
          <w:position w:val="0"/>
        </w:rPr>
        <w:t xml:space="preserve">的框架内去理解和适用法律，不得随意扩大解释将抵押权“人民法院不予保 护”理解为“抵押权消灭”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故依照物权法定主义，抵押权此际并未消灭［湘西土家族苗族自治 州中级人民法院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州民二终字第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号民事判决书］。</w:t>
      </w:r>
    </w:p>
    <w:p w14:paraId="1751A68A">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第二种观点为</w:t>
      </w:r>
      <w:r>
        <w:rPr>
          <w:color w:val="000000"/>
          <w:spacing w:val="0"/>
          <w:w w:val="100"/>
          <w:position w:val="0"/>
          <w:lang w:val="zh-CN" w:eastAsia="zh-CN" w:bidi="zh-CN"/>
        </w:rPr>
        <w:t>“时效</w:t>
      </w:r>
      <w:r>
        <w:rPr>
          <w:color w:val="000000"/>
          <w:spacing w:val="0"/>
          <w:w w:val="100"/>
          <w:position w:val="0"/>
        </w:rPr>
        <w:t>抗辩权发生说</w:t>
      </w:r>
      <w:r>
        <w:rPr>
          <w:color w:val="000000"/>
          <w:spacing w:val="0"/>
          <w:w w:val="100"/>
          <w:position w:val="0"/>
          <w:lang w:val="zh-CN" w:eastAsia="zh-CN" w:bidi="zh-CN"/>
        </w:rPr>
        <w:t>”，这</w:t>
      </w:r>
      <w:r>
        <w:rPr>
          <w:color w:val="000000"/>
          <w:spacing w:val="0"/>
          <w:w w:val="100"/>
          <w:position w:val="0"/>
        </w:rPr>
        <w:t>是多数学者所赞同的学说。此说认为,对于主 债权诉讼时效期间已经届满的抵押权，人民法院不予保护不等于该抵押权已经消灭，只是 抵押人因此享有了主债务人的时效抗辩权（王利明、尹飞、程啸:《中国物权法教程》，人民法院出 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年版）。例如，王利明教授认为,所谓人民法院不予保护应当与民法通则关于诉讼 时效届满的法律后果做相同的理解。也就是说，主债权时效届满,抵押权不消灭，而只是使 抵押人享有了拒绝履行的抗辩权。作为从权利的抵押权，其实体权利不应消灭，如果抵押 人自愿履行担保义务,抵押权人仍然可以接受,从而使其权利实现［王利明：《物权法研究》（下 卷），中国人民大学出版社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20FB44E5">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第三种观点就是以本案判决为代表的“抵押权消灭说</w:t>
      </w:r>
      <w:r>
        <w:rPr>
          <w:color w:val="000000"/>
          <w:spacing w:val="0"/>
          <w:w w:val="100"/>
          <w:position w:val="0"/>
          <w:lang w:val="zh-CN" w:eastAsia="zh-CN" w:bidi="zh-CN"/>
        </w:rPr>
        <w:t>”，此</w:t>
      </w:r>
      <w:r>
        <w:rPr>
          <w:color w:val="000000"/>
          <w:spacing w:val="0"/>
          <w:w w:val="100"/>
          <w:position w:val="0"/>
        </w:rPr>
        <w:t>说认为，原《物权法》第</w:t>
      </w:r>
      <w:r>
        <w:rPr>
          <w:rFonts w:ascii="Times New Roman" w:hAnsi="Times New Roman" w:eastAsia="Times New Roman" w:cs="Times New Roman"/>
          <w:color w:val="000000"/>
          <w:spacing w:val="0"/>
          <w:w w:val="100"/>
          <w:position w:val="0"/>
          <w:sz w:val="19"/>
          <w:szCs w:val="19"/>
        </w:rPr>
        <w:t xml:space="preserve">202 </w:t>
      </w:r>
      <w:r>
        <w:rPr>
          <w:color w:val="000000"/>
          <w:spacing w:val="0"/>
          <w:w w:val="100"/>
          <w:position w:val="0"/>
        </w:rPr>
        <w:t>条规定的抵押权的行使期限就是抵押权的存续期限或除斥期间，而非抵押权的诉讼时效或 受到公权力保护的期限，抵押权因该时间的经过而消灭［海南省三亚市中级人民法院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三 亚民二终字第</w:t>
      </w:r>
      <w:r>
        <w:rPr>
          <w:rFonts w:ascii="Times New Roman" w:hAnsi="Times New Roman" w:eastAsia="Times New Roman" w:cs="Times New Roman"/>
          <w:color w:val="000000"/>
          <w:spacing w:val="0"/>
          <w:w w:val="100"/>
          <w:position w:val="0"/>
          <w:sz w:val="17"/>
          <w:szCs w:val="17"/>
        </w:rPr>
        <w:t>254</w:t>
      </w:r>
      <w:r>
        <w:rPr>
          <w:color w:val="000000"/>
          <w:spacing w:val="0"/>
          <w:w w:val="100"/>
          <w:position w:val="0"/>
        </w:rPr>
        <w:t>号民事判决书］。首先，如果法律上不规定抵押权的存续期限,而是允许抵押 权人在任何时候都可以行使抵押权，对于抵押人来说过于苛刻。此外，抵押权人有抵押权 却不行使，不仅不利于物的交易价值和担保秩序的稳定，反而可能助长抵押权人滥用因物 之担保而取得的优势地位,损害债务人的利益。故此,法律上必须对抵押权的存续期限加 以限制，以便督促抵押权人积极行使抵押权，保证社会经济秩序的稳定（最高人民法院物权法 研究小组:《〈中华人民共和国物权法〉条文理解与适用》，人民法院出版社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年版）。其次，原《物 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条规定了抵押权的行使期限，在期限内怠于行使的，则抵押权人</w:t>
      </w:r>
      <w:r>
        <w:rPr>
          <w:color w:val="000000"/>
          <w:spacing w:val="0"/>
          <w:w w:val="100"/>
          <w:position w:val="0"/>
          <w:lang w:val="zh-CN" w:eastAsia="zh-CN" w:bidi="zh-CN"/>
        </w:rPr>
        <w:t>“丧失</w:t>
      </w:r>
      <w:r>
        <w:rPr>
          <w:color w:val="000000"/>
          <w:spacing w:val="0"/>
          <w:w w:val="100"/>
          <w:position w:val="0"/>
        </w:rPr>
        <w:t>人民法 院公权力的保护，且抵押权的实质是对抵押物享有优先受偿权，被告对抵押物不再受到法 律保护，显然不能再就抵押物优先于其他债权而受到清偿，被告享有的抵押权已不具有抵 押权的实质，该抵押权的存在已没有任何意义</w:t>
      </w:r>
      <w:r>
        <w:rPr>
          <w:color w:val="000000"/>
          <w:spacing w:val="0"/>
          <w:w w:val="100"/>
          <w:position w:val="0"/>
          <w:lang w:val="zh-CN" w:eastAsia="zh-CN" w:bidi="zh-CN"/>
        </w:rPr>
        <w:t>”［重</w:t>
      </w:r>
      <w:r>
        <w:rPr>
          <w:color w:val="000000"/>
          <w:spacing w:val="0"/>
          <w:w w:val="100"/>
          <w:position w:val="0"/>
        </w:rPr>
        <w:t>庆市铜梁县人民法院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 xml:space="preserve">铜法民初字第 </w:t>
      </w:r>
      <w:r>
        <w:rPr>
          <w:rFonts w:ascii="Times New Roman" w:hAnsi="Times New Roman" w:eastAsia="Times New Roman" w:cs="Times New Roman"/>
          <w:color w:val="000000"/>
          <w:spacing w:val="0"/>
          <w:w w:val="100"/>
          <w:position w:val="0"/>
          <w:sz w:val="19"/>
          <w:szCs w:val="19"/>
        </w:rPr>
        <w:t>00841</w:t>
      </w:r>
      <w:r>
        <w:rPr>
          <w:color w:val="000000"/>
          <w:spacing w:val="0"/>
          <w:w w:val="100"/>
          <w:position w:val="0"/>
        </w:rPr>
        <w:t>号民事判决书］，因此抵押人有权请求法院确认抵押权人丧失抵押权，即抵押权消灭。 最后，如果认为抵押权并不消灭，只是不受公权力保护而已，则抵押物上存续这种无法行使 的抵押权,不仅不利于物的效用的发挥，与原《物权法》的宗旨相悖，也损害了其他债权人的 利益［河南省南阳市中级人民法院</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南民二终字第</w:t>
      </w:r>
      <w:r>
        <w:rPr>
          <w:rFonts w:ascii="Times New Roman" w:hAnsi="Times New Roman" w:eastAsia="Times New Roman" w:cs="Times New Roman"/>
          <w:color w:val="000000"/>
          <w:spacing w:val="0"/>
          <w:w w:val="100"/>
          <w:position w:val="0"/>
          <w:sz w:val="17"/>
          <w:szCs w:val="17"/>
        </w:rPr>
        <w:t>701</w:t>
      </w:r>
      <w:r>
        <w:rPr>
          <w:color w:val="000000"/>
          <w:spacing w:val="0"/>
          <w:w w:val="100"/>
          <w:position w:val="0"/>
        </w:rPr>
        <w:t>号民事判决书</w:t>
      </w:r>
    </w:p>
    <w:p w14:paraId="6EDD42CD">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困明确抵押权因主债权时效届满而消灭的意义</w:t>
      </w:r>
    </w:p>
    <w:p w14:paraId="31955FB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笔者认为，明确主债权诉讼时效期间是抵押权的法定存续期圍■若抿押权大在该期祐 内不行使抵押权的，令抵押权归于消灭的做法，不仅理由充分，而且有重要的实践意义。</w:t>
      </w:r>
    </w:p>
    <w:p w14:paraId="584A7AC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首先,可以肯定的是，诉讼时效只适用于请求权，且主要系债权请求权。因此，作为物权 的抵押权不适用诉讼时效，也不存在因时效期间届满而成为丧失强制执行力的“自然物权” 或“不完全物权</w:t>
      </w:r>
      <w:r>
        <w:rPr>
          <w:color w:val="000000"/>
          <w:spacing w:val="0"/>
          <w:w w:val="100"/>
          <w:position w:val="0"/>
          <w:lang w:val="zh-CN" w:eastAsia="zh-CN" w:bidi="zh-CN"/>
        </w:rPr>
        <w:t>”。由</w:t>
      </w:r>
      <w:r>
        <w:rPr>
          <w:color w:val="000000"/>
          <w:spacing w:val="0"/>
          <w:w w:val="100"/>
          <w:position w:val="0"/>
        </w:rPr>
        <w:t>于只有主债权适用诉讼时效，因而在主债权罹于时效后，债务人享有 了对抗债权人履行债务请求的时效抗辩权。但是，抵押人无法援引该时效抗辩权来对抗抵 押权人实现抵押权的要求。因为时效抗辩权对抗的是债权请求权，确切地说，是债权人的 给付请求权，不能在抵押权人实现抵押权时对抗之。抵押权是物权,而物权是绝对权和支 配权。作为绝对权，抵押权人于债务履行期限届满或发生当事人约定的实现抵押权的情形 时，有权将抵押财产变价并优先受偿，这也是抵押权的最主要效力，其本质为变价权与优先 受偿权的实现，而非抵押权人针对抵押人的给付请求。抵押权人实现抵押权时，无须抵押 人的同意与协助，即便抵押人与抵押权人未就抵押权实现方式达成协议的,抵押权人也可 以请求人民法院拍卖、变卖抵押财产(《民法典》第</w:t>
      </w:r>
      <w:r>
        <w:rPr>
          <w:rFonts w:ascii="Times New Roman" w:hAnsi="Times New Roman" w:eastAsia="Times New Roman" w:cs="Times New Roman"/>
          <w:color w:val="000000"/>
          <w:spacing w:val="0"/>
          <w:w w:val="100"/>
          <w:position w:val="0"/>
          <w:sz w:val="19"/>
          <w:szCs w:val="19"/>
        </w:rPr>
        <w:t>410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款)。此时，抵押权人实现抵 押权的程序属于非讼程序，即《民事诉讼法》第</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章第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节规定的作为特别程序的“实现担 保物权案件”。</w:t>
      </w:r>
    </w:p>
    <w:p w14:paraId="25AE2AB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然而，如果认为主债权罹于时效，抵押权本身并不消灭，而只是丧失了“胜诉权”或仅产 生</w:t>
      </w:r>
      <w:r>
        <w:rPr>
          <w:color w:val="000000"/>
          <w:spacing w:val="0"/>
          <w:w w:val="100"/>
          <w:position w:val="0"/>
          <w:lang w:val="zh-CN" w:eastAsia="zh-CN" w:bidi="zh-CN"/>
        </w:rPr>
        <w:t>“时效</w:t>
      </w:r>
      <w:r>
        <w:rPr>
          <w:color w:val="000000"/>
          <w:spacing w:val="0"/>
          <w:w w:val="100"/>
          <w:position w:val="0"/>
        </w:rPr>
        <w:t>抗辩权</w:t>
      </w:r>
      <w:r>
        <w:rPr>
          <w:color w:val="000000"/>
          <w:spacing w:val="0"/>
          <w:w w:val="100"/>
          <w:position w:val="0"/>
          <w:lang w:val="zh-CN" w:eastAsia="zh-CN" w:bidi="zh-CN"/>
        </w:rPr>
        <w:t>”，将</w:t>
      </w:r>
      <w:r>
        <w:rPr>
          <w:color w:val="000000"/>
          <w:spacing w:val="0"/>
          <w:w w:val="100"/>
          <w:position w:val="0"/>
        </w:rPr>
        <w:t>不正当地限制抵押人对其财产的利用，还将影响其他债权人的合法权 益，尤其是在同一标的物上享有抵押权的其他债权人对法律关系确定性的期待。具体而 言:一方面，尽管《民法典》第</w:t>
      </w:r>
      <w:r>
        <w:rPr>
          <w:rFonts w:ascii="Times New Roman" w:hAnsi="Times New Roman" w:eastAsia="Times New Roman" w:cs="Times New Roman"/>
          <w:color w:val="000000"/>
          <w:spacing w:val="0"/>
          <w:w w:val="100"/>
          <w:position w:val="0"/>
          <w:sz w:val="19"/>
          <w:szCs w:val="19"/>
        </w:rPr>
        <w:t>406</w:t>
      </w:r>
      <w:r>
        <w:rPr>
          <w:color w:val="000000"/>
          <w:spacing w:val="0"/>
          <w:w w:val="100"/>
          <w:position w:val="0"/>
        </w:rPr>
        <w:t>条改变了原《物权法》第</w:t>
      </w:r>
      <w:r>
        <w:rPr>
          <w:rFonts w:ascii="Times New Roman" w:hAnsi="Times New Roman" w:eastAsia="Times New Roman" w:cs="Times New Roman"/>
          <w:color w:val="000000"/>
          <w:spacing w:val="0"/>
          <w:w w:val="100"/>
          <w:position w:val="0"/>
          <w:sz w:val="19"/>
          <w:szCs w:val="19"/>
        </w:rPr>
        <w:t>191</w:t>
      </w:r>
      <w:r>
        <w:rPr>
          <w:color w:val="000000"/>
          <w:spacing w:val="0"/>
          <w:w w:val="100"/>
          <w:position w:val="0"/>
        </w:rPr>
        <w:t>条，允许抵押期间抵押人可以 不经抵押权人的同意而转让抵押财产，但由于抵押财产的转让并不影响抵押权，故此，在抵 押权已经没有强制执行力的情况下却依然不消灭，存在于抵押财产之上，会导致受让人不 敢受让抵押财产，对于抵押财产交换价值的实现产生很大的影响，限制了抵押财产的流通。 另一方面，由于抵押权本身不消灭，故抵押人如果自愿履行担保责任，那么抵押权人仍有权 受领相关给付，这等于变相架空诉讼时效制度。倘若在该抵押物上还有其他抵押权人，就 更麻烦了。因为，无论是“胜诉权丧失说”，还是“时效抗辩权发生说</w:t>
      </w:r>
      <w:r>
        <w:rPr>
          <w:color w:val="000000"/>
          <w:spacing w:val="0"/>
          <w:w w:val="100"/>
          <w:position w:val="0"/>
          <w:lang w:val="zh-CN" w:eastAsia="zh-CN" w:bidi="zh-CN"/>
        </w:rPr>
        <w:t>”，都</w:t>
      </w:r>
      <w:r>
        <w:rPr>
          <w:color w:val="000000"/>
          <w:spacing w:val="0"/>
          <w:w w:val="100"/>
          <w:position w:val="0"/>
        </w:rPr>
        <w:t>无法回答主债权时 效届满后抵押权的顺位效力是否随之失效。故此，当抵押人主动向该抵押权人承担担保责 任时，其他抵押权人是否可以对此提出异议，也存在很大的疑问。此时，不如直接让抵押权 归于消灭，从而简化法律关系，更为合理。此外，我国《民法典》第</w:t>
      </w:r>
      <w:r>
        <w:rPr>
          <w:rFonts w:ascii="Times New Roman" w:hAnsi="Times New Roman" w:eastAsia="Times New Roman" w:cs="Times New Roman"/>
          <w:color w:val="000000"/>
          <w:spacing w:val="0"/>
          <w:w w:val="100"/>
          <w:position w:val="0"/>
          <w:sz w:val="19"/>
          <w:szCs w:val="19"/>
        </w:rPr>
        <w:t>188</w:t>
      </w:r>
      <w:r>
        <w:rPr>
          <w:color w:val="000000"/>
          <w:spacing w:val="0"/>
          <w:w w:val="100"/>
          <w:position w:val="0"/>
        </w:rPr>
        <w:t>条已改变了原《民法 通则》关于诉讼时效起算点和诉讼时效期间的规定,不仅将普通的诉讼时效期间延长至</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rPr>
        <w:t>年，还把诉讼时效的起算点明确为</w:t>
      </w:r>
      <w:r>
        <w:rPr>
          <w:color w:val="000000"/>
          <w:spacing w:val="0"/>
          <w:w w:val="100"/>
          <w:position w:val="0"/>
          <w:lang w:val="zh-CN" w:eastAsia="zh-CN" w:bidi="zh-CN"/>
        </w:rPr>
        <w:t>“权利</w:t>
      </w:r>
      <w:r>
        <w:rPr>
          <w:color w:val="000000"/>
          <w:spacing w:val="0"/>
          <w:w w:val="100"/>
          <w:position w:val="0"/>
        </w:rPr>
        <w:t>人知道或者应当知道权利受到损害以及义务人之 日”。直接将抵押权的存续期限与诉讼时效期间挂钩,规定诉讼时效期间届满担保物权归 于消灭，对于担保物权人或者债权人并无不利。</w:t>
      </w:r>
    </w:p>
    <w:p w14:paraId="0E991C51">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综上所述,本案判决将原《物权法》第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条中</w:t>
      </w:r>
      <w:r>
        <w:rPr>
          <w:color w:val="000000"/>
          <w:spacing w:val="0"/>
          <w:w w:val="100"/>
          <w:position w:val="0"/>
          <w:lang w:val="zh-CN" w:eastAsia="zh-CN" w:bidi="zh-CN"/>
        </w:rPr>
        <w:t>“人民</w:t>
      </w:r>
      <w:r>
        <w:rPr>
          <w:color w:val="000000"/>
          <w:spacing w:val="0"/>
          <w:w w:val="100"/>
          <w:position w:val="0"/>
        </w:rPr>
        <w:t>法院不予保护</w:t>
      </w:r>
      <w:r>
        <w:rPr>
          <w:color w:val="000000"/>
          <w:spacing w:val="0"/>
          <w:w w:val="100"/>
          <w:position w:val="0"/>
          <w:lang w:val="zh-CN" w:eastAsia="zh-CN" w:bidi="zh-CN"/>
        </w:rPr>
        <w:t>”解释</w:t>
      </w:r>
      <w:r>
        <w:rPr>
          <w:color w:val="000000"/>
          <w:spacing w:val="0"/>
          <w:w w:val="100"/>
          <w:position w:val="0"/>
        </w:rPr>
        <w:t>为抵押权归于 消灭，从而使主债权的诉讼时效期间成为抵押权的法定存续期限，具有重要的理论和实践 意义。我国民法典编纂时本应解决这一问题，不少专家学者也提出了相应的建议。令人遗 憾的是，《民法典》第</w:t>
      </w:r>
      <w:r>
        <w:rPr>
          <w:rFonts w:ascii="Times New Roman" w:hAnsi="Times New Roman" w:eastAsia="Times New Roman" w:cs="Times New Roman"/>
          <w:color w:val="000000"/>
          <w:spacing w:val="0"/>
          <w:w w:val="100"/>
          <w:position w:val="0"/>
          <w:sz w:val="19"/>
          <w:szCs w:val="19"/>
        </w:rPr>
        <w:t>419</w:t>
      </w:r>
      <w:r>
        <w:rPr>
          <w:color w:val="000000"/>
          <w:spacing w:val="0"/>
          <w:w w:val="100"/>
          <w:position w:val="0"/>
        </w:rPr>
        <w:t>条照搬了原《物权法》第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条的规定。</w:t>
      </w:r>
    </w:p>
    <w:p w14:paraId="7BDC8158">
      <w:pPr>
        <w:pStyle w:val="17"/>
        <w:keepNext w:val="0"/>
        <w:keepLines w:val="0"/>
        <w:widowControl w:val="0"/>
        <w:shd w:val="clear" w:color="auto" w:fill="auto"/>
        <w:bidi w:val="0"/>
        <w:spacing w:before="0" w:after="40" w:line="413" w:lineRule="auto"/>
        <w:ind w:left="0" w:right="0" w:firstLine="0"/>
        <w:jc w:val="left"/>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本判决的影响及将来的课题</w:t>
      </w:r>
    </w:p>
    <w:p w14:paraId="53544571">
      <w:pPr>
        <w:pStyle w:val="17"/>
        <w:keepNext w:val="0"/>
        <w:keepLines w:val="0"/>
        <w:widowControl w:val="0"/>
        <w:shd w:val="clear" w:color="auto" w:fill="auto"/>
        <w:bidi w:val="0"/>
        <w:spacing w:before="0" w:after="380" w:line="336" w:lineRule="exact"/>
        <w:ind w:left="0" w:right="0" w:firstLine="420"/>
        <w:jc w:val="both"/>
      </w:pPr>
      <w:r>
        <w:rPr>
          <w:color w:val="000000"/>
          <w:spacing w:val="0"/>
          <w:w w:val="100"/>
          <w:position w:val="0"/>
        </w:rPr>
        <w:t>本案判决解决了司法实践中关于主债权时效期间届满后抵押权是否存续的争议，有利 于裁判的统一，以及不动产登记程序中不动产登记机关办理相应的抵押权注销登记。值得 继续讨论的问题是，无论是原《物权法》第</w:t>
      </w:r>
      <w:r>
        <w:rPr>
          <w:rFonts w:ascii="Times New Roman" w:hAnsi="Times New Roman" w:eastAsia="Times New Roman" w:cs="Times New Roman"/>
          <w:color w:val="000000"/>
          <w:spacing w:val="0"/>
          <w:w w:val="100"/>
          <w:position w:val="0"/>
          <w:sz w:val="19"/>
          <w:szCs w:val="19"/>
        </w:rPr>
        <w:t>202</w:t>
      </w:r>
      <w:r>
        <w:rPr>
          <w:color w:val="000000"/>
          <w:spacing w:val="0"/>
          <w:w w:val="100"/>
          <w:position w:val="0"/>
        </w:rPr>
        <w:t>条还是《民法典》第</w:t>
      </w:r>
      <w:r>
        <w:rPr>
          <w:rFonts w:ascii="Times New Roman" w:hAnsi="Times New Roman" w:eastAsia="Times New Roman" w:cs="Times New Roman"/>
          <w:color w:val="000000"/>
          <w:spacing w:val="0"/>
          <w:w w:val="100"/>
          <w:position w:val="0"/>
          <w:sz w:val="19"/>
          <w:szCs w:val="19"/>
        </w:rPr>
        <w:t>406</w:t>
      </w:r>
      <w:r>
        <w:rPr>
          <w:color w:val="000000"/>
          <w:spacing w:val="0"/>
          <w:w w:val="100"/>
          <w:position w:val="0"/>
        </w:rPr>
        <w:t>条，都没有规定主债 权时效届满对质权、留置权是否产生影响的问题，也就是说，留置权和质权是否会因为主债 权时效期间内债权人没有行使而归于消灭，并不清楚。这需要理论上进一步研究和司法解 释作出相应的规定。</w:t>
      </w:r>
    </w:p>
    <w:p w14:paraId="0725E1AD">
      <w:pPr>
        <w:pStyle w:val="11"/>
        <w:keepNext w:val="0"/>
        <w:keepLines w:val="0"/>
        <w:widowControl w:val="0"/>
        <w:shd w:val="clear" w:color="auto" w:fill="auto"/>
        <w:bidi w:val="0"/>
        <w:spacing w:before="0" w:after="40" w:line="336" w:lineRule="exact"/>
        <w:ind w:left="0" w:right="0" w:firstLine="0"/>
        <w:jc w:val="left"/>
      </w:pPr>
      <w:r>
        <w:rPr>
          <w:color w:val="000000"/>
          <w:spacing w:val="0"/>
          <w:w w:val="100"/>
          <w:position w:val="0"/>
        </w:rPr>
        <w:t>回参考文献</w:t>
      </w:r>
    </w:p>
    <w:p w14:paraId="0D8103B2">
      <w:pPr>
        <w:pStyle w:val="17"/>
        <w:keepNext w:val="0"/>
        <w:keepLines w:val="0"/>
        <w:widowControl w:val="0"/>
        <w:shd w:val="clear" w:color="auto" w:fill="auto"/>
        <w:bidi w:val="0"/>
        <w:spacing w:before="0" w:after="0" w:line="319" w:lineRule="exact"/>
        <w:ind w:left="0" w:right="0" w:firstLine="0"/>
        <w:jc w:val="both"/>
      </w:pPr>
      <w:r>
        <w:rPr>
          <w:color w:val="000000"/>
          <w:spacing w:val="0"/>
          <w:w w:val="100"/>
          <w:position w:val="0"/>
        </w:rPr>
        <w:t>邹海林、常敏:《债权担保的方式和应用》，法律出版社</w:t>
      </w:r>
      <w:r>
        <w:rPr>
          <w:rFonts w:ascii="Times New Roman" w:hAnsi="Times New Roman" w:eastAsia="Times New Roman" w:cs="Times New Roman"/>
          <w:color w:val="000000"/>
          <w:spacing w:val="0"/>
          <w:w w:val="100"/>
          <w:position w:val="0"/>
          <w:sz w:val="17"/>
          <w:szCs w:val="17"/>
        </w:rPr>
        <w:t>1998</w:t>
      </w:r>
      <w:r>
        <w:rPr>
          <w:color w:val="000000"/>
          <w:spacing w:val="0"/>
          <w:w w:val="100"/>
          <w:position w:val="0"/>
        </w:rPr>
        <w:t>年版。 王利明：《物权法研究》（下卷），中国人民大学出版社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 王利明、尹飞、程啸:《中国物权法教程》，人民法院出版社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 胡康生主编:《中华人民共和国物权法释义》，法律出版社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 xml:space="preserve">年版。 全国人民代表大会常务委员会法制工作委员会民法室编：《物权法立法背景与观点全集》，法律出版社 </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46ADC684">
      <w:pPr>
        <w:pStyle w:val="17"/>
        <w:keepNext w:val="0"/>
        <w:keepLines w:val="0"/>
        <w:widowControl w:val="0"/>
        <w:shd w:val="clear" w:color="auto" w:fill="auto"/>
        <w:bidi w:val="0"/>
        <w:spacing w:before="0" w:after="160" w:line="319" w:lineRule="exact"/>
        <w:ind w:left="180" w:right="0" w:hanging="180"/>
        <w:jc w:val="both"/>
        <w:sectPr>
          <w:headerReference r:id="rId297" w:type="default"/>
          <w:headerReference r:id="rId298" w:type="even"/>
          <w:footnotePr>
            <w:numFmt w:val="chicago"/>
          </w:footnotePr>
          <w:pgSz w:w="10099" w:h="14782"/>
          <w:pgMar w:top="1085" w:right="939" w:bottom="846" w:left="1057" w:header="0" w:footer="3" w:gutter="0"/>
          <w:pgNumType w:start="227"/>
          <w:cols w:space="720" w:num="1"/>
          <w:rtlGutter w:val="0"/>
          <w:docGrid w:linePitch="360" w:charSpace="0"/>
        </w:sectPr>
      </w:pPr>
      <w:r>
        <w:rPr>
          <w:color w:val="000000"/>
          <w:spacing w:val="0"/>
          <w:w w:val="100"/>
          <w:position w:val="0"/>
        </w:rPr>
        <w:t>最高人民法院物权法研究小组：《〈中华人民共和国物权法〉条文理解与适用》，人民法院出版社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 版。</w:t>
      </w:r>
    </w:p>
    <w:p w14:paraId="2DD141D8">
      <w:pPr>
        <w:widowControl w:val="0"/>
        <w:spacing w:line="1" w:lineRule="exact"/>
      </w:pPr>
      <w:r>
        <w:drawing>
          <wp:anchor distT="0" distB="0" distL="114300" distR="3302635" simplePos="0" relativeHeight="251660288" behindDoc="0" locked="0" layoutInCell="1" allowOverlap="1">
            <wp:simplePos x="0" y="0"/>
            <wp:positionH relativeFrom="page">
              <wp:posOffset>676275</wp:posOffset>
            </wp:positionH>
            <wp:positionV relativeFrom="paragraph">
              <wp:posOffset>12700</wp:posOffset>
            </wp:positionV>
            <wp:extent cx="481330" cy="414655"/>
            <wp:effectExtent l="0" t="0" r="1270" b="4445"/>
            <wp:wrapTopAndBottom/>
            <wp:docPr id="677" name="Shape 677"/>
            <wp:cNvGraphicFramePr/>
            <a:graphic xmlns:a="http://schemas.openxmlformats.org/drawingml/2006/main">
              <a:graphicData uri="http://schemas.openxmlformats.org/drawingml/2006/picture">
                <pic:pic xmlns:pic="http://schemas.openxmlformats.org/drawingml/2006/picture">
                  <pic:nvPicPr>
                    <pic:cNvPr id="677" name="Shape 677"/>
                    <pic:cNvPicPr/>
                  </pic:nvPicPr>
                  <pic:blipFill>
                    <a:blip r:embed="rId651"/>
                    <a:stretch>
                      <a:fillRect/>
                    </a:stretch>
                  </pic:blipFill>
                  <pic:spPr>
                    <a:xfrm>
                      <a:off x="0" y="0"/>
                      <a:ext cx="481330" cy="414655"/>
                    </a:xfrm>
                    <a:prstGeom prst="rect">
                      <a:avLst/>
                    </a:prstGeom>
                  </pic:spPr>
                </pic:pic>
              </a:graphicData>
            </a:graphic>
          </wp:anchor>
        </w:drawing>
      </w:r>
      <w:r>
        <mc:AlternateContent>
          <mc:Choice Requires="wps">
            <w:drawing>
              <wp:anchor distT="137160" distB="36830" distL="723900" distR="114300" simplePos="0" relativeHeight="251660288" behindDoc="0" locked="0" layoutInCell="1" allowOverlap="1">
                <wp:simplePos x="0" y="0"/>
                <wp:positionH relativeFrom="page">
                  <wp:posOffset>1285875</wp:posOffset>
                </wp:positionH>
                <wp:positionV relativeFrom="paragraph">
                  <wp:posOffset>149860</wp:posOffset>
                </wp:positionV>
                <wp:extent cx="3060065" cy="240665"/>
                <wp:effectExtent l="0" t="0" r="0" b="0"/>
                <wp:wrapTopAndBottom/>
                <wp:docPr id="679" name="Shape 679"/>
                <wp:cNvGraphicFramePr/>
                <a:graphic xmlns:a="http://schemas.openxmlformats.org/drawingml/2006/main">
                  <a:graphicData uri="http://schemas.microsoft.com/office/word/2010/wordprocessingShape">
                    <wps:wsp>
                      <wps:cNvSpPr txBox="1"/>
                      <wps:spPr>
                        <a:xfrm>
                          <a:off x="0" y="0"/>
                          <a:ext cx="3060065" cy="240665"/>
                        </a:xfrm>
                        <a:prstGeom prst="rect">
                          <a:avLst/>
                        </a:prstGeom>
                        <a:noFill/>
                      </wps:spPr>
                      <wps:txbx>
                        <w:txbxContent>
                          <w:p w14:paraId="6FF8707A">
                            <w:pPr>
                              <w:pStyle w:val="15"/>
                              <w:keepNext/>
                              <w:keepLines/>
                              <w:widowControl w:val="0"/>
                              <w:shd w:val="clear" w:color="auto" w:fill="auto"/>
                              <w:bidi w:val="0"/>
                              <w:spacing w:before="0" w:after="0" w:line="240" w:lineRule="auto"/>
                              <w:ind w:left="0" w:right="0" w:firstLine="0"/>
                              <w:jc w:val="center"/>
                            </w:pPr>
                            <w:bookmarkStart w:id="411" w:name="bookmark313"/>
                            <w:bookmarkStart w:id="412" w:name="bookmark311"/>
                            <w:bookmarkStart w:id="413" w:name="bookmark312"/>
                            <w:r>
                              <w:rPr>
                                <w:color w:val="000000"/>
                                <w:spacing w:val="0"/>
                                <w:w w:val="100"/>
                                <w:position w:val="0"/>
                              </w:rPr>
                              <w:t>最高额担保中</w:t>
                            </w:r>
                            <w:r>
                              <w:rPr>
                                <w:color w:val="000000"/>
                                <w:spacing w:val="0"/>
                                <w:w w:val="100"/>
                                <w:position w:val="0"/>
                                <w:lang w:val="zh-CN" w:eastAsia="zh-CN" w:bidi="zh-CN"/>
                              </w:rPr>
                              <w:t>“最</w:t>
                            </w:r>
                            <w:r>
                              <w:rPr>
                                <w:color w:val="000000"/>
                                <w:spacing w:val="0"/>
                                <w:w w:val="100"/>
                                <w:position w:val="0"/>
                              </w:rPr>
                              <w:t>高额</w:t>
                            </w:r>
                            <w:r>
                              <w:rPr>
                                <w:color w:val="000000"/>
                                <w:spacing w:val="0"/>
                                <w:w w:val="100"/>
                                <w:position w:val="0"/>
                                <w:lang w:val="zh-CN" w:eastAsia="zh-CN" w:bidi="zh-CN"/>
                              </w:rPr>
                              <w:t>”含义</w:t>
                            </w:r>
                            <w:r>
                              <w:rPr>
                                <w:color w:val="000000"/>
                                <w:spacing w:val="0"/>
                                <w:w w:val="100"/>
                                <w:position w:val="0"/>
                              </w:rPr>
                              <w:t>的确定</w:t>
                            </w:r>
                            <w:bookmarkEnd w:id="411"/>
                            <w:bookmarkEnd w:id="412"/>
                            <w:bookmarkEnd w:id="413"/>
                          </w:p>
                        </w:txbxContent>
                      </wps:txbx>
                      <wps:bodyPr wrap="none" lIns="0" tIns="0" rIns="0" bIns="0">
                        <a:noAutofit/>
                      </wps:bodyPr>
                    </wps:wsp>
                  </a:graphicData>
                </a:graphic>
              </wp:anchor>
            </w:drawing>
          </mc:Choice>
          <mc:Fallback>
            <w:pict>
              <v:shape id="Shape 679" o:spid="_x0000_s1026" o:spt="202" type="#_x0000_t202" style="position:absolute;left:0pt;margin-left:101.25pt;margin-top:11.8pt;height:18.95pt;width:240.95pt;mso-position-horizontal-relative:page;mso-wrap-distance-bottom:2.9pt;mso-wrap-distance-top:10.8pt;mso-wrap-style:none;z-index:251660288;mso-width-relative:page;mso-height-relative:page;" filled="f" stroked="f" coordsize="21600,21600" o:gfxdata="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x4PQT1gAA&#10;AAkBAAAPAAAAAAAAAAEAIAAAACIAAABkcnMvZG93bnJldi54bWxQSwECFAAUAAAACACHTuJAJiQq&#10;Xq4BAAB0AwAADgAAAAAAAAABACAAAAAlAQAAZHJzL2Uyb0RvYy54bWxQSwUGAAAAAAYABgBZAQAA&#10;RQUAAAAA&#10;">
                <v:fill on="f" focussize="0,0"/>
                <v:stroke on="f"/>
                <v:imagedata o:title=""/>
                <o:lock v:ext="edit" aspectratio="f"/>
                <v:textbox inset="0mm,0mm,0mm,0mm">
                  <w:txbxContent>
                    <w:p w14:paraId="6FF8707A">
                      <w:pPr>
                        <w:pStyle w:val="15"/>
                        <w:keepNext/>
                        <w:keepLines/>
                        <w:widowControl w:val="0"/>
                        <w:shd w:val="clear" w:color="auto" w:fill="auto"/>
                        <w:bidi w:val="0"/>
                        <w:spacing w:before="0" w:after="0" w:line="240" w:lineRule="auto"/>
                        <w:ind w:left="0" w:right="0" w:firstLine="0"/>
                        <w:jc w:val="center"/>
                      </w:pPr>
                      <w:bookmarkStart w:id="411" w:name="bookmark313"/>
                      <w:bookmarkStart w:id="412" w:name="bookmark311"/>
                      <w:bookmarkStart w:id="413" w:name="bookmark312"/>
                      <w:r>
                        <w:rPr>
                          <w:color w:val="000000"/>
                          <w:spacing w:val="0"/>
                          <w:w w:val="100"/>
                          <w:position w:val="0"/>
                        </w:rPr>
                        <w:t>最高额担保中</w:t>
                      </w:r>
                      <w:r>
                        <w:rPr>
                          <w:color w:val="000000"/>
                          <w:spacing w:val="0"/>
                          <w:w w:val="100"/>
                          <w:position w:val="0"/>
                          <w:lang w:val="zh-CN" w:eastAsia="zh-CN" w:bidi="zh-CN"/>
                        </w:rPr>
                        <w:t>“最</w:t>
                      </w:r>
                      <w:r>
                        <w:rPr>
                          <w:color w:val="000000"/>
                          <w:spacing w:val="0"/>
                          <w:w w:val="100"/>
                          <w:position w:val="0"/>
                        </w:rPr>
                        <w:t>高额</w:t>
                      </w:r>
                      <w:r>
                        <w:rPr>
                          <w:color w:val="000000"/>
                          <w:spacing w:val="0"/>
                          <w:w w:val="100"/>
                          <w:position w:val="0"/>
                          <w:lang w:val="zh-CN" w:eastAsia="zh-CN" w:bidi="zh-CN"/>
                        </w:rPr>
                        <w:t>”含义</w:t>
                      </w:r>
                      <w:r>
                        <w:rPr>
                          <w:color w:val="000000"/>
                          <w:spacing w:val="0"/>
                          <w:w w:val="100"/>
                          <w:position w:val="0"/>
                        </w:rPr>
                        <w:t>的确定</w:t>
                      </w:r>
                      <w:bookmarkEnd w:id="411"/>
                      <w:bookmarkEnd w:id="412"/>
                      <w:bookmarkEnd w:id="41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5083810</wp:posOffset>
            </wp:positionH>
            <wp:positionV relativeFrom="paragraph">
              <wp:posOffset>289560</wp:posOffset>
            </wp:positionV>
            <wp:extent cx="615950" cy="615950"/>
            <wp:effectExtent l="0" t="0" r="6350" b="6350"/>
            <wp:wrapSquare wrapText="left"/>
            <wp:docPr id="681" name="Shape 681"/>
            <wp:cNvGraphicFramePr/>
            <a:graphic xmlns:a="http://schemas.openxmlformats.org/drawingml/2006/main">
              <a:graphicData uri="http://schemas.openxmlformats.org/drawingml/2006/picture">
                <pic:pic xmlns:pic="http://schemas.openxmlformats.org/drawingml/2006/picture">
                  <pic:nvPicPr>
                    <pic:cNvPr id="681" name="Shape 681"/>
                    <pic:cNvPicPr/>
                  </pic:nvPicPr>
                  <pic:blipFill>
                    <a:blip r:embed="rId652"/>
                    <a:stretch>
                      <a:fillRect/>
                    </a:stretch>
                  </pic:blipFill>
                  <pic:spPr>
                    <a:xfrm>
                      <a:off x="0" y="0"/>
                      <a:ext cx="615950" cy="615950"/>
                    </a:xfrm>
                    <a:prstGeom prst="rect">
                      <a:avLst/>
                    </a:prstGeom>
                  </pic:spPr>
                </pic:pic>
              </a:graphicData>
            </a:graphic>
          </wp:anchor>
        </w:drawing>
      </w:r>
    </w:p>
    <w:p w14:paraId="271CCB7E">
      <w:pPr>
        <w:pStyle w:val="17"/>
        <w:keepNext w:val="0"/>
        <w:keepLines w:val="0"/>
        <w:widowControl w:val="0"/>
        <w:shd w:val="clear" w:color="auto" w:fill="auto"/>
        <w:bidi w:val="0"/>
        <w:spacing w:before="0" w:after="420" w:line="329" w:lineRule="exact"/>
        <w:ind w:left="1000" w:right="0" w:firstLine="0"/>
        <w:jc w:val="both"/>
      </w:pPr>
      <w:r>
        <w:rPr>
          <w:color w:val="000000"/>
          <w:spacing w:val="0"/>
          <w:w w:val="100"/>
          <w:position w:val="0"/>
        </w:rPr>
        <w:t>珠海农村商业银行股份有限公司、冯潇金融借款合同纠纷案丨广 东省珠海市中级人民法院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粤</w:t>
      </w:r>
      <w:r>
        <w:rPr>
          <w:rFonts w:ascii="Times New Roman" w:hAnsi="Times New Roman" w:eastAsia="Times New Roman" w:cs="Times New Roman"/>
          <w:color w:val="000000"/>
          <w:spacing w:val="0"/>
          <w:w w:val="100"/>
          <w:position w:val="0"/>
          <w:sz w:val="19"/>
          <w:szCs w:val="19"/>
        </w:rPr>
        <w:t>04</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1261</w:t>
      </w:r>
      <w:r>
        <w:rPr>
          <w:color w:val="000000"/>
          <w:spacing w:val="0"/>
          <w:w w:val="100"/>
          <w:position w:val="0"/>
        </w:rPr>
        <w:t>号民事判决书</w:t>
      </w:r>
    </w:p>
    <w:p w14:paraId="419E5841">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黄忠</w:t>
      </w:r>
      <w:r>
        <w:rPr>
          <w:color w:val="000000"/>
          <w:spacing w:val="0"/>
          <w:w w:val="100"/>
          <w:position w:val="0"/>
        </w:rPr>
        <w:t>西南政法大学民商法学院</w:t>
      </w:r>
    </w:p>
    <w:p w14:paraId="2B84AAB6">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F73F98F">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日，宝钳森公司向珠海农商行借款人民币</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万元，借款期限为</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个 月，从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日起至</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日止。同日，冯潇与珠海农商行签订《最高额 抵押担保合同》，该《最高额抵押担保合同》第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条附则第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款被担保的主债权及最高额约 定:抵押人自愿以其房产为债务人自</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日起至</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日止在抵押权人 处办理约定的各类业务,其最高本金余额折合</w:t>
      </w:r>
      <w:r>
        <w:rPr>
          <w:rFonts w:ascii="Times New Roman" w:hAnsi="Times New Roman" w:eastAsia="Times New Roman" w:cs="Times New Roman"/>
          <w:color w:val="000000"/>
          <w:spacing w:val="0"/>
          <w:w w:val="100"/>
          <w:position w:val="0"/>
          <w:sz w:val="19"/>
          <w:szCs w:val="19"/>
        </w:rPr>
        <w:t>1,200, 200</w:t>
      </w:r>
      <w:r>
        <w:rPr>
          <w:color w:val="000000"/>
          <w:spacing w:val="0"/>
          <w:w w:val="100"/>
          <w:position w:val="0"/>
        </w:rPr>
        <w:t>元范围内所实际形成的全部债务 以本合同所约定的抵押物提供最高额抵押担保。后冯潇为珠海农商行办理了抵押登记。</w:t>
      </w:r>
    </w:p>
    <w:p w14:paraId="69E43244">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因宝铀森公司未按时偿还借款，珠海农商行将宝钳森公司、冯潇诉至法院。一审法院 认为，珠海农商行、宝铝森公司、冯潇签订的合同均为各方的真实意思表示，合法有效。宝钳 森公司未按约定还款，构成违约。冯潇与珠海农商行签订《最高额抵押担保合同》为宝钳森 公司的借款提供抵押担保，但抵押合同中对抵押担保范围存在不同的条款约定。因合同是 由珠海农商行提供的格式合同，据原《合同法》第</w:t>
      </w:r>
      <w:r>
        <w:rPr>
          <w:rFonts w:ascii="Times New Roman" w:hAnsi="Times New Roman" w:eastAsia="Times New Roman" w:cs="Times New Roman"/>
          <w:color w:val="000000"/>
          <w:spacing w:val="0"/>
          <w:w w:val="100"/>
          <w:position w:val="0"/>
          <w:sz w:val="19"/>
          <w:szCs w:val="19"/>
        </w:rPr>
        <w:t>41</w:t>
      </w:r>
      <w:r>
        <w:rPr>
          <w:color w:val="000000"/>
          <w:spacing w:val="0"/>
          <w:w w:val="100"/>
          <w:position w:val="0"/>
        </w:rPr>
        <w:t>条有关格式合同的规定,应采用合同附 则中有关最高额抵押担保的范围的约定，认定冯潇名下的房产在</w:t>
      </w:r>
      <w:r>
        <w:rPr>
          <w:rFonts w:ascii="Times New Roman" w:hAnsi="Times New Roman" w:eastAsia="Times New Roman" w:cs="Times New Roman"/>
          <w:color w:val="000000"/>
          <w:spacing w:val="0"/>
          <w:w w:val="100"/>
          <w:position w:val="0"/>
          <w:sz w:val="19"/>
          <w:szCs w:val="19"/>
        </w:rPr>
        <w:t>1,200,200</w:t>
      </w:r>
      <w:r>
        <w:rPr>
          <w:color w:val="000000"/>
          <w:spacing w:val="0"/>
          <w:w w:val="100"/>
          <w:position w:val="0"/>
        </w:rPr>
        <w:t>元范围内为宝 钳森公司的上述借款提供抵押担保。</w:t>
      </w:r>
    </w:p>
    <w:p w14:paraId="326B400F">
      <w:pPr>
        <w:pStyle w:val="17"/>
        <w:keepNext w:val="0"/>
        <w:keepLines w:val="0"/>
        <w:widowControl w:val="0"/>
        <w:shd w:val="clear" w:color="auto" w:fill="auto"/>
        <w:bidi w:val="0"/>
        <w:spacing w:before="0" w:after="360" w:line="344" w:lineRule="exact"/>
        <w:ind w:left="0" w:right="0" w:firstLine="420"/>
        <w:jc w:val="both"/>
      </w:pPr>
      <w:r>
        <w:rPr>
          <w:color w:val="000000"/>
          <w:spacing w:val="0"/>
          <w:w w:val="100"/>
          <w:position w:val="0"/>
        </w:rPr>
        <w:t>珠海农商行上诉认为，原审法院误解了《最高额抵押担保合同》第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条附则第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款关 于约定被担保的主债权及最高额的内容，并提出第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条附则第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款已明确</w:t>
      </w:r>
      <w:r>
        <w:rPr>
          <w:rFonts w:ascii="Times New Roman" w:hAnsi="Times New Roman" w:eastAsia="Times New Roman" w:cs="Times New Roman"/>
          <w:color w:val="000000"/>
          <w:spacing w:val="0"/>
          <w:w w:val="100"/>
          <w:position w:val="0"/>
          <w:sz w:val="19"/>
          <w:szCs w:val="19"/>
        </w:rPr>
        <w:t>1, 200, 200</w:t>
      </w:r>
      <w:r>
        <w:rPr>
          <w:color w:val="000000"/>
          <w:spacing w:val="0"/>
          <w:w w:val="100"/>
          <w:position w:val="0"/>
        </w:rPr>
        <w:t>元为 最高本金余额，冯潇名下的房产应是在以</w:t>
      </w:r>
      <w:r>
        <w:rPr>
          <w:rFonts w:ascii="Times New Roman" w:hAnsi="Times New Roman" w:eastAsia="Times New Roman" w:cs="Times New Roman"/>
          <w:color w:val="000000"/>
          <w:spacing w:val="0"/>
          <w:w w:val="100"/>
          <w:position w:val="0"/>
          <w:sz w:val="19"/>
          <w:szCs w:val="19"/>
        </w:rPr>
        <w:t>1,200, 200</w:t>
      </w:r>
      <w:r>
        <w:rPr>
          <w:color w:val="000000"/>
          <w:spacing w:val="0"/>
          <w:w w:val="100"/>
          <w:position w:val="0"/>
        </w:rPr>
        <w:t>元作为本金以及所产生的相应利息范 围内为上述借款提供的担保，故其对冯潇名下的房产在</w:t>
      </w:r>
      <w:r>
        <w:rPr>
          <w:rFonts w:ascii="Times New Roman" w:hAnsi="Times New Roman" w:eastAsia="Times New Roman" w:cs="Times New Roman"/>
          <w:color w:val="000000"/>
          <w:spacing w:val="0"/>
          <w:w w:val="100"/>
          <w:position w:val="0"/>
          <w:sz w:val="19"/>
          <w:szCs w:val="19"/>
        </w:rPr>
        <w:t>1, 200, 200</w:t>
      </w:r>
      <w:r>
        <w:rPr>
          <w:color w:val="000000"/>
          <w:spacing w:val="0"/>
          <w:w w:val="100"/>
          <w:position w:val="0"/>
        </w:rPr>
        <w:t>元作为本金以及所产生 的相应利息范围内对债权享有优先受偿权。</w:t>
      </w:r>
    </w:p>
    <w:p w14:paraId="7095967E">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4DD3879">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驳回上诉，维持原判。</w:t>
      </w:r>
    </w:p>
    <w:p w14:paraId="450BA3C2">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二审的争议点为:最高额不动产抵押中</w:t>
      </w:r>
      <w:r>
        <w:rPr>
          <w:color w:val="000000"/>
          <w:spacing w:val="0"/>
          <w:w w:val="100"/>
          <w:position w:val="0"/>
          <w:lang w:val="zh-CN" w:eastAsia="zh-CN" w:bidi="zh-CN"/>
        </w:rPr>
        <w:t>“最高</w:t>
      </w:r>
      <w:r>
        <w:rPr>
          <w:color w:val="000000"/>
          <w:spacing w:val="0"/>
          <w:w w:val="100"/>
          <w:position w:val="0"/>
        </w:rPr>
        <w:t>额”之含义，即利息是否可在最高债权额 限度之外再加入作为优先受偿之债权。</w:t>
      </w:r>
    </w:p>
    <w:p w14:paraId="2911C033">
      <w:pPr>
        <w:pStyle w:val="17"/>
        <w:keepNext w:val="0"/>
        <w:keepLines w:val="0"/>
        <w:widowControl w:val="0"/>
        <w:shd w:val="clear" w:color="auto" w:fill="auto"/>
        <w:bidi w:val="0"/>
        <w:spacing w:before="0" w:after="360" w:line="346" w:lineRule="exact"/>
        <w:ind w:left="0" w:right="0" w:firstLine="420"/>
        <w:jc w:val="both"/>
        <w:sectPr>
          <w:headerReference r:id="rId299" w:type="default"/>
          <w:headerReference r:id="rId300" w:type="even"/>
          <w:footnotePr>
            <w:numFmt w:val="chicago"/>
          </w:footnotePr>
          <w:pgSz w:w="10099" w:h="14782"/>
          <w:pgMar w:top="1318" w:right="1084" w:bottom="1093" w:left="1022" w:header="890" w:footer="665" w:gutter="0"/>
          <w:pgNumType w:start="247"/>
          <w:cols w:space="720" w:num="1"/>
          <w:rtlGutter w:val="0"/>
          <w:docGrid w:linePitch="360" w:charSpace="0"/>
        </w:sectPr>
      </w:pPr>
      <w:r>
        <w:rPr>
          <w:color w:val="000000"/>
          <w:spacing w:val="0"/>
          <w:w w:val="100"/>
          <w:position w:val="0"/>
        </w:rPr>
        <w:t>二审法院认为，从法律规定来看，原《担保法》第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 xml:space="preserve">条将所有担保的债权无论是本金还 </w:t>
      </w:r>
    </w:p>
    <w:p w14:paraId="1B0731F9">
      <w:pPr>
        <w:pStyle w:val="17"/>
        <w:keepNext w:val="0"/>
        <w:keepLines w:val="0"/>
        <w:widowControl w:val="0"/>
        <w:shd w:val="clear" w:color="auto" w:fill="auto"/>
        <w:bidi w:val="0"/>
        <w:spacing w:before="0" w:after="360" w:line="346" w:lineRule="exact"/>
        <w:ind w:left="0" w:right="0" w:firstLine="0"/>
        <w:jc w:val="both"/>
      </w:pPr>
      <w:r>
        <w:rPr>
          <w:color w:val="000000"/>
          <w:spacing w:val="0"/>
          <w:w w:val="100"/>
          <w:position w:val="0"/>
        </w:rPr>
        <w:t>是利息、违约金等均纳入最高额限度,故我国法律承认的是债权最高额抵押权。而且，涉案 《最高额抵押担保合同》约定,抵押人在最高本金余额折合</w:t>
      </w:r>
      <w:r>
        <w:rPr>
          <w:rFonts w:ascii="Times New Roman" w:hAnsi="Times New Roman" w:eastAsia="Times New Roman" w:cs="Times New Roman"/>
          <w:color w:val="000000"/>
          <w:spacing w:val="0"/>
          <w:w w:val="100"/>
          <w:position w:val="0"/>
          <w:sz w:val="19"/>
          <w:szCs w:val="19"/>
        </w:rPr>
        <w:t>1, 200, 200</w:t>
      </w:r>
      <w:r>
        <w:rPr>
          <w:color w:val="000000"/>
          <w:spacing w:val="0"/>
          <w:w w:val="100"/>
          <w:position w:val="0"/>
        </w:rPr>
        <w:t>元范围内所实际形成 的全部债务以本合同所约定的抵押物提供最高额抵押担保。《不动产抵押登记查询表》显 示，涉案房产被担保债权数额（最高债权数额）是</w:t>
      </w:r>
      <w:r>
        <w:rPr>
          <w:rFonts w:ascii="Times New Roman" w:hAnsi="Times New Roman" w:eastAsia="Times New Roman" w:cs="Times New Roman"/>
          <w:color w:val="000000"/>
          <w:spacing w:val="0"/>
          <w:w w:val="100"/>
          <w:position w:val="0"/>
          <w:sz w:val="19"/>
          <w:szCs w:val="19"/>
        </w:rPr>
        <w:t>1, 200, 200</w:t>
      </w:r>
      <w:r>
        <w:rPr>
          <w:color w:val="000000"/>
          <w:spacing w:val="0"/>
          <w:w w:val="100"/>
          <w:position w:val="0"/>
        </w:rPr>
        <w:t xml:space="preserve">元。可见，涉案登记的最高债 权额限度是确定的，即上诉人实际享有的应是债权最高额抵押权。相反，如抵押合同载明 的最高额仅指本金不包括利息，由于利息在签订抵押合同时是不确定的，则该合同没有确 定最高债权额限度,与抵押登记不符。此外，由于最高债权额限度属于关键性条款,没有该 条款，则最高额抵押权不成立。故本院认定本案设立最高额抵押的最高债权额限度是 </w:t>
      </w:r>
      <w:r>
        <w:rPr>
          <w:rFonts w:ascii="Times New Roman" w:hAnsi="Times New Roman" w:eastAsia="Times New Roman" w:cs="Times New Roman"/>
          <w:color w:val="000000"/>
          <w:spacing w:val="0"/>
          <w:w w:val="100"/>
          <w:position w:val="0"/>
          <w:sz w:val="19"/>
          <w:szCs w:val="19"/>
        </w:rPr>
        <w:t>1, 200, 200</w:t>
      </w:r>
      <w:r>
        <w:rPr>
          <w:color w:val="000000"/>
          <w:spacing w:val="0"/>
          <w:w w:val="100"/>
          <w:position w:val="0"/>
        </w:rPr>
        <w:t>元。珠海农商行的上诉不予支持。</w:t>
      </w:r>
    </w:p>
    <w:p w14:paraId="6992C50A">
      <w:pPr>
        <w:pStyle w:val="11"/>
        <w:keepNext w:val="0"/>
        <w:keepLines w:val="0"/>
        <w:widowControl w:val="0"/>
        <w:shd w:val="clear" w:color="auto" w:fill="auto"/>
        <w:bidi w:val="0"/>
        <w:spacing w:before="0" w:after="260" w:line="343" w:lineRule="exact"/>
        <w:ind w:left="0" w:right="0" w:firstLine="0"/>
        <w:jc w:val="both"/>
      </w:pPr>
      <w:r>
        <w:rPr>
          <w:color w:val="000000"/>
          <w:spacing w:val="0"/>
          <w:w w:val="100"/>
          <w:position w:val="0"/>
        </w:rPr>
        <w:t>■评析</w:t>
      </w:r>
    </w:p>
    <w:p w14:paraId="4E56F03F">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本裁判的思路和意义</w:t>
      </w:r>
    </w:p>
    <w:p w14:paraId="4F78850D">
      <w:pPr>
        <w:pStyle w:val="17"/>
        <w:keepNext w:val="0"/>
        <w:keepLines w:val="0"/>
        <w:widowControl w:val="0"/>
        <w:shd w:val="clear" w:color="auto" w:fill="auto"/>
        <w:bidi w:val="0"/>
        <w:spacing w:before="0" w:after="300" w:line="334" w:lineRule="exact"/>
        <w:ind w:left="0" w:right="0" w:firstLine="420"/>
        <w:jc w:val="both"/>
      </w:pPr>
      <w:r>
        <w:rPr>
          <w:color w:val="000000"/>
          <w:spacing w:val="0"/>
          <w:w w:val="100"/>
          <w:position w:val="0"/>
        </w:rPr>
        <w:t>本案涉及对最高额抵押中“最高额</w:t>
      </w:r>
      <w:r>
        <w:rPr>
          <w:color w:val="000000"/>
          <w:spacing w:val="0"/>
          <w:w w:val="100"/>
          <w:position w:val="0"/>
          <w:lang w:val="zh-CN" w:eastAsia="zh-CN" w:bidi="zh-CN"/>
        </w:rPr>
        <w:t>”含义</w:t>
      </w:r>
      <w:r>
        <w:rPr>
          <w:color w:val="000000"/>
          <w:spacing w:val="0"/>
          <w:w w:val="100"/>
          <w:position w:val="0"/>
        </w:rPr>
        <w:t>的理解问题。债权人认为《最高额抵押担保合 同》中的最高额应当仅指本金最高额，而抵押人则认为应当理解为债权最高额。两审法院 均未采信债权人的意见，并从最高额抵押的概念、格式合同的解释、抵押登记的效力等角度 明确了最高额抵押中的</w:t>
      </w:r>
      <w:r>
        <w:rPr>
          <w:color w:val="000000"/>
          <w:spacing w:val="0"/>
          <w:w w:val="100"/>
          <w:position w:val="0"/>
          <w:lang w:val="zh-CN" w:eastAsia="zh-CN" w:bidi="zh-CN"/>
        </w:rPr>
        <w:t>“最高</w:t>
      </w:r>
      <w:r>
        <w:rPr>
          <w:color w:val="000000"/>
          <w:spacing w:val="0"/>
          <w:w w:val="100"/>
          <w:position w:val="0"/>
        </w:rPr>
        <w:t>额”应当是指债权最高额。由于最高额抵押在金融领域适用 颇多，而最高额抵押中“最高额</w:t>
      </w:r>
      <w:r>
        <w:rPr>
          <w:color w:val="000000"/>
          <w:spacing w:val="0"/>
          <w:w w:val="100"/>
          <w:position w:val="0"/>
          <w:lang w:val="zh-CN" w:eastAsia="zh-CN" w:bidi="zh-CN"/>
        </w:rPr>
        <w:t>”含义</w:t>
      </w:r>
      <w:r>
        <w:rPr>
          <w:color w:val="000000"/>
          <w:spacing w:val="0"/>
          <w:w w:val="100"/>
          <w:position w:val="0"/>
        </w:rPr>
        <w:t>的理解则关涉债权人、担保人及第三人的利益，因此, 本案的判决具有一定的参考意义。</w:t>
      </w:r>
    </w:p>
    <w:p w14:paraId="280E7BDA">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最高额担保中</w:t>
      </w:r>
      <w:r>
        <w:rPr>
          <w:color w:val="000000"/>
          <w:spacing w:val="0"/>
          <w:w w:val="100"/>
          <w:position w:val="0"/>
          <w:lang w:val="zh-CN" w:eastAsia="zh-CN" w:bidi="zh-CN"/>
        </w:rPr>
        <w:t>“最高</w:t>
      </w:r>
      <w:r>
        <w:rPr>
          <w:color w:val="000000"/>
          <w:spacing w:val="0"/>
          <w:w w:val="100"/>
          <w:position w:val="0"/>
        </w:rPr>
        <w:t>额”含义确定的规范及学理</w:t>
      </w:r>
    </w:p>
    <w:p w14:paraId="7D50CDA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最高额担保，是指债权人与担保人签订一个担保合同，为一定期限内连续发生的借款 合同或同种类其他债权提供担保,当债务人不履行到期债务或者发生当事人约定的实现担 保权的情形，担保人在最高债权额限度内向债权人承担担保责任。根据担保方式的不同， 最高额担保可以进一步分为最高额保证和最高额担保物权。无论是何种形式的最高额担 保,均会面临如何理解</w:t>
      </w:r>
      <w:r>
        <w:rPr>
          <w:color w:val="000000"/>
          <w:spacing w:val="0"/>
          <w:w w:val="100"/>
          <w:position w:val="0"/>
          <w:lang w:val="zh-CN" w:eastAsia="zh-CN" w:bidi="zh-CN"/>
        </w:rPr>
        <w:t>“最高</w:t>
      </w:r>
      <w:r>
        <w:rPr>
          <w:color w:val="000000"/>
          <w:spacing w:val="0"/>
          <w:w w:val="100"/>
          <w:position w:val="0"/>
        </w:rPr>
        <w:t>额”的问题。本案涉及的是对最高额不动产抵押中“最高额</w:t>
      </w:r>
      <w:r>
        <w:rPr>
          <w:color w:val="000000"/>
          <w:spacing w:val="0"/>
          <w:w w:val="100"/>
          <w:position w:val="0"/>
          <w:lang w:val="zh-CN" w:eastAsia="zh-CN" w:bidi="zh-CN"/>
        </w:rPr>
        <w:t xml:space="preserve">”含 </w:t>
      </w:r>
      <w:r>
        <w:rPr>
          <w:color w:val="000000"/>
          <w:spacing w:val="0"/>
          <w:w w:val="100"/>
          <w:position w:val="0"/>
        </w:rPr>
        <w:t>义的理解。</w:t>
      </w:r>
    </w:p>
    <w:p w14:paraId="1D35E13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如本案所示，实务上债权人和担保人常常会对最高额担保中的“最高额”究竟是指债权 最高额抑或本金最高额产生分歧。所谓债权最高额,是指主合同项的本金、利息、违约金等 均一并计算，其总额不得超过最高额限定。所谓本金最高额,是指纳入最高债权额限度的 债权仅指本金即原债权,而不包括利息、违约金等。本金最高额与债权最高额的区别在于, 前者只将本金纳入最高债权额限度，因此会导致本金之外的利息、违约金等可以在最高债 权额限度外再加入作为优先受偿的债权，如此一来,抵押权人在实现抵押权时,实际优先受 偿的范围就可能超过最高债权额限度。</w:t>
      </w:r>
    </w:p>
    <w:p w14:paraId="536A3E05">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我国现行法仅就普通担保中的担保范围作了规定。《民法典》第</w:t>
      </w:r>
      <w:r>
        <w:rPr>
          <w:rFonts w:ascii="Times New Roman" w:hAnsi="Times New Roman" w:eastAsia="Times New Roman" w:cs="Times New Roman"/>
          <w:color w:val="000000"/>
          <w:spacing w:val="0"/>
          <w:w w:val="100"/>
          <w:position w:val="0"/>
          <w:sz w:val="19"/>
          <w:szCs w:val="19"/>
        </w:rPr>
        <w:t>691</w:t>
      </w:r>
      <w:r>
        <w:rPr>
          <w:color w:val="000000"/>
          <w:spacing w:val="0"/>
          <w:w w:val="100"/>
          <w:position w:val="0"/>
        </w:rPr>
        <w:t>条规定:“保证担 保的范围包括主债权及其利息、违约金、损害赔偿金和实现债权的费用。当事人另有约定 的,按照其约定。</w:t>
      </w:r>
      <w:r>
        <w:rPr>
          <w:color w:val="000000"/>
          <w:spacing w:val="0"/>
          <w:w w:val="100"/>
          <w:position w:val="0"/>
          <w:lang w:val="zh-CN" w:eastAsia="zh-CN" w:bidi="zh-CN"/>
        </w:rPr>
        <w:t>”《民</w:t>
      </w:r>
      <w:r>
        <w:rPr>
          <w:color w:val="000000"/>
          <w:spacing w:val="0"/>
          <w:w w:val="100"/>
          <w:position w:val="0"/>
        </w:rPr>
        <w:t>法典》第</w:t>
      </w:r>
      <w:r>
        <w:rPr>
          <w:rFonts w:ascii="Times New Roman" w:hAnsi="Times New Roman" w:eastAsia="Times New Roman" w:cs="Times New Roman"/>
          <w:color w:val="000000"/>
          <w:spacing w:val="0"/>
          <w:w w:val="100"/>
          <w:position w:val="0"/>
          <w:sz w:val="19"/>
          <w:szCs w:val="19"/>
        </w:rPr>
        <w:t>381</w:t>
      </w:r>
      <w:r>
        <w:rPr>
          <w:color w:val="000000"/>
          <w:spacing w:val="0"/>
          <w:w w:val="100"/>
          <w:position w:val="0"/>
        </w:rPr>
        <w:t>条规定:“担保物权的担保范围包括主债权及其利息、违 约金、损害赔偿金、保管担保财产和实现担保物权的费用。当事人另有约定的，按照约定。” 可见,担保范围应当由当事人约定，如无约定,或约定不明的,则视为无限担保,即需对主债 权及其利息、违约金、损害赔偿金、保管担保财产和实现债权或担保物权的费用承担担保责 任。然而,在最高额保证、最高额抵押权和最高额质权中现行法却均未有规定。</w:t>
      </w:r>
    </w:p>
    <w:p w14:paraId="2B773B32">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比较法上多赞同债权最高额结论。比如《德国民法典》第</w:t>
      </w:r>
      <w:r>
        <w:rPr>
          <w:rFonts w:ascii="Times New Roman" w:hAnsi="Times New Roman" w:eastAsia="Times New Roman" w:cs="Times New Roman"/>
          <w:color w:val="000000"/>
          <w:spacing w:val="0"/>
          <w:w w:val="100"/>
          <w:position w:val="0"/>
          <w:sz w:val="19"/>
          <w:szCs w:val="19"/>
        </w:rPr>
        <w:t>1190</w:t>
      </w:r>
      <w:r>
        <w:rPr>
          <w:color w:val="000000"/>
          <w:spacing w:val="0"/>
          <w:w w:val="100"/>
          <w:position w:val="0"/>
        </w:rPr>
        <w:t>条规定，债权定有利息 者,其利息算入最高金额以内。《日本民法典》第</w:t>
      </w:r>
      <w:r>
        <w:rPr>
          <w:rFonts w:ascii="Times New Roman" w:hAnsi="Times New Roman" w:eastAsia="Times New Roman" w:cs="Times New Roman"/>
          <w:color w:val="000000"/>
          <w:spacing w:val="0"/>
          <w:w w:val="100"/>
          <w:position w:val="0"/>
          <w:sz w:val="19"/>
          <w:szCs w:val="19"/>
        </w:rPr>
        <w:t>398</w:t>
      </w:r>
      <w:r>
        <w:rPr>
          <w:color w:val="000000"/>
          <w:spacing w:val="0"/>
          <w:w w:val="100"/>
          <w:position w:val="0"/>
        </w:rPr>
        <w:t>条之三规定，抵押权人,可以就确定的 原本、利息及其他定期金以及因债务不履行所发生的损害赔偿的全部，以最高额为限，行使 其根抵押权。我国台湾地区的</w:t>
      </w:r>
      <w:r>
        <w:rPr>
          <w:color w:val="000000"/>
          <w:spacing w:val="0"/>
          <w:w w:val="100"/>
          <w:position w:val="0"/>
          <w:lang w:val="zh-CN" w:eastAsia="zh-CN" w:bidi="zh-CN"/>
        </w:rPr>
        <w:t>“立法”与</w:t>
      </w:r>
      <w:r>
        <w:rPr>
          <w:color w:val="000000"/>
          <w:spacing w:val="0"/>
          <w:w w:val="100"/>
          <w:position w:val="0"/>
        </w:rPr>
        <w:t>司法也采债权最高额说（谢在全:《民法物权论》，中国 政法大学出版社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723 </w:t>
      </w:r>
      <w:r>
        <w:rPr>
          <w:rFonts w:ascii="Times New Roman" w:hAnsi="Times New Roman" w:eastAsia="Times New Roman" w:cs="Times New Roman"/>
          <w:color w:val="000000"/>
          <w:spacing w:val="0"/>
          <w:w w:val="100"/>
          <w:position w:val="0"/>
          <w:sz w:val="17"/>
          <w:szCs w:val="17"/>
          <w:lang w:val="en-US" w:eastAsia="en-US" w:bidi="en-US"/>
        </w:rPr>
        <w:t>-724</w:t>
      </w:r>
      <w:r>
        <w:rPr>
          <w:color w:val="000000"/>
          <w:spacing w:val="0"/>
          <w:w w:val="100"/>
          <w:position w:val="0"/>
        </w:rPr>
        <w:t>页）。</w:t>
      </w:r>
    </w:p>
    <w:p w14:paraId="03E795C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我国学说也赞同债权最高额结论（孙鹏等:《担保物权法原理》，中国人民大学出版社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220</w:t>
      </w:r>
      <w:r>
        <w:rPr>
          <w:color w:val="000000"/>
          <w:spacing w:val="0"/>
          <w:w w:val="100"/>
          <w:position w:val="0"/>
        </w:rPr>
        <w:t>页）。有学者认为，债权确定前已发生的利息、迟延利息、违约金等与本金合计未超 过最高限额的，属于被担保范围，债权确定后产生的债权利息、违约金、损害赔偿金、如未超 过最高限额的，也属于抵押担保的范围（曹士兵:《中国担保制度与担保方法:根据物权法修订》，中 国法制出版社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289</w:t>
      </w:r>
      <w:r>
        <w:rPr>
          <w:color w:val="000000"/>
          <w:spacing w:val="0"/>
          <w:w w:val="100"/>
          <w:position w:val="0"/>
        </w:rPr>
        <w:t>页）。当债权确定后，由原债权所产生的利息、罚息、违约金、损 害赔偿金等仍继续为抵押权所担保，但与原债权合计不超过最高额限度（崔建远:《最高额抵 押权的争议问题及其解决》，载《国家检察官学院学报》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期）。而证成债权最高额说的理 由主要有三点:第一，原《担保法》第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条的文义表明我国法律只承认债权最高额抵押权。 第二,本金最高额会导致抵押权人实现抵押权时实际优先受偿的范围可能超过最高债权额 限度,对抵押人不公。第三，本金最高额与抵押登记不符,对抵押财产上后顺位抵押权人以 及抵押人的普通债权人不利，危害交易安全。</w:t>
      </w:r>
    </w:p>
    <w:p w14:paraId="497E1C2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笔者认为，上述证成债权最高额的理由并不充分。首先，从原《担保法》第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条中无法 解读出最高额抵押权之</w:t>
      </w:r>
      <w:r>
        <w:rPr>
          <w:color w:val="000000"/>
          <w:spacing w:val="0"/>
          <w:w w:val="100"/>
          <w:position w:val="0"/>
          <w:lang w:val="zh-CN" w:eastAsia="zh-CN" w:bidi="zh-CN"/>
        </w:rPr>
        <w:t>“最高</w:t>
      </w:r>
      <w:r>
        <w:rPr>
          <w:color w:val="000000"/>
          <w:spacing w:val="0"/>
          <w:w w:val="100"/>
          <w:position w:val="0"/>
        </w:rPr>
        <w:t>额”究竟是本金最高额抑或债权最高额的结论。最高额抵押 权之</w:t>
      </w:r>
      <w:r>
        <w:rPr>
          <w:color w:val="000000"/>
          <w:spacing w:val="0"/>
          <w:w w:val="100"/>
          <w:position w:val="0"/>
          <w:lang w:val="zh-CN" w:eastAsia="zh-CN" w:bidi="zh-CN"/>
        </w:rPr>
        <w:t>“最高</w:t>
      </w:r>
      <w:r>
        <w:rPr>
          <w:color w:val="000000"/>
          <w:spacing w:val="0"/>
          <w:w w:val="100"/>
          <w:position w:val="0"/>
        </w:rPr>
        <w:t>额”含义的解读涉及担保的范围。因最高额抵押权中并未就此作岀规定，依《民 法典》第</w:t>
      </w:r>
      <w:r>
        <w:rPr>
          <w:rFonts w:ascii="Times New Roman" w:hAnsi="Times New Roman" w:eastAsia="Times New Roman" w:cs="Times New Roman"/>
          <w:color w:val="000000"/>
          <w:spacing w:val="0"/>
          <w:w w:val="100"/>
          <w:position w:val="0"/>
          <w:sz w:val="19"/>
          <w:szCs w:val="19"/>
        </w:rPr>
        <w:t>424</w:t>
      </w:r>
      <w:r>
        <w:rPr>
          <w:color w:val="000000"/>
          <w:spacing w:val="0"/>
          <w:w w:val="100"/>
          <w:position w:val="0"/>
        </w:rPr>
        <w:t>条，应当适用抵押权之一般规则。又依《民法典》第</w:t>
      </w:r>
      <w:r>
        <w:rPr>
          <w:rFonts w:ascii="Times New Roman" w:hAnsi="Times New Roman" w:eastAsia="Times New Roman" w:cs="Times New Roman"/>
          <w:color w:val="000000"/>
          <w:spacing w:val="0"/>
          <w:w w:val="100"/>
          <w:position w:val="0"/>
          <w:sz w:val="19"/>
          <w:szCs w:val="19"/>
        </w:rPr>
        <w:t>389</w:t>
      </w:r>
      <w:r>
        <w:rPr>
          <w:color w:val="000000"/>
          <w:spacing w:val="0"/>
          <w:w w:val="100"/>
          <w:position w:val="0"/>
        </w:rPr>
        <w:t>条，担保范围则允许当 事人约定，只在无约定或约定不明时，才能解释为包括主债权及利息、违约金、损害赔偿金 和实现抵押权的费用。因此若合同已明确约定“最高额”系本金最高额，那就应当予以尊 重。基于此，上述第二点理由也就无法成立了，因为即使结果不利于抵押人,但只要是其自 愿约定的就不能随意否定效力，除非该约定属于格式条款，且落入和合同法有关的格式条 款效力控制的范围中。</w:t>
      </w:r>
    </w:p>
    <w:p w14:paraId="542B8CE7">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因此,唯一可以支持债权最高额的只有第三人利益说。因为若采本金最高额说，那么 就可能使抵押人不仅要对本金承担担保责任，还需对本金之外的利息、违约金等债权负担 保责任，如本金</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万元，利息、违约金</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万元，最高额限</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万元，抵押物价值</w:t>
      </w:r>
      <w:r>
        <w:rPr>
          <w:rFonts w:ascii="Times New Roman" w:hAnsi="Times New Roman" w:eastAsia="Times New Roman" w:cs="Times New Roman"/>
          <w:color w:val="000000"/>
          <w:spacing w:val="0"/>
          <w:w w:val="100"/>
          <w:position w:val="0"/>
          <w:sz w:val="19"/>
          <w:szCs w:val="19"/>
        </w:rPr>
        <w:t>150</w:t>
      </w:r>
      <w:r>
        <w:rPr>
          <w:color w:val="000000"/>
          <w:spacing w:val="0"/>
          <w:w w:val="100"/>
          <w:position w:val="0"/>
        </w:rPr>
        <w:t>万元。 若采本金最高额说，那么抵押人需负</w:t>
      </w:r>
      <w:r>
        <w:rPr>
          <w:rFonts w:ascii="Times New Roman" w:hAnsi="Times New Roman" w:eastAsia="Times New Roman" w:cs="Times New Roman"/>
          <w:color w:val="000000"/>
          <w:spacing w:val="0"/>
          <w:w w:val="100"/>
          <w:position w:val="0"/>
          <w:sz w:val="19"/>
          <w:szCs w:val="19"/>
        </w:rPr>
        <w:t>120</w:t>
      </w:r>
      <w:r>
        <w:rPr>
          <w:color w:val="000000"/>
          <w:spacing w:val="0"/>
          <w:w w:val="100"/>
          <w:position w:val="0"/>
        </w:rPr>
        <w:t>万元的担保责任,抵押人仅剩余</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万元。若釆取 债权最高额说，则抵押人只需就</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万元负担保责任,抵押人可剩余</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万元。两相比较，在 抵押物的剩余价值上会有</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万元之差。很明显，如抵押人有其他债权人，那么本金最高额 的见解就会让该抵押权人较抵押人的其他债权人获得优先地位。如这一优先地位缺乏事 前的公示，那么就可能会害及抵押人的其他债权人利益，显然不平。据此，本案之裁判结论 可兹赞同［如最高人民法院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230</w:t>
      </w:r>
      <w:r>
        <w:rPr>
          <w:color w:val="000000"/>
          <w:spacing w:val="0"/>
          <w:w w:val="100"/>
          <w:position w:val="0"/>
        </w:rPr>
        <w:t>号民事判决书；最高人民法院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高民终字第</w:t>
      </w:r>
      <w:r>
        <w:rPr>
          <w:rFonts w:ascii="Times New Roman" w:hAnsi="Times New Roman" w:eastAsia="Times New Roman" w:cs="Times New Roman"/>
          <w:color w:val="000000"/>
          <w:spacing w:val="0"/>
          <w:w w:val="100"/>
          <w:position w:val="0"/>
          <w:sz w:val="17"/>
          <w:szCs w:val="17"/>
        </w:rPr>
        <w:t xml:space="preserve">41 </w:t>
      </w:r>
      <w:r>
        <w:rPr>
          <w:color w:val="000000"/>
          <w:spacing w:val="0"/>
          <w:w w:val="100"/>
          <w:position w:val="0"/>
        </w:rPr>
        <w:t>号民事判决书］。</w:t>
      </w:r>
    </w:p>
    <w:p w14:paraId="02B0859F">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S</w:t>
      </w:r>
      <w:r>
        <w:rPr>
          <w:color w:val="000000"/>
          <w:spacing w:val="0"/>
          <w:w w:val="100"/>
          <w:position w:val="0"/>
        </w:rPr>
        <w:t>既往司法实践状况</w:t>
      </w:r>
    </w:p>
    <w:p w14:paraId="48B5FB9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在实践上，如合同已明确约定</w:t>
      </w:r>
      <w:r>
        <w:rPr>
          <w:color w:val="000000"/>
          <w:spacing w:val="0"/>
          <w:w w:val="100"/>
          <w:position w:val="0"/>
          <w:lang w:val="zh-CN" w:eastAsia="zh-CN" w:bidi="zh-CN"/>
        </w:rPr>
        <w:t>“最</w:t>
      </w:r>
      <w:r>
        <w:rPr>
          <w:color w:val="000000"/>
          <w:spacing w:val="0"/>
          <w:w w:val="100"/>
          <w:position w:val="0"/>
        </w:rPr>
        <w:t>高额”系债权最高额，则无甚争议。但若合同未约定 “最高额</w:t>
      </w:r>
      <w:r>
        <w:rPr>
          <w:color w:val="000000"/>
          <w:spacing w:val="0"/>
          <w:w w:val="100"/>
          <w:position w:val="0"/>
          <w:lang w:val="zh-CN" w:eastAsia="zh-CN" w:bidi="zh-CN"/>
        </w:rPr>
        <w:t>”的</w:t>
      </w:r>
      <w:r>
        <w:rPr>
          <w:color w:val="000000"/>
          <w:spacing w:val="0"/>
          <w:w w:val="100"/>
          <w:position w:val="0"/>
        </w:rPr>
        <w:t>含义,或者约定“最高额</w:t>
      </w:r>
      <w:r>
        <w:rPr>
          <w:color w:val="000000"/>
          <w:spacing w:val="0"/>
          <w:w w:val="100"/>
          <w:position w:val="0"/>
          <w:lang w:val="zh-CN" w:eastAsia="zh-CN" w:bidi="zh-CN"/>
        </w:rPr>
        <w:t>”系指</w:t>
      </w:r>
      <w:r>
        <w:rPr>
          <w:color w:val="000000"/>
          <w:spacing w:val="0"/>
          <w:w w:val="100"/>
          <w:position w:val="0"/>
        </w:rPr>
        <w:t>本金最高额时，如何理解就会产生争议。</w:t>
      </w:r>
    </w:p>
    <w:p w14:paraId="05D7760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在合同未约定最高额担保中</w:t>
      </w:r>
      <w:r>
        <w:rPr>
          <w:color w:val="000000"/>
          <w:spacing w:val="0"/>
          <w:w w:val="100"/>
          <w:position w:val="0"/>
          <w:lang w:val="zh-CN" w:eastAsia="zh-CN" w:bidi="zh-CN"/>
        </w:rPr>
        <w:t>“最</w:t>
      </w:r>
      <w:r>
        <w:rPr>
          <w:color w:val="000000"/>
          <w:spacing w:val="0"/>
          <w:w w:val="100"/>
          <w:position w:val="0"/>
        </w:rPr>
        <w:t>高额”的含义，或者约定不明时,有判决认为应当采取 债权最高额［如江西省高级人民法院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赣民二终字第</w:t>
      </w:r>
      <w:r>
        <w:rPr>
          <w:rFonts w:ascii="Times New Roman" w:hAnsi="Times New Roman" w:eastAsia="Times New Roman" w:cs="Times New Roman"/>
          <w:color w:val="000000"/>
          <w:spacing w:val="0"/>
          <w:w w:val="100"/>
          <w:position w:val="0"/>
          <w:sz w:val="17"/>
          <w:szCs w:val="17"/>
        </w:rPr>
        <w:t>76</w:t>
      </w:r>
      <w:r>
        <w:rPr>
          <w:color w:val="000000"/>
          <w:spacing w:val="0"/>
          <w:w w:val="100"/>
          <w:position w:val="0"/>
        </w:rPr>
        <w:t xml:space="preserve">号民事判决书；珠海市中级人民法院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粤</w:t>
      </w:r>
      <w:r>
        <w:rPr>
          <w:rFonts w:ascii="Times New Roman" w:hAnsi="Times New Roman" w:eastAsia="Times New Roman" w:cs="Times New Roman"/>
          <w:color w:val="000000"/>
          <w:spacing w:val="0"/>
          <w:w w:val="100"/>
          <w:position w:val="0"/>
          <w:sz w:val="17"/>
          <w:szCs w:val="17"/>
        </w:rPr>
        <w:t>04</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502</w:t>
      </w:r>
      <w:r>
        <w:rPr>
          <w:color w:val="000000"/>
          <w:spacing w:val="0"/>
          <w:w w:val="100"/>
          <w:position w:val="0"/>
        </w:rPr>
        <w:t>号民事判决书］。本案也倾向于这一认识。在合同已约定</w:t>
      </w:r>
      <w:r>
        <w:rPr>
          <w:color w:val="000000"/>
          <w:spacing w:val="0"/>
          <w:w w:val="100"/>
          <w:position w:val="0"/>
          <w:lang w:val="zh-CN" w:eastAsia="zh-CN" w:bidi="zh-CN"/>
        </w:rPr>
        <w:t>“最</w:t>
      </w:r>
      <w:r>
        <w:rPr>
          <w:color w:val="000000"/>
          <w:spacing w:val="0"/>
          <w:w w:val="100"/>
          <w:position w:val="0"/>
        </w:rPr>
        <w:t>高额</w:t>
      </w:r>
      <w:r>
        <w:rPr>
          <w:color w:val="000000"/>
          <w:spacing w:val="0"/>
          <w:w w:val="100"/>
          <w:position w:val="0"/>
          <w:lang w:val="zh-CN" w:eastAsia="zh-CN" w:bidi="zh-CN"/>
        </w:rPr>
        <w:t xml:space="preserve">”系本 </w:t>
      </w:r>
      <w:r>
        <w:rPr>
          <w:color w:val="000000"/>
          <w:spacing w:val="0"/>
          <w:w w:val="100"/>
          <w:position w:val="0"/>
        </w:rPr>
        <w:t>金最高额时,有判决认为应尊重合同约定，认可本金最高额［如最高人民法院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 xml:space="preserve">最高法民终 </w:t>
      </w:r>
      <w:r>
        <w:rPr>
          <w:rFonts w:ascii="Times New Roman" w:hAnsi="Times New Roman" w:eastAsia="Times New Roman" w:cs="Times New Roman"/>
          <w:color w:val="000000"/>
          <w:spacing w:val="0"/>
          <w:w w:val="100"/>
          <w:position w:val="0"/>
          <w:sz w:val="17"/>
          <w:szCs w:val="17"/>
        </w:rPr>
        <w:t>595</w:t>
      </w:r>
      <w:r>
        <w:rPr>
          <w:color w:val="000000"/>
          <w:spacing w:val="0"/>
          <w:w w:val="100"/>
          <w:position w:val="0"/>
        </w:rPr>
        <w:t>号民事判决书；广州市中级人民法院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）粵</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11473</w:t>
      </w:r>
      <w:r>
        <w:rPr>
          <w:color w:val="000000"/>
          <w:spacing w:val="0"/>
          <w:w w:val="100"/>
          <w:position w:val="0"/>
        </w:rPr>
        <w:t xml:space="preserve">号民事判决书；台州市中级人民法院 </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浙台商终字第</w:t>
      </w:r>
      <w:r>
        <w:rPr>
          <w:rFonts w:ascii="Times New Roman" w:hAnsi="Times New Roman" w:eastAsia="Times New Roman" w:cs="Times New Roman"/>
          <w:color w:val="000000"/>
          <w:spacing w:val="0"/>
          <w:w w:val="100"/>
          <w:position w:val="0"/>
          <w:sz w:val="17"/>
          <w:szCs w:val="17"/>
        </w:rPr>
        <w:t>84</w:t>
      </w:r>
      <w:r>
        <w:rPr>
          <w:color w:val="000000"/>
          <w:spacing w:val="0"/>
          <w:w w:val="100"/>
          <w:position w:val="0"/>
        </w:rPr>
        <w:t>号民事判决书］,但也有判决认为即使是在明确约定本金最高额时，也 应理解为是债权最高额［如湖北省高级人民法院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鄂民终</w:t>
      </w:r>
      <w:r>
        <w:rPr>
          <w:rFonts w:ascii="Times New Roman" w:hAnsi="Times New Roman" w:eastAsia="Times New Roman" w:cs="Times New Roman"/>
          <w:color w:val="000000"/>
          <w:spacing w:val="0"/>
          <w:w w:val="100"/>
          <w:position w:val="0"/>
          <w:sz w:val="17"/>
          <w:szCs w:val="17"/>
        </w:rPr>
        <w:t>234</w:t>
      </w:r>
      <w:r>
        <w:rPr>
          <w:color w:val="000000"/>
          <w:spacing w:val="0"/>
          <w:w w:val="100"/>
          <w:position w:val="0"/>
        </w:rPr>
        <w:t>号民事判决书；陈光卓:《最高额 抵押中的最高额应为债权最高限额》，载《人民司法-案例》</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期］。</w:t>
      </w:r>
    </w:p>
    <w:p w14:paraId="332B9D3E">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笔者认为，依据《民法典》第</w:t>
      </w:r>
      <w:r>
        <w:rPr>
          <w:rFonts w:ascii="Times New Roman" w:hAnsi="Times New Roman" w:eastAsia="Times New Roman" w:cs="Times New Roman"/>
          <w:color w:val="000000"/>
          <w:spacing w:val="0"/>
          <w:w w:val="100"/>
          <w:position w:val="0"/>
          <w:sz w:val="19"/>
          <w:szCs w:val="19"/>
        </w:rPr>
        <w:t>389</w:t>
      </w:r>
      <w:r>
        <w:rPr>
          <w:color w:val="000000"/>
          <w:spacing w:val="0"/>
          <w:w w:val="100"/>
          <w:position w:val="0"/>
        </w:rPr>
        <w:t>条，在无约定时，担保的范围包括主债权及利息、违约 金、损害赔偿金和实现债权或担保物权的费用,在最高额抵押中亦应适用上述普通担保之 规则。但如合同中已明确</w:t>
      </w:r>
      <w:r>
        <w:rPr>
          <w:color w:val="000000"/>
          <w:spacing w:val="0"/>
          <w:w w:val="100"/>
          <w:position w:val="0"/>
          <w:lang w:val="zh-CN" w:eastAsia="zh-CN" w:bidi="zh-CN"/>
        </w:rPr>
        <w:t>“最高</w:t>
      </w:r>
      <w:r>
        <w:rPr>
          <w:color w:val="000000"/>
          <w:spacing w:val="0"/>
          <w:w w:val="100"/>
          <w:position w:val="0"/>
        </w:rPr>
        <w:t>额”系本金最高额时，则只能在以登记为生效要件的最高额 担保中采债权最高额说,而在其他方式的最高额担保中则应尊重当事人的约定。证成债权 最高额说的唯一理由是第三人利益保护。故债权最高额说就需以担保人存在其他债权人, 且最高额担保的债权人具有完全的担保物权效力为前提。如担保人并不存在其他债权人, 则根本就无须考虑第三人利益，自当尊重合同约定。即使担保人有其他债权人，但如最高 额担保并不具完全的担保物权效力时,则也应接受本金最高额说。如在最高额动产抵押 中，因动产抵押并不以登记为必要，故债权人仍可就本金及其利息、违约金等总计的债权在 最高额限度内享有抵押权,只是其不得对抗善意第三人而已。又如，在最高额保证中，因保 证债权并不具优先性，故认可本金最高额说也不会过分影响交易安全。</w:t>
      </w:r>
    </w:p>
    <w:p w14:paraId="7E215939">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本裁判的参考意义及将来的课题</w:t>
      </w:r>
    </w:p>
    <w:p w14:paraId="7AF4E2E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本案裁判将最高额不动产抵押中的</w:t>
      </w:r>
      <w:r>
        <w:rPr>
          <w:color w:val="000000"/>
          <w:spacing w:val="0"/>
          <w:w w:val="100"/>
          <w:position w:val="0"/>
          <w:lang w:val="zh-CN" w:eastAsia="zh-CN" w:bidi="zh-CN"/>
        </w:rPr>
        <w:t>“最</w:t>
      </w:r>
      <w:r>
        <w:rPr>
          <w:color w:val="000000"/>
          <w:spacing w:val="0"/>
          <w:w w:val="100"/>
          <w:position w:val="0"/>
        </w:rPr>
        <w:t>高额</w:t>
      </w:r>
      <w:r>
        <w:rPr>
          <w:color w:val="000000"/>
          <w:spacing w:val="0"/>
          <w:w w:val="100"/>
          <w:position w:val="0"/>
          <w:lang w:val="zh-CN" w:eastAsia="zh-CN" w:bidi="zh-CN"/>
        </w:rPr>
        <w:t>”确定</w:t>
      </w:r>
      <w:r>
        <w:rPr>
          <w:color w:val="000000"/>
          <w:spacing w:val="0"/>
          <w:w w:val="100"/>
          <w:position w:val="0"/>
        </w:rPr>
        <w:t>为债权最高额，此结论可予赞同。但 是否可将此结论类推到其他方式的最高额担保中，尚有疑问。同时,若合同已约定本金最 高额时又该如何处理也颇需思量。</w:t>
      </w:r>
    </w:p>
    <w:p w14:paraId="3D04A52D">
      <w:pPr>
        <w:pStyle w:val="17"/>
        <w:keepNext w:val="0"/>
        <w:keepLines w:val="0"/>
        <w:widowControl w:val="0"/>
        <w:shd w:val="clear" w:color="auto" w:fill="auto"/>
        <w:bidi w:val="0"/>
        <w:spacing w:before="0" w:after="400" w:line="343" w:lineRule="exact"/>
        <w:ind w:left="0" w:right="0" w:firstLine="420"/>
        <w:jc w:val="both"/>
      </w:pPr>
      <w:r>
        <w:rPr>
          <w:color w:val="000000"/>
          <w:spacing w:val="0"/>
          <w:w w:val="100"/>
          <w:position w:val="0"/>
        </w:rPr>
        <w:t>对当事人而言，裁判结论固然重要。但如从债权人角度计，将最高额担保中的</w:t>
      </w:r>
      <w:r>
        <w:rPr>
          <w:color w:val="000000"/>
          <w:spacing w:val="0"/>
          <w:w w:val="100"/>
          <w:position w:val="0"/>
          <w:lang w:val="zh-CN" w:eastAsia="zh-CN" w:bidi="zh-CN"/>
        </w:rPr>
        <w:t xml:space="preserve">“最高 </w:t>
      </w:r>
      <w:r>
        <w:rPr>
          <w:color w:val="000000"/>
          <w:spacing w:val="0"/>
          <w:w w:val="100"/>
          <w:position w:val="0"/>
        </w:rPr>
        <w:t>额</w:t>
      </w:r>
      <w:r>
        <w:rPr>
          <w:color w:val="000000"/>
          <w:spacing w:val="0"/>
          <w:w w:val="100"/>
          <w:position w:val="0"/>
          <w:lang w:val="zh-CN" w:eastAsia="zh-CN" w:bidi="zh-CN"/>
        </w:rPr>
        <w:t>”绝对</w:t>
      </w:r>
      <w:r>
        <w:rPr>
          <w:color w:val="000000"/>
          <w:spacing w:val="0"/>
          <w:w w:val="100"/>
          <w:position w:val="0"/>
        </w:rPr>
        <w:t>化理解为债权最高额虽利于担保人，却会损及债权人。对此解决方案有二:一是在 合同中约定最高额系本金最高额,但该约定在我国司法上有被否定之风险。二是事前即将 本金、利息、违约金等债权总额控制在最高额范围内。但因利息、违约金等债权并非基于主 债权而当然发生，因此事前只能做预估。如预估过低，则同样会损害债权人利益，但如预估 过高，则会存在过度担保，浪费抵押物价值之嫌。由此也再次证明，在当事人之间承认约定 本金最高额之效力当属必要。</w:t>
      </w:r>
    </w:p>
    <w:p w14:paraId="7609366D">
      <w:pPr>
        <w:pStyle w:val="11"/>
        <w:keepNext w:val="0"/>
        <w:keepLines w:val="0"/>
        <w:widowControl w:val="0"/>
        <w:shd w:val="clear" w:color="auto" w:fill="auto"/>
        <w:bidi w:val="0"/>
        <w:spacing w:before="0" w:after="80" w:line="310" w:lineRule="exact"/>
        <w:ind w:left="0" w:right="0" w:firstLine="0"/>
        <w:jc w:val="both"/>
      </w:pPr>
      <w:r>
        <w:rPr>
          <w:color w:val="000000"/>
          <w:spacing w:val="0"/>
          <w:w w:val="100"/>
          <w:position w:val="0"/>
        </w:rPr>
        <w:t>回参考文献</w:t>
      </w:r>
    </w:p>
    <w:p w14:paraId="4858D7F8">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谢在全:《民法物权论》（上册），中国政法大学出版社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0E69684E">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高圣平:《担保法论》，法律出版社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1822274D">
      <w:pPr>
        <w:pStyle w:val="17"/>
        <w:keepNext w:val="0"/>
        <w:keepLines w:val="0"/>
        <w:widowControl w:val="0"/>
        <w:shd w:val="clear" w:color="auto" w:fill="auto"/>
        <w:bidi w:val="0"/>
        <w:spacing w:before="0" w:after="0" w:line="310" w:lineRule="exact"/>
        <w:ind w:left="0" w:right="0" w:firstLine="0"/>
        <w:jc w:val="both"/>
      </w:pPr>
      <w:r>
        <w:rPr>
          <w:color w:val="000000"/>
          <w:spacing w:val="0"/>
          <w:w w:val="100"/>
          <w:position w:val="0"/>
        </w:rPr>
        <w:t>程啸:《保证合同研究》，法律出版社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w:t>
      </w:r>
    </w:p>
    <w:p w14:paraId="1090CC5A">
      <w:pPr>
        <w:pStyle w:val="17"/>
        <w:keepNext w:val="0"/>
        <w:keepLines w:val="0"/>
        <w:widowControl w:val="0"/>
        <w:shd w:val="clear" w:color="auto" w:fill="auto"/>
        <w:bidi w:val="0"/>
        <w:spacing w:before="0" w:after="0" w:line="310" w:lineRule="exact"/>
        <w:ind w:left="0" w:right="0" w:firstLine="0"/>
        <w:jc w:val="left"/>
      </w:pPr>
      <w:r>
        <w:rPr>
          <w:color w:val="000000"/>
          <w:spacing w:val="0"/>
          <w:w w:val="100"/>
          <w:position w:val="0"/>
        </w:rPr>
        <w:t>孙鹏等:《担保物权法原理》，中国人民大学出版社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12B6503F">
      <w:pPr>
        <w:pStyle w:val="17"/>
        <w:keepNext w:val="0"/>
        <w:keepLines w:val="0"/>
        <w:widowControl w:val="0"/>
        <w:shd w:val="clear" w:color="auto" w:fill="auto"/>
        <w:bidi w:val="0"/>
        <w:spacing w:before="0" w:after="0" w:line="310" w:lineRule="exact"/>
        <w:ind w:left="0" w:right="0" w:firstLine="0"/>
        <w:jc w:val="left"/>
      </w:pPr>
      <w:r>
        <w:rPr>
          <w:color w:val="000000"/>
          <w:spacing w:val="0"/>
          <w:w w:val="100"/>
          <w:position w:val="0"/>
        </w:rPr>
        <w:t>崔建远:《最高额抵押权的争议问题及其解决》，载《国家检察官学院学报》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62A62E3">
      <w:pPr>
        <w:pStyle w:val="17"/>
        <w:keepNext w:val="0"/>
        <w:keepLines w:val="0"/>
        <w:widowControl w:val="0"/>
        <w:shd w:val="clear" w:color="auto" w:fill="auto"/>
        <w:bidi w:val="0"/>
        <w:spacing w:before="0" w:after="0" w:line="310" w:lineRule="exact"/>
        <w:ind w:left="200" w:right="0" w:hanging="200"/>
        <w:jc w:val="both"/>
      </w:pPr>
      <w:r>
        <w:rPr>
          <w:color w:val="000000"/>
          <w:spacing w:val="0"/>
          <w:w w:val="100"/>
          <w:position w:val="0"/>
        </w:rPr>
        <w:t>魏星、丁晓雨:《最高额抵押担保中</w:t>
      </w:r>
      <w:r>
        <w:rPr>
          <w:color w:val="000000"/>
          <w:spacing w:val="0"/>
          <w:w w:val="100"/>
          <w:position w:val="0"/>
          <w:lang w:val="zh-CN" w:eastAsia="zh-CN" w:bidi="zh-CN"/>
        </w:rPr>
        <w:t>“最</w:t>
      </w:r>
      <w:r>
        <w:rPr>
          <w:color w:val="000000"/>
          <w:spacing w:val="0"/>
          <w:w w:val="100"/>
          <w:position w:val="0"/>
        </w:rPr>
        <w:t>高额</w:t>
      </w:r>
      <w:r>
        <w:rPr>
          <w:color w:val="000000"/>
          <w:spacing w:val="0"/>
          <w:w w:val="100"/>
          <w:position w:val="0"/>
          <w:lang w:val="zh-CN" w:eastAsia="zh-CN" w:bidi="zh-CN"/>
        </w:rPr>
        <w:t>”的司</w:t>
      </w:r>
      <w:r>
        <w:rPr>
          <w:color w:val="000000"/>
          <w:spacing w:val="0"/>
          <w:w w:val="100"/>
          <w:position w:val="0"/>
        </w:rPr>
        <w:t>法认定</w:t>
      </w:r>
      <w:r>
        <w:rPr>
          <w:color w:val="000000"/>
          <w:spacing w:val="0"/>
          <w:w w:val="100"/>
          <w:position w:val="0"/>
          <w:lang w:val="en-US" w:eastAsia="en-US" w:bidi="en-US"/>
        </w:rPr>
        <w:t>一一</w:t>
      </w:r>
      <w:r>
        <w:rPr>
          <w:color w:val="000000"/>
          <w:spacing w:val="0"/>
          <w:w w:val="100"/>
          <w:position w:val="0"/>
        </w:rPr>
        <w:t>基于</w:t>
      </w:r>
      <w:r>
        <w:rPr>
          <w:rFonts w:ascii="Times New Roman" w:hAnsi="Times New Roman" w:eastAsia="Times New Roman" w:cs="Times New Roman"/>
          <w:color w:val="000000"/>
          <w:spacing w:val="0"/>
          <w:w w:val="100"/>
          <w:position w:val="0"/>
          <w:sz w:val="17"/>
          <w:szCs w:val="17"/>
        </w:rPr>
        <w:t>136</w:t>
      </w:r>
      <w:r>
        <w:rPr>
          <w:color w:val="000000"/>
          <w:spacing w:val="0"/>
          <w:w w:val="100"/>
          <w:position w:val="0"/>
        </w:rPr>
        <w:t>份案例的实证分析》，载《天津法 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5619AF6">
      <w:pPr>
        <w:pStyle w:val="17"/>
        <w:keepNext w:val="0"/>
        <w:keepLines w:val="0"/>
        <w:widowControl w:val="0"/>
        <w:shd w:val="clear" w:color="auto" w:fill="auto"/>
        <w:bidi w:val="0"/>
        <w:spacing w:before="0" w:after="0" w:line="310" w:lineRule="exact"/>
        <w:ind w:left="0" w:right="0" w:firstLine="0"/>
        <w:jc w:val="left"/>
        <w:sectPr>
          <w:headerReference r:id="rId301" w:type="default"/>
          <w:headerReference r:id="rId302" w:type="even"/>
          <w:footnotePr>
            <w:numFmt w:val="chicago"/>
          </w:footnotePr>
          <w:pgSz w:w="10099" w:h="14782"/>
          <w:pgMar w:top="1318" w:right="1084" w:bottom="1093" w:left="1022" w:header="0" w:footer="3" w:gutter="0"/>
          <w:pgNumType w:start="232"/>
          <w:cols w:space="720" w:num="1"/>
          <w:rtlGutter w:val="0"/>
          <w:docGrid w:linePitch="360" w:charSpace="0"/>
        </w:sectPr>
      </w:pPr>
      <w:r>
        <w:rPr>
          <w:color w:val="000000"/>
          <w:spacing w:val="0"/>
          <w:w w:val="100"/>
          <w:position w:val="0"/>
        </w:rPr>
        <w:t>陈光卓:《最高额抵押中的最高额应为债权最高限额》，载《人民司法-案例》</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期。</w:t>
      </w:r>
    </w:p>
    <w:p w14:paraId="3CA48CD6">
      <w:pPr>
        <w:widowControl w:val="0"/>
        <w:spacing w:before="4" w:after="4" w:line="240" w:lineRule="exact"/>
        <w:rPr>
          <w:sz w:val="19"/>
          <w:szCs w:val="19"/>
        </w:rPr>
      </w:pPr>
    </w:p>
    <w:p w14:paraId="45080B7D">
      <w:pPr>
        <w:widowControl w:val="0"/>
        <w:spacing w:line="1" w:lineRule="exact"/>
        <w:sectPr>
          <w:headerReference r:id="rId303" w:type="default"/>
          <w:headerReference r:id="rId304" w:type="even"/>
          <w:footnotePr>
            <w:numFmt w:val="chicago"/>
          </w:footnotePr>
          <w:pgSz w:w="10099" w:h="14782"/>
          <w:pgMar w:top="1261" w:right="989" w:bottom="1088" w:left="1114" w:header="0" w:footer="3" w:gutter="0"/>
          <w:pgNumType w:start="252"/>
          <w:cols w:space="720" w:num="1"/>
          <w:rtlGutter w:val="0"/>
          <w:docGrid w:linePitch="360" w:charSpace="0"/>
        </w:sectPr>
      </w:pPr>
    </w:p>
    <w:p w14:paraId="473A13B1">
      <w:pPr>
        <w:widowControl w:val="0"/>
        <w:spacing w:line="1" w:lineRule="exact"/>
      </w:pPr>
      <w:r>
        <mc:AlternateContent>
          <mc:Choice Requires="wps">
            <w:drawing>
              <wp:anchor distT="0" distB="16510" distL="114300" distR="1659890" simplePos="0" relativeHeight="251660288" behindDoc="0" locked="0" layoutInCell="1" allowOverlap="1">
                <wp:simplePos x="0" y="0"/>
                <wp:positionH relativeFrom="page">
                  <wp:posOffset>772160</wp:posOffset>
                </wp:positionH>
                <wp:positionV relativeFrom="paragraph">
                  <wp:posOffset>12700</wp:posOffset>
                </wp:positionV>
                <wp:extent cx="449580" cy="304800"/>
                <wp:effectExtent l="0" t="0" r="0" b="0"/>
                <wp:wrapTopAndBottom/>
                <wp:docPr id="687" name="Shape 68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1EAC987B">
                            <w:pPr>
                              <w:pStyle w:val="27"/>
                              <w:keepNext/>
                              <w:keepLines/>
                              <w:widowControl w:val="0"/>
                              <w:shd w:val="clear" w:color="auto" w:fill="auto"/>
                              <w:bidi w:val="0"/>
                              <w:spacing w:before="0" w:after="0" w:line="240" w:lineRule="auto"/>
                              <w:ind w:left="0" w:right="0" w:firstLine="0"/>
                              <w:jc w:val="both"/>
                            </w:pPr>
                            <w:bookmarkStart w:id="414" w:name="bookmark314"/>
                            <w:bookmarkStart w:id="415" w:name="bookmark315"/>
                            <w:bookmarkStart w:id="416" w:name="bookmark316"/>
                            <w:r>
                              <w:rPr>
                                <w:rFonts w:ascii="Times New Roman" w:hAnsi="Times New Roman" w:eastAsia="Times New Roman" w:cs="Times New Roman"/>
                                <w:color w:val="000000"/>
                                <w:spacing w:val="0"/>
                                <w:w w:val="100"/>
                                <w:position w:val="0"/>
                              </w:rPr>
                              <w:t>048</w:t>
                            </w:r>
                            <w:bookmarkEnd w:id="414"/>
                            <w:bookmarkEnd w:id="415"/>
                            <w:bookmarkEnd w:id="416"/>
                          </w:p>
                        </w:txbxContent>
                      </wps:txbx>
                      <wps:bodyPr wrap="none" lIns="0" tIns="0" rIns="0" bIns="0">
                        <a:noAutofit/>
                      </wps:bodyPr>
                    </wps:wsp>
                  </a:graphicData>
                </a:graphic>
              </wp:anchor>
            </w:drawing>
          </mc:Choice>
          <mc:Fallback>
            <w:pict>
              <v:shape id="Shape 687" o:spid="_x0000_s1026" o:spt="202" type="#_x0000_t202" style="position:absolute;left:0pt;margin-left:60.8pt;margin-top:1pt;height:24pt;width:35.4pt;mso-position-horizontal-relative:page;mso-wrap-distance-bottom:1.3pt;mso-wrap-distance-top:0pt;mso-wrap-style:none;z-index:251660288;mso-width-relative:page;mso-height-relative:page;" filled="f" stroked="f" coordsize="21600,21600" o:gfxdata="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W2I8XUAAAA&#10;CAEAAA8AAAAAAAAAAQAgAAAAIgAAAGRycy9kb3ducmV2LnhtbFBLAQIUABQAAAAIAIdO4kAPNT4s&#10;rwEAAHMDAAAOAAAAAAAAAAEAIAAAACMBAABkcnMvZTJvRG9jLnhtbFBLBQYAAAAABgAGAFkBAABE&#10;BQAAAAA=&#10;">
                <v:fill on="f" focussize="0,0"/>
                <v:stroke on="f"/>
                <v:imagedata o:title=""/>
                <o:lock v:ext="edit" aspectratio="f"/>
                <v:textbox inset="0mm,0mm,0mm,0mm">
                  <w:txbxContent>
                    <w:p w14:paraId="1EAC987B">
                      <w:pPr>
                        <w:pStyle w:val="27"/>
                        <w:keepNext/>
                        <w:keepLines/>
                        <w:widowControl w:val="0"/>
                        <w:shd w:val="clear" w:color="auto" w:fill="auto"/>
                        <w:bidi w:val="0"/>
                        <w:spacing w:before="0" w:after="0" w:line="240" w:lineRule="auto"/>
                        <w:ind w:left="0" w:right="0" w:firstLine="0"/>
                        <w:jc w:val="both"/>
                      </w:pPr>
                      <w:bookmarkStart w:id="414" w:name="bookmark314"/>
                      <w:bookmarkStart w:id="415" w:name="bookmark315"/>
                      <w:bookmarkStart w:id="416" w:name="bookmark316"/>
                      <w:r>
                        <w:rPr>
                          <w:rFonts w:ascii="Times New Roman" w:hAnsi="Times New Roman" w:eastAsia="Times New Roman" w:cs="Times New Roman"/>
                          <w:color w:val="000000"/>
                          <w:spacing w:val="0"/>
                          <w:w w:val="100"/>
                          <w:position w:val="0"/>
                        </w:rPr>
                        <w:t>048</w:t>
                      </w:r>
                      <w:bookmarkEnd w:id="414"/>
                      <w:bookmarkEnd w:id="415"/>
                      <w:bookmarkEnd w:id="416"/>
                    </w:p>
                  </w:txbxContent>
                </v:textbox>
                <w10:wrap type="topAndBottom"/>
              </v:shape>
            </w:pict>
          </mc:Fallback>
        </mc:AlternateContent>
      </w:r>
      <w:r>
        <mc:AlternateContent>
          <mc:Choice Requires="wps">
            <w:drawing>
              <wp:anchor distT="79375" distB="0" distL="693420" distR="114300" simplePos="0" relativeHeight="251660288" behindDoc="0" locked="0" layoutInCell="1" allowOverlap="1">
                <wp:simplePos x="0" y="0"/>
                <wp:positionH relativeFrom="page">
                  <wp:posOffset>1351280</wp:posOffset>
                </wp:positionH>
                <wp:positionV relativeFrom="paragraph">
                  <wp:posOffset>92075</wp:posOffset>
                </wp:positionV>
                <wp:extent cx="1416050" cy="242570"/>
                <wp:effectExtent l="0" t="0" r="0" b="0"/>
                <wp:wrapTopAndBottom/>
                <wp:docPr id="689" name="Shape 689"/>
                <wp:cNvGraphicFramePr/>
                <a:graphic xmlns:a="http://schemas.openxmlformats.org/drawingml/2006/main">
                  <a:graphicData uri="http://schemas.microsoft.com/office/word/2010/wordprocessingShape">
                    <wps:wsp>
                      <wps:cNvSpPr txBox="1"/>
                      <wps:spPr>
                        <a:xfrm>
                          <a:off x="0" y="0"/>
                          <a:ext cx="1416050" cy="242570"/>
                        </a:xfrm>
                        <a:prstGeom prst="rect">
                          <a:avLst/>
                        </a:prstGeom>
                        <a:noFill/>
                      </wps:spPr>
                      <wps:txbx>
                        <w:txbxContent>
                          <w:p w14:paraId="70EAAAC2">
                            <w:pPr>
                              <w:pStyle w:val="15"/>
                              <w:keepNext/>
                              <w:keepLines/>
                              <w:widowControl w:val="0"/>
                              <w:shd w:val="clear" w:color="auto" w:fill="auto"/>
                              <w:bidi w:val="0"/>
                              <w:spacing w:before="0" w:after="0" w:line="240" w:lineRule="auto"/>
                              <w:ind w:left="0" w:right="0" w:firstLine="0"/>
                              <w:jc w:val="left"/>
                            </w:pPr>
                            <w:bookmarkStart w:id="417" w:name="bookmark317"/>
                            <w:bookmarkStart w:id="418" w:name="bookmark318"/>
                            <w:bookmarkStart w:id="419" w:name="bookmark319"/>
                            <w:r>
                              <w:rPr>
                                <w:color w:val="000000"/>
                                <w:spacing w:val="0"/>
                                <w:w w:val="100"/>
                                <w:position w:val="0"/>
                              </w:rPr>
                              <w:t>流质条款的效力</w:t>
                            </w:r>
                            <w:bookmarkEnd w:id="417"/>
                            <w:bookmarkEnd w:id="418"/>
                            <w:bookmarkEnd w:id="419"/>
                          </w:p>
                        </w:txbxContent>
                      </wps:txbx>
                      <wps:bodyPr wrap="none" lIns="0" tIns="0" rIns="0" bIns="0">
                        <a:noAutofit/>
                      </wps:bodyPr>
                    </wps:wsp>
                  </a:graphicData>
                </a:graphic>
              </wp:anchor>
            </w:drawing>
          </mc:Choice>
          <mc:Fallback>
            <w:pict>
              <v:shape id="Shape 689" o:spid="_x0000_s1026" o:spt="202" type="#_x0000_t202" style="position:absolute;left:0pt;margin-left:106.4pt;margin-top:7.25pt;height:19.1pt;width:111.5pt;mso-position-horizontal-relative:page;mso-wrap-distance-bottom:0pt;mso-wrap-distance-top:6.25pt;mso-wrap-style:none;z-index:251660288;mso-width-relative:page;mso-height-relative:page;" filled="f" stroked="f" coordsize="21600,21600" o:gfxdata="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5TfCNYA&#10;AAAJAQAADwAAAAAAAAABACAAAAAiAAAAZHJzL2Rvd25yZXYueG1sUEsBAhQAFAAAAAgAh07iQBjr&#10;l8avAQAAdAMAAA4AAAAAAAAAAQAgAAAAJQEAAGRycy9lMm9Eb2MueG1sUEsFBgAAAAAGAAYAWQEA&#10;AEYFAAAAAA==&#10;">
                <v:fill on="f" focussize="0,0"/>
                <v:stroke on="f"/>
                <v:imagedata o:title=""/>
                <o:lock v:ext="edit" aspectratio="f"/>
                <v:textbox inset="0mm,0mm,0mm,0mm">
                  <w:txbxContent>
                    <w:p w14:paraId="70EAAAC2">
                      <w:pPr>
                        <w:pStyle w:val="15"/>
                        <w:keepNext/>
                        <w:keepLines/>
                        <w:widowControl w:val="0"/>
                        <w:shd w:val="clear" w:color="auto" w:fill="auto"/>
                        <w:bidi w:val="0"/>
                        <w:spacing w:before="0" w:after="0" w:line="240" w:lineRule="auto"/>
                        <w:ind w:left="0" w:right="0" w:firstLine="0"/>
                        <w:jc w:val="left"/>
                      </w:pPr>
                      <w:bookmarkStart w:id="417" w:name="bookmark317"/>
                      <w:bookmarkStart w:id="418" w:name="bookmark318"/>
                      <w:bookmarkStart w:id="419" w:name="bookmark319"/>
                      <w:r>
                        <w:rPr>
                          <w:color w:val="000000"/>
                          <w:spacing w:val="0"/>
                          <w:w w:val="100"/>
                          <w:position w:val="0"/>
                        </w:rPr>
                        <w:t>流质条款的效力</w:t>
                      </w:r>
                      <w:bookmarkEnd w:id="417"/>
                      <w:bookmarkEnd w:id="418"/>
                      <w:bookmarkEnd w:id="419"/>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5142865</wp:posOffset>
            </wp:positionH>
            <wp:positionV relativeFrom="paragraph">
              <wp:posOffset>213360</wp:posOffset>
            </wp:positionV>
            <wp:extent cx="615950" cy="621665"/>
            <wp:effectExtent l="0" t="0" r="6350" b="635"/>
            <wp:wrapSquare wrapText="left"/>
            <wp:docPr id="691" name="Shape 691"/>
            <wp:cNvGraphicFramePr/>
            <a:graphic xmlns:a="http://schemas.openxmlformats.org/drawingml/2006/main">
              <a:graphicData uri="http://schemas.openxmlformats.org/drawingml/2006/picture">
                <pic:pic xmlns:pic="http://schemas.openxmlformats.org/drawingml/2006/picture">
                  <pic:nvPicPr>
                    <pic:cNvPr id="691" name="Shape 691"/>
                    <pic:cNvPicPr/>
                  </pic:nvPicPr>
                  <pic:blipFill>
                    <a:blip r:embed="rId653"/>
                    <a:stretch>
                      <a:fillRect/>
                    </a:stretch>
                  </pic:blipFill>
                  <pic:spPr>
                    <a:xfrm>
                      <a:off x="0" y="0"/>
                      <a:ext cx="615950" cy="621665"/>
                    </a:xfrm>
                    <a:prstGeom prst="rect">
                      <a:avLst/>
                    </a:prstGeom>
                  </pic:spPr>
                </pic:pic>
              </a:graphicData>
            </a:graphic>
          </wp:anchor>
        </w:drawing>
      </w:r>
    </w:p>
    <w:p w14:paraId="14282125">
      <w:pPr>
        <w:pStyle w:val="17"/>
        <w:keepNext w:val="0"/>
        <w:keepLines w:val="0"/>
        <w:widowControl w:val="0"/>
        <w:shd w:val="clear" w:color="auto" w:fill="auto"/>
        <w:bidi w:val="0"/>
        <w:spacing w:before="0" w:after="100" w:line="240" w:lineRule="auto"/>
        <w:ind w:left="0" w:right="0" w:firstLine="1000"/>
        <w:jc w:val="left"/>
      </w:pPr>
      <w:r>
        <w:rPr>
          <w:color w:val="000000"/>
          <w:spacing w:val="0"/>
          <w:w w:val="100"/>
          <w:position w:val="0"/>
        </w:rPr>
        <w:t>唐虎威与陈小建、魏子杨和费俊玮质押合同纠纷案丨北京市第二</w:t>
      </w:r>
    </w:p>
    <w:p w14:paraId="3AADB873">
      <w:pPr>
        <w:pStyle w:val="17"/>
        <w:keepNext w:val="0"/>
        <w:keepLines w:val="0"/>
        <w:widowControl w:val="0"/>
        <w:shd w:val="clear" w:color="auto" w:fill="auto"/>
        <w:bidi w:val="0"/>
        <w:spacing w:before="0" w:after="400" w:line="240" w:lineRule="auto"/>
        <w:ind w:left="0" w:right="0" w:firstLine="1000"/>
        <w:jc w:val="left"/>
      </w:pPr>
      <w:r>
        <w:rPr>
          <w:color w:val="000000"/>
          <w:spacing w:val="0"/>
          <w:w w:val="100"/>
          <w:position w:val="0"/>
        </w:rPr>
        <w:t>中级人民法院</w:t>
      </w:r>
      <w:r>
        <w:rPr>
          <w:rFonts w:ascii="Times New Roman" w:hAnsi="Times New Roman" w:eastAsia="Times New Roman" w:cs="Times New Roman"/>
          <w:color w:val="000000"/>
          <w:spacing w:val="0"/>
          <w:w w:val="100"/>
          <w:position w:val="0"/>
          <w:sz w:val="19"/>
          <w:szCs w:val="19"/>
        </w:rPr>
        <w:t>(2019)02</w:t>
      </w:r>
      <w:r>
        <w:rPr>
          <w:color w:val="000000"/>
          <w:spacing w:val="0"/>
          <w:w w:val="100"/>
          <w:position w:val="0"/>
        </w:rPr>
        <w:t>京</w:t>
      </w:r>
      <w:r>
        <w:rPr>
          <w:rFonts w:ascii="Times New Roman" w:hAnsi="Times New Roman" w:eastAsia="Times New Roman" w:cs="Times New Roman"/>
          <w:color w:val="000000"/>
          <w:spacing w:val="0"/>
          <w:w w:val="100"/>
          <w:position w:val="0"/>
          <w:sz w:val="19"/>
          <w:szCs w:val="19"/>
        </w:rPr>
        <w:t>6873</w:t>
      </w:r>
      <w:r>
        <w:rPr>
          <w:color w:val="000000"/>
          <w:spacing w:val="0"/>
          <w:w w:val="100"/>
          <w:position w:val="0"/>
        </w:rPr>
        <w:t>号民事判决书</w:t>
      </w:r>
    </w:p>
    <w:p w14:paraId="3350BD0C">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陈永弓虽</w:t>
      </w:r>
      <w:r>
        <w:rPr>
          <w:color w:val="000000"/>
          <w:spacing w:val="0"/>
          <w:w w:val="100"/>
          <w:position w:val="0"/>
        </w:rPr>
        <w:t>中国计量大学法学院</w:t>
      </w:r>
    </w:p>
    <w:p w14:paraId="5D34EE5D">
      <w:pPr>
        <w:pStyle w:val="11"/>
        <w:keepNext w:val="0"/>
        <w:keepLines w:val="0"/>
        <w:widowControl w:val="0"/>
        <w:shd w:val="clear" w:color="auto" w:fill="auto"/>
        <w:bidi w:val="0"/>
        <w:spacing w:before="0" w:after="10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2F18FF99">
      <w:pPr>
        <w:pStyle w:val="17"/>
        <w:keepNext w:val="0"/>
        <w:keepLines w:val="0"/>
        <w:widowControl w:val="0"/>
        <w:shd w:val="clear" w:color="auto" w:fill="auto"/>
        <w:bidi w:val="0"/>
        <w:spacing w:before="0" w:after="340" w:line="343" w:lineRule="exact"/>
        <w:ind w:left="0" w:right="0" w:firstLine="420"/>
        <w:jc w:val="both"/>
      </w:pP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日，陈小建与魏子杨签署了《北京市小客车挂牌指标使用协议》一份，约 定魏子杨将其名下的小客车指标给陈小建长期使用，陈小建支付使用费</w:t>
      </w:r>
      <w:r>
        <w:rPr>
          <w:rFonts w:ascii="Times New Roman" w:hAnsi="Times New Roman" w:eastAsia="Times New Roman" w:cs="Times New Roman"/>
          <w:color w:val="000000"/>
          <w:spacing w:val="0"/>
          <w:w w:val="100"/>
          <w:position w:val="0"/>
          <w:sz w:val="19"/>
          <w:szCs w:val="19"/>
          <w:lang w:val="en-US" w:eastAsia="en-US" w:bidi="en-US"/>
        </w:rPr>
        <w:t xml:space="preserve">8.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日，陈小建购得奔驰轿车一辆，登记的所有人为魏子杨。费俊玮向唐虎威借款</w:t>
      </w:r>
      <w:r>
        <w:rPr>
          <w:rFonts w:ascii="Times New Roman" w:hAnsi="Times New Roman" w:eastAsia="Times New Roman" w:cs="Times New Roman"/>
          <w:color w:val="000000"/>
          <w:spacing w:val="0"/>
          <w:w w:val="100"/>
          <w:position w:val="0"/>
          <w:sz w:val="19"/>
          <w:szCs w:val="19"/>
        </w:rPr>
        <w:t xml:space="preserve">160 </w:t>
      </w:r>
      <w:r>
        <w:rPr>
          <w:color w:val="000000"/>
          <w:spacing w:val="0"/>
          <w:w w:val="100"/>
          <w:position w:val="0"/>
        </w:rPr>
        <w:t>万元并以涉案奔驰车提供担保</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日，陈小建、费俊玮、唐虎威签订了借款手续 与车辆质押手续。费俊玮与唐虎威签订了《借条》，载明：“费俊玮借到唐虎威借款</w:t>
      </w:r>
      <w:r>
        <w:rPr>
          <w:rFonts w:ascii="Times New Roman" w:hAnsi="Times New Roman" w:eastAsia="Times New Roman" w:cs="Times New Roman"/>
          <w:color w:val="000000"/>
          <w:spacing w:val="0"/>
          <w:w w:val="100"/>
          <w:position w:val="0"/>
          <w:sz w:val="19"/>
          <w:szCs w:val="19"/>
        </w:rPr>
        <w:t>160</w:t>
      </w:r>
      <w:r>
        <w:rPr>
          <w:color w:val="000000"/>
          <w:spacing w:val="0"/>
          <w:w w:val="100"/>
          <w:position w:val="0"/>
        </w:rPr>
        <w:t>万 元,借款于</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日前归还。</w:t>
      </w:r>
      <w:r>
        <w:rPr>
          <w:color w:val="000000"/>
          <w:spacing w:val="0"/>
          <w:w w:val="100"/>
          <w:position w:val="0"/>
          <w:lang w:val="zh-CN" w:eastAsia="zh-CN" w:bidi="zh-CN"/>
        </w:rPr>
        <w:t>”三方</w:t>
      </w:r>
      <w:r>
        <w:rPr>
          <w:color w:val="000000"/>
          <w:spacing w:val="0"/>
          <w:w w:val="100"/>
          <w:position w:val="0"/>
        </w:rPr>
        <w:t>签订了《机动车质押合同》，约定陈小建将其所 有的涉案奔驰车质押给唐虎威为上述借款提供担保,《机动车质押合同》第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条载明:</w:t>
      </w:r>
      <w:r>
        <w:rPr>
          <w:color w:val="000000"/>
          <w:spacing w:val="0"/>
          <w:w w:val="100"/>
          <w:position w:val="0"/>
          <w:lang w:val="zh-CN" w:eastAsia="zh-CN" w:bidi="zh-CN"/>
        </w:rPr>
        <w:t xml:space="preserve">“质押 </w:t>
      </w:r>
      <w:r>
        <w:rPr>
          <w:color w:val="000000"/>
          <w:spacing w:val="0"/>
          <w:w w:val="100"/>
          <w:position w:val="0"/>
        </w:rPr>
        <w:t>的机动车，到期未赎回，且不办理续借手续,即视为违约。违约后，陈小建需承担唐虎威为实 现债权而发生的所有相关费用。续借期超过三天再不赎回即视为陈小建自愿放弃回赎权, 唐虎威拥有机动车所有权并有支配其转移权且转让权</w:t>
      </w:r>
      <w:r>
        <w:rPr>
          <w:color w:val="000000"/>
          <w:spacing w:val="0"/>
          <w:w w:val="100"/>
          <w:position w:val="0"/>
          <w:lang w:val="zh-CN" w:eastAsia="zh-CN" w:bidi="zh-CN"/>
        </w:rPr>
        <w:t>。”经</w:t>
      </w:r>
      <w:r>
        <w:rPr>
          <w:color w:val="000000"/>
          <w:spacing w:val="0"/>
          <w:w w:val="100"/>
          <w:position w:val="0"/>
        </w:rPr>
        <w:t>陈小建认可，费俊玮签署《承诺 书》，载明:“因本人抵押借款，将奔驰车质押给唐虎威,若本人到期无力回赎,导致该机动车 绝押,本人承诺同意全权委托唐虎威办理该机动车拍卖、转让事宜并无条件移交和办理产 权过户手续</w:t>
      </w:r>
      <w:r>
        <w:rPr>
          <w:color w:val="000000"/>
          <w:spacing w:val="0"/>
          <w:w w:val="100"/>
          <w:position w:val="0"/>
          <w:lang w:val="zh-CN" w:eastAsia="zh-CN" w:bidi="zh-CN"/>
        </w:rPr>
        <w:t>。”经</w:t>
      </w:r>
      <w:r>
        <w:rPr>
          <w:color w:val="000000"/>
          <w:spacing w:val="0"/>
          <w:w w:val="100"/>
          <w:position w:val="0"/>
        </w:rPr>
        <w:t>陈小建认可,费俊玮给唐虎威签署《授权委托书》，载明：“费俊玮作为委托 人已将奔驰车抵押给乙方,如委托人未能按期回赎该汽车导致绝押的，委托人授权受托人 全权(办理)出售该汽车和办理汽车过户手续等事宜。在办理过程中受托人所签署的一切 法律文件，委托人均予以承认，并负责全部法律、经济责任</w:t>
      </w:r>
      <w:r>
        <w:rPr>
          <w:color w:val="000000"/>
          <w:spacing w:val="0"/>
          <w:w w:val="100"/>
          <w:position w:val="0"/>
          <w:lang w:val="zh-CN" w:eastAsia="zh-CN" w:bidi="zh-CN"/>
        </w:rPr>
        <w:t>。”陈</w:t>
      </w:r>
      <w:r>
        <w:rPr>
          <w:color w:val="000000"/>
          <w:spacing w:val="0"/>
          <w:w w:val="100"/>
          <w:position w:val="0"/>
        </w:rPr>
        <w:t>小建将涉案奔驰车交付给唐 虎威。借款届期后，唐虎威于</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日将涉案奔驰车卖给了冷泠泠。</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日，涉案奔驰车完成了过户登记，登记在了冷泠泠名下。</w:t>
      </w:r>
    </w:p>
    <w:p w14:paraId="35120D17">
      <w:pPr>
        <w:pStyle w:val="11"/>
        <w:keepNext w:val="0"/>
        <w:keepLines w:val="0"/>
        <w:widowControl w:val="0"/>
        <w:shd w:val="clear" w:color="auto" w:fill="auto"/>
        <w:bidi w:val="0"/>
        <w:spacing w:before="0" w:after="100" w:line="343"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79C24EE5">
      <w:pPr>
        <w:pStyle w:val="17"/>
        <w:keepNext w:val="0"/>
        <w:keepLines w:val="0"/>
        <w:widowControl w:val="0"/>
        <w:shd w:val="clear" w:color="auto" w:fill="auto"/>
        <w:bidi w:val="0"/>
        <w:spacing w:before="0" w:after="380" w:line="342" w:lineRule="exact"/>
        <w:ind w:left="0" w:right="0" w:firstLine="420"/>
        <w:jc w:val="both"/>
        <w:sectPr>
          <w:footnotePr>
            <w:numFmt w:val="chicago"/>
          </w:footnotePr>
          <w:type w:val="continuous"/>
          <w:pgSz w:w="10099" w:h="14782"/>
          <w:pgMar w:top="1261" w:right="989" w:bottom="1088" w:left="1114" w:header="833" w:footer="660" w:gutter="0"/>
          <w:cols w:space="720" w:num="1"/>
          <w:rtlGutter w:val="0"/>
          <w:docGrid w:linePitch="360" w:charSpace="0"/>
        </w:sectPr>
      </w:pPr>
      <w:r>
        <w:rPr>
          <w:color w:val="000000"/>
          <w:spacing w:val="0"/>
          <w:w w:val="100"/>
          <w:position w:val="0"/>
        </w:rPr>
        <w:t>陈小建为费俊玮向唐虎威借款提供涉案奔驰车作为借款的担保，并将奔驰车交付给唐 虎威，双方形成质押合同关系。唐虎威与陈小建签订的《机动车质押合同》第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条中关于 </w:t>
      </w:r>
      <w:r>
        <w:rPr>
          <w:color w:val="000000"/>
          <w:spacing w:val="0"/>
          <w:w w:val="100"/>
          <w:position w:val="0"/>
          <w:lang w:val="zh-CN" w:eastAsia="zh-CN" w:bidi="zh-CN"/>
        </w:rPr>
        <w:t>“续</w:t>
      </w:r>
      <w:r>
        <w:rPr>
          <w:color w:val="000000"/>
          <w:spacing w:val="0"/>
          <w:w w:val="100"/>
          <w:position w:val="0"/>
        </w:rPr>
        <w:t xml:space="preserve">借期超过三天再不赎回即视为陈小建自愿放弃回赎权，唐虎威拥有机动车所有权并有 支配其转移权且转让权”的约定，以及费俊玮签署的《承诺书》与《授权委托书》中约定在质 </w:t>
      </w:r>
    </w:p>
    <w:p w14:paraId="22244063">
      <w:pPr>
        <w:pStyle w:val="17"/>
        <w:keepNext w:val="0"/>
        <w:keepLines w:val="0"/>
        <w:widowControl w:val="0"/>
        <w:shd w:val="clear" w:color="auto" w:fill="auto"/>
        <w:bidi w:val="0"/>
        <w:spacing w:before="0" w:after="380" w:line="342" w:lineRule="exact"/>
        <w:ind w:left="0" w:right="0" w:firstLine="0"/>
        <w:jc w:val="both"/>
      </w:pPr>
      <w:r>
        <w:rPr>
          <w:color w:val="000000"/>
          <w:spacing w:val="0"/>
          <w:w w:val="100"/>
          <w:position w:val="0"/>
        </w:rPr>
        <w:t>押奔驰车出现绝押时，同意且授权唐虎威办理该机动车拍卖、转让、出售等事宜，均违反了 《物权法》第</w:t>
      </w:r>
      <w:r>
        <w:rPr>
          <w:rFonts w:ascii="Times New Roman" w:hAnsi="Times New Roman" w:eastAsia="Times New Roman" w:cs="Times New Roman"/>
          <w:color w:val="000000"/>
          <w:spacing w:val="0"/>
          <w:w w:val="100"/>
          <w:position w:val="0"/>
          <w:sz w:val="19"/>
          <w:szCs w:val="19"/>
        </w:rPr>
        <w:t>211</w:t>
      </w:r>
      <w:r>
        <w:rPr>
          <w:color w:val="000000"/>
          <w:spacing w:val="0"/>
          <w:w w:val="100"/>
          <w:position w:val="0"/>
        </w:rPr>
        <w:t>条之</w:t>
      </w:r>
      <w:r>
        <w:rPr>
          <w:color w:val="000000"/>
          <w:spacing w:val="0"/>
          <w:w w:val="100"/>
          <w:position w:val="0"/>
          <w:lang w:val="zh-CN" w:eastAsia="zh-CN" w:bidi="zh-CN"/>
        </w:rPr>
        <w:t>“流质</w:t>
      </w:r>
      <w:r>
        <w:rPr>
          <w:color w:val="000000"/>
          <w:spacing w:val="0"/>
          <w:w w:val="100"/>
          <w:position w:val="0"/>
        </w:rPr>
        <w:t>契约之禁止”的规定，为无效约定</w:t>
      </w:r>
    </w:p>
    <w:p w14:paraId="1135B963">
      <w:pPr>
        <w:pStyle w:val="11"/>
        <w:keepNext w:val="0"/>
        <w:keepLines w:val="0"/>
        <w:widowControl w:val="0"/>
        <w:shd w:val="clear" w:color="auto" w:fill="auto"/>
        <w:bidi w:val="0"/>
        <w:spacing w:before="0" w:after="240" w:line="344" w:lineRule="exact"/>
        <w:ind w:left="0" w:right="0" w:firstLine="0"/>
        <w:jc w:val="both"/>
      </w:pPr>
      <w:r>
        <w:rPr>
          <w:color w:val="000000"/>
          <w:spacing w:val="0"/>
          <w:w w:val="100"/>
          <w:position w:val="0"/>
        </w:rPr>
        <w:t>■评析</w:t>
      </w:r>
    </w:p>
    <w:p w14:paraId="4994D6F5">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［Il</w:t>
      </w:r>
      <w:r>
        <w:rPr>
          <w:color w:val="000000"/>
          <w:spacing w:val="0"/>
          <w:w w:val="100"/>
          <w:position w:val="0"/>
        </w:rPr>
        <w:t>本判决的思路和意义</w:t>
      </w:r>
    </w:p>
    <w:p w14:paraId="603C7267">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本案为质押合同纠纷案件，担保人为借贷合同提供质押担保，担保物为机动车。借款 届期未偿付,债权人按质押合同之“绝押”约定,将该机动车卖给第三人并过户登记。出质 人诉诸质权人处分质押物的行为无效。法院认为，质押合同之“绝押”以及债务届期未赎回 即直接取得所有权及转让权等约定内容，因违反原《物权法》禁止流质之规定而无效。最高 人民法院《关于审理买卖合同纠纷案件适用法律问题的解释》［法释</w:t>
      </w:r>
      <w:r>
        <w:rPr>
          <w:rFonts w:ascii="Times New Roman" w:hAnsi="Times New Roman" w:eastAsia="Times New Roman" w:cs="Times New Roman"/>
          <w:color w:val="000000"/>
          <w:spacing w:val="0"/>
          <w:w w:val="100"/>
          <w:position w:val="0"/>
          <w:sz w:val="19"/>
          <w:szCs w:val="19"/>
        </w:rPr>
        <w:t>(2012)8</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款规定:“当事人一方以出卖人在缔约时对标的物没有所有权或者处分权为由主张合同无 效的，人民法院不予支持</w:t>
      </w:r>
      <w:r>
        <w:rPr>
          <w:color w:val="000000"/>
          <w:spacing w:val="0"/>
          <w:w w:val="100"/>
          <w:position w:val="0"/>
          <w:lang w:val="zh-CN" w:eastAsia="zh-CN" w:bidi="zh-CN"/>
        </w:rPr>
        <w:t>。”当</w:t>
      </w:r>
      <w:r>
        <w:rPr>
          <w:color w:val="000000"/>
          <w:spacing w:val="0"/>
          <w:w w:val="100"/>
          <w:position w:val="0"/>
        </w:rPr>
        <w:t>事人诉请处分行为无效，不予支持。但因处分行为给质押人 造成的损失应予赔偿。本案为典型的流质契约无效之案例，对于禁止流质条款的适用具有 普遍意义。</w:t>
      </w:r>
    </w:p>
    <w:p w14:paraId="3E0FE0D6">
      <w:pPr>
        <w:pStyle w:val="17"/>
        <w:keepNext w:val="0"/>
        <w:keepLines w:val="0"/>
        <w:widowControl w:val="0"/>
        <w:shd w:val="clear" w:color="auto" w:fill="auto"/>
        <w:bidi w:val="0"/>
        <w:spacing w:before="0" w:after="160" w:line="344" w:lineRule="exact"/>
        <w:ind w:left="0" w:right="0" w:firstLine="0"/>
        <w:jc w:val="both"/>
      </w:pPr>
      <w:r>
        <w:rPr>
          <w:color w:val="000000"/>
          <w:spacing w:val="0"/>
          <w:w w:val="100"/>
          <w:position w:val="0"/>
        </w:rPr>
        <w:t>闺规范及学理</w:t>
      </w:r>
    </w:p>
    <w:p w14:paraId="5AEF386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流质契约之禁止，为罗马法以来之一般规则。立法例上,《德国民法典》第</w:t>
      </w:r>
      <w:r>
        <w:rPr>
          <w:rFonts w:ascii="Times New Roman" w:hAnsi="Times New Roman" w:eastAsia="Times New Roman" w:cs="Times New Roman"/>
          <w:color w:val="000000"/>
          <w:spacing w:val="0"/>
          <w:w w:val="100"/>
          <w:position w:val="0"/>
          <w:sz w:val="19"/>
          <w:szCs w:val="19"/>
        </w:rPr>
        <w:t>1229</w:t>
      </w:r>
      <w:r>
        <w:rPr>
          <w:color w:val="000000"/>
          <w:spacing w:val="0"/>
          <w:w w:val="100"/>
          <w:position w:val="0"/>
        </w:rPr>
        <w:t>条、《瑞 士民法典》第</w:t>
      </w:r>
      <w:r>
        <w:rPr>
          <w:rFonts w:ascii="Times New Roman" w:hAnsi="Times New Roman" w:eastAsia="Times New Roman" w:cs="Times New Roman"/>
          <w:color w:val="000000"/>
          <w:spacing w:val="0"/>
          <w:w w:val="100"/>
          <w:position w:val="0"/>
          <w:sz w:val="19"/>
          <w:szCs w:val="19"/>
        </w:rPr>
        <w:t>894</w:t>
      </w:r>
      <w:r>
        <w:rPr>
          <w:color w:val="000000"/>
          <w:spacing w:val="0"/>
          <w:w w:val="100"/>
          <w:position w:val="0"/>
        </w:rPr>
        <w:t>条皆有相同之规定。在履行期届满之前，约定所有权的直接归属被认为 是一种私人执行，该私人执行被法律所禁止，其核心思想在于保护债务人。在此，立法者作 了 一个假定，即借贷之债务人于借贷时多因窘迫处于交易之弱势地位，债权人则利用此一 机会，以优势之交易地位迫使债务人订立流质契约。又担保物之价值通常高于债务额，若 承认流质契约之效力，则一旦债务人届期不能偿还债务，担保物即归债权人所有，致债权人 取得高于债权额之利益，有失公平。再者，担保之设立乃在于标的物之价值权的实现，而非 标的物所有权之取得，若允许订立流质契约,担保之价值权即被转换为标的物之所有权，此 与担保设立的目的不合。基于上述理由，立法一般不允许订立流质契约，订立流质契约者， 亦为无效之约定。</w:t>
      </w:r>
    </w:p>
    <w:p w14:paraId="508B024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从原《物权法》第</w:t>
      </w:r>
      <w:r>
        <w:rPr>
          <w:rFonts w:ascii="Times New Roman" w:hAnsi="Times New Roman" w:eastAsia="Times New Roman" w:cs="Times New Roman"/>
          <w:color w:val="000000"/>
          <w:spacing w:val="0"/>
          <w:w w:val="100"/>
          <w:position w:val="0"/>
          <w:sz w:val="19"/>
          <w:szCs w:val="19"/>
        </w:rPr>
        <w:t>211</w:t>
      </w:r>
      <w:r>
        <w:rPr>
          <w:color w:val="000000"/>
          <w:spacing w:val="0"/>
          <w:w w:val="100"/>
          <w:position w:val="0"/>
        </w:rPr>
        <w:t>条之“不得与出质人约定</w:t>
      </w:r>
      <w:r>
        <w:rPr>
          <w:color w:val="000000"/>
          <w:spacing w:val="0"/>
          <w:w w:val="100"/>
          <w:position w:val="0"/>
          <w:lang w:val="zh-CN" w:eastAsia="zh-CN" w:bidi="zh-CN"/>
        </w:rPr>
        <w:t>”之用</w:t>
      </w:r>
      <w:r>
        <w:rPr>
          <w:color w:val="000000"/>
          <w:spacing w:val="0"/>
          <w:w w:val="100"/>
          <w:position w:val="0"/>
        </w:rPr>
        <w:t>语上看</w:t>
      </w:r>
      <w:r>
        <w:rPr>
          <w:color w:val="000000"/>
          <w:spacing w:val="0"/>
          <w:w w:val="100"/>
          <w:position w:val="0"/>
          <w:lang w:val="zh-CN" w:eastAsia="zh-CN" w:bidi="zh-CN"/>
        </w:rPr>
        <w:t>，“不</w:t>
      </w:r>
      <w:r>
        <w:rPr>
          <w:color w:val="000000"/>
          <w:spacing w:val="0"/>
          <w:w w:val="100"/>
          <w:position w:val="0"/>
        </w:rPr>
        <w:t>得</w:t>
      </w:r>
      <w:r>
        <w:rPr>
          <w:color w:val="000000"/>
          <w:spacing w:val="0"/>
          <w:w w:val="100"/>
          <w:position w:val="0"/>
          <w:lang w:val="zh-CN" w:eastAsia="zh-CN" w:bidi="zh-CN"/>
        </w:rPr>
        <w:t>”意味</w:t>
      </w:r>
      <w:r>
        <w:rPr>
          <w:color w:val="000000"/>
          <w:spacing w:val="0"/>
          <w:w w:val="100"/>
          <w:position w:val="0"/>
        </w:rPr>
        <w:t>着禁止某种行 为，即民法禁止当事人在质押合同中作“债务人不履行到期债务时质押财产归债权人所有” 之约定。从规范属性上看，第</w:t>
      </w:r>
      <w:r>
        <w:rPr>
          <w:rFonts w:ascii="Times New Roman" w:hAnsi="Times New Roman" w:eastAsia="Times New Roman" w:cs="Times New Roman"/>
          <w:color w:val="000000"/>
          <w:spacing w:val="0"/>
          <w:w w:val="100"/>
          <w:position w:val="0"/>
          <w:sz w:val="19"/>
          <w:szCs w:val="19"/>
        </w:rPr>
        <w:t>211</w:t>
      </w:r>
      <w:r>
        <w:rPr>
          <w:color w:val="000000"/>
          <w:spacing w:val="0"/>
          <w:w w:val="100"/>
          <w:position w:val="0"/>
        </w:rPr>
        <w:t>条应属于效力性禁止性规范，而非管理性强制性规范，前 者所禁止者为法律行为之内容，后者一般针对主体之资质问题。违反效力性禁止性规范， 合同即为无效。违反管理性强制性规范，合同一般仍为有效。唯应注意者，所谓流质契约无 效系指该流质约定之条款无效，而非指整个质押合同无效。流质条款无效一般不影响质押 合同的效力，因而质权之设立仍然成立，债权人仍享有质权。在债权届期债务人未偿还债 权时，质权人可行使质权。《德国民法典》第</w:t>
      </w:r>
      <w:r>
        <w:rPr>
          <w:rFonts w:ascii="Times New Roman" w:hAnsi="Times New Roman" w:eastAsia="Times New Roman" w:cs="Times New Roman"/>
          <w:color w:val="000000"/>
          <w:spacing w:val="0"/>
          <w:w w:val="100"/>
          <w:position w:val="0"/>
          <w:sz w:val="19"/>
          <w:szCs w:val="19"/>
        </w:rPr>
        <w:t>139</w:t>
      </w:r>
      <w:r>
        <w:rPr>
          <w:color w:val="000000"/>
          <w:spacing w:val="0"/>
          <w:w w:val="100"/>
          <w:position w:val="0"/>
        </w:rPr>
        <w:t>条规定：</w:t>
      </w:r>
      <w:r>
        <w:rPr>
          <w:color w:val="000000"/>
          <w:spacing w:val="0"/>
          <w:w w:val="100"/>
          <w:position w:val="0"/>
          <w:lang w:val="zh-CN" w:eastAsia="zh-CN" w:bidi="zh-CN"/>
        </w:rPr>
        <w:t>“法律</w:t>
      </w:r>
      <w:r>
        <w:rPr>
          <w:color w:val="000000"/>
          <w:spacing w:val="0"/>
          <w:w w:val="100"/>
          <w:position w:val="0"/>
        </w:rPr>
        <w:t>行为的一部分无效的，如不 能认为除去无效的部分，该法律行为仍会被实施，则整个法律行为无效。</w:t>
      </w:r>
      <w:r>
        <w:rPr>
          <w:color w:val="000000"/>
          <w:spacing w:val="0"/>
          <w:w w:val="100"/>
          <w:position w:val="0"/>
          <w:lang w:val="zh-CN" w:eastAsia="zh-CN" w:bidi="zh-CN"/>
        </w:rPr>
        <w:t>”质押</w:t>
      </w:r>
      <w:r>
        <w:rPr>
          <w:color w:val="000000"/>
          <w:spacing w:val="0"/>
          <w:w w:val="100"/>
          <w:position w:val="0"/>
        </w:rPr>
        <w:t>契约中，流质 条款的除去并不影响法律行为的实施。</w:t>
      </w:r>
    </w:p>
    <w:p w14:paraId="5F22EE3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以担保物之价值来实现债权与以担保物所有权来实现债权，其本质区别在于前者需要 通过特定的程序，后者不需要通过特定的程序而是直接取得所有权。担保物权作为从属于 主债权之权利，其目的在于确保主债权之实现，故需要实现的债权必定在主债权范围之内， 为了确保担保物价值与主债权在额度上的等价，法律设置了担保物权的实现程序，拍卖、变 卖等清算程序的目的即在于确保担保物价值与主债权额的平衡，避免债务人因担保遭受不 当的损失。担保期间，担保物之价值尤其如土地之价值可能会发生大幅波动，由债权人直 接取得所有权，可能导致其获得巨大不当利益,故至债务届期后需要重新估算担保物之价 值。《民法典》第</w:t>
      </w:r>
      <w:r>
        <w:rPr>
          <w:rFonts w:ascii="Times New Roman" w:hAnsi="Times New Roman" w:eastAsia="Times New Roman" w:cs="Times New Roman"/>
          <w:color w:val="000000"/>
          <w:spacing w:val="0"/>
          <w:w w:val="100"/>
          <w:position w:val="0"/>
          <w:sz w:val="19"/>
          <w:szCs w:val="19"/>
        </w:rPr>
        <w:t>436</w:t>
      </w:r>
      <w:r>
        <w:rPr>
          <w:color w:val="000000"/>
          <w:spacing w:val="0"/>
          <w:w w:val="100"/>
          <w:position w:val="0"/>
        </w:rPr>
        <w:t>条规定之折价、拍卖、变卖等程序皆为重新估价的一种方式。未经此 等程序，约定担保物直接由债权人取得所有权的，结果上会导致担保人与债权人之间的利 益失衡。故立法者对此类约定一概予以禁止。</w:t>
      </w:r>
    </w:p>
    <w:p w14:paraId="1FEA2EA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我国物权法立法当时亦有观点认为流质契约不应一概予以禁止，而应承认其效力。其 理由是禁止流质与当事人之意思自治原则相悖,担保物之价值亦可能因市场波动下降而非 必定上升，流质契约对债务人不一定就是不利益，故法律应尊重当事人之自治。但原《物权 法》并未采纳上述意见，立法者认为,虽然形式上看是自愿，但实质上很难判断自愿与否，也 可能存在胁迫。笔者认为，该理由很难成立，立法者预先推断当事人之约定是否出于自愿 从而一概禁止，似乎不妥。即便存在胁迫，当事人仍有救济渠道，可以依原《合同法》撤销， 一概禁止反而过多干涉了意思自治与自主决定。真正的理由是法律既应保护债务人也应 保护债权人，如果因担保物价值大大升高而有必要禁止流质，那么，基于同样的理由，担保 物价值可能大大降低也需保护债权人而有必要禁止流质。公平乃是流质禁止之核心理由。</w:t>
      </w:r>
    </w:p>
    <w:p w14:paraId="5FF575D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当今立法亦有承认流质契约之效力的立法例，如我国台湾地区</w:t>
      </w:r>
      <w:r>
        <w:rPr>
          <w:color w:val="000000"/>
          <w:spacing w:val="0"/>
          <w:w w:val="100"/>
          <w:position w:val="0"/>
          <w:lang w:val="zh-CN" w:eastAsia="zh-CN" w:bidi="zh-CN"/>
        </w:rPr>
        <w:t>“民</w:t>
      </w:r>
      <w:r>
        <w:rPr>
          <w:color w:val="000000"/>
          <w:spacing w:val="0"/>
          <w:w w:val="100"/>
          <w:position w:val="0"/>
        </w:rPr>
        <w:t>法”。从我国台湾地 区的民法学说和立法来看，立法上逐渐摒弃流质契约无效之观点，而改采未经登记不得对 抗第三人之法理,我国台湾地区</w:t>
      </w:r>
      <w:r>
        <w:rPr>
          <w:color w:val="000000"/>
          <w:spacing w:val="0"/>
          <w:w w:val="100"/>
          <w:position w:val="0"/>
          <w:lang w:val="zh-CN" w:eastAsia="zh-CN" w:bidi="zh-CN"/>
        </w:rPr>
        <w:t>“民法”第</w:t>
      </w:r>
      <w:r>
        <w:rPr>
          <w:rFonts w:ascii="Times New Roman" w:hAnsi="Times New Roman" w:eastAsia="Times New Roman" w:cs="Times New Roman"/>
          <w:color w:val="000000"/>
          <w:spacing w:val="0"/>
          <w:w w:val="100"/>
          <w:position w:val="0"/>
          <w:sz w:val="19"/>
          <w:szCs w:val="19"/>
        </w:rPr>
        <w:t>873</w:t>
      </w:r>
      <w:r>
        <w:rPr>
          <w:color w:val="000000"/>
          <w:spacing w:val="0"/>
          <w:w w:val="100"/>
          <w:position w:val="0"/>
        </w:rPr>
        <w:t>条之一规定</w:t>
      </w:r>
      <w:r>
        <w:rPr>
          <w:color w:val="000000"/>
          <w:spacing w:val="0"/>
          <w:w w:val="100"/>
          <w:position w:val="0"/>
          <w:lang w:val="zh-CN" w:eastAsia="zh-CN" w:bidi="zh-CN"/>
        </w:rPr>
        <w:t>，“约</w:t>
      </w:r>
      <w:r>
        <w:rPr>
          <w:color w:val="000000"/>
          <w:spacing w:val="0"/>
          <w:w w:val="100"/>
          <w:position w:val="0"/>
        </w:rPr>
        <w:t>定于债权已届清偿期而未为 清偿时，抵押物之所有权移属于抵押权人者，非经登记,不得对抗第三人”。第</w:t>
      </w:r>
      <w:r>
        <w:rPr>
          <w:rFonts w:ascii="Times New Roman" w:hAnsi="Times New Roman" w:eastAsia="Times New Roman" w:cs="Times New Roman"/>
          <w:color w:val="000000"/>
          <w:spacing w:val="0"/>
          <w:w w:val="100"/>
          <w:position w:val="0"/>
          <w:sz w:val="19"/>
          <w:szCs w:val="19"/>
        </w:rPr>
        <w:t>893</w:t>
      </w:r>
      <w:r>
        <w:rPr>
          <w:color w:val="000000"/>
          <w:spacing w:val="0"/>
          <w:w w:val="100"/>
          <w:position w:val="0"/>
        </w:rPr>
        <w:t>条规定 流质契约之禁止准用第</w:t>
      </w:r>
      <w:r>
        <w:rPr>
          <w:rFonts w:ascii="Times New Roman" w:hAnsi="Times New Roman" w:eastAsia="Times New Roman" w:cs="Times New Roman"/>
          <w:color w:val="000000"/>
          <w:spacing w:val="0"/>
          <w:w w:val="100"/>
          <w:position w:val="0"/>
          <w:sz w:val="19"/>
          <w:szCs w:val="19"/>
        </w:rPr>
        <w:t>873</w:t>
      </w:r>
      <w:r>
        <w:rPr>
          <w:color w:val="000000"/>
          <w:spacing w:val="0"/>
          <w:w w:val="100"/>
          <w:position w:val="0"/>
        </w:rPr>
        <w:t>条之一之规定。流质契约从无效到有效,背后是法政策判断的 变化，有效在一定程度上更加尊重私人自治之私法原则。当然在立法技术上，改采有效之 后，尚应解决因所有权直接归属变动带来的与原债务之差额部分，应配以清算条款以平衡 当事人之间的利益关系。</w:t>
      </w:r>
    </w:p>
    <w:p w14:paraId="003FE07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本案中，《机动车质押合同》《承诺书》《授权委托书》均载明债务届期不赎回的为</w:t>
      </w:r>
      <w:r>
        <w:rPr>
          <w:color w:val="000000"/>
          <w:spacing w:val="0"/>
          <w:w w:val="100"/>
          <w:position w:val="0"/>
          <w:lang w:val="zh-CN" w:eastAsia="zh-CN" w:bidi="zh-CN"/>
        </w:rPr>
        <w:t xml:space="preserve">“绝 </w:t>
      </w:r>
      <w:r>
        <w:rPr>
          <w:color w:val="000000"/>
          <w:spacing w:val="0"/>
          <w:w w:val="100"/>
          <w:position w:val="0"/>
        </w:rPr>
        <w:t>押”，</w:t>
      </w:r>
      <w:r>
        <w:rPr>
          <w:color w:val="000000"/>
          <w:spacing w:val="0"/>
          <w:w w:val="100"/>
          <w:position w:val="0"/>
          <w:lang w:val="zh-CN" w:eastAsia="zh-CN" w:bidi="zh-CN"/>
        </w:rPr>
        <w:t>“赎回”可以</w:t>
      </w:r>
      <w:r>
        <w:rPr>
          <w:color w:val="000000"/>
          <w:spacing w:val="0"/>
          <w:w w:val="100"/>
          <w:position w:val="0"/>
        </w:rPr>
        <w:t>理解为</w:t>
      </w:r>
      <w:r>
        <w:rPr>
          <w:color w:val="000000"/>
          <w:spacing w:val="0"/>
          <w:w w:val="100"/>
          <w:position w:val="0"/>
          <w:lang w:val="zh-CN" w:eastAsia="zh-CN" w:bidi="zh-CN"/>
        </w:rPr>
        <w:t>“担保</w:t>
      </w:r>
      <w:r>
        <w:rPr>
          <w:color w:val="000000"/>
          <w:spacing w:val="0"/>
          <w:w w:val="100"/>
          <w:position w:val="0"/>
        </w:rPr>
        <w:t>债务之</w:t>
      </w:r>
      <w:r>
        <w:rPr>
          <w:color w:val="000000"/>
          <w:spacing w:val="0"/>
          <w:w w:val="100"/>
          <w:position w:val="0"/>
          <w:lang w:val="zh-CN" w:eastAsia="zh-CN" w:bidi="zh-CN"/>
        </w:rPr>
        <w:t>清偿”，“绝</w:t>
      </w:r>
      <w:r>
        <w:rPr>
          <w:color w:val="000000"/>
          <w:spacing w:val="0"/>
          <w:w w:val="100"/>
          <w:position w:val="0"/>
        </w:rPr>
        <w:t>押，，即流质约定，机动车之所有权即归债权 人。本案当事人的上述约定为典型的流质契约。法院裁判明确否定其效力。本案中，法院 未作探讨的是,质押人陈小建为借名购车人，机动车之登记产权人为魏子杨,陈小建借魏子 杨之购车指标买车,法院直接认可质押合同成立，意味着陈小建为机动车之所有权人。在 借名关系中，究竟是由借名人还是出名人取得所有权，尚有争议，应予注意。若是不承认借 名人之所有权取得，那么陈小建的岀质行为就构成无权处分，第三人尚需符合善意取得要 件才能成立质权。</w:t>
      </w:r>
    </w:p>
    <w:p w14:paraId="0BEE40AD">
      <w:pPr>
        <w:pStyle w:val="17"/>
        <w:keepNext w:val="0"/>
        <w:keepLines w:val="0"/>
        <w:widowControl w:val="0"/>
        <w:shd w:val="clear" w:color="auto" w:fill="auto"/>
        <w:bidi w:val="0"/>
        <w:spacing w:before="0" w:after="160" w:line="344" w:lineRule="exact"/>
        <w:ind w:left="0" w:right="0" w:firstLine="0"/>
        <w:jc w:val="left"/>
      </w:pPr>
      <w:r>
        <w:rPr>
          <w:color w:val="000000"/>
          <w:spacing w:val="0"/>
          <w:w w:val="100"/>
          <w:position w:val="0"/>
        </w:rPr>
        <w:t>回既有司法实践状况</w:t>
      </w:r>
    </w:p>
    <w:p w14:paraId="30BC4C2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实务上，流质契约的界定以质押合同关系成立为前提，若未成立质押合同关系的，则不 能认定为流质契约，自不能适用流质契约之禁止的规定。在“上海德坤国际贸易有限公司 与上海埃力生进出口股份有限公司进出口代理合同纠纷案</w:t>
      </w:r>
      <w:r>
        <w:rPr>
          <w:color w:val="000000"/>
          <w:spacing w:val="0"/>
          <w:w w:val="100"/>
          <w:position w:val="0"/>
          <w:lang w:val="zh-CN" w:eastAsia="zh-CN" w:bidi="zh-CN"/>
        </w:rPr>
        <w:t>”［上</w:t>
      </w:r>
      <w:r>
        <w:rPr>
          <w:color w:val="000000"/>
          <w:spacing w:val="0"/>
          <w:w w:val="100"/>
          <w:position w:val="0"/>
        </w:rPr>
        <w:t>海市第一中级人民法院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2004） </w:t>
      </w:r>
      <w:r>
        <w:rPr>
          <w:color w:val="000000"/>
          <w:spacing w:val="0"/>
          <w:w w:val="100"/>
          <w:position w:val="0"/>
        </w:rPr>
        <w:t>沪一中民四（商）初字第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号民事判决书］中,原告与被告签订两份《代理进口合同》，并以附件的 形式对双方的权利义务进行约定,其中第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款规定:“如乙方（即原告）未能按本协议 规定如期付清货款及代理手续费，甲方有权终止本协议，享有货物单证项下的所有权,已付 甲方的预付款有权不再返回乙方,并可处分货物，所得款项及代理进口保证金抵扣进口货 款、税金及有关费用、利息等，尚不足以抵扣的乙方应予以赔偿</w:t>
      </w:r>
      <w:r>
        <w:rPr>
          <w:color w:val="000000"/>
          <w:spacing w:val="0"/>
          <w:w w:val="100"/>
          <w:position w:val="0"/>
          <w:lang w:val="zh-CN" w:eastAsia="zh-CN" w:bidi="zh-CN"/>
        </w:rPr>
        <w:t>。”当</w:t>
      </w:r>
      <w:r>
        <w:rPr>
          <w:color w:val="000000"/>
          <w:spacing w:val="0"/>
          <w:w w:val="100"/>
          <w:position w:val="0"/>
        </w:rPr>
        <w:t>事人主张该条款为流质 条款，应属无效。法院认为，质押合同既是要式合同又是要物合同，而流质契约建立在质押 合同情形之下。本案中，双方并无建立质押合同法律关系的意思表示，故系争约定不符合 流质契约之法定构成要件。</w:t>
      </w:r>
    </w:p>
    <w:p w14:paraId="317579B1">
      <w:pPr>
        <w:pStyle w:val="17"/>
        <w:keepNext w:val="0"/>
        <w:keepLines w:val="0"/>
        <w:widowControl w:val="0"/>
        <w:shd w:val="clear" w:color="auto" w:fill="auto"/>
        <w:bidi w:val="0"/>
        <w:spacing w:before="0" w:after="300" w:line="345" w:lineRule="exact"/>
        <w:ind w:left="0" w:right="0" w:firstLine="420"/>
        <w:jc w:val="both"/>
      </w:pPr>
      <w:r>
        <w:rPr>
          <w:color w:val="000000"/>
          <w:spacing w:val="0"/>
          <w:w w:val="100"/>
          <w:position w:val="0"/>
        </w:rPr>
        <w:t>在“李其华与吕泽真返还原物纠纷案，，［北京市第二中级人民法院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二中民终字第</w:t>
      </w:r>
      <w:r>
        <w:rPr>
          <w:rFonts w:ascii="Times New Roman" w:hAnsi="Times New Roman" w:eastAsia="Times New Roman" w:cs="Times New Roman"/>
          <w:color w:val="000000"/>
          <w:spacing w:val="0"/>
          <w:w w:val="100"/>
          <w:position w:val="0"/>
          <w:sz w:val="17"/>
          <w:szCs w:val="17"/>
        </w:rPr>
        <w:t xml:space="preserve">05404 </w:t>
      </w:r>
      <w:r>
        <w:rPr>
          <w:color w:val="000000"/>
          <w:spacing w:val="0"/>
          <w:w w:val="100"/>
          <w:position w:val="0"/>
        </w:rPr>
        <w:t>号民事判决书］中，吕泽真为李其华支付农民工工资，吕泽真支付后，李其华将其车辆交付给 吕泽真,并承诺到期不偿还此债,即将案涉车辆赔偿给吕泽真，并配合办理过户手续。该案 的争议焦点是，双方以物抵债的约定是否属于流质契约。法院从流质契约法律关系、流质 契约订立的时间、实现债权的程序等方面进行审查，认为李其华在债权成立时即将车辆交 付给债权人吕泽真占有，其行为的后果成立质押担保。以物抵债是债权届期后成立的协 议，而流质契约是债权届期前成立的，故本案属于流质契约,应认定无效。在</w:t>
      </w:r>
      <w:r>
        <w:rPr>
          <w:color w:val="000000"/>
          <w:spacing w:val="0"/>
          <w:w w:val="100"/>
          <w:position w:val="0"/>
          <w:lang w:val="zh-CN" w:eastAsia="zh-CN" w:bidi="zh-CN"/>
        </w:rPr>
        <w:t>“福海</w:t>
      </w:r>
      <w:r>
        <w:rPr>
          <w:color w:val="000000"/>
          <w:spacing w:val="0"/>
          <w:w w:val="100"/>
          <w:position w:val="0"/>
        </w:rPr>
        <w:t>县一八 二团双庆玉米烘干农民专业合作社与温泉县中玉仓储物流有限公司买卖合同纠纷案”</w:t>
      </w:r>
      <w:r>
        <w:rPr>
          <w:color w:val="000000"/>
          <w:spacing w:val="0"/>
          <w:w w:val="100"/>
          <w:position w:val="0"/>
          <w:lang w:val="en-US" w:eastAsia="en-US" w:bidi="en-US"/>
        </w:rPr>
        <w:t>［</w:t>
      </w:r>
      <w:r>
        <w:rPr>
          <w:color w:val="000000"/>
          <w:spacing w:val="0"/>
          <w:w w:val="100"/>
          <w:position w:val="0"/>
        </w:rPr>
        <w:t>新疆 博尔塔拉蒙古自治州中级人民法院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博中民二终字第</w:t>
      </w:r>
      <w:r>
        <w:rPr>
          <w:rFonts w:ascii="Times New Roman" w:hAnsi="Times New Roman" w:eastAsia="Times New Roman" w:cs="Times New Roman"/>
          <w:color w:val="000000"/>
          <w:spacing w:val="0"/>
          <w:w w:val="100"/>
          <w:position w:val="0"/>
          <w:sz w:val="17"/>
          <w:szCs w:val="17"/>
        </w:rPr>
        <w:t>59</w:t>
      </w:r>
      <w:r>
        <w:rPr>
          <w:color w:val="000000"/>
          <w:spacing w:val="0"/>
          <w:w w:val="100"/>
          <w:position w:val="0"/>
        </w:rPr>
        <w:t>号民事判决书］中，双方订立《还款质 押合同》,其中约定债务如期未清偿的，债权人直接取得标的物之所有权，同意以物抵债。 上诉人认为该质押合同是在债务履行期满后订立的，性质为以物抵债，应为有效。法院认 为该协议为流质契约，系无效约定。在以物抵债与流质契约的区分上，法院往往以协议订 立的时间点为判断，原《物权法》第</w:t>
      </w:r>
      <w:r>
        <w:rPr>
          <w:rFonts w:ascii="Times New Roman" w:hAnsi="Times New Roman" w:eastAsia="Times New Roman" w:cs="Times New Roman"/>
          <w:color w:val="000000"/>
          <w:spacing w:val="0"/>
          <w:w w:val="100"/>
          <w:position w:val="0"/>
          <w:sz w:val="17"/>
          <w:szCs w:val="17"/>
        </w:rPr>
        <w:t>211</w:t>
      </w:r>
      <w:r>
        <w:rPr>
          <w:color w:val="000000"/>
          <w:spacing w:val="0"/>
          <w:w w:val="100"/>
          <w:position w:val="0"/>
        </w:rPr>
        <w:t>条所规定的流质契约乃是债务履行期届满前的所有 权移转约定,而以物抵债是履行期届满之后达成的协议,后者不属于流质契约，在不违反法 律强制性规定的情形下是有效的［如</w:t>
      </w:r>
      <w:r>
        <w:rPr>
          <w:color w:val="000000"/>
          <w:spacing w:val="0"/>
          <w:w w:val="100"/>
          <w:position w:val="0"/>
          <w:lang w:val="zh-CN" w:eastAsia="zh-CN" w:bidi="zh-CN"/>
        </w:rPr>
        <w:t>“青</w:t>
      </w:r>
      <w:r>
        <w:rPr>
          <w:color w:val="000000"/>
          <w:spacing w:val="0"/>
          <w:w w:val="100"/>
          <w:position w:val="0"/>
        </w:rPr>
        <w:t>海昆玉实业投资集团有限公司与青海福果典当有限公司合 同纠纷案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234</w:t>
      </w:r>
      <w:r>
        <w:rPr>
          <w:color w:val="000000"/>
          <w:spacing w:val="0"/>
          <w:w w:val="100"/>
          <w:position w:val="0"/>
        </w:rPr>
        <w:t>号民事判决书］。</w:t>
      </w:r>
    </w:p>
    <w:p w14:paraId="4E5B8BBF">
      <w:pPr>
        <w:pStyle w:val="17"/>
        <w:keepNext w:val="0"/>
        <w:keepLines w:val="0"/>
        <w:widowControl w:val="0"/>
        <w:shd w:val="clear" w:color="auto" w:fill="auto"/>
        <w:bidi w:val="0"/>
        <w:spacing w:before="0" w:after="0" w:line="422"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4C6A61D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本案之裁判遵循了我国关于流质契约无效的一般学理和实务见解,对禁止流质之规定 持效力性禁止性规范之立场，判定流质契约无效。在判定流质契约无效上,在实务中严格 审查流质契约所订立的时间，只有在债务履行期届满前订立的流质契约是无效的约定，而 在履行期届满之后达成的财产归属的约定，属于以物抵债。以物抵债不受流质契约禁止之 规定的影响，属于有效约定。实务上，流质契约之禁止有扩张适用的倾向。在股权担保中， 债务届期后未清偿股权即转移的约定，也被视为流质契约，亦属无效［如</w:t>
      </w:r>
      <w:r>
        <w:rPr>
          <w:color w:val="000000"/>
          <w:spacing w:val="0"/>
          <w:w w:val="100"/>
          <w:position w:val="0"/>
          <w:lang w:val="zh-CN" w:eastAsia="zh-CN" w:bidi="zh-CN"/>
        </w:rPr>
        <w:t>“陈</w:t>
      </w:r>
      <w:r>
        <w:rPr>
          <w:color w:val="000000"/>
          <w:spacing w:val="0"/>
          <w:w w:val="100"/>
          <w:position w:val="0"/>
        </w:rPr>
        <w:t>振伦与臧金仓、第 三人河北恒力空调工程有限公司股权质权纠纷案</w:t>
      </w:r>
      <w:r>
        <w:rPr>
          <w:color w:val="000000"/>
          <w:spacing w:val="0"/>
          <w:w w:val="100"/>
          <w:position w:val="0"/>
          <w:lang w:val="zh-CN" w:eastAsia="zh-CN" w:bidi="zh-CN"/>
        </w:rPr>
        <w:t>”，河</w:t>
      </w:r>
      <w:r>
        <w:rPr>
          <w:color w:val="000000"/>
          <w:spacing w:val="0"/>
          <w:w w:val="100"/>
          <w:position w:val="0"/>
        </w:rPr>
        <w:t>北省枣强县人民法院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枣民三初字第</w:t>
      </w:r>
      <w:r>
        <w:rPr>
          <w:rFonts w:ascii="Times New Roman" w:hAnsi="Times New Roman" w:eastAsia="Times New Roman" w:cs="Times New Roman"/>
          <w:color w:val="000000"/>
          <w:spacing w:val="0"/>
          <w:w w:val="100"/>
          <w:position w:val="0"/>
          <w:sz w:val="17"/>
          <w:szCs w:val="17"/>
        </w:rPr>
        <w:t xml:space="preserve">358 </w:t>
      </w:r>
      <w:r>
        <w:rPr>
          <w:color w:val="000000"/>
          <w:spacing w:val="0"/>
          <w:w w:val="100"/>
          <w:position w:val="0"/>
        </w:rPr>
        <w:t>号民事判决书</w:t>
      </w:r>
      <w:r>
        <w:rPr>
          <w:color w:val="000000"/>
          <w:spacing w:val="0"/>
          <w:w w:val="100"/>
          <w:position w:val="0"/>
          <w:lang w:val="en-US" w:eastAsia="en-US" w:bidi="en-US"/>
        </w:rPr>
        <w:t>］</w:t>
      </w:r>
      <w:r>
        <w:rPr>
          <w:color w:val="000000"/>
          <w:spacing w:val="0"/>
          <w:w w:val="100"/>
          <w:position w:val="0"/>
        </w:rPr>
        <w:t>。但双方如在清偿期届满后达成的《股权转让协议》则被认为是有效的［如</w:t>
      </w:r>
      <w:r>
        <w:rPr>
          <w:color w:val="000000"/>
          <w:spacing w:val="0"/>
          <w:w w:val="100"/>
          <w:position w:val="0"/>
          <w:lang w:val="zh-CN" w:eastAsia="zh-CN" w:bidi="zh-CN"/>
        </w:rPr>
        <w:t xml:space="preserve">“戴 </w:t>
      </w:r>
      <w:r>
        <w:rPr>
          <w:color w:val="000000"/>
          <w:spacing w:val="0"/>
          <w:w w:val="100"/>
          <w:position w:val="0"/>
        </w:rPr>
        <w:t>品荣因与被申请人杨新刚民间借贷、股权质权纠纷案</w:t>
      </w:r>
      <w:r>
        <w:rPr>
          <w:color w:val="000000"/>
          <w:spacing w:val="0"/>
          <w:w w:val="100"/>
          <w:position w:val="0"/>
          <w:lang w:val="zh-CN" w:eastAsia="zh-CN" w:bidi="zh-CN"/>
        </w:rPr>
        <w:t>”，江</w:t>
      </w:r>
      <w:r>
        <w:rPr>
          <w:color w:val="000000"/>
          <w:spacing w:val="0"/>
          <w:w w:val="100"/>
          <w:position w:val="0"/>
        </w:rPr>
        <w:t>苏省高级人民法院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苏民申</w:t>
      </w:r>
      <w:r>
        <w:rPr>
          <w:rFonts w:ascii="Times New Roman" w:hAnsi="Times New Roman" w:eastAsia="Times New Roman" w:cs="Times New Roman"/>
          <w:color w:val="000000"/>
          <w:spacing w:val="0"/>
          <w:w w:val="100"/>
          <w:position w:val="0"/>
          <w:sz w:val="17"/>
          <w:szCs w:val="17"/>
        </w:rPr>
        <w:t>963</w:t>
      </w:r>
      <w:r>
        <w:rPr>
          <w:color w:val="000000"/>
          <w:spacing w:val="0"/>
          <w:w w:val="100"/>
          <w:position w:val="0"/>
        </w:rPr>
        <w:t>号民事 裁定书］。</w:t>
      </w:r>
    </w:p>
    <w:p w14:paraId="0559F497">
      <w:pPr>
        <w:pStyle w:val="17"/>
        <w:keepNext w:val="0"/>
        <w:keepLines w:val="0"/>
        <w:widowControl w:val="0"/>
        <w:shd w:val="clear" w:color="auto" w:fill="auto"/>
        <w:bidi w:val="0"/>
        <w:spacing w:before="0" w:after="360" w:line="334" w:lineRule="exact"/>
        <w:ind w:left="0" w:right="0" w:firstLine="420"/>
        <w:jc w:val="both"/>
      </w:pPr>
      <w:r>
        <w:rPr>
          <w:color w:val="000000"/>
          <w:spacing w:val="0"/>
          <w:w w:val="100"/>
          <w:position w:val="0"/>
        </w:rPr>
        <w:t>立法论上，将来立法是否会如我国台湾地区</w:t>
      </w:r>
      <w:r>
        <w:rPr>
          <w:color w:val="000000"/>
          <w:spacing w:val="0"/>
          <w:w w:val="100"/>
          <w:position w:val="0"/>
          <w:lang w:val="zh-CN" w:eastAsia="zh-CN" w:bidi="zh-CN"/>
        </w:rPr>
        <w:t>“民法”改采</w:t>
      </w:r>
      <w:r>
        <w:rPr>
          <w:color w:val="000000"/>
          <w:spacing w:val="0"/>
          <w:w w:val="100"/>
          <w:position w:val="0"/>
        </w:rPr>
        <w:t>登记对抗主义，尚待实务与学 理的进一步丰富和发展。对此，《民法典》第</w:t>
      </w:r>
      <w:r>
        <w:rPr>
          <w:rFonts w:ascii="Times New Roman" w:hAnsi="Times New Roman" w:eastAsia="Times New Roman" w:cs="Times New Roman"/>
          <w:color w:val="000000"/>
          <w:spacing w:val="0"/>
          <w:w w:val="100"/>
          <w:position w:val="0"/>
          <w:sz w:val="19"/>
          <w:szCs w:val="19"/>
        </w:rPr>
        <w:t>428</w:t>
      </w:r>
      <w:r>
        <w:rPr>
          <w:color w:val="000000"/>
          <w:spacing w:val="0"/>
          <w:w w:val="100"/>
          <w:position w:val="0"/>
        </w:rPr>
        <w:t>条规定:</w:t>
      </w:r>
      <w:r>
        <w:rPr>
          <w:color w:val="000000"/>
          <w:spacing w:val="0"/>
          <w:w w:val="100"/>
          <w:position w:val="0"/>
          <w:lang w:val="zh-CN" w:eastAsia="zh-CN" w:bidi="zh-CN"/>
        </w:rPr>
        <w:t>“质权</w:t>
      </w:r>
      <w:r>
        <w:rPr>
          <w:color w:val="000000"/>
          <w:spacing w:val="0"/>
          <w:w w:val="100"/>
          <w:position w:val="0"/>
        </w:rPr>
        <w:t>人在债务履行期限届满前, 与出质人约定债务人不履行到期债务时质押财产归债权人所有的，只能依法就质押财产优 先受偿</w:t>
      </w:r>
      <w:r>
        <w:rPr>
          <w:color w:val="000000"/>
          <w:spacing w:val="0"/>
          <w:w w:val="100"/>
          <w:position w:val="0"/>
          <w:lang w:val="zh-CN" w:eastAsia="zh-CN" w:bidi="zh-CN"/>
        </w:rPr>
        <w:t>。”围</w:t>
      </w:r>
      <w:r>
        <w:rPr>
          <w:color w:val="000000"/>
          <w:spacing w:val="0"/>
          <w:w w:val="100"/>
          <w:position w:val="0"/>
        </w:rPr>
        <w:t>绕该条的理解，有待今后对实践作岀进一步的观察。</w:t>
      </w:r>
    </w:p>
    <w:p w14:paraId="7708DDE7">
      <w:pPr>
        <w:pStyle w:val="11"/>
        <w:keepNext w:val="0"/>
        <w:keepLines w:val="0"/>
        <w:widowControl w:val="0"/>
        <w:shd w:val="clear" w:color="auto" w:fill="auto"/>
        <w:bidi w:val="0"/>
        <w:spacing w:before="0" w:after="40" w:line="334" w:lineRule="exact"/>
        <w:ind w:left="0" w:right="0" w:firstLine="0"/>
        <w:jc w:val="left"/>
      </w:pPr>
      <w:r>
        <w:rPr>
          <w:i/>
          <w:iCs/>
          <w:color w:val="000000"/>
          <w:spacing w:val="0"/>
          <w:w w:val="100"/>
          <w:position w:val="0"/>
        </w:rPr>
        <w:t>回</w:t>
      </w:r>
      <w:r>
        <w:rPr>
          <w:color w:val="000000"/>
          <w:spacing w:val="0"/>
          <w:w w:val="100"/>
          <w:position w:val="0"/>
        </w:rPr>
        <w:t>参考文献</w:t>
      </w:r>
    </w:p>
    <w:p w14:paraId="0C7C3206">
      <w:pPr>
        <w:pStyle w:val="17"/>
        <w:keepNext w:val="0"/>
        <w:keepLines w:val="0"/>
        <w:widowControl w:val="0"/>
        <w:shd w:val="clear" w:color="auto" w:fill="auto"/>
        <w:bidi w:val="0"/>
        <w:spacing w:before="0" w:after="0" w:line="334" w:lineRule="exact"/>
        <w:ind w:left="0" w:right="0" w:firstLine="0"/>
        <w:jc w:val="both"/>
      </w:pPr>
      <w:r>
        <w:rPr>
          <w:color w:val="000000"/>
          <w:spacing w:val="0"/>
          <w:w w:val="100"/>
          <w:position w:val="0"/>
        </w:rPr>
        <w:t>梁慧星、陈华彬：《物权法》，法律出版社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0EB120E8">
      <w:pPr>
        <w:pStyle w:val="17"/>
        <w:keepNext w:val="0"/>
        <w:keepLines w:val="0"/>
        <w:widowControl w:val="0"/>
        <w:shd w:val="clear" w:color="auto" w:fill="auto"/>
        <w:bidi w:val="0"/>
        <w:spacing w:before="0" w:after="0" w:line="334" w:lineRule="exact"/>
        <w:ind w:left="0" w:right="0" w:firstLine="0"/>
        <w:jc w:val="left"/>
      </w:pPr>
      <w:r>
        <w:rPr>
          <w:color w:val="000000"/>
          <w:spacing w:val="0"/>
          <w:w w:val="100"/>
          <w:position w:val="0"/>
        </w:rPr>
        <w:t>孙宪忠:《物权法》（第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版），社会科学文献出版社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02FF3183">
      <w:pPr>
        <w:pStyle w:val="17"/>
        <w:keepNext w:val="0"/>
        <w:keepLines w:val="0"/>
        <w:widowControl w:val="0"/>
        <w:shd w:val="clear" w:color="auto" w:fill="auto"/>
        <w:bidi w:val="0"/>
        <w:spacing w:before="0" w:after="0" w:line="334" w:lineRule="exact"/>
        <w:ind w:left="0" w:right="0" w:firstLine="0"/>
        <w:jc w:val="left"/>
      </w:pPr>
      <w:r>
        <w:rPr>
          <w:color w:val="000000"/>
          <w:spacing w:val="0"/>
          <w:w w:val="100"/>
          <w:position w:val="0"/>
        </w:rPr>
        <w:t>王利明：《物权法论》，中国政法大学出版社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w:t>
      </w:r>
    </w:p>
    <w:p w14:paraId="4BFD21F5">
      <w:pPr>
        <w:pStyle w:val="17"/>
        <w:keepNext w:val="0"/>
        <w:keepLines w:val="0"/>
        <w:widowControl w:val="0"/>
        <w:shd w:val="clear" w:color="auto" w:fill="auto"/>
        <w:bidi w:val="0"/>
        <w:spacing w:before="0" w:after="0" w:line="334" w:lineRule="exact"/>
        <w:ind w:left="0" w:right="0" w:firstLine="0"/>
        <w:jc w:val="left"/>
      </w:pPr>
      <w:r>
        <w:rPr>
          <w:color w:val="000000"/>
          <w:spacing w:val="0"/>
          <w:w w:val="100"/>
          <w:position w:val="0"/>
        </w:rPr>
        <w:t>崔建远:《物权法》，中国人民大学出版社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78F78DA8">
      <w:pPr>
        <w:pStyle w:val="17"/>
        <w:keepNext w:val="0"/>
        <w:keepLines w:val="0"/>
        <w:widowControl w:val="0"/>
        <w:shd w:val="clear" w:color="auto" w:fill="auto"/>
        <w:bidi w:val="0"/>
        <w:spacing w:before="0" w:after="0" w:line="334" w:lineRule="exact"/>
        <w:ind w:left="0" w:right="0" w:firstLine="0"/>
        <w:jc w:val="left"/>
      </w:pPr>
      <w:r>
        <w:rPr>
          <w:color w:val="000000"/>
          <w:spacing w:val="0"/>
          <w:w w:val="100"/>
          <w:position w:val="0"/>
        </w:rPr>
        <w:t>郑玉波:《民法物权》，三民书局</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5CCD5E04">
      <w:pPr>
        <w:pStyle w:val="17"/>
        <w:keepNext w:val="0"/>
        <w:keepLines w:val="0"/>
        <w:widowControl w:val="0"/>
        <w:shd w:val="clear" w:color="auto" w:fill="auto"/>
        <w:bidi w:val="0"/>
        <w:spacing w:before="0" w:after="0" w:line="334" w:lineRule="exact"/>
        <w:ind w:left="0" w:right="0" w:firstLine="0"/>
        <w:jc w:val="both"/>
      </w:pPr>
      <w:r>
        <w:rPr>
          <w:color w:val="000000"/>
          <w:spacing w:val="0"/>
          <w:w w:val="100"/>
          <w:position w:val="0"/>
        </w:rPr>
        <w:t>谢在全:《民法物权论》（下册），中国政法大学出版社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5CB3E6F8">
      <w:pPr>
        <w:pStyle w:val="17"/>
        <w:keepNext w:val="0"/>
        <w:keepLines w:val="0"/>
        <w:widowControl w:val="0"/>
        <w:shd w:val="clear" w:color="auto" w:fill="auto"/>
        <w:bidi w:val="0"/>
        <w:spacing w:before="0" w:after="200" w:line="334" w:lineRule="exact"/>
        <w:ind w:left="0" w:right="0" w:firstLine="0"/>
        <w:jc w:val="left"/>
        <w:sectPr>
          <w:headerReference r:id="rId305" w:type="default"/>
          <w:headerReference r:id="rId306" w:type="even"/>
          <w:footnotePr>
            <w:numFmt w:val="chicago"/>
          </w:footnotePr>
          <w:pgSz w:w="10099" w:h="14782"/>
          <w:pgMar w:top="1261" w:right="989" w:bottom="1088" w:left="1114" w:header="0" w:footer="3" w:gutter="0"/>
          <w:pgNumType w:start="237"/>
          <w:cols w:space="720" w:num="1"/>
          <w:rtlGutter w:val="0"/>
          <w:docGrid w:linePitch="360" w:charSpace="0"/>
        </w:sectPr>
      </w:pPr>
      <w:r>
        <w:rPr>
          <w:color w:val="000000"/>
          <w:spacing w:val="0"/>
          <w:w w:val="100"/>
          <w:position w:val="0"/>
        </w:rPr>
        <w:t>陈永强:《以买卖合同担保借贷的解释路径与法效果》，载《中国法学》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0D72827">
      <w:pPr>
        <w:widowControl w:val="0"/>
        <w:spacing w:line="54" w:lineRule="exact"/>
        <w:rPr>
          <w:sz w:val="4"/>
          <w:szCs w:val="4"/>
        </w:rPr>
      </w:pPr>
    </w:p>
    <w:p w14:paraId="5A8F5121">
      <w:pPr>
        <w:widowControl w:val="0"/>
        <w:spacing w:line="1" w:lineRule="exact"/>
        <w:sectPr>
          <w:headerReference r:id="rId307" w:type="default"/>
          <w:headerReference r:id="rId308" w:type="even"/>
          <w:footnotePr>
            <w:numFmt w:val="chicago"/>
          </w:footnotePr>
          <w:pgSz w:w="10099" w:h="14782"/>
          <w:pgMar w:top="1309" w:right="1081" w:bottom="1107" w:left="1015" w:header="0" w:footer="3" w:gutter="0"/>
          <w:pgNumType w:start="257"/>
          <w:cols w:space="720" w:num="1"/>
          <w:rtlGutter w:val="0"/>
          <w:docGrid w:linePitch="360" w:charSpace="0"/>
        </w:sectPr>
      </w:pPr>
    </w:p>
    <w:p w14:paraId="32112A4D">
      <w:pPr>
        <w:widowControl w:val="0"/>
        <w:spacing w:line="1" w:lineRule="exact"/>
      </w:pPr>
      <w:r>
        <mc:AlternateContent>
          <mc:Choice Requires="wps">
            <w:drawing>
              <wp:anchor distT="0" distB="18415" distL="0" distR="0" simplePos="0" relativeHeight="251660288" behindDoc="0" locked="0" layoutInCell="1" allowOverlap="1">
                <wp:simplePos x="0" y="0"/>
                <wp:positionH relativeFrom="page">
                  <wp:posOffset>713105</wp:posOffset>
                </wp:positionH>
                <wp:positionV relativeFrom="paragraph">
                  <wp:posOffset>0</wp:posOffset>
                </wp:positionV>
                <wp:extent cx="448310" cy="304800"/>
                <wp:effectExtent l="0" t="0" r="0" b="0"/>
                <wp:wrapTopAndBottom/>
                <wp:docPr id="697" name="Shape 697"/>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1F22214E">
                            <w:pPr>
                              <w:pStyle w:val="27"/>
                              <w:keepNext/>
                              <w:keepLines/>
                              <w:widowControl w:val="0"/>
                              <w:shd w:val="clear" w:color="auto" w:fill="auto"/>
                              <w:bidi w:val="0"/>
                              <w:spacing w:before="0" w:after="0" w:line="240" w:lineRule="auto"/>
                              <w:ind w:left="0" w:right="0" w:firstLine="0"/>
                              <w:jc w:val="both"/>
                            </w:pPr>
                            <w:bookmarkStart w:id="420" w:name="bookmark320"/>
                            <w:bookmarkStart w:id="421" w:name="bookmark321"/>
                            <w:bookmarkStart w:id="422" w:name="bookmark322"/>
                            <w:r>
                              <w:rPr>
                                <w:rFonts w:ascii="Times New Roman" w:hAnsi="Times New Roman" w:eastAsia="Times New Roman" w:cs="Times New Roman"/>
                                <w:color w:val="000000"/>
                                <w:spacing w:val="0"/>
                                <w:w w:val="100"/>
                                <w:position w:val="0"/>
                              </w:rPr>
                              <w:t>049</w:t>
                            </w:r>
                            <w:bookmarkEnd w:id="420"/>
                            <w:bookmarkEnd w:id="421"/>
                            <w:bookmarkEnd w:id="422"/>
                          </w:p>
                        </w:txbxContent>
                      </wps:txbx>
                      <wps:bodyPr wrap="none" lIns="0" tIns="0" rIns="0" bIns="0">
                        <a:noAutofit/>
                      </wps:bodyPr>
                    </wps:wsp>
                  </a:graphicData>
                </a:graphic>
              </wp:anchor>
            </w:drawing>
          </mc:Choice>
          <mc:Fallback>
            <w:pict>
              <v:shape id="Shape 697" o:spid="_x0000_s1026" o:spt="202" type="#_x0000_t202" style="position:absolute;left:0pt;margin-left:56.15pt;margin-top:0pt;height:24pt;width:35.3pt;mso-position-horizontal-relative:page;mso-wrap-distance-bottom:1.45pt;mso-wrap-distance-top:0pt;mso-wrap-style:none;z-index:251660288;mso-width-relative:page;mso-height-relative:page;" filled="f" stroked="f" coordsize="21600,21600" o:gfxdata="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vxIttMAAAAH&#10;AQAADwAAAAAAAAABACAAAAAiAAAAZHJzL2Rvd25yZXYueG1sUEsBAhQAFAAAAAgAh07iQKzVcsKv&#10;AQAAcwMAAA4AAAAAAAAAAQAgAAAAIgEAAGRycy9lMm9Eb2MueG1sUEsFBgAAAAAGAAYAWQEAAEMF&#10;AAAAAA==&#10;">
                <v:fill on="f" focussize="0,0"/>
                <v:stroke on="f"/>
                <v:imagedata o:title=""/>
                <o:lock v:ext="edit" aspectratio="f"/>
                <v:textbox inset="0mm,0mm,0mm,0mm">
                  <w:txbxContent>
                    <w:p w14:paraId="1F22214E">
                      <w:pPr>
                        <w:pStyle w:val="27"/>
                        <w:keepNext/>
                        <w:keepLines/>
                        <w:widowControl w:val="0"/>
                        <w:shd w:val="clear" w:color="auto" w:fill="auto"/>
                        <w:bidi w:val="0"/>
                        <w:spacing w:before="0" w:after="0" w:line="240" w:lineRule="auto"/>
                        <w:ind w:left="0" w:right="0" w:firstLine="0"/>
                        <w:jc w:val="both"/>
                      </w:pPr>
                      <w:bookmarkStart w:id="420" w:name="bookmark320"/>
                      <w:bookmarkStart w:id="421" w:name="bookmark321"/>
                      <w:bookmarkStart w:id="422" w:name="bookmark322"/>
                      <w:r>
                        <w:rPr>
                          <w:rFonts w:ascii="Times New Roman" w:hAnsi="Times New Roman" w:eastAsia="Times New Roman" w:cs="Times New Roman"/>
                          <w:color w:val="000000"/>
                          <w:spacing w:val="0"/>
                          <w:w w:val="100"/>
                          <w:position w:val="0"/>
                        </w:rPr>
                        <w:t>049</w:t>
                      </w:r>
                      <w:bookmarkEnd w:id="420"/>
                      <w:bookmarkEnd w:id="421"/>
                      <w:bookmarkEnd w:id="422"/>
                    </w:p>
                  </w:txbxContent>
                </v:textbox>
                <w10:wrap type="topAndBottom"/>
              </v:shape>
            </w:pict>
          </mc:Fallback>
        </mc:AlternateContent>
      </w:r>
      <w:r>
        <mc:AlternateContent>
          <mc:Choice Requires="wps">
            <w:drawing>
              <wp:anchor distT="86995" distB="0" distL="0" distR="0" simplePos="0" relativeHeight="251660288" behindDoc="0" locked="0" layoutInCell="1" allowOverlap="1">
                <wp:simplePos x="0" y="0"/>
                <wp:positionH relativeFrom="page">
                  <wp:posOffset>1287780</wp:posOffset>
                </wp:positionH>
                <wp:positionV relativeFrom="paragraph">
                  <wp:posOffset>86995</wp:posOffset>
                </wp:positionV>
                <wp:extent cx="3223260" cy="236220"/>
                <wp:effectExtent l="0" t="0" r="0" b="0"/>
                <wp:wrapTopAndBottom/>
                <wp:docPr id="699" name="Shape 699"/>
                <wp:cNvGraphicFramePr/>
                <a:graphic xmlns:a="http://schemas.openxmlformats.org/drawingml/2006/main">
                  <a:graphicData uri="http://schemas.microsoft.com/office/word/2010/wordprocessingShape">
                    <wps:wsp>
                      <wps:cNvSpPr txBox="1"/>
                      <wps:spPr>
                        <a:xfrm>
                          <a:off x="0" y="0"/>
                          <a:ext cx="3223260" cy="236220"/>
                        </a:xfrm>
                        <a:prstGeom prst="rect">
                          <a:avLst/>
                        </a:prstGeom>
                        <a:noFill/>
                      </wps:spPr>
                      <wps:txbx>
                        <w:txbxContent>
                          <w:p w14:paraId="724A8B1E">
                            <w:pPr>
                              <w:pStyle w:val="15"/>
                              <w:keepNext/>
                              <w:keepLines/>
                              <w:widowControl w:val="0"/>
                              <w:shd w:val="clear" w:color="auto" w:fill="auto"/>
                              <w:bidi w:val="0"/>
                              <w:spacing w:before="0" w:after="0" w:line="240" w:lineRule="auto"/>
                              <w:ind w:left="0" w:right="0" w:firstLine="0"/>
                              <w:jc w:val="center"/>
                            </w:pPr>
                            <w:bookmarkStart w:id="423" w:name="bookmark323"/>
                            <w:bookmarkStart w:id="424" w:name="bookmark324"/>
                            <w:bookmarkStart w:id="425" w:name="bookmark325"/>
                            <w:r>
                              <w:rPr>
                                <w:color w:val="000000"/>
                                <w:spacing w:val="0"/>
                                <w:w w:val="100"/>
                                <w:position w:val="0"/>
                              </w:rPr>
                              <w:t>特许经营项目收益权质押的效力认定</w:t>
                            </w:r>
                            <w:bookmarkEnd w:id="423"/>
                            <w:bookmarkEnd w:id="424"/>
                            <w:bookmarkEnd w:id="425"/>
                          </w:p>
                        </w:txbxContent>
                      </wps:txbx>
                      <wps:bodyPr wrap="none" lIns="0" tIns="0" rIns="0" bIns="0">
                        <a:noAutofit/>
                      </wps:bodyPr>
                    </wps:wsp>
                  </a:graphicData>
                </a:graphic>
              </wp:anchor>
            </w:drawing>
          </mc:Choice>
          <mc:Fallback>
            <w:pict>
              <v:shape id="Shape 699" o:spid="_x0000_s1026" o:spt="202" type="#_x0000_t202" style="position:absolute;left:0pt;margin-left:101.4pt;margin-top:6.85pt;height:18.6pt;width:253.8pt;mso-position-horizontal-relative:page;mso-wrap-distance-bottom:0pt;mso-wrap-distance-top:6.85pt;mso-wrap-style:none;z-index:251660288;mso-width-relative:page;mso-height-relative:page;" filled="f" stroked="f" coordsize="21600,21600" o:gfxdata="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AigjK1gAA&#10;AAkBAAAPAAAAAAAAAAEAIAAAACIAAABkcnMvZG93bnJldi54bWxQSwECFAAUAAAACACHTuJAe2Dq&#10;aa4BAAB0AwAADgAAAAAAAAABACAAAAAlAQAAZHJzL2Uyb0RvYy54bWxQSwUGAAAAAAYABgBZAQAA&#10;RQUAAAAA&#10;">
                <v:fill on="f" focussize="0,0"/>
                <v:stroke on="f"/>
                <v:imagedata o:title=""/>
                <o:lock v:ext="edit" aspectratio="f"/>
                <v:textbox inset="0mm,0mm,0mm,0mm">
                  <w:txbxContent>
                    <w:p w14:paraId="724A8B1E">
                      <w:pPr>
                        <w:pStyle w:val="15"/>
                        <w:keepNext/>
                        <w:keepLines/>
                        <w:widowControl w:val="0"/>
                        <w:shd w:val="clear" w:color="auto" w:fill="auto"/>
                        <w:bidi w:val="0"/>
                        <w:spacing w:before="0" w:after="0" w:line="240" w:lineRule="auto"/>
                        <w:ind w:left="0" w:right="0" w:firstLine="0"/>
                        <w:jc w:val="center"/>
                      </w:pPr>
                      <w:bookmarkStart w:id="423" w:name="bookmark323"/>
                      <w:bookmarkStart w:id="424" w:name="bookmark324"/>
                      <w:bookmarkStart w:id="425" w:name="bookmark325"/>
                      <w:r>
                        <w:rPr>
                          <w:color w:val="000000"/>
                          <w:spacing w:val="0"/>
                          <w:w w:val="100"/>
                          <w:position w:val="0"/>
                        </w:rPr>
                        <w:t>特许经营项目收益权质押的效力认定</w:t>
                      </w:r>
                      <w:bookmarkEnd w:id="423"/>
                      <w:bookmarkEnd w:id="424"/>
                      <w:bookmarkEnd w:id="425"/>
                    </w:p>
                  </w:txbxContent>
                </v:textbox>
                <w10:wrap type="topAndBottom"/>
              </v:shape>
            </w:pict>
          </mc:Fallback>
        </mc:AlternateContent>
      </w:r>
    </w:p>
    <w:p w14:paraId="6DCF5D63">
      <w:pPr>
        <w:pStyle w:val="17"/>
        <w:keepNext w:val="0"/>
        <w:keepLines w:val="0"/>
        <w:widowControl w:val="0"/>
        <w:shd w:val="clear" w:color="auto" w:fill="auto"/>
        <w:bidi w:val="0"/>
        <w:spacing w:before="0" w:after="440" w:line="328" w:lineRule="exact"/>
        <w:ind w:left="1000" w:right="0" w:firstLine="20"/>
        <w:jc w:val="both"/>
      </w:pPr>
      <w:r>
        <w:drawing>
          <wp:anchor distT="0" distB="0" distL="114300" distR="114300" simplePos="0" relativeHeight="251660288" behindDoc="0" locked="0" layoutInCell="1" allowOverlap="1">
            <wp:simplePos x="0" y="0"/>
            <wp:positionH relativeFrom="page">
              <wp:posOffset>5085080</wp:posOffset>
            </wp:positionH>
            <wp:positionV relativeFrom="paragraph">
              <wp:posOffset>76200</wp:posOffset>
            </wp:positionV>
            <wp:extent cx="615950" cy="621665"/>
            <wp:effectExtent l="0" t="0" r="6350" b="635"/>
            <wp:wrapSquare wrapText="left"/>
            <wp:docPr id="701" name="Shape 701"/>
            <wp:cNvGraphicFramePr/>
            <a:graphic xmlns:a="http://schemas.openxmlformats.org/drawingml/2006/main">
              <a:graphicData uri="http://schemas.openxmlformats.org/drawingml/2006/picture">
                <pic:pic xmlns:pic="http://schemas.openxmlformats.org/drawingml/2006/picture">
                  <pic:nvPicPr>
                    <pic:cNvPr id="701" name="Shape 701"/>
                    <pic:cNvPicPr/>
                  </pic:nvPicPr>
                  <pic:blipFill>
                    <a:blip r:embed="rId654"/>
                    <a:stretch>
                      <a:fillRect/>
                    </a:stretch>
                  </pic:blipFill>
                  <pic:spPr>
                    <a:xfrm>
                      <a:off x="0" y="0"/>
                      <a:ext cx="615950" cy="621665"/>
                    </a:xfrm>
                    <a:prstGeom prst="rect">
                      <a:avLst/>
                    </a:prstGeom>
                  </pic:spPr>
                </pic:pic>
              </a:graphicData>
            </a:graphic>
          </wp:anchor>
        </w:drawing>
      </w:r>
      <w:r>
        <w:rPr>
          <w:color w:val="000000"/>
          <w:spacing w:val="0"/>
          <w:w w:val="100"/>
          <w:position w:val="0"/>
        </w:rPr>
        <w:t>福建海峡银行股份有限公司福州五一支行与长乐亚新污水处理有 限公司、福州市政工程有限公司借款合同纠纷案丨最高人民法院 第</w:t>
      </w:r>
      <w:r>
        <w:rPr>
          <w:rFonts w:ascii="Times New Roman" w:hAnsi="Times New Roman" w:eastAsia="Times New Roman" w:cs="Times New Roman"/>
          <w:color w:val="000000"/>
          <w:spacing w:val="0"/>
          <w:w w:val="100"/>
          <w:position w:val="0"/>
          <w:sz w:val="19"/>
          <w:szCs w:val="19"/>
        </w:rPr>
        <w:t>53</w:t>
      </w:r>
      <w:r>
        <w:rPr>
          <w:color w:val="000000"/>
          <w:spacing w:val="0"/>
          <w:w w:val="100"/>
          <w:position w:val="0"/>
        </w:rPr>
        <w:t>号指导性案例</w:t>
      </w:r>
    </w:p>
    <w:p w14:paraId="6ED30CB8">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高圣平</w:t>
      </w:r>
      <w:r>
        <w:rPr>
          <w:color w:val="000000"/>
          <w:spacing w:val="0"/>
          <w:w w:val="100"/>
          <w:position w:val="0"/>
        </w:rPr>
        <w:t>中国人民大学法学院</w:t>
      </w:r>
    </w:p>
    <w:p w14:paraId="3B13861F">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5F96F05D">
      <w:pPr>
        <w:pStyle w:val="17"/>
        <w:keepNext w:val="0"/>
        <w:keepLines w:val="0"/>
        <w:widowControl w:val="0"/>
        <w:shd w:val="clear" w:color="auto" w:fill="auto"/>
        <w:bidi w:val="0"/>
        <w:spacing w:before="0" w:after="360" w:line="345" w:lineRule="exact"/>
        <w:ind w:left="0" w:right="0"/>
        <w:jc w:val="both"/>
      </w:pP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建设局授予</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公司污水处理特许经营权。</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支行与</w:t>
      </w:r>
      <w:r>
        <w:rPr>
          <w:rFonts w:ascii="Times New Roman" w:hAnsi="Times New Roman" w:eastAsia="Times New Roman" w:cs="Times New Roman"/>
          <w:color w:val="000000"/>
          <w:spacing w:val="0"/>
          <w:w w:val="100"/>
          <w:position w:val="0"/>
          <w:sz w:val="19"/>
          <w:szCs w:val="19"/>
          <w:lang w:val="en-US" w:eastAsia="en-US" w:bidi="en-US"/>
        </w:rPr>
        <w:t xml:space="preserve">Y </w:t>
      </w:r>
      <w:r>
        <w:rPr>
          <w:color w:val="000000"/>
          <w:spacing w:val="0"/>
          <w:w w:val="100"/>
          <w:position w:val="0"/>
        </w:rPr>
        <w:t>公司签订借款合同,约定</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支行向</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公司借款</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支行与</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 设局共同签订《特许经营权质押担保协议》（以下简称《质押协议》），其中约定:</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公司以其 污水处理特许经营权为</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支行的债权提供担保,</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建设局同意该担保;</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公司同意将特许 经营权收益优先用于清偿借款合同项下的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公司的债务,</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建设局和</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公司同意将污水处 理费优先用于清偿借款合同项下的</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公司的债务;</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建设局同意为</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支行和</w:t>
      </w:r>
      <w:r>
        <w:rPr>
          <w:rFonts w:ascii="Times New Roman" w:hAnsi="Times New Roman" w:eastAsia="Times New Roman" w:cs="Times New Roman"/>
          <w:color w:val="000000"/>
          <w:spacing w:val="0"/>
          <w:w w:val="100"/>
          <w:position w:val="0"/>
          <w:sz w:val="19"/>
          <w:szCs w:val="19"/>
          <w:lang w:val="en-US" w:eastAsia="en-US" w:bidi="en-US"/>
        </w:rPr>
        <w:t>F</w:t>
      </w:r>
      <w:r>
        <w:rPr>
          <w:color w:val="000000"/>
          <w:spacing w:val="0"/>
          <w:w w:val="100"/>
          <w:position w:val="0"/>
        </w:rPr>
        <w:t>公司办理 质押权利出质登记手续。贷款发放后,</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公司未依约按期足额还本付息。</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支行向法院起 诉，请求确认《质押协议》合法有效，判令拍卖、变卖该协议项下的质物，同时原告有权以上 述质物变现所得优先受偿;判令将</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建设局支付给两被告的污水处理服务费优先用于清偿 应偿还原告的所有款项。</w:t>
      </w:r>
    </w:p>
    <w:p w14:paraId="3B697A01">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19C1D43">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驳回上诉，维持原判。</w:t>
      </w:r>
    </w:p>
    <w:p w14:paraId="31248B11">
      <w:pPr>
        <w:pStyle w:val="17"/>
        <w:keepNext w:val="0"/>
        <w:keepLines w:val="0"/>
        <w:widowControl w:val="0"/>
        <w:shd w:val="clear" w:color="auto" w:fill="auto"/>
        <w:bidi w:val="0"/>
        <w:spacing w:before="0" w:after="380" w:line="341" w:lineRule="exact"/>
        <w:ind w:left="0" w:right="0"/>
        <w:jc w:val="both"/>
        <w:sectPr>
          <w:footnotePr>
            <w:numFmt w:val="chicago"/>
          </w:footnotePr>
          <w:type w:val="continuous"/>
          <w:pgSz w:w="10099" w:h="14782"/>
          <w:pgMar w:top="1309" w:right="1081" w:bottom="1107" w:left="1015" w:header="881" w:footer="679" w:gutter="0"/>
          <w:cols w:space="720" w:num="1"/>
          <w:rtlGutter w:val="0"/>
          <w:docGrid w:linePitch="360" w:charSpace="0"/>
        </w:sectPr>
      </w:pPr>
      <w:r>
        <w:rPr>
          <w:color w:val="000000"/>
          <w:spacing w:val="0"/>
          <w:w w:val="100"/>
          <w:position w:val="0"/>
        </w:rPr>
        <w:t>第一，特许经营权是对污水处理厂进行运营和维护，并获得收益的权利，并不属于可转 让的权利，讼争的特许经营权的出质，实质上系指收益权的出质。第二，污水处理项目收益 权作为特定化的财产权利，可以出质，主要理由在于:其一，特许经营权质押担保协议签订 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 xml:space="preserve">年，在最高人民法院《关于适用〈中华人民共和国担保法〉若干问题的解释》［法释 </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号］（以下简称《担保法司法解释》）第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条明确承认公路收益权可以出质的情形 之下，污水处理收益权与公路收益权性质相似，亦应允许出质;其二，国办发〔</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73</w:t>
      </w:r>
      <w:r>
        <w:rPr>
          <w:color w:val="000000"/>
          <w:spacing w:val="0"/>
          <w:w w:val="100"/>
          <w:position w:val="0"/>
        </w:rPr>
        <w:t xml:space="preserve">号文 明确可以试行污水处理项目收益权质押贷款;其三，污水处理项目收益权虽系将来金钱债 权,但其行使期间及收益金额均可确定,其属于确定的财产权利;其四，原《物权法》施行后, 污水处理项目收益权系基于提供污水处理服务而产生的将来金钱债权，依其性质亦可纳入 </w:t>
      </w:r>
      <w:r>
        <w:rPr>
          <w:color w:val="000000"/>
          <w:spacing w:val="0"/>
          <w:w w:val="100"/>
          <w:position w:val="0"/>
          <w:lang w:val="zh-CN" w:eastAsia="zh-CN" w:bidi="zh-CN"/>
        </w:rPr>
        <w:t>“应</w:t>
      </w:r>
      <w:r>
        <w:rPr>
          <w:color w:val="000000"/>
          <w:spacing w:val="0"/>
          <w:w w:val="100"/>
          <w:position w:val="0"/>
        </w:rPr>
        <w:t>收账款</w:t>
      </w:r>
      <w:r>
        <w:rPr>
          <w:color w:val="000000"/>
          <w:spacing w:val="0"/>
          <w:w w:val="100"/>
          <w:position w:val="0"/>
          <w:lang w:val="zh-CN" w:eastAsia="zh-CN" w:bidi="zh-CN"/>
        </w:rPr>
        <w:t>”的</w:t>
      </w:r>
      <w:r>
        <w:rPr>
          <w:color w:val="000000"/>
          <w:spacing w:val="0"/>
          <w:w w:val="100"/>
          <w:position w:val="0"/>
        </w:rPr>
        <w:t xml:space="preserve">范畴。第三，权利质权已具备公示之要件,质权已设立。参照公路收益权质 </w:t>
      </w:r>
    </w:p>
    <w:p w14:paraId="4F0FAF95">
      <w:pPr>
        <w:pStyle w:val="17"/>
        <w:keepNext w:val="0"/>
        <w:keepLines w:val="0"/>
        <w:widowControl w:val="0"/>
        <w:shd w:val="clear" w:color="auto" w:fill="auto"/>
        <w:bidi w:val="0"/>
        <w:spacing w:before="0" w:after="380" w:line="341" w:lineRule="exact"/>
        <w:ind w:left="0" w:right="0" w:firstLine="0"/>
        <w:jc w:val="both"/>
      </w:pPr>
      <w:r>
        <w:rPr>
          <w:color w:val="000000"/>
          <w:spacing w:val="0"/>
          <w:w w:val="100"/>
          <w:position w:val="0"/>
        </w:rPr>
        <w:t>押登记的规定，由其主管部门进行备案登记。现主管部门在《质押协议》中明确表明同意办 理对应的出质登记手续，应视为案涉权利质押已公示。第四，污水处理项目收益权属于将 来金钱债权,质权人可请求法院判令其直接向岀质人的债务人收取金钱并对该金钱行使优 先受偿权，无须采取折价或拍卖、变卖的方式。同时，为保证污水处理厂的正常运营,</w:t>
      </w:r>
      <w:r>
        <w:rPr>
          <w:rFonts w:ascii="Times New Roman" w:hAnsi="Times New Roman" w:eastAsia="Times New Roman" w:cs="Times New Roman"/>
          <w:color w:val="000000"/>
          <w:spacing w:val="0"/>
          <w:w w:val="100"/>
          <w:position w:val="0"/>
          <w:sz w:val="19"/>
          <w:szCs w:val="19"/>
          <w:lang w:val="en-US" w:eastAsia="en-US" w:bidi="en-US"/>
        </w:rPr>
        <w:t>w</w:t>
      </w:r>
      <w:r>
        <w:rPr>
          <w:color w:val="000000"/>
          <w:spacing w:val="0"/>
          <w:w w:val="100"/>
          <w:position w:val="0"/>
        </w:rPr>
        <w:t>支 行在收取污水处理服务费时应为丫公司留足合理费用。</w:t>
      </w:r>
    </w:p>
    <w:p w14:paraId="61FE8CBB">
      <w:pPr>
        <w:pStyle w:val="11"/>
        <w:keepNext w:val="0"/>
        <w:keepLines w:val="0"/>
        <w:widowControl w:val="0"/>
        <w:shd w:val="clear" w:color="auto" w:fill="auto"/>
        <w:bidi w:val="0"/>
        <w:spacing w:before="0" w:after="240" w:line="343" w:lineRule="exact"/>
        <w:ind w:left="0" w:right="0" w:firstLine="0"/>
        <w:jc w:val="both"/>
      </w:pPr>
      <w:r>
        <w:rPr>
          <w:color w:val="000000"/>
          <w:spacing w:val="0"/>
          <w:w w:val="100"/>
          <w:position w:val="0"/>
        </w:rPr>
        <w:t>■评析</w:t>
      </w:r>
    </w:p>
    <w:p w14:paraId="24360171">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rPr>
        <w:t>本判决的思路和意义</w:t>
      </w:r>
    </w:p>
    <w:p w14:paraId="73EAFA87">
      <w:pPr>
        <w:pStyle w:val="17"/>
        <w:keepNext w:val="0"/>
        <w:keepLines w:val="0"/>
        <w:widowControl w:val="0"/>
        <w:shd w:val="clear" w:color="auto" w:fill="auto"/>
        <w:bidi w:val="0"/>
        <w:spacing w:before="0" w:after="300" w:line="342" w:lineRule="exact"/>
        <w:ind w:left="0" w:right="0" w:firstLine="420"/>
        <w:jc w:val="both"/>
      </w:pPr>
      <w:r>
        <w:rPr>
          <w:color w:val="000000"/>
          <w:spacing w:val="0"/>
          <w:w w:val="100"/>
          <w:position w:val="0"/>
        </w:rPr>
        <w:t>本案中，被告主张案涉污水处理特许经营权并非法定的可以质押的权利，且该质押并 未办理登记,原告诉请拍卖、变卖污水处理特许经营权，于法无据。法院参照公路收益权，结 合当时的政策性文件以及原《物权法》中关于应收账款质押的规定，认为污水处理收益权属 于可以质押的权利，且出质公示方式是登记。至于质权实现的方式，结合污水处理收益权 的性质，质权人无须也不宜采用拍卖、变卖的方式，可以直接向出质人的债务人收取金钱并 对该金钱行使优先受偿权。本案作为</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年《应收账款质押登记办法》公布前的指导性案 例,对特许经营项目收益权是否可以出质、公示方式及实现方式具有重要的实践指导意义。</w:t>
      </w:r>
    </w:p>
    <w:p w14:paraId="7106BC40">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特许经营项目收益权质押的规范及学理</w:t>
      </w:r>
    </w:p>
    <w:p w14:paraId="5F7D8485">
      <w:pPr>
        <w:pStyle w:val="17"/>
        <w:keepNext w:val="0"/>
        <w:keepLines w:val="0"/>
        <w:widowControl w:val="0"/>
        <w:shd w:val="clear" w:color="auto" w:fill="auto"/>
        <w:bidi w:val="0"/>
        <w:spacing w:before="0" w:after="260" w:line="343" w:lineRule="exact"/>
        <w:ind w:left="0" w:right="0" w:firstLine="420"/>
        <w:jc w:val="both"/>
      </w:pPr>
      <w:r>
        <w:rPr>
          <w:color w:val="000000"/>
          <w:spacing w:val="0"/>
          <w:w w:val="100"/>
          <w:position w:val="0"/>
        </w:rPr>
        <w:t>第一，特许经营项目收益权质押的前身是收费权质押，裁判和学说上以收益权取代收 费权这一术语，可能的原因有两个:一是消除源自行政干预可能带来的收费权的不确定性, 二是满足金融创新交易中财产独立和便利流通的需要（王乐兵:</w:t>
      </w:r>
      <w:r>
        <w:rPr>
          <w:color w:val="000000"/>
          <w:spacing w:val="0"/>
          <w:w w:val="100"/>
          <w:position w:val="0"/>
          <w:lang w:val="zh-CN" w:eastAsia="zh-CN" w:bidi="zh-CN"/>
        </w:rPr>
        <w:t>《“物</w:t>
      </w:r>
      <w:r>
        <w:rPr>
          <w:color w:val="000000"/>
          <w:spacing w:val="0"/>
          <w:w w:val="100"/>
          <w:position w:val="0"/>
        </w:rPr>
        <w:t>权编</w:t>
      </w:r>
      <w:r>
        <w:rPr>
          <w:color w:val="000000"/>
          <w:spacing w:val="0"/>
          <w:w w:val="100"/>
          <w:position w:val="0"/>
          <w:lang w:val="zh-CN" w:eastAsia="zh-CN" w:bidi="zh-CN"/>
        </w:rPr>
        <w:t>”与“合</w:t>
      </w:r>
      <w:r>
        <w:rPr>
          <w:color w:val="000000"/>
          <w:spacing w:val="0"/>
          <w:w w:val="100"/>
          <w:position w:val="0"/>
        </w:rPr>
        <w:t>同编”体系化 视角下的应收账款质押制度重构》，载《法学家》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期）。结合现有规范，目前学说中关于 特许经营项目收益权质押制度的讨论主要集中在以下方面:第一，特许经营项目收益权是 否可以出质。在原《物权法》施行前，学说上曾就收益权是否可以质押产生争议。反对者认 为，基础设施及公用事业具有公益性与非营利性,以其收益权质押有悖公益性（李成:《开展收 费权质押业务中的法律问题》，载《当代经理人》</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期）；同时，收费权具有很强的行政性 质，其权利存续具有相当的不确定性，有可能随时被取消（程啸:《物权法-担保物权》，中国法制 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474</w:t>
      </w:r>
      <w:r>
        <w:rPr>
          <w:color w:val="000000"/>
          <w:spacing w:val="0"/>
          <w:w w:val="100"/>
          <w:position w:val="0"/>
        </w:rPr>
        <w:t xml:space="preserve">页）。肯定者则认为，收费权是具有一定财产价值的权利,能够作为质 押标的，且能解决实践中的融资难问题（王利明：《收费权质押的若干问题探讨》，载《法学杂志》 </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期）。当时的司法解释及行政规章肯定了收益权质押的效力。例如，《担保法司 法解释》第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条指出，公路桥梁、公路隧道或者公路渡口等不动产收益权可以出质；国家计 委、人民银行《关于印发农村电网建设与改造工程电费收益权质押贷款管理办法的通知》 ［计基础</w:t>
      </w:r>
      <w:r>
        <w:rPr>
          <w:rFonts w:ascii="Times New Roman" w:hAnsi="Times New Roman" w:eastAsia="Times New Roman" w:cs="Times New Roman"/>
          <w:color w:val="000000"/>
          <w:spacing w:val="0"/>
          <w:w w:val="100"/>
          <w:position w:val="0"/>
          <w:sz w:val="19"/>
          <w:szCs w:val="19"/>
        </w:rPr>
        <w:t>（2000）198</w:t>
      </w:r>
      <w:r>
        <w:rPr>
          <w:color w:val="000000"/>
          <w:spacing w:val="0"/>
          <w:w w:val="100"/>
          <w:position w:val="0"/>
        </w:rPr>
        <w:t>号］则明确批准了农村电网改造工程电费收益权可以岀质；国务院办公 厅转发国务院西部开发办《关于西部大开发若干政策措施实施意见的通知》</w:t>
      </w:r>
      <w:r>
        <w:rPr>
          <w:color w:val="000000"/>
          <w:spacing w:val="0"/>
          <w:w w:val="100"/>
          <w:position w:val="0"/>
          <w:lang w:val="en-US" w:eastAsia="en-US" w:bidi="en-US"/>
        </w:rPr>
        <w:t>［</w:t>
      </w:r>
      <w:r>
        <w:rPr>
          <w:color w:val="000000"/>
          <w:spacing w:val="0"/>
          <w:w w:val="100"/>
          <w:position w:val="0"/>
        </w:rPr>
        <w:t>国办发</w:t>
      </w:r>
      <w:r>
        <w:rPr>
          <w:rFonts w:ascii="Times New Roman" w:hAnsi="Times New Roman" w:eastAsia="Times New Roman" w:cs="Times New Roman"/>
          <w:color w:val="000000"/>
          <w:spacing w:val="0"/>
          <w:w w:val="100"/>
          <w:position w:val="0"/>
          <w:sz w:val="19"/>
          <w:szCs w:val="19"/>
        </w:rPr>
        <w:t>（2001） 73</w:t>
      </w:r>
      <w:r>
        <w:rPr>
          <w:color w:val="000000"/>
          <w:spacing w:val="0"/>
          <w:w w:val="100"/>
          <w:position w:val="0"/>
        </w:rPr>
        <w:t>号］则指出要扩大以基础设施项目收益权或收费权为质押发放贷款的范围，农村电网、公 路、城市基础设施项目、水利开发项目和环保项目收益权质押等都在鼓励范围之内。</w:t>
      </w:r>
    </w:p>
    <w:p w14:paraId="2D0DAC82">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第二,特许经营项目收益权是否属于应收账款。原《物权法》施行后，学说上更多的讨 论集中在特许经营项目收益权是否属于应收账款。反对者认为，应收账款应指合同已履行 或交易已发生、销售的商品已发出或劳务已提供而向购货人或顾客应收而未收取的款项， 但公路经营者并不向顾客提供赊销服务,都为实时结算，并不产生金钱债权（高圣平:《担保法 论》，法律出版社</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541</w:t>
      </w:r>
      <w:r>
        <w:rPr>
          <w:color w:val="000000"/>
          <w:spacing w:val="0"/>
          <w:w w:val="100"/>
          <w:position w:val="0"/>
        </w:rPr>
        <w:t>页）。肯定者则认为，应收账款是一个高度技术化、多元化的 商事概念,其范围会随着实践而不断发展变化，收益权可以为应收账款的体系所容纳（王乐 兵:</w:t>
      </w:r>
      <w:r>
        <w:rPr>
          <w:color w:val="000000"/>
          <w:spacing w:val="0"/>
          <w:w w:val="100"/>
          <w:position w:val="0"/>
          <w:lang w:val="zh-CN" w:eastAsia="zh-CN" w:bidi="zh-CN"/>
        </w:rPr>
        <w:t>《“物</w:t>
      </w:r>
      <w:r>
        <w:rPr>
          <w:color w:val="000000"/>
          <w:spacing w:val="0"/>
          <w:w w:val="100"/>
          <w:position w:val="0"/>
        </w:rPr>
        <w:t>权编</w:t>
      </w:r>
      <w:r>
        <w:rPr>
          <w:color w:val="000000"/>
          <w:spacing w:val="0"/>
          <w:w w:val="100"/>
          <w:position w:val="0"/>
          <w:lang w:val="zh-CN" w:eastAsia="zh-CN" w:bidi="zh-CN"/>
        </w:rPr>
        <w:t>”与“合</w:t>
      </w:r>
      <w:r>
        <w:rPr>
          <w:color w:val="000000"/>
          <w:spacing w:val="0"/>
          <w:w w:val="100"/>
          <w:position w:val="0"/>
        </w:rPr>
        <w:t>同编”体系化视角下的应收账款质押制度重构》，载《法学家》</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 《应收账款质押登记办法》第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条规定将能源、交通运输、水利、环境保护、市政工程等基础 设施和公用事业项目收益权纳入了应收账款的范围。由此可见，该办法采取了特许经营项 目收益权属于应收账款的观点。</w:t>
      </w:r>
    </w:p>
    <w:p w14:paraId="39345D2A">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第三，特许经营项目收益权出质时的确定性要求。本案中，出质人以其未来的特许经 营项目收益权进行融资，这就提出了未来债权出质时的确定性问题。美国法上确立了“嗣 后取得财产条款</w:t>
      </w:r>
      <w:r>
        <w:rPr>
          <w:color w:val="000000"/>
          <w:spacing w:val="0"/>
          <w:w w:val="100"/>
          <w:position w:val="0"/>
          <w:lang w:val="zh-CN" w:eastAsia="zh-CN" w:bidi="zh-CN"/>
        </w:rPr>
        <w:t>”，当</w:t>
      </w:r>
      <w:r>
        <w:rPr>
          <w:color w:val="000000"/>
          <w:spacing w:val="0"/>
          <w:w w:val="100"/>
          <w:position w:val="0"/>
        </w:rPr>
        <w:t>事人可以在担保合同中约定，就债务人未来取得的财产设定担保，担 保物在担保权实现时可得特定即可。关于未来债权的特定性，本案一审法院认为:“该收益 权因存在特许经营的基础关系，而在一定期限内所产生,且债权金额亦可根据污水处理服 务费的价格、提供服务的范围和对象等因素而得以预见，故从其产生原因、期间、债权金额 三方面可判断其具备债权的确定性的特征，可成为质押标的物</w:t>
      </w:r>
      <w:r>
        <w:rPr>
          <w:color w:val="000000"/>
          <w:spacing w:val="0"/>
          <w:w w:val="100"/>
          <w:position w:val="0"/>
          <w:lang w:val="zh-CN" w:eastAsia="zh-CN" w:bidi="zh-CN"/>
        </w:rPr>
        <w:t>。”由</w:t>
      </w:r>
      <w:r>
        <w:rPr>
          <w:color w:val="000000"/>
          <w:spacing w:val="0"/>
          <w:w w:val="100"/>
          <w:position w:val="0"/>
        </w:rPr>
        <w:t>此可见，我国实践中的 观点是要求未来债权在出质时就具备特定性的特征，以此降低债权无法实现的风险，此观 点也对后续的司法裁判及学说产生了深远影响。</w:t>
      </w:r>
    </w:p>
    <w:p w14:paraId="16F875AC">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第四，特许经营项目收益权质押如何公示。在早期,收益权的质押公示方式在实践中 极不统一，例如，计基础〔</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198</w:t>
      </w:r>
      <w:r>
        <w:rPr>
          <w:color w:val="000000"/>
          <w:spacing w:val="0"/>
          <w:w w:val="100"/>
          <w:position w:val="0"/>
        </w:rPr>
        <w:t>号文规定,电费收益权质押合同自登记之日起生效，重庆 市交通委员会《关于公路收费权质押实行备案管理的通知》［渝交委计</w:t>
      </w:r>
      <w:r>
        <w:rPr>
          <w:rFonts w:ascii="Times New Roman" w:hAnsi="Times New Roman" w:eastAsia="Times New Roman" w:cs="Times New Roman"/>
          <w:color w:val="000000"/>
          <w:spacing w:val="0"/>
          <w:w w:val="100"/>
          <w:position w:val="0"/>
          <w:sz w:val="19"/>
          <w:szCs w:val="19"/>
        </w:rPr>
        <w:t>（2009）33</w:t>
      </w:r>
      <w:r>
        <w:rPr>
          <w:color w:val="000000"/>
          <w:spacing w:val="0"/>
          <w:w w:val="100"/>
          <w:position w:val="0"/>
        </w:rPr>
        <w:t>号］则规定 公路收益权质押应当实行备案管理。学说上则认为，收益权质押应当通过登记的方式加以 公示，而备案只是一种行政管理手段，不属于公示方式［王利明：《收费权质押的若干问题探讨》， 载《法学杂志》</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期］。不过,即使是采取登记公示的方式，当时的收益权质押也面临 着因登记主管部门不同，而导致登记内容及程序不统一的问题。因此，原《物权法》实行后， 更多的观点是将收益权解释为应收账款,以此使收益权质押统一在应收账款质押登记系统 进行公示。《应收账款质押登记办法》第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条将收益权涵摄入应收账款的概念中，也就解决 了收益权公示方式不确定、不统一的问题。</w:t>
      </w:r>
    </w:p>
    <w:p w14:paraId="07D09B95">
      <w:pPr>
        <w:pStyle w:val="17"/>
        <w:keepNext w:val="0"/>
        <w:keepLines w:val="0"/>
        <w:widowControl w:val="0"/>
        <w:shd w:val="clear" w:color="auto" w:fill="auto"/>
        <w:bidi w:val="0"/>
        <w:spacing w:before="0" w:after="280" w:line="343" w:lineRule="exact"/>
        <w:ind w:left="0" w:right="0"/>
        <w:jc w:val="both"/>
      </w:pPr>
      <w:r>
        <w:rPr>
          <w:color w:val="000000"/>
          <w:spacing w:val="0"/>
          <w:w w:val="100"/>
          <w:position w:val="0"/>
        </w:rPr>
        <w:t xml:space="preserve">第五，特许经营项目收益权质权如何实现。关于担保物权实现的方式，《民法典》第 </w:t>
      </w:r>
      <w:r>
        <w:rPr>
          <w:rFonts w:ascii="Times New Roman" w:hAnsi="Times New Roman" w:eastAsia="Times New Roman" w:cs="Times New Roman"/>
          <w:color w:val="000000"/>
          <w:spacing w:val="0"/>
          <w:w w:val="100"/>
          <w:position w:val="0"/>
          <w:sz w:val="19"/>
          <w:szCs w:val="19"/>
        </w:rPr>
        <w:t>410,436</w:t>
      </w:r>
      <w:r>
        <w:rPr>
          <w:color w:val="000000"/>
          <w:spacing w:val="0"/>
          <w:w w:val="100"/>
          <w:position w:val="0"/>
        </w:rPr>
        <w:t>条规定了折价、变卖、拍卖等方式，但对于收益权这样行政管制色彩浓厚的将来金 钱债权而言，釆取前述方式实现质权不仅可能难以顺利实现债权，也可能有违公共事业的 目的。因此，在实践中,收益权质权的实现方式更多的是控制收益权账户，以所收取的费用 优先清偿债务，《国家开发银行公路收费权质押贷款管理暂行办法》第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条即对此作出明 确规定。计基础</w:t>
      </w:r>
      <w:r>
        <w:rPr>
          <w:rFonts w:ascii="Times New Roman" w:hAnsi="Times New Roman" w:eastAsia="Times New Roman" w:cs="Times New Roman"/>
          <w:color w:val="000000"/>
          <w:spacing w:val="0"/>
          <w:w w:val="100"/>
          <w:position w:val="0"/>
          <w:sz w:val="19"/>
          <w:szCs w:val="19"/>
          <w:lang w:val="en-US" w:eastAsia="en-US" w:bidi="en-US"/>
        </w:rPr>
        <w:t xml:space="preserve">［2000］ </w:t>
      </w:r>
      <w:r>
        <w:rPr>
          <w:rFonts w:ascii="Times New Roman" w:hAnsi="Times New Roman" w:eastAsia="Times New Roman" w:cs="Times New Roman"/>
          <w:color w:val="000000"/>
          <w:spacing w:val="0"/>
          <w:w w:val="100"/>
          <w:position w:val="0"/>
          <w:sz w:val="19"/>
          <w:szCs w:val="19"/>
        </w:rPr>
        <w:t>198</w:t>
      </w:r>
      <w:r>
        <w:rPr>
          <w:color w:val="000000"/>
          <w:spacing w:val="0"/>
          <w:w w:val="100"/>
          <w:position w:val="0"/>
        </w:rPr>
        <w:t>号文第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条则提出贷款人可以根据质押合同的约定，将借款人 经营的电网委托其他有资格的单位经营管理，直至收回贷款。不过,收益权质权的实现并 不排除变卖、拍卖等方式。</w:t>
      </w:r>
    </w:p>
    <w:p w14:paraId="1943BFE4">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0CAD3CB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在本指导性案例公布前，实践中就已出现许多关于特许经营项目收益权质押的案件, 且当时所使用的术语多是</w:t>
      </w:r>
      <w:r>
        <w:rPr>
          <w:color w:val="000000"/>
          <w:spacing w:val="0"/>
          <w:w w:val="100"/>
          <w:position w:val="0"/>
          <w:lang w:val="zh-CN" w:eastAsia="zh-CN" w:bidi="zh-CN"/>
        </w:rPr>
        <w:t>“收费</w:t>
      </w:r>
      <w:r>
        <w:rPr>
          <w:color w:val="000000"/>
          <w:spacing w:val="0"/>
          <w:w w:val="100"/>
          <w:position w:val="0"/>
        </w:rPr>
        <w:t>权质押</w:t>
      </w:r>
      <w:r>
        <w:rPr>
          <w:color w:val="000000"/>
          <w:spacing w:val="0"/>
          <w:w w:val="100"/>
          <w:position w:val="0"/>
          <w:lang w:val="zh-CN" w:eastAsia="zh-CN" w:bidi="zh-CN"/>
        </w:rPr>
        <w:t>”，其</w:t>
      </w:r>
      <w:r>
        <w:rPr>
          <w:color w:val="000000"/>
          <w:spacing w:val="0"/>
          <w:w w:val="100"/>
          <w:position w:val="0"/>
        </w:rPr>
        <w:t>中最为典型的是公路收费权质押案件。当时公 路收费权质押的合法性已为《担保法司法解释》第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 xml:space="preserve">条所确认，但该质押应以何种方式公 示却并无统一的结论。一种观点认为,公路收费权质押应通过登记方式进行公示，例如，在 </w:t>
      </w:r>
      <w:r>
        <w:rPr>
          <w:color w:val="000000"/>
          <w:spacing w:val="0"/>
          <w:w w:val="100"/>
          <w:position w:val="0"/>
          <w:lang w:val="zh-CN" w:eastAsia="zh-CN" w:bidi="zh-CN"/>
        </w:rPr>
        <w:t>“某银</w:t>
      </w:r>
      <w:r>
        <w:rPr>
          <w:color w:val="000000"/>
          <w:spacing w:val="0"/>
          <w:w w:val="100"/>
          <w:position w:val="0"/>
        </w:rPr>
        <w:t>行与某投资公司等借款合同纠纷案</w:t>
      </w:r>
      <w:r>
        <w:rPr>
          <w:color w:val="000000"/>
          <w:spacing w:val="0"/>
          <w:w w:val="100"/>
          <w:position w:val="0"/>
          <w:lang w:val="zh-CN" w:eastAsia="zh-CN" w:bidi="zh-CN"/>
        </w:rPr>
        <w:t>”［最</w:t>
      </w:r>
      <w:r>
        <w:rPr>
          <w:color w:val="000000"/>
          <w:spacing w:val="0"/>
          <w:w w:val="100"/>
          <w:position w:val="0"/>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97</w:t>
      </w:r>
      <w:r>
        <w:rPr>
          <w:color w:val="000000"/>
          <w:spacing w:val="0"/>
          <w:w w:val="100"/>
          <w:position w:val="0"/>
        </w:rPr>
        <w:t>号民事判决书］ 中，最高人民法院认为，“工行与投资公司所签公路收费权质押合同虽成立于光大银行所签 质押合同前，但当时工行并未依国务院国函〔</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号《国务院关于收费公路项目贷款担 保问题的批复》的规定，依法办理质押权登记。交通局的同意批复及加盖交通局公章的投 资公司质押承诺函，仅表明投资公司同意以公路收费权进行质押以及交通局同意设定质 押,并不产生依法登记的法律效力”。另一种观点认为,公路收费权质押可以通过交付权利 凭证或质押登记的方式进行公示。例如，在</w:t>
      </w:r>
      <w:r>
        <w:rPr>
          <w:color w:val="000000"/>
          <w:spacing w:val="0"/>
          <w:w w:val="100"/>
          <w:position w:val="0"/>
          <w:lang w:val="zh-CN" w:eastAsia="zh-CN" w:bidi="zh-CN"/>
        </w:rPr>
        <w:t>“中</w:t>
      </w:r>
      <w:r>
        <w:rPr>
          <w:color w:val="000000"/>
          <w:spacing w:val="0"/>
          <w:w w:val="100"/>
          <w:position w:val="0"/>
        </w:rPr>
        <w:t>国农业银行重庆市农行解放碑支行与重庆 鑫宇高科技有限公司等借款合同纠纷上诉案”［重庆市高级人民法院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渝高法民终字第</w:t>
      </w:r>
      <w:r>
        <w:rPr>
          <w:rFonts w:ascii="Times New Roman" w:hAnsi="Times New Roman" w:eastAsia="Times New Roman" w:cs="Times New Roman"/>
          <w:color w:val="000000"/>
          <w:spacing w:val="0"/>
          <w:w w:val="100"/>
          <w:position w:val="0"/>
          <w:sz w:val="17"/>
          <w:szCs w:val="17"/>
        </w:rPr>
        <w:t xml:space="preserve">93 </w:t>
      </w:r>
      <w:r>
        <w:rPr>
          <w:color w:val="000000"/>
          <w:spacing w:val="0"/>
          <w:w w:val="100"/>
          <w:position w:val="0"/>
        </w:rPr>
        <w:t>号民事判决书］中，重庆市高级人民法院认为:“因为即使当事人签订的合同名为抵押合同而 实为质押合同，质权也应自权利凭证交付质权人时设立,没有权利凭证的，质权自有关部门 办理出质登记时设立。根据《国务院关于收费公路项目贷款担保问题的批复》关于’公路建 设项目法人可以用收费公路的收费权质押方式向国内银行申请抵押贷款，以省级人民政府 批准的收费文件作为公路收费权的权利证书，地市级以上交通主管部门作为公路收费权质 押的登记部门。质权人可以依法律和行政法规许可的方式取得公路收费权，并实现质押 权’的规定,本案中的公路收费权质押的登记机关应为重庆市交通局（现重庆市交通委员 会）。虽然农行大渡口支行在重庆市南川区交通局办理了质押登记，但是，重庆市南川区交 通局并非地级市以上交通局，因此，该登记不符合法律规定，农行解放碑支行不能对该公路 收费权享有质权。”</w:t>
      </w:r>
    </w:p>
    <w:p w14:paraId="5FFA48C5">
      <w:pPr>
        <w:pStyle w:val="17"/>
        <w:keepNext w:val="0"/>
        <w:keepLines w:val="0"/>
        <w:widowControl w:val="0"/>
        <w:shd w:val="clear" w:color="auto" w:fill="auto"/>
        <w:bidi w:val="0"/>
        <w:spacing w:before="0" w:after="180" w:line="342" w:lineRule="exact"/>
        <w:ind w:left="0" w:right="0" w:firstLine="420"/>
        <w:jc w:val="both"/>
      </w:pPr>
      <w:r>
        <w:rPr>
          <w:color w:val="000000"/>
          <w:spacing w:val="0"/>
          <w:w w:val="100"/>
          <w:position w:val="0"/>
        </w:rPr>
        <w:t>关于收费权质押的实现方式，在“某银行与某广电局等借款质押合同纠纷案</w:t>
      </w:r>
      <w:r>
        <w:rPr>
          <w:color w:val="000000"/>
          <w:spacing w:val="0"/>
          <w:w w:val="100"/>
          <w:position w:val="0"/>
          <w:lang w:val="zh-CN" w:eastAsia="zh-CN" w:bidi="zh-CN"/>
        </w:rPr>
        <w:t>”［陕</w:t>
      </w:r>
      <w:r>
        <w:rPr>
          <w:color w:val="000000"/>
          <w:spacing w:val="0"/>
          <w:w w:val="100"/>
          <w:position w:val="0"/>
        </w:rPr>
        <w:t>西省高 级人民法院</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陕民二终字第</w:t>
      </w:r>
      <w:r>
        <w:rPr>
          <w:rFonts w:ascii="Times New Roman" w:hAnsi="Times New Roman" w:eastAsia="Times New Roman" w:cs="Times New Roman"/>
          <w:color w:val="000000"/>
          <w:spacing w:val="0"/>
          <w:w w:val="100"/>
          <w:position w:val="0"/>
          <w:sz w:val="17"/>
          <w:szCs w:val="17"/>
        </w:rPr>
        <w:t>056</w:t>
      </w:r>
      <w:r>
        <w:rPr>
          <w:color w:val="000000"/>
          <w:spacing w:val="0"/>
          <w:w w:val="100"/>
          <w:position w:val="0"/>
        </w:rPr>
        <w:t>号民事判决书］中，陕西省高级人民法院认为：</w:t>
      </w:r>
      <w:r>
        <w:rPr>
          <w:color w:val="000000"/>
          <w:spacing w:val="0"/>
          <w:w w:val="100"/>
          <w:position w:val="0"/>
          <w:lang w:val="zh-CN" w:eastAsia="zh-CN" w:bidi="zh-CN"/>
        </w:rPr>
        <w:t>“西乡</w:t>
      </w:r>
      <w:r>
        <w:rPr>
          <w:color w:val="000000"/>
          <w:spacing w:val="0"/>
          <w:w w:val="100"/>
          <w:position w:val="0"/>
        </w:rPr>
        <w:t>县广播 电视局未清偿部分由陕西省广播电视信息网络股份有限公司以在西乡县广播电视局原收 费权范围内所收取的费用优先偿付上述债务。”该观点实质也是质权人以广电经营收费所 取得的金钱优先受偿，而非拍卖、变卖收费权。</w:t>
      </w:r>
    </w:p>
    <w:p w14:paraId="64809185">
      <w:pPr>
        <w:pStyle w:val="17"/>
        <w:keepNext w:val="0"/>
        <w:keepLines w:val="0"/>
        <w:widowControl w:val="0"/>
        <w:shd w:val="clear" w:color="auto" w:fill="auto"/>
        <w:bidi w:val="0"/>
        <w:spacing w:before="0" w:after="140" w:line="342"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204FF70D">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作为指导案例，本判决的参考意义在于:其一，明确特许经营权质押的实质是特许经营 收益权质押,且特许经营收益权可以出质，在一定程度上承认了,基础资产不能转让并不表 明其收益不能转让;其二，明确了将来债权在出质时应具备的确定性要求，即从其产生原 因、期间、债权金额三方面可判断其具备债权的确定性特征;其三，明确特许经营收益权属 于应收账款，特许经营收益权担保的公示方式是在应收账款质押登记系统进行登记;其四， 明确特许经营收益权质权的实现方式可以是由质权人收取特许经营项目的服务费,而非只 有拍卖、变卖特许经营项目收益权的方式。不过，本判决基于讼争污水处理项目的主管部 门已知晓并认可该权利质押情况的事实，认定有关利害关系人亦可通过</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建设局查询了解 讼争污水处理厂的有关权利质押的情况,并最终认定案涉质权已具备公示条件的思路仍有 待商榷。因为主管部门知晓认可权利质押的情形，不代表质权已经向第三人进行了公示。 法院之所以作出前述认定，目的是在应收账款质押采取登记生效主义的背景下</w:t>
      </w:r>
      <w:r>
        <w:rPr>
          <w:color w:val="000000"/>
          <w:spacing w:val="0"/>
          <w:w w:val="100"/>
          <w:position w:val="0"/>
          <w:lang w:val="zh-CN" w:eastAsia="zh-CN" w:bidi="zh-CN"/>
        </w:rPr>
        <w:t>■避</w:t>
      </w:r>
      <w:r>
        <w:rPr>
          <w:color w:val="000000"/>
          <w:spacing w:val="0"/>
          <w:w w:val="100"/>
          <w:position w:val="0"/>
        </w:rPr>
        <w:t>免岀质 人借质权未登记公示而逃避担保责任。</w:t>
      </w:r>
    </w:p>
    <w:p w14:paraId="4E2C408E">
      <w:pPr>
        <w:pStyle w:val="11"/>
        <w:keepNext w:val="0"/>
        <w:keepLines w:val="0"/>
        <w:widowControl w:val="0"/>
        <w:shd w:val="clear" w:color="auto" w:fill="auto"/>
        <w:bidi w:val="0"/>
        <w:spacing w:before="0" w:after="0" w:line="342" w:lineRule="exact"/>
        <w:ind w:left="0" w:right="0" w:firstLine="0"/>
        <w:jc w:val="both"/>
      </w:pPr>
      <w:r>
        <w:rPr>
          <w:color w:val="000000"/>
          <w:spacing w:val="0"/>
          <w:w w:val="100"/>
          <w:position w:val="0"/>
        </w:rPr>
        <w:t>回参考文献</w:t>
      </w:r>
    </w:p>
    <w:p w14:paraId="46CA1F73">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王利明：《收费权质押的若干问题探讨》，载《法学杂志》</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1D1232F">
      <w:pPr>
        <w:pStyle w:val="17"/>
        <w:keepNext w:val="0"/>
        <w:keepLines w:val="0"/>
        <w:widowControl w:val="0"/>
        <w:shd w:val="clear" w:color="auto" w:fill="auto"/>
        <w:bidi w:val="0"/>
        <w:spacing w:before="0" w:after="0" w:line="342" w:lineRule="exact"/>
        <w:ind w:left="0" w:right="0" w:firstLine="0"/>
        <w:jc w:val="left"/>
      </w:pPr>
      <w:r>
        <w:rPr>
          <w:color w:val="000000"/>
          <w:spacing w:val="0"/>
          <w:w w:val="100"/>
          <w:position w:val="0"/>
        </w:rPr>
        <w:t>程啸:《物权法</w:t>
      </w:r>
      <w:r>
        <w:rPr>
          <w:color w:val="000000"/>
          <w:spacing w:val="0"/>
          <w:w w:val="100"/>
          <w:position w:val="0"/>
          <w:lang w:val="en-US" w:eastAsia="en-US" w:bidi="en-US"/>
        </w:rPr>
        <w:t>•</w:t>
      </w:r>
      <w:r>
        <w:rPr>
          <w:color w:val="000000"/>
          <w:spacing w:val="0"/>
          <w:w w:val="100"/>
          <w:position w:val="0"/>
        </w:rPr>
        <w:t>担保物权》，中国法制出版社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w:t>
      </w:r>
    </w:p>
    <w:p w14:paraId="435BA8ED">
      <w:pPr>
        <w:pStyle w:val="17"/>
        <w:keepNext w:val="0"/>
        <w:keepLines w:val="0"/>
        <w:widowControl w:val="0"/>
        <w:shd w:val="clear" w:color="auto" w:fill="auto"/>
        <w:bidi w:val="0"/>
        <w:spacing w:before="0" w:after="0" w:line="342" w:lineRule="exact"/>
        <w:ind w:left="0" w:right="0" w:firstLine="0"/>
        <w:jc w:val="left"/>
      </w:pPr>
      <w:r>
        <w:rPr>
          <w:color w:val="000000"/>
          <w:spacing w:val="0"/>
          <w:w w:val="100"/>
          <w:position w:val="0"/>
        </w:rPr>
        <w:t>高圣平:《担保法论》，法律出版社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6C8F5908">
      <w:pPr>
        <w:pStyle w:val="17"/>
        <w:keepNext w:val="0"/>
        <w:keepLines w:val="0"/>
        <w:widowControl w:val="0"/>
        <w:shd w:val="clear" w:color="auto" w:fill="auto"/>
        <w:bidi w:val="0"/>
        <w:spacing w:before="0" w:after="180" w:line="342" w:lineRule="exact"/>
        <w:ind w:left="0" w:right="0" w:firstLine="0"/>
        <w:jc w:val="both"/>
        <w:sectPr>
          <w:headerReference r:id="rId309" w:type="default"/>
          <w:headerReference r:id="rId310" w:type="even"/>
          <w:footnotePr>
            <w:numFmt w:val="chicago"/>
          </w:footnotePr>
          <w:pgSz w:w="10099" w:h="14782"/>
          <w:pgMar w:top="1309" w:right="1081" w:bottom="1107" w:left="1015" w:header="0" w:footer="3" w:gutter="0"/>
          <w:pgNumType w:start="242"/>
          <w:cols w:space="720" w:num="1"/>
          <w:rtlGutter w:val="0"/>
          <w:docGrid w:linePitch="360" w:charSpace="0"/>
        </w:sectPr>
      </w:pPr>
      <w:r>
        <w:rPr>
          <w:color w:val="000000"/>
          <w:spacing w:val="0"/>
          <w:w w:val="100"/>
          <w:position w:val="0"/>
        </w:rPr>
        <w:t>王乐兵:</w:t>
      </w:r>
      <w:r>
        <w:rPr>
          <w:color w:val="000000"/>
          <w:spacing w:val="0"/>
          <w:w w:val="100"/>
          <w:position w:val="0"/>
          <w:lang w:val="zh-CN" w:eastAsia="zh-CN" w:bidi="zh-CN"/>
        </w:rPr>
        <w:t>《“物</w:t>
      </w:r>
      <w:r>
        <w:rPr>
          <w:color w:val="000000"/>
          <w:spacing w:val="0"/>
          <w:w w:val="100"/>
          <w:position w:val="0"/>
        </w:rPr>
        <w:t>权编</w:t>
      </w:r>
      <w:r>
        <w:rPr>
          <w:color w:val="000000"/>
          <w:spacing w:val="0"/>
          <w:w w:val="100"/>
          <w:position w:val="0"/>
          <w:lang w:val="zh-CN" w:eastAsia="zh-CN" w:bidi="zh-CN"/>
        </w:rPr>
        <w:t>”与“合</w:t>
      </w:r>
      <w:r>
        <w:rPr>
          <w:color w:val="000000"/>
          <w:spacing w:val="0"/>
          <w:w w:val="100"/>
          <w:position w:val="0"/>
        </w:rPr>
        <w:t>同编”体系化视角下的应收账款质押制度重构》，载《法学家》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8C720FB">
      <w:pPr>
        <w:widowControl w:val="0"/>
        <w:spacing w:line="23" w:lineRule="exact"/>
        <w:rPr>
          <w:sz w:val="2"/>
          <w:szCs w:val="2"/>
        </w:rPr>
      </w:pPr>
    </w:p>
    <w:p w14:paraId="1E369CF3">
      <w:pPr>
        <w:widowControl w:val="0"/>
        <w:spacing w:line="1" w:lineRule="exact"/>
        <w:sectPr>
          <w:headerReference r:id="rId311" w:type="default"/>
          <w:headerReference r:id="rId312" w:type="even"/>
          <w:footnotePr>
            <w:numFmt w:val="chicago"/>
          </w:footnotePr>
          <w:pgSz w:w="10099" w:h="14782"/>
          <w:pgMar w:top="1326" w:right="988" w:bottom="1089" w:left="1110" w:header="0" w:footer="3" w:gutter="0"/>
          <w:pgNumType w:start="262"/>
          <w:cols w:space="720" w:num="1"/>
          <w:rtlGutter w:val="0"/>
          <w:docGrid w:linePitch="360" w:charSpace="0"/>
        </w:sectPr>
      </w:pPr>
    </w:p>
    <w:p w14:paraId="693727EE">
      <w:pPr>
        <w:widowControl w:val="0"/>
        <w:spacing w:line="1" w:lineRule="exact"/>
      </w:pPr>
      <w:r>
        <w:drawing>
          <wp:anchor distT="0" distB="0" distL="114300" distR="2670175" simplePos="0" relativeHeight="251660288" behindDoc="0" locked="0" layoutInCell="1" allowOverlap="1">
            <wp:simplePos x="0" y="0"/>
            <wp:positionH relativeFrom="page">
              <wp:posOffset>730885</wp:posOffset>
            </wp:positionH>
            <wp:positionV relativeFrom="paragraph">
              <wp:posOffset>12700</wp:posOffset>
            </wp:positionV>
            <wp:extent cx="481330" cy="414655"/>
            <wp:effectExtent l="0" t="0" r="1270" b="4445"/>
            <wp:wrapTopAndBottom/>
            <wp:docPr id="707" name="Shape 707"/>
            <wp:cNvGraphicFramePr/>
            <a:graphic xmlns:a="http://schemas.openxmlformats.org/drawingml/2006/main">
              <a:graphicData uri="http://schemas.openxmlformats.org/drawingml/2006/picture">
                <pic:pic xmlns:pic="http://schemas.openxmlformats.org/drawingml/2006/picture">
                  <pic:nvPicPr>
                    <pic:cNvPr id="707" name="Shape 707"/>
                    <pic:cNvPicPr/>
                  </pic:nvPicPr>
                  <pic:blipFill>
                    <a:blip r:embed="rId655"/>
                    <a:stretch>
                      <a:fillRect/>
                    </a:stretch>
                  </pic:blipFill>
                  <pic:spPr>
                    <a:xfrm>
                      <a:off x="0" y="0"/>
                      <a:ext cx="481330" cy="414655"/>
                    </a:xfrm>
                    <a:prstGeom prst="rect">
                      <a:avLst/>
                    </a:prstGeom>
                  </pic:spPr>
                </pic:pic>
              </a:graphicData>
            </a:graphic>
          </wp:anchor>
        </w:drawing>
      </w:r>
      <w:r>
        <mc:AlternateContent>
          <mc:Choice Requires="wps">
            <w:drawing>
              <wp:anchor distT="128270" distB="45720" distL="725170" distR="114300" simplePos="0" relativeHeight="251660288" behindDoc="0" locked="0" layoutInCell="1" allowOverlap="1">
                <wp:simplePos x="0" y="0"/>
                <wp:positionH relativeFrom="page">
                  <wp:posOffset>1341755</wp:posOffset>
                </wp:positionH>
                <wp:positionV relativeFrom="paragraph">
                  <wp:posOffset>140970</wp:posOffset>
                </wp:positionV>
                <wp:extent cx="2426335" cy="237490"/>
                <wp:effectExtent l="0" t="0" r="0" b="0"/>
                <wp:wrapTopAndBottom/>
                <wp:docPr id="709" name="Shape 709"/>
                <wp:cNvGraphicFramePr/>
                <a:graphic xmlns:a="http://schemas.openxmlformats.org/drawingml/2006/main">
                  <a:graphicData uri="http://schemas.microsoft.com/office/word/2010/wordprocessingShape">
                    <wps:wsp>
                      <wps:cNvSpPr txBox="1"/>
                      <wps:spPr>
                        <a:xfrm>
                          <a:off x="0" y="0"/>
                          <a:ext cx="2426335" cy="237490"/>
                        </a:xfrm>
                        <a:prstGeom prst="rect">
                          <a:avLst/>
                        </a:prstGeom>
                        <a:noFill/>
                      </wps:spPr>
                      <wps:txbx>
                        <w:txbxContent>
                          <w:p w14:paraId="4AA31465">
                            <w:pPr>
                              <w:pStyle w:val="15"/>
                              <w:keepNext/>
                              <w:keepLines/>
                              <w:widowControl w:val="0"/>
                              <w:shd w:val="clear" w:color="auto" w:fill="auto"/>
                              <w:bidi w:val="0"/>
                              <w:spacing w:before="0" w:after="0" w:line="240" w:lineRule="auto"/>
                              <w:ind w:left="0" w:right="0" w:firstLine="0"/>
                              <w:jc w:val="left"/>
                            </w:pPr>
                            <w:bookmarkStart w:id="426" w:name="bookmark328"/>
                            <w:bookmarkStart w:id="427" w:name="bookmark326"/>
                            <w:bookmarkStart w:id="428" w:name="bookmark327"/>
                            <w:r>
                              <w:rPr>
                                <w:color w:val="000000"/>
                                <w:spacing w:val="0"/>
                                <w:w w:val="100"/>
                                <w:position w:val="0"/>
                              </w:rPr>
                              <w:t>保证金账户质押的设立要件</w:t>
                            </w:r>
                            <w:bookmarkEnd w:id="426"/>
                            <w:bookmarkEnd w:id="427"/>
                            <w:bookmarkEnd w:id="428"/>
                          </w:p>
                        </w:txbxContent>
                      </wps:txbx>
                      <wps:bodyPr wrap="none" lIns="0" tIns="0" rIns="0" bIns="0">
                        <a:noAutofit/>
                      </wps:bodyPr>
                    </wps:wsp>
                  </a:graphicData>
                </a:graphic>
              </wp:anchor>
            </w:drawing>
          </mc:Choice>
          <mc:Fallback>
            <w:pict>
              <v:shape id="Shape 709" o:spid="_x0000_s1026" o:spt="202" type="#_x0000_t202" style="position:absolute;left:0pt;margin-left:105.65pt;margin-top:11.1pt;height:18.7pt;width:191.05pt;mso-position-horizontal-relative:page;mso-wrap-distance-bottom:3.6pt;mso-wrap-distance-top:10.1pt;mso-wrap-style:none;z-index:251660288;mso-width-relative:page;mso-height-relative:page;" filled="f" stroked="f" coordsize="21600,21600" o:gfxdata="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kBppx&#10;1gAAAAkBAAAPAAAAAAAAAAEAIAAAACIAAABkcnMvZG93bnJldi54bWxQSwECFAAUAAAACACHTuJA&#10;uK9cALEBAAB0AwAADgAAAAAAAAABACAAAAAlAQAAZHJzL2Uyb0RvYy54bWxQSwUGAAAAAAYABgBZ&#10;AQAASAUAAAAA&#10;">
                <v:fill on="f" focussize="0,0"/>
                <v:stroke on="f"/>
                <v:imagedata o:title=""/>
                <o:lock v:ext="edit" aspectratio="f"/>
                <v:textbox inset="0mm,0mm,0mm,0mm">
                  <w:txbxContent>
                    <w:p w14:paraId="4AA31465">
                      <w:pPr>
                        <w:pStyle w:val="15"/>
                        <w:keepNext/>
                        <w:keepLines/>
                        <w:widowControl w:val="0"/>
                        <w:shd w:val="clear" w:color="auto" w:fill="auto"/>
                        <w:bidi w:val="0"/>
                        <w:spacing w:before="0" w:after="0" w:line="240" w:lineRule="auto"/>
                        <w:ind w:left="0" w:right="0" w:firstLine="0"/>
                        <w:jc w:val="left"/>
                      </w:pPr>
                      <w:bookmarkStart w:id="426" w:name="bookmark328"/>
                      <w:bookmarkStart w:id="427" w:name="bookmark326"/>
                      <w:bookmarkStart w:id="428" w:name="bookmark327"/>
                      <w:r>
                        <w:rPr>
                          <w:color w:val="000000"/>
                          <w:spacing w:val="0"/>
                          <w:w w:val="100"/>
                          <w:position w:val="0"/>
                        </w:rPr>
                        <w:t>保证金账户质押的设立要件</w:t>
                      </w:r>
                      <w:bookmarkEnd w:id="426"/>
                      <w:bookmarkEnd w:id="427"/>
                      <w:bookmarkEnd w:id="428"/>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5135245</wp:posOffset>
            </wp:positionH>
            <wp:positionV relativeFrom="paragraph">
              <wp:posOffset>259080</wp:posOffset>
            </wp:positionV>
            <wp:extent cx="621665" cy="585470"/>
            <wp:effectExtent l="0" t="0" r="635" b="11430"/>
            <wp:wrapSquare wrapText="left"/>
            <wp:docPr id="711" name="Shape 711"/>
            <wp:cNvGraphicFramePr/>
            <a:graphic xmlns:a="http://schemas.openxmlformats.org/drawingml/2006/main">
              <a:graphicData uri="http://schemas.openxmlformats.org/drawingml/2006/picture">
                <pic:pic xmlns:pic="http://schemas.openxmlformats.org/drawingml/2006/picture">
                  <pic:nvPicPr>
                    <pic:cNvPr id="711" name="Shape 711"/>
                    <pic:cNvPicPr/>
                  </pic:nvPicPr>
                  <pic:blipFill>
                    <a:blip r:embed="rId656"/>
                    <a:stretch>
                      <a:fillRect/>
                    </a:stretch>
                  </pic:blipFill>
                  <pic:spPr>
                    <a:xfrm>
                      <a:off x="0" y="0"/>
                      <a:ext cx="621665" cy="585470"/>
                    </a:xfrm>
                    <a:prstGeom prst="rect">
                      <a:avLst/>
                    </a:prstGeom>
                  </pic:spPr>
                </pic:pic>
              </a:graphicData>
            </a:graphic>
          </wp:anchor>
        </w:drawing>
      </w:r>
    </w:p>
    <w:p w14:paraId="7FF00350">
      <w:pPr>
        <w:pStyle w:val="17"/>
        <w:keepNext w:val="0"/>
        <w:keepLines w:val="0"/>
        <w:widowControl w:val="0"/>
        <w:shd w:val="clear" w:color="auto" w:fill="auto"/>
        <w:bidi w:val="0"/>
        <w:spacing w:before="0" w:after="420" w:line="314" w:lineRule="exact"/>
        <w:ind w:left="1020" w:right="0" w:firstLine="0"/>
        <w:jc w:val="both"/>
      </w:pPr>
      <w:r>
        <w:rPr>
          <w:color w:val="000000"/>
          <w:spacing w:val="0"/>
          <w:w w:val="100"/>
          <w:position w:val="0"/>
        </w:rPr>
        <w:t>中国农业发展银行安徽省分行诉张大标、安徽长江融资担保集团有 限公司执行异议之诉纠纷案丨最高人民法院第</w:t>
      </w:r>
      <w:r>
        <w:rPr>
          <w:rFonts w:ascii="Times New Roman" w:hAnsi="Times New Roman" w:eastAsia="Times New Roman" w:cs="Times New Roman"/>
          <w:color w:val="000000"/>
          <w:spacing w:val="0"/>
          <w:w w:val="100"/>
          <w:position w:val="0"/>
          <w:sz w:val="19"/>
          <w:szCs w:val="19"/>
        </w:rPr>
        <w:t>54</w:t>
      </w:r>
      <w:r>
        <w:rPr>
          <w:color w:val="000000"/>
          <w:spacing w:val="0"/>
          <w:w w:val="100"/>
          <w:position w:val="0"/>
        </w:rPr>
        <w:t>号指导性案例</w:t>
      </w:r>
    </w:p>
    <w:p w14:paraId="683F2C7A">
      <w:pPr>
        <w:pStyle w:val="33"/>
        <w:keepNext w:val="0"/>
        <w:keepLines w:val="0"/>
        <w:widowControl w:val="0"/>
        <w:shd w:val="clear" w:color="auto" w:fill="auto"/>
        <w:bidi w:val="0"/>
        <w:spacing w:before="0" w:after="1420" w:line="240" w:lineRule="auto"/>
        <w:ind w:left="0" w:right="0" w:firstLine="0"/>
        <w:jc w:val="right"/>
      </w:pPr>
      <w:r>
        <w:rPr>
          <w:color w:val="000000"/>
          <w:spacing w:val="0"/>
          <w:w w:val="100"/>
          <w:position w:val="0"/>
          <w:sz w:val="18"/>
          <w:szCs w:val="18"/>
        </w:rPr>
        <w:t>高圣平</w:t>
      </w:r>
      <w:r>
        <w:rPr>
          <w:color w:val="000000"/>
          <w:spacing w:val="0"/>
          <w:w w:val="100"/>
          <w:position w:val="0"/>
        </w:rPr>
        <w:t>中国人民大学法学院</w:t>
      </w:r>
    </w:p>
    <w:p w14:paraId="16A0DEF1">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AD20E41">
      <w:pPr>
        <w:pStyle w:val="17"/>
        <w:keepNext w:val="0"/>
        <w:keepLines w:val="0"/>
        <w:widowControl w:val="0"/>
        <w:shd w:val="clear" w:color="auto" w:fill="auto"/>
        <w:bidi w:val="0"/>
        <w:spacing w:before="0" w:after="0" w:line="347"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7 </w:t>
      </w:r>
      <w:r>
        <w:rPr>
          <w:rFonts w:ascii="Times New Roman" w:hAnsi="Times New Roman" w:eastAsia="Times New Roman" w:cs="Times New Roman"/>
          <w:color w:val="000000"/>
          <w:spacing w:val="0"/>
          <w:w w:val="100"/>
          <w:position w:val="0"/>
          <w:sz w:val="19"/>
          <w:szCs w:val="19"/>
          <w:lang w:val="en-US" w:eastAsia="en-US" w:bidi="en-US"/>
        </w:rPr>
        <w:t>H,N</w:t>
      </w:r>
      <w:r>
        <w:rPr>
          <w:color w:val="000000"/>
          <w:spacing w:val="0"/>
          <w:w w:val="100"/>
          <w:position w:val="0"/>
        </w:rPr>
        <w:t>行与</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公司签订一份《贷款担保业务合作协议》，约定</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公司为</w:t>
      </w:r>
      <w:r>
        <w:rPr>
          <w:rFonts w:ascii="Times New Roman" w:hAnsi="Times New Roman" w:eastAsia="Times New Roman" w:cs="Times New Roman"/>
          <w:color w:val="000000"/>
          <w:spacing w:val="0"/>
          <w:w w:val="100"/>
          <w:position w:val="0"/>
          <w:sz w:val="19"/>
          <w:szCs w:val="19"/>
          <w:lang w:val="en-US" w:eastAsia="en-US" w:bidi="en-US"/>
        </w:rPr>
        <w:t xml:space="preserve">N </w:t>
      </w:r>
      <w:r>
        <w:rPr>
          <w:color w:val="000000"/>
          <w:spacing w:val="0"/>
          <w:w w:val="100"/>
          <w:position w:val="0"/>
        </w:rPr>
        <w:t>行提供连带责任保证,</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公司在</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行开立保证金专户，</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公司需将具体担保业务约定的保 证金在具体保证合同签订前存入保证金专户，且未经</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行同意,</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公司不得动用该账户资 金;在保证金专户内的余额小于约定限额时,</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公司应在三日内补足，若</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公司未按时履行 保证责任的,</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行有权在保证金专户扣划相应款项。协议签订后,</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公司与</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行就贷款担 保业务进行合作，自</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 xml:space="preserve">日，案涉账户共发生了 </w:t>
      </w:r>
      <w:r>
        <w:rPr>
          <w:rFonts w:ascii="Times New Roman" w:hAnsi="Times New Roman" w:eastAsia="Times New Roman" w:cs="Times New Roman"/>
          <w:color w:val="000000"/>
          <w:spacing w:val="0"/>
          <w:w w:val="100"/>
          <w:position w:val="0"/>
          <w:sz w:val="19"/>
          <w:szCs w:val="19"/>
        </w:rPr>
        <w:t>107</w:t>
      </w:r>
      <w:r>
        <w:rPr>
          <w:color w:val="000000"/>
          <w:spacing w:val="0"/>
          <w:w w:val="100"/>
          <w:position w:val="0"/>
        </w:rPr>
        <w:t>笔业务， 其中贷方业务为</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公司缴存的保证金;借方业务主要涉及两大类，一类是贷款归还后</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 司申请</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行退还的保证金，部分退至债务人的账户；另一类是贷款逾期后</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行从该账户内 扣划的保证金。</w:t>
      </w:r>
    </w:p>
    <w:p w14:paraId="475E33D4">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在张大标诉</w:t>
      </w:r>
      <w:r>
        <w:rPr>
          <w:rFonts w:ascii="Times New Roman" w:hAnsi="Times New Roman" w:eastAsia="Times New Roman" w:cs="Times New Roman"/>
          <w:color w:val="000000"/>
          <w:spacing w:val="0"/>
          <w:w w:val="100"/>
          <w:position w:val="0"/>
          <w:sz w:val="19"/>
          <w:szCs w:val="19"/>
          <w:lang w:val="en-US" w:eastAsia="en-US" w:bidi="en-US"/>
        </w:rPr>
        <w:t>L</w:t>
      </w:r>
      <w:r>
        <w:rPr>
          <w:color w:val="000000"/>
          <w:spacing w:val="0"/>
          <w:w w:val="100"/>
          <w:position w:val="0"/>
        </w:rPr>
        <w:t>公司、</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公司等民间借贷纠纷案的执行过程中，合肥市中级人民法院将 上述保证金账户内的资金</w:t>
      </w:r>
      <w:r>
        <w:rPr>
          <w:rFonts w:ascii="Times New Roman" w:hAnsi="Times New Roman" w:eastAsia="Times New Roman" w:cs="Times New Roman"/>
          <w:color w:val="000000"/>
          <w:spacing w:val="0"/>
          <w:w w:val="100"/>
          <w:position w:val="0"/>
          <w:sz w:val="19"/>
          <w:szCs w:val="19"/>
          <w:lang w:val="en-US" w:eastAsia="en-US" w:bidi="en-US"/>
        </w:rPr>
        <w:t>1338.313257</w:t>
      </w:r>
      <w:r>
        <w:rPr>
          <w:color w:val="000000"/>
          <w:spacing w:val="0"/>
          <w:w w:val="100"/>
          <w:position w:val="0"/>
        </w:rPr>
        <w:t>万元划至该院账户,</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行作为案外人提出执行异议, 但于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日被驳回。随后,</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行因与被告张大标发生执行异议纠纷，提起本案诉 讼。</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行诉称，案涉保证金专户中的资金实际是</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公司向其提供的质押担保，请求判令其 对该账户中的资金享有质权。张大标辩称，案涉账户资金本身是浮动的，不符合金钱特定 化要求,</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行对案涉保证金账户内的资金不享有质权。</w:t>
      </w:r>
    </w:p>
    <w:p w14:paraId="701C7DEB">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472A8D1A">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依据原《物权法》第</w:t>
      </w:r>
      <w:r>
        <w:rPr>
          <w:rFonts w:ascii="Times New Roman" w:hAnsi="Times New Roman" w:eastAsia="Times New Roman" w:cs="Times New Roman"/>
          <w:color w:val="000000"/>
          <w:spacing w:val="0"/>
          <w:w w:val="100"/>
          <w:position w:val="0"/>
          <w:sz w:val="19"/>
          <w:szCs w:val="19"/>
        </w:rPr>
        <w:t>212</w:t>
      </w:r>
      <w:r>
        <w:rPr>
          <w:color w:val="000000"/>
          <w:spacing w:val="0"/>
          <w:w w:val="100"/>
          <w:position w:val="0"/>
        </w:rPr>
        <w:t>条及最高人民法院《关于适用〈中华人民共和国担保法〉若干问 题的解释》</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号］(以下简称《担保法司法解释》)第</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条的规定,金钱质押作 为特殊的动产质押,应当符合金钱特定化和移交债权人占有两个要件，以使金钱既不与出 质人的其他财产相混同,又能独立于质权人的财产。</w:t>
      </w:r>
    </w:p>
    <w:p w14:paraId="5B75A862">
      <w:pPr>
        <w:pStyle w:val="17"/>
        <w:keepNext w:val="0"/>
        <w:keepLines w:val="0"/>
        <w:widowControl w:val="0"/>
        <w:shd w:val="clear" w:color="auto" w:fill="auto"/>
        <w:bidi w:val="0"/>
        <w:spacing w:before="0" w:after="0" w:line="346" w:lineRule="exact"/>
        <w:ind w:left="0" w:right="0" w:firstLine="420"/>
        <w:jc w:val="both"/>
        <w:sectPr>
          <w:footnotePr>
            <w:numFmt w:val="chicago"/>
          </w:footnotePr>
          <w:type w:val="continuous"/>
          <w:pgSz w:w="10099" w:h="14782"/>
          <w:pgMar w:top="1326" w:right="988" w:bottom="1089" w:left="1110" w:header="898" w:footer="661" w:gutter="0"/>
          <w:cols w:space="720" w:num="1"/>
          <w:rtlGutter w:val="0"/>
          <w:docGrid w:linePitch="360" w:charSpace="0"/>
        </w:sectPr>
      </w:pPr>
      <w:r>
        <w:rPr>
          <w:color w:val="000000"/>
          <w:spacing w:val="0"/>
          <w:w w:val="100"/>
          <w:position w:val="0"/>
        </w:rPr>
        <w:t>金钱可以以保证金的形式特定化。保证金专户开立后,账户内转岀的资金为</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 xml:space="preserve">行对保 证金的退还和扣划，该账户未作日常结算使用。保证金以专门账户形式特定化并不等于固 定化。案涉账户在使用过程中，随着担保业务的开展,保证金账户的资金余额是浮动的。虽 </w:t>
      </w:r>
    </w:p>
    <w:p w14:paraId="32CC5576">
      <w:pPr>
        <w:pStyle w:val="17"/>
        <w:keepNext w:val="0"/>
        <w:keepLines w:val="0"/>
        <w:widowControl w:val="0"/>
        <w:shd w:val="clear" w:color="auto" w:fill="auto"/>
        <w:bidi w:val="0"/>
        <w:spacing w:before="0" w:after="0" w:line="346" w:lineRule="exact"/>
        <w:ind w:left="0" w:right="0" w:firstLine="0"/>
        <w:jc w:val="both"/>
      </w:pPr>
      <w:r>
        <w:rPr>
          <w:color w:val="000000"/>
          <w:spacing w:val="0"/>
          <w:w w:val="100"/>
          <w:position w:val="0"/>
        </w:rPr>
        <w:t>然账户内资金根据业务发生情况处于浮动状态,但均与保证金业务相对应,除缴存的保证 金外，支出的款项均用于保证金的退还和扣划，未用于非保证金业务的日常结算。因此，故 该账户资金浮动仍符合金钱作为质权的特定化要求。</w:t>
      </w:r>
    </w:p>
    <w:p w14:paraId="195823E0">
      <w:pPr>
        <w:pStyle w:val="17"/>
        <w:keepNext w:val="0"/>
        <w:keepLines w:val="0"/>
        <w:widowControl w:val="0"/>
        <w:shd w:val="clear" w:color="auto" w:fill="auto"/>
        <w:bidi w:val="0"/>
        <w:spacing w:before="0" w:after="360" w:line="344" w:lineRule="exact"/>
        <w:ind w:left="0" w:right="0" w:firstLine="420"/>
        <w:jc w:val="both"/>
      </w:pPr>
      <w:r>
        <w:rPr>
          <w:color w:val="000000"/>
          <w:spacing w:val="0"/>
          <w:w w:val="100"/>
          <w:position w:val="0"/>
        </w:rPr>
        <w:t>特定化的金钱已移交债权人占有。占有是指对物进行控制和管理的事实状态。未经</w:t>
      </w:r>
      <w:r>
        <w:rPr>
          <w:rFonts w:ascii="Times New Roman" w:hAnsi="Times New Roman" w:eastAsia="Times New Roman" w:cs="Times New Roman"/>
          <w:color w:val="000000"/>
          <w:spacing w:val="0"/>
          <w:w w:val="100"/>
          <w:position w:val="0"/>
          <w:sz w:val="19"/>
          <w:szCs w:val="19"/>
          <w:lang w:val="en-US" w:eastAsia="en-US" w:bidi="en-US"/>
        </w:rPr>
        <w:t xml:space="preserve">N </w:t>
      </w:r>
      <w:r>
        <w:rPr>
          <w:color w:val="000000"/>
          <w:spacing w:val="0"/>
          <w:w w:val="100"/>
          <w:position w:val="0"/>
        </w:rPr>
        <w:t>行同意,</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公司不得动用保证金专户内的资金。同时,</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行有权直接扣划保证金专户内的资 金,</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行作为债权人取得了案涉保证金账户的控制权，实际控制和管理该账户，此种控制权 移交符合出质金钱移交债权人占有的要求。据此，应当认定双方当事人已就案涉保证金账 户内的资金设立质权。</w:t>
      </w:r>
    </w:p>
    <w:p w14:paraId="413CCE6F">
      <w:pPr>
        <w:pStyle w:val="11"/>
        <w:keepNext w:val="0"/>
        <w:keepLines w:val="0"/>
        <w:widowControl w:val="0"/>
        <w:shd w:val="clear" w:color="auto" w:fill="auto"/>
        <w:bidi w:val="0"/>
        <w:spacing w:before="0" w:after="240" w:line="343" w:lineRule="exact"/>
        <w:ind w:left="0" w:right="0" w:firstLine="0"/>
        <w:jc w:val="both"/>
      </w:pPr>
      <w:r>
        <w:rPr>
          <w:color w:val="000000"/>
          <w:spacing w:val="0"/>
          <w:w w:val="100"/>
          <w:position w:val="0"/>
        </w:rPr>
        <w:t>■评析</w:t>
      </w:r>
    </w:p>
    <w:p w14:paraId="13AF3F57">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本裁定的思路和意义</w:t>
      </w:r>
    </w:p>
    <w:p w14:paraId="552157B8">
      <w:pPr>
        <w:pStyle w:val="17"/>
        <w:keepNext w:val="0"/>
        <w:keepLines w:val="0"/>
        <w:widowControl w:val="0"/>
        <w:shd w:val="clear" w:color="auto" w:fill="auto"/>
        <w:bidi w:val="0"/>
        <w:spacing w:before="0" w:after="300" w:line="338" w:lineRule="exact"/>
        <w:ind w:left="0" w:right="0" w:firstLine="420"/>
        <w:jc w:val="both"/>
      </w:pPr>
      <w:r>
        <w:rPr>
          <w:color w:val="000000"/>
          <w:spacing w:val="0"/>
          <w:w w:val="100"/>
          <w:position w:val="0"/>
        </w:rPr>
        <w:t>保证金账户质押属于金钱质押，其性质为特殊的动产质押，质权的设立应当符合金钱 特定化和移交债权人占有两个要件。如果保证金账户未作日常结算使用，账户内资金的转 入与转出均与保证金业务相对应,则金钱已通过保证金的形式特定化，且账户内资金的浮 动不影响特定化。同时,在银行取得对保证金账户的控制和管理后，即应当认定出质金钱 已移交占有。本案作为指导案例,表明了关于保证金账户质权设立的司法裁量标准，以及 一定条件下账户内资金的浮动不影响金钱的特定化，这对实践中保证金业务的开展及纠纷 的解决具有重要指导意义。</w:t>
      </w:r>
    </w:p>
    <w:p w14:paraId="2774F5B1">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保证金账户质押设立要件的规范及学理</w:t>
      </w:r>
    </w:p>
    <w:p w14:paraId="72A6F2C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保证金账户质押是实践中出现的新类型担保方式，现行法对其欠缺明确的规定。司法 实践中，法院审理保证金账户质押纠纷的规范基础大多是《担保法司法解释》第</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条:</w:t>
      </w:r>
      <w:r>
        <w:rPr>
          <w:color w:val="000000"/>
          <w:spacing w:val="0"/>
          <w:w w:val="100"/>
          <w:position w:val="0"/>
          <w:lang w:val="zh-CN" w:eastAsia="zh-CN" w:bidi="zh-CN"/>
        </w:rPr>
        <w:t xml:space="preserve">“债 </w:t>
      </w:r>
      <w:r>
        <w:rPr>
          <w:color w:val="000000"/>
          <w:spacing w:val="0"/>
          <w:w w:val="100"/>
          <w:position w:val="0"/>
        </w:rPr>
        <w:t>务人或者第三人将其金钱以特户、封金、保证金等形式特定化后，移交债权人占有作为债权 的担保，债务人不履行债务时，债权人可以以该金钱优先受偿。</w:t>
      </w:r>
      <w:r>
        <w:rPr>
          <w:color w:val="000000"/>
          <w:spacing w:val="0"/>
          <w:w w:val="100"/>
          <w:position w:val="0"/>
          <w:lang w:val="zh-CN" w:eastAsia="zh-CN" w:bidi="zh-CN"/>
        </w:rPr>
        <w:t>”目前</w:t>
      </w:r>
      <w:r>
        <w:rPr>
          <w:color w:val="000000"/>
          <w:spacing w:val="0"/>
          <w:w w:val="100"/>
          <w:position w:val="0"/>
        </w:rPr>
        <w:t>学理上关于保证金账 户质押的设立要件，依据对其性质的不同认识，主要有债权质押说与特殊动产质押说两种 学说。</w:t>
      </w:r>
    </w:p>
    <w:p w14:paraId="428A5CC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债权质押说认为，保证金账户体现着存款人与银行之间的债权债务关系，在性质上属 于应收账款，其理论基础在于</w:t>
      </w:r>
      <w:r>
        <w:rPr>
          <w:color w:val="000000"/>
          <w:spacing w:val="0"/>
          <w:w w:val="100"/>
          <w:position w:val="0"/>
          <w:lang w:val="zh-CN" w:eastAsia="zh-CN" w:bidi="zh-CN"/>
        </w:rPr>
        <w:t>“金钱</w:t>
      </w:r>
      <w:r>
        <w:rPr>
          <w:color w:val="000000"/>
          <w:spacing w:val="0"/>
          <w:w w:val="100"/>
          <w:position w:val="0"/>
        </w:rPr>
        <w:t>的占有即所有</w:t>
      </w:r>
      <w:r>
        <w:rPr>
          <w:color w:val="000000"/>
          <w:spacing w:val="0"/>
          <w:w w:val="100"/>
          <w:position w:val="0"/>
          <w:lang w:val="zh-CN" w:eastAsia="zh-CN" w:bidi="zh-CN"/>
        </w:rPr>
        <w:t>”的</w:t>
      </w:r>
      <w:r>
        <w:rPr>
          <w:color w:val="000000"/>
          <w:spacing w:val="0"/>
          <w:w w:val="100"/>
          <w:position w:val="0"/>
        </w:rPr>
        <w:t>原则。通说认为，基于金钱为一般等 价物的性质以及充当交易媒介的功能，金钱的所有权适用占有即所有原则，即金钱的所有 权不得与对金钱的占有相分离。若占有金钱者，不区分是否合法，皆自动取得金钱的所有 权;若丧失对金钱的占有，无论是否自愿，皆自动丧失金钱所有权（梁慧星、陈华彬:《物权法》， 法律出版社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247</w:t>
      </w:r>
      <w:r>
        <w:rPr>
          <w:color w:val="000000"/>
          <w:spacing w:val="0"/>
          <w:w w:val="100"/>
          <w:position w:val="0"/>
        </w:rPr>
        <w:t>页）。当存款人将金钱存入银行账户后，就丧失了对金钱的所有 权，只享有银行支付其账户中特定金额的债权,付款人不可能再就其账户中的金钱设定动 产质权（赵一平:《论账户质押中的法律问题》，载《人民司法》</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期）。至于保证金账户质 押的公示方式，可以在中国人民银行征信中心应收账款质押登记公示系统中登记，同时从 交易的便捷性等因素考量,登记应当为质权的对抗要件而非生效要件（侯思贤:《论银行账户质 押的名称、性质与公示方式的选择》，载《征信》</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330FC5FE">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特殊动产质押说者则提岀了金钱占有即所有的例外理论。金钱变动虽以占有即所有 为原则，但该原则仅适用于金钱的流通领域。在金钱质押的场合，设质金钱经过特定化后 退出市场的流通,当事人之间也并无转移金钱所有权的意思，因此，金钱质押是占有即所有 原则的例外（陈龙吟:《账户质押效力论》，载《北方法</w:t>
      </w:r>
      <w:r>
        <w:rPr>
          <w:rFonts w:ascii="Times New Roman" w:hAnsi="Times New Roman" w:eastAsia="Times New Roman" w:cs="Times New Roman"/>
          <w:color w:val="000000"/>
          <w:spacing w:val="0"/>
          <w:w w:val="100"/>
          <w:position w:val="0"/>
          <w:sz w:val="17"/>
          <w:szCs w:val="17"/>
          <w:lang w:val="en-US" w:eastAsia="en-US" w:bidi="en-US"/>
        </w:rPr>
        <w:t>*&gt;2017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期），岀质人对银行账户中的 金钱享有所有权，账户质押的标的是账户中的金钱，而账户只是并无实际价值的载体（汪玉 宁：《金钱质押设立条件之认定——以〈担保法〉司法解释第</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条为中心》，载《中南财经政法大学研究 生学报》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期）。同时,《担保法司法解释》第</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条中的特户是账户的一种，该条位于 动产质押章节下，因此，在现行法语境下,保证金账户质押应当认定为动产质押项下的金钱 质押（霍楠、夏敏:《保证金账户质押生效则不能成为另案执行标的》，载《人民司法</w:t>
      </w:r>
      <w:r>
        <w:rPr>
          <w:color w:val="000000"/>
          <w:spacing w:val="0"/>
          <w:w w:val="100"/>
          <w:position w:val="0"/>
          <w:lang w:val="en-US" w:eastAsia="en-US" w:bidi="en-US"/>
        </w:rPr>
        <w:t>•</w:t>
      </w:r>
      <w:r>
        <w:rPr>
          <w:color w:val="000000"/>
          <w:spacing w:val="0"/>
          <w:w w:val="100"/>
          <w:position w:val="0"/>
        </w:rPr>
        <w:t>案例》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p>
    <w:p w14:paraId="228E24A6">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关于保证金账户质押的设立要件，特殊动产质押说者认为应满足账户资金特定化与移 交占有两项要件。就保证金账户资金的特定化，该说要求账户资金的进岀只能与担保业务 有关，该账户不能作为出质人的对外收款账户及对外付款的结算账户。不过，特定化不是 质押账户资金的固定化，随着保证金业务的开展,保证金业务必然是浮动的，只要该浮动能 与保证金业务相对应即可（霍楠、夏敏:《保证金账户质押生效则不能成为另案执行标的》，载《人民 司法-案例》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期）。就账户资金的移交占有，该说则认为占有的实质是对物的控制 与管理状态,当保证金账户开立在质权人的银行处后，质权人即取得对账户的控制，出质人 丧失对该资金的自由处分权。因此,质权人取得对保证金账户的控制后，账户就已经移交 占有（其木提:《论浮动账户质押的法律效力——</w:t>
      </w:r>
      <w:r>
        <w:rPr>
          <w:color w:val="000000"/>
          <w:spacing w:val="0"/>
          <w:w w:val="100"/>
          <w:position w:val="0"/>
          <w:lang w:val="zh-CN" w:eastAsia="zh-CN" w:bidi="zh-CN"/>
        </w:rPr>
        <w:t>“中国</w:t>
      </w:r>
      <w:r>
        <w:rPr>
          <w:color w:val="000000"/>
          <w:spacing w:val="0"/>
          <w:w w:val="100"/>
          <w:position w:val="0"/>
        </w:rPr>
        <w:t>农业发展银行安徽省分行诉张大标、安徽长江 融资担保集团有限公司保证金质权确认之诉纠纷案”评释》，载《交大法学》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B606D6A">
      <w:pPr>
        <w:pStyle w:val="17"/>
        <w:keepNext w:val="0"/>
        <w:keepLines w:val="0"/>
        <w:widowControl w:val="0"/>
        <w:shd w:val="clear" w:color="auto" w:fill="auto"/>
        <w:bidi w:val="0"/>
        <w:spacing w:before="0" w:after="0" w:line="340" w:lineRule="exact"/>
        <w:ind w:left="0" w:right="0" w:firstLine="420"/>
        <w:jc w:val="both"/>
        <w:rPr>
          <w:sz w:val="19"/>
          <w:szCs w:val="19"/>
        </w:rPr>
      </w:pPr>
      <w:r>
        <w:rPr>
          <w:color w:val="000000"/>
          <w:spacing w:val="0"/>
          <w:w w:val="100"/>
          <w:position w:val="0"/>
          <w:sz w:val="18"/>
          <w:szCs w:val="18"/>
        </w:rPr>
        <w:t>在比较法上，与本案所涉保证金账户质押相似的有美国法上的储蓄账户担保制度。债 权人就储蓄账户的担保权，尚须</w:t>
      </w:r>
      <w:r>
        <w:rPr>
          <w:color w:val="000000"/>
          <w:spacing w:val="0"/>
          <w:w w:val="100"/>
          <w:position w:val="0"/>
          <w:sz w:val="18"/>
          <w:szCs w:val="18"/>
          <w:lang w:val="zh-CN" w:eastAsia="zh-CN" w:bidi="zh-CN"/>
        </w:rPr>
        <w:t>“公示</w:t>
      </w:r>
      <w:r>
        <w:rPr>
          <w:rFonts w:ascii="Times New Roman" w:hAnsi="Times New Roman" w:eastAsia="Times New Roman" w:cs="Times New Roman"/>
          <w:color w:val="000000"/>
          <w:spacing w:val="0"/>
          <w:w w:val="100"/>
          <w:position w:val="0"/>
          <w:sz w:val="19"/>
          <w:szCs w:val="19"/>
          <w:lang w:val="en-US" w:eastAsia="en-US" w:bidi="en-US"/>
        </w:rPr>
        <w:t>"（perfection）</w:t>
      </w:r>
      <w:r>
        <w:rPr>
          <w:color w:val="000000"/>
          <w:spacing w:val="0"/>
          <w:w w:val="100"/>
          <w:position w:val="0"/>
          <w:sz w:val="18"/>
          <w:szCs w:val="18"/>
        </w:rPr>
        <w:t>才能对抗第三人,储蓄账户担保权的公 示方式为控制（</w:t>
      </w:r>
      <w:r>
        <w:rPr>
          <w:rFonts w:ascii="Times New Roman" w:hAnsi="Times New Roman" w:eastAsia="Times New Roman" w:cs="Times New Roman"/>
          <w:color w:val="000000"/>
          <w:spacing w:val="0"/>
          <w:w w:val="100"/>
          <w:position w:val="0"/>
          <w:sz w:val="19"/>
          <w:szCs w:val="19"/>
          <w:lang w:val="en-US" w:eastAsia="en-US" w:bidi="en-US"/>
        </w:rPr>
        <w:t xml:space="preserve">control） </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sz w:val="18"/>
          <w:szCs w:val="18"/>
        </w:rPr>
        <w:t>《美国统一商法典》第</w:t>
      </w:r>
      <w:r>
        <w:rPr>
          <w:rFonts w:ascii="Times New Roman" w:hAnsi="Times New Roman" w:eastAsia="Times New Roman" w:cs="Times New Roman"/>
          <w:color w:val="000000"/>
          <w:spacing w:val="0"/>
          <w:w w:val="100"/>
          <w:position w:val="0"/>
          <w:sz w:val="19"/>
          <w:szCs w:val="19"/>
          <w:lang w:val="en-US" w:eastAsia="en-US" w:bidi="en-US"/>
        </w:rPr>
        <w:t>9-104</w:t>
      </w:r>
      <w:r>
        <w:rPr>
          <w:color w:val="000000"/>
          <w:spacing w:val="0"/>
          <w:w w:val="100"/>
          <w:position w:val="0"/>
          <w:sz w:val="18"/>
          <w:szCs w:val="18"/>
        </w:rPr>
        <w:t>条规定，担保权人取得对账户控制 的方法有:其一，担保权人是储蓄账户的开户银行；其二,债务人、担保权人和开户银行在三 方协议中同意，开户银行将依据担保权人的指示处分储蓄账户中的资金，并且不必再经过 债务人的额外同意;其三，担保权人基于此储蓄账户而成为银行的客户。需要指出的是，美 国学界认为,控制作为一种</w:t>
      </w:r>
      <w:r>
        <w:rPr>
          <w:color w:val="000000"/>
          <w:spacing w:val="0"/>
          <w:w w:val="100"/>
          <w:position w:val="0"/>
          <w:sz w:val="18"/>
          <w:szCs w:val="18"/>
          <w:lang w:val="zh-CN" w:eastAsia="zh-CN" w:bidi="zh-CN"/>
        </w:rPr>
        <w:t>“公示”方式</w:t>
      </w:r>
      <w:r>
        <w:rPr>
          <w:color w:val="000000"/>
          <w:spacing w:val="0"/>
          <w:w w:val="100"/>
          <w:position w:val="0"/>
          <w:sz w:val="18"/>
          <w:szCs w:val="18"/>
        </w:rPr>
        <w:t>，并不具有向社会公众公示担保权的作用，而美国法 之所以允许这样的</w:t>
      </w:r>
      <w:r>
        <w:rPr>
          <w:color w:val="000000"/>
          <w:spacing w:val="0"/>
          <w:w w:val="100"/>
          <w:position w:val="0"/>
          <w:sz w:val="18"/>
          <w:szCs w:val="18"/>
          <w:lang w:val="zh-CN" w:eastAsia="zh-CN" w:bidi="zh-CN"/>
        </w:rPr>
        <w:t>“秘密”担</w:t>
      </w:r>
      <w:r>
        <w:rPr>
          <w:color w:val="000000"/>
          <w:spacing w:val="0"/>
          <w:w w:val="100"/>
          <w:position w:val="0"/>
          <w:sz w:val="18"/>
          <w:szCs w:val="18"/>
        </w:rPr>
        <w:t>保权的存在，是因为银行对储蓄账户中的资金享有抵销权，任 何第三人都被推定知道银行对账户享有权利</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Ingrid Michelsen Hillinger</w:t>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lang w:val="en-US" w:eastAsia="en-US" w:bidi="en-US"/>
        </w:rPr>
        <w:t xml:space="preserve">David Line Batty and Richard K. Brown, Deposit Accounts Under The New World Order, 6 N. C. Banking Inst. 1, 2002） </w:t>
      </w:r>
      <w:r>
        <w:rPr>
          <w:rFonts w:ascii="Times New Roman" w:hAnsi="Times New Roman" w:eastAsia="Times New Roman" w:cs="Times New Roman"/>
          <w:color w:val="000000"/>
          <w:spacing w:val="0"/>
          <w:w w:val="100"/>
          <w:position w:val="0"/>
          <w:sz w:val="19"/>
          <w:szCs w:val="19"/>
          <w:vertAlign w:val="subscript"/>
          <w:lang w:val="en-US" w:eastAsia="en-US" w:bidi="en-US"/>
        </w:rPr>
        <w:t>o</w:t>
      </w:r>
    </w:p>
    <w:p w14:paraId="6D2E317E">
      <w:pPr>
        <w:pStyle w:val="17"/>
        <w:keepNext w:val="0"/>
        <w:keepLines w:val="0"/>
        <w:widowControl w:val="0"/>
        <w:shd w:val="clear" w:color="auto" w:fill="auto"/>
        <w:bidi w:val="0"/>
        <w:spacing w:before="0" w:after="280" w:line="342" w:lineRule="exact"/>
        <w:ind w:left="0" w:right="0" w:firstLine="420"/>
        <w:jc w:val="both"/>
        <w:sectPr>
          <w:headerReference r:id="rId315" w:type="first"/>
          <w:headerReference r:id="rId313" w:type="default"/>
          <w:headerReference r:id="rId314" w:type="even"/>
          <w:footnotePr>
            <w:numFmt w:val="chicago"/>
          </w:footnotePr>
          <w:pgSz w:w="10099" w:h="14782"/>
          <w:pgMar w:top="1326" w:right="988" w:bottom="1089" w:left="1110" w:header="0" w:footer="3" w:gutter="0"/>
          <w:pgNumType w:start="247"/>
          <w:cols w:space="720" w:num="1"/>
          <w:titlePg/>
          <w:rtlGutter w:val="0"/>
          <w:docGrid w:linePitch="360" w:charSpace="0"/>
        </w:sectPr>
      </w:pPr>
      <w:r>
        <w:rPr>
          <w:color w:val="000000"/>
          <w:spacing w:val="0"/>
          <w:w w:val="100"/>
          <w:position w:val="0"/>
        </w:rPr>
        <w:t>受司法实践的影响，特殊动产质押说是目前的多数说，但该说尚存疑问的是:其一，保 证金存入银行账户后，便进入银行的整个流转体系,成为银行包括对外发放贷款、支付存款 等业务的资金来源,而不是将保证金账户内的资金</w:t>
      </w:r>
      <w:r>
        <w:rPr>
          <w:color w:val="000000"/>
          <w:spacing w:val="0"/>
          <w:w w:val="100"/>
          <w:position w:val="0"/>
          <w:lang w:val="zh-CN" w:eastAsia="zh-CN" w:bidi="zh-CN"/>
        </w:rPr>
        <w:t>“封存”在</w:t>
      </w:r>
      <w:r>
        <w:rPr>
          <w:color w:val="000000"/>
          <w:spacing w:val="0"/>
          <w:w w:val="100"/>
          <w:position w:val="0"/>
        </w:rPr>
        <w:t xml:space="preserve">账户中（方建国、蒋海英:《商业银 </w:t>
      </w:r>
    </w:p>
    <w:p w14:paraId="561CD59A">
      <w:pPr>
        <w:pStyle w:val="17"/>
        <w:keepNext w:val="0"/>
        <w:keepLines w:val="0"/>
        <w:widowControl w:val="0"/>
        <w:shd w:val="clear" w:color="auto" w:fill="auto"/>
        <w:bidi w:val="0"/>
        <w:spacing w:before="0" w:after="280" w:line="342" w:lineRule="exact"/>
        <w:ind w:left="0" w:right="0" w:firstLine="0"/>
        <w:jc w:val="both"/>
      </w:pPr>
      <w:r>
        <w:rPr>
          <w:color w:val="000000"/>
          <w:spacing w:val="0"/>
          <w:w w:val="100"/>
          <w:position w:val="0"/>
        </w:rPr>
        <w:t>行保证金账户担保的性质辨析》，载《金陵法律评论》</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年秋季卷，第</w:t>
      </w:r>
      <w:r>
        <w:rPr>
          <w:rFonts w:ascii="Times New Roman" w:hAnsi="Times New Roman" w:eastAsia="Times New Roman" w:cs="Times New Roman"/>
          <w:color w:val="000000"/>
          <w:spacing w:val="0"/>
          <w:w w:val="100"/>
          <w:position w:val="0"/>
          <w:sz w:val="17"/>
          <w:szCs w:val="17"/>
        </w:rPr>
        <w:t>90</w:t>
      </w:r>
      <w:r>
        <w:rPr>
          <w:color w:val="000000"/>
          <w:spacing w:val="0"/>
          <w:w w:val="100"/>
          <w:position w:val="0"/>
        </w:rPr>
        <w:t>页）。因此,该说建立的基 础</w:t>
      </w:r>
      <w:r>
        <w:rPr>
          <w:color w:val="000000"/>
          <w:spacing w:val="0"/>
          <w:w w:val="100"/>
          <w:position w:val="0"/>
          <w:lang w:val="en-US" w:eastAsia="en-US" w:bidi="en-US"/>
        </w:rPr>
        <w:t>一一</w:t>
      </w:r>
      <w:r>
        <w:rPr>
          <w:color w:val="000000"/>
          <w:spacing w:val="0"/>
          <w:w w:val="100"/>
          <w:position w:val="0"/>
        </w:rPr>
        <w:t>在金钱退出流通领域后，金钱占有即所有原则即不适用的观点——有待商榷。其 二，银行账户由谁实际控制和管理，涉及客户的金融隐私和众多金融信息,第三人无法辨 别，无合法理由亦无权查阅。换言之，该说提出的控制公示实际上公示性较弱，第三人无法 辨别某一债权人是否对某个银行账户进行了</w:t>
      </w:r>
      <w:r>
        <w:rPr>
          <w:color w:val="000000"/>
          <w:spacing w:val="0"/>
          <w:w w:val="100"/>
          <w:position w:val="0"/>
          <w:lang w:val="zh-CN" w:eastAsia="zh-CN" w:bidi="zh-CN"/>
        </w:rPr>
        <w:t>“实际</w:t>
      </w:r>
      <w:r>
        <w:rPr>
          <w:color w:val="000000"/>
          <w:spacing w:val="0"/>
          <w:w w:val="100"/>
          <w:position w:val="0"/>
        </w:rPr>
        <w:t>控制和管理”（侯思贤:《论银行账户质押的 名称、性质与公示方式的选择》，载《征信》</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期）。但也应看到的是，控制实际上是占有 （交付）的一种特殊形式，占有本身的公示性就较弱。此外，由银行交易惯例所形成的规则， 在各国之间尚存差异。在我国，银行控制账户本身是否已经在交易各方之间形成了其对该 账户排他的权利，尚值商榷。</w:t>
      </w:r>
    </w:p>
    <w:p w14:paraId="798FA038">
      <w:pPr>
        <w:pStyle w:val="17"/>
        <w:keepNext w:val="0"/>
        <w:keepLines w:val="0"/>
        <w:widowControl w:val="0"/>
        <w:shd w:val="clear" w:color="auto" w:fill="auto"/>
        <w:bidi w:val="0"/>
        <w:spacing w:before="0" w:after="0" w:line="425"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0B64F82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作为新类型担保纠纷，保证金账户质押纠纷在实践中大量涌现是从</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年开始的。在 此之前，最常见的账户质押纠纷类型是出口退税账户质押纠纷。最高人民法院《关于审理 出口退税托管账户质押贷款案件有关问题的规定》</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7"/>
          <w:szCs w:val="17"/>
        </w:rPr>
        <w:t>（2004）18</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条规定:</w:t>
      </w:r>
      <w:r>
        <w:rPr>
          <w:color w:val="000000"/>
          <w:spacing w:val="0"/>
          <w:w w:val="100"/>
          <w:position w:val="0"/>
          <w:lang w:val="zh-CN" w:eastAsia="zh-CN" w:bidi="zh-CN"/>
        </w:rPr>
        <w:t xml:space="preserve">“以出 </w:t>
      </w:r>
      <w:r>
        <w:rPr>
          <w:color w:val="000000"/>
          <w:spacing w:val="0"/>
          <w:w w:val="100"/>
          <w:position w:val="0"/>
        </w:rPr>
        <w:t>口退税专用账户质押方式贷款的，应当签订书面质押贷款合同。质押贷款合同自贷款银行 实际托管借款人出口退税专用账户时生效</w:t>
      </w:r>
      <w:r>
        <w:rPr>
          <w:color w:val="000000"/>
          <w:spacing w:val="0"/>
          <w:w w:val="100"/>
          <w:position w:val="0"/>
          <w:lang w:val="zh-CN" w:eastAsia="zh-CN" w:bidi="zh-CN"/>
        </w:rPr>
        <w:t>。”该</w:t>
      </w:r>
      <w:r>
        <w:rPr>
          <w:color w:val="000000"/>
          <w:spacing w:val="0"/>
          <w:w w:val="100"/>
          <w:position w:val="0"/>
        </w:rPr>
        <w:t>条因与原《物权法》冲突，已被最高人民法院 废止。原《物权法》实施之后,司法实践中多将出口退税账户质押定性为应收账款质押，质 权自在应收账款质押登记系统登记时设立［如“厦门国际银行北京分行诉北京诚信安隆科技发展 有限公司等借款合同纠纷案</w:t>
      </w:r>
      <w:r>
        <w:rPr>
          <w:color w:val="000000"/>
          <w:spacing w:val="0"/>
          <w:w w:val="100"/>
          <w:position w:val="0"/>
          <w:lang w:val="zh-CN" w:eastAsia="zh-CN" w:bidi="zh-CN"/>
        </w:rPr>
        <w:t>”，北</w:t>
      </w:r>
      <w:r>
        <w:rPr>
          <w:color w:val="000000"/>
          <w:spacing w:val="0"/>
          <w:w w:val="100"/>
          <w:position w:val="0"/>
        </w:rPr>
        <w:t>京市西城区人民法院</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西民初字第</w:t>
      </w:r>
      <w:r>
        <w:rPr>
          <w:rFonts w:ascii="Times New Roman" w:hAnsi="Times New Roman" w:eastAsia="Times New Roman" w:cs="Times New Roman"/>
          <w:color w:val="000000"/>
          <w:spacing w:val="0"/>
          <w:w w:val="100"/>
          <w:position w:val="0"/>
          <w:sz w:val="17"/>
          <w:szCs w:val="17"/>
        </w:rPr>
        <w:t>14333</w:t>
      </w:r>
      <w:r>
        <w:rPr>
          <w:color w:val="000000"/>
          <w:spacing w:val="0"/>
          <w:w w:val="100"/>
          <w:position w:val="0"/>
        </w:rPr>
        <w:t>号民事判决书］。保 证金账户质押与出口退税账户质押均属于账户质押，但前者被定性为特殊动产质押，后者 被定性为债权质押，由此引发了体系上的冲突。</w:t>
      </w:r>
    </w:p>
    <w:p w14:paraId="30181C40">
      <w:pPr>
        <w:pStyle w:val="17"/>
        <w:keepNext w:val="0"/>
        <w:keepLines w:val="0"/>
        <w:widowControl w:val="0"/>
        <w:shd w:val="clear" w:color="auto" w:fill="auto"/>
        <w:bidi w:val="0"/>
        <w:spacing w:before="0" w:after="160" w:line="346" w:lineRule="exact"/>
        <w:ind w:left="0" w:right="0" w:firstLine="420"/>
        <w:jc w:val="both"/>
      </w:pPr>
      <w:r>
        <w:rPr>
          <w:color w:val="000000"/>
          <w:spacing w:val="0"/>
          <w:w w:val="100"/>
          <w:position w:val="0"/>
        </w:rPr>
        <w:t>具体至本案中，就</w:t>
      </w:r>
      <w:r>
        <w:rPr>
          <w:rFonts w:ascii="Times New Roman" w:hAnsi="Times New Roman" w:eastAsia="Times New Roman" w:cs="Times New Roman"/>
          <w:color w:val="000000"/>
          <w:spacing w:val="0"/>
          <w:w w:val="100"/>
          <w:position w:val="0"/>
          <w:sz w:val="17"/>
          <w:szCs w:val="17"/>
          <w:lang w:val="en-US" w:eastAsia="en-US" w:bidi="en-US"/>
        </w:rPr>
        <w:t>N</w:t>
      </w:r>
      <w:r>
        <w:rPr>
          <w:color w:val="000000"/>
          <w:spacing w:val="0"/>
          <w:w w:val="100"/>
          <w:position w:val="0"/>
        </w:rPr>
        <w:t>行的质权是否设立,一审法院也与二审法院的判决存在差别。一 审法院认为,一方面，虽然合作协议约定未经</w:t>
      </w:r>
      <w:r>
        <w:rPr>
          <w:rFonts w:ascii="Times New Roman" w:hAnsi="Times New Roman" w:eastAsia="Times New Roman" w:cs="Times New Roman"/>
          <w:color w:val="000000"/>
          <w:spacing w:val="0"/>
          <w:w w:val="100"/>
          <w:position w:val="0"/>
          <w:sz w:val="17"/>
          <w:szCs w:val="17"/>
          <w:lang w:val="en-US" w:eastAsia="en-US" w:bidi="en-US"/>
        </w:rPr>
        <w:t>N</w:t>
      </w:r>
      <w:r>
        <w:rPr>
          <w:color w:val="000000"/>
          <w:spacing w:val="0"/>
          <w:w w:val="100"/>
          <w:position w:val="0"/>
        </w:rPr>
        <w:t>行同意,</w:t>
      </w:r>
      <w:r>
        <w:rPr>
          <w:rFonts w:ascii="Times New Roman" w:hAnsi="Times New Roman" w:eastAsia="Times New Roman" w:cs="Times New Roman"/>
          <w:color w:val="000000"/>
          <w:spacing w:val="0"/>
          <w:w w:val="100"/>
          <w:position w:val="0"/>
          <w:sz w:val="17"/>
          <w:szCs w:val="17"/>
          <w:lang w:val="en-US" w:eastAsia="en-US" w:bidi="en-US"/>
        </w:rPr>
        <w:t>C</w:t>
      </w:r>
      <w:r>
        <w:rPr>
          <w:color w:val="000000"/>
          <w:spacing w:val="0"/>
          <w:w w:val="100"/>
          <w:position w:val="0"/>
        </w:rPr>
        <w:t>公司不得动用保证金专户内的资 金，但保证金账户是出质人开立的，在形式上不符合法定要件——</w:t>
      </w:r>
      <w:r>
        <w:rPr>
          <w:color w:val="000000"/>
          <w:spacing w:val="0"/>
          <w:w w:val="100"/>
          <w:position w:val="0"/>
          <w:lang w:val="zh-CN" w:eastAsia="zh-CN" w:bidi="zh-CN"/>
        </w:rPr>
        <w:t>“移</w:t>
      </w:r>
      <w:r>
        <w:rPr>
          <w:color w:val="000000"/>
          <w:spacing w:val="0"/>
          <w:w w:val="100"/>
          <w:position w:val="0"/>
        </w:rPr>
        <w:t>交债权人占有”；另一 方面，涉案保证金账户存在多次进出账的情形,账户内的资金数额不断浮动，不符合法律规 定的特定化要件。</w:t>
      </w:r>
      <w:r>
        <w:rPr>
          <w:rFonts w:ascii="Times New Roman" w:hAnsi="Times New Roman" w:eastAsia="Times New Roman" w:cs="Times New Roman"/>
          <w:color w:val="000000"/>
          <w:spacing w:val="0"/>
          <w:w w:val="100"/>
          <w:position w:val="0"/>
          <w:sz w:val="17"/>
          <w:szCs w:val="17"/>
          <w:lang w:val="en-US" w:eastAsia="en-US" w:bidi="en-US"/>
        </w:rPr>
        <w:t>C</w:t>
      </w:r>
      <w:r>
        <w:rPr>
          <w:color w:val="000000"/>
          <w:spacing w:val="0"/>
          <w:w w:val="100"/>
          <w:position w:val="0"/>
        </w:rPr>
        <w:t>公司并无就保证金账户中的资金提供质押担保的意思表示,</w:t>
      </w:r>
      <w:r>
        <w:rPr>
          <w:rFonts w:ascii="Times New Roman" w:hAnsi="Times New Roman" w:eastAsia="Times New Roman" w:cs="Times New Roman"/>
          <w:color w:val="000000"/>
          <w:spacing w:val="0"/>
          <w:w w:val="100"/>
          <w:position w:val="0"/>
          <w:sz w:val="17"/>
          <w:szCs w:val="17"/>
          <w:lang w:val="en-US" w:eastAsia="en-US" w:bidi="en-US"/>
        </w:rPr>
        <w:t>N</w:t>
      </w:r>
      <w:r>
        <w:rPr>
          <w:color w:val="000000"/>
          <w:spacing w:val="0"/>
          <w:w w:val="100"/>
          <w:position w:val="0"/>
        </w:rPr>
        <w:t>行与</w:t>
      </w:r>
      <w:r>
        <w:rPr>
          <w:rFonts w:ascii="Times New Roman" w:hAnsi="Times New Roman" w:eastAsia="Times New Roman" w:cs="Times New Roman"/>
          <w:color w:val="000000"/>
          <w:spacing w:val="0"/>
          <w:w w:val="100"/>
          <w:position w:val="0"/>
          <w:sz w:val="17"/>
          <w:szCs w:val="17"/>
          <w:lang w:val="en-US" w:eastAsia="en-US" w:bidi="en-US"/>
        </w:rPr>
        <w:t xml:space="preserve">C </w:t>
      </w:r>
      <w:r>
        <w:rPr>
          <w:color w:val="000000"/>
          <w:spacing w:val="0"/>
          <w:w w:val="100"/>
          <w:position w:val="0"/>
        </w:rPr>
        <w:t>公司间的质押关系不成立［安徽省合肥市中级人民法院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合民一初字第</w:t>
      </w:r>
      <w:r>
        <w:rPr>
          <w:rFonts w:ascii="Times New Roman" w:hAnsi="Times New Roman" w:eastAsia="Times New Roman" w:cs="Times New Roman"/>
          <w:color w:val="000000"/>
          <w:spacing w:val="0"/>
          <w:w w:val="100"/>
          <w:position w:val="0"/>
          <w:sz w:val="17"/>
          <w:szCs w:val="17"/>
        </w:rPr>
        <w:t>00505</w:t>
      </w:r>
      <w:r>
        <w:rPr>
          <w:color w:val="000000"/>
          <w:spacing w:val="0"/>
          <w:w w:val="100"/>
          <w:position w:val="0"/>
        </w:rPr>
        <w:t>号民事判决 书］。总体而言，在本案判决作出前，对保证金账户的移交占有以及账户浮动是否导致特定 性丧失等问题，实践中缺乏统一的裁判路径。</w:t>
      </w:r>
    </w:p>
    <w:p w14:paraId="1F7797FD">
      <w:pPr>
        <w:pStyle w:val="17"/>
        <w:keepNext w:val="0"/>
        <w:keepLines w:val="0"/>
        <w:widowControl w:val="0"/>
        <w:shd w:val="clear" w:color="auto" w:fill="auto"/>
        <w:bidi w:val="0"/>
        <w:spacing w:before="0" w:after="160" w:line="346" w:lineRule="exact"/>
        <w:ind w:left="0" w:right="0" w:firstLine="0"/>
        <w:jc w:val="both"/>
      </w:pPr>
      <w:r>
        <w:rPr>
          <w:color w:val="000000"/>
          <w:spacing w:val="0"/>
          <w:w w:val="100"/>
          <w:position w:val="0"/>
          <w:lang w:val="en-US" w:eastAsia="en-US" w:bidi="en-US"/>
        </w:rPr>
        <w:t>®</w:t>
      </w:r>
      <w:r>
        <w:rPr>
          <w:color w:val="000000"/>
          <w:spacing w:val="0"/>
          <w:w w:val="100"/>
          <w:position w:val="0"/>
        </w:rPr>
        <w:t>本裁定的参考意义及将来的课题</w:t>
      </w:r>
    </w:p>
    <w:p w14:paraId="0740F709">
      <w:pPr>
        <w:pStyle w:val="17"/>
        <w:keepNext w:val="0"/>
        <w:keepLines w:val="0"/>
        <w:widowControl w:val="0"/>
        <w:shd w:val="clear" w:color="auto" w:fill="auto"/>
        <w:bidi w:val="0"/>
        <w:spacing w:before="0" w:after="360" w:line="343" w:lineRule="exact"/>
        <w:ind w:left="0" w:right="0" w:firstLine="420"/>
        <w:jc w:val="both"/>
        <w:sectPr>
          <w:headerReference r:id="rId316" w:type="default"/>
          <w:headerReference r:id="rId317" w:type="even"/>
          <w:footnotePr>
            <w:numFmt w:val="chicago"/>
          </w:footnotePr>
          <w:pgSz w:w="10099" w:h="14782"/>
          <w:pgMar w:top="1326" w:right="988" w:bottom="1089" w:left="1110" w:header="0" w:footer="661" w:gutter="0"/>
          <w:pgNumType w:start="265"/>
          <w:cols w:space="720" w:num="1"/>
          <w:rtlGutter w:val="0"/>
          <w:docGrid w:linePitch="360" w:charSpace="0"/>
        </w:sectPr>
      </w:pPr>
      <w:r>
        <w:rPr>
          <w:color w:val="000000"/>
          <w:spacing w:val="0"/>
          <w:w w:val="100"/>
          <w:position w:val="0"/>
        </w:rPr>
        <w:t>本案裁判确立了司法实践中对保证金账户质押纠纷的裁判规则，即保证金账户质押的 性质为特殊动产质押，依据《担保法司法解释》第</w:t>
      </w:r>
      <w:r>
        <w:rPr>
          <w:rFonts w:ascii="Times New Roman" w:hAnsi="Times New Roman" w:eastAsia="Times New Roman" w:cs="Times New Roman"/>
          <w:color w:val="000000"/>
          <w:spacing w:val="0"/>
          <w:w w:val="100"/>
          <w:position w:val="0"/>
          <w:sz w:val="17"/>
          <w:szCs w:val="17"/>
        </w:rPr>
        <w:t>85</w:t>
      </w:r>
      <w:r>
        <w:rPr>
          <w:color w:val="000000"/>
          <w:spacing w:val="0"/>
          <w:w w:val="100"/>
          <w:position w:val="0"/>
        </w:rPr>
        <w:t xml:space="preserve">条的规定,在保证金账户质押特定化及 移交占有（占有的表象是控制）后，保证金账户质权即设立。在制度供给不足的背景下，本 案裁判的贡献在于承认了保证金账户质押的效力，以及在一定程度上为保证金账户的运行 松绑，即许可账户在特定条件下的浮动有重要意义。不过,基于金钱的占有即所有原则，以 </w:t>
      </w:r>
    </w:p>
    <w:p w14:paraId="781A6FC4">
      <w:pPr>
        <w:pStyle w:val="17"/>
        <w:keepNext w:val="0"/>
        <w:keepLines w:val="0"/>
        <w:widowControl w:val="0"/>
        <w:shd w:val="clear" w:color="auto" w:fill="auto"/>
        <w:bidi w:val="0"/>
        <w:spacing w:before="0" w:after="360" w:line="343" w:lineRule="exact"/>
        <w:ind w:left="0" w:right="0" w:firstLine="0"/>
        <w:jc w:val="both"/>
      </w:pPr>
      <w:r>
        <w:rPr>
          <w:color w:val="000000"/>
          <w:spacing w:val="0"/>
          <w:w w:val="100"/>
          <w:position w:val="0"/>
        </w:rPr>
        <w:t>及控制在公开性上的欠缺，特殊动产质押说是否妥善有待进一步研究。若将来实践仍釆特 殊动产质押的路径，有待明确的问题是:其一，质押的保证金账户是否必须是《人民币银行 结算账户管理办法》中的专用存款账户，还是出质人的既有一般账户在满足不做日常结算 之用时也可以满足特定化的条件［如</w:t>
      </w:r>
      <w:r>
        <w:rPr>
          <w:color w:val="000000"/>
          <w:spacing w:val="0"/>
          <w:w w:val="100"/>
          <w:position w:val="0"/>
          <w:lang w:val="zh-CN" w:eastAsia="zh-CN" w:bidi="zh-CN"/>
        </w:rPr>
        <w:t>“张远</w:t>
      </w:r>
      <w:r>
        <w:rPr>
          <w:color w:val="000000"/>
          <w:spacing w:val="0"/>
          <w:w w:val="100"/>
          <w:position w:val="0"/>
        </w:rPr>
        <w:t>锋与兴业银行、广信公司执行异议纠纷案</w:t>
      </w:r>
      <w:r>
        <w:rPr>
          <w:color w:val="000000"/>
          <w:spacing w:val="0"/>
          <w:w w:val="100"/>
          <w:position w:val="0"/>
          <w:lang w:val="zh-CN" w:eastAsia="zh-CN" w:bidi="zh-CN"/>
        </w:rPr>
        <w:t>”，广</w:t>
      </w:r>
      <w:r>
        <w:rPr>
          <w:color w:val="000000"/>
          <w:spacing w:val="0"/>
          <w:w w:val="100"/>
          <w:position w:val="0"/>
        </w:rPr>
        <w:t>东省高级 人民法院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粤高法民二终字第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号民事判决书］。其二,保证金账户的名称是否要有</w:t>
      </w:r>
      <w:r>
        <w:rPr>
          <w:color w:val="000000"/>
          <w:spacing w:val="0"/>
          <w:w w:val="100"/>
          <w:position w:val="0"/>
          <w:lang w:val="zh-CN" w:eastAsia="zh-CN" w:bidi="zh-CN"/>
        </w:rPr>
        <w:t xml:space="preserve">“保证 </w:t>
      </w:r>
      <w:r>
        <w:rPr>
          <w:color w:val="000000"/>
          <w:spacing w:val="0"/>
          <w:w w:val="100"/>
          <w:position w:val="0"/>
        </w:rPr>
        <w:t xml:space="preserve">金” </w:t>
      </w:r>
      <w:r>
        <w:rPr>
          <w:color w:val="000000"/>
          <w:spacing w:val="0"/>
          <w:w w:val="100"/>
          <w:position w:val="0"/>
          <w:lang w:val="zh-CN" w:eastAsia="zh-CN" w:bidi="zh-CN"/>
        </w:rPr>
        <w:t>“特户”等特</w:t>
      </w:r>
      <w:r>
        <w:rPr>
          <w:color w:val="000000"/>
          <w:spacing w:val="0"/>
          <w:w w:val="100"/>
          <w:position w:val="0"/>
        </w:rPr>
        <w:t>定前缀，以此区别于只有单一“客户名称”的一般银行账户［如“秦皇岛建行与 刘德有、嘉远公司、刘嘉诚、刘俭案外人执行异议之诉</w:t>
      </w:r>
      <w:r>
        <w:rPr>
          <w:color w:val="000000"/>
          <w:spacing w:val="0"/>
          <w:w w:val="100"/>
          <w:position w:val="0"/>
          <w:lang w:val="zh-CN" w:eastAsia="zh-CN" w:bidi="zh-CN"/>
        </w:rPr>
        <w:t>”，黑</w:t>
      </w:r>
      <w:r>
        <w:rPr>
          <w:color w:val="000000"/>
          <w:spacing w:val="0"/>
          <w:w w:val="100"/>
          <w:position w:val="0"/>
        </w:rPr>
        <w:t>龙江省高级人民法院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黑民终</w:t>
      </w:r>
      <w:r>
        <w:rPr>
          <w:rFonts w:ascii="Times New Roman" w:hAnsi="Times New Roman" w:eastAsia="Times New Roman" w:cs="Times New Roman"/>
          <w:color w:val="000000"/>
          <w:spacing w:val="0"/>
          <w:w w:val="100"/>
          <w:position w:val="0"/>
          <w:sz w:val="17"/>
          <w:szCs w:val="17"/>
        </w:rPr>
        <w:t>227</w:t>
      </w:r>
      <w:r>
        <w:rPr>
          <w:color w:val="000000"/>
          <w:spacing w:val="0"/>
          <w:w w:val="100"/>
          <w:position w:val="0"/>
        </w:rPr>
        <w:t>号民 事判决书］。</w:t>
      </w:r>
    </w:p>
    <w:p w14:paraId="54995B95">
      <w:pPr>
        <w:pStyle w:val="11"/>
        <w:keepNext w:val="0"/>
        <w:keepLines w:val="0"/>
        <w:widowControl w:val="0"/>
        <w:shd w:val="clear" w:color="auto" w:fill="auto"/>
        <w:bidi w:val="0"/>
        <w:spacing w:before="0" w:after="100" w:line="338" w:lineRule="exact"/>
        <w:ind w:left="0" w:right="0" w:firstLine="0"/>
        <w:jc w:val="both"/>
      </w:pPr>
      <w:r>
        <w:rPr>
          <w:color w:val="000000"/>
          <w:spacing w:val="0"/>
          <w:w w:val="100"/>
          <w:position w:val="0"/>
        </w:rPr>
        <w:t>回参考文献</w:t>
      </w:r>
    </w:p>
    <w:p w14:paraId="46DDE2FF">
      <w:pPr>
        <w:pStyle w:val="17"/>
        <w:keepNext w:val="0"/>
        <w:keepLines w:val="0"/>
        <w:widowControl w:val="0"/>
        <w:shd w:val="clear" w:color="auto" w:fill="auto"/>
        <w:bidi w:val="0"/>
        <w:spacing w:before="0" w:after="0" w:line="300" w:lineRule="exact"/>
        <w:ind w:left="180" w:right="0" w:hanging="180"/>
        <w:jc w:val="both"/>
      </w:pPr>
      <w:r>
        <w:rPr>
          <w:color w:val="000000"/>
          <w:spacing w:val="0"/>
          <w:w w:val="100"/>
          <w:position w:val="0"/>
        </w:rPr>
        <w:t>其木提:《论浮动账户质押的法律效力——</w:t>
      </w:r>
      <w:r>
        <w:rPr>
          <w:color w:val="000000"/>
          <w:spacing w:val="0"/>
          <w:w w:val="100"/>
          <w:position w:val="0"/>
          <w:lang w:val="zh-CN" w:eastAsia="zh-CN" w:bidi="zh-CN"/>
        </w:rPr>
        <w:t>“中国</w:t>
      </w:r>
      <w:r>
        <w:rPr>
          <w:color w:val="000000"/>
          <w:spacing w:val="0"/>
          <w:w w:val="100"/>
          <w:position w:val="0"/>
        </w:rPr>
        <w:t>农业发展银行安徽省分行诉张大标、安徽长江融资担 保集团有限公司保证金质权确认之诉纠纷案”评释》，载《交大法学》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FD5CABC">
      <w:pPr>
        <w:pStyle w:val="17"/>
        <w:keepNext w:val="0"/>
        <w:keepLines w:val="0"/>
        <w:widowControl w:val="0"/>
        <w:shd w:val="clear" w:color="auto" w:fill="auto"/>
        <w:bidi w:val="0"/>
        <w:spacing w:before="0" w:after="100" w:line="300" w:lineRule="exact"/>
        <w:ind w:left="0" w:right="0" w:firstLine="0"/>
        <w:jc w:val="both"/>
      </w:pPr>
      <w:r>
        <w:rPr>
          <w:color w:val="000000"/>
          <w:spacing w:val="0"/>
          <w:w w:val="100"/>
          <w:position w:val="0"/>
        </w:rPr>
        <w:t>陈龙吟:《账户质押效力论》，载《北方法学》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43019959">
      <w:pPr>
        <w:pStyle w:val="17"/>
        <w:keepNext w:val="0"/>
        <w:keepLines w:val="0"/>
        <w:widowControl w:val="0"/>
        <w:shd w:val="clear" w:color="auto" w:fill="auto"/>
        <w:bidi w:val="0"/>
        <w:spacing w:before="0" w:after="100" w:line="240" w:lineRule="auto"/>
        <w:ind w:left="0" w:right="0" w:firstLine="0"/>
        <w:jc w:val="both"/>
      </w:pPr>
      <w:r>
        <w:rPr>
          <w:color w:val="000000"/>
          <w:spacing w:val="0"/>
          <w:w w:val="100"/>
          <w:position w:val="0"/>
        </w:rPr>
        <w:t>霍楠、夏敏:《保证金账户质押生效则不能成为另案执行标的》，载《人民司法-案例》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931B5C5">
      <w:pPr>
        <w:pStyle w:val="17"/>
        <w:keepNext w:val="0"/>
        <w:keepLines w:val="0"/>
        <w:widowControl w:val="0"/>
        <w:shd w:val="clear" w:color="auto" w:fill="auto"/>
        <w:bidi w:val="0"/>
        <w:spacing w:before="0" w:after="100" w:line="240" w:lineRule="auto"/>
        <w:ind w:left="0" w:right="0" w:firstLine="0"/>
        <w:jc w:val="both"/>
        <w:sectPr>
          <w:headerReference r:id="rId318" w:type="default"/>
          <w:headerReference r:id="rId319" w:type="even"/>
          <w:footnotePr>
            <w:numFmt w:val="chicago"/>
          </w:footnotePr>
          <w:pgSz w:w="10099" w:h="14782"/>
          <w:pgMar w:top="1326" w:right="988" w:bottom="1089" w:left="1110" w:header="0" w:footer="661" w:gutter="0"/>
          <w:pgNumType w:start="250"/>
          <w:cols w:space="720" w:num="1"/>
          <w:rtlGutter w:val="0"/>
          <w:docGrid w:linePitch="360" w:charSpace="0"/>
        </w:sectPr>
      </w:pPr>
      <w:r>
        <w:rPr>
          <w:color w:val="000000"/>
          <w:spacing w:val="0"/>
          <w:w w:val="100"/>
          <w:position w:val="0"/>
        </w:rPr>
        <w:t>侯思贤:《论银行账户质押的名称、性质与公示方式的选择》，载《征信》</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06F5A835">
      <w:pPr>
        <w:widowControl w:val="0"/>
        <w:spacing w:line="161" w:lineRule="exact"/>
        <w:rPr>
          <w:sz w:val="13"/>
          <w:szCs w:val="13"/>
        </w:rPr>
      </w:pPr>
    </w:p>
    <w:p w14:paraId="00461ADB">
      <w:pPr>
        <w:widowControl w:val="0"/>
        <w:spacing w:line="1" w:lineRule="exact"/>
        <w:sectPr>
          <w:headerReference r:id="rId320" w:type="default"/>
          <w:headerReference r:id="rId321" w:type="even"/>
          <w:footnotePr>
            <w:numFmt w:val="chicago"/>
          </w:footnotePr>
          <w:pgSz w:w="10099" w:h="14782"/>
          <w:pgMar w:top="1281" w:right="1079" w:bottom="1131" w:left="1021" w:header="0" w:footer="3" w:gutter="0"/>
          <w:pgNumType w:start="267"/>
          <w:cols w:space="720" w:num="1"/>
          <w:rtlGutter w:val="0"/>
          <w:docGrid w:linePitch="360" w:charSpace="0"/>
        </w:sectPr>
      </w:pPr>
    </w:p>
    <w:p w14:paraId="51A937C3">
      <w:pPr>
        <w:widowControl w:val="0"/>
        <w:spacing w:line="1" w:lineRule="exact"/>
      </w:pPr>
      <w:r>
        <mc:AlternateContent>
          <mc:Choice Requires="wps">
            <w:drawing>
              <wp:anchor distT="0" distB="19685" distL="114300" distR="2490470" simplePos="0" relativeHeight="251660288" behindDoc="0" locked="0" layoutInCell="1" allowOverlap="1">
                <wp:simplePos x="0" y="0"/>
                <wp:positionH relativeFrom="page">
                  <wp:posOffset>712470</wp:posOffset>
                </wp:positionH>
                <wp:positionV relativeFrom="paragraph">
                  <wp:posOffset>12700</wp:posOffset>
                </wp:positionV>
                <wp:extent cx="412750" cy="304800"/>
                <wp:effectExtent l="0" t="0" r="0" b="0"/>
                <wp:wrapTopAndBottom/>
                <wp:docPr id="727" name="Shape 727"/>
                <wp:cNvGraphicFramePr/>
                <a:graphic xmlns:a="http://schemas.openxmlformats.org/drawingml/2006/main">
                  <a:graphicData uri="http://schemas.microsoft.com/office/word/2010/wordprocessingShape">
                    <wps:wsp>
                      <wps:cNvSpPr txBox="1"/>
                      <wps:spPr>
                        <a:xfrm>
                          <a:off x="0" y="0"/>
                          <a:ext cx="412750" cy="304800"/>
                        </a:xfrm>
                        <a:prstGeom prst="rect">
                          <a:avLst/>
                        </a:prstGeom>
                        <a:noFill/>
                      </wps:spPr>
                      <wps:txbx>
                        <w:txbxContent>
                          <w:p w14:paraId="2D03B77D">
                            <w:pPr>
                              <w:pStyle w:val="27"/>
                              <w:keepNext/>
                              <w:keepLines/>
                              <w:widowControl w:val="0"/>
                              <w:shd w:val="clear" w:color="auto" w:fill="auto"/>
                              <w:bidi w:val="0"/>
                              <w:spacing w:before="0" w:after="0" w:line="240" w:lineRule="auto"/>
                              <w:ind w:left="0" w:right="0" w:firstLine="0"/>
                              <w:jc w:val="left"/>
                            </w:pPr>
                            <w:bookmarkStart w:id="429" w:name="bookmark329"/>
                            <w:bookmarkStart w:id="430" w:name="bookmark330"/>
                            <w:bookmarkStart w:id="431" w:name="bookmark331"/>
                            <w:r>
                              <w:rPr>
                                <w:rFonts w:ascii="Times New Roman" w:hAnsi="Times New Roman" w:eastAsia="Times New Roman" w:cs="Times New Roman"/>
                                <w:color w:val="000000"/>
                                <w:spacing w:val="0"/>
                                <w:w w:val="100"/>
                                <w:position w:val="0"/>
                              </w:rPr>
                              <w:t>051</w:t>
                            </w:r>
                            <w:bookmarkEnd w:id="429"/>
                            <w:bookmarkEnd w:id="430"/>
                            <w:bookmarkEnd w:id="431"/>
                          </w:p>
                        </w:txbxContent>
                      </wps:txbx>
                      <wps:bodyPr wrap="none" lIns="0" tIns="0" rIns="0" bIns="0">
                        <a:noAutofit/>
                      </wps:bodyPr>
                    </wps:wsp>
                  </a:graphicData>
                </a:graphic>
              </wp:anchor>
            </w:drawing>
          </mc:Choice>
          <mc:Fallback>
            <w:pict>
              <v:shape id="Shape 727" o:spid="_x0000_s1026" o:spt="202" type="#_x0000_t202" style="position:absolute;left:0pt;margin-left:56.1pt;margin-top:1pt;height:24pt;width:32.5pt;mso-position-horizontal-relative:page;mso-wrap-distance-bottom:1.55pt;mso-wrap-distance-top:0pt;mso-wrap-style:none;z-index:251660288;mso-width-relative:page;mso-height-relative:page;" filled="f" stroked="f" coordsize="21600,21600" o:gfxdata="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HCjH0wAAAAgB&#10;AAAPAAAAAAAAAAEAIAAAACIAAABkcnMvZG93bnJldi54bWxQSwECFAAUAAAACACHTuJAdAsGxK4B&#10;AABzAwAADgAAAAAAAAABACAAAAAiAQAAZHJzL2Uyb0RvYy54bWxQSwUGAAAAAAYABgBZAQAAQgUA&#10;AAAA&#10;">
                <v:fill on="f" focussize="0,0"/>
                <v:stroke on="f"/>
                <v:imagedata o:title=""/>
                <o:lock v:ext="edit" aspectratio="f"/>
                <v:textbox inset="0mm,0mm,0mm,0mm">
                  <w:txbxContent>
                    <w:p w14:paraId="2D03B77D">
                      <w:pPr>
                        <w:pStyle w:val="27"/>
                        <w:keepNext/>
                        <w:keepLines/>
                        <w:widowControl w:val="0"/>
                        <w:shd w:val="clear" w:color="auto" w:fill="auto"/>
                        <w:bidi w:val="0"/>
                        <w:spacing w:before="0" w:after="0" w:line="240" w:lineRule="auto"/>
                        <w:ind w:left="0" w:right="0" w:firstLine="0"/>
                        <w:jc w:val="left"/>
                      </w:pPr>
                      <w:bookmarkStart w:id="429" w:name="bookmark329"/>
                      <w:bookmarkStart w:id="430" w:name="bookmark330"/>
                      <w:bookmarkStart w:id="431" w:name="bookmark331"/>
                      <w:r>
                        <w:rPr>
                          <w:rFonts w:ascii="Times New Roman" w:hAnsi="Times New Roman" w:eastAsia="Times New Roman" w:cs="Times New Roman"/>
                          <w:color w:val="000000"/>
                          <w:spacing w:val="0"/>
                          <w:w w:val="100"/>
                          <w:position w:val="0"/>
                        </w:rPr>
                        <w:t>051</w:t>
                      </w:r>
                      <w:bookmarkEnd w:id="429"/>
                      <w:bookmarkEnd w:id="430"/>
                      <w:bookmarkEnd w:id="431"/>
                    </w:p>
                  </w:txbxContent>
                </v:textbox>
                <w10:wrap type="topAndBottom"/>
              </v:shape>
            </w:pict>
          </mc:Fallback>
        </mc:AlternateContent>
      </w:r>
      <w:r>
        <mc:AlternateContent>
          <mc:Choice Requires="wps">
            <w:drawing>
              <wp:anchor distT="83820" distB="0" distL="699770" distR="114300" simplePos="0" relativeHeight="251660288" behindDoc="0" locked="0" layoutInCell="1" allowOverlap="1">
                <wp:simplePos x="0" y="0"/>
                <wp:positionH relativeFrom="page">
                  <wp:posOffset>1297940</wp:posOffset>
                </wp:positionH>
                <wp:positionV relativeFrom="paragraph">
                  <wp:posOffset>96520</wp:posOffset>
                </wp:positionV>
                <wp:extent cx="2203450" cy="240665"/>
                <wp:effectExtent l="0" t="0" r="0" b="0"/>
                <wp:wrapTopAndBottom/>
                <wp:docPr id="729" name="Shape 729"/>
                <wp:cNvGraphicFramePr/>
                <a:graphic xmlns:a="http://schemas.openxmlformats.org/drawingml/2006/main">
                  <a:graphicData uri="http://schemas.microsoft.com/office/word/2010/wordprocessingShape">
                    <wps:wsp>
                      <wps:cNvSpPr txBox="1"/>
                      <wps:spPr>
                        <a:xfrm>
                          <a:off x="0" y="0"/>
                          <a:ext cx="2203450" cy="240665"/>
                        </a:xfrm>
                        <a:prstGeom prst="rect">
                          <a:avLst/>
                        </a:prstGeom>
                        <a:noFill/>
                      </wps:spPr>
                      <wps:txbx>
                        <w:txbxContent>
                          <w:p w14:paraId="34DD83B7">
                            <w:pPr>
                              <w:pStyle w:val="15"/>
                              <w:keepNext/>
                              <w:keepLines/>
                              <w:widowControl w:val="0"/>
                              <w:shd w:val="clear" w:color="auto" w:fill="auto"/>
                              <w:bidi w:val="0"/>
                              <w:spacing w:before="0" w:after="0" w:line="240" w:lineRule="auto"/>
                              <w:ind w:left="0" w:right="0" w:firstLine="0"/>
                              <w:jc w:val="left"/>
                            </w:pPr>
                            <w:bookmarkStart w:id="432" w:name="bookmark332"/>
                            <w:bookmarkStart w:id="433" w:name="bookmark334"/>
                            <w:bookmarkStart w:id="434" w:name="bookmark333"/>
                            <w:r>
                              <w:rPr>
                                <w:color w:val="000000"/>
                                <w:spacing w:val="0"/>
                                <w:w w:val="100"/>
                                <w:position w:val="0"/>
                              </w:rPr>
                              <w:t>身份关系协议的法律适用</w:t>
                            </w:r>
                            <w:bookmarkEnd w:id="432"/>
                            <w:bookmarkEnd w:id="433"/>
                            <w:bookmarkEnd w:id="434"/>
                          </w:p>
                        </w:txbxContent>
                      </wps:txbx>
                      <wps:bodyPr wrap="none" lIns="0" tIns="0" rIns="0" bIns="0">
                        <a:noAutofit/>
                      </wps:bodyPr>
                    </wps:wsp>
                  </a:graphicData>
                </a:graphic>
              </wp:anchor>
            </w:drawing>
          </mc:Choice>
          <mc:Fallback>
            <w:pict>
              <v:shape id="Shape 729" o:spid="_x0000_s1026" o:spt="202" type="#_x0000_t202" style="position:absolute;left:0pt;margin-left:102.2pt;margin-top:7.6pt;height:18.95pt;width:173.5pt;mso-position-horizontal-relative:page;mso-wrap-distance-bottom:0pt;mso-wrap-distance-top:6.6pt;mso-wrap-style:none;z-index:251660288;mso-width-relative:page;mso-height-relative:page;" filled="f" stroked="f" coordsize="21600,21600" o:gfxdata="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iqP4G1QAA&#10;AAkBAAAPAAAAAAAAAAEAIAAAACIAAABkcnMvZG93bnJldi54bWxQSwECFAAUAAAACACHTuJAtS4g&#10;+q8BAAB0AwAADgAAAAAAAAABACAAAAAkAQAAZHJzL2Uyb0RvYy54bWxQSwUGAAAAAAYABgBZAQAA&#10;RQUAAAAA&#10;">
                <v:fill on="f" focussize="0,0"/>
                <v:stroke on="f"/>
                <v:imagedata o:title=""/>
                <o:lock v:ext="edit" aspectratio="f"/>
                <v:textbox inset="0mm,0mm,0mm,0mm">
                  <w:txbxContent>
                    <w:p w14:paraId="34DD83B7">
                      <w:pPr>
                        <w:pStyle w:val="15"/>
                        <w:keepNext/>
                        <w:keepLines/>
                        <w:widowControl w:val="0"/>
                        <w:shd w:val="clear" w:color="auto" w:fill="auto"/>
                        <w:bidi w:val="0"/>
                        <w:spacing w:before="0" w:after="0" w:line="240" w:lineRule="auto"/>
                        <w:ind w:left="0" w:right="0" w:firstLine="0"/>
                        <w:jc w:val="left"/>
                      </w:pPr>
                      <w:bookmarkStart w:id="432" w:name="bookmark332"/>
                      <w:bookmarkStart w:id="433" w:name="bookmark334"/>
                      <w:bookmarkStart w:id="434" w:name="bookmark333"/>
                      <w:r>
                        <w:rPr>
                          <w:color w:val="000000"/>
                          <w:spacing w:val="0"/>
                          <w:w w:val="100"/>
                          <w:position w:val="0"/>
                        </w:rPr>
                        <w:t>身份关系协议的法律适用</w:t>
                      </w:r>
                      <w:bookmarkEnd w:id="432"/>
                      <w:bookmarkEnd w:id="433"/>
                      <w:bookmarkEnd w:id="434"/>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5076825</wp:posOffset>
            </wp:positionH>
            <wp:positionV relativeFrom="paragraph">
              <wp:posOffset>227330</wp:posOffset>
            </wp:positionV>
            <wp:extent cx="628015" cy="628015"/>
            <wp:effectExtent l="0" t="0" r="6985" b="6985"/>
            <wp:wrapSquare wrapText="left"/>
            <wp:docPr id="731" name="Shape 731"/>
            <wp:cNvGraphicFramePr/>
            <a:graphic xmlns:a="http://schemas.openxmlformats.org/drawingml/2006/main">
              <a:graphicData uri="http://schemas.openxmlformats.org/drawingml/2006/picture">
                <pic:pic xmlns:pic="http://schemas.openxmlformats.org/drawingml/2006/picture">
                  <pic:nvPicPr>
                    <pic:cNvPr id="731" name="Shape 731"/>
                    <pic:cNvPicPr/>
                  </pic:nvPicPr>
                  <pic:blipFill>
                    <a:blip r:embed="rId657"/>
                    <a:stretch>
                      <a:fillRect/>
                    </a:stretch>
                  </pic:blipFill>
                  <pic:spPr>
                    <a:xfrm>
                      <a:off x="0" y="0"/>
                      <a:ext cx="628015" cy="628015"/>
                    </a:xfrm>
                    <a:prstGeom prst="rect">
                      <a:avLst/>
                    </a:prstGeom>
                  </pic:spPr>
                </pic:pic>
              </a:graphicData>
            </a:graphic>
          </wp:anchor>
        </w:drawing>
      </w:r>
    </w:p>
    <w:p w14:paraId="3F9B43A1">
      <w:pPr>
        <w:pStyle w:val="17"/>
        <w:keepNext w:val="0"/>
        <w:keepLines w:val="0"/>
        <w:widowControl w:val="0"/>
        <w:shd w:val="clear" w:color="auto" w:fill="auto"/>
        <w:bidi w:val="0"/>
        <w:spacing w:before="0" w:after="100" w:line="240" w:lineRule="auto"/>
        <w:ind w:left="0" w:right="0" w:firstLine="1000"/>
        <w:jc w:val="left"/>
      </w:pPr>
      <w:r>
        <w:rPr>
          <w:color w:val="000000"/>
          <w:spacing w:val="0"/>
          <w:w w:val="100"/>
          <w:position w:val="0"/>
        </w:rPr>
        <w:t>李某某诉王某某离婚后财产纠纷案丨北京市第二中级人民法院</w:t>
      </w:r>
    </w:p>
    <w:p w14:paraId="4DA6A3A7">
      <w:pPr>
        <w:pStyle w:val="17"/>
        <w:keepNext w:val="0"/>
        <w:keepLines w:val="0"/>
        <w:widowControl w:val="0"/>
        <w:shd w:val="clear" w:color="auto" w:fill="auto"/>
        <w:bidi w:val="0"/>
        <w:spacing w:before="0" w:after="400" w:line="240" w:lineRule="auto"/>
        <w:ind w:left="0" w:right="0" w:firstLine="1000"/>
        <w:jc w:val="left"/>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二中民终字第</w:t>
      </w:r>
      <w:r>
        <w:rPr>
          <w:rFonts w:ascii="Times New Roman" w:hAnsi="Times New Roman" w:eastAsia="Times New Roman" w:cs="Times New Roman"/>
          <w:color w:val="000000"/>
          <w:spacing w:val="0"/>
          <w:w w:val="100"/>
          <w:position w:val="0"/>
          <w:sz w:val="19"/>
          <w:szCs w:val="19"/>
        </w:rPr>
        <w:t>09734</w:t>
      </w:r>
      <w:r>
        <w:rPr>
          <w:color w:val="000000"/>
          <w:spacing w:val="0"/>
          <w:w w:val="100"/>
          <w:position w:val="0"/>
        </w:rPr>
        <w:t>号民事判决书</w:t>
      </w:r>
    </w:p>
    <w:p w14:paraId="0D112C8C">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王雷中国政法大学民商经济法学院</w:t>
      </w:r>
    </w:p>
    <w:p w14:paraId="793D2EBC">
      <w:pPr>
        <w:pStyle w:val="11"/>
        <w:keepNext w:val="0"/>
        <w:keepLines w:val="0"/>
        <w:widowControl w:val="0"/>
        <w:shd w:val="clear" w:color="auto" w:fill="auto"/>
        <w:bidi w:val="0"/>
        <w:spacing w:before="0" w:after="10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21A26A62">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原告李某某与被告王某某于</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日登记结婚,婚后于</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月生育一 子王某。因感情不和,双方于</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日在法院调解离婚。双方离婚时并未对共同共 有的位于北京市某小区</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号房屋予以分割，而是通过协议约定该房屋在王某某付清贷款后 归双方之子王某所有。</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月，李某某起诉至北京市东城区人民法院称</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号房屋贷 款尚未还清，房屋产权亦未变更至王某名下，即还未实际赠与给王某，目前还处于李某某、 王某某共有的财产状态，故不计划再将该房屋属于自己的部分赠给王某，主张撤销之前的 赠与行为，由法院依法分割</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号房屋。</w:t>
      </w:r>
    </w:p>
    <w:p w14:paraId="35631089">
      <w:pPr>
        <w:pStyle w:val="17"/>
        <w:keepNext w:val="0"/>
        <w:keepLines w:val="0"/>
        <w:widowControl w:val="0"/>
        <w:shd w:val="clear" w:color="auto" w:fill="auto"/>
        <w:bidi w:val="0"/>
        <w:spacing w:before="0" w:after="340" w:line="341" w:lineRule="exact"/>
        <w:ind w:left="0" w:right="0" w:firstLine="420"/>
        <w:jc w:val="both"/>
      </w:pPr>
      <w:r>
        <w:rPr>
          <w:color w:val="000000"/>
          <w:spacing w:val="0"/>
          <w:w w:val="100"/>
          <w:position w:val="0"/>
        </w:rPr>
        <w:t>被告王某某则认为:离婚时双方已经将房屋协议赠与王某，正是因为李某某同意将房 屋赠与王某,王某某才同意离婚协议中其他加重其义务的条款，如在离婚后单独偿还夫妻 共同债务</w:t>
      </w:r>
      <w:r>
        <w:rPr>
          <w:rFonts w:ascii="Times New Roman" w:hAnsi="Times New Roman" w:eastAsia="Times New Roman" w:cs="Times New Roman"/>
          <w:color w:val="000000"/>
          <w:spacing w:val="0"/>
          <w:w w:val="100"/>
          <w:position w:val="0"/>
          <w:sz w:val="19"/>
          <w:szCs w:val="19"/>
          <w:lang w:val="en-US" w:eastAsia="en-US" w:bidi="en-US"/>
        </w:rPr>
        <w:t>4.5</w:t>
      </w:r>
      <w:r>
        <w:rPr>
          <w:color w:val="000000"/>
          <w:spacing w:val="0"/>
          <w:w w:val="100"/>
          <w:position w:val="0"/>
        </w:rPr>
        <w:t>万元。王某某认为离婚已经对孩子造成巨大伤害，出于对未成年人的考虑，不 应该支持李某某的诉讼请求。</w:t>
      </w:r>
    </w:p>
    <w:p w14:paraId="1F7252A6">
      <w:pPr>
        <w:pStyle w:val="11"/>
        <w:keepNext w:val="0"/>
        <w:keepLines w:val="0"/>
        <w:widowControl w:val="0"/>
        <w:shd w:val="clear" w:color="auto" w:fill="auto"/>
        <w:bidi w:val="0"/>
        <w:spacing w:before="0" w:after="10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699EF962">
      <w:pPr>
        <w:pStyle w:val="17"/>
        <w:keepNext w:val="0"/>
        <w:keepLines w:val="0"/>
        <w:widowControl w:val="0"/>
        <w:shd w:val="clear" w:color="auto" w:fill="auto"/>
        <w:bidi w:val="0"/>
        <w:spacing w:before="0" w:after="0" w:line="335" w:lineRule="exact"/>
        <w:ind w:left="0" w:right="0" w:firstLine="420"/>
        <w:jc w:val="both"/>
      </w:pPr>
      <w:r>
        <w:rPr>
          <w:color w:val="000000"/>
          <w:spacing w:val="0"/>
          <w:w w:val="100"/>
          <w:position w:val="0"/>
        </w:rPr>
        <w:t>驳回上诉，维持原判。</w:t>
      </w:r>
    </w:p>
    <w:p w14:paraId="289607CD">
      <w:pPr>
        <w:pStyle w:val="17"/>
        <w:keepNext w:val="0"/>
        <w:keepLines w:val="0"/>
        <w:widowControl w:val="0"/>
        <w:shd w:val="clear" w:color="auto" w:fill="auto"/>
        <w:bidi w:val="0"/>
        <w:spacing w:before="0" w:after="340" w:line="335" w:lineRule="exact"/>
        <w:ind w:left="0" w:right="0" w:firstLine="420"/>
        <w:jc w:val="both"/>
      </w:pPr>
      <w:r>
        <w:rPr>
          <w:color w:val="000000"/>
          <w:spacing w:val="0"/>
          <w:w w:val="100"/>
          <w:position w:val="0"/>
        </w:rPr>
        <w:t>夫妻双方离婚时协议约定将夫妻共同共有的房产赠与未成年子女，离婚后一方在赠与 房产产权转移登记之前反悔，主张依据《合同法》第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款撤销赠与的，法院不予支 持。</w:t>
      </w:r>
    </w:p>
    <w:p w14:paraId="71900DE3">
      <w:pPr>
        <w:pStyle w:val="11"/>
        <w:keepNext w:val="0"/>
        <w:keepLines w:val="0"/>
        <w:widowControl w:val="0"/>
        <w:shd w:val="clear" w:color="auto" w:fill="auto"/>
        <w:bidi w:val="0"/>
        <w:spacing w:before="0" w:after="100" w:line="341" w:lineRule="exact"/>
        <w:ind w:left="0" w:right="0" w:firstLine="0"/>
        <w:jc w:val="left"/>
      </w:pPr>
      <w:r>
        <w:rPr>
          <w:color w:val="000000"/>
          <w:spacing w:val="0"/>
          <w:w w:val="100"/>
          <w:position w:val="0"/>
        </w:rPr>
        <w:t>■评析</w:t>
      </w:r>
    </w:p>
    <w:p w14:paraId="61D8234A">
      <w:pPr>
        <w:pStyle w:val="17"/>
        <w:keepNext w:val="0"/>
        <w:keepLines w:val="0"/>
        <w:widowControl w:val="0"/>
        <w:shd w:val="clear" w:color="auto" w:fill="auto"/>
        <w:bidi w:val="0"/>
        <w:spacing w:before="0" w:after="10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本裁判的思路和意义</w:t>
      </w:r>
    </w:p>
    <w:p w14:paraId="1A2E0668">
      <w:pPr>
        <w:pStyle w:val="17"/>
        <w:keepNext w:val="0"/>
        <w:keepLines w:val="0"/>
        <w:widowControl w:val="0"/>
        <w:shd w:val="clear" w:color="auto" w:fill="auto"/>
        <w:bidi w:val="0"/>
        <w:spacing w:before="0" w:after="100" w:line="338" w:lineRule="exact"/>
        <w:ind w:left="0" w:right="0" w:firstLine="420"/>
        <w:jc w:val="both"/>
        <w:sectPr>
          <w:footnotePr>
            <w:numFmt w:val="chicago"/>
          </w:footnotePr>
          <w:type w:val="continuous"/>
          <w:pgSz w:w="10099" w:h="14782"/>
          <w:pgMar w:top="1281" w:right="1079" w:bottom="1131" w:left="1021" w:header="853" w:footer="703" w:gutter="0"/>
          <w:cols w:space="720" w:num="1"/>
          <w:rtlGutter w:val="0"/>
          <w:docGrid w:linePitch="360" w:charSpace="0"/>
        </w:sectPr>
      </w:pPr>
      <w:r>
        <w:rPr>
          <w:color w:val="000000"/>
          <w:spacing w:val="0"/>
          <w:w w:val="100"/>
          <w:position w:val="0"/>
        </w:rPr>
        <w:t>本案中，离婚协议中的房产赠与约款能否补充适用《合同法》第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款赠与人的 任意撤销权？肯定说将此种房产赠与约款认定为赠与。否定说则主张不能脱离离婚协议 的</w:t>
      </w:r>
      <w:r>
        <w:rPr>
          <w:color w:val="000000"/>
          <w:spacing w:val="0"/>
          <w:w w:val="100"/>
          <w:position w:val="0"/>
          <w:lang w:val="zh-CN" w:eastAsia="zh-CN" w:bidi="zh-CN"/>
        </w:rPr>
        <w:t>“整体”来</w:t>
      </w:r>
      <w:r>
        <w:rPr>
          <w:color w:val="000000"/>
          <w:spacing w:val="0"/>
          <w:w w:val="100"/>
          <w:position w:val="0"/>
        </w:rPr>
        <w:t>孤立看待房产赠与约款这个</w:t>
      </w:r>
      <w:r>
        <w:rPr>
          <w:color w:val="000000"/>
          <w:spacing w:val="0"/>
          <w:w w:val="100"/>
          <w:position w:val="0"/>
          <w:lang w:val="zh-CN" w:eastAsia="zh-CN" w:bidi="zh-CN"/>
        </w:rPr>
        <w:t>“部</w:t>
      </w:r>
      <w:r>
        <w:rPr>
          <w:color w:val="000000"/>
          <w:spacing w:val="0"/>
          <w:w w:val="100"/>
          <w:position w:val="0"/>
        </w:rPr>
        <w:t>分”。两种对立观点反映出身份关系协议法律 适用的难题:</w:t>
      </w:r>
      <w:r>
        <w:rPr>
          <w:color w:val="000000"/>
          <w:spacing w:val="0"/>
          <w:w w:val="100"/>
          <w:position w:val="0"/>
          <w:lang w:val="zh-CN" w:eastAsia="zh-CN" w:bidi="zh-CN"/>
        </w:rPr>
        <w:t>“回归</w:t>
      </w:r>
      <w:r>
        <w:rPr>
          <w:color w:val="000000"/>
          <w:spacing w:val="0"/>
          <w:w w:val="100"/>
          <w:position w:val="0"/>
        </w:rPr>
        <w:t>”简单适用财产法、坚守身份关系的特殊性抑或还有第三条道路？</w:t>
      </w:r>
    </w:p>
    <w:p w14:paraId="6255307A">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法院在裁判本案时坚持离婚协议的特殊性，拒绝将离婚协议中的财产赠与约款“回归” 定性为原《合同法》上的赠与，这对于身份关系协议的法律适用，对于妥当协调身份法与财 产法之间的关系,均具有重要意义。</w:t>
      </w:r>
    </w:p>
    <w:p w14:paraId="1D8EE700">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身份关系协议法律适用的规范及学理</w:t>
      </w:r>
    </w:p>
    <w:p w14:paraId="02EBE42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夫妻双方在离婚协议中约定将共同共有的房屋赠与未成年子女，一方能否在离婚后赠 与房产产权转移登记之前要求撤销赠与？与此相关的请求权基础规范主要有以下几个：</w:t>
      </w:r>
    </w:p>
    <w:p w14:paraId="4DF0646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第一,最高人民法院《关于适用〈中华人民共和国婚姻法〉若干问题的解释（二）的补充 规定》（以下简称《婚姻法司法解释二》）［法释（</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条规定:</w:t>
      </w:r>
      <w:r>
        <w:rPr>
          <w:color w:val="000000"/>
          <w:spacing w:val="0"/>
          <w:w w:val="100"/>
          <w:position w:val="0"/>
          <w:lang w:val="zh-CN" w:eastAsia="zh-CN" w:bidi="zh-CN"/>
        </w:rPr>
        <w:t>“离</w:t>
      </w:r>
      <w:r>
        <w:rPr>
          <w:color w:val="000000"/>
          <w:spacing w:val="0"/>
          <w:w w:val="100"/>
          <w:position w:val="0"/>
        </w:rPr>
        <w:t xml:space="preserve">婚协议中关于 财产分割的条款或者当事人因离婚就财产分割达成的协议，对男女双方具有法律约束力。” </w:t>
      </w:r>
      <w:r>
        <w:rPr>
          <w:color w:val="000000"/>
          <w:spacing w:val="0"/>
          <w:w w:val="100"/>
          <w:position w:val="0"/>
          <w:lang w:val="zh-CN" w:eastAsia="zh-CN" w:bidi="zh-CN"/>
        </w:rPr>
        <w:t>“当事</w:t>
      </w:r>
      <w:r>
        <w:rPr>
          <w:color w:val="000000"/>
          <w:spacing w:val="0"/>
          <w:w w:val="100"/>
          <w:position w:val="0"/>
        </w:rPr>
        <w:t>人因履行上述财产分割协议发生纠纷提起诉讼的,人民法院应当受理</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 xml:space="preserve">条规定： </w:t>
      </w:r>
      <w:r>
        <w:rPr>
          <w:color w:val="000000"/>
          <w:spacing w:val="0"/>
          <w:w w:val="100"/>
          <w:position w:val="0"/>
          <w:lang w:val="zh-CN" w:eastAsia="zh-CN" w:bidi="zh-CN"/>
        </w:rPr>
        <w:t>“男</w:t>
      </w:r>
      <w:r>
        <w:rPr>
          <w:color w:val="000000"/>
          <w:spacing w:val="0"/>
          <w:w w:val="100"/>
          <w:position w:val="0"/>
        </w:rPr>
        <w:t>女双方协议离婚后一年内就财产分割问题反悔,请求变更或者撤销财产分割协议的，人 民法院应当受理。</w:t>
      </w:r>
      <w:r>
        <w:rPr>
          <w:color w:val="000000"/>
          <w:spacing w:val="0"/>
          <w:w w:val="100"/>
          <w:position w:val="0"/>
          <w:lang w:val="zh-CN" w:eastAsia="zh-CN" w:bidi="zh-CN"/>
        </w:rPr>
        <w:t>”“人</w:t>
      </w:r>
      <w:r>
        <w:rPr>
          <w:color w:val="000000"/>
          <w:spacing w:val="0"/>
          <w:w w:val="100"/>
          <w:position w:val="0"/>
        </w:rPr>
        <w:t>民法院审理后，未发现订立财产分割协议时存在欺诈、胁迫等情形 的，应当依法驳回当事人的诉讼请求</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条是离婚财产分割协议法律约束力的基础规 范，第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条是对立规范。此处存在的难题是，第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条是否是对立规范的全部？能否对第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 作反面解释，认为若无第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款“订立财产分割协议时存在欺诈、胁迫等情形的”，则离 婚财产分割协议皆有法律约束力？本案李某某主张撤销离婚协议中的房产赠与约款的依 据就是赠与合同中赠与人的任意撤销权。</w:t>
      </w:r>
    </w:p>
    <w:p w14:paraId="46D08544">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第二，《民法典》第</w:t>
      </w:r>
      <w:r>
        <w:rPr>
          <w:rFonts w:ascii="Times New Roman" w:hAnsi="Times New Roman" w:eastAsia="Times New Roman" w:cs="Times New Roman"/>
          <w:color w:val="000000"/>
          <w:spacing w:val="0"/>
          <w:w w:val="100"/>
          <w:position w:val="0"/>
          <w:sz w:val="19"/>
          <w:szCs w:val="19"/>
        </w:rPr>
        <w:t>658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“赠与</w:t>
      </w:r>
      <w:r>
        <w:rPr>
          <w:color w:val="000000"/>
          <w:spacing w:val="0"/>
          <w:w w:val="100"/>
          <w:position w:val="0"/>
        </w:rPr>
        <w:t>人在赠与财产的权利转移之前可以撤销赠 与</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款规定:“经过公证的赠与合同或者依法不得撤销的具有救灾、扶贫、助残等公益、 道德义务性质的赠与合同，不适用前款规定</w:t>
      </w:r>
      <w:r>
        <w:rPr>
          <w:color w:val="000000"/>
          <w:spacing w:val="0"/>
          <w:w w:val="100"/>
          <w:position w:val="0"/>
          <w:lang w:val="zh-CN" w:eastAsia="zh-CN" w:bidi="zh-CN"/>
        </w:rPr>
        <w:t>。”即</w:t>
      </w:r>
      <w:r>
        <w:rPr>
          <w:color w:val="000000"/>
          <w:spacing w:val="0"/>
          <w:w w:val="100"/>
          <w:position w:val="0"/>
        </w:rPr>
        <w:t>便将离婚协议中的房产赠与约款认定为赠 与，该情形是否属于第</w:t>
      </w:r>
      <w:r>
        <w:rPr>
          <w:rFonts w:ascii="Times New Roman" w:hAnsi="Times New Roman" w:eastAsia="Times New Roman" w:cs="Times New Roman"/>
          <w:color w:val="000000"/>
          <w:spacing w:val="0"/>
          <w:w w:val="100"/>
          <w:position w:val="0"/>
          <w:sz w:val="19"/>
          <w:szCs w:val="19"/>
        </w:rPr>
        <w:t>658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w:t>
      </w:r>
      <w:r>
        <w:rPr>
          <w:color w:val="000000"/>
          <w:spacing w:val="0"/>
          <w:w w:val="100"/>
          <w:position w:val="0"/>
          <w:lang w:val="zh-CN" w:eastAsia="zh-CN" w:bidi="zh-CN"/>
        </w:rPr>
        <w:t>“道德</w:t>
      </w:r>
      <w:r>
        <w:rPr>
          <w:color w:val="000000"/>
          <w:spacing w:val="0"/>
          <w:w w:val="100"/>
          <w:position w:val="0"/>
        </w:rPr>
        <w:t>义务性质的赠与”？此种赠与约款建立在解除 婚姻关系的基础上，如果将此种赠与认定为目的赠与，具有道德义务性质,则仍可排除赠与 人任意撤销权的适用。</w:t>
      </w:r>
    </w:p>
    <w:p w14:paraId="10F9466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第三，原《民法典》第</w:t>
      </w:r>
      <w:r>
        <w:rPr>
          <w:rFonts w:ascii="Times New Roman" w:hAnsi="Times New Roman" w:eastAsia="Times New Roman" w:cs="Times New Roman"/>
          <w:color w:val="000000"/>
          <w:spacing w:val="0"/>
          <w:w w:val="100"/>
          <w:position w:val="0"/>
          <w:sz w:val="19"/>
          <w:szCs w:val="19"/>
        </w:rPr>
        <w:t>301</w:t>
      </w:r>
      <w:r>
        <w:rPr>
          <w:color w:val="000000"/>
          <w:spacing w:val="0"/>
          <w:w w:val="100"/>
          <w:position w:val="0"/>
        </w:rPr>
        <w:t>条规定:“处分共有的不动产或者动产以及对共有的不动产或 者动产作重大修缮的，应当经占份额三分之二以上的按份共有人或者全体共同共有人同 意，但共有人之间另有约定的除外。</w:t>
      </w:r>
      <w:r>
        <w:rPr>
          <w:color w:val="000000"/>
          <w:spacing w:val="0"/>
          <w:w w:val="100"/>
          <w:position w:val="0"/>
          <w:lang w:val="zh-CN" w:eastAsia="zh-CN" w:bidi="zh-CN"/>
        </w:rPr>
        <w:t>”即便</w:t>
      </w:r>
      <w:r>
        <w:rPr>
          <w:color w:val="000000"/>
          <w:spacing w:val="0"/>
          <w:w w:val="100"/>
          <w:position w:val="0"/>
        </w:rPr>
        <w:t>将离婚协议中的房产赠与约款认定为赠与，但如 果鉴于</w:t>
      </w:r>
      <w:r>
        <w:rPr>
          <w:color w:val="000000"/>
          <w:spacing w:val="0"/>
          <w:w w:val="100"/>
          <w:position w:val="0"/>
          <w:lang w:val="zh-CN" w:eastAsia="zh-CN" w:bidi="zh-CN"/>
        </w:rPr>
        <w:t>“道德</w:t>
      </w:r>
      <w:r>
        <w:rPr>
          <w:color w:val="000000"/>
          <w:spacing w:val="0"/>
          <w:w w:val="100"/>
          <w:position w:val="0"/>
        </w:rPr>
        <w:t>义务性质的赠与”的不确定法律概念属性而难以将此种赠与简单涵摄在此概 念之下，还可以考虑本案李某某和王某某在离婚协议中约定将共同共有的房屋赠与未成年 子女的行为属于处分夫妻共同财产。系争房屋由二人共同共有，李某某和王某某均不单独 享有处分该房屋的权利,处分该房屋需双方意思表示一致。相应地，根据《物权法》第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 （《民法典》第</w:t>
      </w:r>
      <w:r>
        <w:rPr>
          <w:rFonts w:ascii="Times New Roman" w:hAnsi="Times New Roman" w:eastAsia="Times New Roman" w:cs="Times New Roman"/>
          <w:color w:val="000000"/>
          <w:spacing w:val="0"/>
          <w:w w:val="100"/>
          <w:position w:val="0"/>
          <w:sz w:val="19"/>
          <w:szCs w:val="19"/>
        </w:rPr>
        <w:t>301</w:t>
      </w:r>
      <w:r>
        <w:rPr>
          <w:color w:val="000000"/>
          <w:spacing w:val="0"/>
          <w:w w:val="100"/>
          <w:position w:val="0"/>
        </w:rPr>
        <w:t>条）的规定，在未征得作为共同共有人的王某某同意的情况下，李某某也 无权单方撤销赠与。</w:t>
      </w:r>
    </w:p>
    <w:p w14:paraId="3BBC573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由此,且不谈未成年人利益最大化或者诚信原则，结合要件事实论的司法技术,单从具 体规则和理论最大可能性来看，本案存在如下请求一抗辩结构:原告依据原《合同法》第</w:t>
      </w:r>
      <w:r>
        <w:rPr>
          <w:rFonts w:ascii="Times New Roman" w:hAnsi="Times New Roman" w:eastAsia="Times New Roman" w:cs="Times New Roman"/>
          <w:color w:val="000000"/>
          <w:spacing w:val="0"/>
          <w:w w:val="100"/>
          <w:position w:val="0"/>
          <w:sz w:val="19"/>
          <w:szCs w:val="19"/>
        </w:rPr>
        <w:t xml:space="preserve">186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款请求，被告依据《婚姻法司法解释二》第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条抗辩，原告依据《婚姻法司法解释二》 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款再抗辩（认为属于“等情形</w:t>
      </w:r>
      <w:r>
        <w:rPr>
          <w:color w:val="000000"/>
          <w:spacing w:val="0"/>
          <w:w w:val="100"/>
          <w:position w:val="0"/>
          <w:lang w:val="zh-CN" w:eastAsia="zh-CN" w:bidi="zh-CN"/>
        </w:rPr>
        <w:t>”，暂</w:t>
      </w:r>
      <w:r>
        <w:rPr>
          <w:color w:val="000000"/>
          <w:spacing w:val="0"/>
          <w:w w:val="100"/>
          <w:position w:val="0"/>
        </w:rPr>
        <w:t>不考虑该条第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款一年的除斥期间限制），被告依据 《婚姻法司法解释二》第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款再抗辩（认为该款对应情形均须发生在</w:t>
      </w:r>
      <w:r>
        <w:rPr>
          <w:color w:val="000000"/>
          <w:spacing w:val="0"/>
          <w:w w:val="100"/>
          <w:position w:val="0"/>
          <w:lang w:val="zh-CN" w:eastAsia="zh-CN" w:bidi="zh-CN"/>
        </w:rPr>
        <w:t>“订立</w:t>
      </w:r>
      <w:r>
        <w:rPr>
          <w:color w:val="000000"/>
          <w:spacing w:val="0"/>
          <w:w w:val="100"/>
          <w:position w:val="0"/>
        </w:rPr>
        <w:t>财产分割协议 时”）、依据原《合同法》第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款再抗辩或者依据原《物权法》第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条再抗辩。当然， 在第一轮请求一抗辩环节，被告也可不诉诸《婚姻法司法解释二》第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条，而是针对原告请 求所依据的原《合同法》第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款,抗辩离婚协议中的房产赠与约款不能简单涵摄原 《合同法》的赠与之下，前者存在自身性质的特殊之处。</w:t>
      </w:r>
    </w:p>
    <w:p w14:paraId="5532DC85">
      <w:pPr>
        <w:pStyle w:val="17"/>
        <w:keepNext w:val="0"/>
        <w:keepLines w:val="0"/>
        <w:widowControl w:val="0"/>
        <w:shd w:val="clear" w:color="auto" w:fill="auto"/>
        <w:bidi w:val="0"/>
        <w:spacing w:before="0" w:after="180" w:line="342" w:lineRule="exact"/>
        <w:ind w:left="0" w:right="0"/>
        <w:jc w:val="both"/>
      </w:pPr>
      <w:r>
        <w:rPr>
          <w:color w:val="000000"/>
          <w:spacing w:val="0"/>
          <w:w w:val="100"/>
          <w:position w:val="0"/>
        </w:rPr>
        <w:t>进一步，离婚协议是夫妻双方权衡利益、考量利弊后就婚姻关系解除、子女抚养、共同 财产分割、夫妻债务承担、离婚损害赔偿等达成的“一揽子</w:t>
      </w:r>
      <w:r>
        <w:rPr>
          <w:color w:val="000000"/>
          <w:spacing w:val="0"/>
          <w:w w:val="100"/>
          <w:position w:val="0"/>
          <w:lang w:val="zh-CN" w:eastAsia="zh-CN" w:bidi="zh-CN"/>
        </w:rPr>
        <w:t>”协议</w:t>
      </w:r>
      <w:r>
        <w:rPr>
          <w:color w:val="000000"/>
          <w:spacing w:val="0"/>
          <w:w w:val="100"/>
          <w:position w:val="0"/>
        </w:rPr>
        <w:t>，是具有人身和财产双重性 质的合意,离婚协议属于身份关系协议。从具体再到抽象，从特殊再到一般,如何处理身份 关系协议的法律适用？原《合同法》第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“婚姻</w:t>
      </w:r>
      <w:r>
        <w:rPr>
          <w:color w:val="000000"/>
          <w:spacing w:val="0"/>
          <w:w w:val="100"/>
          <w:position w:val="0"/>
        </w:rPr>
        <w:t>、收养、监护等有关身份关系 的协议，适用其他法律的规定</w:t>
      </w:r>
      <w:r>
        <w:rPr>
          <w:color w:val="000000"/>
          <w:spacing w:val="0"/>
          <w:w w:val="100"/>
          <w:position w:val="0"/>
          <w:lang w:val="zh-CN" w:eastAsia="zh-CN" w:bidi="zh-CN"/>
        </w:rPr>
        <w:t>。”该</w:t>
      </w:r>
      <w:r>
        <w:rPr>
          <w:color w:val="000000"/>
          <w:spacing w:val="0"/>
          <w:w w:val="100"/>
          <w:position w:val="0"/>
        </w:rPr>
        <w:t>款属于不完全法条，当其他法律没有规定时，如何解决身 份关系协议的法律适用难题？《民法典》第</w:t>
      </w:r>
      <w:r>
        <w:rPr>
          <w:rFonts w:ascii="Times New Roman" w:hAnsi="Times New Roman" w:eastAsia="Times New Roman" w:cs="Times New Roman"/>
          <w:color w:val="000000"/>
          <w:spacing w:val="0"/>
          <w:w w:val="100"/>
          <w:position w:val="0"/>
          <w:sz w:val="19"/>
          <w:szCs w:val="19"/>
        </w:rPr>
        <w:t>464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“婚姻</w:t>
      </w:r>
      <w:r>
        <w:rPr>
          <w:color w:val="000000"/>
          <w:spacing w:val="0"/>
          <w:w w:val="100"/>
          <w:position w:val="0"/>
        </w:rPr>
        <w:t>、收养、监护等有关身 份关系的协议,适用有关该身份关系的法律规定;没有规定的,可以根据其性质参照适用本 编规定</w:t>
      </w:r>
      <w:r>
        <w:rPr>
          <w:color w:val="000000"/>
          <w:spacing w:val="0"/>
          <w:w w:val="100"/>
          <w:position w:val="0"/>
          <w:lang w:val="zh-CN" w:eastAsia="zh-CN" w:bidi="zh-CN"/>
        </w:rPr>
        <w:t>。”这</w:t>
      </w:r>
      <w:r>
        <w:rPr>
          <w:color w:val="000000"/>
          <w:spacing w:val="0"/>
          <w:w w:val="100"/>
          <w:position w:val="0"/>
        </w:rPr>
        <w:t>提供了更周延的解决方案，也带来了更多的解释难题——何为“可以根据其性 质参照适用”？本案离婚协议中的房产赠与约款是否属于根据其性质不能参照适用赠与合 同中赠与人任意撤销权的情形？在围绕赠与人任意撤销权的第一轮请求一抗辩坯节丄《民 法典》第</w:t>
      </w:r>
      <w:r>
        <w:rPr>
          <w:rFonts w:ascii="Times New Roman" w:hAnsi="Times New Roman" w:eastAsia="Times New Roman" w:cs="Times New Roman"/>
          <w:color w:val="000000"/>
          <w:spacing w:val="0"/>
          <w:w w:val="100"/>
          <w:position w:val="0"/>
          <w:sz w:val="19"/>
          <w:szCs w:val="19"/>
        </w:rPr>
        <w:t>464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款提供了更多裁判规范和说理论证方汲</w:t>
      </w:r>
    </w:p>
    <w:p w14:paraId="48A4685F">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9"/>
          <w:szCs w:val="19"/>
        </w:rPr>
        <w:t>0</w:t>
      </w:r>
      <w:r>
        <w:rPr>
          <w:color w:val="000000"/>
          <w:spacing w:val="0"/>
          <w:w w:val="100"/>
          <w:position w:val="0"/>
        </w:rPr>
        <w:t>既往司法实践状况</w:t>
      </w:r>
    </w:p>
    <w:p w14:paraId="7A236232">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本案裁判之后,司法实践中逐渐形成了如下共识:离婚协议是一个整体，是围绕人身关 系和财产关系经过不断博弈协商形成的“一揽子</w:t>
      </w:r>
      <w:r>
        <w:rPr>
          <w:color w:val="000000"/>
          <w:spacing w:val="0"/>
          <w:w w:val="100"/>
          <w:position w:val="0"/>
          <w:lang w:val="zh-CN" w:eastAsia="zh-CN" w:bidi="zh-CN"/>
        </w:rPr>
        <w:t>”的概</w:t>
      </w:r>
      <w:r>
        <w:rPr>
          <w:color w:val="000000"/>
          <w:spacing w:val="0"/>
          <w:w w:val="100"/>
          <w:position w:val="0"/>
        </w:rPr>
        <w:t>括合意，具有复合性。该合意中任何 一项财产的处分都与其他财产的处分互为前提、互为结果，离婚协议中各个条款的订立都 是为了解除婚姻关系这一目的，具有目的上的统一性。男女双方在离婚协议中约定将共同 财产赠与未成年子女，如果允许一方反悔，那么离婚协议的“整体性</w:t>
      </w:r>
      <w:r>
        <w:rPr>
          <w:color w:val="000000"/>
          <w:spacing w:val="0"/>
          <w:w w:val="100"/>
          <w:position w:val="0"/>
          <w:lang w:val="zh-CN" w:eastAsia="zh-CN" w:bidi="zh-CN"/>
        </w:rPr>
        <w:t>”将被</w:t>
      </w:r>
      <w:r>
        <w:rPr>
          <w:color w:val="000000"/>
          <w:spacing w:val="0"/>
          <w:w w:val="100"/>
          <w:position w:val="0"/>
        </w:rPr>
        <w:t>破坏。在婚姻关 系已经解除且不可逆的情况下如果允许当事人对于财产部分反悔将助长先离婚再恶意占 有财产之有违诚信的行为，诱发道德风险。这也是《民法典》第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款有相对人的意 思表示体系解释、行为性质和目的解释、诚信解释等解释方法综合作用的结果。</w:t>
      </w:r>
    </w:p>
    <w:p w14:paraId="56C35899">
      <w:pPr>
        <w:pStyle w:val="17"/>
        <w:keepNext w:val="0"/>
        <w:keepLines w:val="0"/>
        <w:widowControl w:val="0"/>
        <w:shd w:val="clear" w:color="auto" w:fill="auto"/>
        <w:bidi w:val="0"/>
        <w:spacing w:before="0" w:after="0" w:line="345" w:lineRule="exact"/>
        <w:ind w:left="0" w:right="0"/>
        <w:jc w:val="both"/>
      </w:pPr>
      <w:r>
        <w:rPr>
          <w:color w:val="000000"/>
          <w:spacing w:val="0"/>
          <w:w w:val="100"/>
          <w:position w:val="0"/>
        </w:rPr>
        <w:t>本案之后，北京市第三中级人民法院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三中民终字第</w:t>
      </w:r>
      <w:r>
        <w:rPr>
          <w:rFonts w:ascii="Times New Roman" w:hAnsi="Times New Roman" w:eastAsia="Times New Roman" w:cs="Times New Roman"/>
          <w:color w:val="000000"/>
          <w:spacing w:val="0"/>
          <w:w w:val="100"/>
          <w:position w:val="0"/>
          <w:sz w:val="19"/>
          <w:szCs w:val="19"/>
        </w:rPr>
        <w:t>13780</w:t>
      </w:r>
      <w:r>
        <w:rPr>
          <w:color w:val="000000"/>
          <w:spacing w:val="0"/>
          <w:w w:val="100"/>
          <w:position w:val="0"/>
        </w:rPr>
        <w:t>号“程某与王某离婚 后财产纠纷案</w:t>
      </w:r>
      <w:r>
        <w:rPr>
          <w:color w:val="000000"/>
          <w:spacing w:val="0"/>
          <w:w w:val="100"/>
          <w:position w:val="0"/>
          <w:lang w:val="zh-CN" w:eastAsia="zh-CN" w:bidi="zh-CN"/>
        </w:rPr>
        <w:t>”对</w:t>
      </w:r>
      <w:r>
        <w:rPr>
          <w:color w:val="000000"/>
          <w:spacing w:val="0"/>
          <w:w w:val="100"/>
          <w:position w:val="0"/>
        </w:rPr>
        <w:t>离婚协议的法律适用提供了更多说理论证技术。本案中，男方程某与女 方王某在离婚协议中约定将登记在双方名下的共同共有房屋作价分割（此房产未取得上市 资格故无法变卖），程某一次性给付王某</w:t>
      </w:r>
      <w:r>
        <w:rPr>
          <w:rFonts w:ascii="Times New Roman" w:hAnsi="Times New Roman" w:eastAsia="Times New Roman" w:cs="Times New Roman"/>
          <w:color w:val="000000"/>
          <w:spacing w:val="0"/>
          <w:w w:val="100"/>
          <w:position w:val="0"/>
          <w:sz w:val="19"/>
          <w:szCs w:val="19"/>
        </w:rPr>
        <w:t>90</w:t>
      </w:r>
      <w:r>
        <w:rPr>
          <w:color w:val="000000"/>
          <w:spacing w:val="0"/>
          <w:w w:val="100"/>
          <w:position w:val="0"/>
        </w:rPr>
        <w:t>万元。事后程某未按照协议履行。二审法院认 为本案不属于赠与，而应该以《婚姻法司法解释二》第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 xml:space="preserve">条为请求权基础和裁判依据，判令 程某依约履行并支付迟延利息。在本案的裁判说理环节，二审法院认为本案离婚协议“既 包括解除婚姻关系的形成行为，也包括夫妻财产分割及子女抚养的附随行为” </w:t>
      </w:r>
      <w:r>
        <w:rPr>
          <w:rFonts w:ascii="Times New Roman" w:hAnsi="Times New Roman" w:eastAsia="Times New Roman" w:cs="Times New Roman"/>
          <w:color w:val="000000"/>
          <w:spacing w:val="0"/>
          <w:w w:val="100"/>
          <w:position w:val="0"/>
          <w:sz w:val="19"/>
          <w:szCs w:val="19"/>
          <w:lang w:val="en-US" w:eastAsia="en-US" w:bidi="en-US"/>
        </w:rPr>
        <w:t xml:space="preserve">o </w:t>
      </w:r>
      <w:r>
        <w:rPr>
          <w:color w:val="000000"/>
          <w:spacing w:val="0"/>
          <w:w w:val="100"/>
          <w:position w:val="0"/>
          <w:lang w:val="zh-CN" w:eastAsia="zh-CN" w:bidi="zh-CN"/>
        </w:rPr>
        <w:t>“在</w:t>
      </w:r>
      <w:r>
        <w:rPr>
          <w:color w:val="000000"/>
          <w:spacing w:val="0"/>
          <w:w w:val="100"/>
          <w:position w:val="0"/>
        </w:rPr>
        <w:t>法律适 用方面，身份法律行为应当适用民事法律行为的一般理论</w:t>
      </w:r>
      <w:r>
        <w:rPr>
          <w:color w:val="000000"/>
          <w:spacing w:val="0"/>
          <w:w w:val="100"/>
          <w:position w:val="0"/>
          <w:lang w:val="zh-CN" w:eastAsia="zh-CN" w:bidi="zh-CN"/>
        </w:rPr>
        <w:t>……</w:t>
      </w:r>
      <w:r>
        <w:rPr>
          <w:color w:val="000000"/>
          <w:spacing w:val="0"/>
          <w:w w:val="100"/>
          <w:position w:val="0"/>
        </w:rPr>
        <w:t>但不能认为其中的附随行为 可以当然地适用《合同法》的规定。</w:t>
      </w:r>
      <w:r>
        <w:rPr>
          <w:color w:val="000000"/>
          <w:spacing w:val="0"/>
          <w:w w:val="100"/>
          <w:position w:val="0"/>
          <w:lang w:val="zh-CN" w:eastAsia="zh-CN" w:bidi="zh-CN"/>
        </w:rPr>
        <w:t>……</w:t>
      </w:r>
      <w:r>
        <w:rPr>
          <w:color w:val="000000"/>
          <w:spacing w:val="0"/>
          <w:w w:val="100"/>
          <w:position w:val="0"/>
        </w:rPr>
        <w:t>附随行为即使符合了民事法律行为的一般生效要 件,但如果</w:t>
      </w:r>
      <w:r>
        <w:rPr>
          <w:color w:val="000000"/>
          <w:spacing w:val="0"/>
          <w:w w:val="100"/>
          <w:position w:val="0"/>
          <w:lang w:val="en-US" w:eastAsia="en-US" w:bidi="en-US"/>
        </w:rPr>
        <w:t>'</w:t>
      </w:r>
      <w:r>
        <w:rPr>
          <w:color w:val="000000"/>
          <w:spacing w:val="0"/>
          <w:w w:val="100"/>
          <w:position w:val="0"/>
        </w:rPr>
        <w:t>离婚'这一形成行为不生效,财产分割协议也不能生效。从这一效力规则来看， 形成行为和附随行为的效力关系与主、从法律行为的效力关系非常类似。”</w:t>
      </w:r>
    </w:p>
    <w:p w14:paraId="35D665F2">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在民法理论上，北京市第三中级人民法院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三中民终字第</w:t>
      </w:r>
      <w:r>
        <w:rPr>
          <w:rFonts w:ascii="Times New Roman" w:hAnsi="Times New Roman" w:eastAsia="Times New Roman" w:cs="Times New Roman"/>
          <w:color w:val="000000"/>
          <w:spacing w:val="0"/>
          <w:w w:val="100"/>
          <w:position w:val="0"/>
          <w:sz w:val="19"/>
          <w:szCs w:val="19"/>
        </w:rPr>
        <w:t>13780</w:t>
      </w:r>
      <w:r>
        <w:rPr>
          <w:color w:val="000000"/>
          <w:spacing w:val="0"/>
          <w:w w:val="100"/>
          <w:position w:val="0"/>
        </w:rPr>
        <w:t>号民事判决书裁 判说理中系统论证的</w:t>
      </w:r>
      <w:r>
        <w:rPr>
          <w:color w:val="000000"/>
          <w:spacing w:val="0"/>
          <w:w w:val="100"/>
          <w:position w:val="0"/>
          <w:lang w:val="zh-CN" w:eastAsia="zh-CN" w:bidi="zh-CN"/>
        </w:rPr>
        <w:t>“形</w:t>
      </w:r>
      <w:r>
        <w:rPr>
          <w:color w:val="000000"/>
          <w:spacing w:val="0"/>
          <w:w w:val="100"/>
          <w:position w:val="0"/>
        </w:rPr>
        <w:t>成行为与附随行为”之辩颇值玩味，其说理目标或者结果同样是坚 持离婚协议的整体性和“一揽子</w:t>
      </w:r>
      <w:r>
        <w:rPr>
          <w:color w:val="000000"/>
          <w:spacing w:val="0"/>
          <w:w w:val="100"/>
          <w:position w:val="0"/>
          <w:lang w:val="zh-CN" w:eastAsia="zh-CN" w:bidi="zh-CN"/>
        </w:rPr>
        <w:t>”性。</w:t>
      </w:r>
      <w:r>
        <w:rPr>
          <w:color w:val="000000"/>
          <w:spacing w:val="0"/>
          <w:w w:val="100"/>
          <w:position w:val="0"/>
        </w:rPr>
        <w:t>该案前后</w:t>
      </w:r>
      <w:r>
        <w:rPr>
          <w:color w:val="000000"/>
          <w:spacing w:val="0"/>
          <w:w w:val="100"/>
          <w:position w:val="0"/>
          <w:lang w:val="zh-CN" w:eastAsia="zh-CN" w:bidi="zh-CN"/>
        </w:rPr>
        <w:t>，“形</w:t>
      </w:r>
      <w:r>
        <w:rPr>
          <w:color w:val="000000"/>
          <w:spacing w:val="0"/>
          <w:w w:val="100"/>
          <w:position w:val="0"/>
        </w:rPr>
        <w:t>成行为与附随行为</w:t>
      </w:r>
      <w:r>
        <w:rPr>
          <w:color w:val="000000"/>
          <w:spacing w:val="0"/>
          <w:w w:val="100"/>
          <w:position w:val="0"/>
          <w:lang w:val="zh-CN" w:eastAsia="zh-CN" w:bidi="zh-CN"/>
        </w:rPr>
        <w:t>”也成</w:t>
      </w:r>
      <w:r>
        <w:rPr>
          <w:color w:val="000000"/>
          <w:spacing w:val="0"/>
          <w:w w:val="100"/>
          <w:position w:val="0"/>
        </w:rPr>
        <w:t>为身份关系协 议纠纷裁判文书说理中的常见话语、高频词汇。大量离婚协议案件的民事判决书中出现了 类似表达:本案离婚协议</w:t>
      </w:r>
      <w:r>
        <w:rPr>
          <w:color w:val="000000"/>
          <w:spacing w:val="0"/>
          <w:w w:val="100"/>
          <w:position w:val="0"/>
          <w:lang w:val="zh-CN" w:eastAsia="zh-CN" w:bidi="zh-CN"/>
        </w:rPr>
        <w:t>“既包</w:t>
      </w:r>
      <w:r>
        <w:rPr>
          <w:color w:val="000000"/>
          <w:spacing w:val="0"/>
          <w:w w:val="100"/>
          <w:position w:val="0"/>
        </w:rPr>
        <w:t>括解除婚姻关系的形成行为，也包括夫妻财产分割及子女抚 养的附随行为”，凸显离婚协议自身所具有的整体性,拒绝简单</w:t>
      </w:r>
      <w:r>
        <w:rPr>
          <w:color w:val="000000"/>
          <w:spacing w:val="0"/>
          <w:w w:val="100"/>
          <w:position w:val="0"/>
          <w:lang w:val="zh-CN" w:eastAsia="zh-CN" w:bidi="zh-CN"/>
        </w:rPr>
        <w:t>“回归</w:t>
      </w:r>
      <w:r>
        <w:rPr>
          <w:color w:val="000000"/>
          <w:spacing w:val="0"/>
          <w:w w:val="100"/>
          <w:position w:val="0"/>
        </w:rPr>
        <w:t xml:space="preserve">”适用财产法规则，并 逐渐汇聚成裁判中如流水潺潺不断的倾向。例如，广西壮族自治区南宁市中级人民法院 </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南市民一终字第</w:t>
      </w:r>
      <w:r>
        <w:rPr>
          <w:rFonts w:ascii="Times New Roman" w:hAnsi="Times New Roman" w:eastAsia="Times New Roman" w:cs="Times New Roman"/>
          <w:color w:val="000000"/>
          <w:spacing w:val="0"/>
          <w:w w:val="100"/>
          <w:position w:val="0"/>
          <w:sz w:val="19"/>
          <w:szCs w:val="19"/>
        </w:rPr>
        <w:t>2458</w:t>
      </w:r>
      <w:r>
        <w:rPr>
          <w:color w:val="000000"/>
          <w:spacing w:val="0"/>
          <w:w w:val="100"/>
          <w:position w:val="0"/>
        </w:rPr>
        <w:t>号民事判决书、北京市第三中级人民法院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三中民终字 第</w:t>
      </w:r>
      <w:r>
        <w:rPr>
          <w:rFonts w:ascii="Times New Roman" w:hAnsi="Times New Roman" w:eastAsia="Times New Roman" w:cs="Times New Roman"/>
          <w:color w:val="000000"/>
          <w:spacing w:val="0"/>
          <w:w w:val="100"/>
          <w:position w:val="0"/>
          <w:sz w:val="19"/>
          <w:szCs w:val="19"/>
        </w:rPr>
        <w:t>13893</w:t>
      </w:r>
      <w:r>
        <w:rPr>
          <w:color w:val="000000"/>
          <w:spacing w:val="0"/>
          <w:w w:val="100"/>
          <w:position w:val="0"/>
        </w:rPr>
        <w:t>号民事判决书、广东省广州市中级人民法院</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)粤</w:t>
      </w:r>
      <w:r>
        <w:rPr>
          <w:rFonts w:ascii="Times New Roman" w:hAnsi="Times New Roman" w:eastAsia="Times New Roman" w:cs="Times New Roman"/>
          <w:color w:val="000000"/>
          <w:spacing w:val="0"/>
          <w:w w:val="100"/>
          <w:position w:val="0"/>
          <w:sz w:val="19"/>
          <w:szCs w:val="19"/>
        </w:rPr>
        <w:t>01</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3982</w:t>
      </w:r>
      <w:r>
        <w:rPr>
          <w:color w:val="000000"/>
          <w:spacing w:val="0"/>
          <w:w w:val="100"/>
          <w:position w:val="0"/>
        </w:rPr>
        <w:t>号民事判决书、 天津市第一中级人民法院</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津</w:t>
      </w:r>
      <w:r>
        <w:rPr>
          <w:rFonts w:ascii="Times New Roman" w:hAnsi="Times New Roman" w:eastAsia="Times New Roman" w:cs="Times New Roman"/>
          <w:color w:val="000000"/>
          <w:spacing w:val="0"/>
          <w:w w:val="100"/>
          <w:position w:val="0"/>
          <w:sz w:val="19"/>
          <w:szCs w:val="19"/>
        </w:rPr>
        <w:t>01</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5557</w:t>
      </w:r>
      <w:r>
        <w:rPr>
          <w:color w:val="000000"/>
          <w:spacing w:val="0"/>
          <w:w w:val="100"/>
          <w:position w:val="0"/>
        </w:rPr>
        <w:t xml:space="preserve">号民事判决书、北京市第二中级人民法院 </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京</w:t>
      </w:r>
      <w:r>
        <w:rPr>
          <w:rFonts w:ascii="Times New Roman" w:hAnsi="Times New Roman" w:eastAsia="Times New Roman" w:cs="Times New Roman"/>
          <w:color w:val="000000"/>
          <w:spacing w:val="0"/>
          <w:w w:val="100"/>
          <w:position w:val="0"/>
          <w:sz w:val="19"/>
          <w:szCs w:val="19"/>
        </w:rPr>
        <w:t>02</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1337</w:t>
      </w:r>
      <w:r>
        <w:rPr>
          <w:color w:val="000000"/>
          <w:spacing w:val="0"/>
          <w:w w:val="100"/>
          <w:position w:val="0"/>
        </w:rPr>
        <w:t>号民事判决书、江苏省盐城市中级人民法院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苏</w:t>
      </w:r>
      <w:r>
        <w:rPr>
          <w:rFonts w:ascii="Times New Roman" w:hAnsi="Times New Roman" w:eastAsia="Times New Roman" w:cs="Times New Roman"/>
          <w:color w:val="000000"/>
          <w:spacing w:val="0"/>
          <w:w w:val="100"/>
          <w:position w:val="0"/>
          <w:sz w:val="19"/>
          <w:szCs w:val="19"/>
        </w:rPr>
        <w:t>09</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 xml:space="preserve">3156 </w:t>
      </w:r>
      <w:r>
        <w:rPr>
          <w:color w:val="000000"/>
          <w:spacing w:val="0"/>
          <w:w w:val="100"/>
          <w:position w:val="0"/>
        </w:rPr>
        <w:t>号民事判决书、贵州省毕节市中级人民法院</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)黔</w:t>
      </w:r>
      <w:r>
        <w:rPr>
          <w:rFonts w:ascii="Times New Roman" w:hAnsi="Times New Roman" w:eastAsia="Times New Roman" w:cs="Times New Roman"/>
          <w:color w:val="000000"/>
          <w:spacing w:val="0"/>
          <w:w w:val="100"/>
          <w:position w:val="0"/>
          <w:sz w:val="19"/>
          <w:szCs w:val="19"/>
        </w:rPr>
        <w:t>05</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656</w:t>
      </w:r>
      <w:r>
        <w:rPr>
          <w:color w:val="000000"/>
          <w:spacing w:val="0"/>
          <w:w w:val="100"/>
          <w:position w:val="0"/>
        </w:rPr>
        <w:t>号民事判决书、北京市第 三中级人民法院</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京</w:t>
      </w:r>
      <w:r>
        <w:rPr>
          <w:rFonts w:ascii="Times New Roman" w:hAnsi="Times New Roman" w:eastAsia="Times New Roman" w:cs="Times New Roman"/>
          <w:color w:val="000000"/>
          <w:spacing w:val="0"/>
          <w:w w:val="100"/>
          <w:position w:val="0"/>
          <w:sz w:val="19"/>
          <w:szCs w:val="19"/>
        </w:rPr>
        <w:t>03</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14555</w:t>
      </w:r>
      <w:r>
        <w:rPr>
          <w:color w:val="000000"/>
          <w:spacing w:val="0"/>
          <w:w w:val="100"/>
          <w:position w:val="0"/>
        </w:rPr>
        <w:t xml:space="preserve">号民事判决书、黑龙江省哈尔滨市中级人民法院 </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黑</w:t>
      </w:r>
      <w:r>
        <w:rPr>
          <w:rFonts w:ascii="Times New Roman" w:hAnsi="Times New Roman" w:eastAsia="Times New Roman" w:cs="Times New Roman"/>
          <w:color w:val="000000"/>
          <w:spacing w:val="0"/>
          <w:w w:val="100"/>
          <w:position w:val="0"/>
          <w:sz w:val="19"/>
          <w:szCs w:val="19"/>
        </w:rPr>
        <w:t>01</w:t>
      </w:r>
      <w:r>
        <w:rPr>
          <w:color w:val="000000"/>
          <w:spacing w:val="0"/>
          <w:w w:val="100"/>
          <w:position w:val="0"/>
        </w:rPr>
        <w:t>民再</w:t>
      </w:r>
      <w:r>
        <w:rPr>
          <w:rFonts w:ascii="Times New Roman" w:hAnsi="Times New Roman" w:eastAsia="Times New Roman" w:cs="Times New Roman"/>
          <w:color w:val="000000"/>
          <w:spacing w:val="0"/>
          <w:w w:val="100"/>
          <w:position w:val="0"/>
          <w:sz w:val="19"/>
          <w:szCs w:val="19"/>
        </w:rPr>
        <w:t>161</w:t>
      </w:r>
      <w:r>
        <w:rPr>
          <w:color w:val="000000"/>
          <w:spacing w:val="0"/>
          <w:w w:val="100"/>
          <w:position w:val="0"/>
        </w:rPr>
        <w:t>号民事判决书等诸多案件，均是如此。</w:t>
      </w:r>
    </w:p>
    <w:p w14:paraId="481F88CE">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rPr>
        <w:t>0</w:t>
      </w:r>
      <w:r>
        <w:rPr>
          <w:color w:val="000000"/>
          <w:spacing w:val="0"/>
          <w:w w:val="100"/>
          <w:position w:val="0"/>
        </w:rPr>
        <w:t>本裁判要旨的参考意义及将来的课题</w:t>
      </w:r>
    </w:p>
    <w:p w14:paraId="251F7991">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本裁判中，夫妻双方离婚时协议约定将夫妻共同共有的房产赠与未成年子女,离婚后 一方在赠与房产产权转移登记之前反悔，主张依据原《合同法》第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款撤销赠与 的,法院不予支持，这就使身份关系协议中的赠与约款不简单等同于原《合同法》上的赠与， 从法律适用上也不能直接</w:t>
      </w:r>
      <w:r>
        <w:rPr>
          <w:color w:val="000000"/>
          <w:spacing w:val="0"/>
          <w:w w:val="100"/>
          <w:position w:val="0"/>
          <w:lang w:val="zh-CN" w:eastAsia="zh-CN" w:bidi="zh-CN"/>
        </w:rPr>
        <w:t>“回归”原</w:t>
      </w:r>
      <w:r>
        <w:rPr>
          <w:color w:val="000000"/>
          <w:spacing w:val="0"/>
          <w:w w:val="100"/>
          <w:position w:val="0"/>
        </w:rPr>
        <w:t>《合同法》。</w:t>
      </w:r>
    </w:p>
    <w:p w14:paraId="0BEDE4F5">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此类案件，在裁判依据和说理论证上，有多种可能，是围绕原《合同法》第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 做正面</w:t>
      </w:r>
      <w:r>
        <w:rPr>
          <w:color w:val="000000"/>
          <w:spacing w:val="0"/>
          <w:w w:val="100"/>
          <w:position w:val="0"/>
          <w:lang w:val="zh-CN" w:eastAsia="zh-CN" w:bidi="zh-CN"/>
        </w:rPr>
        <w:t>“请求</w:t>
      </w:r>
      <w:r>
        <w:rPr>
          <w:color w:val="000000"/>
          <w:spacing w:val="0"/>
          <w:w w:val="100"/>
          <w:position w:val="0"/>
        </w:rPr>
        <w:t>一抗辩</w:t>
      </w:r>
      <w:r>
        <w:rPr>
          <w:color w:val="000000"/>
          <w:spacing w:val="0"/>
          <w:w w:val="100"/>
          <w:position w:val="0"/>
          <w:lang w:val="zh-CN" w:eastAsia="zh-CN" w:bidi="zh-CN"/>
        </w:rPr>
        <w:t>”，还</w:t>
      </w:r>
      <w:r>
        <w:rPr>
          <w:color w:val="000000"/>
          <w:spacing w:val="0"/>
          <w:w w:val="100"/>
          <w:position w:val="0"/>
        </w:rPr>
        <w:t>是以退为进地认可身份关系协议中的赠与约款属于赠与但依据原 《物权法》第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条拒绝单方撤销赠与？还是二者并用，分列为强理由与弱理由？何为长久 之计，何为权宜之策？根据原《物权法》第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条对应的裁判思路，是否意味着此类身份关系 协议不能直接</w:t>
      </w:r>
      <w:r>
        <w:rPr>
          <w:color w:val="000000"/>
          <w:spacing w:val="0"/>
          <w:w w:val="100"/>
          <w:position w:val="0"/>
          <w:lang w:val="zh-CN" w:eastAsia="zh-CN" w:bidi="zh-CN"/>
        </w:rPr>
        <w:t>“回归”原</w:t>
      </w:r>
      <w:r>
        <w:rPr>
          <w:color w:val="000000"/>
          <w:spacing w:val="0"/>
          <w:w w:val="100"/>
          <w:position w:val="0"/>
        </w:rPr>
        <w:t>《合同法》,但却可</w:t>
      </w:r>
      <w:r>
        <w:rPr>
          <w:color w:val="000000"/>
          <w:spacing w:val="0"/>
          <w:w w:val="100"/>
          <w:position w:val="0"/>
          <w:lang w:val="zh-CN" w:eastAsia="zh-CN" w:bidi="zh-CN"/>
        </w:rPr>
        <w:t>“回归”原</w:t>
      </w:r>
      <w:r>
        <w:rPr>
          <w:color w:val="000000"/>
          <w:spacing w:val="0"/>
          <w:w w:val="100"/>
          <w:position w:val="0"/>
        </w:rPr>
        <w:t>《物权法》？在前述更多</w:t>
      </w:r>
      <w:r>
        <w:rPr>
          <w:color w:val="000000"/>
          <w:spacing w:val="0"/>
          <w:w w:val="100"/>
          <w:position w:val="0"/>
          <w:lang w:val="zh-CN" w:eastAsia="zh-CN" w:bidi="zh-CN"/>
        </w:rPr>
        <w:t>“请</w:t>
      </w:r>
      <w:r>
        <w:rPr>
          <w:color w:val="000000"/>
          <w:spacing w:val="0"/>
          <w:w w:val="100"/>
          <w:position w:val="0"/>
        </w:rPr>
        <w:t>求一抗辩” 结构中，针对原告撤销赠与的诉讼请求，法院如何在众多可能的请求权规范中“对症下药”？ 《民法典》施行后，身份关系协议的参照适用规定对此类案件裁判有何切实影响？均值进一 步思考和观察。而就本案涉及的原《合同法》第</w:t>
      </w:r>
      <w:r>
        <w:rPr>
          <w:rFonts w:ascii="Times New Roman" w:hAnsi="Times New Roman" w:eastAsia="Times New Roman" w:cs="Times New Roman"/>
          <w:color w:val="000000"/>
          <w:spacing w:val="0"/>
          <w:w w:val="100"/>
          <w:position w:val="0"/>
          <w:sz w:val="19"/>
          <w:szCs w:val="19"/>
        </w:rPr>
        <w:t>186</w:t>
      </w:r>
      <w:r>
        <w:rPr>
          <w:color w:val="000000"/>
          <w:spacing w:val="0"/>
          <w:w w:val="100"/>
          <w:position w:val="0"/>
        </w:rPr>
        <w:t>条及原《物权法》第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条，其在《民法 典》中对应的分别是第</w:t>
      </w:r>
      <w:r>
        <w:rPr>
          <w:rFonts w:ascii="Times New Roman" w:hAnsi="Times New Roman" w:eastAsia="Times New Roman" w:cs="Times New Roman"/>
          <w:color w:val="000000"/>
          <w:spacing w:val="0"/>
          <w:w w:val="100"/>
          <w:position w:val="0"/>
          <w:sz w:val="19"/>
          <w:szCs w:val="19"/>
        </w:rPr>
        <w:t>658</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301</w:t>
      </w:r>
      <w:r>
        <w:rPr>
          <w:color w:val="000000"/>
          <w:spacing w:val="0"/>
          <w:w w:val="100"/>
          <w:position w:val="0"/>
        </w:rPr>
        <w:t>条。后者并没有任何改变，而对于赠与合同任意撤销 的限制，虽然增加了 “依法不得撤销”的限定语,但就本案情形来说,制度规范背景本身并没 有大的变化,</w:t>
      </w:r>
      <w:r>
        <w:rPr>
          <w:color w:val="000000"/>
          <w:spacing w:val="0"/>
          <w:w w:val="100"/>
          <w:position w:val="0"/>
          <w:lang w:val="zh-CN" w:eastAsia="zh-CN" w:bidi="zh-CN"/>
        </w:rPr>
        <w:t>“回归”合同</w:t>
      </w:r>
      <w:r>
        <w:rPr>
          <w:color w:val="000000"/>
          <w:spacing w:val="0"/>
          <w:w w:val="100"/>
          <w:position w:val="0"/>
        </w:rPr>
        <w:t>法抑或</w:t>
      </w:r>
      <w:r>
        <w:rPr>
          <w:color w:val="000000"/>
          <w:spacing w:val="0"/>
          <w:w w:val="100"/>
          <w:position w:val="0"/>
          <w:lang w:val="zh-CN" w:eastAsia="zh-CN" w:bidi="zh-CN"/>
        </w:rPr>
        <w:t>“回归”物</w:t>
      </w:r>
      <w:r>
        <w:rPr>
          <w:color w:val="000000"/>
          <w:spacing w:val="0"/>
          <w:w w:val="100"/>
          <w:position w:val="0"/>
        </w:rPr>
        <w:t>权法的争议仍然存在，而只不过是变成了</w:t>
      </w:r>
      <w:r>
        <w:rPr>
          <w:color w:val="000000"/>
          <w:spacing w:val="0"/>
          <w:w w:val="100"/>
          <w:position w:val="0"/>
          <w:lang w:val="zh-CN" w:eastAsia="zh-CN" w:bidi="zh-CN"/>
        </w:rPr>
        <w:t xml:space="preserve">“合同 </w:t>
      </w:r>
      <w:r>
        <w:rPr>
          <w:color w:val="000000"/>
          <w:spacing w:val="0"/>
          <w:w w:val="100"/>
          <w:position w:val="0"/>
        </w:rPr>
        <w:t>编”与</w:t>
      </w:r>
      <w:r>
        <w:rPr>
          <w:color w:val="000000"/>
          <w:spacing w:val="0"/>
          <w:w w:val="100"/>
          <w:position w:val="0"/>
          <w:lang w:val="zh-CN" w:eastAsia="zh-CN" w:bidi="zh-CN"/>
        </w:rPr>
        <w:t>“物</w:t>
      </w:r>
      <w:r>
        <w:rPr>
          <w:color w:val="000000"/>
          <w:spacing w:val="0"/>
          <w:w w:val="100"/>
          <w:position w:val="0"/>
        </w:rPr>
        <w:t>权编”的区别而已。</w:t>
      </w:r>
    </w:p>
    <w:p w14:paraId="34ED2988">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一个好案例的最大意义可能不是提出唯一权威的裁判思路,而是引发更多、更深入的 思考,在人类认识的边疆探索更多可能。结合《民法典》第</w:t>
      </w:r>
      <w:r>
        <w:rPr>
          <w:rFonts w:ascii="Times New Roman" w:hAnsi="Times New Roman" w:eastAsia="Times New Roman" w:cs="Times New Roman"/>
          <w:color w:val="000000"/>
          <w:spacing w:val="0"/>
          <w:w w:val="100"/>
          <w:position w:val="0"/>
          <w:sz w:val="19"/>
          <w:szCs w:val="19"/>
        </w:rPr>
        <w:t>522</w:t>
      </w:r>
      <w:r>
        <w:rPr>
          <w:color w:val="000000"/>
          <w:spacing w:val="0"/>
          <w:w w:val="100"/>
          <w:position w:val="0"/>
        </w:rPr>
        <w:t>条的规定，本案在理论和实 务中还存在如下难题:即夫妻双方离婚时协议约定将夫妻共同共有的房产赠与未成年子女 或者成年子女，协议未约定受赠子女可以直接请求赠与人履行的情况下，离婚后一方在赠 与房产产权转移登记之前反悔、拒绝履行时，受赠子女是否有直接、独立的请求权？诸如此 类的问题，也会面临诸多争议,有待学理和实践的进一步开拓。</w:t>
      </w:r>
    </w:p>
    <w:p w14:paraId="0E0BE300">
      <w:pPr>
        <w:pStyle w:val="11"/>
        <w:keepNext w:val="0"/>
        <w:keepLines w:val="0"/>
        <w:widowControl w:val="0"/>
        <w:shd w:val="clear" w:color="auto" w:fill="auto"/>
        <w:bidi w:val="0"/>
        <w:spacing w:before="0" w:after="40" w:line="338" w:lineRule="exact"/>
        <w:ind w:left="0" w:right="0" w:firstLine="0"/>
        <w:jc w:val="both"/>
      </w:pPr>
      <w:r>
        <w:rPr>
          <w:color w:val="000000"/>
          <w:spacing w:val="0"/>
          <w:w w:val="100"/>
          <w:position w:val="0"/>
        </w:rPr>
        <w:t>回参考文献</w:t>
      </w:r>
    </w:p>
    <w:p w14:paraId="59EC9E73">
      <w:pPr>
        <w:pStyle w:val="17"/>
        <w:keepNext w:val="0"/>
        <w:keepLines w:val="0"/>
        <w:widowControl w:val="0"/>
        <w:shd w:val="clear" w:color="auto" w:fill="auto"/>
        <w:bidi w:val="0"/>
        <w:spacing w:before="0" w:after="0" w:line="338" w:lineRule="exact"/>
        <w:ind w:left="0" w:right="0" w:firstLine="0"/>
        <w:jc w:val="left"/>
      </w:pPr>
      <w:r>
        <w:rPr>
          <w:color w:val="000000"/>
          <w:spacing w:val="0"/>
          <w:w w:val="100"/>
          <w:position w:val="0"/>
        </w:rPr>
        <w:t>陆青:《离婚协议中的“赠与子女财产</w:t>
      </w:r>
      <w:r>
        <w:rPr>
          <w:color w:val="000000"/>
          <w:spacing w:val="0"/>
          <w:w w:val="100"/>
          <w:position w:val="0"/>
          <w:lang w:val="zh-CN" w:eastAsia="zh-CN" w:bidi="zh-CN"/>
        </w:rPr>
        <w:t>”条款</w:t>
      </w:r>
      <w:r>
        <w:rPr>
          <w:color w:val="000000"/>
          <w:spacing w:val="0"/>
          <w:w w:val="100"/>
          <w:position w:val="0"/>
        </w:rPr>
        <w:t>研究》，载《法学研究》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22909EF">
      <w:pPr>
        <w:pStyle w:val="17"/>
        <w:keepNext w:val="0"/>
        <w:keepLines w:val="0"/>
        <w:widowControl w:val="0"/>
        <w:shd w:val="clear" w:color="auto" w:fill="auto"/>
        <w:bidi w:val="0"/>
        <w:spacing w:before="0" w:after="0" w:line="338" w:lineRule="exact"/>
        <w:ind w:left="0" w:right="0" w:firstLine="0"/>
        <w:jc w:val="left"/>
      </w:pPr>
      <w:r>
        <w:rPr>
          <w:color w:val="000000"/>
          <w:spacing w:val="0"/>
          <w:w w:val="100"/>
          <w:position w:val="0"/>
        </w:rPr>
        <w:t>刘征峰:《论民法教义体系与家庭法的对立与融合:现代家庭法的谱系生成》，法律出版社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02635411">
      <w:pPr>
        <w:pStyle w:val="17"/>
        <w:keepNext w:val="0"/>
        <w:keepLines w:val="0"/>
        <w:widowControl w:val="0"/>
        <w:shd w:val="clear" w:color="auto" w:fill="auto"/>
        <w:bidi w:val="0"/>
        <w:spacing w:before="0" w:after="80" w:line="348" w:lineRule="exact"/>
        <w:ind w:left="200" w:right="0" w:hanging="200"/>
        <w:jc w:val="both"/>
      </w:pPr>
      <w:r>
        <w:rPr>
          <w:color w:val="000000"/>
          <w:spacing w:val="0"/>
          <w:w w:val="100"/>
          <w:position w:val="0"/>
        </w:rPr>
        <w:t>刘干、殷芹：《子女对离婚协议中受赠财产有无给付请求权》，载《人民法院报》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日，第</w:t>
      </w:r>
      <w:r>
        <w:rPr>
          <w:rFonts w:ascii="Times New Roman" w:hAnsi="Times New Roman" w:eastAsia="Times New Roman" w:cs="Times New Roman"/>
          <w:color w:val="000000"/>
          <w:spacing w:val="0"/>
          <w:w w:val="100"/>
          <w:position w:val="0"/>
          <w:sz w:val="17"/>
          <w:szCs w:val="17"/>
        </w:rPr>
        <w:t xml:space="preserve">7 </w:t>
      </w:r>
      <w:r>
        <w:rPr>
          <w:color w:val="000000"/>
          <w:spacing w:val="0"/>
          <w:w w:val="100"/>
          <w:position w:val="0"/>
        </w:rPr>
        <w:t>版。</w:t>
      </w:r>
    </w:p>
    <w:p w14:paraId="37409730">
      <w:pPr>
        <w:pStyle w:val="17"/>
        <w:keepNext w:val="0"/>
        <w:keepLines w:val="0"/>
        <w:widowControl w:val="0"/>
        <w:shd w:val="clear" w:color="auto" w:fill="auto"/>
        <w:bidi w:val="0"/>
        <w:spacing w:before="0" w:after="80" w:line="240" w:lineRule="auto"/>
        <w:ind w:left="0" w:right="0" w:firstLine="0"/>
        <w:jc w:val="left"/>
        <w:sectPr>
          <w:headerReference r:id="rId322" w:type="default"/>
          <w:headerReference r:id="rId323" w:type="even"/>
          <w:footnotePr>
            <w:numFmt w:val="chicago"/>
          </w:footnotePr>
          <w:pgSz w:w="10099" w:h="14782"/>
          <w:pgMar w:top="1281" w:right="1079" w:bottom="1131" w:left="1021" w:header="0" w:footer="3" w:gutter="0"/>
          <w:pgNumType w:start="252"/>
          <w:cols w:space="720" w:num="1"/>
          <w:rtlGutter w:val="0"/>
          <w:docGrid w:linePitch="360" w:charSpace="0"/>
        </w:sectPr>
      </w:pPr>
      <w:r>
        <w:rPr>
          <w:color w:val="000000"/>
          <w:spacing w:val="0"/>
          <w:w w:val="100"/>
          <w:position w:val="0"/>
        </w:rPr>
        <w:t>王雷：《论身份关系协议对民法典合同编的参照适用》，载《法学家》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0532FF8">
      <w:pPr>
        <w:widowControl w:val="0"/>
        <w:spacing w:line="127" w:lineRule="exact"/>
        <w:rPr>
          <w:sz w:val="10"/>
          <w:szCs w:val="10"/>
        </w:rPr>
      </w:pPr>
    </w:p>
    <w:p w14:paraId="4FDCAE07">
      <w:pPr>
        <w:widowControl w:val="0"/>
        <w:spacing w:line="1" w:lineRule="exact"/>
        <w:sectPr>
          <w:headerReference r:id="rId324" w:type="default"/>
          <w:headerReference r:id="rId325" w:type="even"/>
          <w:footnotePr>
            <w:numFmt w:val="chicago"/>
          </w:footnotePr>
          <w:pgSz w:w="10099" w:h="14782"/>
          <w:pgMar w:top="1264" w:right="996" w:bottom="1131" w:left="1110" w:header="0" w:footer="3" w:gutter="0"/>
          <w:pgNumType w:start="272"/>
          <w:cols w:space="720" w:num="1"/>
          <w:rtlGutter w:val="0"/>
          <w:docGrid w:linePitch="360" w:charSpace="0"/>
        </w:sectPr>
      </w:pPr>
    </w:p>
    <w:p w14:paraId="16953E10">
      <w:pPr>
        <w:widowControl w:val="0"/>
        <w:spacing w:line="1" w:lineRule="exact"/>
      </w:pPr>
      <w:r>
        <mc:AlternateContent>
          <mc:Choice Requires="wps">
            <w:drawing>
              <wp:anchor distT="0" distB="7620" distL="114300" distR="2467610" simplePos="0" relativeHeight="251660288" behindDoc="0" locked="0" layoutInCell="1" allowOverlap="1">
                <wp:simplePos x="0" y="0"/>
                <wp:positionH relativeFrom="page">
                  <wp:posOffset>768350</wp:posOffset>
                </wp:positionH>
                <wp:positionV relativeFrom="paragraph">
                  <wp:posOffset>12700</wp:posOffset>
                </wp:positionV>
                <wp:extent cx="443230" cy="304800"/>
                <wp:effectExtent l="0" t="0" r="0" b="0"/>
                <wp:wrapTopAndBottom/>
                <wp:docPr id="737" name="Shape 737"/>
                <wp:cNvGraphicFramePr/>
                <a:graphic xmlns:a="http://schemas.openxmlformats.org/drawingml/2006/main">
                  <a:graphicData uri="http://schemas.microsoft.com/office/word/2010/wordprocessingShape">
                    <wps:wsp>
                      <wps:cNvSpPr txBox="1"/>
                      <wps:spPr>
                        <a:xfrm>
                          <a:off x="0" y="0"/>
                          <a:ext cx="443230" cy="304800"/>
                        </a:xfrm>
                        <a:prstGeom prst="rect">
                          <a:avLst/>
                        </a:prstGeom>
                        <a:noFill/>
                      </wps:spPr>
                      <wps:txbx>
                        <w:txbxContent>
                          <w:p w14:paraId="112985EA">
                            <w:pPr>
                              <w:pStyle w:val="27"/>
                              <w:keepNext/>
                              <w:keepLines/>
                              <w:widowControl w:val="0"/>
                              <w:shd w:val="clear" w:color="auto" w:fill="auto"/>
                              <w:bidi w:val="0"/>
                              <w:spacing w:before="0" w:after="0" w:line="240" w:lineRule="auto"/>
                              <w:ind w:left="0" w:right="0" w:firstLine="0"/>
                              <w:jc w:val="both"/>
                            </w:pPr>
                            <w:bookmarkStart w:id="435" w:name="bookmark335"/>
                            <w:bookmarkStart w:id="436" w:name="bookmark336"/>
                            <w:bookmarkStart w:id="437" w:name="bookmark337"/>
                            <w:r>
                              <w:rPr>
                                <w:rFonts w:ascii="Times New Roman" w:hAnsi="Times New Roman" w:eastAsia="Times New Roman" w:cs="Times New Roman"/>
                                <w:color w:val="000000"/>
                                <w:spacing w:val="0"/>
                                <w:w w:val="100"/>
                                <w:position w:val="0"/>
                              </w:rPr>
                              <w:t>052</w:t>
                            </w:r>
                            <w:bookmarkEnd w:id="435"/>
                            <w:bookmarkEnd w:id="436"/>
                            <w:bookmarkEnd w:id="437"/>
                          </w:p>
                        </w:txbxContent>
                      </wps:txbx>
                      <wps:bodyPr wrap="none" lIns="0" tIns="0" rIns="0" bIns="0">
                        <a:noAutofit/>
                      </wps:bodyPr>
                    </wps:wsp>
                  </a:graphicData>
                </a:graphic>
              </wp:anchor>
            </w:drawing>
          </mc:Choice>
          <mc:Fallback>
            <w:pict>
              <v:shape id="Shape 737" o:spid="_x0000_s1026" o:spt="202" type="#_x0000_t202" style="position:absolute;left:0pt;margin-left:60.5pt;margin-top:1pt;height:24pt;width:34.9pt;mso-position-horizontal-relative:page;mso-wrap-distance-bottom:0.6pt;mso-wrap-distance-top:0pt;mso-wrap-style:none;z-index:251660288;mso-width-relative:page;mso-height-relative:page;" filled="f" stroked="f" coordsize="21600,21600" o:gfxdata="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28GSLNQAAAAI&#10;AQAADwAAAAAAAAABACAAAAAiAAAAZHJzL2Rvd25yZXYueG1sUEsBAhQAFAAAAAgAh07iQMeTDs+u&#10;AQAAcwMAAA4AAAAAAAAAAQAgAAAAIwEAAGRycy9lMm9Eb2MueG1sUEsFBgAAAAAGAAYAWQEAAEMF&#10;AAAAAA==&#10;">
                <v:fill on="f" focussize="0,0"/>
                <v:stroke on="f"/>
                <v:imagedata o:title=""/>
                <o:lock v:ext="edit" aspectratio="f"/>
                <v:textbox inset="0mm,0mm,0mm,0mm">
                  <w:txbxContent>
                    <w:p w14:paraId="112985EA">
                      <w:pPr>
                        <w:pStyle w:val="27"/>
                        <w:keepNext/>
                        <w:keepLines/>
                        <w:widowControl w:val="0"/>
                        <w:shd w:val="clear" w:color="auto" w:fill="auto"/>
                        <w:bidi w:val="0"/>
                        <w:spacing w:before="0" w:after="0" w:line="240" w:lineRule="auto"/>
                        <w:ind w:left="0" w:right="0" w:firstLine="0"/>
                        <w:jc w:val="both"/>
                      </w:pPr>
                      <w:bookmarkStart w:id="435" w:name="bookmark335"/>
                      <w:bookmarkStart w:id="436" w:name="bookmark336"/>
                      <w:bookmarkStart w:id="437" w:name="bookmark337"/>
                      <w:r>
                        <w:rPr>
                          <w:rFonts w:ascii="Times New Roman" w:hAnsi="Times New Roman" w:eastAsia="Times New Roman" w:cs="Times New Roman"/>
                          <w:color w:val="000000"/>
                          <w:spacing w:val="0"/>
                          <w:w w:val="100"/>
                          <w:position w:val="0"/>
                        </w:rPr>
                        <w:t>052</w:t>
                      </w:r>
                      <w:bookmarkEnd w:id="435"/>
                      <w:bookmarkEnd w:id="436"/>
                      <w:bookmarkEnd w:id="437"/>
                    </w:p>
                  </w:txbxContent>
                </v:textbox>
                <w10:wrap type="topAndBottom"/>
              </v:shape>
            </w:pict>
          </mc:Fallback>
        </mc:AlternateContent>
      </w:r>
      <w:r>
        <mc:AlternateContent>
          <mc:Choice Requires="wps">
            <w:drawing>
              <wp:anchor distT="82550" distB="0" distL="693420" distR="114300" simplePos="0" relativeHeight="251660288" behindDoc="0" locked="0" layoutInCell="1" allowOverlap="1">
                <wp:simplePos x="0" y="0"/>
                <wp:positionH relativeFrom="page">
                  <wp:posOffset>1347470</wp:posOffset>
                </wp:positionH>
                <wp:positionV relativeFrom="paragraph">
                  <wp:posOffset>95250</wp:posOffset>
                </wp:positionV>
                <wp:extent cx="2217420" cy="229870"/>
                <wp:effectExtent l="0" t="0" r="0" b="0"/>
                <wp:wrapTopAndBottom/>
                <wp:docPr id="739" name="Shape 739"/>
                <wp:cNvGraphicFramePr/>
                <a:graphic xmlns:a="http://schemas.openxmlformats.org/drawingml/2006/main">
                  <a:graphicData uri="http://schemas.microsoft.com/office/word/2010/wordprocessingShape">
                    <wps:wsp>
                      <wps:cNvSpPr txBox="1"/>
                      <wps:spPr>
                        <a:xfrm>
                          <a:off x="0" y="0"/>
                          <a:ext cx="2217420" cy="229870"/>
                        </a:xfrm>
                        <a:prstGeom prst="rect">
                          <a:avLst/>
                        </a:prstGeom>
                        <a:noFill/>
                      </wps:spPr>
                      <wps:txbx>
                        <w:txbxContent>
                          <w:p w14:paraId="53126C58">
                            <w:pPr>
                              <w:pStyle w:val="15"/>
                              <w:keepNext/>
                              <w:keepLines/>
                              <w:widowControl w:val="0"/>
                              <w:shd w:val="clear" w:color="auto" w:fill="auto"/>
                              <w:bidi w:val="0"/>
                              <w:spacing w:before="0" w:after="0" w:line="240" w:lineRule="auto"/>
                              <w:ind w:left="0" w:right="0" w:firstLine="0"/>
                              <w:jc w:val="left"/>
                            </w:pPr>
                            <w:bookmarkStart w:id="438" w:name="bookmark338"/>
                            <w:bookmarkStart w:id="439" w:name="bookmark339"/>
                            <w:bookmarkStart w:id="440" w:name="bookmark340"/>
                            <w:r>
                              <w:rPr>
                                <w:color w:val="000000"/>
                                <w:spacing w:val="0"/>
                                <w:w w:val="100"/>
                                <w:position w:val="0"/>
                              </w:rPr>
                              <w:t>混合合同的法律适用规则</w:t>
                            </w:r>
                            <w:bookmarkEnd w:id="438"/>
                            <w:bookmarkEnd w:id="439"/>
                            <w:bookmarkEnd w:id="440"/>
                          </w:p>
                        </w:txbxContent>
                      </wps:txbx>
                      <wps:bodyPr wrap="none" lIns="0" tIns="0" rIns="0" bIns="0">
                        <a:noAutofit/>
                      </wps:bodyPr>
                    </wps:wsp>
                  </a:graphicData>
                </a:graphic>
              </wp:anchor>
            </w:drawing>
          </mc:Choice>
          <mc:Fallback>
            <w:pict>
              <v:shape id="Shape 739" o:spid="_x0000_s1026" o:spt="202" type="#_x0000_t202" style="position:absolute;left:0pt;margin-left:106.1pt;margin-top:7.5pt;height:18.1pt;width:174.6pt;mso-position-horizontal-relative:page;mso-wrap-distance-bottom:0pt;mso-wrap-distance-top:6.5pt;mso-wrap-style:none;z-index:251660288;mso-width-relative:page;mso-height-relative:page;" filled="f" stroked="f" coordsize="21600,21600" o:gfxdata="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WtRx9YA&#10;AAAJAQAADwAAAAAAAAABACAAAAAiAAAAZHJzL2Rvd25yZXYueG1sUEsBAhQAFAAAAAgAh07iQNmG&#10;iuivAQAAdAMAAA4AAAAAAAAAAQAgAAAAJQEAAGRycy9lMm9Eb2MueG1sUEsFBgAAAAAGAAYAWQEA&#10;AEYFAAAAAA==&#10;">
                <v:fill on="f" focussize="0,0"/>
                <v:stroke on="f"/>
                <v:imagedata o:title=""/>
                <o:lock v:ext="edit" aspectratio="f"/>
                <v:textbox inset="0mm,0mm,0mm,0mm">
                  <w:txbxContent>
                    <w:p w14:paraId="53126C58">
                      <w:pPr>
                        <w:pStyle w:val="15"/>
                        <w:keepNext/>
                        <w:keepLines/>
                        <w:widowControl w:val="0"/>
                        <w:shd w:val="clear" w:color="auto" w:fill="auto"/>
                        <w:bidi w:val="0"/>
                        <w:spacing w:before="0" w:after="0" w:line="240" w:lineRule="auto"/>
                        <w:ind w:left="0" w:right="0" w:firstLine="0"/>
                        <w:jc w:val="left"/>
                      </w:pPr>
                      <w:bookmarkStart w:id="438" w:name="bookmark338"/>
                      <w:bookmarkStart w:id="439" w:name="bookmark339"/>
                      <w:bookmarkStart w:id="440" w:name="bookmark340"/>
                      <w:r>
                        <w:rPr>
                          <w:color w:val="000000"/>
                          <w:spacing w:val="0"/>
                          <w:w w:val="100"/>
                          <w:position w:val="0"/>
                        </w:rPr>
                        <w:t>混合合同的法律适用规则</w:t>
                      </w:r>
                      <w:bookmarkEnd w:id="438"/>
                      <w:bookmarkEnd w:id="439"/>
                      <w:bookmarkEnd w:id="440"/>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5142230</wp:posOffset>
            </wp:positionH>
            <wp:positionV relativeFrom="paragraph">
              <wp:posOffset>213360</wp:posOffset>
            </wp:positionV>
            <wp:extent cx="615950" cy="628015"/>
            <wp:effectExtent l="0" t="0" r="6350" b="6985"/>
            <wp:wrapSquare wrapText="left"/>
            <wp:docPr id="741" name="Shape 741"/>
            <wp:cNvGraphicFramePr/>
            <a:graphic xmlns:a="http://schemas.openxmlformats.org/drawingml/2006/main">
              <a:graphicData uri="http://schemas.openxmlformats.org/drawingml/2006/picture">
                <pic:pic xmlns:pic="http://schemas.openxmlformats.org/drawingml/2006/picture">
                  <pic:nvPicPr>
                    <pic:cNvPr id="741" name="Shape 741"/>
                    <pic:cNvPicPr/>
                  </pic:nvPicPr>
                  <pic:blipFill>
                    <a:blip r:embed="rId658"/>
                    <a:stretch>
                      <a:fillRect/>
                    </a:stretch>
                  </pic:blipFill>
                  <pic:spPr>
                    <a:xfrm>
                      <a:off x="0" y="0"/>
                      <a:ext cx="615950" cy="628015"/>
                    </a:xfrm>
                    <a:prstGeom prst="rect">
                      <a:avLst/>
                    </a:prstGeom>
                  </pic:spPr>
                </pic:pic>
              </a:graphicData>
            </a:graphic>
          </wp:anchor>
        </w:drawing>
      </w:r>
    </w:p>
    <w:p w14:paraId="60CAE9A0">
      <w:pPr>
        <w:pStyle w:val="17"/>
        <w:keepNext w:val="0"/>
        <w:keepLines w:val="0"/>
        <w:widowControl w:val="0"/>
        <w:shd w:val="clear" w:color="auto" w:fill="auto"/>
        <w:bidi w:val="0"/>
        <w:spacing w:before="0" w:after="380" w:line="314" w:lineRule="exact"/>
        <w:ind w:left="1000" w:right="0" w:firstLine="20"/>
        <w:jc w:val="both"/>
      </w:pPr>
      <w:r>
        <w:rPr>
          <w:color w:val="000000"/>
          <w:spacing w:val="0"/>
          <w:w w:val="100"/>
          <w:position w:val="0"/>
        </w:rPr>
        <w:t>宏大中源太阳能股份有限公司与湖南红太阳光电科技有限公司买 卖合同纠纷再审案丨最高人民法院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4300</w:t>
      </w:r>
      <w:r>
        <w:rPr>
          <w:color w:val="000000"/>
          <w:spacing w:val="0"/>
          <w:w w:val="100"/>
          <w:position w:val="0"/>
        </w:rPr>
        <w:t>号</w:t>
      </w:r>
    </w:p>
    <w:p w14:paraId="6BB4051B">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许中缘</w:t>
      </w:r>
      <w:r>
        <w:rPr>
          <w:color w:val="000000"/>
          <w:spacing w:val="0"/>
          <w:w w:val="100"/>
          <w:position w:val="0"/>
        </w:rPr>
        <w:t>中南大学法学院</w:t>
      </w:r>
    </w:p>
    <w:p w14:paraId="2C3D4E73">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681AE6C">
      <w:pPr>
        <w:pStyle w:val="17"/>
        <w:keepNext w:val="0"/>
        <w:keepLines w:val="0"/>
        <w:widowControl w:val="0"/>
        <w:shd w:val="clear" w:color="auto" w:fill="auto"/>
        <w:bidi w:val="0"/>
        <w:spacing w:before="0" w:after="360" w:line="338" w:lineRule="exact"/>
        <w:ind w:left="0" w:right="0"/>
        <w:jc w:val="both"/>
        <w:sectPr>
          <w:footnotePr>
            <w:numFmt w:val="chicago"/>
          </w:footnotePr>
          <w:type w:val="continuous"/>
          <w:pgSz w:w="10099" w:h="14782"/>
          <w:pgMar w:top="1264" w:right="996" w:bottom="1131" w:left="1110" w:header="836" w:footer="70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日，宏大公司（甲方）与红太阳公司（乙方）签订</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多晶硅太阳能电 池片生产线建设合同书》（以下简称《建设合同书》），约定乙方为甲方承建年产能</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多 晶硅太阳能电池片生产线一条，包括提供成套设备、安装调试、保修期内的免费维护及保修 期外的终身维护等。合同第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w:t>
      </w:r>
      <w:r>
        <w:rPr>
          <w:color w:val="000000"/>
          <w:spacing w:val="0"/>
          <w:w w:val="100"/>
          <w:position w:val="0"/>
          <w:lang w:val="zh-CN" w:eastAsia="zh-CN" w:bidi="zh-CN"/>
        </w:rPr>
        <w:t>“合同</w:t>
      </w:r>
      <w:r>
        <w:rPr>
          <w:color w:val="000000"/>
          <w:spacing w:val="0"/>
          <w:w w:val="100"/>
          <w:position w:val="0"/>
        </w:rPr>
        <w:t>价格”中约定，一条</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多晶太阳能电池片生产 线合同总价格为人民币</w:t>
      </w:r>
      <w:r>
        <w:rPr>
          <w:rFonts w:ascii="Times New Roman" w:hAnsi="Times New Roman" w:eastAsia="Times New Roman" w:cs="Times New Roman"/>
          <w:color w:val="000000"/>
          <w:spacing w:val="0"/>
          <w:w w:val="100"/>
          <w:position w:val="0"/>
          <w:sz w:val="19"/>
          <w:szCs w:val="19"/>
        </w:rPr>
        <w:t>7166</w:t>
      </w:r>
      <w:r>
        <w:rPr>
          <w:color w:val="000000"/>
          <w:spacing w:val="0"/>
          <w:w w:val="100"/>
          <w:position w:val="0"/>
        </w:rPr>
        <w:t>万元。合同第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w:t>
      </w:r>
      <w:r>
        <w:rPr>
          <w:color w:val="000000"/>
          <w:spacing w:val="0"/>
          <w:w w:val="100"/>
          <w:position w:val="0"/>
          <w:lang w:val="zh-CN" w:eastAsia="zh-CN" w:bidi="zh-CN"/>
        </w:rPr>
        <w:t>“交货</w:t>
      </w:r>
      <w:r>
        <w:rPr>
          <w:color w:val="000000"/>
          <w:spacing w:val="0"/>
          <w:w w:val="100"/>
          <w:position w:val="0"/>
        </w:rPr>
        <w:t>范围及周期”中约定，自乙方收到 甲方预付款之日起</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个月内将红太阳公司全部制造的设备发运到宏大公司工厂，自进口 设备全部到位后一个月内完成各设备的安装调试工作，各设备的安装调试工作完成以后 两个月内，完成整条生产线的安装调试及流片生产。合同第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w:t>
      </w:r>
      <w:r>
        <w:rPr>
          <w:color w:val="000000"/>
          <w:spacing w:val="0"/>
          <w:w w:val="100"/>
          <w:position w:val="0"/>
          <w:lang w:val="zh-CN" w:eastAsia="zh-CN" w:bidi="zh-CN"/>
        </w:rPr>
        <w:t>“合同</w:t>
      </w:r>
      <w:r>
        <w:rPr>
          <w:color w:val="000000"/>
          <w:spacing w:val="0"/>
          <w:w w:val="100"/>
          <w:position w:val="0"/>
        </w:rPr>
        <w:t>要求”中约定，合 同规定由乙方对甲方的</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 xml:space="preserve">多晶硅太阳能电池片生产线进行整线承包建设，内容包括 </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太阳能电池片生产线设计方案及生产线所需的设备的选型、配置、采购、交付并达 到技术协议附件一规定的工艺水平，并提供相应的全套工艺文件,保证甲方能按合同指 标正常生产，设备安装及生产所需的自来水、电、气的总接口由甲方负责并达到乙方的设 计要求。合同第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w:t>
      </w:r>
      <w:r>
        <w:rPr>
          <w:color w:val="000000"/>
          <w:spacing w:val="0"/>
          <w:w w:val="100"/>
          <w:position w:val="0"/>
          <w:lang w:val="zh-CN" w:eastAsia="zh-CN" w:bidi="zh-CN"/>
        </w:rPr>
        <w:t>“生产</w:t>
      </w:r>
      <w:r>
        <w:rPr>
          <w:color w:val="000000"/>
          <w:spacing w:val="0"/>
          <w:w w:val="100"/>
          <w:position w:val="0"/>
        </w:rPr>
        <w:t>线建设基本要求”中约定，由乙方承担的</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太阳能电池 片生产线交付甲方使用后，实现每条线的产能</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年。生产线运转一个月内，多晶硅 电池片合格率</w:t>
      </w:r>
      <w:r>
        <w:rPr>
          <w:rFonts w:ascii="Times New Roman" w:hAnsi="Times New Roman" w:eastAsia="Times New Roman" w:cs="Times New Roman"/>
          <w:color w:val="000000"/>
          <w:spacing w:val="0"/>
          <w:w w:val="100"/>
          <w:position w:val="0"/>
          <w:sz w:val="19"/>
          <w:szCs w:val="19"/>
        </w:rPr>
        <w:t xml:space="preserve">95% </w:t>
      </w:r>
      <w:r>
        <w:rPr>
          <w:color w:val="000000"/>
          <w:spacing w:val="0"/>
          <w:w w:val="100"/>
          <w:position w:val="0"/>
        </w:rPr>
        <w:t>（转换效率</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的电池片），合格片平均转换效率</w:t>
      </w:r>
      <w:r>
        <w:rPr>
          <w:rFonts w:ascii="Times New Roman" w:hAnsi="Times New Roman" w:eastAsia="Times New Roman" w:cs="Times New Roman"/>
          <w:color w:val="000000"/>
          <w:spacing w:val="0"/>
          <w:w w:val="100"/>
          <w:position w:val="0"/>
          <w:sz w:val="19"/>
          <w:szCs w:val="19"/>
          <w:lang w:val="en-US" w:eastAsia="en-US" w:bidi="en-US"/>
        </w:rPr>
        <w:t xml:space="preserve">15. </w:t>
      </w:r>
      <w:r>
        <w:rPr>
          <w:rFonts w:ascii="Times New Roman" w:hAnsi="Times New Roman" w:eastAsia="Times New Roman" w:cs="Times New Roman"/>
          <w:color w:val="000000"/>
          <w:spacing w:val="0"/>
          <w:w w:val="100"/>
          <w:position w:val="0"/>
          <w:sz w:val="19"/>
          <w:szCs w:val="19"/>
        </w:rPr>
        <w:t xml:space="preserve">7% </w:t>
      </w:r>
      <w:r>
        <w:rPr>
          <w:color w:val="000000"/>
          <w:spacing w:val="0"/>
          <w:w w:val="100"/>
          <w:position w:val="0"/>
        </w:rPr>
        <w:t>（欧洲莱茵 标准），电池片整线破损率</w:t>
      </w:r>
      <w:r>
        <w:rPr>
          <w:rFonts w:ascii="Times New Roman" w:hAnsi="Times New Roman" w:eastAsia="Times New Roman" w:cs="Times New Roman"/>
          <w:color w:val="000000"/>
          <w:spacing w:val="0"/>
          <w:w w:val="100"/>
          <w:position w:val="0"/>
          <w:sz w:val="19"/>
          <w:szCs w:val="19"/>
        </w:rPr>
        <w:t>3% （</w:t>
      </w:r>
      <w:r>
        <w:rPr>
          <w:color w:val="000000"/>
          <w:spacing w:val="0"/>
          <w:w w:val="100"/>
          <w:position w:val="0"/>
        </w:rPr>
        <w:t>不包括人工操作失误碎片，硅片开包的破损）。年产能达 到</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要求（按每小时累计岀片</w:t>
      </w:r>
      <w:r>
        <w:rPr>
          <w:rFonts w:ascii="Times New Roman" w:hAnsi="Times New Roman" w:eastAsia="Times New Roman" w:cs="Times New Roman"/>
          <w:color w:val="000000"/>
          <w:spacing w:val="0"/>
          <w:w w:val="100"/>
          <w:position w:val="0"/>
          <w:sz w:val="19"/>
          <w:szCs w:val="19"/>
        </w:rPr>
        <w:t>2200</w:t>
      </w:r>
      <w:r>
        <w:rPr>
          <w:color w:val="000000"/>
          <w:spacing w:val="0"/>
          <w:w w:val="100"/>
          <w:position w:val="0"/>
        </w:rPr>
        <w:t>片计算达产即可）。产品外观质量达到</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所企 业标准或行业内大型企业标准。</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太阳能电池片生产线验收程序和基本要求见附 件五。乙方提供工艺培训教材并在乙方工艺线上免费为甲方培训工艺技术人员。</w:t>
      </w:r>
      <w:r>
        <w:rPr>
          <w:rFonts w:ascii="Times New Roman" w:hAnsi="Times New Roman" w:eastAsia="Times New Roman" w:cs="Times New Roman"/>
          <w:color w:val="000000"/>
          <w:spacing w:val="0"/>
          <w:w w:val="100"/>
          <w:position w:val="0"/>
          <w:sz w:val="19"/>
          <w:szCs w:val="19"/>
        </w:rPr>
        <w:t xml:space="preserve">2011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日，宏大公司（甲方）与红太阳公司（乙方）签订</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多晶硅太阳能电池片 生产线建设合同补充协议》，约定对于废气处理系统等</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项外围工作范围进行增补，共 计增加费用</w:t>
      </w:r>
      <w:r>
        <w:rPr>
          <w:rFonts w:ascii="Times New Roman" w:hAnsi="Times New Roman" w:eastAsia="Times New Roman" w:cs="Times New Roman"/>
          <w:color w:val="000000"/>
          <w:spacing w:val="0"/>
          <w:w w:val="100"/>
          <w:position w:val="0"/>
          <w:sz w:val="19"/>
          <w:szCs w:val="19"/>
        </w:rPr>
        <w:t>5, 088, 000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日宏大公司（甲方）与红太阳公司（乙方）签 订</w:t>
      </w:r>
      <w:r>
        <w:rPr>
          <w:rFonts w:ascii="Times New Roman" w:hAnsi="Times New Roman" w:eastAsia="Times New Roman" w:cs="Times New Roman"/>
          <w:color w:val="000000"/>
          <w:spacing w:val="0"/>
          <w:w w:val="100"/>
          <w:position w:val="0"/>
          <w:sz w:val="19"/>
          <w:szCs w:val="19"/>
          <w:lang w:val="en-US" w:eastAsia="en-US" w:bidi="en-US"/>
        </w:rPr>
        <w:t>（50MW</w:t>
      </w:r>
      <w:r>
        <w:rPr>
          <w:color w:val="000000"/>
          <w:spacing w:val="0"/>
          <w:w w:val="100"/>
          <w:position w:val="0"/>
        </w:rPr>
        <w:t xml:space="preserve">多晶硅太阳能电池片生产线建设空调变更补充协议》，决定由甲方自行釆购室 外螺杆式风冷热泵机组，因此将水冷螺杆式冷水机与闭式冷却塔的采购费用共计 </w:t>
      </w:r>
      <w:r>
        <w:rPr>
          <w:rFonts w:ascii="Times New Roman" w:hAnsi="Times New Roman" w:eastAsia="Times New Roman" w:cs="Times New Roman"/>
          <w:color w:val="000000"/>
          <w:spacing w:val="0"/>
          <w:w w:val="100"/>
          <w:position w:val="0"/>
          <w:sz w:val="19"/>
          <w:szCs w:val="19"/>
        </w:rPr>
        <w:t>1,458,000</w:t>
      </w:r>
      <w:r>
        <w:rPr>
          <w:color w:val="000000"/>
          <w:spacing w:val="0"/>
          <w:w w:val="100"/>
          <w:position w:val="0"/>
        </w:rPr>
        <w:t xml:space="preserve">元从合同或增补协议中扣除。二审法院认定本案属于买卖合同合同纠纷。宏 </w:t>
      </w:r>
    </w:p>
    <w:p w14:paraId="2AC8F172">
      <w:pPr>
        <w:pStyle w:val="17"/>
        <w:keepNext w:val="0"/>
        <w:keepLines w:val="0"/>
        <w:widowControl w:val="0"/>
        <w:shd w:val="clear" w:color="auto" w:fill="auto"/>
        <w:bidi w:val="0"/>
        <w:spacing w:before="0" w:after="360" w:line="338" w:lineRule="exact"/>
        <w:ind w:left="0" w:right="0" w:firstLine="0"/>
        <w:jc w:val="both"/>
      </w:pPr>
      <w:r>
        <w:rPr>
          <w:color w:val="000000"/>
          <w:spacing w:val="0"/>
          <w:w w:val="100"/>
          <w:position w:val="0"/>
        </w:rPr>
        <w:t>大公司不服该判决，以本案应认定为承揽合同纠纷、适用承揽合同的法律规定为由提起 再审。</w:t>
      </w:r>
    </w:p>
    <w:p w14:paraId="567B21B4">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裁判要旨</w:t>
      </w:r>
    </w:p>
    <w:p w14:paraId="294FF29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驳回再审请求。</w:t>
      </w:r>
    </w:p>
    <w:p w14:paraId="189A0236">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从《合同法》第</w:t>
      </w:r>
      <w:r>
        <w:rPr>
          <w:rFonts w:ascii="Times New Roman" w:hAnsi="Times New Roman" w:eastAsia="Times New Roman" w:cs="Times New Roman"/>
          <w:color w:val="000000"/>
          <w:spacing w:val="0"/>
          <w:w w:val="100"/>
          <w:position w:val="0"/>
          <w:sz w:val="19"/>
          <w:szCs w:val="19"/>
        </w:rPr>
        <w:t>130</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250</w:t>
      </w:r>
      <w:r>
        <w:rPr>
          <w:color w:val="000000"/>
          <w:spacing w:val="0"/>
          <w:w w:val="100"/>
          <w:position w:val="0"/>
        </w:rPr>
        <w:t>条之规定比较来看,买卖合同与加工承揽合同尤其是承 揽人提供原材料的定作合同有一定相似性，但是定作合同有其自身的特点:如《合同法》规 定定作人对承揽的工作有监督权、检查权,定作人有单方改变订作方案的权利,承揽方未经 许可不得留存技术材料和复制品等,法律赋予定作人诸多权利,其结果几乎使定作人达到 了控制整个加工过程的程度。从本案《建设合同书》对红太阳公司所提供的设备及主要技 术指标的特别约定来看，涉案生产线具有一定的定作性，但《建设合同书》约定了生产线的 设计、采购、安装等均由红太阳公司完成,合同目的是为宏大公司提供符合约定的生产线交 付宏大公司使用，宏大公司对生产线的设计、配置、采购、安装等过程不具有实际控制和监 督的权利，因此与承揽合同定作人对工作内容进行监督检查的特征不符。从《建设合同书》 的内容来看,合同约定了交货时间、技术指标，主要设备和辅助设备清单，售后服务、验收程 序等，更符合买卖合同的特征,原审法院认定本案为买卖合同纠纷，并无不当，本院予以维 持。</w:t>
      </w:r>
    </w:p>
    <w:p w14:paraId="6A5DAE59">
      <w:pPr>
        <w:pStyle w:val="11"/>
        <w:keepNext w:val="0"/>
        <w:keepLines w:val="0"/>
        <w:widowControl w:val="0"/>
        <w:shd w:val="clear" w:color="auto" w:fill="auto"/>
        <w:bidi w:val="0"/>
        <w:spacing w:before="0" w:after="240" w:line="342" w:lineRule="exact"/>
        <w:ind w:left="0" w:right="0" w:firstLine="0"/>
        <w:jc w:val="left"/>
      </w:pPr>
      <w:r>
        <w:rPr>
          <w:color w:val="000000"/>
          <w:spacing w:val="0"/>
          <w:w w:val="100"/>
          <w:position w:val="0"/>
        </w:rPr>
        <w:t>■评析</w:t>
      </w:r>
    </w:p>
    <w:p w14:paraId="4DB07E9D">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本裁定的思路和意义</w:t>
      </w:r>
    </w:p>
    <w:p w14:paraId="18EF2B42">
      <w:pPr>
        <w:pStyle w:val="17"/>
        <w:keepNext w:val="0"/>
        <w:keepLines w:val="0"/>
        <w:widowControl w:val="0"/>
        <w:shd w:val="clear" w:color="auto" w:fill="auto"/>
        <w:bidi w:val="0"/>
        <w:spacing w:before="0" w:after="300" w:line="333" w:lineRule="exact"/>
        <w:ind w:left="0" w:right="0" w:firstLine="420"/>
        <w:jc w:val="both"/>
      </w:pPr>
      <w:r>
        <w:rPr>
          <w:color w:val="000000"/>
          <w:spacing w:val="0"/>
          <w:w w:val="100"/>
          <w:position w:val="0"/>
        </w:rPr>
        <w:t>本案中，法院以</w:t>
      </w:r>
      <w:r>
        <w:rPr>
          <w:color w:val="000000"/>
          <w:spacing w:val="0"/>
          <w:w w:val="100"/>
          <w:position w:val="0"/>
          <w:lang w:val="zh-CN" w:eastAsia="zh-CN" w:bidi="zh-CN"/>
        </w:rPr>
        <w:t>“宏大</w:t>
      </w:r>
      <w:r>
        <w:rPr>
          <w:color w:val="000000"/>
          <w:spacing w:val="0"/>
          <w:w w:val="100"/>
          <w:position w:val="0"/>
        </w:rPr>
        <w:t>公司对生产线的设计、配置、采购、安装等过程不具有实际控制和 监督的权利</w:t>
      </w:r>
      <w:r>
        <w:rPr>
          <w:color w:val="000000"/>
          <w:spacing w:val="0"/>
          <w:w w:val="100"/>
          <w:position w:val="0"/>
          <w:lang w:val="zh-CN" w:eastAsia="zh-CN" w:bidi="zh-CN"/>
        </w:rPr>
        <w:t>”为由</w:t>
      </w:r>
      <w:r>
        <w:rPr>
          <w:color w:val="000000"/>
          <w:spacing w:val="0"/>
          <w:w w:val="100"/>
          <w:position w:val="0"/>
        </w:rPr>
        <w:t>，排除了《建设合同书》的承揽合同性质。同时，本案二审判决根据所涉合 同的主要目标在于设备所有权的移交,且合同价款主要由各项设备的价格组合而成之事 实，认定本案属于买卖合同纠纷。而本案属于典型地将混合合同当作单一合同对待，应适 用单一合同的法律规则。本案的裁判思路呈现对混合合同基本认知的缺失，司法裁判仍旧 是以单一给付为主，亟须对合同混合给付关系的厘清与法律适用规则的指导。</w:t>
      </w:r>
    </w:p>
    <w:p w14:paraId="6F565023">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混合合同法律适用的规范及学理</w:t>
      </w:r>
    </w:p>
    <w:p w14:paraId="5A74728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 xml:space="preserve">混合合同是指由数个典型（或非典型）契约的部分而构成的契约［王泽鉴:《债法原理》（第 </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140</w:t>
      </w:r>
      <w:r>
        <w:rPr>
          <w:color w:val="000000"/>
          <w:spacing w:val="0"/>
          <w:w w:val="100"/>
          <w:position w:val="0"/>
        </w:rPr>
        <w:t>页］。混合合同作为非典型合同的主要内容，也是未来 合同法发展的重要趋势,能够满足当事人的特殊需求，解决了当事人订立多个合同的问题, 大大节省了缔约成本。一是它结合了若干有名合同的功能和长处，能够弥补单个合同类型 规定的不足;二是混合合同能够容纳多个有名合同的内容，便利了当事人并且节省了交易 成本。如旅游合同涵盖了住宿、观光、运输等多项合同内容，能够满足缔约人的综合性需求。 可以说，混合合同是合同的非典型形态但可能是生活中的典型形态。尽管混合合同是由两 个或者多个合同中的典型给付混合而成,但并不能简单地适用各合同的规则，也不能简单 地适用某类合同的规则。</w:t>
      </w:r>
    </w:p>
    <w:p w14:paraId="0994562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关于混合合同的认定。合同的法律适用应以合同的性质认定为前提。首先，合同的本 质是一种约定给付关系,混合合同的本质在于给付的混合。合同是一种</w:t>
      </w:r>
      <w:r>
        <w:rPr>
          <w:color w:val="000000"/>
          <w:spacing w:val="0"/>
          <w:w w:val="100"/>
          <w:position w:val="0"/>
          <w:lang w:val="zh-CN" w:eastAsia="zh-CN" w:bidi="zh-CN"/>
        </w:rPr>
        <w:t>“共相</w:t>
      </w:r>
      <w:r>
        <w:rPr>
          <w:color w:val="000000"/>
          <w:spacing w:val="0"/>
          <w:w w:val="100"/>
          <w:position w:val="0"/>
        </w:rPr>
        <w:t>交易”，合同 履行之本质在于实现合同的约定给付,由此给付构成了合同的本质，其实也是债的本质（王 家福主编:《民法债权》，法律出版社</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256</w:t>
      </w:r>
      <w:r>
        <w:rPr>
          <w:color w:val="000000"/>
          <w:spacing w:val="0"/>
          <w:w w:val="100"/>
          <w:position w:val="0"/>
        </w:rPr>
        <w:t>页）。如学者所言，债就是债权人应当向债 务人请求给付（［德</w:t>
      </w:r>
      <w:r>
        <w:rPr>
          <w:color w:val="000000"/>
          <w:spacing w:val="0"/>
          <w:w w:val="100"/>
          <w:position w:val="0"/>
          <w:lang w:val="en-US" w:eastAsia="en-US" w:bidi="en-US"/>
        </w:rPr>
        <w:t>］</w:t>
      </w:r>
      <w:r>
        <w:rPr>
          <w:color w:val="000000"/>
          <w:spacing w:val="0"/>
          <w:w w:val="100"/>
          <w:position w:val="0"/>
        </w:rPr>
        <w:t>迪特尔-梅迪库斯:《德国债法分论》，杜景林、卢谟译，法律出版社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页）。所谓债权是</w:t>
      </w:r>
      <w:r>
        <w:rPr>
          <w:color w:val="000000"/>
          <w:spacing w:val="0"/>
          <w:w w:val="100"/>
          <w:position w:val="0"/>
          <w:lang w:val="zh-CN" w:eastAsia="zh-CN" w:bidi="zh-CN"/>
        </w:rPr>
        <w:t>“特</w:t>
      </w:r>
      <w:r>
        <w:rPr>
          <w:color w:val="000000"/>
          <w:spacing w:val="0"/>
          <w:w w:val="100"/>
          <w:position w:val="0"/>
        </w:rPr>
        <w:t>定人对于特定人得请求为特定给付之权利</w:t>
      </w:r>
      <w:r>
        <w:rPr>
          <w:color w:val="000000"/>
          <w:spacing w:val="0"/>
          <w:w w:val="100"/>
          <w:position w:val="0"/>
          <w:lang w:val="zh-CN" w:eastAsia="zh-CN" w:bidi="zh-CN"/>
        </w:rPr>
        <w:t>”，债</w:t>
      </w:r>
      <w:r>
        <w:rPr>
          <w:color w:val="000000"/>
          <w:spacing w:val="0"/>
          <w:w w:val="100"/>
          <w:position w:val="0"/>
        </w:rPr>
        <w:t>务是“特定人对于特 定人负为特定给付之义务</w:t>
      </w:r>
      <w:r>
        <w:rPr>
          <w:color w:val="000000"/>
          <w:spacing w:val="0"/>
          <w:w w:val="100"/>
          <w:position w:val="0"/>
          <w:lang w:val="zh-CN" w:eastAsia="zh-CN" w:bidi="zh-CN"/>
        </w:rPr>
        <w:t>”（黄</w:t>
      </w:r>
      <w:r>
        <w:rPr>
          <w:color w:val="000000"/>
          <w:spacing w:val="0"/>
          <w:w w:val="100"/>
          <w:position w:val="0"/>
        </w:rPr>
        <w:t>茂荣:《债之概念与债务契约》，厦门大学出版社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页）。 其次，给付是典型契约类型划分的标志，亦是契约类型的核心意义。而主给付义务是债之 关系（尤其是契约）上固有、必备的,并用以决定债之关系（契约）类型的基本义务。基于给 付在合同中的重要地位，立法者对有名契约的确认，正是根据主给付义务确定合同的类型 划分,而混合合同的本质正是给付的混合，构成混合合同的给付均为主给付关系。各项给 付义务之间形成相互依赖的关系，由此构成混合合同。因此,合同性质的判断应为法律适 用的前提，通过给付关系的确定判断合同为单一合同还是混合合同,再根据给付义务的关 系确定法律适用。</w:t>
      </w:r>
    </w:p>
    <w:p w14:paraId="6097423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关于混合合同的法律适用。《民法典》第</w:t>
      </w:r>
      <w:r>
        <w:rPr>
          <w:rFonts w:ascii="Times New Roman" w:hAnsi="Times New Roman" w:eastAsia="Times New Roman" w:cs="Times New Roman"/>
          <w:color w:val="000000"/>
          <w:spacing w:val="0"/>
          <w:w w:val="100"/>
          <w:position w:val="0"/>
          <w:sz w:val="19"/>
          <w:szCs w:val="19"/>
        </w:rPr>
        <w:t>467</w:t>
      </w:r>
      <w:r>
        <w:rPr>
          <w:color w:val="000000"/>
          <w:spacing w:val="0"/>
          <w:w w:val="100"/>
          <w:position w:val="0"/>
        </w:rPr>
        <w:t>条确立的类推适用规则有待商榷。混合 合同的法律适用应遵循</w:t>
      </w:r>
      <w:r>
        <w:rPr>
          <w:color w:val="000000"/>
          <w:spacing w:val="0"/>
          <w:w w:val="100"/>
          <w:position w:val="0"/>
          <w:lang w:val="zh-CN" w:eastAsia="zh-CN" w:bidi="zh-CN"/>
        </w:rPr>
        <w:t>“合同</w:t>
      </w:r>
      <w:r>
        <w:rPr>
          <w:color w:val="000000"/>
          <w:spacing w:val="0"/>
          <w:w w:val="100"/>
          <w:position w:val="0"/>
        </w:rPr>
        <w:t>解释优先原则</w:t>
      </w:r>
      <w:r>
        <w:rPr>
          <w:color w:val="000000"/>
          <w:spacing w:val="0"/>
          <w:w w:val="100"/>
          <w:position w:val="0"/>
          <w:lang w:val="zh-CN" w:eastAsia="zh-CN" w:bidi="zh-CN"/>
        </w:rPr>
        <w:t>”，即</w:t>
      </w:r>
      <w:r>
        <w:rPr>
          <w:color w:val="000000"/>
          <w:spacing w:val="0"/>
          <w:w w:val="100"/>
          <w:position w:val="0"/>
        </w:rPr>
        <w:t>合同解释优先于有名合同规则的适用和合 同漏洞的填补。混合合同本身含有复杂的给付义务关系，将混合合同当作单一合同适用单 一合同的法律或简单地拆分混合合同的给付义务并分别适用相应合同的规定，都有违混合 合同的整体性。混合契约中的各项给付构成有机的结合关系，整体大于部分之和，若忽略 各要素有意义的功能性结合，将使契约的法律适用见树不见林，无法实现契约目的。由此, 单纯的吸收主义、结合主义和类推适用主义均无法达到混合合同的法律适用目的。基于给 付义务是确定合同权利与义务的标准，混合合同的法律适用应当首先进行法律解释，即根 据双方当事人的约定确定给付关系的类型，以此确定其法律适用。混合合同的给付关系可 分为以下三类:其一，并列给付义务关系。如房屋中介介入的房屋买卖合同,实为房屋买卖 合同与居间合同的结合,属于混合合同，应该根据不同的法律关系，进行分别适用。换言之, 居间服务应该按照居间合同有关规则进行处理,而房屋买卖合同根据买卖合同的规则进行 分析。其二,主从给付义务关系。主从给付关系是指主合同权利构成与从权利义务构成的 合同属于不同的性质。合同的主权利义务明确,一方当事人尚附带负有其他种类的从给付 义务。此时应该按照主合同的权利与义务进行处理。根据主从关系原理，主合同的履行与 解除问题将决定从合同的履行与解除。或言之，如果当事人解除主合同，将会涉及从合同， 但从合同的解除并不涉及主合同。其三,附属给付义务关系。这也是学者所言的典型契约 附带其他种类的从给付，是原给付义务与衍生给付义务而产生的合同。原给付义务是既有 合同的权利与义务，而衍生给付义务是为履行原给付义务而产生的义务。缺乏原给付义 务，衍生给付义务即不存在。对于此类混合合同,原则上仅适用主要部分的合同规范，非主 要部分被主要部分吸收。</w:t>
      </w:r>
    </w:p>
    <w:p w14:paraId="0D9C2095">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综上所述,混合合同的法律适用应当遵循法律解释优先原则，厘清合同给付关系的类 型，从而确定法律适用规则。本案中，《建设合同书》属于承揽合同和买卖合同组成的混合 合同，给付内容包括设备所有权的移转以及太阳能生产线的承建，构成并列给付关系，应分 别适用买卖合同的规则和承揽合同的规则。宏大公司购买生产线的目的是实现生产，验收 的标准应当按照承揽合同的相关规定而非买卖合同之规定,法院径行根据买卖合同之规 定，以</w:t>
      </w:r>
      <w:r>
        <w:rPr>
          <w:color w:val="000000"/>
          <w:spacing w:val="0"/>
          <w:w w:val="100"/>
          <w:position w:val="0"/>
          <w:lang w:val="zh-CN" w:eastAsia="zh-CN" w:bidi="zh-CN"/>
        </w:rPr>
        <w:t>“应</w:t>
      </w:r>
      <w:r>
        <w:rPr>
          <w:color w:val="000000"/>
          <w:spacing w:val="0"/>
          <w:w w:val="100"/>
          <w:position w:val="0"/>
        </w:rPr>
        <w:t>在合理期限内进行验收并提出质量异议，否则视为验收通过”为由,得出</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6 </w:t>
      </w:r>
      <w:r>
        <w:rPr>
          <w:color w:val="000000"/>
          <w:spacing w:val="0"/>
          <w:w w:val="100"/>
          <w:position w:val="0"/>
        </w:rPr>
        <w:t>月生产线达到验收条件”视为验收合格作为合格的适用标准,欠缺合同目的的考虑。</w:t>
      </w:r>
    </w:p>
    <w:p w14:paraId="7290C9B1">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44F852D2">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混合合同不仅是理论研究的盲点，而且在司法实践中分歧也较大。法官各取有限理论 之所需，混合合同的法律适用呈现混乱局面，集中体现为三个方面的问题。</w:t>
      </w:r>
    </w:p>
    <w:p w14:paraId="4D92FD7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第一，不恰当扩大混合合同的范围。并非所有合同关系的混合形态均是混合合同，典 型契约的非典型形态亦应属于典型契约的涵盖范围，而非非典型契约。如在</w:t>
      </w:r>
      <w:r>
        <w:rPr>
          <w:color w:val="000000"/>
          <w:spacing w:val="0"/>
          <w:w w:val="100"/>
          <w:position w:val="0"/>
          <w:lang w:val="zh-CN" w:eastAsia="zh-CN" w:bidi="zh-CN"/>
        </w:rPr>
        <w:t>“上海</w:t>
      </w:r>
      <w:r>
        <w:rPr>
          <w:color w:val="000000"/>
          <w:spacing w:val="0"/>
          <w:w w:val="100"/>
          <w:position w:val="0"/>
        </w:rPr>
        <w:t>常年房 产经纪事务所诉文明益居间合同纠纷案</w:t>
      </w:r>
      <w:r>
        <w:rPr>
          <w:color w:val="000000"/>
          <w:spacing w:val="0"/>
          <w:w w:val="100"/>
          <w:position w:val="0"/>
          <w:lang w:val="zh-CN" w:eastAsia="zh-CN" w:bidi="zh-CN"/>
        </w:rPr>
        <w:t>”［上</w:t>
      </w:r>
      <w:r>
        <w:rPr>
          <w:color w:val="000000"/>
          <w:spacing w:val="0"/>
          <w:w w:val="100"/>
          <w:position w:val="0"/>
        </w:rPr>
        <w:t>海市第一中级人民法院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沪一中民二（民）终字 第</w:t>
      </w:r>
      <w:r>
        <w:rPr>
          <w:rFonts w:ascii="Times New Roman" w:hAnsi="Times New Roman" w:eastAsia="Times New Roman" w:cs="Times New Roman"/>
          <w:color w:val="000000"/>
          <w:spacing w:val="0"/>
          <w:w w:val="100"/>
          <w:position w:val="0"/>
          <w:sz w:val="17"/>
          <w:szCs w:val="17"/>
        </w:rPr>
        <w:t>1200</w:t>
      </w:r>
      <w:r>
        <w:rPr>
          <w:color w:val="000000"/>
          <w:spacing w:val="0"/>
          <w:w w:val="100"/>
          <w:position w:val="0"/>
        </w:rPr>
        <w:t>号民事判决书］中，一审法院认为,根据原《合同法》的规定，居间服务只是提供订立合 同的机会，但本案中，中介公司的居间涉及房地产买卖，包括如协助办理贷款手续、代办过 户手续、代办交房手续等其他服务项目，因此认为</w:t>
      </w:r>
      <w:r>
        <w:rPr>
          <w:color w:val="000000"/>
          <w:spacing w:val="0"/>
          <w:w w:val="100"/>
          <w:position w:val="0"/>
          <w:lang w:val="zh-CN" w:eastAsia="zh-CN" w:bidi="zh-CN"/>
        </w:rPr>
        <w:t>“中介</w:t>
      </w:r>
      <w:r>
        <w:rPr>
          <w:color w:val="000000"/>
          <w:spacing w:val="0"/>
          <w:w w:val="100"/>
          <w:position w:val="0"/>
        </w:rPr>
        <w:t>公司与委托人签订的居间合同除了 传统的居间服务外还包括其他服务项目，是一种混合合同”。实质上，本案所涉合同仍然为 居间合同</w:t>
      </w:r>
      <w:r>
        <w:rPr>
          <w:color w:val="000000"/>
          <w:spacing w:val="0"/>
          <w:w w:val="100"/>
          <w:position w:val="0"/>
          <w:lang w:val="zh-CN" w:eastAsia="zh-CN" w:bidi="zh-CN"/>
        </w:rPr>
        <w:t>，“协</w:t>
      </w:r>
      <w:r>
        <w:rPr>
          <w:color w:val="000000"/>
          <w:spacing w:val="0"/>
          <w:w w:val="100"/>
          <w:position w:val="0"/>
        </w:rPr>
        <w:t>助办理贷款手续、代办过户手续、代办交房手续等服务项目</w:t>
      </w:r>
      <w:r>
        <w:rPr>
          <w:color w:val="000000"/>
          <w:spacing w:val="0"/>
          <w:w w:val="100"/>
          <w:position w:val="0"/>
          <w:lang w:val="zh-CN" w:eastAsia="zh-CN" w:bidi="zh-CN"/>
        </w:rPr>
        <w:t>”只</w:t>
      </w:r>
      <w:r>
        <w:rPr>
          <w:color w:val="000000"/>
          <w:spacing w:val="0"/>
          <w:w w:val="100"/>
          <w:position w:val="0"/>
        </w:rPr>
        <w:t>是居间服务在 房地产交易这一特定领域的体现,属于房地产居间服务合同的主给付义务衍生的从给付义 务，不构成合同关系的复合性，因而该案中所涉合同仍旧属于居间合同，并非混合合同。</w:t>
      </w:r>
    </w:p>
    <w:p w14:paraId="24740734">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第二，将混合合同当作单一合同予以对待。实践中，混合合同经常被作为单一合同看 待，由此适用单一合同的法律。如在</w:t>
      </w:r>
      <w:r>
        <w:rPr>
          <w:color w:val="000000"/>
          <w:spacing w:val="0"/>
          <w:w w:val="100"/>
          <w:position w:val="0"/>
          <w:lang w:val="zh-CN" w:eastAsia="zh-CN" w:bidi="zh-CN"/>
        </w:rPr>
        <w:t>“海</w:t>
      </w:r>
      <w:r>
        <w:rPr>
          <w:color w:val="000000"/>
          <w:spacing w:val="0"/>
          <w:w w:val="100"/>
          <w:position w:val="0"/>
        </w:rPr>
        <w:t>南芳诚房地产开发有限公司与海南富士康房地产 投资开发有限公司合资、合作开发房地产合同纠纷案</w:t>
      </w:r>
      <w:r>
        <w:rPr>
          <w:color w:val="000000"/>
          <w:spacing w:val="0"/>
          <w:w w:val="100"/>
          <w:position w:val="0"/>
          <w:lang w:val="zh-CN" w:eastAsia="zh-CN" w:bidi="zh-CN"/>
        </w:rPr>
        <w:t>”［海</w:t>
      </w:r>
      <w:r>
        <w:rPr>
          <w:color w:val="000000"/>
          <w:spacing w:val="0"/>
          <w:w w:val="100"/>
          <w:position w:val="0"/>
        </w:rPr>
        <w:t>南省第一中级人民法院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海南一 中民一终字第</w:t>
      </w:r>
      <w:r>
        <w:rPr>
          <w:rFonts w:ascii="Times New Roman" w:hAnsi="Times New Roman" w:eastAsia="Times New Roman" w:cs="Times New Roman"/>
          <w:color w:val="000000"/>
          <w:spacing w:val="0"/>
          <w:w w:val="100"/>
          <w:position w:val="0"/>
          <w:sz w:val="17"/>
          <w:szCs w:val="17"/>
        </w:rPr>
        <w:t>689</w:t>
      </w:r>
      <w:r>
        <w:rPr>
          <w:color w:val="000000"/>
          <w:spacing w:val="0"/>
          <w:w w:val="100"/>
          <w:position w:val="0"/>
        </w:rPr>
        <w:t>号民事判决书，相同的判决参见“海口蔵名房地产营销策划有限公司诉海南正扬置 业有限公司委托合同纠纷案</w:t>
      </w:r>
      <w:r>
        <w:rPr>
          <w:color w:val="000000"/>
          <w:spacing w:val="0"/>
          <w:w w:val="100"/>
          <w:position w:val="0"/>
          <w:lang w:val="zh-CN" w:eastAsia="zh-CN" w:bidi="zh-CN"/>
        </w:rPr>
        <w:t>”，海</w:t>
      </w:r>
      <w:r>
        <w:rPr>
          <w:color w:val="000000"/>
          <w:spacing w:val="0"/>
          <w:w w:val="100"/>
          <w:position w:val="0"/>
        </w:rPr>
        <w:t>南省澄迈县人民法院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澄民初字第</w:t>
      </w:r>
      <w:r>
        <w:rPr>
          <w:rFonts w:ascii="Times New Roman" w:hAnsi="Times New Roman" w:eastAsia="Times New Roman" w:cs="Times New Roman"/>
          <w:color w:val="000000"/>
          <w:spacing w:val="0"/>
          <w:w w:val="100"/>
          <w:position w:val="0"/>
          <w:sz w:val="17"/>
          <w:szCs w:val="17"/>
        </w:rPr>
        <w:t>987</w:t>
      </w:r>
      <w:r>
        <w:rPr>
          <w:color w:val="000000"/>
          <w:spacing w:val="0"/>
          <w:w w:val="100"/>
          <w:position w:val="0"/>
        </w:rPr>
        <w:t>号民事判决书］中，一审 法院将商品房委托代理销售合同视为具有委托合同与买卖合同性质的居间合同，因</w:t>
      </w:r>
      <w:r>
        <w:rPr>
          <w:color w:val="000000"/>
          <w:spacing w:val="0"/>
          <w:w w:val="100"/>
          <w:position w:val="0"/>
          <w:lang w:val="zh-CN" w:eastAsia="zh-CN" w:bidi="zh-CN"/>
        </w:rPr>
        <w:t xml:space="preserve">“代理 </w:t>
      </w:r>
      <w:r>
        <w:rPr>
          <w:color w:val="000000"/>
          <w:spacing w:val="0"/>
          <w:w w:val="100"/>
          <w:position w:val="0"/>
        </w:rPr>
        <w:t>销售商品房的合同义务的一部分，属其必要附属内容</w:t>
      </w:r>
      <w:r>
        <w:rPr>
          <w:color w:val="000000"/>
          <w:spacing w:val="0"/>
          <w:w w:val="100"/>
          <w:position w:val="0"/>
          <w:lang w:val="zh-CN" w:eastAsia="zh-CN" w:bidi="zh-CN"/>
        </w:rPr>
        <w:t>”，从</w:t>
      </w:r>
      <w:r>
        <w:rPr>
          <w:color w:val="000000"/>
          <w:spacing w:val="0"/>
          <w:w w:val="100"/>
          <w:position w:val="0"/>
        </w:rPr>
        <w:t>而认为是单一的委托合同，适用 《合同法》第</w:t>
      </w:r>
      <w:r>
        <w:rPr>
          <w:rFonts w:ascii="Times New Roman" w:hAnsi="Times New Roman" w:eastAsia="Times New Roman" w:cs="Times New Roman"/>
          <w:color w:val="000000"/>
          <w:spacing w:val="0"/>
          <w:w w:val="100"/>
          <w:position w:val="0"/>
          <w:sz w:val="19"/>
          <w:szCs w:val="19"/>
        </w:rPr>
        <w:t>410</w:t>
      </w:r>
      <w:r>
        <w:rPr>
          <w:color w:val="000000"/>
          <w:spacing w:val="0"/>
          <w:w w:val="100"/>
          <w:position w:val="0"/>
        </w:rPr>
        <w:t>条关于委托人或者受托人可以随时解除委托合同的规定。</w:t>
      </w:r>
    </w:p>
    <w:p w14:paraId="31EF8305">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第三，忽视混合合同的整体性,片面理解混合合同的内容。混合合同的给付义务之间 构成有意义的联结，使混合合同本身具备整体性与有机性，而实践中经常割裂混合合同的 有机性。在“杨百根与郭鹿股东资格确认纠纷案</w:t>
      </w:r>
      <w:r>
        <w:rPr>
          <w:color w:val="000000"/>
          <w:spacing w:val="0"/>
          <w:w w:val="100"/>
          <w:position w:val="0"/>
          <w:lang w:val="zh-CN" w:eastAsia="zh-CN" w:bidi="zh-CN"/>
        </w:rPr>
        <w:t>”［浙</w:t>
      </w:r>
      <w:r>
        <w:rPr>
          <w:color w:val="000000"/>
          <w:spacing w:val="0"/>
          <w:w w:val="100"/>
          <w:position w:val="0"/>
        </w:rPr>
        <w:t>江省建德市人民法院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浙</w:t>
      </w:r>
      <w:r>
        <w:rPr>
          <w:rFonts w:ascii="Times New Roman" w:hAnsi="Times New Roman" w:eastAsia="Times New Roman" w:cs="Times New Roman"/>
          <w:color w:val="000000"/>
          <w:spacing w:val="0"/>
          <w:w w:val="100"/>
          <w:position w:val="0"/>
          <w:sz w:val="17"/>
          <w:szCs w:val="17"/>
        </w:rPr>
        <w:t>0182</w:t>
      </w:r>
      <w:r>
        <w:rPr>
          <w:color w:val="000000"/>
          <w:spacing w:val="0"/>
          <w:w w:val="100"/>
          <w:position w:val="0"/>
        </w:rPr>
        <w:t xml:space="preserve">民初 </w:t>
      </w:r>
      <w:r>
        <w:rPr>
          <w:rFonts w:ascii="Times New Roman" w:hAnsi="Times New Roman" w:eastAsia="Times New Roman" w:cs="Times New Roman"/>
          <w:color w:val="000000"/>
          <w:spacing w:val="0"/>
          <w:w w:val="100"/>
          <w:position w:val="0"/>
          <w:sz w:val="17"/>
          <w:szCs w:val="17"/>
        </w:rPr>
        <w:t>00085</w:t>
      </w:r>
      <w:r>
        <w:rPr>
          <w:color w:val="000000"/>
          <w:spacing w:val="0"/>
          <w:w w:val="100"/>
          <w:position w:val="0"/>
        </w:rPr>
        <w:t>号民事判决书］中,一审法院认为</w:t>
      </w:r>
      <w:r>
        <w:rPr>
          <w:color w:val="000000"/>
          <w:spacing w:val="0"/>
          <w:w w:val="100"/>
          <w:position w:val="0"/>
          <w:lang w:val="zh-CN" w:eastAsia="zh-CN" w:bidi="zh-CN"/>
        </w:rPr>
        <w:t>，“由</w:t>
      </w:r>
      <w:r>
        <w:rPr>
          <w:color w:val="000000"/>
          <w:spacing w:val="0"/>
          <w:w w:val="100"/>
          <w:position w:val="0"/>
        </w:rPr>
        <w:t>于本案是审理股东权纠纷，因此仅对《协议书》中 有关股份转让的内容进行审理</w:t>
      </w:r>
      <w:r>
        <w:rPr>
          <w:color w:val="000000"/>
          <w:spacing w:val="0"/>
          <w:w w:val="100"/>
          <w:position w:val="0"/>
          <w:lang w:val="zh-CN" w:eastAsia="zh-CN" w:bidi="zh-CN"/>
        </w:rPr>
        <w:t>”，忽</w:t>
      </w:r>
      <w:r>
        <w:rPr>
          <w:color w:val="000000"/>
          <w:spacing w:val="0"/>
          <w:w w:val="100"/>
          <w:position w:val="0"/>
        </w:rPr>
        <w:t>视了对案涉《协议书》中包括的职务聘任及经营指标等 内容的审理，割裂了股权转让协议书的混合有机性。</w:t>
      </w:r>
    </w:p>
    <w:p w14:paraId="7C8CD67D">
      <w:pPr>
        <w:pStyle w:val="17"/>
        <w:keepNext w:val="0"/>
        <w:keepLines w:val="0"/>
        <w:widowControl w:val="0"/>
        <w:shd w:val="clear" w:color="auto" w:fill="auto"/>
        <w:bidi w:val="0"/>
        <w:spacing w:before="0" w:after="140" w:line="339"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本裁定的参考意义及将来的课题</w:t>
      </w:r>
    </w:p>
    <w:p w14:paraId="43D2381C">
      <w:pPr>
        <w:pStyle w:val="17"/>
        <w:keepNext w:val="0"/>
        <w:keepLines w:val="0"/>
        <w:widowControl w:val="0"/>
        <w:shd w:val="clear" w:color="auto" w:fill="auto"/>
        <w:bidi w:val="0"/>
        <w:spacing w:before="0" w:after="360" w:line="339" w:lineRule="exact"/>
        <w:ind w:left="0" w:right="0"/>
        <w:jc w:val="both"/>
      </w:pPr>
      <w:r>
        <w:rPr>
          <w:color w:val="000000"/>
          <w:spacing w:val="0"/>
          <w:w w:val="100"/>
          <w:position w:val="0"/>
        </w:rPr>
        <w:t>本案实为承揽合同与买卖合同的混合合同，但一审、二审法院及再审，均将其认定为单 一合同，这反映出我国司法裁判普遍缺乏对混合合同的基本认知，仍遵循单一给付的审判 思路。混合合同的法律适用是由混合的给付关系决定的，单纯的吸收主义、结合主义和类 推适用主义都难以指导其法律适用。给付的混合决定混合合同最本质的特征在于整体性 与有机性,因此，其法律适用应遵循法律解释优先原则，首先确定给付关系的类型，方能避 免见树不见林的弊端。然而,混合合同系有名合同中规定其他合同事项的合同，有名合同 规则对于混合合同的参照适用意义仍然具有极大的探讨空间。</w:t>
      </w:r>
    </w:p>
    <w:p w14:paraId="08A2774A">
      <w:pPr>
        <w:pStyle w:val="11"/>
        <w:keepNext w:val="0"/>
        <w:keepLines w:val="0"/>
        <w:widowControl w:val="0"/>
        <w:shd w:val="clear" w:color="auto" w:fill="auto"/>
        <w:bidi w:val="0"/>
        <w:spacing w:before="0" w:after="40" w:line="339" w:lineRule="exact"/>
        <w:ind w:left="0" w:right="0" w:firstLine="0"/>
        <w:jc w:val="both"/>
      </w:pPr>
      <w:r>
        <w:rPr>
          <w:i/>
          <w:iCs/>
          <w:color w:val="000000"/>
          <w:spacing w:val="0"/>
          <w:w w:val="100"/>
          <w:position w:val="0"/>
        </w:rPr>
        <w:t>回</w:t>
      </w:r>
      <w:r>
        <w:rPr>
          <w:color w:val="000000"/>
          <w:spacing w:val="0"/>
          <w:w w:val="100"/>
          <w:position w:val="0"/>
        </w:rPr>
        <w:t>参考文献</w:t>
      </w:r>
    </w:p>
    <w:p w14:paraId="4405897E">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王泽鉴:《债法原理》（第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761D1285">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王家福主编：《民法债权》，法律出版社</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rPr>
        <w:t>年版。</w:t>
      </w:r>
    </w:p>
    <w:p w14:paraId="1036C3D3">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［德］迪特尔-梅迪库斯:《德国债法分论》，杜景林、卢谟译，法律出版社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56943E68">
      <w:pPr>
        <w:pStyle w:val="17"/>
        <w:keepNext w:val="0"/>
        <w:keepLines w:val="0"/>
        <w:widowControl w:val="0"/>
        <w:shd w:val="clear" w:color="auto" w:fill="auto"/>
        <w:bidi w:val="0"/>
        <w:spacing w:before="0" w:after="0" w:line="339" w:lineRule="exact"/>
        <w:ind w:left="0" w:right="0" w:firstLine="0"/>
        <w:jc w:val="left"/>
      </w:pPr>
      <w:r>
        <w:rPr>
          <w:color w:val="000000"/>
          <w:spacing w:val="0"/>
          <w:w w:val="100"/>
          <w:position w:val="0"/>
        </w:rPr>
        <w:t>黄茂荣:《债法通则：债之概念与债务契约》，厦门大学出版社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w:t>
      </w:r>
    </w:p>
    <w:p w14:paraId="6232405A">
      <w:pPr>
        <w:pStyle w:val="17"/>
        <w:keepNext w:val="0"/>
        <w:keepLines w:val="0"/>
        <w:widowControl w:val="0"/>
        <w:shd w:val="clear" w:color="auto" w:fill="auto"/>
        <w:bidi w:val="0"/>
        <w:spacing w:before="0" w:after="140" w:line="339" w:lineRule="exact"/>
        <w:ind w:left="0" w:right="0" w:firstLine="0"/>
        <w:jc w:val="left"/>
        <w:sectPr>
          <w:headerReference r:id="rId326" w:type="default"/>
          <w:headerReference r:id="rId327" w:type="even"/>
          <w:footnotePr>
            <w:numFmt w:val="chicago"/>
          </w:footnotePr>
          <w:pgSz w:w="10099" w:h="14782"/>
          <w:pgMar w:top="1264" w:right="996" w:bottom="1131" w:left="1110" w:header="0" w:footer="3" w:gutter="0"/>
          <w:pgNumType w:start="257"/>
          <w:cols w:space="720" w:num="1"/>
          <w:rtlGutter w:val="0"/>
          <w:docGrid w:linePitch="360" w:charSpace="0"/>
        </w:sectPr>
      </w:pPr>
      <w:r>
        <w:rPr>
          <w:color w:val="000000"/>
          <w:spacing w:val="0"/>
          <w:w w:val="100"/>
          <w:position w:val="0"/>
        </w:rPr>
        <w:t>史尚宽:《债法各论》，中国政法大学出版社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3D419B77">
      <w:pPr>
        <w:widowControl w:val="0"/>
        <w:spacing w:line="1" w:lineRule="exact"/>
      </w:pPr>
      <w:r>
        <w:drawing>
          <wp:anchor distT="0" distB="0" distL="114300" distR="2842260" simplePos="0" relativeHeight="251660288" behindDoc="0" locked="0" layoutInCell="1" allowOverlap="1">
            <wp:simplePos x="0" y="0"/>
            <wp:positionH relativeFrom="page">
              <wp:posOffset>666750</wp:posOffset>
            </wp:positionH>
            <wp:positionV relativeFrom="paragraph">
              <wp:posOffset>12700</wp:posOffset>
            </wp:positionV>
            <wp:extent cx="481330" cy="420370"/>
            <wp:effectExtent l="0" t="0" r="1270" b="11430"/>
            <wp:wrapTopAndBottom/>
            <wp:docPr id="747" name="Shape 747"/>
            <wp:cNvGraphicFramePr/>
            <a:graphic xmlns:a="http://schemas.openxmlformats.org/drawingml/2006/main">
              <a:graphicData uri="http://schemas.openxmlformats.org/drawingml/2006/picture">
                <pic:pic xmlns:pic="http://schemas.openxmlformats.org/drawingml/2006/picture">
                  <pic:nvPicPr>
                    <pic:cNvPr id="747" name="Shape 747"/>
                    <pic:cNvPicPr/>
                  </pic:nvPicPr>
                  <pic:blipFill>
                    <a:blip r:embed="rId659"/>
                    <a:stretch>
                      <a:fillRect/>
                    </a:stretch>
                  </pic:blipFill>
                  <pic:spPr>
                    <a:xfrm>
                      <a:off x="0" y="0"/>
                      <a:ext cx="481330" cy="420370"/>
                    </a:xfrm>
                    <a:prstGeom prst="rect">
                      <a:avLst/>
                    </a:prstGeom>
                  </pic:spPr>
                </pic:pic>
              </a:graphicData>
            </a:graphic>
          </wp:anchor>
        </w:drawing>
      </w:r>
      <w:r>
        <mc:AlternateContent>
          <mc:Choice Requires="wps">
            <w:drawing>
              <wp:anchor distT="129540" distB="33655" distL="723900" distR="114300" simplePos="0" relativeHeight="251660288" behindDoc="0" locked="0" layoutInCell="1" allowOverlap="1">
                <wp:simplePos x="0" y="0"/>
                <wp:positionH relativeFrom="page">
                  <wp:posOffset>1276350</wp:posOffset>
                </wp:positionH>
                <wp:positionV relativeFrom="paragraph">
                  <wp:posOffset>142240</wp:posOffset>
                </wp:positionV>
                <wp:extent cx="2597150" cy="254635"/>
                <wp:effectExtent l="0" t="0" r="0" b="0"/>
                <wp:wrapTopAndBottom/>
                <wp:docPr id="749" name="Shape 749"/>
                <wp:cNvGraphicFramePr/>
                <a:graphic xmlns:a="http://schemas.openxmlformats.org/drawingml/2006/main">
                  <a:graphicData uri="http://schemas.microsoft.com/office/word/2010/wordprocessingShape">
                    <wps:wsp>
                      <wps:cNvSpPr txBox="1"/>
                      <wps:spPr>
                        <a:xfrm>
                          <a:off x="0" y="0"/>
                          <a:ext cx="2597150" cy="254635"/>
                        </a:xfrm>
                        <a:prstGeom prst="rect">
                          <a:avLst/>
                        </a:prstGeom>
                        <a:noFill/>
                      </wps:spPr>
                      <wps:txbx>
                        <w:txbxContent>
                          <w:p w14:paraId="76230341">
                            <w:pPr>
                              <w:pStyle w:val="15"/>
                              <w:keepNext/>
                              <w:keepLines/>
                              <w:widowControl w:val="0"/>
                              <w:shd w:val="clear" w:color="auto" w:fill="auto"/>
                              <w:bidi w:val="0"/>
                              <w:spacing w:before="0" w:after="0" w:line="240" w:lineRule="auto"/>
                              <w:ind w:left="0" w:right="0" w:firstLine="0"/>
                              <w:jc w:val="left"/>
                            </w:pPr>
                            <w:bookmarkStart w:id="441" w:name="bookmark343"/>
                            <w:bookmarkStart w:id="442" w:name="bookmark342"/>
                            <w:bookmarkStart w:id="443" w:name="bookmark341"/>
                            <w:r>
                              <w:rPr>
                                <w:color w:val="000000"/>
                                <w:spacing w:val="0"/>
                                <w:w w:val="100"/>
                                <w:position w:val="0"/>
                              </w:rPr>
                              <w:t>合同联立的认定及其法律适用</w:t>
                            </w:r>
                            <w:bookmarkEnd w:id="441"/>
                            <w:bookmarkEnd w:id="442"/>
                            <w:bookmarkEnd w:id="443"/>
                          </w:p>
                        </w:txbxContent>
                      </wps:txbx>
                      <wps:bodyPr wrap="none" lIns="0" tIns="0" rIns="0" bIns="0">
                        <a:noAutofit/>
                      </wps:bodyPr>
                    </wps:wsp>
                  </a:graphicData>
                </a:graphic>
              </wp:anchor>
            </w:drawing>
          </mc:Choice>
          <mc:Fallback>
            <w:pict>
              <v:shape id="Shape 749" o:spid="_x0000_s1026" o:spt="202" type="#_x0000_t202" style="position:absolute;left:0pt;margin-left:100.5pt;margin-top:11.2pt;height:20.05pt;width:204.5pt;mso-position-horizontal-relative:page;mso-wrap-distance-bottom:2.65pt;mso-wrap-distance-top:10.2pt;mso-wrap-style:none;z-index:251660288;mso-width-relative:page;mso-height-relative:page;" filled="f" stroked="f" coordsize="21600,21600" o:gfxdata="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zEz2tUA&#10;AAAJAQAADwAAAAAAAAABACAAAAAiAAAAZHJzL2Rvd25yZXYueG1sUEsBAhQAFAAAAAgAh07iQNTr&#10;IJiwAQAAdAMAAA4AAAAAAAAAAQAgAAAAJAEAAGRycy9lMm9Eb2MueG1sUEsFBgAAAAAGAAYAWQEA&#10;AEYFAAAAAA==&#10;">
                <v:fill on="f" focussize="0,0"/>
                <v:stroke on="f"/>
                <v:imagedata o:title=""/>
                <o:lock v:ext="edit" aspectratio="f"/>
                <v:textbox inset="0mm,0mm,0mm,0mm">
                  <w:txbxContent>
                    <w:p w14:paraId="76230341">
                      <w:pPr>
                        <w:pStyle w:val="15"/>
                        <w:keepNext/>
                        <w:keepLines/>
                        <w:widowControl w:val="0"/>
                        <w:shd w:val="clear" w:color="auto" w:fill="auto"/>
                        <w:bidi w:val="0"/>
                        <w:spacing w:before="0" w:after="0" w:line="240" w:lineRule="auto"/>
                        <w:ind w:left="0" w:right="0" w:firstLine="0"/>
                        <w:jc w:val="left"/>
                      </w:pPr>
                      <w:bookmarkStart w:id="441" w:name="bookmark343"/>
                      <w:bookmarkStart w:id="442" w:name="bookmark342"/>
                      <w:bookmarkStart w:id="443" w:name="bookmark341"/>
                      <w:r>
                        <w:rPr>
                          <w:color w:val="000000"/>
                          <w:spacing w:val="0"/>
                          <w:w w:val="100"/>
                          <w:position w:val="0"/>
                        </w:rPr>
                        <w:t>合同联立的认定及其法律适用</w:t>
                      </w:r>
                      <w:bookmarkEnd w:id="441"/>
                      <w:bookmarkEnd w:id="442"/>
                      <w:bookmarkEnd w:id="44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5071110</wp:posOffset>
            </wp:positionH>
            <wp:positionV relativeFrom="paragraph">
              <wp:posOffset>274320</wp:posOffset>
            </wp:positionV>
            <wp:extent cx="542290" cy="542290"/>
            <wp:effectExtent l="0" t="0" r="3810" b="3810"/>
            <wp:wrapSquare wrapText="left"/>
            <wp:docPr id="751" name="Shape 751"/>
            <wp:cNvGraphicFramePr/>
            <a:graphic xmlns:a="http://schemas.openxmlformats.org/drawingml/2006/main">
              <a:graphicData uri="http://schemas.openxmlformats.org/drawingml/2006/picture">
                <pic:pic xmlns:pic="http://schemas.openxmlformats.org/drawingml/2006/picture">
                  <pic:nvPicPr>
                    <pic:cNvPr id="751" name="Shape 751"/>
                    <pic:cNvPicPr/>
                  </pic:nvPicPr>
                  <pic:blipFill>
                    <a:blip r:embed="rId660"/>
                    <a:stretch>
                      <a:fillRect/>
                    </a:stretch>
                  </pic:blipFill>
                  <pic:spPr>
                    <a:xfrm>
                      <a:off x="0" y="0"/>
                      <a:ext cx="542290" cy="542290"/>
                    </a:xfrm>
                    <a:prstGeom prst="rect">
                      <a:avLst/>
                    </a:prstGeom>
                  </pic:spPr>
                </pic:pic>
              </a:graphicData>
            </a:graphic>
          </wp:anchor>
        </w:drawing>
      </w:r>
    </w:p>
    <w:p w14:paraId="2282A4A0">
      <w:pPr>
        <w:pStyle w:val="17"/>
        <w:keepNext w:val="0"/>
        <w:keepLines w:val="0"/>
        <w:widowControl w:val="0"/>
        <w:shd w:val="clear" w:color="auto" w:fill="auto"/>
        <w:bidi w:val="0"/>
        <w:spacing w:before="0" w:after="0" w:line="324" w:lineRule="exact"/>
        <w:ind w:left="1020" w:right="0" w:firstLine="0"/>
        <w:jc w:val="left"/>
      </w:pPr>
      <w:r>
        <w:rPr>
          <w:color w:val="000000"/>
          <w:spacing w:val="0"/>
          <w:w w:val="100"/>
          <w:position w:val="0"/>
        </w:rPr>
        <w:t>牟定兄弟矿业有限责任公司、云南德胜钢铁有限公司民间借贷纠纷 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862</w:t>
      </w:r>
      <w:r>
        <w:rPr>
          <w:color w:val="000000"/>
          <w:spacing w:val="0"/>
          <w:w w:val="100"/>
          <w:position w:val="0"/>
        </w:rPr>
        <w:t>号民事裁定书</w:t>
      </w:r>
    </w:p>
    <w:p w14:paraId="57871480">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陆</w:t>
      </w:r>
      <w:r>
        <w:rPr>
          <w:color w:val="000000"/>
          <w:spacing w:val="0"/>
          <w:w w:val="100"/>
          <w:position w:val="0"/>
        </w:rPr>
        <w:t>青浙江大学光华法学院</w:t>
      </w:r>
    </w:p>
    <w:p w14:paraId="344AA97F">
      <w:pPr>
        <w:pStyle w:val="11"/>
        <w:keepNext w:val="0"/>
        <w:keepLines w:val="0"/>
        <w:widowControl w:val="0"/>
        <w:shd w:val="clear" w:color="auto" w:fill="auto"/>
        <w:bidi w:val="0"/>
        <w:spacing w:before="0" w:after="0" w:line="337" w:lineRule="exact"/>
        <w:ind w:left="0" w:right="0" w:firstLine="0"/>
        <w:jc w:val="left"/>
      </w:pPr>
      <w:r>
        <w:rPr>
          <w:color w:val="000000"/>
          <w:spacing w:val="0"/>
          <w:w w:val="100"/>
          <w:position w:val="0"/>
        </w:rPr>
        <w:t>■事实概要</w:t>
      </w:r>
    </w:p>
    <w:p w14:paraId="22755370">
      <w:pPr>
        <w:pStyle w:val="17"/>
        <w:keepNext w:val="0"/>
        <w:keepLines w:val="0"/>
        <w:widowControl w:val="0"/>
        <w:shd w:val="clear" w:color="auto" w:fill="auto"/>
        <w:bidi w:val="0"/>
        <w:spacing w:before="0" w:after="380" w:line="337" w:lineRule="exact"/>
        <w:ind w:left="0" w:right="0" w:firstLine="420"/>
        <w:jc w:val="both"/>
      </w:pPr>
      <w:r>
        <w:rPr>
          <w:color w:val="000000"/>
          <w:spacing w:val="0"/>
          <w:w w:val="100"/>
          <w:position w:val="0"/>
        </w:rPr>
        <w:t>云南德胜钢铁公司与牟定兄弟矿业公司签订《合作开发协议》，对合作项目情况、清产 核资、设立项目公司、价购资产、生产安排、销售原则等合作关系进行约定，同时第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 xml:space="preserve">条约定 </w:t>
      </w:r>
      <w:r>
        <w:rPr>
          <w:color w:val="000000"/>
          <w:spacing w:val="0"/>
          <w:w w:val="100"/>
          <w:position w:val="0"/>
          <w:lang w:val="zh-CN" w:eastAsia="zh-CN" w:bidi="zh-CN"/>
        </w:rPr>
        <w:t>“乙方</w:t>
      </w:r>
      <w:r>
        <w:rPr>
          <w:color w:val="000000"/>
          <w:spacing w:val="0"/>
          <w:w w:val="100"/>
          <w:position w:val="0"/>
        </w:rPr>
        <w:t>（兄弟矿业公司）因解决自身债务等原因急需大量资金,基于双方长期友好合作关系 考量，甲方（德胜钢铁公司）承诺为其协调落实借款资金来源,具体借款及担保事宜由相关 借款及担保主体按以下原则执行:借款金额</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万元，乙方以其所持有项目公司</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的股 权提供质押担保，四川攀枝花先力矿业有限责任公司提供连带责任保证担保，乙方的法定 代表人李云春以个人名义提供连带责任保证担保;借款期限三年，借款利率按中国人民银 行同期银行贷款利率计算，按月计息，按季付息;还款来源是乙方每年度在项目公司可能分 取的红利及乙方与担保人的其他还款来源</w:t>
      </w:r>
      <w:r>
        <w:rPr>
          <w:color w:val="000000"/>
          <w:spacing w:val="0"/>
          <w:w w:val="100"/>
          <w:position w:val="0"/>
          <w:lang w:val="zh-CN" w:eastAsia="zh-CN" w:bidi="zh-CN"/>
        </w:rPr>
        <w:t>。”之</w:t>
      </w:r>
      <w:r>
        <w:rPr>
          <w:color w:val="000000"/>
          <w:spacing w:val="0"/>
          <w:w w:val="100"/>
          <w:position w:val="0"/>
        </w:rPr>
        <w:t>后，双方签订《借款担保合同》,对《合作开发 协议》第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条约定的内容又作了约定和完善。</w:t>
      </w:r>
    </w:p>
    <w:p w14:paraId="450453E1">
      <w:pPr>
        <w:pStyle w:val="11"/>
        <w:keepNext w:val="0"/>
        <w:keepLines w:val="0"/>
        <w:widowControl w:val="0"/>
        <w:shd w:val="clear" w:color="auto" w:fill="auto"/>
        <w:bidi w:val="0"/>
        <w:spacing w:before="0" w:after="0" w:line="337" w:lineRule="exact"/>
        <w:ind w:left="0" w:right="0" w:firstLine="0"/>
        <w:jc w:val="left"/>
      </w:pPr>
      <w:r>
        <w:rPr>
          <w:color w:val="000000"/>
          <w:spacing w:val="0"/>
          <w:w w:val="100"/>
          <w:position w:val="0"/>
        </w:rPr>
        <w:t>■判决要旨</w:t>
      </w:r>
    </w:p>
    <w:p w14:paraId="0A8F6A01">
      <w:pPr>
        <w:pStyle w:val="17"/>
        <w:keepNext w:val="0"/>
        <w:keepLines w:val="0"/>
        <w:widowControl w:val="0"/>
        <w:shd w:val="clear" w:color="auto" w:fill="auto"/>
        <w:bidi w:val="0"/>
        <w:spacing w:before="0" w:after="380" w:line="340" w:lineRule="exact"/>
        <w:ind w:left="0" w:right="0" w:firstLine="420"/>
        <w:jc w:val="both"/>
      </w:pPr>
      <w:r>
        <w:rPr>
          <w:color w:val="000000"/>
          <w:spacing w:val="0"/>
          <w:w w:val="100"/>
          <w:position w:val="0"/>
        </w:rPr>
        <w:t>在交易活动中，当事人为满足复杂利益需要，往往以合同联立等方式订立合同，目的是 通过数个合同的结合实现整体交易功能,每个合同均能产生民事权利义务关系的变动又各 自独立，应分别适用不同的合同规范</w:t>
      </w:r>
    </w:p>
    <w:p w14:paraId="17D97A08">
      <w:pPr>
        <w:pStyle w:val="11"/>
        <w:keepNext w:val="0"/>
        <w:keepLines w:val="0"/>
        <w:widowControl w:val="0"/>
        <w:shd w:val="clear" w:color="auto" w:fill="auto"/>
        <w:bidi w:val="0"/>
        <w:spacing w:before="0" w:after="0" w:line="337" w:lineRule="exact"/>
        <w:ind w:left="0" w:right="0" w:firstLine="0"/>
        <w:jc w:val="left"/>
      </w:pPr>
      <w:r>
        <w:rPr>
          <w:color w:val="000000"/>
          <w:spacing w:val="0"/>
          <w:w w:val="100"/>
          <w:position w:val="0"/>
        </w:rPr>
        <w:t>■评析</w:t>
      </w:r>
    </w:p>
    <w:p w14:paraId="6E1198CA">
      <w:pPr>
        <w:pStyle w:val="17"/>
        <w:keepNext w:val="0"/>
        <w:keepLines w:val="0"/>
        <w:widowControl w:val="0"/>
        <w:shd w:val="clear" w:color="auto" w:fill="auto"/>
        <w:bidi w:val="0"/>
        <w:spacing w:before="0" w:after="0" w:line="337" w:lineRule="exact"/>
        <w:ind w:left="0" w:right="0" w:firstLine="0"/>
        <w:jc w:val="left"/>
      </w:pPr>
      <w:r>
        <w:rPr>
          <w:color w:val="000000"/>
          <w:spacing w:val="0"/>
          <w:w w:val="100"/>
          <w:position w:val="0"/>
        </w:rPr>
        <w:t>田本裁定的思路和意义</w:t>
      </w:r>
    </w:p>
    <w:p w14:paraId="51E44C99">
      <w:pPr>
        <w:pStyle w:val="17"/>
        <w:keepNext w:val="0"/>
        <w:keepLines w:val="0"/>
        <w:widowControl w:val="0"/>
        <w:shd w:val="clear" w:color="auto" w:fill="auto"/>
        <w:bidi w:val="0"/>
        <w:spacing w:before="0" w:after="280" w:line="338" w:lineRule="exact"/>
        <w:ind w:left="0" w:right="0" w:firstLine="420"/>
        <w:jc w:val="both"/>
        <w:sectPr>
          <w:headerReference r:id="rId328" w:type="default"/>
          <w:headerReference r:id="rId329" w:type="even"/>
          <w:footnotePr>
            <w:numFmt w:val="chicago"/>
          </w:footnotePr>
          <w:pgSz w:w="10099" w:h="14782"/>
          <w:pgMar w:top="1324" w:right="917" w:bottom="914" w:left="897" w:header="896" w:footer="486" w:gutter="0"/>
          <w:pgNumType w:start="277"/>
          <w:cols w:space="720" w:num="1"/>
          <w:rtlGutter w:val="0"/>
          <w:docGrid w:linePitch="360" w:charSpace="0"/>
        </w:sectPr>
      </w:pPr>
      <w:r>
        <w:rPr>
          <w:color w:val="000000"/>
          <w:spacing w:val="0"/>
          <w:w w:val="100"/>
          <w:position w:val="0"/>
        </w:rPr>
        <w:t>本案焦点在于案涉《借款担保合同》是独立存在的合同，还是《合作开发协议》履行内容 的一部分</w:t>
      </w:r>
      <w:r>
        <w:rPr>
          <w:color w:val="000000"/>
          <w:spacing w:val="0"/>
          <w:w w:val="100"/>
          <w:position w:val="0"/>
          <w:lang w:val="zh-CN" w:eastAsia="zh-CN" w:bidi="zh-CN"/>
        </w:rPr>
        <w:t>”最高</w:t>
      </w:r>
      <w:r>
        <w:rPr>
          <w:color w:val="000000"/>
          <w:spacing w:val="0"/>
          <w:w w:val="100"/>
          <w:position w:val="0"/>
        </w:rPr>
        <w:t>人民法院认为，双方签订《合作开发协议》实为合同联立，由合作合同和借 款合同结合形成</w:t>
      </w:r>
      <w:r>
        <w:rPr>
          <w:color w:val="000000"/>
          <w:spacing w:val="0"/>
          <w:w w:val="100"/>
          <w:position w:val="0"/>
          <w:lang w:val="zh-CN" w:eastAsia="zh-CN" w:bidi="zh-CN"/>
        </w:rPr>
        <w:t>”基于</w:t>
      </w:r>
      <w:r>
        <w:rPr>
          <w:color w:val="000000"/>
          <w:spacing w:val="0"/>
          <w:w w:val="100"/>
          <w:position w:val="0"/>
        </w:rPr>
        <w:t>有利实现合作开发的经济交易功能，两者被订立于一个合同文本， 却为两个互相独立的合同关系，各自产生不同的权利义务关系</w:t>
      </w:r>
      <w:r>
        <w:rPr>
          <w:color w:val="000000"/>
          <w:spacing w:val="0"/>
          <w:w w:val="100"/>
          <w:position w:val="0"/>
          <w:lang w:val="zh-CN" w:eastAsia="zh-CN" w:bidi="zh-CN"/>
        </w:rPr>
        <w:t>”另外</w:t>
      </w:r>
      <w:r>
        <w:rPr>
          <w:color w:val="000000"/>
          <w:spacing w:val="0"/>
          <w:w w:val="100"/>
          <w:position w:val="0"/>
        </w:rPr>
        <w:t>,《合作开发协议》第</w:t>
      </w:r>
      <w:r>
        <w:rPr>
          <w:rFonts w:ascii="Times New Roman" w:hAnsi="Times New Roman" w:eastAsia="Times New Roman" w:cs="Times New Roman"/>
          <w:color w:val="000000"/>
          <w:spacing w:val="0"/>
          <w:w w:val="100"/>
          <w:position w:val="0"/>
          <w:sz w:val="19"/>
          <w:szCs w:val="19"/>
        </w:rPr>
        <w:t xml:space="preserve">7 </w:t>
      </w:r>
      <w:r>
        <w:rPr>
          <w:color w:val="000000"/>
          <w:spacing w:val="0"/>
          <w:w w:val="100"/>
          <w:position w:val="0"/>
        </w:rPr>
        <w:t xml:space="preserve">条明确了借款目的是解决兄弟矿业公司自身债务等原因急需大量资金，而非用于双方合作 项目，德胜钢铁公司承诺为其协调落实借款资金来源，是基于双方长期友好合作关系，而非 </w:t>
      </w:r>
    </w:p>
    <w:p w14:paraId="1181E6C7">
      <w:pPr>
        <w:pStyle w:val="17"/>
        <w:keepNext w:val="0"/>
        <w:keepLines w:val="0"/>
        <w:widowControl w:val="0"/>
        <w:shd w:val="clear" w:color="auto" w:fill="auto"/>
        <w:bidi w:val="0"/>
        <w:spacing w:before="0" w:after="280" w:line="338" w:lineRule="exact"/>
        <w:ind w:left="0" w:right="0" w:firstLine="0"/>
        <w:jc w:val="both"/>
      </w:pPr>
      <w:r>
        <w:rPr>
          <w:color w:val="000000"/>
          <w:spacing w:val="0"/>
          <w:w w:val="100"/>
          <w:position w:val="0"/>
        </w:rPr>
        <w:t>履行合作义务分工。故《借款担保合同》独立存在，形成借款担保合同关系,不属于合作合 同履行内容的一部分。本案是实务界，特别是最高人民法院层面少有的引入合同联立概念 并确立法律适用规则的案例，对研究合同联立、复合型合同具有重要的实践指导意义。</w:t>
      </w:r>
    </w:p>
    <w:p w14:paraId="2BC5F2CC">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合同联立认定的规范及学理</w:t>
      </w:r>
    </w:p>
    <w:p w14:paraId="380B059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本案主要涉及合同联立关系认定及其法律适用问题。对于合同联立，《合同法》与《民 法典》中均未有专门规定。学理上，将非典型合同（无名合同）分为纯无名合同、混合合同和 合同联立三种类型（王泽鉴:《债法原理》，北京大学出版社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139</w:t>
      </w:r>
      <w:r>
        <w:rPr>
          <w:color w:val="000000"/>
          <w:spacing w:val="0"/>
          <w:w w:val="100"/>
          <w:position w:val="0"/>
        </w:rPr>
        <w:t>页）。所谓合同联立， 是指数个合同</w:t>
      </w:r>
      <w:r>
        <w:rPr>
          <w:color w:val="000000"/>
          <w:spacing w:val="0"/>
          <w:w w:val="100"/>
          <w:position w:val="0"/>
          <w:lang w:val="zh-CN" w:eastAsia="zh-CN" w:bidi="zh-CN"/>
        </w:rPr>
        <w:t>“不失</w:t>
      </w:r>
      <w:r>
        <w:rPr>
          <w:color w:val="000000"/>
          <w:spacing w:val="0"/>
          <w:w w:val="100"/>
          <w:position w:val="0"/>
        </w:rPr>
        <w:t>其个性，而相结合</w:t>
      </w:r>
      <w:r>
        <w:rPr>
          <w:color w:val="000000"/>
          <w:spacing w:val="0"/>
          <w:w w:val="100"/>
          <w:position w:val="0"/>
          <w:lang w:val="zh-CN" w:eastAsia="zh-CN" w:bidi="zh-CN"/>
        </w:rPr>
        <w:t>”（史</w:t>
      </w:r>
      <w:r>
        <w:rPr>
          <w:color w:val="000000"/>
          <w:spacing w:val="0"/>
          <w:w w:val="100"/>
          <w:position w:val="0"/>
        </w:rPr>
        <w:t>尚宽:《债法总论》，中国政法大学出版社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10~11</w:t>
      </w:r>
      <w:r>
        <w:rPr>
          <w:color w:val="000000"/>
          <w:spacing w:val="0"/>
          <w:w w:val="100"/>
          <w:position w:val="0"/>
        </w:rPr>
        <w:t>页）。依王泽鉴先生之见解，此结合包括两种情况,一是单纯外观的结合，即数个独立 的契约仅因缔结契约的行为（如订立一个书面）而结合，相互间不具依存关系;二是具有一 定依存关系的结合,即依当事人之意思，一个契约的效力依存于另一个契约的效力。单纯 外观的结合，并无法律适用上特殊的意义。因此，合同联立的规范意义在于数个合同相互 结合形成彼此依存关系，进而在法律效力层面产生互动的影响。须注意的是，关于无名合 同的法律适用，《民法典》第</w:t>
      </w:r>
      <w:r>
        <w:rPr>
          <w:rFonts w:ascii="Times New Roman" w:hAnsi="Times New Roman" w:eastAsia="Times New Roman" w:cs="Times New Roman"/>
          <w:color w:val="000000"/>
          <w:spacing w:val="0"/>
          <w:w w:val="100"/>
          <w:position w:val="0"/>
          <w:sz w:val="17"/>
          <w:szCs w:val="17"/>
        </w:rPr>
        <w:t>467</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款（对应《合同法》第</w:t>
      </w:r>
      <w:r>
        <w:rPr>
          <w:rFonts w:ascii="Times New Roman" w:hAnsi="Times New Roman" w:eastAsia="Times New Roman" w:cs="Times New Roman"/>
          <w:color w:val="000000"/>
          <w:spacing w:val="0"/>
          <w:w w:val="100"/>
          <w:position w:val="0"/>
          <w:sz w:val="17"/>
          <w:szCs w:val="17"/>
        </w:rPr>
        <w:t>124</w:t>
      </w:r>
      <w:r>
        <w:rPr>
          <w:color w:val="000000"/>
          <w:spacing w:val="0"/>
          <w:w w:val="100"/>
          <w:position w:val="0"/>
        </w:rPr>
        <w:t>条）规定:</w:t>
      </w:r>
      <w:r>
        <w:rPr>
          <w:color w:val="000000"/>
          <w:spacing w:val="0"/>
          <w:w w:val="100"/>
          <w:position w:val="0"/>
          <w:lang w:val="zh-CN" w:eastAsia="zh-CN" w:bidi="zh-CN"/>
        </w:rPr>
        <w:t>“本</w:t>
      </w:r>
      <w:r>
        <w:rPr>
          <w:color w:val="000000"/>
          <w:spacing w:val="0"/>
          <w:w w:val="100"/>
          <w:position w:val="0"/>
        </w:rPr>
        <w:t>法或者其他法 律没有明文规定的合同，适用本编通则的规定,并可以参照适用本编或者其他法律最相类 似合同的规定</w:t>
      </w:r>
      <w:r>
        <w:rPr>
          <w:color w:val="000000"/>
          <w:spacing w:val="0"/>
          <w:w w:val="100"/>
          <w:position w:val="0"/>
          <w:lang w:val="zh-CN" w:eastAsia="zh-CN" w:bidi="zh-CN"/>
        </w:rPr>
        <w:t>。”但</w:t>
      </w:r>
      <w:r>
        <w:rPr>
          <w:color w:val="000000"/>
          <w:spacing w:val="0"/>
          <w:w w:val="100"/>
          <w:position w:val="0"/>
        </w:rPr>
        <w:t>该条规则更多针对纯无名合同和混合合同，对合同联立的法律适用并无 太多规范指引意义。另外，涉及预约和本约、主从合同、租赁和转租等,虽然不同合同也有依 存关系，按各自有明确的法律适用规则,是否理解为合同联立，更多只有学理上的意义。</w:t>
      </w:r>
    </w:p>
    <w:p w14:paraId="27EA44E8">
      <w:pPr>
        <w:pStyle w:val="17"/>
        <w:keepNext w:val="0"/>
        <w:keepLines w:val="0"/>
        <w:widowControl w:val="0"/>
        <w:shd w:val="clear" w:color="auto" w:fill="auto"/>
        <w:bidi w:val="0"/>
        <w:spacing w:before="0" w:after="280" w:line="342" w:lineRule="exact"/>
        <w:ind w:left="0" w:right="0" w:firstLine="420"/>
        <w:jc w:val="both"/>
        <w:sectPr>
          <w:headerReference r:id="rId330" w:type="default"/>
          <w:headerReference r:id="rId331" w:type="even"/>
          <w:footnotePr>
            <w:numFmt w:val="chicago"/>
          </w:footnotePr>
          <w:pgSz w:w="10099" w:h="14782"/>
          <w:pgMar w:top="1324" w:right="917" w:bottom="914" w:left="897" w:header="0" w:footer="486" w:gutter="0"/>
          <w:pgNumType w:start="262"/>
          <w:cols w:space="720" w:num="1"/>
          <w:rtlGutter w:val="0"/>
          <w:docGrid w:linePitch="360" w:charSpace="0"/>
        </w:sectPr>
      </w:pPr>
      <w:r>
        <w:rPr>
          <w:color w:val="000000"/>
          <w:spacing w:val="0"/>
          <w:w w:val="100"/>
          <w:position w:val="0"/>
        </w:rPr>
        <w:t>合同联立涉及两个核心问题:合同联立的认定和法律后果。就前者，最重要的是如何 区分合同联立和混合合同。而区分两者的关键在于判断合同的个数。换言之，合同联立涉 及数个合同关系，而混合合同是一个合同，只不过具备一方的给付或者双方的给付是数个 典型合同的要素的结合。如何判断合同关系的数量？笔者认为，实质上就看合同所要“设 立、变更或终止民事权利义务关系</w:t>
      </w:r>
      <w:r>
        <w:rPr>
          <w:color w:val="000000"/>
          <w:spacing w:val="0"/>
          <w:w w:val="100"/>
          <w:position w:val="0"/>
          <w:lang w:val="zh-CN" w:eastAsia="zh-CN" w:bidi="zh-CN"/>
        </w:rPr>
        <w:t>”的</w:t>
      </w:r>
      <w:r>
        <w:rPr>
          <w:color w:val="000000"/>
          <w:spacing w:val="0"/>
          <w:w w:val="100"/>
          <w:position w:val="0"/>
        </w:rPr>
        <w:t>数量。因此需要深入分析合同关系的构成，即通过考 察合同主体、客体及内容三部分，确立其是否能形成一个独立的合同关系还是数个合同关 系。合同联立既然是数个合同关系，那么不同合同所形成的权利义务关系在法律上应该是 各自独立的，而其之所以相互依存,在于交易在经济上的整体性、一体性。因此，了解经济视 角下的交易一体性和法律视角下合同关系的一体性的差异，是判断两者的关键（陆青:《合同 联立问题研究》，载《政治与法律》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期）。就后者，王泽鉴先生认为</w:t>
      </w:r>
      <w:r>
        <w:rPr>
          <w:color w:val="000000"/>
          <w:spacing w:val="0"/>
          <w:w w:val="100"/>
          <w:position w:val="0"/>
          <w:lang w:val="zh-CN" w:eastAsia="zh-CN" w:bidi="zh-CN"/>
        </w:rPr>
        <w:t>，“其</w:t>
      </w:r>
      <w:r>
        <w:rPr>
          <w:color w:val="000000"/>
          <w:spacing w:val="0"/>
          <w:w w:val="100"/>
          <w:position w:val="0"/>
        </w:rPr>
        <w:t>个别契约是否 有效成立，虽应就各该契约加以判断，但设其中的一个契约不成立、无效、撤销或解除时，另 一个契约亦同其命运（王泽鉴:《债法原理》，北京大学出版社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139</w:t>
      </w:r>
      <w:r>
        <w:rPr>
          <w:color w:val="000000"/>
          <w:spacing w:val="0"/>
          <w:w w:val="100"/>
          <w:position w:val="0"/>
        </w:rPr>
        <w:t>页）。</w:t>
      </w:r>
      <w:r>
        <w:rPr>
          <w:color w:val="000000"/>
          <w:spacing w:val="0"/>
          <w:w w:val="100"/>
          <w:position w:val="0"/>
          <w:lang w:val="zh-CN" w:eastAsia="zh-CN" w:bidi="zh-CN"/>
        </w:rPr>
        <w:t>”也有</w:t>
      </w:r>
      <w:r>
        <w:rPr>
          <w:color w:val="000000"/>
          <w:spacing w:val="0"/>
          <w:w w:val="100"/>
          <w:position w:val="0"/>
        </w:rPr>
        <w:t>学者对 合同联立下的</w:t>
      </w:r>
      <w:r>
        <w:rPr>
          <w:color w:val="000000"/>
          <w:spacing w:val="0"/>
          <w:w w:val="100"/>
          <w:position w:val="0"/>
          <w:lang w:val="zh-CN" w:eastAsia="zh-CN" w:bidi="zh-CN"/>
        </w:rPr>
        <w:t>“抗辩</w:t>
      </w:r>
      <w:r>
        <w:rPr>
          <w:color w:val="000000"/>
          <w:spacing w:val="0"/>
          <w:w w:val="100"/>
          <w:position w:val="0"/>
        </w:rPr>
        <w:t>权延伸</w:t>
      </w:r>
      <w:r>
        <w:rPr>
          <w:color w:val="000000"/>
          <w:spacing w:val="0"/>
          <w:w w:val="100"/>
          <w:position w:val="0"/>
          <w:lang w:val="zh-CN" w:eastAsia="zh-CN" w:bidi="zh-CN"/>
        </w:rPr>
        <w:t>”问题</w:t>
      </w:r>
      <w:r>
        <w:rPr>
          <w:color w:val="000000"/>
          <w:spacing w:val="0"/>
          <w:w w:val="100"/>
          <w:position w:val="0"/>
        </w:rPr>
        <w:t>有过重点探讨（迟颖:《关联合同中产生于买卖合同的抗辩权对 贷款合同的适用性问题——从一则案例看德国消费信贷法抗辩权延伸制度》，载《法学论坛》</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期；刘怡：《论德国关联合同制度及其借鉴意义》，载《法律适用》</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 xml:space="preserve">期）。合同联立使多个 合同在法律效果上形成彼此影响的局面，对传统合同相对性原则产生冲击，因此在法律适 用上应该特别慎重（李建华、彭诚信：《论合同相对性原则在处理商品房买卖合同纠纷中的司法适 </w:t>
      </w:r>
    </w:p>
    <w:p w14:paraId="2A4439A9">
      <w:pPr>
        <w:pStyle w:val="17"/>
        <w:keepNext w:val="0"/>
        <w:keepLines w:val="0"/>
        <w:widowControl w:val="0"/>
        <w:shd w:val="clear" w:color="auto" w:fill="auto"/>
        <w:bidi w:val="0"/>
        <w:spacing w:before="0" w:after="280" w:line="342" w:lineRule="exact"/>
        <w:ind w:left="0" w:right="0" w:firstLine="0"/>
        <w:jc w:val="both"/>
      </w:pPr>
      <w:r>
        <w:rPr>
          <w:color w:val="000000"/>
          <w:spacing w:val="0"/>
          <w:w w:val="100"/>
          <w:position w:val="0"/>
        </w:rPr>
        <w:t>用——基于最高人民法院相关司法解释及其判决的评判和反思》，载《法律科学》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期）。笔 者认为，合同联立最大的规范意义在于数个合同之间形成法律上的依存关系，但这种依存 关系在效力上的表现，还是必须回到合同成立、无效、抗辩、解除等具体制度上加以判断。比 如，甲合同与乙合同构成合同联立，甲合同无效，乙合同究竟应该是无效还是解除等，依然 要围绕乙合同是否存在无效事由，乙合同目的能否实现等进行具体判断。认定是否属于合 同联立，更多是为了让人们关注合同交易的整体性,为法律解释适用提供分析工具。</w:t>
      </w:r>
    </w:p>
    <w:p w14:paraId="54AFC789">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3D888DB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合同联立为学理概念，并非现行法上的法律制度，因此早期司法实践鲜有提及。但从 实质层面看，不无判例对其进行分析。主要涉及两类交易，一是产权式商铺/酒店（商铺/酒 店买卖合同和回租合同相互结合），二是按揭（商品房买卖合同与担保贷款合同等相结合）。 关于前者，在</w:t>
      </w:r>
      <w:r>
        <w:rPr>
          <w:color w:val="000000"/>
          <w:spacing w:val="0"/>
          <w:w w:val="100"/>
          <w:position w:val="0"/>
          <w:lang w:val="zh-CN" w:eastAsia="zh-CN" w:bidi="zh-CN"/>
        </w:rPr>
        <w:t>“产权</w:t>
      </w:r>
      <w:r>
        <w:rPr>
          <w:color w:val="000000"/>
          <w:spacing w:val="0"/>
          <w:w w:val="100"/>
          <w:position w:val="0"/>
        </w:rPr>
        <w:t>式酒店第一案</w:t>
      </w:r>
      <w:r>
        <w:rPr>
          <w:color w:val="000000"/>
          <w:spacing w:val="0"/>
          <w:w w:val="100"/>
          <w:position w:val="0"/>
          <w:lang w:val="zh-CN" w:eastAsia="zh-CN" w:bidi="zh-CN"/>
        </w:rPr>
        <w:t>”即“费</w:t>
      </w:r>
      <w:r>
        <w:rPr>
          <w:color w:val="000000"/>
          <w:spacing w:val="0"/>
          <w:w w:val="100"/>
          <w:position w:val="0"/>
        </w:rPr>
        <w:t>红斌与海南铭泰香水湾旅游发展有限公司房屋买 卖合同纠纷案”，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海南民二终字第</w:t>
      </w:r>
      <w:r>
        <w:rPr>
          <w:rFonts w:ascii="Times New Roman" w:hAnsi="Times New Roman" w:eastAsia="Times New Roman" w:cs="Times New Roman"/>
          <w:color w:val="000000"/>
          <w:spacing w:val="0"/>
          <w:w w:val="100"/>
          <w:position w:val="0"/>
          <w:sz w:val="19"/>
          <w:szCs w:val="19"/>
        </w:rPr>
        <w:t>372</w:t>
      </w:r>
      <w:r>
        <w:rPr>
          <w:color w:val="000000"/>
          <w:spacing w:val="0"/>
          <w:w w:val="100"/>
          <w:position w:val="0"/>
        </w:rPr>
        <w:t>号民事判决书中，法官就认为，尽管存在两份 独立的合同，但此类“房屋买卖合同与租赁合同为一整体，互为依存，紧密联系。不同于一 般的商品房买卖合同”。基于产权式酒店房屋买卖合同的特殊性，合同双方约定房屋由买 方出租给卖方经营管理，因此</w:t>
      </w:r>
      <w:r>
        <w:rPr>
          <w:color w:val="000000"/>
          <w:spacing w:val="0"/>
          <w:w w:val="100"/>
          <w:position w:val="0"/>
          <w:lang w:val="zh-CN" w:eastAsia="zh-CN" w:bidi="zh-CN"/>
        </w:rPr>
        <w:t>“房</w:t>
      </w:r>
      <w:r>
        <w:rPr>
          <w:color w:val="000000"/>
          <w:spacing w:val="0"/>
          <w:w w:val="100"/>
          <w:position w:val="0"/>
        </w:rPr>
        <w:t>屋不需要实物交付。获得租金收益就视为享受利益，意味 着房屋已经交付”；关于按揭交易</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年最高人民法院公布《关于审理商品房买卖合同纠 纷案件适用法律若干问题的解释》（以下简称商品房买卖司法解释）第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条就商品房买 卖合同与担保贷款合同在合同效力上的相互影响进行了规定,对相关司法实践产生了深远 的影响。</w:t>
      </w:r>
    </w:p>
    <w:p w14:paraId="6E9A3F87">
      <w:pPr>
        <w:pStyle w:val="17"/>
        <w:keepNext w:val="0"/>
        <w:keepLines w:val="0"/>
        <w:widowControl w:val="0"/>
        <w:shd w:val="clear" w:color="auto" w:fill="auto"/>
        <w:bidi w:val="0"/>
        <w:spacing w:before="0" w:after="160" w:line="342" w:lineRule="exact"/>
        <w:ind w:left="0" w:right="0" w:firstLine="420"/>
        <w:jc w:val="both"/>
        <w:sectPr>
          <w:headerReference r:id="rId332" w:type="default"/>
          <w:headerReference r:id="rId333" w:type="even"/>
          <w:footnotePr>
            <w:numFmt w:val="chicago"/>
          </w:footnotePr>
          <w:pgSz w:w="10099" w:h="14782"/>
          <w:pgMar w:top="1324" w:right="917" w:bottom="914" w:left="897" w:header="0" w:footer="486" w:gutter="0"/>
          <w:pgNumType w:start="279"/>
          <w:cols w:space="720" w:num="1"/>
          <w:rtlGutter w:val="0"/>
          <w:docGrid w:linePitch="360" w:charSpace="0"/>
        </w:sectPr>
      </w:pPr>
      <w:r>
        <w:rPr>
          <w:color w:val="000000"/>
          <w:spacing w:val="0"/>
          <w:w w:val="100"/>
          <w:position w:val="0"/>
        </w:rPr>
        <w:t>近年来</w:t>
      </w:r>
      <w:r>
        <w:rPr>
          <w:color w:val="000000"/>
          <w:spacing w:val="0"/>
          <w:w w:val="100"/>
          <w:position w:val="0"/>
          <w:lang w:val="zh-CN" w:eastAsia="zh-CN" w:bidi="zh-CN"/>
        </w:rPr>
        <w:t>，“合</w:t>
      </w:r>
      <w:r>
        <w:rPr>
          <w:color w:val="000000"/>
          <w:spacing w:val="0"/>
          <w:w w:val="100"/>
          <w:position w:val="0"/>
        </w:rPr>
        <w:t>同联立</w:t>
      </w:r>
      <w:r>
        <w:rPr>
          <w:color w:val="000000"/>
          <w:spacing w:val="0"/>
          <w:w w:val="100"/>
          <w:position w:val="0"/>
          <w:lang w:val="zh-CN" w:eastAsia="zh-CN" w:bidi="zh-CN"/>
        </w:rPr>
        <w:t>”的</w:t>
      </w:r>
      <w:r>
        <w:rPr>
          <w:color w:val="000000"/>
          <w:spacing w:val="0"/>
          <w:w w:val="100"/>
          <w:position w:val="0"/>
        </w:rPr>
        <w:t>表述在法院判决中出现的频率突然升高（笔者以“合同联立</w:t>
      </w:r>
      <w:r>
        <w:rPr>
          <w:color w:val="000000"/>
          <w:spacing w:val="0"/>
          <w:w w:val="100"/>
          <w:position w:val="0"/>
          <w:lang w:val="zh-CN" w:eastAsia="zh-CN" w:bidi="zh-CN"/>
        </w:rPr>
        <w:t xml:space="preserve">”为关 </w:t>
      </w:r>
      <w:r>
        <w:rPr>
          <w:color w:val="000000"/>
          <w:spacing w:val="0"/>
          <w:w w:val="100"/>
          <w:position w:val="0"/>
        </w:rPr>
        <w:t>键词搜索</w:t>
      </w:r>
      <w:r>
        <w:rPr>
          <w:color w:val="000000"/>
          <w:spacing w:val="0"/>
          <w:w w:val="100"/>
          <w:position w:val="0"/>
          <w:lang w:val="zh-CN" w:eastAsia="zh-CN" w:bidi="zh-CN"/>
        </w:rPr>
        <w:t>“北大</w:t>
      </w:r>
      <w:r>
        <w:rPr>
          <w:color w:val="000000"/>
          <w:spacing w:val="0"/>
          <w:w w:val="100"/>
          <w:position w:val="0"/>
        </w:rPr>
        <w:t>法宝司法案例数据库</w:t>
      </w:r>
      <w:r>
        <w:rPr>
          <w:color w:val="000000"/>
          <w:spacing w:val="0"/>
          <w:w w:val="100"/>
          <w:position w:val="0"/>
          <w:lang w:val="zh-CN" w:eastAsia="zh-CN" w:bidi="zh-CN"/>
        </w:rPr>
        <w:t>”，得</w:t>
      </w:r>
      <w:r>
        <w:rPr>
          <w:color w:val="000000"/>
          <w:spacing w:val="0"/>
          <w:w w:val="100"/>
          <w:position w:val="0"/>
        </w:rPr>
        <w:t>出</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个判决，均为</w:t>
      </w:r>
      <w:r>
        <w:rPr>
          <w:rFonts w:ascii="Times New Roman" w:hAnsi="Times New Roman" w:eastAsia="Times New Roman" w:cs="Times New Roman"/>
          <w:color w:val="000000"/>
          <w:spacing w:val="0"/>
          <w:w w:val="100"/>
          <w:position w:val="0"/>
          <w:sz w:val="17"/>
          <w:szCs w:val="17"/>
        </w:rPr>
        <w:t>2017 ~2020</w:t>
      </w:r>
      <w:r>
        <w:rPr>
          <w:color w:val="000000"/>
          <w:spacing w:val="0"/>
          <w:w w:val="100"/>
          <w:position w:val="0"/>
        </w:rPr>
        <w:t>年）。这其中，最高人民法 院审理的案件有三个，除本文评析案例外，还有</w:t>
      </w:r>
      <w:r>
        <w:rPr>
          <w:color w:val="000000"/>
          <w:spacing w:val="0"/>
          <w:w w:val="100"/>
          <w:position w:val="0"/>
          <w:lang w:val="zh-CN" w:eastAsia="zh-CN" w:bidi="zh-CN"/>
        </w:rPr>
        <w:t>“黄</w:t>
      </w:r>
      <w:r>
        <w:rPr>
          <w:color w:val="000000"/>
          <w:spacing w:val="0"/>
          <w:w w:val="100"/>
          <w:position w:val="0"/>
        </w:rPr>
        <w:t>甫则、杨某合同纠纷案</w:t>
      </w:r>
      <w:r>
        <w:rPr>
          <w:color w:val="000000"/>
          <w:spacing w:val="0"/>
          <w:w w:val="100"/>
          <w:position w:val="0"/>
          <w:lang w:val="zh-CN" w:eastAsia="zh-CN" w:bidi="zh-CN"/>
        </w:rPr>
        <w:t>”，最</w:t>
      </w:r>
      <w:r>
        <w:rPr>
          <w:color w:val="000000"/>
          <w:spacing w:val="0"/>
          <w:w w:val="100"/>
          <w:position w:val="0"/>
        </w:rPr>
        <w:t xml:space="preserve">高人民法院 </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1511</w:t>
      </w:r>
      <w:r>
        <w:rPr>
          <w:color w:val="000000"/>
          <w:spacing w:val="0"/>
          <w:w w:val="100"/>
          <w:position w:val="0"/>
        </w:rPr>
        <w:t>号民事裁定书（以下简称黄甫则案）和</w:t>
      </w:r>
      <w:r>
        <w:rPr>
          <w:color w:val="000000"/>
          <w:spacing w:val="0"/>
          <w:w w:val="100"/>
          <w:position w:val="0"/>
          <w:lang w:val="zh-CN" w:eastAsia="zh-CN" w:bidi="zh-CN"/>
        </w:rPr>
        <w:t>“包头</w:t>
      </w:r>
      <w:r>
        <w:rPr>
          <w:color w:val="000000"/>
          <w:spacing w:val="0"/>
          <w:w w:val="100"/>
          <w:position w:val="0"/>
        </w:rPr>
        <w:t>市古城煤化有限责任 公司与陕西瑞中贸易有限公司等买卖合同纠纷再审案</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 xml:space="preserve">最高法民申 </w:t>
      </w:r>
      <w:r>
        <w:rPr>
          <w:rFonts w:ascii="Times New Roman" w:hAnsi="Times New Roman" w:eastAsia="Times New Roman" w:cs="Times New Roman"/>
          <w:color w:val="000000"/>
          <w:spacing w:val="0"/>
          <w:w w:val="100"/>
          <w:position w:val="0"/>
          <w:sz w:val="19"/>
          <w:szCs w:val="19"/>
        </w:rPr>
        <w:t>4325</w:t>
      </w:r>
      <w:r>
        <w:rPr>
          <w:color w:val="000000"/>
          <w:spacing w:val="0"/>
          <w:w w:val="100"/>
          <w:position w:val="0"/>
        </w:rPr>
        <w:t>号民事裁定书（以下简称古城煤化）。在黄甫则案中，涉及一份《林木采伐施工合同》 的性质判断。该合同约定,</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公司将其所有的某森林资源授权杨某进行釆伐施工;</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公司向 杨某借款</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万元，待林权证变更到</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公司名下</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个月内,</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公司以林权证作抵押向银行申 请贷款，返还给杨某，若还款时间超过</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个月，</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公司按</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的月利率每月向杨某支付</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万 元的利息。法院裁定认为</w:t>
      </w:r>
      <w:r>
        <w:rPr>
          <w:color w:val="000000"/>
          <w:spacing w:val="0"/>
          <w:w w:val="100"/>
          <w:position w:val="0"/>
          <w:lang w:val="zh-CN" w:eastAsia="zh-CN" w:bidi="zh-CN"/>
        </w:rPr>
        <w:t>，“从</w:t>
      </w:r>
      <w:r>
        <w:rPr>
          <w:color w:val="000000"/>
          <w:spacing w:val="0"/>
          <w:w w:val="100"/>
          <w:position w:val="0"/>
        </w:rPr>
        <w:t>约定内容分析，案涉《林木采伐施工合同》实为合同联立，由 承包合同和借款合同组成。就借款合同而言，借贷法律关系发生在自然人和法人之间，当 事人意思表示一致合同即成立并生效，且双方未特别约定支付金钱作为借款合同的成立要 件，故</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公司与杨某之间民间借贷合同成立并生效。黄甫则主张本案借款法律关系不存 在,未提出证据予以证明，理由不成立”；在古城煤化案中，瑞中公司与古城公司签订《煤炭 买卖合同》,双方约定瑞中公司向古城公司购买</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万吨沫煤。同日，古城公司与明润柏荣 公司签订《煤炭买卖合同》，约定古城公司向明润柏荣公司购买</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万吨沫煤。</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月， </w:t>
      </w:r>
    </w:p>
    <w:p w14:paraId="41CE175C">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rPr>
        <w:t>瑞中公司与明润柏荣公司签订《煤炭质量奖罚及违约金承担协议》，约定瑞中公司承诺根据 煤炭质量要求，将瑞中公司与神华销售集团有限公司签订合同的所有奖励交给明润柏荣公 司等条款。古城公司申请再审主张三方当事人实质设立的是</w:t>
      </w:r>
      <w:r>
        <w:rPr>
          <w:color w:val="000000"/>
          <w:spacing w:val="0"/>
          <w:w w:val="100"/>
          <w:position w:val="0"/>
          <w:lang w:val="zh-CN" w:eastAsia="zh-CN" w:bidi="zh-CN"/>
        </w:rPr>
        <w:t>“煤</w:t>
      </w:r>
      <w:r>
        <w:rPr>
          <w:color w:val="000000"/>
          <w:spacing w:val="0"/>
          <w:w w:val="100"/>
          <w:position w:val="0"/>
        </w:rPr>
        <w:t>炭买卖</w:t>
      </w:r>
      <w:r>
        <w:rPr>
          <w:color w:val="000000"/>
          <w:spacing w:val="0"/>
          <w:w w:val="100"/>
          <w:position w:val="0"/>
          <w:lang w:val="zh-CN" w:eastAsia="zh-CN" w:bidi="zh-CN"/>
        </w:rPr>
        <w:t>”与“提</w:t>
      </w:r>
      <w:r>
        <w:rPr>
          <w:color w:val="000000"/>
          <w:spacing w:val="0"/>
          <w:w w:val="100"/>
          <w:position w:val="0"/>
        </w:rPr>
        <w:t>供运力、票 据服务</w:t>
      </w:r>
      <w:r>
        <w:rPr>
          <w:color w:val="000000"/>
          <w:spacing w:val="0"/>
          <w:w w:val="100"/>
          <w:position w:val="0"/>
          <w:lang w:val="zh-CN" w:eastAsia="zh-CN" w:bidi="zh-CN"/>
        </w:rPr>
        <w:t>”联</w:t>
      </w:r>
      <w:r>
        <w:rPr>
          <w:color w:val="000000"/>
          <w:spacing w:val="0"/>
          <w:w w:val="100"/>
          <w:position w:val="0"/>
        </w:rPr>
        <w:t>立合同法律关系。</w:t>
      </w:r>
      <w:r>
        <w:rPr>
          <w:color w:val="000000"/>
          <w:spacing w:val="0"/>
          <w:w w:val="100"/>
          <w:position w:val="0"/>
          <w:lang w:val="zh-CN" w:eastAsia="zh-CN" w:bidi="zh-CN"/>
        </w:rPr>
        <w:t>“煤</w:t>
      </w:r>
      <w:r>
        <w:rPr>
          <w:color w:val="000000"/>
          <w:spacing w:val="0"/>
          <w:w w:val="100"/>
          <w:position w:val="0"/>
        </w:rPr>
        <w:t>炭买卖</w:t>
      </w:r>
      <w:r>
        <w:rPr>
          <w:color w:val="000000"/>
          <w:spacing w:val="0"/>
          <w:w w:val="100"/>
          <w:position w:val="0"/>
          <w:lang w:val="zh-CN" w:eastAsia="zh-CN" w:bidi="zh-CN"/>
        </w:rPr>
        <w:t>”法</w:t>
      </w:r>
      <w:r>
        <w:rPr>
          <w:color w:val="000000"/>
          <w:spacing w:val="0"/>
          <w:w w:val="100"/>
          <w:position w:val="0"/>
        </w:rPr>
        <w:t>律关系双方是瑞中公司与明润柏荣公司；</w:t>
      </w:r>
      <w:r>
        <w:rPr>
          <w:color w:val="000000"/>
          <w:spacing w:val="0"/>
          <w:w w:val="100"/>
          <w:position w:val="0"/>
          <w:lang w:val="zh-CN" w:eastAsia="zh-CN" w:bidi="zh-CN"/>
        </w:rPr>
        <w:t xml:space="preserve">“提供 </w:t>
      </w:r>
      <w:r>
        <w:rPr>
          <w:color w:val="000000"/>
          <w:spacing w:val="0"/>
          <w:w w:val="100"/>
          <w:position w:val="0"/>
        </w:rPr>
        <w:t>运力、票据服务</w:t>
      </w:r>
      <w:r>
        <w:rPr>
          <w:color w:val="000000"/>
          <w:spacing w:val="0"/>
          <w:w w:val="100"/>
          <w:position w:val="0"/>
          <w:lang w:val="zh-CN" w:eastAsia="zh-CN" w:bidi="zh-CN"/>
        </w:rPr>
        <w:t>”法</w:t>
      </w:r>
      <w:r>
        <w:rPr>
          <w:color w:val="000000"/>
          <w:spacing w:val="0"/>
          <w:w w:val="100"/>
          <w:position w:val="0"/>
        </w:rPr>
        <w:t>律关系是古城公司作为一方，瑞中公司、明润柏荣公司作为另外一方。 但法院裁定依然坚持了合同相对性原则,认定在瑞中公司与古城公司签订的合同中，瑞中 公司为煤炭买受方、古城公司为供货方，双方当事人应按照合同约定行使权利、履行义务, 间接否定了当事人关于合同联立的理解。除最高人民法院外,各地法院对合同联立问题也 有很多值得分析的审判经验，比如</w:t>
      </w:r>
      <w:r>
        <w:rPr>
          <w:color w:val="000000"/>
          <w:spacing w:val="0"/>
          <w:w w:val="100"/>
          <w:position w:val="0"/>
          <w:lang w:val="zh-CN" w:eastAsia="zh-CN" w:bidi="zh-CN"/>
        </w:rPr>
        <w:t>“陈</w:t>
      </w:r>
      <w:r>
        <w:rPr>
          <w:color w:val="000000"/>
          <w:spacing w:val="0"/>
          <w:w w:val="100"/>
          <w:position w:val="0"/>
        </w:rPr>
        <w:t>凤琼、钟申从房屋租赁合同纠纷案</w:t>
      </w:r>
      <w:r>
        <w:rPr>
          <w:color w:val="000000"/>
          <w:spacing w:val="0"/>
          <w:w w:val="100"/>
          <w:position w:val="0"/>
          <w:lang w:val="zh-CN" w:eastAsia="zh-CN" w:bidi="zh-CN"/>
        </w:rPr>
        <w:t>”，四</w:t>
      </w:r>
      <w:r>
        <w:rPr>
          <w:color w:val="000000"/>
          <w:spacing w:val="0"/>
          <w:w w:val="100"/>
          <w:position w:val="0"/>
        </w:rPr>
        <w:t>川省乐山市中 级人民法院（</w:t>
      </w:r>
      <w:r>
        <w:rPr>
          <w:rFonts w:ascii="Times New Roman" w:hAnsi="Times New Roman" w:eastAsia="Times New Roman" w:cs="Times New Roman"/>
          <w:color w:val="000000"/>
          <w:spacing w:val="0"/>
          <w:w w:val="100"/>
          <w:position w:val="0"/>
          <w:sz w:val="19"/>
          <w:szCs w:val="19"/>
        </w:rPr>
        <w:t>2020）</w:t>
      </w:r>
      <w:r>
        <w:rPr>
          <w:color w:val="000000"/>
          <w:spacing w:val="0"/>
          <w:w w:val="100"/>
          <w:position w:val="0"/>
        </w:rPr>
        <w:t>川</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312</w:t>
      </w:r>
      <w:r>
        <w:rPr>
          <w:color w:val="000000"/>
          <w:spacing w:val="0"/>
          <w:w w:val="100"/>
          <w:position w:val="0"/>
        </w:rPr>
        <w:t>号民事判决书中，法院明确界定了合同联立的定义</w:t>
      </w:r>
      <w:r>
        <w:rPr>
          <w:color w:val="000000"/>
          <w:spacing w:val="0"/>
          <w:w w:val="100"/>
          <w:position w:val="0"/>
          <w:lang w:val="zh-CN" w:eastAsia="zh-CN" w:bidi="zh-CN"/>
        </w:rPr>
        <w:t>（“所</w:t>
      </w:r>
      <w:r>
        <w:rPr>
          <w:color w:val="000000"/>
          <w:spacing w:val="0"/>
          <w:w w:val="100"/>
          <w:position w:val="0"/>
        </w:rPr>
        <w:t>谓 合同联立是指两个以上的独立合同紧密结合成为一个不可分割的整体，各合同服务于共同的交易目的； 一个合同在效力上的瑕疵可能影响另一个合同的效力，一个合同的变更、解除也可能影响另一个合同的 变更、解除”）。该案涉及产权式商铺委托经营下的合同联立问题。又如</w:t>
      </w:r>
      <w:r>
        <w:rPr>
          <w:color w:val="000000"/>
          <w:spacing w:val="0"/>
          <w:w w:val="100"/>
          <w:position w:val="0"/>
          <w:lang w:val="zh-CN" w:eastAsia="zh-CN" w:bidi="zh-CN"/>
        </w:rPr>
        <w:t>“陈孙</w:t>
      </w:r>
      <w:r>
        <w:rPr>
          <w:color w:val="000000"/>
          <w:spacing w:val="0"/>
          <w:w w:val="100"/>
          <w:position w:val="0"/>
        </w:rPr>
        <w:t>忠与金树春建 设工程施工合同纠纷上诉案</w:t>
      </w:r>
      <w:r>
        <w:rPr>
          <w:color w:val="000000"/>
          <w:spacing w:val="0"/>
          <w:w w:val="100"/>
          <w:position w:val="0"/>
          <w:lang w:val="zh-CN" w:eastAsia="zh-CN" w:bidi="zh-CN"/>
        </w:rPr>
        <w:t>”，浙</w:t>
      </w:r>
      <w:r>
        <w:rPr>
          <w:color w:val="000000"/>
          <w:spacing w:val="0"/>
          <w:w w:val="100"/>
          <w:position w:val="0"/>
        </w:rPr>
        <w:t>江省丽水市中级人民法院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浙</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1269</w:t>
      </w:r>
      <w:r>
        <w:rPr>
          <w:color w:val="000000"/>
          <w:spacing w:val="0"/>
          <w:w w:val="100"/>
          <w:position w:val="0"/>
        </w:rPr>
        <w:t>号民事 判决书强调合同联立与混合合同的差异等，均颇值研究，限于篇幅，不一一展开。</w:t>
      </w:r>
    </w:p>
    <w:p w14:paraId="5432C86C">
      <w:pPr>
        <w:pStyle w:val="17"/>
        <w:keepNext w:val="0"/>
        <w:keepLines w:val="0"/>
        <w:widowControl w:val="0"/>
        <w:shd w:val="clear" w:color="auto" w:fill="auto"/>
        <w:bidi w:val="0"/>
        <w:spacing w:before="0" w:after="160" w:line="338" w:lineRule="exact"/>
        <w:ind w:left="0" w:right="0" w:firstLine="300"/>
        <w:jc w:val="both"/>
      </w:pPr>
      <w:r>
        <w:rPr>
          <w:color w:val="000000"/>
          <w:spacing w:val="0"/>
          <w:w w:val="100"/>
          <w:position w:val="0"/>
        </w:rPr>
        <w:t>回本裁定的参考意义及将来的课题</w:t>
      </w:r>
    </w:p>
    <w:p w14:paraId="6D8BE9DB">
      <w:pPr>
        <w:pStyle w:val="17"/>
        <w:keepNext w:val="0"/>
        <w:keepLines w:val="0"/>
        <w:widowControl w:val="0"/>
        <w:shd w:val="clear" w:color="auto" w:fill="auto"/>
        <w:bidi w:val="0"/>
        <w:spacing w:before="0" w:after="360" w:line="341" w:lineRule="exact"/>
        <w:ind w:left="300" w:right="0"/>
        <w:jc w:val="both"/>
      </w:pPr>
      <w:r>
        <w:rPr>
          <w:color w:val="000000"/>
          <w:spacing w:val="0"/>
          <w:w w:val="100"/>
          <w:position w:val="0"/>
        </w:rPr>
        <w:t>本案中，最高人民法院明确肯定了合同联立的概念，并将其界定为一种特殊的合同订 立方式</w:t>
      </w:r>
      <w:r>
        <w:rPr>
          <w:color w:val="000000"/>
          <w:spacing w:val="0"/>
          <w:w w:val="100"/>
          <w:position w:val="0"/>
          <w:lang w:val="zh-CN" w:eastAsia="zh-CN" w:bidi="zh-CN"/>
        </w:rPr>
        <w:t>，“目</w:t>
      </w:r>
      <w:r>
        <w:rPr>
          <w:color w:val="000000"/>
          <w:spacing w:val="0"/>
          <w:w w:val="100"/>
          <w:position w:val="0"/>
        </w:rPr>
        <w:t>的是通过数个合同的结合实现整体交易功能”。这一界定，符合合同联立的本 质特征，颇值赞赏。从案涉事实来看，《合作开发协议》既涉及合作开发项目，还涉及当事人 为相对方“协调落实借款资金来源”。后者以及由此产生的借款合同显然与合作开发合同 关系相对独立，因此不能界定为混合合同。但必须说明的是，正如该裁定所言，合同联立认 定的重要因素在于</w:t>
      </w:r>
      <w:r>
        <w:rPr>
          <w:color w:val="000000"/>
          <w:spacing w:val="0"/>
          <w:w w:val="100"/>
          <w:position w:val="0"/>
          <w:lang w:val="zh-CN" w:eastAsia="zh-CN" w:bidi="zh-CN"/>
        </w:rPr>
        <w:t>“实</w:t>
      </w:r>
      <w:r>
        <w:rPr>
          <w:color w:val="000000"/>
          <w:spacing w:val="0"/>
          <w:w w:val="100"/>
          <w:position w:val="0"/>
        </w:rPr>
        <w:t>现整体交易功能”。在分析产权式商铺、按揭交易等合同联立现象 时,我们可以清晰地发现，促成产权式商铺、按揭等交易的数个合同之间，形成</w:t>
      </w:r>
      <w:r>
        <w:rPr>
          <w:color w:val="000000"/>
          <w:spacing w:val="0"/>
          <w:w w:val="100"/>
          <w:position w:val="0"/>
          <w:lang w:val="zh-CN" w:eastAsia="zh-CN" w:bidi="zh-CN"/>
        </w:rPr>
        <w:t>“缺</w:t>
      </w:r>
      <w:r>
        <w:rPr>
          <w:color w:val="000000"/>
          <w:spacing w:val="0"/>
          <w:w w:val="100"/>
          <w:position w:val="0"/>
        </w:rPr>
        <w:t>一不可”， 甚至</w:t>
      </w:r>
      <w:r>
        <w:rPr>
          <w:color w:val="000000"/>
          <w:spacing w:val="0"/>
          <w:w w:val="100"/>
          <w:position w:val="0"/>
          <w:lang w:val="zh-CN" w:eastAsia="zh-CN" w:bidi="zh-CN"/>
        </w:rPr>
        <w:t>“同</w:t>
      </w:r>
      <w:r>
        <w:rPr>
          <w:color w:val="000000"/>
          <w:spacing w:val="0"/>
          <w:w w:val="100"/>
          <w:position w:val="0"/>
        </w:rPr>
        <w:t>生共死</w:t>
      </w:r>
      <w:r>
        <w:rPr>
          <w:color w:val="000000"/>
          <w:spacing w:val="0"/>
          <w:w w:val="100"/>
          <w:position w:val="0"/>
          <w:lang w:val="zh-CN" w:eastAsia="zh-CN" w:bidi="zh-CN"/>
        </w:rPr>
        <w:t>”的</w:t>
      </w:r>
      <w:r>
        <w:rPr>
          <w:color w:val="000000"/>
          <w:spacing w:val="0"/>
          <w:w w:val="100"/>
          <w:position w:val="0"/>
        </w:rPr>
        <w:t>复杂依存关系。比如，单纯只有商铺买卖合同，或者单纯只有商铺租赁 合同，都无法形成产权式商铺这一经济上一体的交易方式。而本案中，除了案涉项目股权 会为相关借款提供质押担保外，合作开发合同和借款合同之间并无强烈的依存关系。因 此，本案是否属于合同联立，如何判断</w:t>
      </w:r>
      <w:r>
        <w:rPr>
          <w:color w:val="000000"/>
          <w:spacing w:val="0"/>
          <w:w w:val="100"/>
          <w:position w:val="0"/>
          <w:lang w:val="zh-CN" w:eastAsia="zh-CN" w:bidi="zh-CN"/>
        </w:rPr>
        <w:t>“实现</w:t>
      </w:r>
      <w:r>
        <w:rPr>
          <w:color w:val="000000"/>
          <w:spacing w:val="0"/>
          <w:w w:val="100"/>
          <w:position w:val="0"/>
        </w:rPr>
        <w:t>整体交易功能</w:t>
      </w:r>
      <w:r>
        <w:rPr>
          <w:color w:val="000000"/>
          <w:spacing w:val="0"/>
          <w:w w:val="100"/>
          <w:position w:val="0"/>
          <w:lang w:val="zh-CN" w:eastAsia="zh-CN" w:bidi="zh-CN"/>
        </w:rPr>
        <w:t>”，依</w:t>
      </w:r>
      <w:r>
        <w:rPr>
          <w:color w:val="000000"/>
          <w:spacing w:val="0"/>
          <w:w w:val="100"/>
          <w:position w:val="0"/>
        </w:rPr>
        <w:t>然有探讨的空间。另外，法 院虽然强调本案涉及合同联立,但其结论为“每个合同均能产生民事权利义务关系的变动 又各自独立，应分别适用不同的合同规范”。每个合同应分别适用不同的合同规范,那么， 认定其为合同联立的实践意义在哪里呢？对此,本案并未给出清晰的说明。</w:t>
      </w:r>
    </w:p>
    <w:p w14:paraId="055A9DD8">
      <w:pPr>
        <w:pStyle w:val="11"/>
        <w:keepNext w:val="0"/>
        <w:keepLines w:val="0"/>
        <w:widowControl w:val="0"/>
        <w:shd w:val="clear" w:color="auto" w:fill="auto"/>
        <w:bidi w:val="0"/>
        <w:spacing w:before="0" w:after="80" w:line="338" w:lineRule="exact"/>
        <w:ind w:left="0" w:right="0" w:firstLine="300"/>
        <w:jc w:val="both"/>
      </w:pPr>
      <w:r>
        <w:rPr>
          <w:color w:val="000000"/>
          <w:spacing w:val="0"/>
          <w:w w:val="100"/>
          <w:position w:val="0"/>
        </w:rPr>
        <w:t>回参考文献</w:t>
      </w:r>
    </w:p>
    <w:p w14:paraId="6C5DD01F">
      <w:pPr>
        <w:pStyle w:val="17"/>
        <w:keepNext w:val="0"/>
        <w:keepLines w:val="0"/>
        <w:widowControl w:val="0"/>
        <w:shd w:val="clear" w:color="auto" w:fill="auto"/>
        <w:bidi w:val="0"/>
        <w:spacing w:before="0" w:after="0" w:line="314" w:lineRule="exact"/>
        <w:ind w:left="0" w:right="0" w:firstLine="300"/>
        <w:jc w:val="both"/>
      </w:pPr>
      <w:r>
        <w:rPr>
          <w:color w:val="000000"/>
          <w:spacing w:val="0"/>
          <w:w w:val="100"/>
          <w:position w:val="0"/>
        </w:rPr>
        <w:t>史尚宽:《债法总论》，中国政法大学出版社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7E4CCF1D">
      <w:pPr>
        <w:pStyle w:val="17"/>
        <w:keepNext w:val="0"/>
        <w:keepLines w:val="0"/>
        <w:widowControl w:val="0"/>
        <w:shd w:val="clear" w:color="auto" w:fill="auto"/>
        <w:bidi w:val="0"/>
        <w:spacing w:before="0" w:after="160" w:line="314" w:lineRule="exact"/>
        <w:ind w:left="480" w:right="0" w:hanging="180"/>
        <w:jc w:val="both"/>
        <w:sectPr>
          <w:headerReference r:id="rId334" w:type="default"/>
          <w:headerReference r:id="rId335" w:type="even"/>
          <w:footnotePr>
            <w:numFmt w:val="chicago"/>
          </w:footnotePr>
          <w:pgSz w:w="10099" w:h="14782"/>
          <w:pgMar w:top="1324" w:right="917" w:bottom="914" w:left="897" w:header="0" w:footer="486" w:gutter="0"/>
          <w:pgNumType w:start="264"/>
          <w:cols w:space="720" w:num="1"/>
          <w:rtlGutter w:val="0"/>
          <w:docGrid w:linePitch="360" w:charSpace="0"/>
        </w:sectPr>
      </w:pPr>
      <w:r>
        <w:rPr>
          <w:color w:val="000000"/>
          <w:spacing w:val="0"/>
          <w:w w:val="100"/>
          <w:position w:val="0"/>
        </w:rPr>
        <w:t>迟颖:《关联合同中产生于买卖合同的抗辩权对贷款合同的适用性问题一从一则案例看德国消费信 贷法抗辩权延伸制度》，载《法学论坛》</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434BD6F7">
      <w:pPr>
        <w:pStyle w:val="17"/>
        <w:keepNext w:val="0"/>
        <w:keepLines w:val="0"/>
        <w:widowControl w:val="0"/>
        <w:shd w:val="clear" w:color="auto" w:fill="auto"/>
        <w:bidi w:val="0"/>
        <w:spacing w:before="0" w:after="100" w:line="626" w:lineRule="exact"/>
        <w:ind w:left="0" w:right="0" w:firstLine="5740"/>
        <w:jc w:val="both"/>
      </w:pPr>
      <w:r>
        <w:rPr>
          <w:color w:val="000000"/>
          <w:spacing w:val="0"/>
          <w:w w:val="100"/>
          <w:position w:val="0"/>
        </w:rPr>
        <w:t>合同联立的认定及其法律适用</w:t>
      </w:r>
      <w:r>
        <w:rPr>
          <w:rFonts w:ascii="Times New Roman" w:hAnsi="Times New Roman" w:eastAsia="Times New Roman" w:cs="Times New Roman"/>
          <w:color w:val="000000"/>
          <w:spacing w:val="0"/>
          <w:w w:val="100"/>
          <w:position w:val="0"/>
          <w:sz w:val="17"/>
          <w:szCs w:val="17"/>
          <w:lang w:val="zh-CN" w:eastAsia="zh-CN" w:bidi="zh-CN"/>
        </w:rPr>
        <w:t xml:space="preserve">| </w:t>
      </w:r>
      <w:r>
        <w:rPr>
          <w:rFonts w:ascii="Times New Roman" w:hAnsi="Times New Roman" w:eastAsia="Times New Roman" w:cs="Times New Roman"/>
          <w:color w:val="000000"/>
          <w:spacing w:val="0"/>
          <w:w w:val="100"/>
          <w:position w:val="0"/>
          <w:sz w:val="17"/>
          <w:szCs w:val="17"/>
        </w:rPr>
        <w:t xml:space="preserve">265 </w:t>
      </w:r>
      <w:r>
        <w:rPr>
          <w:color w:val="000000"/>
          <w:spacing w:val="0"/>
          <w:w w:val="100"/>
          <w:position w:val="0"/>
        </w:rPr>
        <w:t>刘怡：《论德国关联合同制度及其借鉴意义》，载《法律适用》</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48BC2CA1">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李建华、彭诚信:《论合同相对性原则在处理商品房买卖合同纠纷中的司法适用——基于最高人民法院</w:t>
      </w:r>
    </w:p>
    <w:p w14:paraId="395B87C1">
      <w:pPr>
        <w:pStyle w:val="17"/>
        <w:keepNext w:val="0"/>
        <w:keepLines w:val="0"/>
        <w:widowControl w:val="0"/>
        <w:shd w:val="clear" w:color="auto" w:fill="auto"/>
        <w:bidi w:val="0"/>
        <w:spacing w:before="0" w:after="100" w:line="240" w:lineRule="auto"/>
        <w:ind w:left="0" w:right="0" w:firstLine="180"/>
        <w:jc w:val="left"/>
      </w:pPr>
      <w:r>
        <w:rPr>
          <w:color w:val="000000"/>
          <w:spacing w:val="0"/>
          <w:w w:val="100"/>
          <w:position w:val="0"/>
        </w:rPr>
        <w:t>相关司法解释及其判决的评判和反思》，载《法律科学》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0CD7C674">
      <w:pPr>
        <w:pStyle w:val="17"/>
        <w:keepNext w:val="0"/>
        <w:keepLines w:val="0"/>
        <w:widowControl w:val="0"/>
        <w:shd w:val="clear" w:color="auto" w:fill="auto"/>
        <w:bidi w:val="0"/>
        <w:spacing w:before="0" w:after="100" w:line="240" w:lineRule="auto"/>
        <w:ind w:left="0" w:right="0" w:firstLine="0"/>
        <w:jc w:val="left"/>
      </w:pPr>
      <w:r>
        <w:rPr>
          <w:color w:val="000000"/>
          <w:spacing w:val="0"/>
          <w:w w:val="100"/>
          <w:position w:val="0"/>
        </w:rPr>
        <w:t>王泽鉴:《债法原理》，北京大学出版社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4102B7BE">
      <w:pPr>
        <w:pStyle w:val="17"/>
        <w:keepNext w:val="0"/>
        <w:keepLines w:val="0"/>
        <w:widowControl w:val="0"/>
        <w:shd w:val="clear" w:color="auto" w:fill="auto"/>
        <w:bidi w:val="0"/>
        <w:spacing w:before="0" w:after="100" w:line="240" w:lineRule="auto"/>
        <w:ind w:left="0" w:right="0" w:firstLine="0"/>
        <w:jc w:val="left"/>
        <w:sectPr>
          <w:headerReference r:id="rId336" w:type="default"/>
          <w:headerReference r:id="rId337" w:type="even"/>
          <w:footnotePr>
            <w:numFmt w:val="chicago"/>
          </w:footnotePr>
          <w:pgSz w:w="10099" w:h="14782"/>
          <w:pgMar w:top="490" w:right="958" w:bottom="490" w:left="857" w:header="62" w:footer="62" w:gutter="0"/>
          <w:pgNumType w:start="281"/>
          <w:cols w:space="720" w:num="1"/>
          <w:rtlGutter w:val="0"/>
          <w:docGrid w:linePitch="360" w:charSpace="0"/>
        </w:sectPr>
      </w:pPr>
      <w:r>
        <w:rPr>
          <w:color w:val="000000"/>
          <w:spacing w:val="0"/>
          <w:w w:val="100"/>
          <w:position w:val="0"/>
        </w:rPr>
        <w:t>陆青:《合同联立问题研究》，载《政治与法律》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0ECC4E2">
      <w:pPr>
        <w:widowControl w:val="0"/>
        <w:spacing w:line="77" w:lineRule="exact"/>
        <w:rPr>
          <w:sz w:val="6"/>
          <w:szCs w:val="6"/>
        </w:rPr>
      </w:pPr>
    </w:p>
    <w:p w14:paraId="5FBE19B3">
      <w:pPr>
        <w:widowControl w:val="0"/>
        <w:spacing w:line="1" w:lineRule="exact"/>
        <w:sectPr>
          <w:footnotePr>
            <w:numFmt w:val="chicago"/>
          </w:footnotePr>
          <w:pgSz w:w="10099" w:h="14782"/>
          <w:pgMar w:top="1303" w:right="995" w:bottom="1109" w:left="1107" w:header="0" w:footer="3" w:gutter="0"/>
          <w:cols w:space="720" w:num="1"/>
          <w:rtlGutter w:val="0"/>
          <w:docGrid w:linePitch="360" w:charSpace="0"/>
        </w:sectPr>
      </w:pPr>
    </w:p>
    <w:p w14:paraId="6907CD91">
      <w:pPr>
        <w:widowControl w:val="0"/>
        <w:spacing w:line="1" w:lineRule="exact"/>
      </w:pPr>
      <w:r>
        <mc:AlternateContent>
          <mc:Choice Requires="wps">
            <w:drawing>
              <wp:anchor distT="0" distB="18415" distL="0" distR="0" simplePos="0" relativeHeight="251660288" behindDoc="0" locked="0" layoutInCell="1" allowOverlap="1">
                <wp:simplePos x="0" y="0"/>
                <wp:positionH relativeFrom="page">
                  <wp:posOffset>760095</wp:posOffset>
                </wp:positionH>
                <wp:positionV relativeFrom="paragraph">
                  <wp:posOffset>0</wp:posOffset>
                </wp:positionV>
                <wp:extent cx="450850" cy="304800"/>
                <wp:effectExtent l="0" t="0" r="0" b="0"/>
                <wp:wrapTopAndBottom/>
                <wp:docPr id="765" name="Shape 765"/>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6AC8EE6B">
                            <w:pPr>
                              <w:pStyle w:val="27"/>
                              <w:keepNext/>
                              <w:keepLines/>
                              <w:widowControl w:val="0"/>
                              <w:shd w:val="clear" w:color="auto" w:fill="auto"/>
                              <w:bidi w:val="0"/>
                              <w:spacing w:before="0" w:after="0" w:line="240" w:lineRule="auto"/>
                              <w:ind w:left="0" w:right="0" w:firstLine="0"/>
                              <w:jc w:val="left"/>
                            </w:pPr>
                            <w:bookmarkStart w:id="444" w:name="bookmark344"/>
                            <w:bookmarkStart w:id="445" w:name="bookmark346"/>
                            <w:bookmarkStart w:id="446" w:name="bookmark345"/>
                            <w:r>
                              <w:rPr>
                                <w:rFonts w:ascii="Times New Roman" w:hAnsi="Times New Roman" w:eastAsia="Times New Roman" w:cs="Times New Roman"/>
                                <w:color w:val="000000"/>
                                <w:spacing w:val="0"/>
                                <w:w w:val="100"/>
                                <w:position w:val="0"/>
                              </w:rPr>
                              <w:t>054</w:t>
                            </w:r>
                            <w:bookmarkEnd w:id="444"/>
                            <w:bookmarkEnd w:id="445"/>
                            <w:bookmarkEnd w:id="446"/>
                          </w:p>
                        </w:txbxContent>
                      </wps:txbx>
                      <wps:bodyPr wrap="none" lIns="0" tIns="0" rIns="0" bIns="0">
                        <a:noAutofit/>
                      </wps:bodyPr>
                    </wps:wsp>
                  </a:graphicData>
                </a:graphic>
              </wp:anchor>
            </w:drawing>
          </mc:Choice>
          <mc:Fallback>
            <w:pict>
              <v:shape id="Shape 765" o:spid="_x0000_s1026" o:spt="202" type="#_x0000_t202" style="position:absolute;left:0pt;margin-left:59.85pt;margin-top:0pt;height:24pt;width:35.5pt;mso-position-horizontal-relative:page;mso-wrap-distance-bottom:1.45pt;mso-wrap-distance-top:0pt;mso-wrap-style:none;z-index:251660288;mso-width-relative:page;mso-height-relative:page;" filled="f" stroked="f" coordsize="21600,21600" o:gfxdata="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Drst3SAAAABwEA&#10;AA8AAAAAAAAAAQAgAAAAIgAAAGRycy9kb3ducmV2LnhtbFBLAQIUABQAAAAIAIdO4kACpBrargEA&#10;AHMDAAAOAAAAAAAAAAEAIAAAACEBAABkcnMvZTJvRG9jLnhtbFBLBQYAAAAABgAGAFkBAABBBQAA&#10;AAA=&#10;">
                <v:fill on="f" focussize="0,0"/>
                <v:stroke on="f"/>
                <v:imagedata o:title=""/>
                <o:lock v:ext="edit" aspectratio="f"/>
                <v:textbox inset="0mm,0mm,0mm,0mm">
                  <w:txbxContent>
                    <w:p w14:paraId="6AC8EE6B">
                      <w:pPr>
                        <w:pStyle w:val="27"/>
                        <w:keepNext/>
                        <w:keepLines/>
                        <w:widowControl w:val="0"/>
                        <w:shd w:val="clear" w:color="auto" w:fill="auto"/>
                        <w:bidi w:val="0"/>
                        <w:spacing w:before="0" w:after="0" w:line="240" w:lineRule="auto"/>
                        <w:ind w:left="0" w:right="0" w:firstLine="0"/>
                        <w:jc w:val="left"/>
                      </w:pPr>
                      <w:bookmarkStart w:id="444" w:name="bookmark344"/>
                      <w:bookmarkStart w:id="445" w:name="bookmark346"/>
                      <w:bookmarkStart w:id="446" w:name="bookmark345"/>
                      <w:r>
                        <w:rPr>
                          <w:rFonts w:ascii="Times New Roman" w:hAnsi="Times New Roman" w:eastAsia="Times New Roman" w:cs="Times New Roman"/>
                          <w:color w:val="000000"/>
                          <w:spacing w:val="0"/>
                          <w:w w:val="100"/>
                          <w:position w:val="0"/>
                        </w:rPr>
                        <w:t>054</w:t>
                      </w:r>
                      <w:bookmarkEnd w:id="444"/>
                      <w:bookmarkEnd w:id="445"/>
                      <w:bookmarkEnd w:id="446"/>
                    </w:p>
                  </w:txbxContent>
                </v:textbox>
                <w10:wrap type="topAndBottom"/>
              </v:shape>
            </w:pict>
          </mc:Fallback>
        </mc:AlternateContent>
      </w:r>
      <w:r>
        <mc:AlternateContent>
          <mc:Choice Requires="wps">
            <w:drawing>
              <wp:anchor distT="83820" distB="0" distL="0" distR="0" simplePos="0" relativeHeight="251660288" behindDoc="0" locked="0" layoutInCell="1" allowOverlap="1">
                <wp:simplePos x="0" y="0"/>
                <wp:positionH relativeFrom="page">
                  <wp:posOffset>1339215</wp:posOffset>
                </wp:positionH>
                <wp:positionV relativeFrom="paragraph">
                  <wp:posOffset>83820</wp:posOffset>
                </wp:positionV>
                <wp:extent cx="2025650" cy="239395"/>
                <wp:effectExtent l="0" t="0" r="0" b="0"/>
                <wp:wrapTopAndBottom/>
                <wp:docPr id="767" name="Shape 767"/>
                <wp:cNvGraphicFramePr/>
                <a:graphic xmlns:a="http://schemas.openxmlformats.org/drawingml/2006/main">
                  <a:graphicData uri="http://schemas.microsoft.com/office/word/2010/wordprocessingShape">
                    <wps:wsp>
                      <wps:cNvSpPr txBox="1"/>
                      <wps:spPr>
                        <a:xfrm>
                          <a:off x="0" y="0"/>
                          <a:ext cx="2025650" cy="239395"/>
                        </a:xfrm>
                        <a:prstGeom prst="rect">
                          <a:avLst/>
                        </a:prstGeom>
                        <a:noFill/>
                      </wps:spPr>
                      <wps:txbx>
                        <w:txbxContent>
                          <w:p w14:paraId="75A3AC89">
                            <w:pPr>
                              <w:pStyle w:val="15"/>
                              <w:keepNext/>
                              <w:keepLines/>
                              <w:widowControl w:val="0"/>
                              <w:shd w:val="clear" w:color="auto" w:fill="auto"/>
                              <w:bidi w:val="0"/>
                              <w:spacing w:before="0" w:after="0" w:line="240" w:lineRule="auto"/>
                              <w:ind w:left="0" w:right="0" w:firstLine="0"/>
                              <w:jc w:val="left"/>
                            </w:pPr>
                            <w:bookmarkStart w:id="447" w:name="bookmark347"/>
                            <w:bookmarkStart w:id="448" w:name="bookmark349"/>
                            <w:bookmarkStart w:id="449" w:name="bookmark348"/>
                            <w:r>
                              <w:rPr>
                                <w:color w:val="000000"/>
                                <w:spacing w:val="0"/>
                                <w:w w:val="100"/>
                                <w:position w:val="0"/>
                              </w:rPr>
                              <w:t>预约的认定及违约责任</w:t>
                            </w:r>
                            <w:bookmarkEnd w:id="447"/>
                            <w:bookmarkEnd w:id="448"/>
                            <w:bookmarkEnd w:id="449"/>
                          </w:p>
                        </w:txbxContent>
                      </wps:txbx>
                      <wps:bodyPr wrap="none" lIns="0" tIns="0" rIns="0" bIns="0">
                        <a:noAutofit/>
                      </wps:bodyPr>
                    </wps:wsp>
                  </a:graphicData>
                </a:graphic>
              </wp:anchor>
            </w:drawing>
          </mc:Choice>
          <mc:Fallback>
            <w:pict>
              <v:shape id="Shape 767" o:spid="_x0000_s1026" o:spt="202" type="#_x0000_t202" style="position:absolute;left:0pt;margin-left:105.45pt;margin-top:6.6pt;height:18.85pt;width:159.5pt;mso-position-horizontal-relative:page;mso-wrap-distance-bottom:0pt;mso-wrap-distance-top:6.6pt;mso-wrap-style:none;z-index:251660288;mso-width-relative:page;mso-height-relative:page;" filled="f" stroked="f" coordsize="21600,21600" o:gfxdata="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t7Qiy1QAA&#10;AAkBAAAPAAAAAAAAAAEAIAAAACIAAABkcnMvZG93bnJldi54bWxQSwECFAAUAAAACACHTuJAcpIx&#10;Zq8BAAB0AwAADgAAAAAAAAABACAAAAAkAQAAZHJzL2Uyb0RvYy54bWxQSwUGAAAAAAYABgBZAQAA&#10;RQUAAAAA&#10;">
                <v:fill on="f" focussize="0,0"/>
                <v:stroke on="f"/>
                <v:imagedata o:title=""/>
                <o:lock v:ext="edit" aspectratio="f"/>
                <v:textbox inset="0mm,0mm,0mm,0mm">
                  <w:txbxContent>
                    <w:p w14:paraId="75A3AC89">
                      <w:pPr>
                        <w:pStyle w:val="15"/>
                        <w:keepNext/>
                        <w:keepLines/>
                        <w:widowControl w:val="0"/>
                        <w:shd w:val="clear" w:color="auto" w:fill="auto"/>
                        <w:bidi w:val="0"/>
                        <w:spacing w:before="0" w:after="0" w:line="240" w:lineRule="auto"/>
                        <w:ind w:left="0" w:right="0" w:firstLine="0"/>
                        <w:jc w:val="left"/>
                      </w:pPr>
                      <w:bookmarkStart w:id="447" w:name="bookmark347"/>
                      <w:bookmarkStart w:id="448" w:name="bookmark349"/>
                      <w:bookmarkStart w:id="449" w:name="bookmark348"/>
                      <w:r>
                        <w:rPr>
                          <w:color w:val="000000"/>
                          <w:spacing w:val="0"/>
                          <w:w w:val="100"/>
                          <w:position w:val="0"/>
                        </w:rPr>
                        <w:t>预约的认定及违约责任</w:t>
                      </w:r>
                      <w:bookmarkEnd w:id="447"/>
                      <w:bookmarkEnd w:id="448"/>
                      <w:bookmarkEnd w:id="449"/>
                    </w:p>
                  </w:txbxContent>
                </v:textbox>
                <w10:wrap type="topAndBottom"/>
              </v:shape>
            </w:pict>
          </mc:Fallback>
        </mc:AlternateContent>
      </w:r>
    </w:p>
    <w:p w14:paraId="7965986B">
      <w:pPr>
        <w:pStyle w:val="17"/>
        <w:keepNext w:val="0"/>
        <w:keepLines w:val="0"/>
        <w:widowControl w:val="0"/>
        <w:shd w:val="clear" w:color="auto" w:fill="auto"/>
        <w:bidi w:val="0"/>
        <w:spacing w:before="0" w:after="420" w:line="328" w:lineRule="exact"/>
        <w:ind w:left="1000" w:right="0" w:firstLine="0"/>
        <w:jc w:val="both"/>
      </w:pPr>
      <w:r>
        <w:drawing>
          <wp:anchor distT="0" distB="0" distL="114300" distR="114300" simplePos="0" relativeHeight="251660288" behindDoc="0" locked="0" layoutInCell="1" allowOverlap="1">
            <wp:simplePos x="0" y="0"/>
            <wp:positionH relativeFrom="page">
              <wp:posOffset>5130800</wp:posOffset>
            </wp:positionH>
            <wp:positionV relativeFrom="paragraph">
              <wp:posOffset>50800</wp:posOffset>
            </wp:positionV>
            <wp:extent cx="615950" cy="615950"/>
            <wp:effectExtent l="0" t="0" r="6350" b="6350"/>
            <wp:wrapSquare wrapText="left"/>
            <wp:docPr id="769" name="Shape 769"/>
            <wp:cNvGraphicFramePr/>
            <a:graphic xmlns:a="http://schemas.openxmlformats.org/drawingml/2006/main">
              <a:graphicData uri="http://schemas.openxmlformats.org/drawingml/2006/picture">
                <pic:pic xmlns:pic="http://schemas.openxmlformats.org/drawingml/2006/picture">
                  <pic:nvPicPr>
                    <pic:cNvPr id="769" name="Shape 769"/>
                    <pic:cNvPicPr/>
                  </pic:nvPicPr>
                  <pic:blipFill>
                    <a:blip r:embed="rId661"/>
                    <a:stretch>
                      <a:fillRect/>
                    </a:stretch>
                  </pic:blipFill>
                  <pic:spPr>
                    <a:xfrm>
                      <a:off x="0" y="0"/>
                      <a:ext cx="615950" cy="615950"/>
                    </a:xfrm>
                    <a:prstGeom prst="rect">
                      <a:avLst/>
                    </a:prstGeom>
                  </pic:spPr>
                </pic:pic>
              </a:graphicData>
            </a:graphic>
          </wp:anchor>
        </w:drawing>
      </w:r>
      <w:r>
        <w:rPr>
          <w:color w:val="000000"/>
          <w:spacing w:val="0"/>
          <w:w w:val="100"/>
          <w:position w:val="0"/>
        </w:rPr>
        <w:t>成都讯捷通讯连锁有限公司与四川蜀都实业有限责任公司、四川友 利投资控股股份有限公司房屋买卖合同纠纷案丨《最高人民法院 公报》</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w:t>
      </w:r>
    </w:p>
    <w:p w14:paraId="24FD5F98">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 xml:space="preserve">李 俊 </w:t>
      </w:r>
      <w:r>
        <w:rPr>
          <w:color w:val="000000"/>
          <w:spacing w:val="0"/>
          <w:w w:val="100"/>
          <w:position w:val="0"/>
        </w:rPr>
        <w:t>中南财经政法大学法学院</w:t>
      </w:r>
    </w:p>
    <w:p w14:paraId="0CD173C2">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EF48E30">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蜀都公司与讯捷公司签订《购房协议书》，约定</w:t>
      </w:r>
      <w:r>
        <w:rPr>
          <w:color w:val="000000"/>
          <w:spacing w:val="0"/>
          <w:w w:val="100"/>
          <w:position w:val="0"/>
          <w:lang w:val="zh-CN" w:eastAsia="zh-CN" w:bidi="zh-CN"/>
        </w:rPr>
        <w:t>“迅</w:t>
      </w:r>
      <w:r>
        <w:rPr>
          <w:color w:val="000000"/>
          <w:spacing w:val="0"/>
          <w:w w:val="100"/>
          <w:position w:val="0"/>
        </w:rPr>
        <w:t>捷公司购买蜀都公司所拥有的蜀都 大厦北一楼及中庭建筑。协议签订之日，迅捷公司支付购房定金，待购房合同签订时该定 金自动转为购房款”。同时，双方还约定应就购房合同及付款方式等问题进行具体磋商，并 且在该宗房屋买卖合同签订时《购房协议书》自动失效。在讯捷公司向蜀都公司支付定金 后,蜀都公司则将讼争的房屋交付给讯捷公司使用。双方在《购房协议书》的基础上进行了 三次协商，但是双方就场地使用费、买卖过户税费的负担、产权证的办理及购房尾款的支付 时间等问题未达成一致意见。蜀都公司随后向讯捷公司发函,认为存在严重分歧而无法签 订《房屋买卖合同》，因此主张双方的房屋买卖关系未成立。讯捷公司则主张双方的房屋买 卖已经实际履行，并坚持在房屋过户登记后才向蜀都公司支付全部购房尾款。</w:t>
      </w:r>
    </w:p>
    <w:p w14:paraId="2A346A1B">
      <w:pPr>
        <w:pStyle w:val="17"/>
        <w:keepNext w:val="0"/>
        <w:keepLines w:val="0"/>
        <w:widowControl w:val="0"/>
        <w:shd w:val="clear" w:color="auto" w:fill="auto"/>
        <w:bidi w:val="0"/>
        <w:spacing w:before="0" w:after="380" w:line="342" w:lineRule="exact"/>
        <w:ind w:left="0" w:right="0"/>
        <w:jc w:val="both"/>
      </w:pPr>
      <w:r>
        <w:rPr>
          <w:color w:val="000000"/>
          <w:spacing w:val="0"/>
          <w:w w:val="100"/>
          <w:position w:val="0"/>
        </w:rPr>
        <w:t>该案一审上诉后，被裁定撤销原判决，发回一审法院重审。一审法院重审后，认为《购 房协议书》成立并有效。蜀都公司不服提起上诉，认为</w:t>
      </w:r>
      <w:r>
        <w:rPr>
          <w:color w:val="000000"/>
          <w:spacing w:val="0"/>
          <w:w w:val="100"/>
          <w:position w:val="0"/>
          <w:lang w:val="zh-CN" w:eastAsia="zh-CN" w:bidi="zh-CN"/>
        </w:rPr>
        <w:t>“一</w:t>
      </w:r>
      <w:r>
        <w:rPr>
          <w:color w:val="000000"/>
          <w:spacing w:val="0"/>
          <w:w w:val="100"/>
          <w:position w:val="0"/>
        </w:rPr>
        <w:t>审判决错误地认定双方为订立主 合同而签订的定金合同（《购房协议书》）是买卖合同本约，并主张因不可归责于双方的事由 而解除《购房协议书》”。二审法院则认为双方签订的《购房协议书》明确写明了当事人名 称、标的、价款，认为根据最高人民法院《关于适用〈中华人民共和国合同法〉若干问题的解 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条的规定，应认定双方的房屋买卖合同关系已经成立。迅 捷公司不服二审判决，遂向最高人民法院提起再审，主张《购房协议书》已构成房屋买卖合 同关系，该合同成立、有效且已部分履行，并应当继续履行。对此，蜀都公司答辩称“《购房 协议书》是立约定金合同，目的是担保主合同的订立，是一份认购预订协议。同时,双方的 主合同始终处于磋商之中,并因不可归责于双方的原因而未能订立”。</w:t>
      </w:r>
    </w:p>
    <w:p w14:paraId="4E233D3D">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8F589E7">
      <w:pPr>
        <w:pStyle w:val="17"/>
        <w:keepNext w:val="0"/>
        <w:keepLines w:val="0"/>
        <w:widowControl w:val="0"/>
        <w:shd w:val="clear" w:color="auto" w:fill="auto"/>
        <w:bidi w:val="0"/>
        <w:spacing w:before="0" w:after="360" w:line="310" w:lineRule="exact"/>
        <w:ind w:left="0" w:right="0"/>
        <w:jc w:val="both"/>
        <w:sectPr>
          <w:footnotePr>
            <w:numFmt w:val="chicago"/>
          </w:footnotePr>
          <w:type w:val="continuous"/>
          <w:pgSz w:w="10099" w:h="14782"/>
          <w:pgMar w:top="1303" w:right="995" w:bottom="1109" w:left="1107" w:header="875" w:footer="681" w:gutter="0"/>
          <w:cols w:space="720" w:num="1"/>
          <w:rtlGutter w:val="0"/>
          <w:docGrid w:linePitch="360" w:charSpace="0"/>
        </w:sectPr>
      </w:pPr>
      <w:r>
        <w:rPr>
          <w:color w:val="000000"/>
          <w:spacing w:val="0"/>
          <w:w w:val="100"/>
          <w:position w:val="0"/>
        </w:rPr>
        <w:t xml:space="preserve">判断当事人之间订立的合同是本约还是预约的根本标准在于当事人的意思表示，也就 是说,当事人是否有意在将来订立一个新的合同，以最终明确在双方之间形成某种法律关 </w:t>
      </w:r>
    </w:p>
    <w:p w14:paraId="5EFEC603">
      <w:pPr>
        <w:pStyle w:val="17"/>
        <w:keepNext w:val="0"/>
        <w:keepLines w:val="0"/>
        <w:widowControl w:val="0"/>
        <w:shd w:val="clear" w:color="auto" w:fill="auto"/>
        <w:bidi w:val="0"/>
        <w:spacing w:before="0" w:after="360" w:line="310" w:lineRule="exact"/>
        <w:ind w:left="0" w:right="0" w:firstLine="0"/>
        <w:jc w:val="both"/>
      </w:pPr>
      <w:r>
        <w:rPr>
          <w:color w:val="000000"/>
          <w:spacing w:val="0"/>
          <w:w w:val="100"/>
          <w:position w:val="0"/>
        </w:rPr>
        <w:t>系的具体内容。对于当事人之间存在预约还是本约关系，不能仅孤立地以当事人之间签订 的协议之约定为依据，而是应当综合审查相关协议的内容以及当事人嗣后为达成交易进行 的磋商和有关的履行行为等事实,从中探寻当事人的真实意思，并据此对当事人之间法律 关系的性质作出准确界定</w:t>
      </w:r>
    </w:p>
    <w:p w14:paraId="6B5EC249">
      <w:pPr>
        <w:pStyle w:val="11"/>
        <w:keepNext w:val="0"/>
        <w:keepLines w:val="0"/>
        <w:widowControl w:val="0"/>
        <w:shd w:val="clear" w:color="auto" w:fill="auto"/>
        <w:bidi w:val="0"/>
        <w:spacing w:before="0" w:after="120" w:line="344" w:lineRule="exact"/>
        <w:ind w:left="0" w:right="0" w:firstLine="0"/>
        <w:jc w:val="both"/>
      </w:pPr>
      <w:r>
        <w:rPr>
          <w:color w:val="000000"/>
          <w:spacing w:val="0"/>
          <w:w w:val="100"/>
          <w:position w:val="0"/>
        </w:rPr>
        <w:t>•评析</w:t>
      </w:r>
    </w:p>
    <w:p w14:paraId="46496FCD">
      <w:pPr>
        <w:pStyle w:val="17"/>
        <w:keepNext w:val="0"/>
        <w:keepLines w:val="0"/>
        <w:widowControl w:val="0"/>
        <w:shd w:val="clear" w:color="auto" w:fill="auto"/>
        <w:bidi w:val="0"/>
        <w:spacing w:before="0" w:after="120" w:line="344" w:lineRule="exact"/>
        <w:ind w:left="0" w:right="0" w:firstLine="0"/>
        <w:jc w:val="both"/>
      </w:pPr>
      <w:r>
        <w:rPr>
          <w:color w:val="000000"/>
          <w:spacing w:val="0"/>
          <w:w w:val="100"/>
          <w:position w:val="0"/>
          <w:lang w:val="zh-CN" w:eastAsia="zh-CN" w:bidi="zh-CN"/>
        </w:rPr>
        <w:t>①</w:t>
      </w:r>
      <w:r>
        <w:rPr>
          <w:color w:val="000000"/>
          <w:spacing w:val="0"/>
          <w:w w:val="100"/>
          <w:position w:val="0"/>
        </w:rPr>
        <w:t>本判决的思路和意义</w:t>
      </w:r>
    </w:p>
    <w:p w14:paraId="56E7B509">
      <w:pPr>
        <w:pStyle w:val="17"/>
        <w:keepNext w:val="0"/>
        <w:keepLines w:val="0"/>
        <w:widowControl w:val="0"/>
        <w:shd w:val="clear" w:color="auto" w:fill="auto"/>
        <w:bidi w:val="0"/>
        <w:spacing w:before="0" w:after="0" w:line="346" w:lineRule="exact"/>
        <w:ind w:left="0" w:right="0" w:firstLine="440"/>
        <w:jc w:val="both"/>
      </w:pPr>
      <w:r>
        <w:rPr>
          <w:color w:val="000000"/>
          <w:spacing w:val="0"/>
          <w:w w:val="100"/>
          <w:position w:val="0"/>
        </w:rPr>
        <w:t>本案涉及预约的认定及违约责任。在本案中，双方当事人在协议中约定“应就购房合 同及付款方式等问题进行具体磋商，并且买卖合同签订时本协议自动失效”。再审法院认 为，当事人在协议中明确了要在将来订立一个新的合同，以最终确定房屋买卖合同的具体 内容，那么《购房协议书》的性质是预约而非本约。同时，由于双方当事人在《购房协议书》 中明确约定了房屋的位置、面积和价款，再审法院认为该协议书具备了本约的主要内容，当 事人之间达成了买卖房屋的合意，成立了房屋买卖法律关系，当事人可直接履行而无须另 行订立本约。结合双方当事人在订立《购房协议书》之后的履行事实,再审法院最终认为双 方当事人已经实际成立了房屋买卖法律关系，此时的履行行为并非依据《购房协议书》，而 是基于房屋买卖关系而为的交付。</w:t>
      </w:r>
    </w:p>
    <w:p w14:paraId="7F47DC3A">
      <w:pPr>
        <w:pStyle w:val="17"/>
        <w:keepNext w:val="0"/>
        <w:keepLines w:val="0"/>
        <w:widowControl w:val="0"/>
        <w:shd w:val="clear" w:color="auto" w:fill="auto"/>
        <w:bidi w:val="0"/>
        <w:spacing w:before="0" w:after="280" w:line="346" w:lineRule="exact"/>
        <w:ind w:left="0" w:right="0" w:firstLine="440"/>
        <w:jc w:val="both"/>
      </w:pPr>
      <w:r>
        <w:rPr>
          <w:color w:val="000000"/>
          <w:spacing w:val="0"/>
          <w:w w:val="100"/>
          <w:position w:val="0"/>
        </w:rPr>
        <w:t>本案为最高人民法院《关于审理买卖合同纠纷案件适用法律问题的解释》［法释</w:t>
      </w:r>
      <w:r>
        <w:rPr>
          <w:rFonts w:ascii="Times New Roman" w:hAnsi="Times New Roman" w:eastAsia="Times New Roman" w:cs="Times New Roman"/>
          <w:color w:val="000000"/>
          <w:spacing w:val="0"/>
          <w:w w:val="100"/>
          <w:position w:val="0"/>
          <w:sz w:val="19"/>
          <w:szCs w:val="19"/>
        </w:rPr>
        <w:t>(2012) 8</w:t>
      </w:r>
      <w:r>
        <w:rPr>
          <w:color w:val="000000"/>
          <w:spacing w:val="0"/>
          <w:w w:val="100"/>
          <w:position w:val="0"/>
        </w:rPr>
        <w:t>号</w:t>
      </w:r>
      <w:r>
        <w:rPr>
          <w:color w:val="000000"/>
          <w:spacing w:val="0"/>
          <w:w w:val="100"/>
          <w:position w:val="0"/>
          <w:lang w:val="en-US" w:eastAsia="en-US" w:bidi="en-US"/>
        </w:rPr>
        <w:t>］(</w:t>
      </w:r>
      <w:r>
        <w:rPr>
          <w:color w:val="000000"/>
          <w:spacing w:val="0"/>
          <w:w w:val="100"/>
          <w:position w:val="0"/>
        </w:rPr>
        <w:t>以下简称《买卖合同司法解释》)第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条的适用提供了实践参考。对于当事人之间存 在预约还是本约关系，再审法院认为不能仅凭一份孤立的协议简单地加以认定，而是应当 综合审查相关协议的内容以及当事人嗣后为达成交易进行的磋商甚至具体的履行行为等 事实，从中探寻当事人的真实意思,对当事人之间法律关系的性质作出准确的界定。</w:t>
      </w:r>
    </w:p>
    <w:p w14:paraId="7F00EA19">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rPr>
        <w:t>I</w:t>
      </w:r>
      <w:r>
        <w:rPr>
          <w:color w:val="000000"/>
          <w:spacing w:val="0"/>
          <w:w w:val="100"/>
          <w:position w:val="0"/>
        </w:rPr>
        <w:t>预约的认定及违约责任的规范及学理</w:t>
      </w:r>
    </w:p>
    <w:p w14:paraId="5E7F57E2">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 xml:space="preserve">最高人民法院《关于审理商品房买卖合同纠纷案件适用法律若干问题的解释》［法释 </w:t>
      </w:r>
      <w:r>
        <w:rPr>
          <w:rFonts w:ascii="Times New Roman" w:hAnsi="Times New Roman" w:eastAsia="Times New Roman" w:cs="Times New Roman"/>
          <w:color w:val="000000"/>
          <w:spacing w:val="0"/>
          <w:w w:val="100"/>
          <w:position w:val="0"/>
          <w:sz w:val="19"/>
          <w:szCs w:val="19"/>
        </w:rPr>
        <w:t>(2003)7</w:t>
      </w:r>
      <w:r>
        <w:rPr>
          <w:color w:val="000000"/>
          <w:spacing w:val="0"/>
          <w:w w:val="100"/>
          <w:position w:val="0"/>
        </w:rPr>
        <w:t>号］(以下简称《商品房买卖合同司法解释》)第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条,确定了商品房认购、 订购和预订等协议以遵循本约为原则的立场。《买卖合同司法解释》第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条则明确了预约 的独立性，将当事人之间签订的认购书、订购书、预订书、意向书、备忘录确定为预约，并且规 定了预约违约责任。《民法典》第</w:t>
      </w:r>
      <w:r>
        <w:rPr>
          <w:rFonts w:ascii="Times New Roman" w:hAnsi="Times New Roman" w:eastAsia="Times New Roman" w:cs="Times New Roman"/>
          <w:color w:val="000000"/>
          <w:spacing w:val="0"/>
          <w:w w:val="100"/>
          <w:position w:val="0"/>
          <w:sz w:val="19"/>
          <w:szCs w:val="19"/>
        </w:rPr>
        <w:t>495</w:t>
      </w:r>
      <w:r>
        <w:rPr>
          <w:color w:val="000000"/>
          <w:spacing w:val="0"/>
          <w:w w:val="100"/>
          <w:position w:val="0"/>
        </w:rPr>
        <w:t>条吸纳了上述司法解释，明确规定“当事人约定在将 来一定期限内订立合同的认购书、订购书、预订书等，构成预约合同。当事人一方不履行预 约合同约定的订立合同义务的,对方可以请求其承担预约合同的违约责任”。</w:t>
      </w:r>
    </w:p>
    <w:p w14:paraId="33BF1F3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自最高人民法院司法解释发布以来，学理的讨论主要涉及以下几个方面：</w:t>
      </w:r>
    </w:p>
    <w:p w14:paraId="0AFDDA78">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第一,如何区别预约、非预约先合同协议与本约</w:t>
      </w:r>
      <w:r>
        <w:rPr>
          <w:color w:val="000000"/>
          <w:spacing w:val="0"/>
          <w:w w:val="100"/>
          <w:position w:val="0"/>
          <w:lang w:val="zh-CN" w:eastAsia="zh-CN" w:bidi="zh-CN"/>
        </w:rPr>
        <w:t>。“预</w:t>
      </w:r>
      <w:r>
        <w:rPr>
          <w:color w:val="000000"/>
          <w:spacing w:val="0"/>
          <w:w w:val="100"/>
          <w:position w:val="0"/>
        </w:rPr>
        <w:t>约</w:t>
      </w:r>
      <w:r>
        <w:rPr>
          <w:color w:val="000000"/>
          <w:spacing w:val="0"/>
          <w:w w:val="100"/>
          <w:position w:val="0"/>
          <w:lang w:val="zh-CN" w:eastAsia="zh-CN" w:bidi="zh-CN"/>
        </w:rPr>
        <w:t>”一</w:t>
      </w:r>
      <w:r>
        <w:rPr>
          <w:color w:val="000000"/>
          <w:spacing w:val="0"/>
          <w:w w:val="100"/>
          <w:position w:val="0"/>
        </w:rPr>
        <w:t>词在实践中极为常见，并且 常以先合同文本的方式进行缔结。视为预约的形式繁多，但是以预约之名来实现当事人合 意的先合同协议并非全部都属于预约制度的范畴。不同于缔约过失涉及消极利益的损害 赔偿,建立在合同自由基础上的预约在于履行缔约义务，受损方可主张替代给付的损害赔 偿。也即，预约在先合同形态中应具有独立意义，并与非预约先合同协议相区分。预约和本 约的关联性，通常体现为预约含有订立本约的意思，预约的认定关键在于当事人是否有明 确的未来订立本约的意思。尽管《商品房买卖合同司法解释》第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条规定，如果先合同协议 具备了《商品房销售管理办法》第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条规定的商品房买卖合同的主要内容,并且出卖人已 经按照约定收受购房款的，该协议应当认定为本约。但是</w:t>
      </w:r>
      <w:r>
        <w:rPr>
          <w:color w:val="000000"/>
          <w:spacing w:val="0"/>
          <w:w w:val="100"/>
          <w:position w:val="0"/>
          <w:lang w:val="zh-CN" w:eastAsia="zh-CN" w:bidi="zh-CN"/>
        </w:rPr>
        <w:t>“名为</w:t>
      </w:r>
      <w:r>
        <w:rPr>
          <w:color w:val="000000"/>
          <w:spacing w:val="0"/>
          <w:w w:val="100"/>
          <w:position w:val="0"/>
        </w:rPr>
        <w:t>预约实为本约”仍然应限定 在该解释第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条中。实际上，就预约的表现形式而言，有的预约条款简略，仅表达了当事人 之间有将来订立本约的意思，至于本约的内容留待以后磋商决定;有的预约条款则非常详 尽，将未来本约应该规定的内容几乎都在预约中作了明确约定。仅根据当事人合意内容是 否全面不足以区分预约和本约，而应当根据当事人的意思表示，也即</w:t>
      </w:r>
      <w:r>
        <w:rPr>
          <w:color w:val="000000"/>
          <w:spacing w:val="0"/>
          <w:w w:val="100"/>
          <w:position w:val="0"/>
          <w:lang w:val="zh-CN" w:eastAsia="zh-CN" w:bidi="zh-CN"/>
        </w:rPr>
        <w:t>“当</w:t>
      </w:r>
      <w:r>
        <w:rPr>
          <w:color w:val="000000"/>
          <w:spacing w:val="0"/>
          <w:w w:val="100"/>
          <w:position w:val="0"/>
        </w:rPr>
        <w:t>事人是否有意在将 来订立一个新的合同，以最终明确在双方之间形成某种法律关系的具体内容</w:t>
      </w:r>
      <w:r>
        <w:rPr>
          <w:color w:val="000000"/>
          <w:spacing w:val="0"/>
          <w:w w:val="100"/>
          <w:position w:val="0"/>
          <w:lang w:val="zh-CN" w:eastAsia="zh-CN" w:bidi="zh-CN"/>
        </w:rPr>
        <w:t>”来确</w:t>
      </w:r>
      <w:r>
        <w:rPr>
          <w:color w:val="000000"/>
          <w:spacing w:val="0"/>
          <w:w w:val="100"/>
          <w:position w:val="0"/>
        </w:rPr>
        <w:t>定协议 的性质［参见</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最高法民提字第</w:t>
      </w:r>
      <w:r>
        <w:rPr>
          <w:rFonts w:ascii="Times New Roman" w:hAnsi="Times New Roman" w:eastAsia="Times New Roman" w:cs="Times New Roman"/>
          <w:color w:val="000000"/>
          <w:spacing w:val="0"/>
          <w:w w:val="100"/>
          <w:position w:val="0"/>
          <w:sz w:val="17"/>
          <w:szCs w:val="17"/>
        </w:rPr>
        <w:t>90</w:t>
      </w:r>
      <w:r>
        <w:rPr>
          <w:color w:val="000000"/>
          <w:spacing w:val="0"/>
          <w:w w:val="100"/>
          <w:position w:val="0"/>
        </w:rPr>
        <w:t>号民事判决书］。如果当事人存在明确的旨在将来订立 本约的意思,那么即使预约的内容与本约已经十分接近，甚至通过合同解释可以从预约中 推导出本约的全部内容，也应当尊重当事人的意思表示成立预约而非本约。可见,预约制 度为当事人提供的选择在于，订立预约时可以不成立本约，但是在将来</w:t>
      </w:r>
      <w:r>
        <w:rPr>
          <w:color w:val="000000"/>
          <w:spacing w:val="0"/>
          <w:w w:val="100"/>
          <w:position w:val="0"/>
          <w:lang w:val="zh-CN" w:eastAsia="zh-CN" w:bidi="zh-CN"/>
        </w:rPr>
        <w:t>“应当”成立</w:t>
      </w:r>
      <w:r>
        <w:rPr>
          <w:color w:val="000000"/>
          <w:spacing w:val="0"/>
          <w:w w:val="100"/>
          <w:position w:val="0"/>
        </w:rPr>
        <w:t>本约。</w:t>
      </w:r>
    </w:p>
    <w:p w14:paraId="1A6660F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第二,如何判断当事人有订立预约的意思，以及预约内容的“可确定性”。就预约的构 成要件而言，首先需要当事人有订立预约的意思。当事人所签订的“意向书”并不意味着都 是预约，而是需要根据当事人的意思来判定，以解决名实不一的问题。在民商事活动中，记 录当事人的阶段性谈判成果的术语名目繁多，只有在查清当事人真意的情况下，才能确定 阶段性协议的性质（汤文平：《论预约在法教义学体系中的地位——以类型序列之建构为基础》，载 《中外法学》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期）。甚至于，原本只是先合同协议，或者可采取附条件和附期限的本 约，都可以以当事人的意思为依据确定为预约。有学者提出，本案中最高人民法院从当事 人意思出发，确定先合同协议是预约还是本约，并没有探究当事人对最终交易达成何种合 意（耿利航:《预约合同效力和违约救济的实证考察与应然路径》，载《法学研究》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期）。至 于内容的可确定性和完整性，学理上认为，预约需要确定就缔结本约设定相关义务，但并不 要求预约中的本约具有确定性。预约只有在其约定内容具有足够确定性，而足以探知本约 的内容时才有效力。也即，预约的可确定性，既包含了协商和履行本约的可能，也要求预约 应当与本约的内容无异，只有在特殊情况下才将对预约要素的判断交由司法裁量。</w:t>
      </w:r>
    </w:p>
    <w:p w14:paraId="21EC037C">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第三，如何确定预约的违约救济方式。尽管司法解释规定了预约，但对预约的违约救 济仍然存在争议,传统的</w:t>
      </w:r>
      <w:r>
        <w:rPr>
          <w:color w:val="000000"/>
          <w:spacing w:val="0"/>
          <w:w w:val="100"/>
          <w:position w:val="0"/>
          <w:lang w:val="zh-CN" w:eastAsia="zh-CN" w:bidi="zh-CN"/>
        </w:rPr>
        <w:t>“继续</w:t>
      </w:r>
      <w:r>
        <w:rPr>
          <w:color w:val="000000"/>
          <w:spacing w:val="0"/>
          <w:w w:val="100"/>
          <w:position w:val="0"/>
        </w:rPr>
        <w:t>磋商说</w:t>
      </w:r>
      <w:r>
        <w:rPr>
          <w:color w:val="000000"/>
          <w:spacing w:val="0"/>
          <w:w w:val="100"/>
          <w:position w:val="0"/>
          <w:lang w:val="zh-CN" w:eastAsia="zh-CN" w:bidi="zh-CN"/>
        </w:rPr>
        <w:t>”“继</w:t>
      </w:r>
      <w:r>
        <w:rPr>
          <w:color w:val="000000"/>
          <w:spacing w:val="0"/>
          <w:w w:val="100"/>
          <w:position w:val="0"/>
        </w:rPr>
        <w:t>续履行说”均受到挑战。就预约的违约责任内容 而言，主要包括实际履行和损害赔偿。双方当事人缔结预约而非本约，并非意在排除实际 履行,相反预约的特殊性恰恰就在于促成本约的意思。预约具有独立性，但同时与本约紧 密结合，具有借用预约来促成本约的强烈意愿,除非当事人在预约文本明确否定。因此，当 事人选择预约，并非预约是缔结本约的必经形态，而是当事人的一种选择。即便在当事人 可以签订本约，但仍然选择预约的情况下，也并非在违约责任上选择了损害赔偿而排除强 制履行。就预约能否实际履行而言，存在肯定说、否定说和内容区分说之别（陆青:《〈买卖合 同司法解释〉第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条评析》，载《法学家》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期），批判说认为预约带来的不是强制缔约意 义上的实际履行，而只是临时性约束，导向损害赔偿（汤文平:《论预约在法教义学体系中的地 位——以类型序列之建构为基础》，载《中外法学》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期）。不过，虽然预约具备在磋商阶 段合意的临时性特征，但是预约违约救济的关键在于履行缔结本约的义务,通过强制履行 来促成本约。只有在不可强制履行的情形下，救济手段才转化为损害赔偿。赔偿的范围并 非信赖利益的损失，而是本约的履行利益。通过当事人合意中的</w:t>
      </w:r>
      <w:r>
        <w:rPr>
          <w:color w:val="000000"/>
          <w:spacing w:val="0"/>
          <w:w w:val="100"/>
          <w:position w:val="0"/>
          <w:lang w:val="zh-CN" w:eastAsia="zh-CN" w:bidi="zh-CN"/>
        </w:rPr>
        <w:t>“约束</w:t>
      </w:r>
      <w:r>
        <w:rPr>
          <w:color w:val="000000"/>
          <w:spacing w:val="0"/>
          <w:w w:val="100"/>
          <w:position w:val="0"/>
        </w:rPr>
        <w:t>意思”来辨别协议的 性质,并据此判断预约违约责任是信赖利益赔偿、实际履行或者是履行利益的赔偿，抑或缔 约过失与履行本约之间的中间状态。还需要注意的是,当事人最终订立的本约可能会偏离 预约。此时的本约已不是预约所指向的本约，而是当事人新的合意。</w:t>
      </w:r>
    </w:p>
    <w:p w14:paraId="311A8686">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既往司法实践状况</w:t>
      </w:r>
    </w:p>
    <w:p w14:paraId="131E7D64">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《商品房买卖合同司法解释》第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条列明了实践中的若干预约形态，但是通过 定金或者本约的处理方式都不足以体现预约的性质。最高人民法院陆续刊发了“戴雪飞 案</w:t>
      </w:r>
      <w:r>
        <w:rPr>
          <w:color w:val="000000"/>
          <w:spacing w:val="0"/>
          <w:w w:val="100"/>
          <w:position w:val="0"/>
          <w:lang w:val="zh-CN" w:eastAsia="zh-CN" w:bidi="zh-CN"/>
        </w:rPr>
        <w:t>”（戴</w:t>
      </w:r>
      <w:r>
        <w:rPr>
          <w:color w:val="000000"/>
          <w:spacing w:val="0"/>
          <w:w w:val="100"/>
          <w:position w:val="0"/>
        </w:rPr>
        <w:t>雪飞诉江苏省苏州工业园区华新国际城市发展有限公司商品房订购协议定金纠纷案，《最高人 民法院公报》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期）、“仲崇清案”（仲崇清诉上海金轩大邸房地产项目开发有限公司合同纠 纷案,《最高人民法院公报》</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期）和“俞财新案</w:t>
      </w:r>
      <w:r>
        <w:rPr>
          <w:color w:val="000000"/>
          <w:spacing w:val="0"/>
          <w:w w:val="100"/>
          <w:position w:val="0"/>
          <w:lang w:val="zh-CN" w:eastAsia="zh-CN" w:bidi="zh-CN"/>
        </w:rPr>
        <w:t>”［俞</w:t>
      </w:r>
      <w:r>
        <w:rPr>
          <w:color w:val="000000"/>
          <w:spacing w:val="0"/>
          <w:w w:val="100"/>
          <w:position w:val="0"/>
        </w:rPr>
        <w:t>财新与福建华辰房地产有限公司、魏传 瑞商品房买卖（预约）合同纠纷案，《最高人民法院公报》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期］等案例，旨在对预约作进一 步解释。尤其在</w:t>
      </w:r>
      <w:r>
        <w:rPr>
          <w:color w:val="000000"/>
          <w:spacing w:val="0"/>
          <w:w w:val="100"/>
          <w:position w:val="0"/>
          <w:lang w:val="zh-CN" w:eastAsia="zh-CN" w:bidi="zh-CN"/>
        </w:rPr>
        <w:t>“俞</w:t>
      </w:r>
      <w:r>
        <w:rPr>
          <w:color w:val="000000"/>
          <w:spacing w:val="0"/>
          <w:w w:val="100"/>
          <w:position w:val="0"/>
        </w:rPr>
        <w:t>财新案</w:t>
      </w:r>
      <w:r>
        <w:rPr>
          <w:color w:val="000000"/>
          <w:spacing w:val="0"/>
          <w:w w:val="100"/>
          <w:position w:val="0"/>
          <w:lang w:val="zh-CN" w:eastAsia="zh-CN" w:bidi="zh-CN"/>
        </w:rPr>
        <w:t>”中</w:t>
      </w:r>
      <w:r>
        <w:rPr>
          <w:color w:val="000000"/>
          <w:spacing w:val="0"/>
          <w:w w:val="100"/>
          <w:position w:val="0"/>
        </w:rPr>
        <w:t>，法院认为</w:t>
      </w:r>
      <w:r>
        <w:rPr>
          <w:color w:val="000000"/>
          <w:spacing w:val="0"/>
          <w:w w:val="100"/>
          <w:position w:val="0"/>
          <w:lang w:val="zh-CN" w:eastAsia="zh-CN" w:bidi="zh-CN"/>
        </w:rPr>
        <w:t>“预</w:t>
      </w:r>
      <w:r>
        <w:rPr>
          <w:color w:val="000000"/>
          <w:spacing w:val="0"/>
          <w:w w:val="100"/>
          <w:position w:val="0"/>
        </w:rPr>
        <w:t>约不同于合同的磋商，当事人负有缔结本约的 义务,将预约指向本约的履行”。</w:t>
      </w:r>
    </w:p>
    <w:p w14:paraId="6F755CE6">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《买卖合同司法解释》第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条则正式明确了预约的独立性，将当事人之间签订的认购 书、订购书、预订书、意向书、备忘录确定为预约，并一般性地规定了预约违约责任。不过，该 条在实践中的适用仍然存在较大争议。甚至于最高人民法院在后续判决中，就预约的认定 以及违约责任内容仍未形成一以贯之的标准。例如，在</w:t>
      </w:r>
      <w:r>
        <w:rPr>
          <w:color w:val="000000"/>
          <w:spacing w:val="0"/>
          <w:w w:val="100"/>
          <w:position w:val="0"/>
          <w:lang w:val="zh-CN" w:eastAsia="zh-CN" w:bidi="zh-CN"/>
        </w:rPr>
        <w:t>“张</w:t>
      </w:r>
      <w:r>
        <w:rPr>
          <w:color w:val="000000"/>
          <w:spacing w:val="0"/>
          <w:w w:val="100"/>
          <w:position w:val="0"/>
        </w:rPr>
        <w:t>励案”（张励与徐州市同力创展房地 产有限公司商品房预售合同纠纷案，《最高人民法院公报》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 xml:space="preserve">期）中，最高人民法院认为， </w:t>
      </w:r>
      <w:r>
        <w:rPr>
          <w:color w:val="000000"/>
          <w:spacing w:val="0"/>
          <w:w w:val="100"/>
          <w:position w:val="0"/>
          <w:lang w:val="zh-CN" w:eastAsia="zh-CN" w:bidi="zh-CN"/>
        </w:rPr>
        <w:t>“预</w:t>
      </w:r>
      <w:r>
        <w:rPr>
          <w:color w:val="000000"/>
          <w:spacing w:val="0"/>
          <w:w w:val="100"/>
          <w:position w:val="0"/>
        </w:rPr>
        <w:t>约合同的目的在于当事人对将来签订特定合同的相关事项进行规划，其主要意义在于 为当事人设定了按照公平、诚信原则进行磋商以达到本约合同的义务”。而在本案中，最高 人民法院则明确区分了预约和本约，并以当事人的意思为解释的核心依据。在当事人有预 约的合意时只能成立预约，并通过本约的履行来实现预约与本约之间的转化。最高人民法 院在审理认购书等预约纠纷时，逐渐将探究当事人的真意视为处理预约纠纷的出发点，从 而解决</w:t>
      </w:r>
      <w:r>
        <w:rPr>
          <w:color w:val="000000"/>
          <w:spacing w:val="0"/>
          <w:w w:val="100"/>
          <w:position w:val="0"/>
          <w:lang w:val="zh-CN" w:eastAsia="zh-CN" w:bidi="zh-CN"/>
        </w:rPr>
        <w:t>“名为</w:t>
      </w:r>
      <w:r>
        <w:rPr>
          <w:color w:val="000000"/>
          <w:spacing w:val="0"/>
          <w:w w:val="100"/>
          <w:position w:val="0"/>
        </w:rPr>
        <w:t>预约按照本约处理” “名为预约实为本约</w:t>
      </w:r>
      <w:r>
        <w:rPr>
          <w:color w:val="000000"/>
          <w:spacing w:val="0"/>
          <w:w w:val="100"/>
          <w:position w:val="0"/>
          <w:lang w:val="zh-CN" w:eastAsia="zh-CN" w:bidi="zh-CN"/>
        </w:rPr>
        <w:t>”等</w:t>
      </w:r>
      <w:r>
        <w:rPr>
          <w:color w:val="000000"/>
          <w:spacing w:val="0"/>
          <w:w w:val="100"/>
          <w:position w:val="0"/>
        </w:rPr>
        <w:t>各类预约实践纠纷。</w:t>
      </w:r>
    </w:p>
    <w:p w14:paraId="2D43571F">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rPr>
        <w:t>0</w:t>
      </w:r>
      <w:r>
        <w:rPr>
          <w:color w:val="000000"/>
          <w:spacing w:val="0"/>
          <w:w w:val="100"/>
          <w:position w:val="0"/>
        </w:rPr>
        <w:t>本判决的参考意义及将来的课题</w:t>
      </w:r>
    </w:p>
    <w:p w14:paraId="5F194B72">
      <w:pPr>
        <w:pStyle w:val="17"/>
        <w:keepNext w:val="0"/>
        <w:keepLines w:val="0"/>
        <w:widowControl w:val="0"/>
        <w:shd w:val="clear" w:color="auto" w:fill="auto"/>
        <w:bidi w:val="0"/>
        <w:spacing w:before="0" w:after="360" w:line="343" w:lineRule="exact"/>
        <w:ind w:left="0" w:right="0" w:firstLine="420"/>
        <w:jc w:val="both"/>
      </w:pPr>
      <w:r>
        <w:rPr>
          <w:color w:val="000000"/>
          <w:spacing w:val="0"/>
          <w:w w:val="100"/>
          <w:position w:val="0"/>
        </w:rPr>
        <w:t>司法实践自《买卖合同司法解释》第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条以来并未形成一以贯之的解释方案，本判决明 确了预约的独立性并进一步解释了预约的认定方式和预约违约责任。不过,在预约的认定 上，预约的内容与本约之间完整度的问题仍然存在争议。预约的效力基础,也需要明确预 约在前合同体系中的定位。在预约的违约救济上，探寻当事人真意被视为一种妥适的解决 方法,但是预约的强制履行也需要反思预约的本质属性，抑或结合预约的范围和内容确定 性等方面进行深入研究。《民法典》第</w:t>
      </w:r>
      <w:r>
        <w:rPr>
          <w:rFonts w:ascii="Times New Roman" w:hAnsi="Times New Roman" w:eastAsia="Times New Roman" w:cs="Times New Roman"/>
          <w:color w:val="000000"/>
          <w:spacing w:val="0"/>
          <w:w w:val="100"/>
          <w:position w:val="0"/>
          <w:sz w:val="19"/>
          <w:szCs w:val="19"/>
        </w:rPr>
        <w:t>495</w:t>
      </w:r>
      <w:r>
        <w:rPr>
          <w:color w:val="000000"/>
          <w:spacing w:val="0"/>
          <w:w w:val="100"/>
          <w:position w:val="0"/>
        </w:rPr>
        <w:t>条虽然在立法上有所完善,但依然存在解释上的 争议空间。就预约的损害赔偿而言，履行利益及其替代赔偿的具体内容仍有待进一步明 确。</w:t>
      </w:r>
    </w:p>
    <w:p w14:paraId="4B7B8522">
      <w:pPr>
        <w:pStyle w:val="11"/>
        <w:keepNext w:val="0"/>
        <w:keepLines w:val="0"/>
        <w:widowControl w:val="0"/>
        <w:shd w:val="clear" w:color="auto" w:fill="auto"/>
        <w:bidi w:val="0"/>
        <w:spacing w:before="0" w:after="40" w:line="331" w:lineRule="exact"/>
        <w:ind w:left="0" w:right="0" w:firstLine="0"/>
        <w:jc w:val="left"/>
      </w:pPr>
      <w:r>
        <w:rPr>
          <w:color w:val="000000"/>
          <w:spacing w:val="0"/>
          <w:w w:val="100"/>
          <w:position w:val="0"/>
        </w:rPr>
        <w:t>回参考文献</w:t>
      </w:r>
    </w:p>
    <w:p w14:paraId="55632C9B">
      <w:pPr>
        <w:pStyle w:val="17"/>
        <w:keepNext w:val="0"/>
        <w:keepLines w:val="0"/>
        <w:widowControl w:val="0"/>
        <w:shd w:val="clear" w:color="auto" w:fill="auto"/>
        <w:bidi w:val="0"/>
        <w:spacing w:before="0" w:after="0" w:line="331" w:lineRule="exact"/>
        <w:ind w:left="0" w:right="0" w:firstLine="0"/>
        <w:jc w:val="both"/>
      </w:pPr>
      <w:r>
        <w:rPr>
          <w:color w:val="000000"/>
          <w:spacing w:val="0"/>
          <w:w w:val="100"/>
          <w:position w:val="0"/>
        </w:rPr>
        <w:t>唐晓晴:《预约合同法律制度研究》，澳门大学法学院</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43F3C8B4">
      <w:pPr>
        <w:pStyle w:val="17"/>
        <w:keepNext w:val="0"/>
        <w:keepLines w:val="0"/>
        <w:widowControl w:val="0"/>
        <w:shd w:val="clear" w:color="auto" w:fill="auto"/>
        <w:bidi w:val="0"/>
        <w:spacing w:before="0" w:after="0" w:line="331" w:lineRule="exact"/>
        <w:ind w:left="0" w:right="0" w:firstLine="0"/>
        <w:jc w:val="left"/>
      </w:pPr>
      <w:r>
        <w:rPr>
          <w:color w:val="000000"/>
          <w:spacing w:val="0"/>
          <w:w w:val="100"/>
          <w:position w:val="0"/>
        </w:rPr>
        <w:t>汤文平:《德国预约制度研究》，载《北方法学》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D0BF4F2">
      <w:pPr>
        <w:pStyle w:val="17"/>
        <w:keepNext w:val="0"/>
        <w:keepLines w:val="0"/>
        <w:widowControl w:val="0"/>
        <w:shd w:val="clear" w:color="auto" w:fill="auto"/>
        <w:bidi w:val="0"/>
        <w:spacing w:before="0" w:after="0" w:line="331" w:lineRule="exact"/>
        <w:ind w:left="0" w:right="0" w:firstLine="0"/>
        <w:jc w:val="left"/>
      </w:pPr>
      <w:r>
        <w:rPr>
          <w:color w:val="000000"/>
          <w:spacing w:val="0"/>
          <w:w w:val="100"/>
          <w:position w:val="0"/>
        </w:rPr>
        <w:t>陆青:《〈买卖合同司法解释〉第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条评析》，载《法学家》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ECA13F5">
      <w:pPr>
        <w:pStyle w:val="17"/>
        <w:keepNext w:val="0"/>
        <w:keepLines w:val="0"/>
        <w:widowControl w:val="0"/>
        <w:shd w:val="clear" w:color="auto" w:fill="auto"/>
        <w:bidi w:val="0"/>
        <w:spacing w:before="0" w:after="0" w:line="331" w:lineRule="exact"/>
        <w:ind w:left="200" w:right="0" w:hanging="200"/>
        <w:jc w:val="left"/>
      </w:pPr>
      <w:r>
        <w:rPr>
          <w:color w:val="000000"/>
          <w:spacing w:val="0"/>
          <w:w w:val="100"/>
          <w:position w:val="0"/>
        </w:rPr>
        <w:t>汤文平:《论预约在法教义学体系中的地位</w:t>
      </w:r>
      <w:r>
        <w:rPr>
          <w:color w:val="000000"/>
          <w:spacing w:val="0"/>
          <w:w w:val="100"/>
          <w:position w:val="0"/>
          <w:lang w:val="en-US" w:eastAsia="en-US" w:bidi="en-US"/>
        </w:rPr>
        <w:t>一一</w:t>
      </w:r>
      <w:r>
        <w:rPr>
          <w:color w:val="000000"/>
          <w:spacing w:val="0"/>
          <w:w w:val="100"/>
          <w:position w:val="0"/>
        </w:rPr>
        <w:t>以类型序列之建构为基础》，载《中外法学》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p>
    <w:p w14:paraId="5933BC38">
      <w:pPr>
        <w:pStyle w:val="17"/>
        <w:keepNext w:val="0"/>
        <w:keepLines w:val="0"/>
        <w:widowControl w:val="0"/>
        <w:shd w:val="clear" w:color="auto" w:fill="auto"/>
        <w:bidi w:val="0"/>
        <w:spacing w:before="0" w:after="0" w:line="331" w:lineRule="exact"/>
        <w:ind w:left="0" w:right="0" w:firstLine="0"/>
        <w:jc w:val="both"/>
      </w:pPr>
      <w:r>
        <w:rPr>
          <w:color w:val="000000"/>
          <w:spacing w:val="0"/>
          <w:w w:val="100"/>
          <w:position w:val="0"/>
        </w:rPr>
        <w:t>叶锋:《论预约合同的出路——以类型系列的构建为分析视角》，载《法律适用》</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76876F29">
      <w:pPr>
        <w:pStyle w:val="17"/>
        <w:keepNext w:val="0"/>
        <w:keepLines w:val="0"/>
        <w:widowControl w:val="0"/>
        <w:shd w:val="clear" w:color="auto" w:fill="auto"/>
        <w:bidi w:val="0"/>
        <w:spacing w:before="0" w:after="120" w:line="331" w:lineRule="exact"/>
        <w:ind w:left="0" w:right="0" w:firstLine="0"/>
        <w:jc w:val="left"/>
      </w:pPr>
      <w:r>
        <w:rPr>
          <w:color w:val="000000"/>
          <w:spacing w:val="0"/>
          <w:w w:val="100"/>
          <w:position w:val="0"/>
        </w:rPr>
        <w:t>耿利航:《预约合同效力和违约救济的实证考察与应然路径》，载《法学研究》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ED08AE9">
      <w:pPr>
        <w:pStyle w:val="25"/>
        <w:keepNext w:val="0"/>
        <w:keepLines w:val="0"/>
        <w:widowControl w:val="0"/>
        <w:shd w:val="clear" w:color="auto" w:fill="auto"/>
        <w:bidi w:val="0"/>
        <w:spacing w:before="0" w:after="120" w:line="240" w:lineRule="auto"/>
        <w:ind w:left="0" w:right="0" w:firstLine="0"/>
        <w:jc w:val="left"/>
        <w:sectPr>
          <w:headerReference r:id="rId338" w:type="default"/>
          <w:headerReference r:id="rId339" w:type="even"/>
          <w:footnotePr>
            <w:numFmt w:val="chicago"/>
          </w:footnotePr>
          <w:pgSz w:w="10099" w:h="14782"/>
          <w:pgMar w:top="1303" w:right="995" w:bottom="1109" w:left="1107" w:header="0" w:footer="3" w:gutter="0"/>
          <w:pgNumType w:start="267"/>
          <w:cols w:space="720" w:num="1"/>
          <w:rtlGutter w:val="0"/>
          <w:docGrid w:linePitch="360" w:charSpace="0"/>
        </w:sectPr>
      </w:pPr>
      <w:r>
        <w:rPr>
          <w:rFonts w:ascii="Times New Roman" w:hAnsi="Times New Roman" w:eastAsia="Times New Roman" w:cs="Times New Roman"/>
          <w:color w:val="000000"/>
          <w:spacing w:val="0"/>
          <w:w w:val="100"/>
          <w:position w:val="0"/>
          <w:lang w:val="en-US" w:eastAsia="en-US" w:bidi="en-US"/>
        </w:rPr>
        <w:t>Francesco Gazzoni</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il contratto preliminare, Terza edizione, G. Giappichelli editore, Torino, 2010.</w:t>
      </w:r>
    </w:p>
    <w:p w14:paraId="62B5ADD1">
      <w:pPr>
        <w:widowControl w:val="0"/>
        <w:spacing w:line="166" w:lineRule="exact"/>
        <w:rPr>
          <w:sz w:val="13"/>
          <w:szCs w:val="13"/>
        </w:rPr>
      </w:pPr>
    </w:p>
    <w:p w14:paraId="4A322391">
      <w:pPr>
        <w:widowControl w:val="0"/>
        <w:spacing w:line="1" w:lineRule="exact"/>
        <w:sectPr>
          <w:headerReference r:id="rId340" w:type="default"/>
          <w:headerReference r:id="rId341" w:type="even"/>
          <w:footnotePr>
            <w:numFmt w:val="chicago"/>
          </w:footnotePr>
          <w:pgSz w:w="10099" w:h="14782"/>
          <w:pgMar w:top="1297" w:right="1083" w:bottom="1117" w:left="1005" w:header="0" w:footer="3" w:gutter="0"/>
          <w:pgNumType w:start="287"/>
          <w:cols w:space="720" w:num="1"/>
          <w:rtlGutter w:val="0"/>
          <w:docGrid w:linePitch="360" w:charSpace="0"/>
        </w:sectPr>
      </w:pPr>
    </w:p>
    <w:p w14:paraId="4EF374F3">
      <w:pPr>
        <w:widowControl w:val="0"/>
        <w:spacing w:line="1" w:lineRule="exact"/>
      </w:pPr>
      <w:r>
        <mc:AlternateContent>
          <mc:Choice Requires="wps">
            <w:drawing>
              <wp:anchor distT="0" distB="19685" distL="114300" distR="2069465" simplePos="0" relativeHeight="251660288" behindDoc="0" locked="0" layoutInCell="1" allowOverlap="1">
                <wp:simplePos x="0" y="0"/>
                <wp:positionH relativeFrom="page">
                  <wp:posOffset>730250</wp:posOffset>
                </wp:positionH>
                <wp:positionV relativeFrom="paragraph">
                  <wp:posOffset>12700</wp:posOffset>
                </wp:positionV>
                <wp:extent cx="446405" cy="304800"/>
                <wp:effectExtent l="0" t="0" r="0" b="0"/>
                <wp:wrapTopAndBottom/>
                <wp:docPr id="775" name="Shape 775"/>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75557A45">
                            <w:pPr>
                              <w:pStyle w:val="27"/>
                              <w:keepNext/>
                              <w:keepLines/>
                              <w:widowControl w:val="0"/>
                              <w:shd w:val="clear" w:color="auto" w:fill="auto"/>
                              <w:bidi w:val="0"/>
                              <w:spacing w:before="0" w:after="0" w:line="240" w:lineRule="auto"/>
                              <w:ind w:left="0" w:right="0" w:firstLine="0"/>
                              <w:jc w:val="both"/>
                            </w:pPr>
                            <w:bookmarkStart w:id="450" w:name="bookmark350"/>
                            <w:bookmarkStart w:id="451" w:name="bookmark351"/>
                            <w:bookmarkStart w:id="452" w:name="bookmark352"/>
                            <w:r>
                              <w:rPr>
                                <w:rFonts w:ascii="Times New Roman" w:hAnsi="Times New Roman" w:eastAsia="Times New Roman" w:cs="Times New Roman"/>
                                <w:color w:val="000000"/>
                                <w:spacing w:val="0"/>
                                <w:w w:val="100"/>
                                <w:position w:val="0"/>
                              </w:rPr>
                              <w:t>055</w:t>
                            </w:r>
                            <w:bookmarkEnd w:id="450"/>
                            <w:bookmarkEnd w:id="451"/>
                            <w:bookmarkEnd w:id="452"/>
                          </w:p>
                        </w:txbxContent>
                      </wps:txbx>
                      <wps:bodyPr wrap="none" lIns="0" tIns="0" rIns="0" bIns="0">
                        <a:noAutofit/>
                      </wps:bodyPr>
                    </wps:wsp>
                  </a:graphicData>
                </a:graphic>
              </wp:anchor>
            </w:drawing>
          </mc:Choice>
          <mc:Fallback>
            <w:pict>
              <v:shape id="Shape 775" o:spid="_x0000_s1026" o:spt="202" type="#_x0000_t202" style="position:absolute;left:0pt;margin-left:57.5pt;margin-top:1pt;height:24pt;width:35.15pt;mso-position-horizontal-relative:page;mso-wrap-distance-bottom:1.55pt;mso-wrap-distance-top:0pt;mso-wrap-style:none;z-index:251660288;mso-width-relative:page;mso-height-relative:page;" filled="f" stroked="f" coordsize="21600,21600" o:gfxdata="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CdYqu1QAA&#10;AAgBAAAPAAAAAAAAAAEAIAAAACIAAABkcnMvZG93bnJldi54bWxQSwECFAAUAAAACACHTuJAly5o&#10;MK8BAABzAwAADgAAAAAAAAABACAAAAAkAQAAZHJzL2Uyb0RvYy54bWxQSwUGAAAAAAYABgBZAQAA&#10;RQUAAAAA&#10;">
                <v:fill on="f" focussize="0,0"/>
                <v:stroke on="f"/>
                <v:imagedata o:title=""/>
                <o:lock v:ext="edit" aspectratio="f"/>
                <v:textbox inset="0mm,0mm,0mm,0mm">
                  <w:txbxContent>
                    <w:p w14:paraId="75557A45">
                      <w:pPr>
                        <w:pStyle w:val="27"/>
                        <w:keepNext/>
                        <w:keepLines/>
                        <w:widowControl w:val="0"/>
                        <w:shd w:val="clear" w:color="auto" w:fill="auto"/>
                        <w:bidi w:val="0"/>
                        <w:spacing w:before="0" w:after="0" w:line="240" w:lineRule="auto"/>
                        <w:ind w:left="0" w:right="0" w:firstLine="0"/>
                        <w:jc w:val="both"/>
                      </w:pPr>
                      <w:bookmarkStart w:id="450" w:name="bookmark350"/>
                      <w:bookmarkStart w:id="451" w:name="bookmark351"/>
                      <w:bookmarkStart w:id="452" w:name="bookmark352"/>
                      <w:r>
                        <w:rPr>
                          <w:rFonts w:ascii="Times New Roman" w:hAnsi="Times New Roman" w:eastAsia="Times New Roman" w:cs="Times New Roman"/>
                          <w:color w:val="000000"/>
                          <w:spacing w:val="0"/>
                          <w:w w:val="100"/>
                          <w:position w:val="0"/>
                        </w:rPr>
                        <w:t>055</w:t>
                      </w:r>
                      <w:bookmarkEnd w:id="450"/>
                      <w:bookmarkEnd w:id="451"/>
                      <w:bookmarkEnd w:id="452"/>
                    </w:p>
                  </w:txbxContent>
                </v:textbox>
                <w10:wrap type="topAndBottom"/>
              </v:shape>
            </w:pict>
          </mc:Fallback>
        </mc:AlternateContent>
      </w:r>
      <w:r>
        <mc:AlternateContent>
          <mc:Choice Requires="wps">
            <w:drawing>
              <wp:anchor distT="83820" distB="0" distL="692150" distR="113665" simplePos="0" relativeHeight="251660288" behindDoc="0" locked="0" layoutInCell="1" allowOverlap="1">
                <wp:simplePos x="0" y="0"/>
                <wp:positionH relativeFrom="page">
                  <wp:posOffset>1308100</wp:posOffset>
                </wp:positionH>
                <wp:positionV relativeFrom="paragraph">
                  <wp:posOffset>96520</wp:posOffset>
                </wp:positionV>
                <wp:extent cx="1824355" cy="240665"/>
                <wp:effectExtent l="0" t="0" r="0" b="0"/>
                <wp:wrapTopAndBottom/>
                <wp:docPr id="777" name="Shape 777"/>
                <wp:cNvGraphicFramePr/>
                <a:graphic xmlns:a="http://schemas.openxmlformats.org/drawingml/2006/main">
                  <a:graphicData uri="http://schemas.microsoft.com/office/word/2010/wordprocessingShape">
                    <wps:wsp>
                      <wps:cNvSpPr txBox="1"/>
                      <wps:spPr>
                        <a:xfrm>
                          <a:off x="0" y="0"/>
                          <a:ext cx="1824355" cy="240665"/>
                        </a:xfrm>
                        <a:prstGeom prst="rect">
                          <a:avLst/>
                        </a:prstGeom>
                        <a:noFill/>
                      </wps:spPr>
                      <wps:txbx>
                        <w:txbxContent>
                          <w:p w14:paraId="4ED6E81D">
                            <w:pPr>
                              <w:pStyle w:val="15"/>
                              <w:keepNext/>
                              <w:keepLines/>
                              <w:widowControl w:val="0"/>
                              <w:shd w:val="clear" w:color="auto" w:fill="auto"/>
                              <w:bidi w:val="0"/>
                              <w:spacing w:before="0" w:after="0" w:line="240" w:lineRule="auto"/>
                              <w:ind w:left="0" w:right="0" w:firstLine="0"/>
                              <w:jc w:val="left"/>
                            </w:pPr>
                            <w:bookmarkStart w:id="453" w:name="bookmark353"/>
                            <w:bookmarkStart w:id="454" w:name="bookmark355"/>
                            <w:bookmarkStart w:id="455" w:name="bookmark354"/>
                            <w:r>
                              <w:rPr>
                                <w:color w:val="000000"/>
                                <w:spacing w:val="0"/>
                                <w:w w:val="100"/>
                                <w:position w:val="0"/>
                              </w:rPr>
                              <w:t>悬赏广告的解释规则</w:t>
                            </w:r>
                            <w:bookmarkEnd w:id="453"/>
                            <w:bookmarkEnd w:id="454"/>
                            <w:bookmarkEnd w:id="455"/>
                          </w:p>
                        </w:txbxContent>
                      </wps:txbx>
                      <wps:bodyPr wrap="none" lIns="0" tIns="0" rIns="0" bIns="0">
                        <a:noAutofit/>
                      </wps:bodyPr>
                    </wps:wsp>
                  </a:graphicData>
                </a:graphic>
              </wp:anchor>
            </w:drawing>
          </mc:Choice>
          <mc:Fallback>
            <w:pict>
              <v:shape id="Shape 777" o:spid="_x0000_s1026" o:spt="202" type="#_x0000_t202" style="position:absolute;left:0pt;margin-left:103pt;margin-top:7.6pt;height:18.95pt;width:143.65pt;mso-position-horizontal-relative:page;mso-wrap-distance-bottom:0pt;mso-wrap-distance-top:6.6pt;mso-wrap-style:none;z-index:251660288;mso-width-relative:page;mso-height-relative:page;" filled="f" stroked="f" coordsize="21600,21600" o:gfxdata="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TnbybX&#10;AAAACQEAAA8AAAAAAAAAAQAgAAAAIgAAAGRycy9kb3ducmV2LnhtbFBLAQIUABQAAAAIAIdO4kCN&#10;BpbCrwEAAHQDAAAOAAAAAAAAAAEAIAAAACYBAABkcnMvZTJvRG9jLnhtbFBLBQYAAAAABgAGAFkB&#10;AABHBQAAAAA=&#10;">
                <v:fill on="f" focussize="0,0"/>
                <v:stroke on="f"/>
                <v:imagedata o:title=""/>
                <o:lock v:ext="edit" aspectratio="f"/>
                <v:textbox inset="0mm,0mm,0mm,0mm">
                  <w:txbxContent>
                    <w:p w14:paraId="4ED6E81D">
                      <w:pPr>
                        <w:pStyle w:val="15"/>
                        <w:keepNext/>
                        <w:keepLines/>
                        <w:widowControl w:val="0"/>
                        <w:shd w:val="clear" w:color="auto" w:fill="auto"/>
                        <w:bidi w:val="0"/>
                        <w:spacing w:before="0" w:after="0" w:line="240" w:lineRule="auto"/>
                        <w:ind w:left="0" w:right="0" w:firstLine="0"/>
                        <w:jc w:val="left"/>
                      </w:pPr>
                      <w:bookmarkStart w:id="453" w:name="bookmark353"/>
                      <w:bookmarkStart w:id="454" w:name="bookmark355"/>
                      <w:bookmarkStart w:id="455" w:name="bookmark354"/>
                      <w:r>
                        <w:rPr>
                          <w:color w:val="000000"/>
                          <w:spacing w:val="0"/>
                          <w:w w:val="100"/>
                          <w:position w:val="0"/>
                        </w:rPr>
                        <w:t>悬赏广告的解释规则</w:t>
                      </w:r>
                      <w:bookmarkEnd w:id="453"/>
                      <w:bookmarkEnd w:id="454"/>
                      <w:bookmarkEnd w:id="455"/>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5113655</wp:posOffset>
            </wp:positionH>
            <wp:positionV relativeFrom="paragraph">
              <wp:posOffset>229870</wp:posOffset>
            </wp:positionV>
            <wp:extent cx="615950" cy="621665"/>
            <wp:effectExtent l="0" t="0" r="6350" b="635"/>
            <wp:wrapSquare wrapText="left"/>
            <wp:docPr id="779" name="Shape 779"/>
            <wp:cNvGraphicFramePr/>
            <a:graphic xmlns:a="http://schemas.openxmlformats.org/drawingml/2006/main">
              <a:graphicData uri="http://schemas.openxmlformats.org/drawingml/2006/picture">
                <pic:pic xmlns:pic="http://schemas.openxmlformats.org/drawingml/2006/picture">
                  <pic:nvPicPr>
                    <pic:cNvPr id="779" name="Shape 779"/>
                    <pic:cNvPicPr/>
                  </pic:nvPicPr>
                  <pic:blipFill>
                    <a:blip r:embed="rId662"/>
                    <a:stretch>
                      <a:fillRect/>
                    </a:stretch>
                  </pic:blipFill>
                  <pic:spPr>
                    <a:xfrm>
                      <a:off x="0" y="0"/>
                      <a:ext cx="615950" cy="621665"/>
                    </a:xfrm>
                    <a:prstGeom prst="rect">
                      <a:avLst/>
                    </a:prstGeom>
                  </pic:spPr>
                </pic:pic>
              </a:graphicData>
            </a:graphic>
          </wp:anchor>
        </w:drawing>
      </w:r>
    </w:p>
    <w:p w14:paraId="7867769E">
      <w:pPr>
        <w:pStyle w:val="17"/>
        <w:keepNext w:val="0"/>
        <w:keepLines w:val="0"/>
        <w:widowControl w:val="0"/>
        <w:shd w:val="clear" w:color="auto" w:fill="auto"/>
        <w:bidi w:val="0"/>
        <w:spacing w:before="0" w:after="100" w:line="240" w:lineRule="auto"/>
        <w:ind w:left="0" w:right="0" w:firstLine="980"/>
        <w:jc w:val="both"/>
      </w:pPr>
      <w:r>
        <w:rPr>
          <w:color w:val="000000"/>
          <w:spacing w:val="0"/>
          <w:w w:val="100"/>
          <w:position w:val="0"/>
        </w:rPr>
        <w:t>鲁瑞庚诉东港市公安局悬赏广告纠纷案丨《最高人民法院公报》</w:t>
      </w:r>
    </w:p>
    <w:p w14:paraId="056B73A1">
      <w:pPr>
        <w:pStyle w:val="21"/>
        <w:keepNext w:val="0"/>
        <w:keepLines w:val="0"/>
        <w:widowControl w:val="0"/>
        <w:shd w:val="clear" w:color="auto" w:fill="auto"/>
        <w:bidi w:val="0"/>
        <w:spacing w:before="0" w:after="420" w:line="240" w:lineRule="auto"/>
        <w:ind w:left="0" w:right="0" w:firstLine="980"/>
        <w:jc w:val="both"/>
        <w:rPr>
          <w:sz w:val="18"/>
          <w:szCs w:val="18"/>
        </w:rPr>
      </w:pPr>
      <w:r>
        <w:rPr>
          <w:rFonts w:ascii="Times New Roman" w:hAnsi="Times New Roman" w:eastAsia="Times New Roman" w:cs="Times New Roman"/>
          <w:color w:val="000000"/>
          <w:spacing w:val="0"/>
          <w:w w:val="100"/>
          <w:position w:val="0"/>
          <w:sz w:val="19"/>
          <w:szCs w:val="19"/>
        </w:rPr>
        <w:t>2003</w:t>
      </w:r>
      <w:r>
        <w:rPr>
          <w:rFonts w:ascii="宋体" w:hAnsi="宋体" w:eastAsia="宋体" w:cs="宋体"/>
          <w:color w:val="000000"/>
          <w:spacing w:val="0"/>
          <w:w w:val="100"/>
          <w:position w:val="0"/>
          <w:sz w:val="18"/>
          <w:szCs w:val="18"/>
        </w:rPr>
        <w:t>年第</w:t>
      </w:r>
      <w:r>
        <w:rPr>
          <w:rFonts w:ascii="Times New Roman" w:hAnsi="Times New Roman" w:eastAsia="Times New Roman" w:cs="Times New Roman"/>
          <w:color w:val="000000"/>
          <w:spacing w:val="0"/>
          <w:w w:val="100"/>
          <w:position w:val="0"/>
          <w:sz w:val="19"/>
          <w:szCs w:val="19"/>
        </w:rPr>
        <w:t>1</w:t>
      </w:r>
      <w:r>
        <w:rPr>
          <w:rFonts w:ascii="宋体" w:hAnsi="宋体" w:eastAsia="宋体" w:cs="宋体"/>
          <w:color w:val="000000"/>
          <w:spacing w:val="0"/>
          <w:w w:val="100"/>
          <w:position w:val="0"/>
          <w:sz w:val="18"/>
          <w:szCs w:val="18"/>
        </w:rPr>
        <w:t>期</w:t>
      </w:r>
    </w:p>
    <w:p w14:paraId="2E54847D">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施鸿鹏</w:t>
      </w:r>
      <w:r>
        <w:rPr>
          <w:color w:val="000000"/>
          <w:spacing w:val="0"/>
          <w:w w:val="100"/>
          <w:position w:val="0"/>
        </w:rPr>
        <w:t>复旦大学法学院</w:t>
      </w:r>
    </w:p>
    <w:p w14:paraId="640A097F">
      <w:pPr>
        <w:pStyle w:val="11"/>
        <w:keepNext w:val="0"/>
        <w:keepLines w:val="0"/>
        <w:widowControl w:val="0"/>
        <w:shd w:val="clear" w:color="auto" w:fill="auto"/>
        <w:bidi w:val="0"/>
        <w:spacing w:before="0" w:after="10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A597715">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日，东港市大东管理区永安街道发生了一起特大持枪杀人案。为尽快 破案，在取得被害人家属同意后，东港市公安局于</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日发布了悬赏通告（悬赏 广告），主要内容为:</w:t>
      </w:r>
      <w:r>
        <w:rPr>
          <w:color w:val="000000"/>
          <w:spacing w:val="0"/>
          <w:w w:val="100"/>
          <w:position w:val="0"/>
          <w:lang w:val="zh-CN" w:eastAsia="zh-CN" w:bidi="zh-CN"/>
        </w:rPr>
        <w:t>“一、</w:t>
      </w:r>
      <w:r>
        <w:rPr>
          <w:color w:val="000000"/>
          <w:spacing w:val="0"/>
          <w:w w:val="100"/>
          <w:position w:val="0"/>
        </w:rPr>
        <w:t>凡是提供线索直接破案的，被害人家属奖励人民币</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万元;二、凡 是提供线索公安机关通过侦查破获此案的，公安机关给予重奖……五、对提供线索者，公安 机关一律严格保密</w:t>
      </w:r>
      <w:r>
        <w:rPr>
          <w:color w:val="000000"/>
          <w:spacing w:val="0"/>
          <w:w w:val="100"/>
          <w:position w:val="0"/>
          <w:lang w:val="zh-CN" w:eastAsia="zh-CN" w:bidi="zh-CN"/>
        </w:rPr>
        <w:t>。”原</w:t>
      </w:r>
      <w:r>
        <w:rPr>
          <w:color w:val="000000"/>
          <w:spacing w:val="0"/>
          <w:w w:val="100"/>
          <w:position w:val="0"/>
        </w:rPr>
        <w:t>告鲁瑞庚看到该悬赏广告之后,通过在东港市公安局工作的亲属提 供了线索。鲁瑞庚所提供的破案线索，是公安机关获得的唯一重要线索，根据该线索，公安 机关迅速破获了此案。对此,公安机关根据悬赏广告的第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条奖励鲁瑞庚</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万元。此外， 被害人家属于</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日将用于奖励线索举报人的</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万元交给了东港市公安局。 本案所涉被害人家属证实愿意拿出</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万元人民币奖励给任何提供有关案件线索的人，使公 安机关能够尽快侦破案件。</w:t>
      </w:r>
    </w:p>
    <w:p w14:paraId="31A198B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原告鲁瑞庚认为，案件破获后，被告东港市公安局未按照悬赏广告履行自己的义务，未 向原告给付被害人家属奖励的</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万元。因此原告向丹东市中级人民法院提起诉讼，请求判 令被告给付悬赏奖金</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万元，并赔偿精神损失费</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万元。</w:t>
      </w:r>
    </w:p>
    <w:p w14:paraId="2FFE317E">
      <w:pPr>
        <w:pStyle w:val="17"/>
        <w:keepNext w:val="0"/>
        <w:keepLines w:val="0"/>
        <w:widowControl w:val="0"/>
        <w:shd w:val="clear" w:color="auto" w:fill="auto"/>
        <w:bidi w:val="0"/>
        <w:spacing w:before="0" w:after="380" w:line="342" w:lineRule="exact"/>
        <w:ind w:left="0" w:right="0" w:firstLine="420"/>
        <w:jc w:val="both"/>
      </w:pPr>
      <w:r>
        <w:rPr>
          <w:color w:val="000000"/>
          <w:spacing w:val="0"/>
          <w:w w:val="100"/>
          <w:position w:val="0"/>
        </w:rPr>
        <w:t>综观原告、被告双方的诉请及抗辩，本案需讨论的争点有二：（</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根据原告所提供的线 索，原告能否按照悬赏广告第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条获得被害人家属奖励的</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悬赏广告中第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条及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条涉及的奖励能否兼得。</w:t>
      </w:r>
    </w:p>
    <w:p w14:paraId="378D909A">
      <w:pPr>
        <w:pStyle w:val="11"/>
        <w:keepNext w:val="0"/>
        <w:keepLines w:val="0"/>
        <w:widowControl w:val="0"/>
        <w:shd w:val="clear" w:color="auto" w:fill="auto"/>
        <w:bidi w:val="0"/>
        <w:spacing w:before="0" w:after="4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5FEC0288">
      <w:pPr>
        <w:pStyle w:val="17"/>
        <w:keepNext w:val="0"/>
        <w:keepLines w:val="0"/>
        <w:widowControl w:val="0"/>
        <w:shd w:val="clear" w:color="auto" w:fill="auto"/>
        <w:bidi w:val="0"/>
        <w:spacing w:before="0" w:after="0" w:line="367" w:lineRule="exact"/>
        <w:ind w:left="0" w:right="0" w:firstLine="420"/>
        <w:jc w:val="both"/>
      </w:pPr>
      <w:r>
        <w:rPr>
          <w:color w:val="000000"/>
          <w:spacing w:val="0"/>
          <w:w w:val="100"/>
          <w:position w:val="0"/>
        </w:rPr>
        <w:t>二审判决判令被告东港市公安局将被害人家属交付的人民币</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万元给付原告鲁瑞庚; 驳回原告的其他诉讼请求。</w:t>
      </w:r>
    </w:p>
    <w:p w14:paraId="2736F83A">
      <w:pPr>
        <w:pStyle w:val="17"/>
        <w:keepNext w:val="0"/>
        <w:keepLines w:val="0"/>
        <w:widowControl w:val="0"/>
        <w:shd w:val="clear" w:color="auto" w:fill="auto"/>
        <w:bidi w:val="0"/>
        <w:spacing w:before="0" w:after="380" w:line="345" w:lineRule="exact"/>
        <w:ind w:left="0" w:right="0" w:firstLine="420"/>
        <w:jc w:val="both"/>
        <w:sectPr>
          <w:footnotePr>
            <w:numFmt w:val="chicago"/>
          </w:footnotePr>
          <w:type w:val="continuous"/>
          <w:pgSz w:w="10099" w:h="14782"/>
          <w:pgMar w:top="1297" w:right="1083" w:bottom="1117" w:left="1005" w:header="869" w:footer="689" w:gutter="0"/>
          <w:cols w:space="720" w:num="1"/>
          <w:rtlGutter w:val="0"/>
          <w:docGrid w:linePitch="360" w:charSpace="0"/>
        </w:sectPr>
      </w:pPr>
      <w:r>
        <w:rPr>
          <w:color w:val="000000"/>
          <w:spacing w:val="0"/>
          <w:w w:val="100"/>
          <w:position w:val="0"/>
        </w:rPr>
        <w:t>行为人完成了悬赏广告所指定的行为，即对广告人享有报酬请求权。本案悬赏广告是 以公安局的名义发布的，但是报酬是被害人家属提供的，悬赏行为实则是被害人家属委托 的行为。查家属本意,在于以</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 xml:space="preserve">万元直接奖励能够提供破案线索的举报人，希望能够有助 于公安机关迅速破案。被害人家属并未表示可以区分举报人提供线索的不同，给予不同数 </w:t>
      </w:r>
    </w:p>
    <w:p w14:paraId="44E63300">
      <w:pPr>
        <w:pStyle w:val="17"/>
        <w:keepNext w:val="0"/>
        <w:keepLines w:val="0"/>
        <w:widowControl w:val="0"/>
        <w:shd w:val="clear" w:color="auto" w:fill="auto"/>
        <w:bidi w:val="0"/>
        <w:spacing w:before="0" w:after="380" w:line="345" w:lineRule="exact"/>
        <w:ind w:left="0" w:right="0" w:firstLine="0"/>
        <w:jc w:val="both"/>
      </w:pPr>
      <w:r>
        <w:rPr>
          <w:color w:val="000000"/>
          <w:spacing w:val="0"/>
          <w:w w:val="100"/>
          <w:position w:val="0"/>
        </w:rPr>
        <w:t>额的奖励。原告提供线索的行为使公安机关据此及时侦破案件，系完成了悬赏广告（第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条）所指定的行为，因此获得了取得被害人家属所提供的报酬的权利。但悬赏广告是按不 同举报的效果，规定以不同的方式给予数额不同的奖励，并未表明同一举报可以兼得其他 奖励，故对于重复奖励部分不予支持,东港市公安局只需支付剩余</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万元。</w:t>
      </w:r>
    </w:p>
    <w:p w14:paraId="2C7F4A8B">
      <w:pPr>
        <w:pStyle w:val="11"/>
        <w:keepNext w:val="0"/>
        <w:keepLines w:val="0"/>
        <w:widowControl w:val="0"/>
        <w:shd w:val="clear" w:color="auto" w:fill="auto"/>
        <w:bidi w:val="0"/>
        <w:spacing w:before="0" w:after="280" w:line="340" w:lineRule="exact"/>
        <w:ind w:left="0" w:right="0" w:firstLine="0"/>
        <w:jc w:val="both"/>
      </w:pPr>
      <w:r>
        <w:rPr>
          <w:color w:val="000000"/>
          <w:spacing w:val="0"/>
          <w:w w:val="100"/>
          <w:position w:val="0"/>
        </w:rPr>
        <w:t>■评析</w:t>
      </w:r>
    </w:p>
    <w:p w14:paraId="43721A12">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645ADC3A">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本案中，东港市公安局发布的悬赏广告是有效的法律行为，且东港市公安局作为以自 己名义发布悬赏广告的主体，同时也是本案适格的当事人。但就悬赏广告中的第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条内容 而言,其悬赏给付的报酬是由被害人家属提供的，通告中的悬赏行为，实际上是受被害人家 属委托（非代理关系）的。因此，在此类法律行为的解释中，需要参酌被害人家属的真实意 思,以确定其法律效果。根据本案被害人家属的本意，应当将</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万元直接奖励能够提供破 案线索的举报人（本案原告）</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但是悬赏广告本身包含针对多种情形的悬赏样态，未表明同 一举报可以兼得其他奖励，因此不支持原告关于重复奖励的主张。本案之意义不在于确立 悬赏广告作为债之关系发生原因之一的属性,对此自</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期的《最高人民法院公 报》发布“李瑕诉朱晋华、李绍华悬赏广告酬金纠纷上诉案</w:t>
      </w:r>
      <w:r>
        <w:rPr>
          <w:color w:val="000000"/>
          <w:spacing w:val="0"/>
          <w:w w:val="100"/>
          <w:position w:val="0"/>
          <w:lang w:val="zh-CN" w:eastAsia="zh-CN" w:bidi="zh-CN"/>
        </w:rPr>
        <w:t>”以</w:t>
      </w:r>
      <w:r>
        <w:rPr>
          <w:color w:val="000000"/>
          <w:spacing w:val="0"/>
          <w:w w:val="100"/>
          <w:position w:val="0"/>
        </w:rPr>
        <w:t>来就已经形成了统一见解;本 案的意义毋宁在于对悬赏广告及类似法律行为的解释提供了方案。</w:t>
      </w:r>
    </w:p>
    <w:p w14:paraId="4995AAD4">
      <w:pPr>
        <w:pStyle w:val="17"/>
        <w:keepNext w:val="0"/>
        <w:keepLines w:val="0"/>
        <w:widowControl w:val="0"/>
        <w:shd w:val="clear" w:color="auto" w:fill="auto"/>
        <w:bidi w:val="0"/>
        <w:spacing w:before="0" w:after="40" w:line="374"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与悬赏广告相关之法律行为的解释的规范及学理</w:t>
      </w:r>
    </w:p>
    <w:p w14:paraId="6E6BD76A">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我国司法实践长期将悬赏广告视为合同之一种。除了前述“李璃案”，《民事案件案由 规定</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年修改）亦将“悬赏广告纠纷</w:t>
      </w:r>
      <w:r>
        <w:rPr>
          <w:color w:val="000000"/>
          <w:spacing w:val="0"/>
          <w:w w:val="100"/>
          <w:position w:val="0"/>
          <w:lang w:val="zh-CN" w:eastAsia="zh-CN" w:bidi="zh-CN"/>
        </w:rPr>
        <w:t>”归入“合</w:t>
      </w:r>
      <w:r>
        <w:rPr>
          <w:color w:val="000000"/>
          <w:spacing w:val="0"/>
          <w:w w:val="100"/>
          <w:position w:val="0"/>
        </w:rPr>
        <w:t>同纠纷”；与此相应,最高人民法院《关于 适用〈中华人民共和国合同法〉若干问题的解释（二）》［法释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条亦同此见 解。《民法典》第</w:t>
      </w:r>
      <w:r>
        <w:rPr>
          <w:rFonts w:ascii="Times New Roman" w:hAnsi="Times New Roman" w:eastAsia="Times New Roman" w:cs="Times New Roman"/>
          <w:color w:val="000000"/>
          <w:spacing w:val="0"/>
          <w:w w:val="100"/>
          <w:position w:val="0"/>
          <w:sz w:val="19"/>
          <w:szCs w:val="19"/>
        </w:rPr>
        <w:t>499</w:t>
      </w:r>
      <w:r>
        <w:rPr>
          <w:color w:val="000000"/>
          <w:spacing w:val="0"/>
          <w:w w:val="100"/>
          <w:position w:val="0"/>
        </w:rPr>
        <w:t>条在解释上亦采同一立场。民法学说亦认许我国民法秩序对于悬赏 广告系采合同行为说之立场［张俊浩主编:《民法学原理》（下），中国政法大学出版社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740</w:t>
      </w:r>
      <w:r>
        <w:rPr>
          <w:color w:val="000000"/>
          <w:spacing w:val="0"/>
          <w:w w:val="100"/>
          <w:position w:val="0"/>
        </w:rPr>
        <w:t>页；葛云松:《李琨诉朱晋华、李绍华悬赏广告酬金纠纷案评析》，载葛云松:《过渡时代的民法问题研 究》，北京大学出版社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年版；崔建远：《合同法》，北京大学出版社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40</w:t>
      </w:r>
      <w:r>
        <w:rPr>
          <w:color w:val="000000"/>
          <w:spacing w:val="0"/>
          <w:w w:val="100"/>
          <w:position w:val="0"/>
        </w:rPr>
        <w:t>页；韩世远：《合 同法总论》，法律出版社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123</w:t>
      </w:r>
      <w:r>
        <w:rPr>
          <w:color w:val="000000"/>
          <w:spacing w:val="0"/>
          <w:w w:val="100"/>
          <w:position w:val="0"/>
        </w:rPr>
        <w:t>页］。不过，无论釆单方行为说抑或契约说，对于司法 实践而言，真正重要的是对悬赏广告的内容进行解释的问题。对此,除了私法中散见的解 释规范［如《合同法》第</w:t>
      </w:r>
      <w:r>
        <w:rPr>
          <w:rFonts w:ascii="Times New Roman" w:hAnsi="Times New Roman" w:eastAsia="Times New Roman" w:cs="Times New Roman"/>
          <w:color w:val="000000"/>
          <w:spacing w:val="0"/>
          <w:w w:val="100"/>
          <w:position w:val="0"/>
          <w:sz w:val="17"/>
          <w:szCs w:val="17"/>
        </w:rPr>
        <w:t>61</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分句（《民法典》第</w:t>
      </w:r>
      <w:r>
        <w:rPr>
          <w:rFonts w:ascii="Times New Roman" w:hAnsi="Times New Roman" w:eastAsia="Times New Roman" w:cs="Times New Roman"/>
          <w:color w:val="000000"/>
          <w:spacing w:val="0"/>
          <w:w w:val="100"/>
          <w:position w:val="0"/>
          <w:sz w:val="17"/>
          <w:szCs w:val="17"/>
        </w:rPr>
        <w:t>510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分句）、第</w:t>
      </w:r>
      <w:r>
        <w:rPr>
          <w:rFonts w:ascii="Times New Roman" w:hAnsi="Times New Roman" w:eastAsia="Times New Roman" w:cs="Times New Roman"/>
          <w:color w:val="000000"/>
          <w:spacing w:val="0"/>
          <w:w w:val="100"/>
          <w:position w:val="0"/>
          <w:sz w:val="17"/>
          <w:szCs w:val="17"/>
        </w:rPr>
        <w:t>211</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680</w:t>
      </w:r>
      <w:r>
        <w:rPr>
          <w:color w:val="000000"/>
          <w:spacing w:val="0"/>
          <w:w w:val="100"/>
          <w:position w:val="0"/>
        </w:rPr>
        <w:t>条，但 有所调整》</w:t>
      </w:r>
      <w:r>
        <w:rPr>
          <w:color w:val="000000"/>
          <w:spacing w:val="0"/>
          <w:w w:val="100"/>
          <w:position w:val="0"/>
          <w:lang w:val="en-US" w:eastAsia="en-US" w:bidi="en-US"/>
        </w:rPr>
        <w:t>）］</w:t>
      </w:r>
      <w:r>
        <w:rPr>
          <w:color w:val="000000"/>
          <w:spacing w:val="0"/>
          <w:w w:val="100"/>
          <w:position w:val="0"/>
        </w:rPr>
        <w:t>之外，原《合同法》第</w:t>
      </w:r>
      <w:r>
        <w:rPr>
          <w:rFonts w:ascii="Times New Roman" w:hAnsi="Times New Roman" w:eastAsia="Times New Roman" w:cs="Times New Roman"/>
          <w:color w:val="000000"/>
          <w:spacing w:val="0"/>
          <w:w w:val="100"/>
          <w:position w:val="0"/>
          <w:sz w:val="19"/>
          <w:szCs w:val="19"/>
        </w:rPr>
        <w:t>125</w:t>
      </w:r>
      <w:r>
        <w:rPr>
          <w:color w:val="000000"/>
          <w:spacing w:val="0"/>
          <w:w w:val="100"/>
          <w:position w:val="0"/>
        </w:rPr>
        <w:t>条对于合同这一法律行为的解释做了集中的规定。此 后，作为更一般性的法律行为及意思表示的解释，原《民法总则》第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条区分有相对人（需 受领）的意思表示与无相对人（无须受领）的意思表示分别阐明不同的解释目的及解释方 法。该条规范最终成为《民法典》第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条之规定内容。</w:t>
      </w:r>
    </w:p>
    <w:p w14:paraId="33086B39">
      <w:pPr>
        <w:pStyle w:val="17"/>
        <w:keepNext w:val="0"/>
        <w:keepLines w:val="0"/>
        <w:widowControl w:val="0"/>
        <w:shd w:val="clear" w:color="auto" w:fill="auto"/>
        <w:bidi w:val="0"/>
        <w:spacing w:before="0" w:after="160" w:line="338" w:lineRule="exact"/>
        <w:ind w:left="0" w:right="0" w:firstLine="420"/>
        <w:jc w:val="both"/>
      </w:pPr>
      <w:r>
        <w:rPr>
          <w:color w:val="000000"/>
          <w:spacing w:val="0"/>
          <w:w w:val="100"/>
          <w:position w:val="0"/>
        </w:rPr>
        <w:t>单纯就本案的裁判结论而言,在学理上可以达成共识的是，如果意思表示的表意人及 受领人对之有相同的理解，则表示即应当以此种理解适用于当事人之间（［德</w:t>
      </w:r>
      <w:r>
        <w:rPr>
          <w:color w:val="000000"/>
          <w:spacing w:val="0"/>
          <w:w w:val="100"/>
          <w:position w:val="0"/>
          <w:lang w:val="en-US" w:eastAsia="en-US" w:bidi="en-US"/>
        </w:rPr>
        <w:t>］</w:t>
      </w:r>
      <w:r>
        <w:rPr>
          <w:color w:val="000000"/>
          <w:spacing w:val="0"/>
          <w:w w:val="100"/>
          <w:position w:val="0"/>
        </w:rPr>
        <w:t>卡尔-拉伦茨:</w:t>
      </w:r>
    </w:p>
    <w:p w14:paraId="5D175A25">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《法学方法论》，陈爱娥译，商务印书馆</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179</w:t>
      </w:r>
      <w:r>
        <w:rPr>
          <w:color w:val="000000"/>
          <w:spacing w:val="0"/>
          <w:w w:val="100"/>
          <w:position w:val="0"/>
        </w:rPr>
        <w:t>页）。就本案而言,原告及被害人家属在 事实上即形成了理解上的共识。仅此固然可以了结此案，但未免过于机巧而忽略了本案中 更为重要的宏旨。从本案出发所需要关注的是，如果双方当事人对此持不同见解，则意思 表示应当依何种法则展开？</w:t>
      </w:r>
    </w:p>
    <w:p w14:paraId="52EEE7D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法律行为的解释面向十分广泛,若涉及无相对人的意思表示，则侧重于综合考虑文本 以及文本以外的各种证据，以探求表意人的主观意思，因为此时不涉及相对人利益保护及 其合理期待（李宇：《民法总则要义:规范释论与判解集注》，法律出版社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480</w:t>
      </w:r>
      <w:r>
        <w:rPr>
          <w:color w:val="000000"/>
          <w:spacing w:val="0"/>
          <w:w w:val="100"/>
          <w:position w:val="0"/>
        </w:rPr>
        <w:t>页；崔建远 等:《民法总论》，清华大学出版社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87</w:t>
      </w:r>
      <w:r>
        <w:rPr>
          <w:color w:val="000000"/>
          <w:spacing w:val="0"/>
          <w:w w:val="100"/>
          <w:position w:val="0"/>
        </w:rPr>
        <w:t>页（韩世远）；［德］卡尔</w:t>
      </w:r>
      <w:r>
        <w:rPr>
          <w:color w:val="000000"/>
          <w:spacing w:val="0"/>
          <w:w w:val="100"/>
          <w:position w:val="0"/>
          <w:lang w:val="en-US" w:eastAsia="en-US" w:bidi="en-US"/>
        </w:rPr>
        <w:t>•</w:t>
      </w:r>
      <w:r>
        <w:rPr>
          <w:color w:val="000000"/>
          <w:spacing w:val="0"/>
          <w:w w:val="100"/>
          <w:position w:val="0"/>
        </w:rPr>
        <w:t>拉伦茨:《德国民法通论》， 王晓晔、邵建东、程建英、谢怀杭译，法律出版社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471 </w:t>
      </w:r>
      <w:r>
        <w:rPr>
          <w:rFonts w:ascii="Times New Roman" w:hAnsi="Times New Roman" w:eastAsia="Times New Roman" w:cs="Times New Roman"/>
          <w:color w:val="000000"/>
          <w:spacing w:val="0"/>
          <w:w w:val="100"/>
          <w:position w:val="0"/>
          <w:sz w:val="17"/>
          <w:szCs w:val="17"/>
          <w:lang w:val="en-US" w:eastAsia="en-US" w:bidi="en-US"/>
        </w:rPr>
        <w:t>-472</w:t>
      </w:r>
      <w:r>
        <w:rPr>
          <w:color w:val="000000"/>
          <w:spacing w:val="0"/>
          <w:w w:val="100"/>
          <w:position w:val="0"/>
        </w:rPr>
        <w:t>页）。本案涉及的是有相对 人的意思表示的解释问题。不过，此类意思表示的解释尚需进一步区分类型:一般情况下， 受领人对表示的客观含义的信赖利益需要加以保护;例外情况下，受领人的利益无须或者 不值得被保护，如受领人知道或者尽到合理注意之后应当知道表意人真意的情形（［德</w:t>
      </w:r>
      <w:r>
        <w:rPr>
          <w:color w:val="000000"/>
          <w:spacing w:val="0"/>
          <w:w w:val="100"/>
          <w:position w:val="0"/>
          <w:lang w:val="en-US" w:eastAsia="en-US" w:bidi="en-US"/>
        </w:rPr>
        <w:t>］</w:t>
      </w:r>
      <w:r>
        <w:rPr>
          <w:color w:val="000000"/>
          <w:spacing w:val="0"/>
          <w:w w:val="100"/>
          <w:position w:val="0"/>
        </w:rPr>
        <w:t>汉斯・ 布洛克斯、沃尔夫-迪特里希-瓦尔克：《德国民法总论》（第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版），张艳译，中国人民大学出版社</w:t>
      </w:r>
      <w:r>
        <w:rPr>
          <w:rFonts w:ascii="Times New Roman" w:hAnsi="Times New Roman" w:eastAsia="Times New Roman" w:cs="Times New Roman"/>
          <w:color w:val="000000"/>
          <w:spacing w:val="0"/>
          <w:w w:val="100"/>
          <w:position w:val="0"/>
          <w:sz w:val="17"/>
          <w:szCs w:val="17"/>
        </w:rPr>
        <w:t xml:space="preserve">2012 </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94-96</w:t>
      </w:r>
      <w:r>
        <w:rPr>
          <w:color w:val="000000"/>
          <w:spacing w:val="0"/>
          <w:w w:val="100"/>
          <w:position w:val="0"/>
        </w:rPr>
        <w:t xml:space="preserve">页）。悬赏广告并非像遗赠等受领人的利益原则上无须加以保护的法律行 为。在悬赏广告中，仅仅是广告发布者负有给付义务，而完成约定事务的主体的给付并非 基于该悬赏广告中的义务，而是基于自愿。由于发布者酬金的给付在目的上与约定事务之 完成相连接,即只有在对方完成其给付的情况下，发布者才进一步完成其给付。因此，行为 人固然能够根据悬赏广告取得约定报酬,但是悬赏广告双方当事人对于其中一方报酬之取 得并无无偿性合意。不仅行为人完成约定事务与悬赏广告发布者的给付之间存在条件式 的连结，而且报酬之取得通常也构成行为人实施约定行为的主观目的。因此，悬赏广告的 内容在解释上就应当考虑相对人的利益,通过规范解释，需查明的并非表意人（发布者）的 真实意思,而是表示的客观含义，查明在尽到合理注意后意思表示如何被受领人理解，以使 受领人能够适应表意人的表示行为所创设的法律状况（朱庆育:《民法总论》，北京大学出版社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225</w:t>
      </w:r>
      <w:r>
        <w:rPr>
          <w:color w:val="000000"/>
          <w:spacing w:val="0"/>
          <w:w w:val="100"/>
          <w:position w:val="0"/>
        </w:rPr>
        <w:t>页；［德］汉斯-布洛克斯、沃尔夫-迪特里希-瓦尔克：《德国民法总论》（第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版）， 张艳译，中国人民大学出版社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页；［德］迪特尔-梅迪库斯：《德国民法总论》，邵建东 译，法律出版社</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239</w:t>
      </w:r>
      <w:r>
        <w:rPr>
          <w:color w:val="000000"/>
          <w:spacing w:val="0"/>
          <w:w w:val="100"/>
          <w:position w:val="0"/>
        </w:rPr>
        <w:t>页）。其正当性在于，若欠缺其他可查明的解释材料,受领人 可以信赖表意人所表示的内容，对受领人的信赖保护优先于表意人的利益就具有合理性。</w:t>
      </w:r>
    </w:p>
    <w:p w14:paraId="4EC13D5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 xml:space="preserve">此外，在有相对人且相对人的利益应当加以考虑的意思表示的解释中，虽然解释结论 可能对表意人不利，但是并不能认为在法律行为的解释中存在一般性的不利解释规则或 </w:t>
      </w:r>
      <w:r>
        <w:rPr>
          <w:color w:val="000000"/>
          <w:spacing w:val="0"/>
          <w:w w:val="100"/>
          <w:position w:val="0"/>
          <w:lang w:val="zh-CN" w:eastAsia="zh-CN" w:bidi="zh-CN"/>
        </w:rPr>
        <w:t>“疑</w:t>
      </w:r>
      <w:r>
        <w:rPr>
          <w:color w:val="000000"/>
          <w:spacing w:val="0"/>
          <w:w w:val="100"/>
          <w:position w:val="0"/>
        </w:rPr>
        <w:t xml:space="preserve">义条款作不利于起草人之解释”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这一规则应仅限于格式条款之解释以及部分商事合 同（如保险合同，另见《国际商事合同通则》第</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条）。当然，在此类意思表示的解释中，考 虑到表意人与受领人可能的利益冲突，无论最终形成何种结论，法院原则上都只能在表意 人所主张的真意与受领人所主张的尽到合理注意之后的表示的客观含义之间，按照相关条 款、行为性质、习惯以及诚实信用原则,根据双方当事人之间（含双方当事人本身）的利益状 态，形成判决。本案的简便之处在于，表意人的真实意思与受领人所理解（主张）的解释立 场正好保持一致，法院自然可以依此形成判决。</w:t>
      </w:r>
    </w:p>
    <w:p w14:paraId="1F5971BF">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a</w:t>
      </w:r>
      <w:r>
        <w:rPr>
          <w:color w:val="000000"/>
          <w:spacing w:val="0"/>
          <w:w w:val="100"/>
          <w:position w:val="0"/>
        </w:rPr>
        <w:t>既往司法实践状况</w:t>
      </w:r>
    </w:p>
    <w:p w14:paraId="29DC884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在本案之前，《最高人民法院公报》</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1995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期）公布的</w:t>
      </w:r>
      <w:r>
        <w:rPr>
          <w:color w:val="000000"/>
          <w:spacing w:val="0"/>
          <w:w w:val="100"/>
          <w:position w:val="0"/>
          <w:lang w:val="zh-CN" w:eastAsia="zh-CN" w:bidi="zh-CN"/>
        </w:rPr>
        <w:t>“李</w:t>
      </w:r>
      <w:r>
        <w:rPr>
          <w:color w:val="000000"/>
          <w:spacing w:val="0"/>
          <w:w w:val="100"/>
          <w:position w:val="0"/>
        </w:rPr>
        <w:t>琨诉朱晋华、李绍华悬 赏广告酬金纠纷上诉案</w:t>
      </w:r>
      <w:r>
        <w:rPr>
          <w:color w:val="000000"/>
          <w:spacing w:val="0"/>
          <w:w w:val="100"/>
          <w:position w:val="0"/>
          <w:lang w:val="zh-CN" w:eastAsia="zh-CN" w:bidi="zh-CN"/>
        </w:rPr>
        <w:t>”，一</w:t>
      </w:r>
      <w:r>
        <w:rPr>
          <w:color w:val="000000"/>
          <w:spacing w:val="0"/>
          <w:w w:val="100"/>
          <w:position w:val="0"/>
        </w:rPr>
        <w:t>方面承认悬赏广告作为债之关系发生原因之一,另一方面将悬 赏广告做契约理解，认为悬赏广告之内容“系向社会不特定人的要约”。本案在此基础上虽 然并未明确悬赏广告究竟为单方行为抑或契约，但是承认其创设债之关系的功能则无疑 问。</w:t>
      </w:r>
    </w:p>
    <w:p w14:paraId="7A17F4AE">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就法律行为的解释而言，对于遗嘱等无相对人的意思表示，法院一向强调被继承人本 身意志的决定性，认为</w:t>
      </w:r>
      <w:r>
        <w:rPr>
          <w:color w:val="000000"/>
          <w:spacing w:val="0"/>
          <w:w w:val="100"/>
          <w:position w:val="0"/>
          <w:lang w:val="zh-CN" w:eastAsia="zh-CN" w:bidi="zh-CN"/>
        </w:rPr>
        <w:t>“遗</w:t>
      </w:r>
      <w:r>
        <w:rPr>
          <w:color w:val="000000"/>
          <w:spacing w:val="0"/>
          <w:w w:val="100"/>
          <w:position w:val="0"/>
        </w:rPr>
        <w:t xml:space="preserve">产分配优先尊重死者生前的意思表示”［重庆市第五中级人民法院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渝</w:t>
      </w:r>
      <w:r>
        <w:rPr>
          <w:rFonts w:ascii="Times New Roman" w:hAnsi="Times New Roman" w:eastAsia="Times New Roman" w:cs="Times New Roman"/>
          <w:color w:val="000000"/>
          <w:spacing w:val="0"/>
          <w:w w:val="100"/>
          <w:position w:val="0"/>
          <w:sz w:val="17"/>
          <w:szCs w:val="17"/>
        </w:rPr>
        <w:t>05</w:t>
      </w:r>
      <w:r>
        <w:rPr>
          <w:color w:val="000000"/>
          <w:spacing w:val="0"/>
          <w:w w:val="100"/>
          <w:position w:val="0"/>
        </w:rPr>
        <w:t>民再</w:t>
      </w:r>
      <w:r>
        <w:rPr>
          <w:rFonts w:ascii="Times New Roman" w:hAnsi="Times New Roman" w:eastAsia="Times New Roman" w:cs="Times New Roman"/>
          <w:color w:val="000000"/>
          <w:spacing w:val="0"/>
          <w:w w:val="100"/>
          <w:position w:val="0"/>
          <w:sz w:val="17"/>
          <w:szCs w:val="17"/>
        </w:rPr>
        <w:t>17</w:t>
      </w:r>
      <w:r>
        <w:rPr>
          <w:color w:val="000000"/>
          <w:spacing w:val="0"/>
          <w:w w:val="100"/>
          <w:position w:val="0"/>
        </w:rPr>
        <w:t>号民事判决书］，而并不关注规范解释及其方法的运用；有的法院明确指 出</w:t>
      </w:r>
      <w:r>
        <w:rPr>
          <w:color w:val="000000"/>
          <w:spacing w:val="0"/>
          <w:w w:val="100"/>
          <w:position w:val="0"/>
          <w:lang w:val="zh-CN" w:eastAsia="zh-CN" w:bidi="zh-CN"/>
        </w:rPr>
        <w:t>，“遗</w:t>
      </w:r>
      <w:r>
        <w:rPr>
          <w:color w:val="000000"/>
          <w:spacing w:val="0"/>
          <w:w w:val="100"/>
          <w:position w:val="0"/>
        </w:rPr>
        <w:t>嘱是典型的要式行为、死因行为、无相对人的单方法律行为，与合同等双方法律行为 存在本质区别，故遗嘱解释不同于一般的合同解释。被继承人立遗嘱的本意是希望其所立 的遗嘱能够生效，并能够按照遗嘱人的真意来处理遗产。因此，遗嘱的解释应探寻被继承 人的内心真意，力求符合遗嘱愿望，不能仅因遗嘱存在笔误或部分歧义而轻易否定其效力” ［广东省广州市中级人民法院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穗中法民一终字第</w:t>
      </w:r>
      <w:r>
        <w:rPr>
          <w:rFonts w:ascii="Times New Roman" w:hAnsi="Times New Roman" w:eastAsia="Times New Roman" w:cs="Times New Roman"/>
          <w:color w:val="000000"/>
          <w:spacing w:val="0"/>
          <w:w w:val="100"/>
          <w:position w:val="0"/>
          <w:sz w:val="17"/>
          <w:szCs w:val="17"/>
        </w:rPr>
        <w:t>2958</w:t>
      </w:r>
      <w:r>
        <w:rPr>
          <w:color w:val="000000"/>
          <w:spacing w:val="0"/>
          <w:w w:val="100"/>
          <w:position w:val="0"/>
        </w:rPr>
        <w:t>号民事判决书］。与此不同的是，对于 有相对人且相对人的信赖利益需要保护的情形，法院普遍认可规范解释的进路。此种进路 的选择具体表现为对文义解释、整体解释、目的解释等方法的运用。例如，就文义解释而言, 有的法院认为，“判断当事人真实的意思表示首要方法是判断当事人字面的意思表示。这 正所谓合同解释中的文义解释方法，只有在文义解释不能确定该条款的准确含义时，再运 用其他解释方法去确定合同条款的含义以及填补合同的漏洞”［最高人民法院</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民二终字 第</w:t>
      </w:r>
      <w:r>
        <w:rPr>
          <w:rFonts w:ascii="Times New Roman" w:hAnsi="Times New Roman" w:eastAsia="Times New Roman" w:cs="Times New Roman"/>
          <w:color w:val="000000"/>
          <w:spacing w:val="0"/>
          <w:w w:val="100"/>
          <w:position w:val="0"/>
          <w:sz w:val="17"/>
          <w:szCs w:val="17"/>
        </w:rPr>
        <w:t>99</w:t>
      </w:r>
      <w:r>
        <w:rPr>
          <w:color w:val="000000"/>
          <w:spacing w:val="0"/>
          <w:w w:val="100"/>
          <w:position w:val="0"/>
        </w:rPr>
        <w:t>号民事裁定书，《最高人民法院公报》</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 xml:space="preserve">期］。此夕卜，江苏省徐州市泉山区人民法院 </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泉经初字第</w:t>
      </w:r>
      <w:r>
        <w:rPr>
          <w:rFonts w:ascii="Times New Roman" w:hAnsi="Times New Roman" w:eastAsia="Times New Roman" w:cs="Times New Roman"/>
          <w:color w:val="000000"/>
          <w:spacing w:val="0"/>
          <w:w w:val="100"/>
          <w:position w:val="0"/>
          <w:sz w:val="17"/>
          <w:szCs w:val="17"/>
        </w:rPr>
        <w:t>383</w:t>
      </w:r>
      <w:r>
        <w:rPr>
          <w:color w:val="000000"/>
          <w:spacing w:val="0"/>
          <w:w w:val="100"/>
          <w:position w:val="0"/>
        </w:rPr>
        <w:t>号判决书等也认同之。对于整体解释，有的法院采用联系上下文的 方式确定约定的客观可推知的含义［如上海市第一中级人民法院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 xml:space="preserve">沪一中民二（民）终字第 </w:t>
      </w:r>
      <w:r>
        <w:rPr>
          <w:rFonts w:ascii="Times New Roman" w:hAnsi="Times New Roman" w:eastAsia="Times New Roman" w:cs="Times New Roman"/>
          <w:color w:val="000000"/>
          <w:spacing w:val="0"/>
          <w:w w:val="100"/>
          <w:position w:val="0"/>
          <w:sz w:val="17"/>
          <w:szCs w:val="17"/>
        </w:rPr>
        <w:t>2284</w:t>
      </w:r>
      <w:r>
        <w:rPr>
          <w:color w:val="000000"/>
          <w:spacing w:val="0"/>
          <w:w w:val="100"/>
          <w:position w:val="0"/>
        </w:rPr>
        <w:t>号民事判决书］。此外,值得关注的是，原《民法总则》施行之后，法院在第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 的指引下明确认为</w:t>
      </w:r>
      <w:r>
        <w:rPr>
          <w:color w:val="000000"/>
          <w:spacing w:val="0"/>
          <w:w w:val="100"/>
          <w:position w:val="0"/>
          <w:lang w:val="zh-CN" w:eastAsia="zh-CN" w:bidi="zh-CN"/>
        </w:rPr>
        <w:t>，“在</w:t>
      </w:r>
      <w:r>
        <w:rPr>
          <w:color w:val="000000"/>
          <w:spacing w:val="0"/>
          <w:w w:val="100"/>
          <w:position w:val="0"/>
        </w:rPr>
        <w:t>意思表示的受领人不享有其他解释资料，即受领人不知表意人的内 心真意时，受领人只能从外在表示推知表意人的意思,在受领人尽到合理的交易上注意义 务之后，对外在表示客观含义的合理信赖就应当优于表意人的内心真意得到保护</w:t>
      </w:r>
      <w:r>
        <w:rPr>
          <w:color w:val="000000"/>
          <w:spacing w:val="0"/>
          <w:w w:val="100"/>
          <w:position w:val="0"/>
          <w:lang w:val="zh-CN" w:eastAsia="zh-CN" w:bidi="zh-CN"/>
        </w:rPr>
        <w:t>”［辽</w:t>
      </w:r>
      <w:r>
        <w:rPr>
          <w:color w:val="000000"/>
          <w:spacing w:val="0"/>
          <w:w w:val="100"/>
          <w:position w:val="0"/>
        </w:rPr>
        <w:t>宁省 大连市中级人民法院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辽</w:t>
      </w:r>
      <w:r>
        <w:rPr>
          <w:rFonts w:ascii="Times New Roman" w:hAnsi="Times New Roman" w:eastAsia="Times New Roman" w:cs="Times New Roman"/>
          <w:color w:val="000000"/>
          <w:spacing w:val="0"/>
          <w:w w:val="100"/>
          <w:position w:val="0"/>
          <w:sz w:val="17"/>
          <w:szCs w:val="17"/>
        </w:rPr>
        <w:t>02</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9052</w:t>
      </w:r>
      <w:r>
        <w:rPr>
          <w:color w:val="000000"/>
          <w:spacing w:val="0"/>
          <w:w w:val="100"/>
          <w:position w:val="0"/>
        </w:rPr>
        <w:t>号民事判决书］，强调有相对人的意思表示中，受领人 视角的规范解释的重要性。</w:t>
      </w:r>
    </w:p>
    <w:p w14:paraId="37A987DB">
      <w:pPr>
        <w:pStyle w:val="17"/>
        <w:keepNext w:val="0"/>
        <w:keepLines w:val="0"/>
        <w:widowControl w:val="0"/>
        <w:shd w:val="clear" w:color="auto" w:fill="auto"/>
        <w:bidi w:val="0"/>
        <w:spacing w:before="0" w:after="140" w:line="343"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771B8340">
      <w:pPr>
        <w:pStyle w:val="17"/>
        <w:keepNext w:val="0"/>
        <w:keepLines w:val="0"/>
        <w:widowControl w:val="0"/>
        <w:shd w:val="clear" w:color="auto" w:fill="auto"/>
        <w:bidi w:val="0"/>
        <w:spacing w:before="0" w:after="360" w:line="343" w:lineRule="exact"/>
        <w:ind w:left="0" w:right="0" w:firstLine="420"/>
        <w:jc w:val="both"/>
        <w:sectPr>
          <w:headerReference r:id="rId342" w:type="default"/>
          <w:headerReference r:id="rId343" w:type="even"/>
          <w:footnotePr>
            <w:numFmt w:val="chicago"/>
          </w:footnotePr>
          <w:pgSz w:w="10099" w:h="14782"/>
          <w:pgMar w:top="1297" w:right="1083" w:bottom="1117" w:left="1005" w:header="0" w:footer="3" w:gutter="0"/>
          <w:pgNumType w:start="272"/>
          <w:cols w:space="720" w:num="1"/>
          <w:rtlGutter w:val="0"/>
          <w:docGrid w:linePitch="360" w:charSpace="0"/>
        </w:sectPr>
      </w:pPr>
      <w:r>
        <w:rPr>
          <w:color w:val="000000"/>
          <w:spacing w:val="0"/>
          <w:w w:val="100"/>
          <w:position w:val="0"/>
        </w:rPr>
        <w:t xml:space="preserve">本案说理部分虽然一再强调被害人近亲属本意的重要性，但这一点决不能理解为对悬 赏广告的内容解释中，表意人的真实意思是理解意思表示的最重要因素。如上所述，对于 此类法律行为，重要的绝非自然的解释,即探求表意人的真意，而在于厘清受领人视角下此 种表示的客观含义。本案所强调的被害人近亲属的本意，其目的毋宁在于,对于处于受托 人地位的表意人而言，表意人视角下的法律行为的自然解释结论，需要首先参酌委托人的 </w:t>
      </w:r>
    </w:p>
    <w:p w14:paraId="18CB89CC">
      <w:pPr>
        <w:pStyle w:val="17"/>
        <w:keepNext w:val="0"/>
        <w:keepLines w:val="0"/>
        <w:widowControl w:val="0"/>
        <w:shd w:val="clear" w:color="auto" w:fill="auto"/>
        <w:bidi w:val="0"/>
        <w:spacing w:before="0" w:after="360" w:line="343" w:lineRule="exact"/>
        <w:ind w:left="0" w:right="0" w:firstLine="0"/>
        <w:jc w:val="both"/>
      </w:pPr>
      <w:r>
        <w:rPr>
          <w:color w:val="000000"/>
          <w:spacing w:val="0"/>
          <w:w w:val="100"/>
          <w:position w:val="0"/>
        </w:rPr>
        <w:t>真实意思。而这一点毋宁是委托合同中受托人服从委托人的指示（《民法典》第</w:t>
      </w:r>
      <w:r>
        <w:rPr>
          <w:rFonts w:ascii="Times New Roman" w:hAnsi="Times New Roman" w:eastAsia="Times New Roman" w:cs="Times New Roman"/>
          <w:color w:val="000000"/>
          <w:spacing w:val="0"/>
          <w:w w:val="100"/>
          <w:position w:val="0"/>
          <w:sz w:val="19"/>
          <w:szCs w:val="19"/>
        </w:rPr>
        <w:t>922</w:t>
      </w:r>
      <w:r>
        <w:rPr>
          <w:color w:val="000000"/>
          <w:spacing w:val="0"/>
          <w:w w:val="100"/>
          <w:position w:val="0"/>
        </w:rPr>
        <w:t>条）的 法理以及第三人在知悉受托人与委托人关系的情况下,合同关系直接约束委托人与受托人 （《民法典》第</w:t>
      </w:r>
      <w:r>
        <w:rPr>
          <w:rFonts w:ascii="Times New Roman" w:hAnsi="Times New Roman" w:eastAsia="Times New Roman" w:cs="Times New Roman"/>
          <w:color w:val="000000"/>
          <w:spacing w:val="0"/>
          <w:w w:val="100"/>
          <w:position w:val="0"/>
          <w:sz w:val="19"/>
          <w:szCs w:val="19"/>
        </w:rPr>
        <w:t>925</w:t>
      </w:r>
      <w:r>
        <w:rPr>
          <w:color w:val="000000"/>
          <w:spacing w:val="0"/>
          <w:w w:val="100"/>
          <w:position w:val="0"/>
        </w:rPr>
        <w:t>条）法理的部分体现。本案中，被害人近亲属的意愿与原告一致，法院干 脆借坡下驴，就此定分止争。但对于将来案件而言,锚定受领人视角下的规范解释,才是解 决此类案件的法律行为解释的最关键步骤。</w:t>
      </w:r>
    </w:p>
    <w:p w14:paraId="32FEB30A">
      <w:pPr>
        <w:pStyle w:val="11"/>
        <w:keepNext w:val="0"/>
        <w:keepLines w:val="0"/>
        <w:widowControl w:val="0"/>
        <w:shd w:val="clear" w:color="auto" w:fill="auto"/>
        <w:bidi w:val="0"/>
        <w:spacing w:before="0" w:after="0" w:line="336" w:lineRule="exact"/>
        <w:ind w:left="0" w:right="0" w:firstLine="0"/>
        <w:jc w:val="both"/>
      </w:pPr>
      <w:r>
        <w:rPr>
          <w:color w:val="000000"/>
          <w:spacing w:val="0"/>
          <w:w w:val="100"/>
          <w:position w:val="0"/>
        </w:rPr>
        <w:t>回参考文献</w:t>
      </w:r>
    </w:p>
    <w:p w14:paraId="5F3F5C2A">
      <w:pPr>
        <w:pStyle w:val="17"/>
        <w:keepNext w:val="0"/>
        <w:keepLines w:val="0"/>
        <w:widowControl w:val="0"/>
        <w:shd w:val="clear" w:color="auto" w:fill="auto"/>
        <w:bidi w:val="0"/>
        <w:spacing w:before="0" w:after="0" w:line="336" w:lineRule="exact"/>
        <w:ind w:left="0" w:right="0" w:firstLine="0"/>
        <w:jc w:val="left"/>
      </w:pPr>
      <w:r>
        <w:rPr>
          <w:color w:val="000000"/>
          <w:spacing w:val="0"/>
          <w:w w:val="100"/>
          <w:position w:val="0"/>
        </w:rPr>
        <w:t>崔建远等：《民法总论》，清华大学出版社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0DD98149">
      <w:pPr>
        <w:pStyle w:val="17"/>
        <w:keepNext w:val="0"/>
        <w:keepLines w:val="0"/>
        <w:widowControl w:val="0"/>
        <w:shd w:val="clear" w:color="auto" w:fill="auto"/>
        <w:bidi w:val="0"/>
        <w:spacing w:before="0" w:after="0" w:line="336" w:lineRule="exact"/>
        <w:ind w:left="0" w:right="0" w:firstLine="0"/>
        <w:jc w:val="both"/>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51441C4">
      <w:pPr>
        <w:pStyle w:val="17"/>
        <w:keepNext w:val="0"/>
        <w:keepLines w:val="0"/>
        <w:widowControl w:val="0"/>
        <w:shd w:val="clear" w:color="auto" w:fill="auto"/>
        <w:bidi w:val="0"/>
        <w:spacing w:before="0" w:after="0" w:line="336" w:lineRule="exact"/>
        <w:ind w:left="0" w:right="0" w:firstLine="0"/>
        <w:jc w:val="left"/>
      </w:pPr>
      <w:r>
        <w:rPr>
          <w:color w:val="000000"/>
          <w:spacing w:val="0"/>
          <w:w w:val="100"/>
          <w:position w:val="0"/>
        </w:rPr>
        <w:t>陈甦主编:《民法总则评注》，法律出版社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0B9A5E8E">
      <w:pPr>
        <w:pStyle w:val="17"/>
        <w:keepNext w:val="0"/>
        <w:keepLines w:val="0"/>
        <w:widowControl w:val="0"/>
        <w:shd w:val="clear" w:color="auto" w:fill="auto"/>
        <w:bidi w:val="0"/>
        <w:spacing w:before="0" w:after="0" w:line="305" w:lineRule="exact"/>
        <w:ind w:left="180" w:right="0" w:hanging="180"/>
        <w:jc w:val="both"/>
      </w:pPr>
      <w:r>
        <w:rPr>
          <w:color w:val="000000"/>
          <w:spacing w:val="0"/>
          <w:w w:val="100"/>
          <w:position w:val="0"/>
        </w:rPr>
        <w:t>［德］汉斯</w:t>
      </w:r>
      <w:r>
        <w:rPr>
          <w:color w:val="000000"/>
          <w:spacing w:val="0"/>
          <w:w w:val="100"/>
          <w:position w:val="0"/>
          <w:lang w:val="en-US" w:eastAsia="en-US" w:bidi="en-US"/>
        </w:rPr>
        <w:t>•</w:t>
      </w:r>
      <w:r>
        <w:rPr>
          <w:color w:val="000000"/>
          <w:spacing w:val="0"/>
          <w:w w:val="100"/>
          <w:position w:val="0"/>
        </w:rPr>
        <w:t>布洛克斯、沃尔夫-迪特里希</w:t>
      </w:r>
      <w:r>
        <w:rPr>
          <w:color w:val="000000"/>
          <w:spacing w:val="0"/>
          <w:w w:val="100"/>
          <w:position w:val="0"/>
          <w:lang w:val="en-US" w:eastAsia="en-US" w:bidi="en-US"/>
        </w:rPr>
        <w:t>•</w:t>
      </w:r>
      <w:r>
        <w:rPr>
          <w:color w:val="000000"/>
          <w:spacing w:val="0"/>
          <w:w w:val="100"/>
          <w:position w:val="0"/>
        </w:rPr>
        <w:t>瓦尔克：《德国民法总论》（第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版），张艳译，中国人民大学 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w:t>
      </w:r>
    </w:p>
    <w:p w14:paraId="146607B9">
      <w:pPr>
        <w:pStyle w:val="17"/>
        <w:keepNext w:val="0"/>
        <w:keepLines w:val="0"/>
        <w:widowControl w:val="0"/>
        <w:shd w:val="clear" w:color="auto" w:fill="auto"/>
        <w:bidi w:val="0"/>
        <w:spacing w:before="0" w:after="0" w:line="305" w:lineRule="exact"/>
        <w:ind w:left="0" w:right="0" w:firstLine="0"/>
        <w:jc w:val="both"/>
      </w:pPr>
      <w:r>
        <w:rPr>
          <w:color w:val="000000"/>
          <w:spacing w:val="0"/>
          <w:w w:val="100"/>
          <w:position w:val="0"/>
        </w:rPr>
        <w:t>［德］卡尔</w:t>
      </w:r>
      <w:r>
        <w:rPr>
          <w:color w:val="000000"/>
          <w:spacing w:val="0"/>
          <w:w w:val="100"/>
          <w:position w:val="0"/>
          <w:lang w:val="en-US" w:eastAsia="en-US" w:bidi="en-US"/>
        </w:rPr>
        <w:t>•</w:t>
      </w:r>
      <w:r>
        <w:rPr>
          <w:color w:val="000000"/>
          <w:spacing w:val="0"/>
          <w:w w:val="100"/>
          <w:position w:val="0"/>
        </w:rPr>
        <w:t>拉伦茨:《法学方法论》，陈爱娥译，商务印书馆</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288013AC">
      <w:pPr>
        <w:pStyle w:val="17"/>
        <w:keepNext w:val="0"/>
        <w:keepLines w:val="0"/>
        <w:widowControl w:val="0"/>
        <w:shd w:val="clear" w:color="auto" w:fill="auto"/>
        <w:bidi w:val="0"/>
        <w:spacing w:before="0" w:after="80" w:line="329" w:lineRule="exact"/>
        <w:ind w:left="180" w:right="0" w:hanging="180"/>
        <w:jc w:val="both"/>
      </w:pPr>
      <w:r>
        <w:rPr>
          <w:color w:val="000000"/>
          <w:spacing w:val="0"/>
          <w:w w:val="100"/>
          <w:position w:val="0"/>
        </w:rPr>
        <w:t>［德］卡尔-拉伦茨:《法律行为解释之方法：兼论意思表示理论》，范雪飞、吴训祥译，法律出版社</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rPr>
        <w:t>年版。</w:t>
      </w:r>
    </w:p>
    <w:p w14:paraId="5FFD1BE9">
      <w:pPr>
        <w:pStyle w:val="17"/>
        <w:keepNext w:val="0"/>
        <w:keepLines w:val="0"/>
        <w:widowControl w:val="0"/>
        <w:shd w:val="clear" w:color="auto" w:fill="auto"/>
        <w:bidi w:val="0"/>
        <w:spacing w:before="0" w:after="60" w:line="240" w:lineRule="auto"/>
        <w:ind w:left="0" w:right="0" w:firstLine="0"/>
        <w:jc w:val="left"/>
        <w:sectPr>
          <w:headerReference r:id="rId344" w:type="default"/>
          <w:headerReference r:id="rId345" w:type="even"/>
          <w:footnotePr>
            <w:numFmt w:val="chicago"/>
          </w:footnotePr>
          <w:pgSz w:w="10099" w:h="14782"/>
          <w:pgMar w:top="1297" w:right="1083" w:bottom="1117" w:left="1005" w:header="0" w:footer="689" w:gutter="0"/>
          <w:pgNumType w:start="291"/>
          <w:cols w:space="720" w:num="1"/>
          <w:rtlGutter w:val="0"/>
          <w:docGrid w:linePitch="360" w:charSpace="0"/>
        </w:sectPr>
      </w:pPr>
      <w:r>
        <w:rPr>
          <w:color w:val="000000"/>
          <w:spacing w:val="0"/>
          <w:w w:val="100"/>
          <w:position w:val="0"/>
        </w:rPr>
        <w:t>朱庆育:《意思表示解释理论》，中国政法大学出版社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3E896A51">
      <w:pPr>
        <w:widowControl w:val="0"/>
        <w:spacing w:line="1" w:lineRule="exact"/>
      </w:pPr>
      <w:r>
        <w:drawing>
          <wp:anchor distT="0" distB="0" distL="0" distR="0" simplePos="0" relativeHeight="251660288" behindDoc="0" locked="0" layoutInCell="1" allowOverlap="1">
            <wp:simplePos x="0" y="0"/>
            <wp:positionH relativeFrom="page">
              <wp:posOffset>727710</wp:posOffset>
            </wp:positionH>
            <wp:positionV relativeFrom="paragraph">
              <wp:posOffset>0</wp:posOffset>
            </wp:positionV>
            <wp:extent cx="481330" cy="414655"/>
            <wp:effectExtent l="0" t="0" r="1270" b="4445"/>
            <wp:wrapTopAndBottom/>
            <wp:docPr id="789" name="Shape 789"/>
            <wp:cNvGraphicFramePr/>
            <a:graphic xmlns:a="http://schemas.openxmlformats.org/drawingml/2006/main">
              <a:graphicData uri="http://schemas.openxmlformats.org/drawingml/2006/picture">
                <pic:pic xmlns:pic="http://schemas.openxmlformats.org/drawingml/2006/picture">
                  <pic:nvPicPr>
                    <pic:cNvPr id="789" name="Shape 789"/>
                    <pic:cNvPicPr/>
                  </pic:nvPicPr>
                  <pic:blipFill>
                    <a:blip r:embed="rId663"/>
                    <a:stretch>
                      <a:fillRect/>
                    </a:stretch>
                  </pic:blipFill>
                  <pic:spPr>
                    <a:xfrm>
                      <a:off x="0" y="0"/>
                      <a:ext cx="481330" cy="414655"/>
                    </a:xfrm>
                    <a:prstGeom prst="rect">
                      <a:avLst/>
                    </a:prstGeom>
                  </pic:spPr>
                </pic:pic>
              </a:graphicData>
            </a:graphic>
          </wp:anchor>
        </w:drawing>
      </w:r>
      <w:r>
        <mc:AlternateContent>
          <mc:Choice Requires="wps">
            <w:drawing>
              <wp:anchor distT="130810" distB="43180" distL="0" distR="0" simplePos="0" relativeHeight="251660288" behindDoc="0" locked="0" layoutInCell="1" allowOverlap="1">
                <wp:simplePos x="0" y="0"/>
                <wp:positionH relativeFrom="page">
                  <wp:posOffset>1340485</wp:posOffset>
                </wp:positionH>
                <wp:positionV relativeFrom="paragraph">
                  <wp:posOffset>130810</wp:posOffset>
                </wp:positionV>
                <wp:extent cx="1424940" cy="237490"/>
                <wp:effectExtent l="0" t="0" r="0" b="0"/>
                <wp:wrapTopAndBottom/>
                <wp:docPr id="791" name="Shape 791"/>
                <wp:cNvGraphicFramePr/>
                <a:graphic xmlns:a="http://schemas.openxmlformats.org/drawingml/2006/main">
                  <a:graphicData uri="http://schemas.microsoft.com/office/word/2010/wordprocessingShape">
                    <wps:wsp>
                      <wps:cNvSpPr txBox="1"/>
                      <wps:spPr>
                        <a:xfrm>
                          <a:off x="0" y="0"/>
                          <a:ext cx="1424940" cy="237490"/>
                        </a:xfrm>
                        <a:prstGeom prst="rect">
                          <a:avLst/>
                        </a:prstGeom>
                        <a:noFill/>
                      </wps:spPr>
                      <wps:txbx>
                        <w:txbxContent>
                          <w:p w14:paraId="3E3D7987">
                            <w:pPr>
                              <w:pStyle w:val="15"/>
                              <w:keepNext/>
                              <w:keepLines/>
                              <w:widowControl w:val="0"/>
                              <w:shd w:val="clear" w:color="auto" w:fill="auto"/>
                              <w:bidi w:val="0"/>
                              <w:spacing w:before="0" w:after="0" w:line="240" w:lineRule="auto"/>
                              <w:ind w:left="0" w:right="0" w:firstLine="0"/>
                              <w:jc w:val="left"/>
                            </w:pPr>
                            <w:bookmarkStart w:id="456" w:name="bookmark358"/>
                            <w:bookmarkStart w:id="457" w:name="bookmark357"/>
                            <w:bookmarkStart w:id="458" w:name="bookmark356"/>
                            <w:r>
                              <w:rPr>
                                <w:color w:val="000000"/>
                                <w:spacing w:val="0"/>
                                <w:w w:val="100"/>
                                <w:position w:val="0"/>
                              </w:rPr>
                              <w:t>恶意磋商的认定</w:t>
                            </w:r>
                            <w:bookmarkEnd w:id="456"/>
                            <w:bookmarkEnd w:id="457"/>
                            <w:bookmarkEnd w:id="458"/>
                          </w:p>
                        </w:txbxContent>
                      </wps:txbx>
                      <wps:bodyPr wrap="none" lIns="0" tIns="0" rIns="0" bIns="0">
                        <a:noAutofit/>
                      </wps:bodyPr>
                    </wps:wsp>
                  </a:graphicData>
                </a:graphic>
              </wp:anchor>
            </w:drawing>
          </mc:Choice>
          <mc:Fallback>
            <w:pict>
              <v:shape id="Shape 791" o:spid="_x0000_s1026" o:spt="202" type="#_x0000_t202" style="position:absolute;left:0pt;margin-left:105.55pt;margin-top:10.3pt;height:18.7pt;width:112.2pt;mso-position-horizontal-relative:page;mso-wrap-distance-bottom:3.4pt;mso-wrap-distance-top:10.3pt;mso-wrap-style:none;z-index:251660288;mso-width-relative:page;mso-height-relative:page;" filled="f" stroked="f" coordsize="21600,21600" o:gfxdata="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LczANYA&#10;AAAJAQAADwAAAAAAAAABACAAAAAiAAAAZHJzL2Rvd25yZXYueG1sUEsBAhQAFAAAAAgAh07iQIFn&#10;1/KvAQAAdAMAAA4AAAAAAAAAAQAgAAAAJQEAAGRycy9lMm9Eb2MueG1sUEsFBgAAAAAGAAYAWQEA&#10;AEYFAAAAAA==&#10;">
                <v:fill on="f" focussize="0,0"/>
                <v:stroke on="f"/>
                <v:imagedata o:title=""/>
                <o:lock v:ext="edit" aspectratio="f"/>
                <v:textbox inset="0mm,0mm,0mm,0mm">
                  <w:txbxContent>
                    <w:p w14:paraId="3E3D7987">
                      <w:pPr>
                        <w:pStyle w:val="15"/>
                        <w:keepNext/>
                        <w:keepLines/>
                        <w:widowControl w:val="0"/>
                        <w:shd w:val="clear" w:color="auto" w:fill="auto"/>
                        <w:bidi w:val="0"/>
                        <w:spacing w:before="0" w:after="0" w:line="240" w:lineRule="auto"/>
                        <w:ind w:left="0" w:right="0" w:firstLine="0"/>
                        <w:jc w:val="left"/>
                      </w:pPr>
                      <w:bookmarkStart w:id="456" w:name="bookmark358"/>
                      <w:bookmarkStart w:id="457" w:name="bookmark357"/>
                      <w:bookmarkStart w:id="458" w:name="bookmark356"/>
                      <w:r>
                        <w:rPr>
                          <w:color w:val="000000"/>
                          <w:spacing w:val="0"/>
                          <w:w w:val="100"/>
                          <w:position w:val="0"/>
                        </w:rPr>
                        <w:t>恶意磋商的认定</w:t>
                      </w:r>
                      <w:bookmarkEnd w:id="456"/>
                      <w:bookmarkEnd w:id="457"/>
                      <w:bookmarkEnd w:id="458"/>
                    </w:p>
                  </w:txbxContent>
                </v:textbox>
                <w10:wrap type="topAndBottom"/>
              </v:shape>
            </w:pict>
          </mc:Fallback>
        </mc:AlternateContent>
      </w:r>
    </w:p>
    <w:p w14:paraId="7E0D398B">
      <w:pPr>
        <w:pStyle w:val="17"/>
        <w:keepNext w:val="0"/>
        <w:keepLines w:val="0"/>
        <w:widowControl w:val="0"/>
        <w:shd w:val="clear" w:color="auto" w:fill="auto"/>
        <w:bidi w:val="0"/>
        <w:spacing w:before="0" w:after="360" w:line="341" w:lineRule="exact"/>
        <w:ind w:left="1000" w:right="0" w:firstLine="0"/>
        <w:jc w:val="both"/>
      </w:pPr>
      <w:r>
        <w:drawing>
          <wp:anchor distT="0" distB="0" distL="114300" distR="114300" simplePos="0" relativeHeight="251660288" behindDoc="0" locked="0" layoutInCell="1" allowOverlap="1">
            <wp:simplePos x="0" y="0"/>
            <wp:positionH relativeFrom="page">
              <wp:posOffset>5140960</wp:posOffset>
            </wp:positionH>
            <wp:positionV relativeFrom="paragraph">
              <wp:posOffset>101600</wp:posOffset>
            </wp:positionV>
            <wp:extent cx="585470" cy="567055"/>
            <wp:effectExtent l="0" t="0" r="11430" b="4445"/>
            <wp:wrapSquare wrapText="left"/>
            <wp:docPr id="793" name="Shape 793"/>
            <wp:cNvGraphicFramePr/>
            <a:graphic xmlns:a="http://schemas.openxmlformats.org/drawingml/2006/main">
              <a:graphicData uri="http://schemas.openxmlformats.org/drawingml/2006/picture">
                <pic:pic xmlns:pic="http://schemas.openxmlformats.org/drawingml/2006/picture">
                  <pic:nvPicPr>
                    <pic:cNvPr id="793" name="Shape 793"/>
                    <pic:cNvPicPr/>
                  </pic:nvPicPr>
                  <pic:blipFill>
                    <a:blip r:embed="rId664"/>
                    <a:stretch>
                      <a:fillRect/>
                    </a:stretch>
                  </pic:blipFill>
                  <pic:spPr>
                    <a:xfrm>
                      <a:off x="0" y="0"/>
                      <a:ext cx="585470" cy="567055"/>
                    </a:xfrm>
                    <a:prstGeom prst="rect">
                      <a:avLst/>
                    </a:prstGeom>
                  </pic:spPr>
                </pic:pic>
              </a:graphicData>
            </a:graphic>
          </wp:anchor>
        </w:drawing>
      </w:r>
      <w:r>
        <w:rPr>
          <w:color w:val="000000"/>
          <w:spacing w:val="0"/>
          <w:w w:val="100"/>
          <w:position w:val="0"/>
        </w:rPr>
        <w:t>陕西咸阳星云机械有限公司与彩虹集团电子股份有限公司缔约过 失责任纠纷上诉案丨最高人民法院</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号民事 判决书</w:t>
      </w:r>
    </w:p>
    <w:p w14:paraId="7026D4DE">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尚连杰</w:t>
      </w:r>
      <w:r>
        <w:rPr>
          <w:color w:val="000000"/>
          <w:spacing w:val="0"/>
          <w:w w:val="100"/>
          <w:position w:val="0"/>
        </w:rPr>
        <w:t>南京大学法学院</w:t>
      </w:r>
    </w:p>
    <w:p w14:paraId="3E7EAD3B">
      <w:pPr>
        <w:pStyle w:val="11"/>
        <w:keepNext w:val="0"/>
        <w:keepLines w:val="0"/>
        <w:widowControl w:val="0"/>
        <w:shd w:val="clear" w:color="auto" w:fill="auto"/>
        <w:bidi w:val="0"/>
        <w:spacing w:before="0" w:after="80"/>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1C0C642">
      <w:pPr>
        <w:pStyle w:val="17"/>
        <w:keepNext w:val="0"/>
        <w:keepLines w:val="0"/>
        <w:widowControl w:val="0"/>
        <w:shd w:val="clear" w:color="auto" w:fill="auto"/>
        <w:bidi w:val="0"/>
        <w:spacing w:before="0" w:after="0" w:line="339" w:lineRule="exact"/>
        <w:ind w:left="0" w:right="0" w:firstLine="420"/>
        <w:jc w:val="both"/>
        <w:rPr>
          <w:sz w:val="22"/>
          <w:szCs w:val="22"/>
        </w:rPr>
      </w:pPr>
      <w:r>
        <w:rPr>
          <w:rFonts w:ascii="Times New Roman" w:hAnsi="Times New Roman" w:eastAsia="Times New Roman" w:cs="Times New Roman"/>
          <w:color w:val="000000"/>
          <w:spacing w:val="0"/>
          <w:w w:val="100"/>
          <w:position w:val="0"/>
          <w:sz w:val="19"/>
          <w:szCs w:val="19"/>
        </w:rPr>
        <w:t>2003</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sz w:val="18"/>
          <w:szCs w:val="18"/>
        </w:rPr>
        <w:t>日，陕西咸阳星云机械有限公司（以下简称星云公司）作为供方与需方 彩虹集团电子股份有限公司（以下简称彩虹公司）所属的彩虹彩色显像管总厂彩管一厂签 订</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40cm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w:t>
      </w:r>
      <w:r>
        <w:rPr>
          <w:color w:val="000000"/>
          <w:spacing w:val="0"/>
          <w:w w:val="100"/>
          <w:position w:val="0"/>
          <w:sz w:val="18"/>
          <w:szCs w:val="18"/>
        </w:rPr>
        <w:t>防爆带组件三个产品的材料、零部件认定协议三份;同年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sz w:val="18"/>
          <w:szCs w:val="18"/>
        </w:rPr>
        <w:t xml:space="preserve">日双 方又签订了 </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 L</w:t>
      </w:r>
      <w:r>
        <w:rPr>
          <w:color w:val="000000"/>
          <w:spacing w:val="0"/>
          <w:w w:val="100"/>
          <w:position w:val="0"/>
          <w:sz w:val="18"/>
          <w:szCs w:val="18"/>
        </w:rPr>
        <w:t>型焊接框架材料、零部件两个产品的认定协议两份。上述</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 xml:space="preserve">份认 定协议约定了 </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个产品的技术要求、进度安排、价格及付款方式，其中</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40cm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w:t>
      </w:r>
      <w:r>
        <w:rPr>
          <w:color w:val="000000"/>
          <w:spacing w:val="0"/>
          <w:w w:val="100"/>
          <w:position w:val="0"/>
          <w:sz w:val="18"/>
          <w:szCs w:val="18"/>
        </w:rPr>
        <w:t>防 爆带组件的到厂含税价分别为</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元/枚、</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元/枚、</w:t>
      </w:r>
      <w:r>
        <w:rPr>
          <w:rFonts w:ascii="Times New Roman" w:hAnsi="Times New Roman" w:eastAsia="Times New Roman" w:cs="Times New Roman"/>
          <w:color w:val="000000"/>
          <w:spacing w:val="0"/>
          <w:w w:val="100"/>
          <w:position w:val="0"/>
          <w:sz w:val="19"/>
          <w:szCs w:val="19"/>
        </w:rPr>
        <w:t>6</w:t>
      </w:r>
      <w:r>
        <w:rPr>
          <w:color w:val="000000"/>
          <w:spacing w:val="0"/>
          <w:w w:val="100"/>
          <w:position w:val="0"/>
          <w:sz w:val="18"/>
          <w:szCs w:val="18"/>
        </w:rPr>
        <w:t>元/枚</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 L</w:t>
      </w:r>
      <w:r>
        <w:rPr>
          <w:color w:val="000000"/>
          <w:spacing w:val="0"/>
          <w:w w:val="100"/>
          <w:position w:val="0"/>
          <w:sz w:val="18"/>
          <w:szCs w:val="18"/>
        </w:rPr>
        <w:t>型焊接框架的到厂 含税价分别为</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元/枚、</w:t>
      </w:r>
      <w:r>
        <w:rPr>
          <w:rFonts w:ascii="Times New Roman" w:hAnsi="Times New Roman" w:eastAsia="Times New Roman" w:cs="Times New Roman"/>
          <w:color w:val="000000"/>
          <w:spacing w:val="0"/>
          <w:w w:val="100"/>
          <w:position w:val="0"/>
          <w:sz w:val="19"/>
          <w:szCs w:val="19"/>
        </w:rPr>
        <w:t>13</w:t>
      </w:r>
      <w:r>
        <w:rPr>
          <w:color w:val="000000"/>
          <w:spacing w:val="0"/>
          <w:w w:val="100"/>
          <w:position w:val="0"/>
          <w:sz w:val="18"/>
          <w:szCs w:val="18"/>
        </w:rPr>
        <w:t>元/枚。</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份认定协议均约定了以下说明事项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根据认定进度 要求,由需方通知供方提供认定样品；（</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）材料认定中，如出现不合格情况,供方进行改进并 重新提供样品，认定进度顺延；</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供方提供的大批量样品，如需方用于生产,且使用合格, 需方可按协议价格付款;</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 “</w:t>
      </w:r>
      <w:r>
        <w:rPr>
          <w:color w:val="000000"/>
          <w:spacing w:val="0"/>
          <w:w w:val="100"/>
          <w:position w:val="0"/>
          <w:sz w:val="18"/>
          <w:szCs w:val="18"/>
        </w:rPr>
        <w:t>五步认定”合格后，需方向供方出具</w:t>
      </w:r>
      <w:r>
        <w:rPr>
          <w:color w:val="000000"/>
          <w:spacing w:val="0"/>
          <w:w w:val="100"/>
          <w:position w:val="0"/>
          <w:sz w:val="18"/>
          <w:szCs w:val="18"/>
          <w:lang w:val="zh-CN" w:eastAsia="zh-CN" w:bidi="zh-CN"/>
        </w:rPr>
        <w:t>“认定</w:t>
      </w:r>
      <w:r>
        <w:rPr>
          <w:color w:val="000000"/>
          <w:spacing w:val="0"/>
          <w:w w:val="100"/>
          <w:position w:val="0"/>
          <w:sz w:val="18"/>
          <w:szCs w:val="18"/>
        </w:rPr>
        <w:t>结论通知书”，作为 量产供货的依据;</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其他未尽事宜，另行协商解决。上述协议签订后，星云公司购置设备、 模具，按要求组织样品生</w:t>
      </w:r>
      <w:r>
        <w:rPr>
          <w:color w:val="454148"/>
          <w:spacing w:val="0"/>
          <w:w w:val="100"/>
          <w:position w:val="0"/>
          <w:sz w:val="18"/>
          <w:szCs w:val="18"/>
        </w:rPr>
        <w:t>产文川</w:t>
      </w:r>
      <w:r>
        <w:rPr>
          <w:rFonts w:ascii="Times New Roman" w:hAnsi="Times New Roman" w:eastAsia="Times New Roman" w:cs="Times New Roman"/>
          <w:color w:val="454148"/>
          <w:spacing w:val="0"/>
          <w:w w:val="100"/>
          <w:position w:val="0"/>
          <w:sz w:val="38"/>
          <w:szCs w:val="38"/>
          <w:lang w:val="en-US" w:eastAsia="en-US" w:bidi="en-US"/>
        </w:rPr>
        <w:t>docsriver.comA</w:t>
      </w:r>
      <w:r>
        <w:rPr>
          <w:color w:val="65656B"/>
          <w:spacing w:val="0"/>
          <w:w w:val="100"/>
          <w:position w:val="0"/>
          <w:sz w:val="22"/>
          <w:szCs w:val="22"/>
        </w:rPr>
        <w:t>驻商家巨力袋鼠合作店</w:t>
      </w:r>
    </w:p>
    <w:p w14:paraId="7F75FDC6">
      <w:pPr>
        <w:pStyle w:val="17"/>
        <w:keepNext w:val="0"/>
        <w:keepLines w:val="0"/>
        <w:widowControl w:val="0"/>
        <w:shd w:val="clear" w:color="auto" w:fill="auto"/>
        <w:bidi w:val="0"/>
        <w:spacing w:before="0" w:after="0" w:line="340" w:lineRule="exact"/>
        <w:ind w:left="0" w:right="0" w:firstLine="420"/>
        <w:jc w:val="both"/>
      </w:pP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日，双方当事人就上述</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种零部件的试作供应价格调整签订了一份协 议，根据国内外特殊钢材市场供需趋势及市场价格大幅上涨的实际情况，双方一致同意对</w:t>
      </w: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rPr>
        <w:t>种零部件的试作期间供应价格做小幅调整，将</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 L</w:t>
      </w:r>
      <w:r>
        <w:rPr>
          <w:color w:val="000000"/>
          <w:spacing w:val="0"/>
          <w:w w:val="100"/>
          <w:position w:val="0"/>
        </w:rPr>
        <w:t>型焊接框架调整为每件</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 xml:space="preserve">23 </w:t>
      </w:r>
      <w:r>
        <w:rPr>
          <w:color w:val="000000"/>
          <w:spacing w:val="0"/>
          <w:w w:val="100"/>
          <w:position w:val="0"/>
        </w:rPr>
        <w:t>元</w:t>
      </w:r>
      <w:r>
        <w:rPr>
          <w:rFonts w:ascii="Times New Roman" w:hAnsi="Times New Roman" w:eastAsia="Times New Roman" w:cs="Times New Roman"/>
          <w:color w:val="000000"/>
          <w:spacing w:val="0"/>
          <w:w w:val="100"/>
          <w:position w:val="0"/>
          <w:sz w:val="19"/>
          <w:szCs w:val="19"/>
          <w:lang w:val="en-US" w:eastAsia="en-US" w:bidi="en-US"/>
        </w:rPr>
        <w:t>.13.43</w:t>
      </w:r>
      <w:r>
        <w:rPr>
          <w:color w:val="000000"/>
          <w:spacing w:val="0"/>
          <w:w w:val="100"/>
          <w:position w:val="0"/>
        </w:rPr>
        <w:t>元</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40cm</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54cm</w:t>
      </w:r>
      <w:r>
        <w:rPr>
          <w:color w:val="000000"/>
          <w:spacing w:val="0"/>
          <w:w w:val="100"/>
          <w:position w:val="0"/>
        </w:rPr>
        <w:t>防爆带组件调整为每件</w:t>
      </w:r>
      <w:r>
        <w:rPr>
          <w:rFonts w:ascii="Times New Roman" w:hAnsi="Times New Roman" w:eastAsia="Times New Roman" w:cs="Times New Roman"/>
          <w:color w:val="000000"/>
          <w:spacing w:val="0"/>
          <w:w w:val="100"/>
          <w:position w:val="0"/>
          <w:sz w:val="19"/>
          <w:szCs w:val="19"/>
          <w:lang w:val="en-US" w:eastAsia="en-US" w:bidi="en-US"/>
        </w:rPr>
        <w:t xml:space="preserve">4. </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lang w:val="en-US" w:eastAsia="en-US" w:bidi="en-US"/>
        </w:rPr>
        <w:t xml:space="preserve">5. </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元。自</w:t>
      </w:r>
      <w:r>
        <w:rPr>
          <w:rFonts w:ascii="Times New Roman" w:hAnsi="Times New Roman" w:eastAsia="Times New Roman" w:cs="Times New Roman"/>
          <w:color w:val="000000"/>
          <w:spacing w:val="0"/>
          <w:w w:val="100"/>
          <w:position w:val="0"/>
          <w:sz w:val="19"/>
          <w:szCs w:val="19"/>
        </w:rPr>
        <w:t xml:space="preserve">2004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月至</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年年初，星云公司共向彩虹公司提供除</w:t>
      </w:r>
      <w:r>
        <w:rPr>
          <w:rFonts w:ascii="Times New Roman" w:hAnsi="Times New Roman" w:eastAsia="Times New Roman" w:cs="Times New Roman"/>
          <w:color w:val="000000"/>
          <w:spacing w:val="0"/>
          <w:w w:val="100"/>
          <w:position w:val="0"/>
          <w:sz w:val="19"/>
          <w:szCs w:val="19"/>
          <w:lang w:val="en-US" w:eastAsia="en-US" w:bidi="en-US"/>
        </w:rPr>
        <w:t>40cm</w:t>
      </w:r>
      <w:r>
        <w:rPr>
          <w:color w:val="000000"/>
          <w:spacing w:val="0"/>
          <w:w w:val="100"/>
          <w:position w:val="0"/>
        </w:rPr>
        <w:t>防爆带组件外的其他</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个认定 协议中的零部件</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多万枚，彩虹公司向星云公司支付了货款</w:t>
      </w:r>
      <w:r>
        <w:rPr>
          <w:rFonts w:ascii="Times New Roman" w:hAnsi="Times New Roman" w:eastAsia="Times New Roman" w:cs="Times New Roman"/>
          <w:color w:val="000000"/>
          <w:spacing w:val="0"/>
          <w:w w:val="100"/>
          <w:position w:val="0"/>
          <w:sz w:val="19"/>
          <w:szCs w:val="19"/>
        </w:rPr>
        <w:t>900</w:t>
      </w:r>
      <w:r>
        <w:rPr>
          <w:color w:val="000000"/>
          <w:spacing w:val="0"/>
          <w:w w:val="100"/>
          <w:position w:val="0"/>
        </w:rPr>
        <w:t>多万元。</w:t>
      </w:r>
    </w:p>
    <w:p w14:paraId="67A4F3F0">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双方于</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lang w:val="en-US" w:eastAsia="en-US" w:bidi="en-US"/>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月完成了 </w:t>
      </w:r>
      <w:r>
        <w:rPr>
          <w:rFonts w:ascii="Times New Roman" w:hAnsi="Times New Roman" w:eastAsia="Times New Roman" w:cs="Times New Roman"/>
          <w:color w:val="000000"/>
          <w:spacing w:val="0"/>
          <w:w w:val="100"/>
          <w:position w:val="0"/>
          <w:sz w:val="19"/>
          <w:szCs w:val="19"/>
          <w:lang w:val="en-US" w:eastAsia="en-US" w:bidi="en-US"/>
        </w:rPr>
        <w:t>37cm L</w:t>
      </w:r>
      <w:r>
        <w:rPr>
          <w:color w:val="000000"/>
          <w:spacing w:val="0"/>
          <w:w w:val="100"/>
          <w:position w:val="0"/>
        </w:rPr>
        <w:t>型框架和</w:t>
      </w:r>
      <w:r>
        <w:rPr>
          <w:rFonts w:ascii="Times New Roman" w:hAnsi="Times New Roman" w:eastAsia="Times New Roman" w:cs="Times New Roman"/>
          <w:color w:val="000000"/>
          <w:spacing w:val="0"/>
          <w:w w:val="100"/>
          <w:position w:val="0"/>
          <w:sz w:val="19"/>
          <w:szCs w:val="19"/>
          <w:lang w:val="en-US" w:eastAsia="en-US" w:bidi="en-US"/>
        </w:rPr>
        <w:t>37cm</w:t>
      </w:r>
      <w:r>
        <w:rPr>
          <w:color w:val="000000"/>
          <w:spacing w:val="0"/>
          <w:w w:val="100"/>
          <w:position w:val="0"/>
        </w:rPr>
        <w:t xml:space="preserve">防爆带组件质量合格 的认定后,未能就这两个产品订立正式的供货合同。星云公司证人畅某指出，彩虹公司与 星云公司在洽谈中,提出了一个不平等解决问题的要求，要求星云公司产品大幅度降价（约 </w:t>
      </w:r>
      <w:r>
        <w:rPr>
          <w:rFonts w:ascii="Times New Roman" w:hAnsi="Times New Roman" w:eastAsia="Times New Roman" w:cs="Times New Roman"/>
          <w:color w:val="000000"/>
          <w:spacing w:val="0"/>
          <w:w w:val="100"/>
          <w:position w:val="0"/>
          <w:sz w:val="19"/>
          <w:szCs w:val="19"/>
        </w:rPr>
        <w:t>30% ）</w:t>
      </w:r>
      <w:r>
        <w:rPr>
          <w:color w:val="000000"/>
          <w:spacing w:val="0"/>
          <w:w w:val="100"/>
          <w:position w:val="0"/>
        </w:rPr>
        <w:t>，星云公司未予接受。而彩虹公司</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年度报告显示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季度，国内电视厂商 普遍调整了经营策略和彩管库存政策，导致彩管销量短期内急剧下降,彩管库存急剧增加。 而彩管价格的大幅走低、部分原料价格上涨更加剧了彩管企业的经营困难。公司通过实施 有效的策略，节约挖潜、降低成本，保持了稳定的市场份额。</w:t>
      </w:r>
    </w:p>
    <w:p w14:paraId="361C9FF4">
      <w:pPr>
        <w:pStyle w:val="11"/>
        <w:keepNext w:val="0"/>
        <w:keepLines w:val="0"/>
        <w:widowControl w:val="0"/>
        <w:shd w:val="clear" w:color="auto" w:fill="auto"/>
        <w:bidi w:val="0"/>
        <w:spacing w:before="0" w:after="12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7D56BB1A">
      <w:pPr>
        <w:pStyle w:val="17"/>
        <w:keepNext w:val="0"/>
        <w:keepLines w:val="0"/>
        <w:widowControl w:val="0"/>
        <w:shd w:val="clear" w:color="auto" w:fill="auto"/>
        <w:bidi w:val="0"/>
        <w:spacing w:before="0" w:after="360" w:line="343" w:lineRule="exact"/>
        <w:ind w:left="0" w:right="0"/>
        <w:jc w:val="both"/>
      </w:pPr>
      <w:r>
        <w:rPr>
          <w:color w:val="000000"/>
          <w:spacing w:val="0"/>
          <w:w w:val="100"/>
          <w:position w:val="0"/>
        </w:rPr>
        <w:t>彩虹公司在价格磋商中是否存在恶意磋商行为是本案审查的关键之所在。星云公司 关于彩虹公司构成故意隐瞒与订立合同有关的重要事实或者提供虚假情况的主张,并无事 实依据,不予支持。彩虹公司在正式供货合同订立、磋商阶段,根据市场变化提出相应的价 格要约，是一种符合市场规律和交易常理的合理磋商行为;而星云公司坚持以认定协议中 样品的高价格作为订立正式供货合同的大批量产品价格的磋商行为，却带有无视市场规 律，违背公平原则的色彩。对于星云公司进行交易所必须投入的成本和因市场变化而产生 的风险损失以及因拒绝接受彩虹公司提出的合理市场价格而停产所产生的扩大损失，应当 由星云公司自行负担。对于因星云公司供应的零部件数量超过</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份认定协议所规定的数量 部分造成其相信彩虹公司会接续接收其供货的重大误解所产生的损失，应当由彩虹公司负 担。</w:t>
      </w:r>
    </w:p>
    <w:p w14:paraId="6BBC9E15">
      <w:pPr>
        <w:pStyle w:val="11"/>
        <w:keepNext w:val="0"/>
        <w:keepLines w:val="0"/>
        <w:widowControl w:val="0"/>
        <w:shd w:val="clear" w:color="auto" w:fill="auto"/>
        <w:bidi w:val="0"/>
        <w:spacing w:before="0" w:after="120" w:line="341" w:lineRule="exact"/>
        <w:ind w:left="0" w:right="0" w:firstLine="0"/>
        <w:jc w:val="left"/>
      </w:pPr>
      <w:r>
        <w:rPr>
          <w:color w:val="000000"/>
          <w:spacing w:val="0"/>
          <w:w w:val="100"/>
          <w:position w:val="0"/>
        </w:rPr>
        <w:t>■评析</w:t>
      </w:r>
    </w:p>
    <w:p w14:paraId="4A568915">
      <w:pPr>
        <w:pStyle w:val="17"/>
        <w:keepNext w:val="0"/>
        <w:keepLines w:val="0"/>
        <w:widowControl w:val="0"/>
        <w:shd w:val="clear" w:color="auto" w:fill="auto"/>
        <w:bidi w:val="0"/>
        <w:spacing w:before="0" w:after="120" w:line="341"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B</w:t>
      </w:r>
      <w:r>
        <w:rPr>
          <w:color w:val="000000"/>
          <w:spacing w:val="0"/>
          <w:w w:val="100"/>
          <w:position w:val="0"/>
        </w:rPr>
        <w:t>本判决的思路和意义</w:t>
      </w:r>
    </w:p>
    <w:p w14:paraId="1CF019AF">
      <w:pPr>
        <w:pStyle w:val="17"/>
        <w:keepNext w:val="0"/>
        <w:keepLines w:val="0"/>
        <w:widowControl w:val="0"/>
        <w:shd w:val="clear" w:color="auto" w:fill="auto"/>
        <w:bidi w:val="0"/>
        <w:spacing w:before="0" w:after="120" w:line="341" w:lineRule="exact"/>
        <w:ind w:left="0" w:right="0"/>
        <w:jc w:val="both"/>
      </w:pPr>
      <w:r>
        <w:rPr>
          <w:color w:val="000000"/>
          <w:spacing w:val="0"/>
          <w:w w:val="100"/>
          <w:position w:val="0"/>
        </w:rPr>
        <w:t>本案中，双方的核心争议在于彩虹公司提出降低报价的行为是否构成恶意磋商。对 此，最高人民法院持否定态度，认为当产品价格出现市场波动时，出于降低商业风险的考 虑，在签订正式供货合同时，要求降低之前认定协议中约定的价格，不构成恶意磋商。本案 的特殊之处在于:在正式供货合同订立之前存在</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份产品认定协议。对于</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份认定协议是 否为预约，最高人民法院未明确表态，学理上倾向于持否定态度［孙维飞:《〈合同法〉第</w:t>
      </w:r>
      <w:r>
        <w:rPr>
          <w:rFonts w:ascii="Times New Roman" w:hAnsi="Times New Roman" w:eastAsia="Times New Roman" w:cs="Times New Roman"/>
          <w:color w:val="000000"/>
          <w:spacing w:val="0"/>
          <w:w w:val="100"/>
          <w:position w:val="0"/>
          <w:sz w:val="17"/>
          <w:szCs w:val="17"/>
        </w:rPr>
        <w:t>42</w:t>
      </w:r>
      <w:r>
        <w:rPr>
          <w:color w:val="000000"/>
          <w:spacing w:val="0"/>
          <w:w w:val="100"/>
          <w:position w:val="0"/>
        </w:rPr>
        <w:t>条 （缔约过失责任）评注》，载《法学家》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期］。不过,一审法院陕西省高级人民法院认定 协议为当事人设立了磋商义务，以便达成供货合同。因此，该案至少介于普通的缔约过失 纠纷与预约纠纷之间。最高人民法院在本案中的态度,对于认定恶意磋商具有重要的指导 意义。</w:t>
      </w:r>
    </w:p>
    <w:p w14:paraId="3E98E229">
      <w:pPr>
        <w:pStyle w:val="17"/>
        <w:keepNext w:val="0"/>
        <w:keepLines w:val="0"/>
        <w:widowControl w:val="0"/>
        <w:shd w:val="clear" w:color="auto" w:fill="auto"/>
        <w:bidi w:val="0"/>
        <w:spacing w:before="0" w:after="120" w:line="341"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a</w:t>
      </w:r>
      <w:r>
        <w:rPr>
          <w:color w:val="000000"/>
          <w:spacing w:val="0"/>
          <w:w w:val="100"/>
          <w:position w:val="0"/>
        </w:rPr>
        <w:t>恶意磋商认定的规范及学理</w:t>
      </w:r>
    </w:p>
    <w:p w14:paraId="0F1EFA49">
      <w:pPr>
        <w:pStyle w:val="17"/>
        <w:keepNext w:val="0"/>
        <w:keepLines w:val="0"/>
        <w:widowControl w:val="0"/>
        <w:shd w:val="clear" w:color="auto" w:fill="auto"/>
        <w:bidi w:val="0"/>
        <w:spacing w:before="0" w:after="0" w:line="340" w:lineRule="exact"/>
        <w:ind w:left="0" w:right="0"/>
        <w:jc w:val="both"/>
        <w:sectPr>
          <w:headerReference r:id="rId348" w:type="first"/>
          <w:headerReference r:id="rId346" w:type="default"/>
          <w:headerReference r:id="rId347" w:type="even"/>
          <w:footnotePr>
            <w:numFmt w:val="chicago"/>
          </w:footnotePr>
          <w:pgSz w:w="10099" w:h="14782"/>
          <w:pgMar w:top="1326" w:right="987" w:bottom="1095" w:left="1112" w:header="0" w:footer="3" w:gutter="0"/>
          <w:cols w:space="720" w:num="1"/>
          <w:titlePg/>
          <w:rtlGutter w:val="0"/>
          <w:docGrid w:linePitch="360" w:charSpace="0"/>
        </w:sectPr>
      </w:pPr>
      <w:r>
        <w:rPr>
          <w:color w:val="000000"/>
          <w:spacing w:val="0"/>
          <w:w w:val="100"/>
          <w:position w:val="0"/>
        </w:rPr>
        <w:t>根据《民法典》第</w:t>
      </w:r>
      <w:r>
        <w:rPr>
          <w:rFonts w:ascii="Times New Roman" w:hAnsi="Times New Roman" w:eastAsia="Times New Roman" w:cs="Times New Roman"/>
          <w:color w:val="000000"/>
          <w:spacing w:val="0"/>
          <w:w w:val="100"/>
          <w:position w:val="0"/>
          <w:sz w:val="17"/>
          <w:szCs w:val="17"/>
        </w:rPr>
        <w:t>500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项的规定，假借订立合同,恶意进行磋商，给对方造成损失 的，应当承担损害赔偿责任。在一般的交易过程中，谈判不成属于正常现象。因此,原则上 应肯定当事人中断磋商的自由，在此原则下认定是否构成恶意磋商［朱广新:《合同法总则》 （上册），中国人民大学出版社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lang w:val="en-US" w:eastAsia="en-US" w:bidi="en-US"/>
        </w:rPr>
        <w:t>217-218</w:t>
      </w:r>
      <w:r>
        <w:rPr>
          <w:color w:val="000000"/>
          <w:spacing w:val="0"/>
          <w:w w:val="100"/>
          <w:position w:val="0"/>
        </w:rPr>
        <w:t>页］。不过，当违背诚实信用原则终止谈判 时，会使对方遭受信赖利益损失。［胡康生主编：《中华人民共和国合同法释义》（第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 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82</w:t>
      </w:r>
      <w:r>
        <w:rPr>
          <w:color w:val="000000"/>
          <w:spacing w:val="0"/>
          <w:w w:val="100"/>
          <w:position w:val="0"/>
        </w:rPr>
        <w:t>页］。此时，应有成立缔约过失责任的可能。《民法典》第</w:t>
      </w:r>
      <w:r>
        <w:rPr>
          <w:rFonts w:ascii="Times New Roman" w:hAnsi="Times New Roman" w:eastAsia="Times New Roman" w:cs="Times New Roman"/>
          <w:color w:val="000000"/>
          <w:spacing w:val="0"/>
          <w:w w:val="100"/>
          <w:position w:val="0"/>
          <w:sz w:val="17"/>
          <w:szCs w:val="17"/>
        </w:rPr>
        <w:t>500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rPr>
        <w:t>项在文义上包括</w:t>
      </w:r>
      <w:r>
        <w:rPr>
          <w:color w:val="000000"/>
          <w:spacing w:val="0"/>
          <w:w w:val="100"/>
          <w:position w:val="0"/>
          <w:lang w:val="zh-CN" w:eastAsia="zh-CN" w:bidi="zh-CN"/>
        </w:rPr>
        <w:t>“恶意</w:t>
      </w:r>
      <w:r>
        <w:rPr>
          <w:color w:val="000000"/>
          <w:spacing w:val="0"/>
          <w:w w:val="100"/>
          <w:position w:val="0"/>
        </w:rPr>
        <w:t>开始磋商”和</w:t>
      </w:r>
      <w:r>
        <w:rPr>
          <w:color w:val="000000"/>
          <w:spacing w:val="0"/>
          <w:w w:val="100"/>
          <w:position w:val="0"/>
          <w:lang w:val="zh-CN" w:eastAsia="zh-CN" w:bidi="zh-CN"/>
        </w:rPr>
        <w:t>“恶意</w:t>
      </w:r>
      <w:r>
        <w:rPr>
          <w:color w:val="000000"/>
          <w:spacing w:val="0"/>
          <w:w w:val="100"/>
          <w:position w:val="0"/>
        </w:rPr>
        <w:t>继续磋商”的含义。除此之外，学理上通常认为还 包括恶意终止磋商（韩世远:《合同法总论》，法律出版社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162 ~ 164</w:t>
      </w:r>
      <w:r>
        <w:rPr>
          <w:color w:val="000000"/>
          <w:spacing w:val="0"/>
          <w:w w:val="100"/>
          <w:position w:val="0"/>
        </w:rPr>
        <w:t xml:space="preserve">页）。由于文义的 </w:t>
      </w:r>
    </w:p>
    <w:p w14:paraId="47ECB6ED">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限制，应将终止（中断）磋商解释为</w:t>
      </w:r>
      <w:r>
        <w:rPr>
          <w:color w:val="000000"/>
          <w:spacing w:val="0"/>
          <w:w w:val="100"/>
          <w:position w:val="0"/>
          <w:lang w:val="zh-CN" w:eastAsia="zh-CN" w:bidi="zh-CN"/>
        </w:rPr>
        <w:t>“其</w:t>
      </w:r>
      <w:r>
        <w:rPr>
          <w:color w:val="000000"/>
          <w:spacing w:val="0"/>
          <w:w w:val="100"/>
          <w:position w:val="0"/>
        </w:rPr>
        <w:t>他违反诚实信用原则的行为</w:t>
      </w:r>
      <w:r>
        <w:rPr>
          <w:color w:val="000000"/>
          <w:spacing w:val="0"/>
          <w:w w:val="100"/>
          <w:position w:val="0"/>
          <w:lang w:val="zh-CN" w:eastAsia="zh-CN" w:bidi="zh-CN"/>
        </w:rPr>
        <w:t>”（叶</w:t>
      </w:r>
      <w:r>
        <w:rPr>
          <w:color w:val="000000"/>
          <w:spacing w:val="0"/>
          <w:w w:val="100"/>
          <w:position w:val="0"/>
        </w:rPr>
        <w:t>金强:《论中断磋商的 赔偿责任》，载《法学》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期）。因此，《民法典》第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项实际上共同构 成了恶意磋商的规范体系。在上述三种典型情形之外,其他违反诚实信用原则的磋商行为 亦可被认定为恶意磋商。</w:t>
      </w:r>
    </w:p>
    <w:p w14:paraId="008182F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对于</w:t>
      </w:r>
      <w:r>
        <w:rPr>
          <w:color w:val="000000"/>
          <w:spacing w:val="0"/>
          <w:w w:val="100"/>
          <w:position w:val="0"/>
          <w:lang w:val="zh-CN" w:eastAsia="zh-CN" w:bidi="zh-CN"/>
        </w:rPr>
        <w:t>“恶意”，有</w:t>
      </w:r>
      <w:r>
        <w:rPr>
          <w:color w:val="000000"/>
          <w:spacing w:val="0"/>
          <w:w w:val="100"/>
          <w:position w:val="0"/>
        </w:rPr>
        <w:t>观点认为必须包括两个方面的内容:一是行为人主观上没有谈判意图， 二是行为人主观上具有给对方造成损害的目的和动机［王利明：《合同法研究》（第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卷）（第</w:t>
      </w:r>
      <w:r>
        <w:rPr>
          <w:rFonts w:ascii="Times New Roman" w:hAnsi="Times New Roman" w:eastAsia="Times New Roman" w:cs="Times New Roman"/>
          <w:color w:val="000000"/>
          <w:spacing w:val="0"/>
          <w:w w:val="100"/>
          <w:position w:val="0"/>
          <w:sz w:val="17"/>
          <w:szCs w:val="17"/>
        </w:rPr>
        <w:t xml:space="preserve">3 </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349</w:t>
      </w:r>
      <w:r>
        <w:rPr>
          <w:color w:val="000000"/>
          <w:spacing w:val="0"/>
          <w:w w:val="100"/>
          <w:position w:val="0"/>
        </w:rPr>
        <w:t>页］。不同观点则指出</w:t>
      </w:r>
      <w:r>
        <w:rPr>
          <w:color w:val="000000"/>
          <w:spacing w:val="0"/>
          <w:w w:val="100"/>
          <w:position w:val="0"/>
          <w:lang w:val="zh-CN" w:eastAsia="zh-CN" w:bidi="zh-CN"/>
        </w:rPr>
        <w:t>，“恶</w:t>
      </w:r>
      <w:r>
        <w:rPr>
          <w:color w:val="000000"/>
          <w:spacing w:val="0"/>
          <w:w w:val="100"/>
          <w:position w:val="0"/>
        </w:rPr>
        <w:t>意”仅指无意缔结合同而 与对方进行合同磋商,并不要求行为人具有故意加害的目的（张家勇：《论前合同责任的归责标 准》，载《法学家》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期）。通常而言,证明一方当事人主观上具有恶意通常较为困难， 因此学理上有采取</w:t>
      </w:r>
      <w:r>
        <w:rPr>
          <w:color w:val="000000"/>
          <w:spacing w:val="0"/>
          <w:w w:val="100"/>
          <w:position w:val="0"/>
          <w:lang w:val="zh-CN" w:eastAsia="zh-CN" w:bidi="zh-CN"/>
        </w:rPr>
        <w:t>“正当</w:t>
      </w:r>
      <w:r>
        <w:rPr>
          <w:color w:val="000000"/>
          <w:spacing w:val="0"/>
          <w:w w:val="100"/>
          <w:position w:val="0"/>
        </w:rPr>
        <w:t>理由”的标准，即无正当理由中断磋商,需要承担缔约过失在责任。 一般而言，缔约人需求或履约能力发生重大变化、第三人可以提供明显优越的交易条件，中 断磋商可能被认为具备正当理由（叶金强:《论中断磋商的赔偿责任》，载《法学》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中断磋商的赔偿责任问题，涉及信赖保护与合同自由之间的平衡问题。即使产生了合理的 信赖，若对方当事人的中断缔约行为存在合理的理由，并不违反诚信,此时不能要求对方承 担损害赔偿之责［周江洪:《缔约过程中的磋商义务及其责任》，载《绍兴文理学院学报》（哲学社会科 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期］。此外，由于磋商义务在逻辑上属于协力义务，双方均需要遵守诚信磋商 义务。如果一方诚信磋商，而对方拒绝作合理让步以致合同无法成立时，不能因此而施加 不利于诚信磋商的一方。</w:t>
      </w:r>
    </w:p>
    <w:p w14:paraId="57C2EECB">
      <w:pPr>
        <w:pStyle w:val="17"/>
        <w:keepNext w:val="0"/>
        <w:keepLines w:val="0"/>
        <w:widowControl w:val="0"/>
        <w:shd w:val="clear" w:color="auto" w:fill="auto"/>
        <w:bidi w:val="0"/>
        <w:spacing w:before="0" w:after="300" w:line="342" w:lineRule="exact"/>
        <w:ind w:left="0" w:right="0" w:firstLine="420"/>
        <w:jc w:val="both"/>
      </w:pPr>
      <w:r>
        <w:rPr>
          <w:color w:val="000000"/>
          <w:spacing w:val="0"/>
          <w:w w:val="100"/>
          <w:position w:val="0"/>
        </w:rPr>
        <w:t>从广义上看，预约下的诚信磋商义务也属于缔约过程中磋商义务的范畴。无论基于缔 约接触所产生的诚信磋商义务还是预约下的诚信磋商义务，在判断是否因违反磋商义务而 构成恶意磋商这一问题上,均可援用前述判断标准。不过，在举证责任方面,理论上倾向于 对二者进行区别对待:对于前者，原则上需要由权利人来证明自己存在合理的信赖，同时对 方的行为违背诚信；而对于后者,原则上权利人只需要证明对方存在不订立本约的事实即 可，由后者来证明自己不订立本约的行为符合诚信原则（陆青:《〈买卖合同司法解释〉第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条评 析》，载《法学家》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2B61E29">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4287E0C9">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在本案例公布之前,涉及恶意磋商的案例，法院基本上持否定态度，从而维护缔约自由 这一基本价值。例如，在</w:t>
      </w:r>
      <w:r>
        <w:rPr>
          <w:color w:val="000000"/>
          <w:spacing w:val="0"/>
          <w:w w:val="100"/>
          <w:position w:val="0"/>
          <w:lang w:val="zh-CN" w:eastAsia="zh-CN" w:bidi="zh-CN"/>
        </w:rPr>
        <w:t>“重</w:t>
      </w:r>
      <w:r>
        <w:rPr>
          <w:color w:val="000000"/>
          <w:spacing w:val="0"/>
          <w:w w:val="100"/>
          <w:position w:val="0"/>
        </w:rPr>
        <w:t>庆市城口县岚天乡种植养殖场诉中国农业银行城口县支行缔 约过失责任赔偿案”［重庆市高级人民法院</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渝高法民终字第</w:t>
      </w:r>
      <w:r>
        <w:rPr>
          <w:rFonts w:ascii="Times New Roman" w:hAnsi="Times New Roman" w:eastAsia="Times New Roman" w:cs="Times New Roman"/>
          <w:color w:val="000000"/>
          <w:spacing w:val="0"/>
          <w:w w:val="100"/>
          <w:position w:val="0"/>
          <w:sz w:val="17"/>
          <w:szCs w:val="17"/>
        </w:rPr>
        <w:t>57</w:t>
      </w:r>
      <w:r>
        <w:rPr>
          <w:color w:val="000000"/>
          <w:spacing w:val="0"/>
          <w:w w:val="100"/>
          <w:position w:val="0"/>
        </w:rPr>
        <w:t>号民事判决书］中，法院认为 应从以下几个方面判断是否构成恶意磋商:一是被告是否根本没有与原告缔约合同的意 图;二是被告在主观上是否具有损害原告的恶意;三是被告在客观上是否实施了损害原告 利益的行为。原告没有充分的证据证明以上几点，被告不构成恶意磋商。再如，在“遵义凯 瑞特房地产开发有限公司与遵义市红花岗区长征镇沙坝村村民委员会等联建合同效力纠 纷上诉案”［贵州省高级人民法院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黔高民一终字第</w:t>
      </w:r>
      <w:r>
        <w:rPr>
          <w:rFonts w:ascii="Times New Roman" w:hAnsi="Times New Roman" w:eastAsia="Times New Roman" w:cs="Times New Roman"/>
          <w:color w:val="000000"/>
          <w:spacing w:val="0"/>
          <w:w w:val="100"/>
          <w:position w:val="0"/>
          <w:sz w:val="17"/>
          <w:szCs w:val="17"/>
        </w:rPr>
        <w:t>75</w:t>
      </w:r>
      <w:r>
        <w:rPr>
          <w:color w:val="000000"/>
          <w:spacing w:val="0"/>
          <w:w w:val="100"/>
          <w:position w:val="0"/>
        </w:rPr>
        <w:t>号民事判决书］中，法院认为，双方当 事人主要是因</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万元是在合同订立前交还是订立后交达不成协议，致使合同不能签订。 这是当事人正当行使自由权利的结果,不能据此认定为恶意磋商。当涉及预约时，如在</w:t>
      </w:r>
      <w:r>
        <w:rPr>
          <w:color w:val="000000"/>
          <w:spacing w:val="0"/>
          <w:w w:val="100"/>
          <w:position w:val="0"/>
          <w:lang w:val="zh-CN" w:eastAsia="zh-CN" w:bidi="zh-CN"/>
        </w:rPr>
        <w:t xml:space="preserve">“戴 </w:t>
      </w:r>
      <w:r>
        <w:rPr>
          <w:color w:val="000000"/>
          <w:spacing w:val="0"/>
          <w:w w:val="100"/>
          <w:position w:val="0"/>
        </w:rPr>
        <w:t>雪飞诉华新公司商品房订购协议定金纠纷案”（《最高人民法院公报》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期）中,法院虽 未就当事人是否构成恶意磋商进行表态，但对于判断标准进行了说明。法院指出，如果双 方在公平、诚信原则下继续进行了磋商，只是基于各自的利益考虑,无法就其他条款达成一 致的意思表示，致使本约不能订立，则属于不可归责于双方的原因，不在预约合同所指的违 约情形内。从中可见，无论是普通的缔约磋商抑或基于预约的磋商，当事人基于自身利益 考虑,均有未致合意的较大盖然性,不宜贸然认定为恶意磋商。此外，法院倾向于按照</w:t>
      </w:r>
      <w:r>
        <w:rPr>
          <w:color w:val="000000"/>
          <w:spacing w:val="0"/>
          <w:w w:val="100"/>
          <w:position w:val="0"/>
          <w:lang w:val="zh-CN" w:eastAsia="zh-CN" w:bidi="zh-CN"/>
        </w:rPr>
        <w:t xml:space="preserve">“谁 </w:t>
      </w:r>
      <w:r>
        <w:rPr>
          <w:color w:val="000000"/>
          <w:spacing w:val="0"/>
          <w:w w:val="100"/>
          <w:position w:val="0"/>
        </w:rPr>
        <w:t>主张,谁举证</w:t>
      </w:r>
      <w:r>
        <w:rPr>
          <w:color w:val="000000"/>
          <w:spacing w:val="0"/>
          <w:w w:val="100"/>
          <w:position w:val="0"/>
          <w:lang w:val="zh-CN" w:eastAsia="zh-CN" w:bidi="zh-CN"/>
        </w:rPr>
        <w:t>”原则</w:t>
      </w:r>
      <w:r>
        <w:rPr>
          <w:color w:val="000000"/>
          <w:spacing w:val="0"/>
          <w:w w:val="100"/>
          <w:position w:val="0"/>
        </w:rPr>
        <w:t>分配举证责任，由原告证明被告存在恶意。</w:t>
      </w:r>
    </w:p>
    <w:p w14:paraId="4857CDD5">
      <w:pPr>
        <w:pStyle w:val="17"/>
        <w:keepNext w:val="0"/>
        <w:keepLines w:val="0"/>
        <w:widowControl w:val="0"/>
        <w:shd w:val="clear" w:color="auto" w:fill="auto"/>
        <w:bidi w:val="0"/>
        <w:spacing w:before="0" w:after="160" w:line="343" w:lineRule="exact"/>
        <w:ind w:left="0" w:right="0"/>
        <w:jc w:val="both"/>
      </w:pPr>
      <w:r>
        <w:rPr>
          <w:color w:val="000000"/>
          <w:spacing w:val="0"/>
          <w:w w:val="100"/>
          <w:position w:val="0"/>
        </w:rPr>
        <w:t>在本案例公布之后，实践中出现了少量肯定当事人构成恶意磋商的判决。例如，在</w:t>
      </w:r>
      <w:r>
        <w:rPr>
          <w:color w:val="000000"/>
          <w:spacing w:val="0"/>
          <w:w w:val="100"/>
          <w:position w:val="0"/>
          <w:lang w:val="zh-CN" w:eastAsia="zh-CN" w:bidi="zh-CN"/>
        </w:rPr>
        <w:t xml:space="preserve">“索 </w:t>
      </w:r>
      <w:r>
        <w:rPr>
          <w:color w:val="000000"/>
          <w:spacing w:val="0"/>
          <w:w w:val="100"/>
          <w:position w:val="0"/>
        </w:rPr>
        <w:t>伦（上海）广告有限公司与上海泰盛制浆（集团）有限公司广告合同纠纷案</w:t>
      </w:r>
      <w:r>
        <w:rPr>
          <w:color w:val="000000"/>
          <w:spacing w:val="0"/>
          <w:w w:val="100"/>
          <w:position w:val="0"/>
          <w:lang w:val="zh-CN" w:eastAsia="zh-CN" w:bidi="zh-CN"/>
        </w:rPr>
        <w:t>”［上</w:t>
      </w:r>
      <w:r>
        <w:rPr>
          <w:color w:val="000000"/>
          <w:spacing w:val="0"/>
          <w:w w:val="100"/>
          <w:position w:val="0"/>
        </w:rPr>
        <w:t>海市长宁区人 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沪</w:t>
      </w:r>
      <w:r>
        <w:rPr>
          <w:rFonts w:ascii="Times New Roman" w:hAnsi="Times New Roman" w:eastAsia="Times New Roman" w:cs="Times New Roman"/>
          <w:color w:val="000000"/>
          <w:spacing w:val="0"/>
          <w:w w:val="100"/>
          <w:position w:val="0"/>
          <w:sz w:val="17"/>
          <w:szCs w:val="17"/>
        </w:rPr>
        <w:t>0105</w:t>
      </w:r>
      <w:r>
        <w:rPr>
          <w:color w:val="000000"/>
          <w:spacing w:val="0"/>
          <w:w w:val="100"/>
          <w:position w:val="0"/>
        </w:rPr>
        <w:t>民初</w:t>
      </w:r>
      <w:r>
        <w:rPr>
          <w:rFonts w:ascii="Times New Roman" w:hAnsi="Times New Roman" w:eastAsia="Times New Roman" w:cs="Times New Roman"/>
          <w:color w:val="000000"/>
          <w:spacing w:val="0"/>
          <w:w w:val="100"/>
          <w:position w:val="0"/>
          <w:sz w:val="17"/>
          <w:szCs w:val="17"/>
        </w:rPr>
        <w:t>25857</w:t>
      </w:r>
      <w:r>
        <w:rPr>
          <w:color w:val="000000"/>
          <w:spacing w:val="0"/>
          <w:w w:val="100"/>
          <w:position w:val="0"/>
        </w:rPr>
        <w:t>号民事判决书］中，从双方往来邮件等现有证据材料来看,被告 的行为让原告相信合同能成立，原告为此做了必要准备。在原告数次提出要求被告确认总 价的情况下被告仍不确认,却不断告知原告项目会执行而要求原告提供设计方案等，可以 认定被告的上述缔约行为违反了诚实信用原则，存在过错。此外,在与原告缔约过程中，被 告同时还与好几家广告公司进行洽谈，更反映出其主观上的故意程度。在涉及预约尤其是 明示拒绝磋商的情形，法院的态度更为明确。在</w:t>
      </w:r>
      <w:r>
        <w:rPr>
          <w:color w:val="000000"/>
          <w:spacing w:val="0"/>
          <w:w w:val="100"/>
          <w:position w:val="0"/>
          <w:lang w:val="zh-CN" w:eastAsia="zh-CN" w:bidi="zh-CN"/>
        </w:rPr>
        <w:t>“张励</w:t>
      </w:r>
      <w:r>
        <w:rPr>
          <w:color w:val="000000"/>
          <w:spacing w:val="0"/>
          <w:w w:val="100"/>
          <w:position w:val="0"/>
        </w:rPr>
        <w:t>与徐州市同力创展房地产有限公司 商品房预售合同纠纷案”（《最高人民法院公报》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期）中，被告在未取得商品房预售 许可时即对尚未开工建设的商品房进行出售违反了有关的法律法规,其行为具有违法性； 同时在与原告签订商品房认购单时对于上述情况估计不足,其后又将认购书中列明的房号 安置给他人，致使双方失去了进一步协商并签订本约合同的可能性，双方签订的商品房预 订单终止履行，对此结果被告应承担相应责任。上述两个案例属于恶意开始磋商或者拒绝 磋商，被告存在较强的可归责性，对方的信赖存在合理性,经过综合权衡，应肯定被告构成 恶意磋商，承担对信赖损害的赔偿责任。不过，对于就合同部分事项协商无果的情形，法院 仍倾向于持保守态度。例如，在</w:t>
      </w:r>
      <w:r>
        <w:rPr>
          <w:color w:val="000000"/>
          <w:spacing w:val="0"/>
          <w:w w:val="100"/>
          <w:position w:val="0"/>
          <w:lang w:val="zh-CN" w:eastAsia="zh-CN" w:bidi="zh-CN"/>
        </w:rPr>
        <w:t>“艺</w:t>
      </w:r>
      <w:r>
        <w:rPr>
          <w:color w:val="000000"/>
          <w:spacing w:val="0"/>
          <w:w w:val="100"/>
          <w:position w:val="0"/>
        </w:rPr>
        <w:t>龙网信息技术（北京）有限公司与北京趣拿软件科技有 限公司合同纠纷案”［北京市高级人民法院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高民（商）终字第</w:t>
      </w:r>
      <w:r>
        <w:rPr>
          <w:rFonts w:ascii="Times New Roman" w:hAnsi="Times New Roman" w:eastAsia="Times New Roman" w:cs="Times New Roman"/>
          <w:color w:val="000000"/>
          <w:spacing w:val="0"/>
          <w:w w:val="100"/>
          <w:position w:val="0"/>
          <w:sz w:val="17"/>
          <w:szCs w:val="17"/>
        </w:rPr>
        <w:t>1139</w:t>
      </w:r>
      <w:r>
        <w:rPr>
          <w:color w:val="000000"/>
          <w:spacing w:val="0"/>
          <w:w w:val="100"/>
          <w:position w:val="0"/>
        </w:rPr>
        <w:t>号民事判决书］中，法院指 出,艺龙公司及趣拿公司均有权在国际酒店合作协议的拟定过程中，为维护自身利益，提出 佣金、对账、结算方式及流程之外的其佃田麻一衣右</w:t>
      </w:r>
      <w:r>
        <w:rPr>
          <w:rFonts w:ascii="Times New Roman" w:hAnsi="Times New Roman" w:eastAsia="Times New Roman" w:cs="Times New Roman"/>
          <w:color w:val="000000"/>
          <w:spacing w:val="0"/>
          <w:w w:val="100"/>
          <w:position w:val="0"/>
          <w:sz w:val="17"/>
          <w:szCs w:val="17"/>
          <w:lang w:val="en-US" w:eastAsia="en-US" w:bidi="en-US"/>
        </w:rPr>
        <w:t>M</w:t>
      </w:r>
      <w:r>
        <w:rPr>
          <w:color w:val="000000"/>
          <w:spacing w:val="0"/>
          <w:w w:val="100"/>
          <w:position w:val="0"/>
        </w:rPr>
        <w:t>冬港存在</w:t>
      </w:r>
      <w:r>
        <w:rPr>
          <w:color w:val="000000"/>
          <w:spacing w:val="0"/>
          <w:w w:val="100"/>
          <w:position w:val="0"/>
          <w:lang w:val="zh-CN" w:eastAsia="zh-CN" w:bidi="zh-CN"/>
        </w:rPr>
        <w:t>华隹</w:t>
      </w:r>
      <w:r>
        <w:rPr>
          <w:color w:val="000000"/>
          <w:spacing w:val="0"/>
          <w:w w:val="100"/>
          <w:position w:val="0"/>
        </w:rPr>
        <w:t>景终无礼达成一致，亦 属协议洽商过程中的正常现象。</w:t>
      </w:r>
    </w:p>
    <w:p w14:paraId="5A555071">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rPr>
        <w:t>回本判决的参考意义及将来的课题</w:t>
      </w:r>
    </w:p>
    <w:p w14:paraId="0A0587D6">
      <w:pPr>
        <w:pStyle w:val="17"/>
        <w:keepNext w:val="0"/>
        <w:keepLines w:val="0"/>
        <w:widowControl w:val="0"/>
        <w:shd w:val="clear" w:color="auto" w:fill="auto"/>
        <w:bidi w:val="0"/>
        <w:spacing w:before="0" w:after="360" w:line="342" w:lineRule="exact"/>
        <w:ind w:left="0" w:right="0"/>
        <w:jc w:val="both"/>
      </w:pPr>
      <w:r>
        <w:rPr>
          <w:color w:val="000000"/>
          <w:spacing w:val="0"/>
          <w:w w:val="100"/>
          <w:position w:val="0"/>
        </w:rPr>
        <w:t>本案中，虽然双方存在先合同协议，但最高人民法院仍倾向于维护缔约自由，认为彩虹 公司的行为不构成恶意磋商。由此可见，即使存在缔约接触乃至形成预约，当事人也仍然 保有相当的磋商自由度。最高人民法院的这一立场对于判断当事人是否诚信履行磋商义 务，具有重要的参考意义。将来值得进一步关注的课题是:在判断是否属于恶意磋商时，除 了举证责任之外,磋商义务的来源不同还会产生何种影响。此外，在认定彩虹公司不构成 恶意磋商的情况下，可归责性要件并不满足。即使星云公司存在信赖，也无充分理由要求 彩虹公司承担部分损失,除非在恶意磋商之外有其他可归责的事由。对此，也有进一步探 讨的空间。</w:t>
      </w:r>
    </w:p>
    <w:p w14:paraId="7022CEC7">
      <w:pPr>
        <w:pStyle w:val="11"/>
        <w:keepNext w:val="0"/>
        <w:keepLines w:val="0"/>
        <w:widowControl w:val="0"/>
        <w:shd w:val="clear" w:color="auto" w:fill="auto"/>
        <w:bidi w:val="0"/>
        <w:spacing w:before="0" w:after="0" w:line="343" w:lineRule="exact"/>
        <w:ind w:left="0" w:right="0" w:firstLine="0"/>
        <w:jc w:val="both"/>
      </w:pPr>
      <w:r>
        <w:rPr>
          <w:color w:val="000000"/>
          <w:spacing w:val="0"/>
          <w:w w:val="100"/>
          <w:position w:val="0"/>
        </w:rPr>
        <w:t>回参考文献</w:t>
      </w:r>
    </w:p>
    <w:p w14:paraId="26EFF5AB">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叶金强:《论中断磋商的赔偿责任》，载《法学》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7B370D53">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周江洪:《缔约过程中的磋商义务及其责任》，载《绍兴文理学院学报》（哲学社会科学</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A44BFDC">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胡康生主编:《中华人民共和国合同法释义》（第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w:t>
      </w:r>
    </w:p>
    <w:p w14:paraId="0B55DFE7">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陆青:《〈买卖合同司法解释〉第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条评析》，载《法学家》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B8A4E0E">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张家勇：《论前合同责任的归责标准》，载《法学家》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03643B4">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王利明：《合同法研究》（第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卷）（第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3A3DE444">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孙维飞:《〈合同法〉第</w:t>
      </w:r>
      <w:r>
        <w:rPr>
          <w:rFonts w:ascii="Times New Roman" w:hAnsi="Times New Roman" w:eastAsia="Times New Roman" w:cs="Times New Roman"/>
          <w:color w:val="000000"/>
          <w:spacing w:val="0"/>
          <w:w w:val="100"/>
          <w:position w:val="0"/>
          <w:sz w:val="17"/>
          <w:szCs w:val="17"/>
        </w:rPr>
        <w:t>42</w:t>
      </w:r>
      <w:r>
        <w:rPr>
          <w:color w:val="000000"/>
          <w:spacing w:val="0"/>
          <w:w w:val="100"/>
          <w:position w:val="0"/>
        </w:rPr>
        <w:t>条（缔约过失责任）评注》，载《法学家》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9C37E0F">
      <w:pPr>
        <w:pStyle w:val="17"/>
        <w:keepNext w:val="0"/>
        <w:keepLines w:val="0"/>
        <w:widowControl w:val="0"/>
        <w:shd w:val="clear" w:color="auto" w:fill="auto"/>
        <w:bidi w:val="0"/>
        <w:spacing w:before="0" w:after="0" w:line="343"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2EAB270">
      <w:pPr>
        <w:pStyle w:val="17"/>
        <w:keepNext w:val="0"/>
        <w:keepLines w:val="0"/>
        <w:widowControl w:val="0"/>
        <w:shd w:val="clear" w:color="auto" w:fill="auto"/>
        <w:bidi w:val="0"/>
        <w:spacing w:before="0" w:after="200" w:line="343" w:lineRule="exact"/>
        <w:ind w:left="0" w:right="0" w:firstLine="0"/>
        <w:jc w:val="left"/>
        <w:sectPr>
          <w:headerReference r:id="rId349" w:type="default"/>
          <w:headerReference r:id="rId350" w:type="even"/>
          <w:footnotePr>
            <w:numFmt w:val="chicago"/>
          </w:footnotePr>
          <w:pgSz w:w="10099" w:h="14782"/>
          <w:pgMar w:top="1326" w:right="987" w:bottom="1095" w:left="1112" w:header="0" w:footer="3" w:gutter="0"/>
          <w:pgNumType w:start="278"/>
          <w:cols w:space="720" w:num="1"/>
          <w:rtlGutter w:val="0"/>
          <w:docGrid w:linePitch="360" w:charSpace="0"/>
        </w:sectPr>
      </w:pPr>
      <w:r>
        <w:rPr>
          <w:color w:val="000000"/>
          <w:spacing w:val="0"/>
          <w:w w:val="100"/>
          <w:position w:val="0"/>
        </w:rPr>
        <w:t>朱广新:《合同法总则》（上册）（第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3BF2B837">
      <w:pPr>
        <w:widowControl w:val="0"/>
        <w:spacing w:line="61" w:lineRule="exact"/>
        <w:rPr>
          <w:sz w:val="5"/>
          <w:szCs w:val="5"/>
        </w:rPr>
      </w:pPr>
    </w:p>
    <w:p w14:paraId="2437B6C8">
      <w:pPr>
        <w:widowControl w:val="0"/>
        <w:spacing w:line="1" w:lineRule="exact"/>
        <w:sectPr>
          <w:headerReference r:id="rId351" w:type="default"/>
          <w:headerReference r:id="rId352" w:type="even"/>
          <w:footnotePr>
            <w:numFmt w:val="chicago"/>
          </w:footnotePr>
          <w:pgSz w:w="10099" w:h="14782"/>
          <w:pgMar w:top="1297" w:right="1080" w:bottom="1120" w:left="1019" w:header="0" w:footer="3" w:gutter="0"/>
          <w:pgNumType w:start="297"/>
          <w:cols w:space="720" w:num="1"/>
          <w:rtlGutter w:val="0"/>
          <w:docGrid w:linePitch="360" w:charSpace="0"/>
        </w:sectPr>
      </w:pPr>
    </w:p>
    <w:p w14:paraId="0A1D1525">
      <w:pPr>
        <w:widowControl w:val="0"/>
        <w:spacing w:line="1" w:lineRule="exact"/>
      </w:pPr>
      <w:r>
        <mc:AlternateContent>
          <mc:Choice Requires="wps">
            <w:drawing>
              <wp:anchor distT="0" distB="24130" distL="114300" distR="3662680" simplePos="0" relativeHeight="251660288" behindDoc="0" locked="0" layoutInCell="1" allowOverlap="1">
                <wp:simplePos x="0" y="0"/>
                <wp:positionH relativeFrom="page">
                  <wp:posOffset>705485</wp:posOffset>
                </wp:positionH>
                <wp:positionV relativeFrom="paragraph">
                  <wp:posOffset>12700</wp:posOffset>
                </wp:positionV>
                <wp:extent cx="450850" cy="304800"/>
                <wp:effectExtent l="0" t="0" r="0" b="0"/>
                <wp:wrapTopAndBottom/>
                <wp:docPr id="803" name="Shape 803"/>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4FD81FBA">
                            <w:pPr>
                              <w:pStyle w:val="27"/>
                              <w:keepNext/>
                              <w:keepLines/>
                              <w:widowControl w:val="0"/>
                              <w:shd w:val="clear" w:color="auto" w:fill="auto"/>
                              <w:bidi w:val="0"/>
                              <w:spacing w:before="0" w:after="0" w:line="240" w:lineRule="auto"/>
                              <w:ind w:left="0" w:right="0" w:firstLine="0"/>
                              <w:jc w:val="left"/>
                            </w:pPr>
                            <w:bookmarkStart w:id="459" w:name="bookmark359"/>
                            <w:bookmarkStart w:id="460" w:name="bookmark361"/>
                            <w:bookmarkStart w:id="461" w:name="bookmark360"/>
                            <w:r>
                              <w:rPr>
                                <w:rFonts w:ascii="Times New Roman" w:hAnsi="Times New Roman" w:eastAsia="Times New Roman" w:cs="Times New Roman"/>
                                <w:color w:val="000000"/>
                                <w:spacing w:val="0"/>
                                <w:w w:val="100"/>
                                <w:position w:val="0"/>
                              </w:rPr>
                              <w:t>057</w:t>
                            </w:r>
                            <w:bookmarkEnd w:id="459"/>
                            <w:bookmarkEnd w:id="460"/>
                            <w:bookmarkEnd w:id="461"/>
                          </w:p>
                        </w:txbxContent>
                      </wps:txbx>
                      <wps:bodyPr wrap="none" lIns="0" tIns="0" rIns="0" bIns="0">
                        <a:noAutofit/>
                      </wps:bodyPr>
                    </wps:wsp>
                  </a:graphicData>
                </a:graphic>
              </wp:anchor>
            </w:drawing>
          </mc:Choice>
          <mc:Fallback>
            <w:pict>
              <v:shape id="Shape 803" o:spid="_x0000_s1026" o:spt="202" type="#_x0000_t202" style="position:absolute;left:0pt;margin-left:55.55pt;margin-top:1pt;height:24pt;width:35.5pt;mso-position-horizontal-relative:page;mso-wrap-distance-bottom:1.9pt;mso-wrap-distance-top:0pt;mso-wrap-style:none;z-index:251660288;mso-width-relative:page;mso-height-relative:page;" filled="f" stroked="f" coordsize="21600,21600" o:gfxdata="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GCnKJjSAAAACAEA&#10;AA8AAAAAAAAAAQAgAAAAIgAAAGRycy9kb3ducmV2LnhtbFBLAQIUABQAAAAIAIdO4kDUQUxQrgEA&#10;AHMDAAAOAAAAAAAAAAEAIAAAACEBAABkcnMvZTJvRG9jLnhtbFBLBQYAAAAABgAGAFkBAABBBQAA&#10;AAA=&#10;">
                <v:fill on="f" focussize="0,0"/>
                <v:stroke on="f"/>
                <v:imagedata o:title=""/>
                <o:lock v:ext="edit" aspectratio="f"/>
                <v:textbox inset="0mm,0mm,0mm,0mm">
                  <w:txbxContent>
                    <w:p w14:paraId="4FD81FBA">
                      <w:pPr>
                        <w:pStyle w:val="27"/>
                        <w:keepNext/>
                        <w:keepLines/>
                        <w:widowControl w:val="0"/>
                        <w:shd w:val="clear" w:color="auto" w:fill="auto"/>
                        <w:bidi w:val="0"/>
                        <w:spacing w:before="0" w:after="0" w:line="240" w:lineRule="auto"/>
                        <w:ind w:left="0" w:right="0" w:firstLine="0"/>
                        <w:jc w:val="left"/>
                      </w:pPr>
                      <w:bookmarkStart w:id="459" w:name="bookmark359"/>
                      <w:bookmarkStart w:id="460" w:name="bookmark361"/>
                      <w:bookmarkStart w:id="461" w:name="bookmark360"/>
                      <w:r>
                        <w:rPr>
                          <w:rFonts w:ascii="Times New Roman" w:hAnsi="Times New Roman" w:eastAsia="Times New Roman" w:cs="Times New Roman"/>
                          <w:color w:val="000000"/>
                          <w:spacing w:val="0"/>
                          <w:w w:val="100"/>
                          <w:position w:val="0"/>
                        </w:rPr>
                        <w:t>057</w:t>
                      </w:r>
                      <w:bookmarkEnd w:id="459"/>
                      <w:bookmarkEnd w:id="460"/>
                      <w:bookmarkEnd w:id="461"/>
                    </w:p>
                  </w:txbxContent>
                </v:textbox>
                <w10:wrap type="topAndBottom"/>
              </v:shape>
            </w:pict>
          </mc:Fallback>
        </mc:AlternateContent>
      </w:r>
      <w:r>
        <mc:AlternateContent>
          <mc:Choice Requires="wps">
            <w:drawing>
              <wp:anchor distT="88265" distB="0" distL="699770" distR="114300" simplePos="0" relativeHeight="251660288" behindDoc="0" locked="0" layoutInCell="1" allowOverlap="1">
                <wp:simplePos x="0" y="0"/>
                <wp:positionH relativeFrom="page">
                  <wp:posOffset>1290955</wp:posOffset>
                </wp:positionH>
                <wp:positionV relativeFrom="paragraph">
                  <wp:posOffset>100965</wp:posOffset>
                </wp:positionV>
                <wp:extent cx="3413760" cy="240665"/>
                <wp:effectExtent l="0" t="0" r="0" b="0"/>
                <wp:wrapTopAndBottom/>
                <wp:docPr id="805" name="Shape 805"/>
                <wp:cNvGraphicFramePr/>
                <a:graphic xmlns:a="http://schemas.openxmlformats.org/drawingml/2006/main">
                  <a:graphicData uri="http://schemas.microsoft.com/office/word/2010/wordprocessingShape">
                    <wps:wsp>
                      <wps:cNvSpPr txBox="1"/>
                      <wps:spPr>
                        <a:xfrm>
                          <a:off x="0" y="0"/>
                          <a:ext cx="3413760" cy="240665"/>
                        </a:xfrm>
                        <a:prstGeom prst="rect">
                          <a:avLst/>
                        </a:prstGeom>
                        <a:noFill/>
                      </wps:spPr>
                      <wps:txbx>
                        <w:txbxContent>
                          <w:p w14:paraId="17EA3411">
                            <w:pPr>
                              <w:pStyle w:val="15"/>
                              <w:keepNext/>
                              <w:keepLines/>
                              <w:widowControl w:val="0"/>
                              <w:shd w:val="clear" w:color="auto" w:fill="auto"/>
                              <w:bidi w:val="0"/>
                              <w:spacing w:before="0" w:after="0" w:line="240" w:lineRule="auto"/>
                              <w:ind w:left="0" w:right="0" w:firstLine="0"/>
                              <w:jc w:val="left"/>
                            </w:pPr>
                            <w:bookmarkStart w:id="462" w:name="bookmark363"/>
                            <w:bookmarkStart w:id="463" w:name="bookmark362"/>
                            <w:bookmarkStart w:id="464" w:name="bookmark364"/>
                            <w:r>
                              <w:rPr>
                                <w:color w:val="000000"/>
                                <w:spacing w:val="0"/>
                                <w:w w:val="100"/>
                                <w:position w:val="0"/>
                              </w:rPr>
                              <w:t>消费者保护法上的告知义务和欺诈认定</w:t>
                            </w:r>
                            <w:bookmarkEnd w:id="462"/>
                            <w:bookmarkEnd w:id="463"/>
                            <w:bookmarkEnd w:id="464"/>
                          </w:p>
                        </w:txbxContent>
                      </wps:txbx>
                      <wps:bodyPr wrap="none" lIns="0" tIns="0" rIns="0" bIns="0">
                        <a:noAutofit/>
                      </wps:bodyPr>
                    </wps:wsp>
                  </a:graphicData>
                </a:graphic>
              </wp:anchor>
            </w:drawing>
          </mc:Choice>
          <mc:Fallback>
            <w:pict>
              <v:shape id="Shape 805" o:spid="_x0000_s1026" o:spt="202" type="#_x0000_t202" style="position:absolute;left:0pt;margin-left:101.65pt;margin-top:7.95pt;height:18.95pt;width:268.8pt;mso-position-horizontal-relative:page;mso-wrap-distance-bottom:0pt;mso-wrap-distance-top:6.95pt;mso-wrap-style:none;z-index:251660288;mso-width-relative:page;mso-height-relative:page;" filled="f" stroked="f" coordsize="21600,21600" o:gfxdata="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McZEdYA&#10;AAAJAQAADwAAAAAAAAABACAAAAAiAAAAZHJzL2Rvd25yZXYueG1sUEsBAhQAFAAAAAgAh07iQKQB&#10;r6WvAQAAdAMAAA4AAAAAAAAAAQAgAAAAJQEAAGRycy9lMm9Eb2MueG1sUEsFBgAAAAAGAAYAWQEA&#10;AEYFAAAAAA==&#10;">
                <v:fill on="f" focussize="0,0"/>
                <v:stroke on="f"/>
                <v:imagedata o:title=""/>
                <o:lock v:ext="edit" aspectratio="f"/>
                <v:textbox inset="0mm,0mm,0mm,0mm">
                  <w:txbxContent>
                    <w:p w14:paraId="17EA3411">
                      <w:pPr>
                        <w:pStyle w:val="15"/>
                        <w:keepNext/>
                        <w:keepLines/>
                        <w:widowControl w:val="0"/>
                        <w:shd w:val="clear" w:color="auto" w:fill="auto"/>
                        <w:bidi w:val="0"/>
                        <w:spacing w:before="0" w:after="0" w:line="240" w:lineRule="auto"/>
                        <w:ind w:left="0" w:right="0" w:firstLine="0"/>
                        <w:jc w:val="left"/>
                      </w:pPr>
                      <w:bookmarkStart w:id="462" w:name="bookmark363"/>
                      <w:bookmarkStart w:id="463" w:name="bookmark362"/>
                      <w:bookmarkStart w:id="464" w:name="bookmark364"/>
                      <w:r>
                        <w:rPr>
                          <w:color w:val="000000"/>
                          <w:spacing w:val="0"/>
                          <w:w w:val="100"/>
                          <w:position w:val="0"/>
                        </w:rPr>
                        <w:t>消费者保护法上的告知义务和欺诈认定</w:t>
                      </w:r>
                      <w:bookmarkEnd w:id="462"/>
                      <w:bookmarkEnd w:id="463"/>
                      <w:bookmarkEnd w:id="464"/>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5081905</wp:posOffset>
            </wp:positionH>
            <wp:positionV relativeFrom="paragraph">
              <wp:posOffset>237490</wp:posOffset>
            </wp:positionV>
            <wp:extent cx="615950" cy="621665"/>
            <wp:effectExtent l="0" t="0" r="6350" b="635"/>
            <wp:wrapSquare wrapText="left"/>
            <wp:docPr id="807" name="Shape 807"/>
            <wp:cNvGraphicFramePr/>
            <a:graphic xmlns:a="http://schemas.openxmlformats.org/drawingml/2006/main">
              <a:graphicData uri="http://schemas.openxmlformats.org/drawingml/2006/picture">
                <pic:pic xmlns:pic="http://schemas.openxmlformats.org/drawingml/2006/picture">
                  <pic:nvPicPr>
                    <pic:cNvPr id="807" name="Shape 807"/>
                    <pic:cNvPicPr/>
                  </pic:nvPicPr>
                  <pic:blipFill>
                    <a:blip r:embed="rId665"/>
                    <a:stretch>
                      <a:fillRect/>
                    </a:stretch>
                  </pic:blipFill>
                  <pic:spPr>
                    <a:xfrm>
                      <a:off x="0" y="0"/>
                      <a:ext cx="615950" cy="621665"/>
                    </a:xfrm>
                    <a:prstGeom prst="rect">
                      <a:avLst/>
                    </a:prstGeom>
                  </pic:spPr>
                </pic:pic>
              </a:graphicData>
            </a:graphic>
          </wp:anchor>
        </w:drawing>
      </w:r>
    </w:p>
    <w:p w14:paraId="3AD89386">
      <w:pPr>
        <w:pStyle w:val="17"/>
        <w:keepNext w:val="0"/>
        <w:keepLines w:val="0"/>
        <w:widowControl w:val="0"/>
        <w:shd w:val="clear" w:color="auto" w:fill="auto"/>
        <w:bidi w:val="0"/>
        <w:spacing w:before="0" w:after="380" w:line="319" w:lineRule="exact"/>
        <w:ind w:left="1000" w:right="0" w:firstLine="0"/>
        <w:jc w:val="both"/>
      </w:pPr>
      <w:r>
        <w:rPr>
          <w:color w:val="000000"/>
          <w:spacing w:val="0"/>
          <w:w w:val="100"/>
          <w:position w:val="0"/>
        </w:rPr>
        <w:t>张莉诉北京合力华通汽车服务有限公司买卖合同纠纷案丨最高 人民法院第</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号指导性案例</w:t>
      </w:r>
    </w:p>
    <w:p w14:paraId="6C9DF430">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rPr>
        <w:t>陆青浙江大学光华法学院</w:t>
      </w:r>
    </w:p>
    <w:p w14:paraId="52D07EBC">
      <w:pPr>
        <w:pStyle w:val="11"/>
        <w:keepNext w:val="0"/>
        <w:keepLines w:val="0"/>
        <w:widowControl w:val="0"/>
        <w:shd w:val="clear" w:color="auto" w:fill="auto"/>
        <w:bidi w:val="0"/>
        <w:spacing w:before="0" w:after="6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BC2B382">
      <w:pPr>
        <w:pStyle w:val="17"/>
        <w:keepNext w:val="0"/>
        <w:keepLines w:val="0"/>
        <w:widowControl w:val="0"/>
        <w:shd w:val="clear" w:color="auto" w:fill="auto"/>
        <w:bidi w:val="0"/>
        <w:spacing w:before="0" w:after="0" w:line="338" w:lineRule="exact"/>
        <w:ind w:left="0" w:right="0" w:firstLine="42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日，原告张莉从被告北京合力华通汽车服务有限公司（以下简称合力华 通公司）购买上海通用雪佛兰景程轿车一辆，价格</w:t>
      </w:r>
      <w:r>
        <w:rPr>
          <w:rFonts w:ascii="Times New Roman" w:hAnsi="Times New Roman" w:eastAsia="Times New Roman" w:cs="Times New Roman"/>
          <w:color w:val="000000"/>
          <w:spacing w:val="0"/>
          <w:w w:val="100"/>
          <w:position w:val="0"/>
          <w:sz w:val="19"/>
          <w:szCs w:val="19"/>
          <w:lang w:val="en-US" w:eastAsia="en-US" w:bidi="en-US"/>
        </w:rPr>
        <w:t xml:space="preserve">13.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万元，双方签有《汽车销售合同》。 该合同第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条约定:“……卖方保证买方所购车辆为新车，在交付之前已作了必要的检验和 清洁，车辆路程表的公里数为</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公里且符合卖方提供给买方的随车交付文件中所列的各项 规格和指标……</w:t>
      </w:r>
      <w:r>
        <w:rPr>
          <w:color w:val="000000"/>
          <w:spacing w:val="0"/>
          <w:w w:val="100"/>
          <w:position w:val="0"/>
          <w:lang w:val="zh-CN" w:eastAsia="zh-CN" w:bidi="zh-CN"/>
        </w:rPr>
        <w:t>”合</w:t>
      </w:r>
      <w:r>
        <w:rPr>
          <w:color w:val="000000"/>
          <w:spacing w:val="0"/>
          <w:w w:val="100"/>
          <w:position w:val="0"/>
        </w:rPr>
        <w:t>同签订当日，张莉向合力华通公司交付了购车款</w:t>
      </w:r>
      <w:r>
        <w:rPr>
          <w:rFonts w:ascii="Times New Roman" w:hAnsi="Times New Roman" w:eastAsia="Times New Roman" w:cs="Times New Roman"/>
          <w:color w:val="000000"/>
          <w:spacing w:val="0"/>
          <w:w w:val="100"/>
          <w:position w:val="0"/>
          <w:sz w:val="19"/>
          <w:szCs w:val="19"/>
          <w:lang w:val="en-US" w:eastAsia="en-US" w:bidi="en-US"/>
        </w:rPr>
        <w:t xml:space="preserve">13. </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万元，同时支付 了车辆购置税</w:t>
      </w:r>
      <w:r>
        <w:rPr>
          <w:rFonts w:ascii="Times New Roman" w:hAnsi="Times New Roman" w:eastAsia="Times New Roman" w:cs="Times New Roman"/>
          <w:color w:val="000000"/>
          <w:spacing w:val="0"/>
          <w:w w:val="100"/>
          <w:position w:val="0"/>
          <w:sz w:val="19"/>
          <w:szCs w:val="19"/>
          <w:lang w:val="en-US" w:eastAsia="en-US" w:bidi="en-US"/>
        </w:rPr>
        <w:t>1.24</w:t>
      </w:r>
      <w:r>
        <w:rPr>
          <w:color w:val="000000"/>
          <w:spacing w:val="0"/>
          <w:w w:val="100"/>
          <w:position w:val="0"/>
        </w:rPr>
        <w:t>万元、一条龙服务费</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元、保险费</w:t>
      </w:r>
      <w:r>
        <w:rPr>
          <w:rFonts w:ascii="Times New Roman" w:hAnsi="Times New Roman" w:eastAsia="Times New Roman" w:cs="Times New Roman"/>
          <w:color w:val="000000"/>
          <w:spacing w:val="0"/>
          <w:w w:val="100"/>
          <w:position w:val="0"/>
          <w:sz w:val="19"/>
          <w:szCs w:val="19"/>
        </w:rPr>
        <w:t>6060</w:t>
      </w:r>
      <w:r>
        <w:rPr>
          <w:color w:val="000000"/>
          <w:spacing w:val="0"/>
          <w:w w:val="100"/>
          <w:position w:val="0"/>
        </w:rPr>
        <w:t>元。同日，合力华通公司将雪 佛兰景程轿车一辆交付张莉，张莉为该车办理了机动车登记手续。</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日，张莉 在将车辆送合力华通公司保养时,发现该车曾于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日进行过维修。</w:t>
      </w:r>
    </w:p>
    <w:p w14:paraId="09FEF608">
      <w:pPr>
        <w:pStyle w:val="17"/>
        <w:keepNext w:val="0"/>
        <w:keepLines w:val="0"/>
        <w:widowControl w:val="0"/>
        <w:shd w:val="clear" w:color="auto" w:fill="auto"/>
        <w:bidi w:val="0"/>
        <w:spacing w:before="0" w:after="340" w:line="338" w:lineRule="exact"/>
        <w:ind w:left="0" w:right="0" w:firstLine="420"/>
        <w:jc w:val="both"/>
      </w:pPr>
      <w:r>
        <w:rPr>
          <w:color w:val="000000"/>
          <w:spacing w:val="0"/>
          <w:w w:val="100"/>
          <w:position w:val="0"/>
        </w:rPr>
        <w:t>审理中，合力华通公司表示张莉所购车辆确曾在运输途中划伤，于</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日进 行过维修，维修项目包括右前叶子板喷漆、右前门喷漆等多项内容。送修人系该公司业务 员。合力华通公司称，对于车辆曾进行维修之事已在销售时明确告知张莉,并据此予以较 大幅度优惠，该车销售定价应为</w:t>
      </w:r>
      <w:r>
        <w:rPr>
          <w:rFonts w:ascii="Times New Roman" w:hAnsi="Times New Roman" w:eastAsia="Times New Roman" w:cs="Times New Roman"/>
          <w:color w:val="000000"/>
          <w:spacing w:val="0"/>
          <w:w w:val="100"/>
          <w:position w:val="0"/>
          <w:sz w:val="19"/>
          <w:szCs w:val="19"/>
          <w:lang w:val="en-US" w:eastAsia="en-US" w:bidi="en-US"/>
        </w:rPr>
        <w:t>15.</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万元，经协商后该车实际销售价格为</w:t>
      </w:r>
      <w:r>
        <w:rPr>
          <w:rFonts w:ascii="Times New Roman" w:hAnsi="Times New Roman" w:eastAsia="Times New Roman" w:cs="Times New Roman"/>
          <w:color w:val="000000"/>
          <w:spacing w:val="0"/>
          <w:w w:val="100"/>
          <w:position w:val="0"/>
          <w:sz w:val="19"/>
          <w:szCs w:val="19"/>
          <w:lang w:val="en-US" w:eastAsia="en-US" w:bidi="en-US"/>
        </w:rPr>
        <w:t>13.8</w:t>
      </w:r>
      <w:r>
        <w:rPr>
          <w:color w:val="000000"/>
          <w:spacing w:val="0"/>
          <w:w w:val="100"/>
          <w:position w:val="0"/>
        </w:rPr>
        <w:t>万元，还赠 送了部分装饰。为证明上述事实,合力华通公司提供了车辆维修记录及有张莉签字的日期 为</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日的车辆交接验收单一份，在车辆交接验收单备注一栏中注有“加</w:t>
      </w:r>
      <w:r>
        <w:rPr>
          <w:rFonts w:ascii="Times New Roman" w:hAnsi="Times New Roman" w:eastAsia="Times New Roman" w:cs="Times New Roman"/>
          <w:color w:val="000000"/>
          <w:spacing w:val="0"/>
          <w:w w:val="100"/>
          <w:position w:val="0"/>
          <w:sz w:val="19"/>
          <w:szCs w:val="19"/>
        </w:rPr>
        <w:t xml:space="preserve">1/4 </w:t>
      </w:r>
      <w:r>
        <w:rPr>
          <w:color w:val="000000"/>
          <w:spacing w:val="0"/>
          <w:w w:val="100"/>
          <w:position w:val="0"/>
        </w:rPr>
        <w:t>油，此车右侧有飯喷修复,按约定价格销售”。合力华通公司表示该验收单系该公司保存， 张莉手中并无此单。对于合力华通公司提供的上述两份证据,张莉表示对于车辆维修记录 没有异议，车辆交接验收单中的签字确系其所签，但合力华通公司在销售时并未告知车辆 曾有维修，其在签字时备注一栏中没有“此车右侧有飯喷修复，按约定价格销售”字样。</w:t>
      </w:r>
    </w:p>
    <w:p w14:paraId="29B4AE22">
      <w:pPr>
        <w:pStyle w:val="11"/>
        <w:keepNext w:val="0"/>
        <w:keepLines w:val="0"/>
        <w:widowControl w:val="0"/>
        <w:shd w:val="clear" w:color="auto" w:fill="auto"/>
        <w:bidi w:val="0"/>
        <w:spacing w:before="0" w:after="60" w:line="338"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12AB72C2">
      <w:pPr>
        <w:pStyle w:val="17"/>
        <w:keepNext w:val="0"/>
        <w:keepLines w:val="0"/>
        <w:widowControl w:val="0"/>
        <w:shd w:val="clear" w:color="auto" w:fill="auto"/>
        <w:bidi w:val="0"/>
        <w:spacing w:before="0" w:after="360" w:line="338" w:lineRule="exact"/>
        <w:ind w:left="0" w:right="0" w:firstLine="420"/>
        <w:jc w:val="both"/>
        <w:sectPr>
          <w:footnotePr>
            <w:numFmt w:val="chicago"/>
          </w:footnotePr>
          <w:type w:val="continuous"/>
          <w:pgSz w:w="10099" w:h="14782"/>
          <w:pgMar w:top="1297" w:right="1080" w:bottom="1120" w:left="1019" w:header="869" w:footer="692" w:gutter="0"/>
          <w:cols w:space="720" w:num="1"/>
          <w:rtlGutter w:val="0"/>
          <w:docGrid w:linePitch="360" w:charSpace="0"/>
        </w:sectPr>
      </w:pPr>
      <w:r>
        <w:rPr>
          <w:color w:val="000000"/>
          <w:spacing w:val="0"/>
          <w:w w:val="100"/>
          <w:position w:val="0"/>
        </w:rPr>
        <w:t>为家庭生活消费需要购买汽车，发生欺诈纠纷的，可以按照《消费者权益保护法》处理。 汽车销售者承诺向消费者出售没有使用或维修过的新车，消费者购买后发现系使用或维修 过的汽车，销售者不能证明已履行告知义务且得到消费者认可的，构成销售欺诈，消费者要 求销售者按照消费者权益保护法赔偿损失的,人民法院应予支持。</w:t>
      </w:r>
    </w:p>
    <w:p w14:paraId="3E05CE2C">
      <w:pPr>
        <w:pStyle w:val="11"/>
        <w:keepNext w:val="0"/>
        <w:keepLines w:val="0"/>
        <w:widowControl w:val="0"/>
        <w:shd w:val="clear" w:color="auto" w:fill="auto"/>
        <w:bidi w:val="0"/>
        <w:spacing w:before="0" w:after="140" w:line="344" w:lineRule="exact"/>
        <w:ind w:left="0" w:right="0" w:firstLine="0"/>
        <w:jc w:val="both"/>
      </w:pPr>
      <w:r>
        <w:rPr>
          <w:color w:val="000000"/>
          <w:spacing w:val="0"/>
          <w:w w:val="100"/>
          <w:position w:val="0"/>
        </w:rPr>
        <w:t>■评析</w:t>
      </w:r>
    </w:p>
    <w:p w14:paraId="2BA43E77">
      <w:pPr>
        <w:pStyle w:val="17"/>
        <w:keepNext w:val="0"/>
        <w:keepLines w:val="0"/>
        <w:widowControl w:val="0"/>
        <w:shd w:val="clear" w:color="auto" w:fill="auto"/>
        <w:bidi w:val="0"/>
        <w:spacing w:before="0" w:after="14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511CFC9D">
      <w:pPr>
        <w:pStyle w:val="17"/>
        <w:keepNext w:val="0"/>
        <w:keepLines w:val="0"/>
        <w:widowControl w:val="0"/>
        <w:shd w:val="clear" w:color="auto" w:fill="auto"/>
        <w:bidi w:val="0"/>
        <w:spacing w:before="0" w:after="180" w:line="342" w:lineRule="exact"/>
        <w:ind w:left="0" w:right="0" w:firstLine="420"/>
        <w:jc w:val="both"/>
      </w:pPr>
      <w:r>
        <w:rPr>
          <w:color w:val="000000"/>
          <w:spacing w:val="0"/>
          <w:w w:val="100"/>
          <w:position w:val="0"/>
        </w:rPr>
        <w:t>本案中，张莉向被告提出两项核心主张:一是撤销合同及返还钱款;二是损害赔偿，包 括双倍的惩罚性赔偿。这些主张均得到了法院的支持。裁判要旨除明确为家庭生活需要 购买汽车属于消费者保护法的调整范围外，还肯定了销售者</w:t>
      </w:r>
      <w:r>
        <w:rPr>
          <w:color w:val="000000"/>
          <w:spacing w:val="0"/>
          <w:w w:val="100"/>
          <w:position w:val="0"/>
          <w:lang w:val="zh-CN" w:eastAsia="zh-CN" w:bidi="zh-CN"/>
        </w:rPr>
        <w:t>“不能</w:t>
      </w:r>
      <w:r>
        <w:rPr>
          <w:color w:val="000000"/>
          <w:spacing w:val="0"/>
          <w:w w:val="100"/>
          <w:position w:val="0"/>
        </w:rPr>
        <w:t>证明已履行告知义务（本 案中未告知该车并非合同约定的新车，而是已经过维修的车辆）且得到消费者认可的</w:t>
      </w:r>
      <w:r>
        <w:rPr>
          <w:color w:val="000000"/>
          <w:spacing w:val="0"/>
          <w:w w:val="100"/>
          <w:position w:val="0"/>
          <w:lang w:val="zh-CN" w:eastAsia="zh-CN" w:bidi="zh-CN"/>
        </w:rPr>
        <w:t xml:space="preserve">”情况 </w:t>
      </w:r>
      <w:r>
        <w:rPr>
          <w:color w:val="000000"/>
          <w:spacing w:val="0"/>
          <w:w w:val="100"/>
          <w:position w:val="0"/>
        </w:rPr>
        <w:t>构成欺诈,买受人有权撤销合同，并同时主张《消费者权益保护法》上的惩罚性赔偿。本案 作为指导性案例公布于《消费者权益保护法》修正</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日）后仅</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余天，对于 明确消费者保护法上的告知义务,以及因未尽到告知义务构成欺诈情形下惩罚性赔偿规则 的适用问题具有重要的实践指导意义。</w:t>
      </w:r>
    </w:p>
    <w:p w14:paraId="2D1D88BF">
      <w:pPr>
        <w:pStyle w:val="17"/>
        <w:keepNext w:val="0"/>
        <w:keepLines w:val="0"/>
        <w:widowControl w:val="0"/>
        <w:shd w:val="clear" w:color="auto" w:fill="auto"/>
        <w:bidi w:val="0"/>
        <w:spacing w:before="0" w:after="14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消费者保护法上告知义务和欺诈认定的规范及学理</w:t>
      </w:r>
    </w:p>
    <w:p w14:paraId="4E9A0B38">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 xml:space="preserve">本案主要涉及合同法和消费者保护法之间的规范互动关系，而其核心在于明确当事人 </w:t>
      </w:r>
      <w:r>
        <w:rPr>
          <w:color w:val="000000"/>
          <w:spacing w:val="0"/>
          <w:w w:val="100"/>
          <w:position w:val="0"/>
          <w:lang w:val="zh-CN" w:eastAsia="zh-CN" w:bidi="zh-CN"/>
        </w:rPr>
        <w:t>“该</w:t>
      </w:r>
      <w:r>
        <w:rPr>
          <w:color w:val="000000"/>
          <w:spacing w:val="0"/>
          <w:w w:val="100"/>
          <w:position w:val="0"/>
        </w:rPr>
        <w:t>告知未告知</w:t>
      </w:r>
      <w:r>
        <w:rPr>
          <w:color w:val="000000"/>
          <w:spacing w:val="0"/>
          <w:w w:val="100"/>
          <w:position w:val="0"/>
          <w:lang w:val="zh-CN" w:eastAsia="zh-CN" w:bidi="zh-CN"/>
        </w:rPr>
        <w:t>”的情</w:t>
      </w:r>
      <w:r>
        <w:rPr>
          <w:color w:val="000000"/>
          <w:spacing w:val="0"/>
          <w:w w:val="100"/>
          <w:position w:val="0"/>
        </w:rPr>
        <w:t>况下,究竟承担何种责任。</w:t>
      </w:r>
    </w:p>
    <w:p w14:paraId="439A2C4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在合同法上，告知义务随着合同缔结、履行和终止三阶段，分别涉及《民法典》第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条 （尤其是第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项“故意隐瞒与订立合同有关的重要事实或者提供虚假情况”）、《民法典》第</w:t>
      </w:r>
      <w:r>
        <w:rPr>
          <w:rFonts w:ascii="Times New Roman" w:hAnsi="Times New Roman" w:eastAsia="Times New Roman" w:cs="Times New Roman"/>
          <w:color w:val="000000"/>
          <w:spacing w:val="0"/>
          <w:w w:val="100"/>
          <w:position w:val="0"/>
          <w:sz w:val="19"/>
          <w:szCs w:val="19"/>
        </w:rPr>
        <w:t>509</w:t>
      </w:r>
      <w:r>
        <w:rPr>
          <w:color w:val="000000"/>
          <w:spacing w:val="0"/>
          <w:w w:val="100"/>
          <w:position w:val="0"/>
        </w:rPr>
        <w:t>条（诚 信原则下的通知等义务）和《民法典》第</w:t>
      </w:r>
      <w:r>
        <w:rPr>
          <w:rFonts w:ascii="Times New Roman" w:hAnsi="Times New Roman" w:eastAsia="Times New Roman" w:cs="Times New Roman"/>
          <w:color w:val="000000"/>
          <w:spacing w:val="0"/>
          <w:w w:val="100"/>
          <w:position w:val="0"/>
          <w:sz w:val="19"/>
          <w:szCs w:val="19"/>
        </w:rPr>
        <w:t>558</w:t>
      </w:r>
      <w:r>
        <w:rPr>
          <w:color w:val="000000"/>
          <w:spacing w:val="0"/>
          <w:w w:val="100"/>
          <w:position w:val="0"/>
        </w:rPr>
        <w:t>条（债务终止后的通知等义务）的规定。合同缔 约阶段</w:t>
      </w:r>
      <w:r>
        <w:rPr>
          <w:color w:val="000000"/>
          <w:spacing w:val="0"/>
          <w:w w:val="100"/>
          <w:position w:val="0"/>
          <w:lang w:val="zh-CN" w:eastAsia="zh-CN" w:bidi="zh-CN"/>
        </w:rPr>
        <w:t>“该告</w:t>
      </w:r>
      <w:r>
        <w:rPr>
          <w:color w:val="000000"/>
          <w:spacing w:val="0"/>
          <w:w w:val="100"/>
          <w:position w:val="0"/>
        </w:rPr>
        <w:t>知未告知”可能构成缔约过失责任（《民法典》第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 xml:space="preserve">条）；合同履行和终止阶段 </w:t>
      </w:r>
      <w:r>
        <w:rPr>
          <w:color w:val="000000"/>
          <w:spacing w:val="0"/>
          <w:w w:val="100"/>
          <w:position w:val="0"/>
          <w:lang w:val="zh-CN" w:eastAsia="zh-CN" w:bidi="zh-CN"/>
        </w:rPr>
        <w:t>“该</w:t>
      </w:r>
      <w:r>
        <w:rPr>
          <w:color w:val="000000"/>
          <w:spacing w:val="0"/>
          <w:w w:val="100"/>
          <w:position w:val="0"/>
        </w:rPr>
        <w:t>告知未告知”则可能构成违约责任（《民法典》第</w:t>
      </w:r>
      <w:r>
        <w:rPr>
          <w:rFonts w:ascii="Times New Roman" w:hAnsi="Times New Roman" w:eastAsia="Times New Roman" w:cs="Times New Roman"/>
          <w:color w:val="000000"/>
          <w:spacing w:val="0"/>
          <w:w w:val="100"/>
          <w:position w:val="0"/>
          <w:sz w:val="19"/>
          <w:szCs w:val="19"/>
        </w:rPr>
        <w:t>577</w:t>
      </w:r>
      <w:r>
        <w:rPr>
          <w:color w:val="000000"/>
          <w:spacing w:val="0"/>
          <w:w w:val="100"/>
          <w:position w:val="0"/>
        </w:rPr>
        <w:t>条）（有学者批评后合同义务的概念，见 李宇:《后合同义务之检讨》，载《中外法</w:t>
      </w:r>
      <w:r>
        <w:rPr>
          <w:rFonts w:ascii="Times New Roman" w:hAnsi="Times New Roman" w:eastAsia="Times New Roman" w:cs="Times New Roman"/>
          <w:color w:val="000000"/>
          <w:spacing w:val="0"/>
          <w:w w:val="100"/>
          <w:position w:val="0"/>
          <w:sz w:val="19"/>
          <w:szCs w:val="19"/>
          <w:lang w:val="en-US" w:eastAsia="en-US" w:bidi="en-US"/>
        </w:rPr>
        <w:t>*&gt;2019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期）。违反告知义务可能构成民法上的</w:t>
      </w:r>
      <w:r>
        <w:rPr>
          <w:color w:val="000000"/>
          <w:spacing w:val="0"/>
          <w:w w:val="100"/>
          <w:position w:val="0"/>
          <w:lang w:val="zh-CN" w:eastAsia="zh-CN" w:bidi="zh-CN"/>
        </w:rPr>
        <w:t xml:space="preserve">“沉 </w:t>
      </w:r>
      <w:r>
        <w:rPr>
          <w:color w:val="000000"/>
          <w:spacing w:val="0"/>
          <w:w w:val="100"/>
          <w:position w:val="0"/>
        </w:rPr>
        <w:t>默型欺诈”（《民通意见》第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条），构成欺诈的，法律行为可以被撤销（原《合同法》第</w:t>
      </w:r>
      <w:r>
        <w:rPr>
          <w:rFonts w:ascii="Times New Roman" w:hAnsi="Times New Roman" w:eastAsia="Times New Roman" w:cs="Times New Roman"/>
          <w:color w:val="000000"/>
          <w:spacing w:val="0"/>
          <w:w w:val="100"/>
          <w:position w:val="0"/>
          <w:sz w:val="19"/>
          <w:szCs w:val="19"/>
        </w:rPr>
        <w:t xml:space="preserve">54 </w:t>
      </w:r>
      <w:r>
        <w:rPr>
          <w:color w:val="000000"/>
          <w:spacing w:val="0"/>
          <w:w w:val="100"/>
          <w:position w:val="0"/>
        </w:rPr>
        <w:t>条,《民法总则》第</w:t>
      </w:r>
      <w:r>
        <w:rPr>
          <w:rFonts w:ascii="Times New Roman" w:hAnsi="Times New Roman" w:eastAsia="Times New Roman" w:cs="Times New Roman"/>
          <w:color w:val="000000"/>
          <w:spacing w:val="0"/>
          <w:w w:val="100"/>
          <w:position w:val="0"/>
          <w:sz w:val="19"/>
          <w:szCs w:val="19"/>
        </w:rPr>
        <w:t>148</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149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148</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149</w:t>
      </w:r>
      <w:r>
        <w:rPr>
          <w:color w:val="000000"/>
          <w:spacing w:val="0"/>
          <w:w w:val="100"/>
          <w:position w:val="0"/>
        </w:rPr>
        <w:t>条）。在缔约阶段，若一 方当事人故意隐瞒交易的重要信息，常常既构成欺诈,也符合《民法典》第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项的 规定，构成缔约过失责任</w:t>
      </w:r>
      <w:r>
        <w:rPr>
          <w:color w:val="000000"/>
          <w:spacing w:val="0"/>
          <w:w w:val="100"/>
          <w:position w:val="0"/>
          <w:lang w:val="zh-CN" w:eastAsia="zh-CN" w:bidi="zh-CN"/>
        </w:rPr>
        <w:t>。“欺</w:t>
      </w:r>
      <w:r>
        <w:rPr>
          <w:color w:val="000000"/>
          <w:spacing w:val="0"/>
          <w:w w:val="100"/>
          <w:position w:val="0"/>
        </w:rPr>
        <w:t>诈制度主要解决因此所为意思表示的效力问题，而《合同法》 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项的目的则在于对因此而遭受损害之人提供救济手段，二者目的有别,并行不 悖''［韩世远:《合同法总论》（第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页］。</w:t>
      </w:r>
    </w:p>
    <w:p w14:paraId="059BEC5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关于</w:t>
      </w:r>
      <w:r>
        <w:rPr>
          <w:color w:val="000000"/>
          <w:spacing w:val="0"/>
          <w:w w:val="100"/>
          <w:position w:val="0"/>
          <w:lang w:val="zh-CN" w:eastAsia="zh-CN" w:bidi="zh-CN"/>
        </w:rPr>
        <w:t>“该</w:t>
      </w:r>
      <w:r>
        <w:rPr>
          <w:color w:val="000000"/>
          <w:spacing w:val="0"/>
          <w:w w:val="100"/>
          <w:position w:val="0"/>
        </w:rPr>
        <w:t>告知未告知”，《消费者权益保护法》因重点解决消费者的信息不对称问题，对 告知义务的规范内容更为具体、详细和有针对性，如第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条中规定，根据商品或者服务的不 同情况，商品的价格、产地、生产者、用途、性能等诸多信息都属于法定告知义务范畴。第</w:t>
      </w:r>
      <w:r>
        <w:rPr>
          <w:rFonts w:ascii="Times New Roman" w:hAnsi="Times New Roman" w:eastAsia="Times New Roman" w:cs="Times New Roman"/>
          <w:color w:val="000000"/>
          <w:spacing w:val="0"/>
          <w:w w:val="100"/>
          <w:position w:val="0"/>
          <w:sz w:val="19"/>
          <w:szCs w:val="19"/>
        </w:rPr>
        <w:t xml:space="preserve">20 </w:t>
      </w:r>
      <w:r>
        <w:rPr>
          <w:color w:val="000000"/>
          <w:spacing w:val="0"/>
          <w:w w:val="100"/>
          <w:position w:val="0"/>
        </w:rPr>
        <w:t>条规定了真实、全面的告知义务。但在违反这些告知义务的救济上，除了惩罚性赔偿外, 《消费者权益保护法》并没有作太多具体规定，只能转而寻求传统的民法救济。</w:t>
      </w:r>
    </w:p>
    <w:p w14:paraId="0386CF1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关于惩罚性赔偿，原《合同法》第</w:t>
      </w:r>
      <w:r>
        <w:rPr>
          <w:rFonts w:ascii="Times New Roman" w:hAnsi="Times New Roman" w:eastAsia="Times New Roman" w:cs="Times New Roman"/>
          <w:color w:val="000000"/>
          <w:spacing w:val="0"/>
          <w:w w:val="100"/>
          <w:position w:val="0"/>
          <w:sz w:val="19"/>
          <w:szCs w:val="19"/>
          <w:lang w:val="en-US" w:eastAsia="en-US" w:bidi="en-US"/>
        </w:rPr>
        <w:t>H3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“经营</w:t>
      </w:r>
      <w:r>
        <w:rPr>
          <w:color w:val="000000"/>
          <w:spacing w:val="0"/>
          <w:w w:val="100"/>
          <w:position w:val="0"/>
        </w:rPr>
        <w:t>者对消费者提供商品或者服 务有欺诈行为的，依照《中华人民共和国消费者权益保护法》的规定承担损害赔偿责任” （《民法典》中对应条文第</w:t>
      </w:r>
      <w:r>
        <w:rPr>
          <w:rFonts w:ascii="Times New Roman" w:hAnsi="Times New Roman" w:eastAsia="Times New Roman" w:cs="Times New Roman"/>
          <w:color w:val="000000"/>
          <w:spacing w:val="0"/>
          <w:w w:val="100"/>
          <w:position w:val="0"/>
          <w:sz w:val="19"/>
          <w:szCs w:val="19"/>
        </w:rPr>
        <w:t>584</w:t>
      </w:r>
      <w:r>
        <w:rPr>
          <w:color w:val="000000"/>
          <w:spacing w:val="0"/>
          <w:w w:val="100"/>
          <w:position w:val="0"/>
        </w:rPr>
        <w:t>条无该款规定）。《民法典》第</w:t>
      </w:r>
      <w:r>
        <w:rPr>
          <w:rFonts w:ascii="Times New Roman" w:hAnsi="Times New Roman" w:eastAsia="Times New Roman" w:cs="Times New Roman"/>
          <w:color w:val="000000"/>
          <w:spacing w:val="0"/>
          <w:w w:val="100"/>
          <w:position w:val="0"/>
          <w:sz w:val="19"/>
          <w:szCs w:val="19"/>
        </w:rPr>
        <w:t>179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“法</w:t>
      </w:r>
      <w:r>
        <w:rPr>
          <w:color w:val="000000"/>
          <w:spacing w:val="0"/>
          <w:w w:val="100"/>
          <w:position w:val="0"/>
        </w:rPr>
        <w:t>律规定惩罚性 赔偿的，依照其规定”。《消费者权益保护法》第</w:t>
      </w:r>
      <w:r>
        <w:rPr>
          <w:rFonts w:ascii="Times New Roman" w:hAnsi="Times New Roman" w:eastAsia="Times New Roman" w:cs="Times New Roman"/>
          <w:color w:val="000000"/>
          <w:spacing w:val="0"/>
          <w:w w:val="100"/>
          <w:position w:val="0"/>
          <w:sz w:val="19"/>
          <w:szCs w:val="19"/>
        </w:rPr>
        <w:t>55</w:t>
      </w:r>
      <w:r>
        <w:rPr>
          <w:color w:val="000000"/>
          <w:spacing w:val="0"/>
          <w:w w:val="100"/>
          <w:position w:val="0"/>
        </w:rPr>
        <w:t>条修改了之前第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条的规定（本案适用 修正前的规定），区分两款,分别规定欺诈行为的惩罚性赔偿和缺陷产品造成消费者死亡或 健康严重损害时的惩罚性赔偿。就惩罚性赔偿的适用，早期有观点认为,“消费者请求双倍 赔偿，必须是在合同责任存在的情形下提出。合同不存在，也就谈不上合同责任的适用;惩 罚性赔偿也就成了无本之木、无源之水</w:t>
      </w:r>
      <w:r>
        <w:rPr>
          <w:color w:val="000000"/>
          <w:spacing w:val="0"/>
          <w:w w:val="100"/>
          <w:position w:val="0"/>
          <w:lang w:val="zh-CN" w:eastAsia="zh-CN" w:bidi="zh-CN"/>
        </w:rPr>
        <w:t>”（王</w:t>
      </w:r>
      <w:r>
        <w:rPr>
          <w:color w:val="000000"/>
          <w:spacing w:val="0"/>
          <w:w w:val="100"/>
          <w:position w:val="0"/>
        </w:rPr>
        <w:t>利明：《惩罚性赔偿研究》，载《中国社会科学》</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 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期）。但相反观点认为，惩罚性赔偿</w:t>
      </w:r>
      <w:r>
        <w:rPr>
          <w:color w:val="000000"/>
          <w:spacing w:val="0"/>
          <w:w w:val="100"/>
          <w:position w:val="0"/>
          <w:lang w:val="zh-CN" w:eastAsia="zh-CN" w:bidi="zh-CN"/>
        </w:rPr>
        <w:t>“以其</w:t>
      </w:r>
      <w:r>
        <w:rPr>
          <w:color w:val="000000"/>
          <w:spacing w:val="0"/>
          <w:w w:val="100"/>
          <w:position w:val="0"/>
        </w:rPr>
        <w:t>法定性而具有独立性，无论合同如何终了，均 不影响其特殊的性质</w:t>
      </w:r>
      <w:r>
        <w:rPr>
          <w:color w:val="000000"/>
          <w:spacing w:val="0"/>
          <w:w w:val="100"/>
          <w:position w:val="0"/>
          <w:lang w:val="zh-CN" w:eastAsia="zh-CN" w:bidi="zh-CN"/>
        </w:rPr>
        <w:t>”（韩</w:t>
      </w:r>
      <w:r>
        <w:rPr>
          <w:color w:val="000000"/>
          <w:spacing w:val="0"/>
          <w:w w:val="100"/>
          <w:position w:val="0"/>
        </w:rPr>
        <w:t>世远:《合同法总论》，法律出版社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916</w:t>
      </w:r>
      <w:r>
        <w:rPr>
          <w:color w:val="000000"/>
          <w:spacing w:val="0"/>
          <w:w w:val="100"/>
          <w:position w:val="0"/>
        </w:rPr>
        <w:t>页）。当然，消费者 若不如本案那样主张撤销合同，而是以产品存在瑕疵而主张违约解除，则涉及缔约过失责 任和瑕疵担保责任竞合的问题,同样不应妨碍惩罚性赔偿的适用。</w:t>
      </w:r>
    </w:p>
    <w:p w14:paraId="01604141">
      <w:pPr>
        <w:pStyle w:val="17"/>
        <w:keepNext w:val="0"/>
        <w:keepLines w:val="0"/>
        <w:widowControl w:val="0"/>
        <w:shd w:val="clear" w:color="auto" w:fill="auto"/>
        <w:bidi w:val="0"/>
        <w:spacing w:before="0" w:after="300" w:line="342" w:lineRule="exact"/>
        <w:ind w:left="0" w:right="0" w:firstLine="420"/>
        <w:jc w:val="both"/>
      </w:pPr>
      <w:r>
        <w:rPr>
          <w:color w:val="000000"/>
          <w:spacing w:val="0"/>
          <w:w w:val="100"/>
          <w:position w:val="0"/>
        </w:rPr>
        <w:t>对于第</w:t>
      </w:r>
      <w:r>
        <w:rPr>
          <w:rFonts w:ascii="Times New Roman" w:hAnsi="Times New Roman" w:eastAsia="Times New Roman" w:cs="Times New Roman"/>
          <w:color w:val="000000"/>
          <w:spacing w:val="0"/>
          <w:w w:val="100"/>
          <w:position w:val="0"/>
          <w:sz w:val="17"/>
          <w:szCs w:val="17"/>
        </w:rPr>
        <w:t>55</w:t>
      </w:r>
      <w:r>
        <w:rPr>
          <w:color w:val="000000"/>
          <w:spacing w:val="0"/>
          <w:w w:val="100"/>
          <w:position w:val="0"/>
        </w:rPr>
        <w:t>条中</w:t>
      </w:r>
      <w:r>
        <w:rPr>
          <w:color w:val="000000"/>
          <w:spacing w:val="0"/>
          <w:w w:val="100"/>
          <w:position w:val="0"/>
          <w:lang w:val="zh-CN" w:eastAsia="zh-CN" w:bidi="zh-CN"/>
        </w:rPr>
        <w:t>“欺诈</w:t>
      </w:r>
      <w:r>
        <w:rPr>
          <w:color w:val="000000"/>
          <w:spacing w:val="0"/>
          <w:w w:val="100"/>
          <w:position w:val="0"/>
        </w:rPr>
        <w:t>行为”的理解，一种观点认为,消费者保护法上关于欺诈行为的规 定，目的在于惩罚经营者的行为,因此作出惩罚性赔偿的规定,本身并不关注合同效力以及 对方是否因此做出错误的意思表示，在构成要件上应该与合同法上的欺诈区别开来（孙玉 荣:《民法上的欺诈与〈消费者权益保护法〉第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条之适用》，载《法律适用》</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期；董文军：《论 我国〈消费者权益保护法〉中的惩罚性赔偿》，载《当代法学》</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期）。另一种观点则认为， 消费者合同本身是一种平等主体之间的民事合同，基于一般法和特别法的关系，在特别法， 即《消费者权益保护法》本身并未就欺诈作出明确界定的情况下，自然应该适用民法上关于 欺诈的一般规定,即要认定欺诈必须具备四个条件:一是欺诈人有欺诈的故意；二是欺诈人 实施了欺诈行为;三是被欺诈人因欺诈而陷入错误判断；四是被欺诈人基于错误判断而为 的意思表示。另外,对于欺诈人故意要件的认定，梁慧星教授认为：</w:t>
      </w:r>
      <w:r>
        <w:rPr>
          <w:color w:val="000000"/>
          <w:spacing w:val="0"/>
          <w:w w:val="100"/>
          <w:position w:val="0"/>
          <w:lang w:val="zh-CN" w:eastAsia="zh-CN" w:bidi="zh-CN"/>
        </w:rPr>
        <w:t>“依</w:t>
      </w:r>
      <w:r>
        <w:rPr>
          <w:color w:val="000000"/>
          <w:spacing w:val="0"/>
          <w:w w:val="100"/>
          <w:position w:val="0"/>
        </w:rPr>
        <w:t>据消法对消费者特 殊保护的立法目的及参考发达国家法院的经验,应当采用举证责任转换的法技术。即不要 求消费者举证证明经营者具有'故意’，而是要求经营者就自己不具有</w:t>
      </w:r>
      <w:r>
        <w:rPr>
          <w:color w:val="000000"/>
          <w:spacing w:val="0"/>
          <w:w w:val="100"/>
          <w:position w:val="0"/>
          <w:lang w:val="en-US" w:eastAsia="en-US" w:bidi="en-US"/>
        </w:rPr>
        <w:t>’</w:t>
      </w:r>
      <w:r>
        <w:rPr>
          <w:color w:val="000000"/>
          <w:spacing w:val="0"/>
          <w:w w:val="100"/>
          <w:position w:val="0"/>
        </w:rPr>
        <w:t>故意</w:t>
      </w:r>
      <w:r>
        <w:rPr>
          <w:color w:val="000000"/>
          <w:spacing w:val="0"/>
          <w:w w:val="100"/>
          <w:position w:val="0"/>
          <w:lang w:val="en-US" w:eastAsia="en-US" w:bidi="en-US"/>
        </w:rPr>
        <w:t>'</w:t>
      </w:r>
      <w:r>
        <w:rPr>
          <w:color w:val="000000"/>
          <w:spacing w:val="0"/>
          <w:w w:val="100"/>
          <w:position w:val="0"/>
        </w:rPr>
        <w:t>举证”</w:t>
      </w:r>
      <w:r>
        <w:rPr>
          <w:color w:val="000000"/>
          <w:spacing w:val="0"/>
          <w:w w:val="100"/>
          <w:position w:val="0"/>
          <w:lang w:val="en-US" w:eastAsia="en-US" w:bidi="en-US"/>
        </w:rPr>
        <w:t>［</w:t>
      </w:r>
      <w:r>
        <w:rPr>
          <w:color w:val="000000"/>
          <w:spacing w:val="0"/>
          <w:w w:val="100"/>
          <w:position w:val="0"/>
        </w:rPr>
        <w:t>梁慧 星：《消费者权益保护法第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条的解释与适用》，载《人民法院报》</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29</w:t>
      </w:r>
      <w:r>
        <w:rPr>
          <w:color w:val="000000"/>
          <w:spacing w:val="0"/>
          <w:w w:val="100"/>
          <w:position w:val="0"/>
        </w:rPr>
        <w:t>日，第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版；韩世远： 《合同法总论》（第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912</w:t>
      </w:r>
      <w:r>
        <w:rPr>
          <w:color w:val="000000"/>
          <w:spacing w:val="0"/>
          <w:w w:val="100"/>
          <w:position w:val="0"/>
        </w:rPr>
        <w:t>页］。</w:t>
      </w:r>
    </w:p>
    <w:p w14:paraId="256EE28D">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318ABF3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在本指导性案例公布之前，实践中关于经营者未尽到告知义务是否构成欺诈,并可主 张惩罚性赔偿存在诸多争议判决，如</w:t>
      </w:r>
      <w:r>
        <w:rPr>
          <w:color w:val="000000"/>
          <w:spacing w:val="0"/>
          <w:w w:val="100"/>
          <w:position w:val="0"/>
          <w:lang w:val="zh-CN" w:eastAsia="zh-CN" w:bidi="zh-CN"/>
        </w:rPr>
        <w:t>“陆</w:t>
      </w:r>
      <w:r>
        <w:rPr>
          <w:color w:val="000000"/>
          <w:spacing w:val="0"/>
          <w:w w:val="100"/>
          <w:position w:val="0"/>
        </w:rPr>
        <w:t>某与北京国服信奥兴汽车有限公司买卖合同纠纷 上诉案</w:t>
      </w:r>
      <w:r>
        <w:rPr>
          <w:color w:val="000000"/>
          <w:spacing w:val="0"/>
          <w:w w:val="100"/>
          <w:position w:val="0"/>
          <w:lang w:val="en-US" w:eastAsia="en-US" w:bidi="en-US"/>
        </w:rPr>
        <w:t>”［</w:t>
      </w:r>
      <w:r>
        <w:rPr>
          <w:color w:val="000000"/>
          <w:spacing w:val="0"/>
          <w:w w:val="100"/>
          <w:position w:val="0"/>
        </w:rPr>
        <w:t>北京市第一中级人民法院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民终字第</w:t>
      </w:r>
      <w:r>
        <w:rPr>
          <w:rFonts w:ascii="Times New Roman" w:hAnsi="Times New Roman" w:eastAsia="Times New Roman" w:cs="Times New Roman"/>
          <w:color w:val="000000"/>
          <w:spacing w:val="0"/>
          <w:w w:val="100"/>
          <w:position w:val="0"/>
          <w:sz w:val="17"/>
          <w:szCs w:val="17"/>
        </w:rPr>
        <w:t>15352</w:t>
      </w:r>
      <w:r>
        <w:rPr>
          <w:color w:val="000000"/>
          <w:spacing w:val="0"/>
          <w:w w:val="100"/>
          <w:position w:val="0"/>
        </w:rPr>
        <w:t>号民事判决书］中，法院认为涉案车辆 的车钥匙上已标明事故情况，国服信公司未主动将记有车辆划伤的标签去除，陆某将车辆 开回后即依据车钥匙上的标签发现问题，国服信公司的上述行为与故意隐瞒的表现不符, 故不能认定国服信公司具备欺诈的主观故意。</w:t>
      </w:r>
    </w:p>
    <w:p w14:paraId="5A5DF439">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在本指导案例公布以前,就消费者保护法上的告知义务和欺诈认定，最高人民法院曾 公布两个重要案例:</w:t>
      </w:r>
      <w:r>
        <w:rPr>
          <w:color w:val="000000"/>
          <w:spacing w:val="0"/>
          <w:w w:val="100"/>
          <w:position w:val="0"/>
          <w:lang w:val="zh-CN" w:eastAsia="zh-CN" w:bidi="zh-CN"/>
        </w:rPr>
        <w:t>“张</w:t>
      </w:r>
      <w:r>
        <w:rPr>
          <w:color w:val="000000"/>
          <w:spacing w:val="0"/>
          <w:w w:val="100"/>
          <w:position w:val="0"/>
        </w:rPr>
        <w:t>志强诉徐州苏宁电器有限公司侵犯消费者权益纠纷案”（《最高人民 法院公报》</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期，该案裁判摘要为</w:t>
      </w:r>
      <w:r>
        <w:rPr>
          <w:color w:val="000000"/>
          <w:spacing w:val="0"/>
          <w:w w:val="100"/>
          <w:position w:val="0"/>
          <w:lang w:val="zh-CN" w:eastAsia="zh-CN" w:bidi="zh-CN"/>
        </w:rPr>
        <w:t>“商品</w:t>
      </w:r>
      <w:r>
        <w:rPr>
          <w:color w:val="000000"/>
          <w:spacing w:val="0"/>
          <w:w w:val="100"/>
          <w:position w:val="0"/>
        </w:rPr>
        <w:t>经营者为消费者提供商品或服务时，应当遵循诚实信 用原则，消费者亦有权知悉其所购买、使用的商品或接受的服务的真实情况。在侵犯消费者权益纠纷案 件中，消费者主张商品经营者提供的商品存在品质问题,并提供了相应证据的，商品经营者如主张该商 品不存在品质问题，应对其主张承担举证责任。”）和“孙银山诉南京欧尚超市有限公司江宁店买 卖合同纠纷案</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7"/>
          <w:szCs w:val="17"/>
        </w:rPr>
        <w:t>23</w:t>
      </w:r>
      <w:r>
        <w:rPr>
          <w:color w:val="000000"/>
          <w:spacing w:val="0"/>
          <w:w w:val="100"/>
          <w:position w:val="0"/>
        </w:rPr>
        <w:t>号指导性案例，该案裁判摘要为：</w:t>
      </w:r>
      <w:r>
        <w:rPr>
          <w:color w:val="000000"/>
          <w:spacing w:val="0"/>
          <w:w w:val="100"/>
          <w:position w:val="0"/>
          <w:lang w:val="zh-CN" w:eastAsia="zh-CN" w:bidi="zh-CN"/>
        </w:rPr>
        <w:t>“消</w:t>
      </w:r>
      <w:r>
        <w:rPr>
          <w:color w:val="000000"/>
          <w:spacing w:val="0"/>
          <w:w w:val="100"/>
          <w:position w:val="0"/>
        </w:rPr>
        <w:t>费者购买到不符合食品安全标准的食品， 要求销售者或者生产者依照食品安全法规定支付价款十倍赔偿金或者依照法律规定的其他赔偿标准赔 偿的，不论其购买时是否明知食品不符合安全标准，人民法院都应予支持。”）前案中，法院认为消费 者应就欺诈成立承担举证责任，但又以经营者“应当明知</w:t>
      </w:r>
      <w:r>
        <w:rPr>
          <w:color w:val="000000"/>
          <w:spacing w:val="0"/>
          <w:w w:val="100"/>
          <w:position w:val="0"/>
          <w:lang w:val="zh-CN" w:eastAsia="zh-CN" w:bidi="zh-CN"/>
        </w:rPr>
        <w:t>”一</w:t>
      </w:r>
      <w:r>
        <w:rPr>
          <w:color w:val="000000"/>
          <w:spacing w:val="0"/>
          <w:w w:val="100"/>
          <w:position w:val="0"/>
        </w:rPr>
        <w:t>些事项（新机器应当附有随机 单证）而不提供认为构成欺诈。该案提炼的</w:t>
      </w:r>
      <w:r>
        <w:rPr>
          <w:color w:val="000000"/>
          <w:spacing w:val="0"/>
          <w:w w:val="100"/>
          <w:position w:val="0"/>
          <w:lang w:val="zh-CN" w:eastAsia="zh-CN" w:bidi="zh-CN"/>
        </w:rPr>
        <w:t>“裁判</w:t>
      </w:r>
      <w:r>
        <w:rPr>
          <w:color w:val="000000"/>
          <w:spacing w:val="0"/>
          <w:w w:val="100"/>
          <w:position w:val="0"/>
        </w:rPr>
        <w:t>摘要”只字未提实际影响判决结果的欺诈 认定上的举证问题，可谓颇有深意;后案裁判摘要容易被解读为消费者</w:t>
      </w:r>
      <w:r>
        <w:rPr>
          <w:color w:val="000000"/>
          <w:spacing w:val="0"/>
          <w:w w:val="100"/>
          <w:position w:val="0"/>
          <w:lang w:val="zh-CN" w:eastAsia="zh-CN" w:bidi="zh-CN"/>
        </w:rPr>
        <w:t>“知假</w:t>
      </w:r>
      <w:r>
        <w:rPr>
          <w:color w:val="000000"/>
          <w:spacing w:val="0"/>
          <w:w w:val="100"/>
          <w:position w:val="0"/>
        </w:rPr>
        <w:t>买假”的情况 下一律允许惩罚性赔偿。但该案针对的是食品安全问题，存在《食品安全法》惩罚性赔偿的 特别规定，并未强调经营者应存在欺诈,故该案对解决消费者保护法上的欺诈认定和惩罚 性赔偿制度的适用问题意义有限。</w:t>
      </w:r>
    </w:p>
    <w:p w14:paraId="5BEF05E1">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本指导案例对实践产生重要影响。在</w:t>
      </w:r>
      <w:r>
        <w:rPr>
          <w:color w:val="000000"/>
          <w:spacing w:val="0"/>
          <w:w w:val="100"/>
          <w:position w:val="0"/>
          <w:lang w:val="zh-CN" w:eastAsia="zh-CN" w:bidi="zh-CN"/>
        </w:rPr>
        <w:t>“邓美</w:t>
      </w:r>
      <w:r>
        <w:rPr>
          <w:color w:val="000000"/>
          <w:spacing w:val="0"/>
          <w:w w:val="100"/>
          <w:position w:val="0"/>
        </w:rPr>
        <w:t>华诉上海永达鑫悦汽车销售服务有限公司 买卖合同纠纷案”（《最高人民法院公报》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期）中，法院认为</w:t>
      </w:r>
      <w:r>
        <w:rPr>
          <w:color w:val="000000"/>
          <w:spacing w:val="0"/>
          <w:w w:val="100"/>
          <w:position w:val="0"/>
          <w:lang w:val="zh-CN" w:eastAsia="zh-CN" w:bidi="zh-CN"/>
        </w:rPr>
        <w:t>，“汽</w:t>
      </w:r>
      <w:r>
        <w:rPr>
          <w:color w:val="000000"/>
          <w:spacing w:val="0"/>
          <w:w w:val="100"/>
          <w:position w:val="0"/>
        </w:rPr>
        <w:t>车经销商对于车辆 后保险杠外观瑕疵予以’拆装后保、后保整喷’的维修超出了车辆售前正常维护和</w:t>
      </w:r>
      <w:r>
        <w:rPr>
          <w:rFonts w:ascii="Times New Roman" w:hAnsi="Times New Roman" w:eastAsia="Times New Roman" w:cs="Times New Roman"/>
          <w:color w:val="000000"/>
          <w:spacing w:val="0"/>
          <w:w w:val="100"/>
          <w:position w:val="0"/>
          <w:sz w:val="17"/>
          <w:szCs w:val="17"/>
          <w:lang w:val="en-US" w:eastAsia="en-US" w:bidi="en-US"/>
        </w:rPr>
        <w:t>PDI</w:t>
      </w:r>
      <w:r>
        <w:rPr>
          <w:color w:val="000000"/>
          <w:spacing w:val="0"/>
          <w:w w:val="100"/>
          <w:position w:val="0"/>
        </w:rPr>
        <w:t xml:space="preserve">质量 检测的范围，经销商对此未履行告知义务的，侵犯了消费者的知情权、选择权，使其陷入错 误认识，属于故意隐瞒真实情况，构成消费欺诈。消费者要求经销商按照消费者权益保护 法赔偿损失的，经销商应承担车辆三倍价款的惩罚性赔偿责任”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该案在说理部分中明确 提到了本指导案例。当然，实践中对宽泛认定欺诈也有反思，如“李娜与丁清服务合同纠纷 上诉案</w:t>
      </w:r>
      <w:r>
        <w:rPr>
          <w:color w:val="000000"/>
          <w:spacing w:val="0"/>
          <w:w w:val="100"/>
          <w:position w:val="0"/>
          <w:lang w:val="zh-CN" w:eastAsia="zh-CN" w:bidi="zh-CN"/>
        </w:rPr>
        <w:t>”［扬</w:t>
      </w:r>
      <w:r>
        <w:rPr>
          <w:color w:val="000000"/>
          <w:spacing w:val="0"/>
          <w:w w:val="100"/>
          <w:position w:val="0"/>
        </w:rPr>
        <w:t>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民终字第</w:t>
      </w:r>
      <w:r>
        <w:rPr>
          <w:rFonts w:ascii="Times New Roman" w:hAnsi="Times New Roman" w:eastAsia="Times New Roman" w:cs="Times New Roman"/>
          <w:color w:val="000000"/>
          <w:spacing w:val="0"/>
          <w:w w:val="100"/>
          <w:position w:val="0"/>
          <w:sz w:val="17"/>
          <w:szCs w:val="17"/>
        </w:rPr>
        <w:t>00231</w:t>
      </w:r>
      <w:r>
        <w:rPr>
          <w:color w:val="000000"/>
          <w:spacing w:val="0"/>
          <w:w w:val="100"/>
          <w:position w:val="0"/>
        </w:rPr>
        <w:t>号民事判决书］裁判要旨认为</w:t>
      </w:r>
      <w:r>
        <w:rPr>
          <w:color w:val="000000"/>
          <w:spacing w:val="0"/>
          <w:w w:val="100"/>
          <w:position w:val="0"/>
          <w:lang w:val="zh-CN" w:eastAsia="zh-CN" w:bidi="zh-CN"/>
        </w:rPr>
        <w:t>，“经</w:t>
      </w:r>
      <w:r>
        <w:rPr>
          <w:color w:val="000000"/>
          <w:spacing w:val="0"/>
          <w:w w:val="100"/>
          <w:position w:val="0"/>
        </w:rPr>
        <w:t xml:space="preserve">营者的服 务欺诈行为大多以虚假宣传的方式实施，但并非所有虚假宣传均应被认定为欺诈行为。从 体系解释和法意解释的角度区分虚假宣传和欺诈，有助于准确适用新消费者权益保护法第 五十五条之规定。具体而言，审判中认定经营者欺诈时应釆四要件说，审查经营者有无故 意、欺诈行为、消费者陷入错误认识的后果以及因果关系，并结合虚假宣传的内容是否构成 要约、不实信息是否针对合同重要条款以及致使消费者被误导的可能性和客观事实等进行 综合判断”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在“陈傅叶与海南联合皇冠汽车服务有限公司买卖合同纠纷上诉案</w:t>
      </w:r>
      <w:r>
        <w:rPr>
          <w:color w:val="000000"/>
          <w:spacing w:val="0"/>
          <w:w w:val="100"/>
          <w:position w:val="0"/>
          <w:lang w:val="zh-CN" w:eastAsia="zh-CN" w:bidi="zh-CN"/>
        </w:rPr>
        <w:t>”［海</w:t>
      </w:r>
      <w:r>
        <w:rPr>
          <w:color w:val="000000"/>
          <w:spacing w:val="0"/>
          <w:w w:val="100"/>
          <w:position w:val="0"/>
        </w:rPr>
        <w:t>口市中 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琼</w:t>
      </w:r>
      <w:r>
        <w:rPr>
          <w:rFonts w:ascii="Times New Roman" w:hAnsi="Times New Roman" w:eastAsia="Times New Roman" w:cs="Times New Roman"/>
          <w:color w:val="000000"/>
          <w:spacing w:val="0"/>
          <w:w w:val="100"/>
          <w:position w:val="0"/>
          <w:sz w:val="17"/>
          <w:szCs w:val="17"/>
        </w:rPr>
        <w:t>01</w:t>
      </w:r>
      <w:r>
        <w:rPr>
          <w:color w:val="000000"/>
          <w:spacing w:val="0"/>
          <w:w w:val="100"/>
          <w:position w:val="0"/>
        </w:rPr>
        <w:t>民终</w:t>
      </w:r>
      <w:r>
        <w:rPr>
          <w:rFonts w:ascii="Times New Roman" w:hAnsi="Times New Roman" w:eastAsia="Times New Roman" w:cs="Times New Roman"/>
          <w:color w:val="000000"/>
          <w:spacing w:val="0"/>
          <w:w w:val="100"/>
          <w:position w:val="0"/>
          <w:sz w:val="17"/>
          <w:szCs w:val="17"/>
        </w:rPr>
        <w:t>2591</w:t>
      </w:r>
      <w:r>
        <w:rPr>
          <w:color w:val="000000"/>
          <w:spacing w:val="0"/>
          <w:w w:val="100"/>
          <w:position w:val="0"/>
        </w:rPr>
        <w:t>号民事判决书］中，法院认为</w:t>
      </w:r>
      <w:r>
        <w:rPr>
          <w:color w:val="000000"/>
          <w:spacing w:val="0"/>
          <w:w w:val="100"/>
          <w:position w:val="0"/>
          <w:lang w:val="zh-CN" w:eastAsia="zh-CN" w:bidi="zh-CN"/>
        </w:rPr>
        <w:t>“联</w:t>
      </w:r>
      <w:r>
        <w:rPr>
          <w:color w:val="000000"/>
          <w:spacing w:val="0"/>
          <w:w w:val="100"/>
          <w:position w:val="0"/>
        </w:rPr>
        <w:t>合皇冠公司在将涉案车辆出 售给陈傅叶时虽未告知右后门已更换的事实，但从联合皇冠公司之后的一系列行为来看, 联合皇冠公司提出因内部沟通问题及工作疏忽,导致将更换过车门的车辆交付给陈傅叶, 联合皇冠公司的行为不是欺诈行为的辩解意见符合客观实际，本院予以采信”。显然，未尽 告知义务可能会侵犯消费者的知情权、选择权，但这种未尽告知义务是否能构成</w:t>
      </w:r>
      <w:r>
        <w:rPr>
          <w:color w:val="000000"/>
          <w:spacing w:val="0"/>
          <w:w w:val="100"/>
          <w:position w:val="0"/>
          <w:lang w:val="zh-CN" w:eastAsia="zh-CN" w:bidi="zh-CN"/>
        </w:rPr>
        <w:t>“故</w:t>
      </w:r>
      <w:r>
        <w:rPr>
          <w:color w:val="000000"/>
          <w:spacing w:val="0"/>
          <w:w w:val="100"/>
          <w:position w:val="0"/>
        </w:rPr>
        <w:t>意隐瞒 真实情况</w:t>
      </w:r>
      <w:r>
        <w:rPr>
          <w:color w:val="000000"/>
          <w:spacing w:val="0"/>
          <w:w w:val="100"/>
          <w:position w:val="0"/>
          <w:lang w:val="zh-CN" w:eastAsia="zh-CN" w:bidi="zh-CN"/>
        </w:rPr>
        <w:t>”的消</w:t>
      </w:r>
      <w:r>
        <w:rPr>
          <w:color w:val="000000"/>
          <w:spacing w:val="0"/>
          <w:w w:val="100"/>
          <w:position w:val="0"/>
        </w:rPr>
        <w:t>费欺诈，依然需要结合案件事实进行审慎认定。</w:t>
      </w:r>
    </w:p>
    <w:p w14:paraId="5AFC85EC">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4F1C7654">
      <w:pPr>
        <w:pStyle w:val="17"/>
        <w:keepNext w:val="0"/>
        <w:keepLines w:val="0"/>
        <w:widowControl w:val="0"/>
        <w:shd w:val="clear" w:color="auto" w:fill="auto"/>
        <w:bidi w:val="0"/>
        <w:spacing w:before="0" w:after="360" w:line="343" w:lineRule="exact"/>
        <w:ind w:left="0" w:right="0" w:firstLine="420"/>
        <w:jc w:val="both"/>
      </w:pPr>
      <w:r>
        <w:rPr>
          <w:color w:val="000000"/>
          <w:spacing w:val="0"/>
          <w:w w:val="100"/>
          <w:position w:val="0"/>
        </w:rPr>
        <w:t>本指导案例旨在明确个人为生活消费需要购买家用汽车的，其权益应受《消费者权益 保护法》的保护。销售者出售汽车有欺诈行为的，消费者有权依法要求增加赔偿其受到的 损失。但作为指导性案例，要发挥法律适用上的指导功能，本案依然遗留下不少问题有待 澄清。在实体法上,考虑到针对意思表示瑕疵的撤销制度和针对消费者保护的惩罚性赔偿 制度的功能差异，消费者保护法上的</w:t>
      </w:r>
      <w:r>
        <w:rPr>
          <w:color w:val="000000"/>
          <w:spacing w:val="0"/>
          <w:w w:val="100"/>
          <w:position w:val="0"/>
          <w:lang w:val="zh-CN" w:eastAsia="zh-CN" w:bidi="zh-CN"/>
        </w:rPr>
        <w:t>“欺诈”认定</w:t>
      </w:r>
      <w:r>
        <w:rPr>
          <w:color w:val="000000"/>
          <w:spacing w:val="0"/>
          <w:w w:val="100"/>
          <w:position w:val="0"/>
        </w:rPr>
        <w:t>是否应与民法上的欺诈认定相一致，依然 存在争议的空间;在程序法上，就经营者是否尽到必要的瑕疵告知义务，是否存在欺诈的故 意，举证责任如何分配，本案并不能给出清晰的指引。很显然，经营者“该告知未告知</w:t>
      </w:r>
      <w:r>
        <w:rPr>
          <w:color w:val="000000"/>
          <w:spacing w:val="0"/>
          <w:w w:val="100"/>
          <w:position w:val="0"/>
          <w:lang w:val="zh-CN" w:eastAsia="zh-CN" w:bidi="zh-CN"/>
        </w:rPr>
        <w:t xml:space="preserve">”可能 </w:t>
      </w:r>
      <w:r>
        <w:rPr>
          <w:color w:val="000000"/>
          <w:spacing w:val="0"/>
          <w:w w:val="100"/>
          <w:position w:val="0"/>
        </w:rPr>
        <w:t>妨碍到消费者的知情权，但从</w:t>
      </w:r>
      <w:r>
        <w:rPr>
          <w:color w:val="000000"/>
          <w:spacing w:val="0"/>
          <w:w w:val="100"/>
          <w:position w:val="0"/>
          <w:lang w:val="zh-CN" w:eastAsia="zh-CN" w:bidi="zh-CN"/>
        </w:rPr>
        <w:t>“该</w:t>
      </w:r>
      <w:r>
        <w:rPr>
          <w:color w:val="000000"/>
          <w:spacing w:val="0"/>
          <w:w w:val="100"/>
          <w:position w:val="0"/>
        </w:rPr>
        <w:t>告知未告知”的事实走向欺诈认定成立，中间还存在很多 论证环节。本案裁判摘要关于</w:t>
      </w:r>
      <w:r>
        <w:rPr>
          <w:color w:val="000000"/>
          <w:spacing w:val="0"/>
          <w:w w:val="100"/>
          <w:position w:val="0"/>
          <w:lang w:val="zh-CN" w:eastAsia="zh-CN" w:bidi="zh-CN"/>
        </w:rPr>
        <w:t>“销售</w:t>
      </w:r>
      <w:r>
        <w:rPr>
          <w:color w:val="000000"/>
          <w:spacing w:val="0"/>
          <w:w w:val="100"/>
          <w:position w:val="0"/>
        </w:rPr>
        <w:t>者不能证明已履行告知义务且得到消费者认可的，构 成销售欺诈</w:t>
      </w:r>
      <w:r>
        <w:rPr>
          <w:color w:val="000000"/>
          <w:spacing w:val="0"/>
          <w:w w:val="100"/>
          <w:position w:val="0"/>
          <w:lang w:val="zh-CN" w:eastAsia="zh-CN" w:bidi="zh-CN"/>
        </w:rPr>
        <w:t>”的</w:t>
      </w:r>
      <w:r>
        <w:rPr>
          <w:color w:val="000000"/>
          <w:spacing w:val="0"/>
          <w:w w:val="100"/>
          <w:position w:val="0"/>
        </w:rPr>
        <w:t>论述,缺少了对中间这些论证环节的分析，略显不够严谨。</w:t>
      </w:r>
    </w:p>
    <w:p w14:paraId="7A435043">
      <w:pPr>
        <w:pStyle w:val="11"/>
        <w:keepNext w:val="0"/>
        <w:keepLines w:val="0"/>
        <w:widowControl w:val="0"/>
        <w:shd w:val="clear" w:color="auto" w:fill="auto"/>
        <w:bidi w:val="0"/>
        <w:spacing w:before="0" w:after="0" w:line="340" w:lineRule="exact"/>
        <w:ind w:left="0" w:right="0" w:firstLine="0"/>
        <w:jc w:val="both"/>
      </w:pPr>
      <w:r>
        <w:rPr>
          <w:i/>
          <w:iCs/>
          <w:color w:val="000000"/>
          <w:spacing w:val="0"/>
          <w:w w:val="100"/>
          <w:position w:val="0"/>
        </w:rPr>
        <w:t>回</w:t>
      </w:r>
      <w:r>
        <w:rPr>
          <w:color w:val="000000"/>
          <w:spacing w:val="0"/>
          <w:w w:val="100"/>
          <w:position w:val="0"/>
        </w:rPr>
        <w:t>参考文献</w:t>
      </w:r>
    </w:p>
    <w:p w14:paraId="5772A6D5">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李宇：《后合同义务之检讨》，载《中外法学》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663EF01">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2531D68D">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孙玉荣:《民法上的欺诈与〈消费者权益保护法〉第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条之适用》，载《法律适用》</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EFF5178">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董文军:《论我国〈消费者权益保护法〉中的惩罚性赔偿》，载《当代法学》</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FBB0260">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rPr>
        <w:t>梁慧星：《消费者权益保护法第</w:t>
      </w:r>
      <w:r>
        <w:rPr>
          <w:rFonts w:ascii="Times New Roman" w:hAnsi="Times New Roman" w:eastAsia="Times New Roman" w:cs="Times New Roman"/>
          <w:color w:val="000000"/>
          <w:spacing w:val="0"/>
          <w:w w:val="100"/>
          <w:position w:val="0"/>
          <w:sz w:val="17"/>
          <w:szCs w:val="17"/>
        </w:rPr>
        <w:t>49</w:t>
      </w:r>
      <w:r>
        <w:rPr>
          <w:color w:val="000000"/>
          <w:spacing w:val="0"/>
          <w:w w:val="100"/>
          <w:position w:val="0"/>
        </w:rPr>
        <w:t>条的解释与适用》，载《人民法院报》</w:t>
      </w:r>
      <w:r>
        <w:rPr>
          <w:rFonts w:ascii="Times New Roman" w:hAnsi="Times New Roman" w:eastAsia="Times New Roman" w:cs="Times New Roman"/>
          <w:color w:val="000000"/>
          <w:spacing w:val="0"/>
          <w:w w:val="100"/>
          <w:position w:val="0"/>
          <w:sz w:val="17"/>
          <w:szCs w:val="17"/>
        </w:rPr>
        <w:t>2001</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29</w:t>
      </w:r>
      <w:r>
        <w:rPr>
          <w:color w:val="000000"/>
          <w:spacing w:val="0"/>
          <w:w w:val="100"/>
          <w:position w:val="0"/>
        </w:rPr>
        <w:t>日，第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w:t>
      </w:r>
    </w:p>
    <w:p w14:paraId="0263FE6F">
      <w:pPr>
        <w:pStyle w:val="17"/>
        <w:keepNext w:val="0"/>
        <w:keepLines w:val="0"/>
        <w:widowControl w:val="0"/>
        <w:shd w:val="clear" w:color="auto" w:fill="auto"/>
        <w:bidi w:val="0"/>
        <w:spacing w:before="0" w:after="200" w:line="340" w:lineRule="exact"/>
        <w:ind w:left="0" w:right="0" w:firstLine="0"/>
        <w:jc w:val="both"/>
        <w:sectPr>
          <w:headerReference r:id="rId353" w:type="default"/>
          <w:headerReference r:id="rId354" w:type="even"/>
          <w:footnotePr>
            <w:numFmt w:val="chicago"/>
          </w:footnotePr>
          <w:pgSz w:w="10099" w:h="14782"/>
          <w:pgMar w:top="1297" w:right="1080" w:bottom="1120" w:left="1019" w:header="0" w:footer="3" w:gutter="0"/>
          <w:pgNumType w:start="282"/>
          <w:cols w:space="720" w:num="1"/>
          <w:rtlGutter w:val="0"/>
          <w:docGrid w:linePitch="360" w:charSpace="0"/>
        </w:sectPr>
      </w:pPr>
      <w:r>
        <w:rPr>
          <w:color w:val="000000"/>
          <w:spacing w:val="0"/>
          <w:w w:val="100"/>
          <w:position w:val="0"/>
        </w:rPr>
        <w:t>王利明：《惩罚性赔偿研究》，载《中国社会科学》</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F39708A">
      <w:pPr>
        <w:widowControl w:val="0"/>
        <w:spacing w:before="0" w:after="0" w:line="240" w:lineRule="exact"/>
        <w:rPr>
          <w:sz w:val="19"/>
          <w:szCs w:val="19"/>
        </w:rPr>
      </w:pPr>
    </w:p>
    <w:p w14:paraId="09E0A268">
      <w:pPr>
        <w:widowControl w:val="0"/>
        <w:spacing w:line="1" w:lineRule="exact"/>
        <w:sectPr>
          <w:headerReference r:id="rId357" w:type="first"/>
          <w:headerReference r:id="rId355" w:type="default"/>
          <w:headerReference r:id="rId356" w:type="even"/>
          <w:footnotePr>
            <w:numFmt w:val="chicago"/>
          </w:footnotePr>
          <w:pgSz w:w="10099" w:h="14782"/>
          <w:pgMar w:top="1251" w:right="995" w:bottom="1157" w:left="1097" w:header="0" w:footer="3" w:gutter="0"/>
          <w:pgNumType w:start="302"/>
          <w:cols w:space="720" w:num="1"/>
          <w:titlePg/>
          <w:rtlGutter w:val="0"/>
          <w:docGrid w:linePitch="360" w:charSpace="0"/>
        </w:sectPr>
      </w:pPr>
    </w:p>
    <w:p w14:paraId="64082BB6">
      <w:pPr>
        <w:widowControl w:val="0"/>
        <w:spacing w:line="1" w:lineRule="exact"/>
      </w:pPr>
      <w:r>
        <mc:AlternateContent>
          <mc:Choice Requires="wps">
            <w:drawing>
              <wp:anchor distT="0" distB="13970" distL="114300" distR="2861945" simplePos="0" relativeHeight="251660288" behindDoc="0" locked="0" layoutInCell="1" allowOverlap="1">
                <wp:simplePos x="0" y="0"/>
                <wp:positionH relativeFrom="page">
                  <wp:posOffset>760095</wp:posOffset>
                </wp:positionH>
                <wp:positionV relativeFrom="paragraph">
                  <wp:posOffset>12700</wp:posOffset>
                </wp:positionV>
                <wp:extent cx="448310" cy="304800"/>
                <wp:effectExtent l="0" t="0" r="0" b="0"/>
                <wp:wrapTopAndBottom/>
                <wp:docPr id="817" name="Shape 817"/>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40DE442E">
                            <w:pPr>
                              <w:pStyle w:val="27"/>
                              <w:keepNext/>
                              <w:keepLines/>
                              <w:widowControl w:val="0"/>
                              <w:shd w:val="clear" w:color="auto" w:fill="auto"/>
                              <w:bidi w:val="0"/>
                              <w:spacing w:before="0" w:after="0" w:line="240" w:lineRule="auto"/>
                              <w:ind w:left="0" w:right="0" w:firstLine="0"/>
                              <w:jc w:val="both"/>
                            </w:pPr>
                            <w:bookmarkStart w:id="465" w:name="bookmark367"/>
                            <w:bookmarkStart w:id="466" w:name="bookmark366"/>
                            <w:bookmarkStart w:id="467" w:name="bookmark365"/>
                            <w:r>
                              <w:rPr>
                                <w:rFonts w:ascii="Times New Roman" w:hAnsi="Times New Roman" w:eastAsia="Times New Roman" w:cs="Times New Roman"/>
                                <w:color w:val="000000"/>
                                <w:spacing w:val="0"/>
                                <w:w w:val="100"/>
                                <w:position w:val="0"/>
                              </w:rPr>
                              <w:t>058</w:t>
                            </w:r>
                            <w:bookmarkEnd w:id="465"/>
                            <w:bookmarkEnd w:id="466"/>
                            <w:bookmarkEnd w:id="467"/>
                          </w:p>
                        </w:txbxContent>
                      </wps:txbx>
                      <wps:bodyPr wrap="none" lIns="0" tIns="0" rIns="0" bIns="0">
                        <a:noAutofit/>
                      </wps:bodyPr>
                    </wps:wsp>
                  </a:graphicData>
                </a:graphic>
              </wp:anchor>
            </w:drawing>
          </mc:Choice>
          <mc:Fallback>
            <w:pict>
              <v:shape id="Shape 817" o:spid="_x0000_s1026" o:spt="202" type="#_x0000_t202" style="position:absolute;left:0pt;margin-left:59.85pt;margin-top:1pt;height:24pt;width:35.3pt;mso-position-horizontal-relative:page;mso-wrap-distance-bottom:1.1pt;mso-wrap-distance-top:0pt;mso-wrap-style:none;z-index:251660288;mso-width-relative:page;mso-height-relative:page;" filled="f" stroked="f" coordsize="21600,21600" o:gfxdata="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kd15tQAAAAI&#10;AQAADwAAAAAAAAABACAAAAAiAAAAZHJzL2Rvd25yZXYueG1sUEsBAhQAFAAAAAgAh07iQPlLnOSu&#10;AQAAcwMAAA4AAAAAAAAAAQAgAAAAIwEAAGRycy9lMm9Eb2MueG1sUEsFBgAAAAAGAAYAWQEAAEMF&#10;AAAAAA==&#10;">
                <v:fill on="f" focussize="0,0"/>
                <v:stroke on="f"/>
                <v:imagedata o:title=""/>
                <o:lock v:ext="edit" aspectratio="f"/>
                <v:textbox inset="0mm,0mm,0mm,0mm">
                  <w:txbxContent>
                    <w:p w14:paraId="40DE442E">
                      <w:pPr>
                        <w:pStyle w:val="27"/>
                        <w:keepNext/>
                        <w:keepLines/>
                        <w:widowControl w:val="0"/>
                        <w:shd w:val="clear" w:color="auto" w:fill="auto"/>
                        <w:bidi w:val="0"/>
                        <w:spacing w:before="0" w:after="0" w:line="240" w:lineRule="auto"/>
                        <w:ind w:left="0" w:right="0" w:firstLine="0"/>
                        <w:jc w:val="both"/>
                      </w:pPr>
                      <w:bookmarkStart w:id="465" w:name="bookmark367"/>
                      <w:bookmarkStart w:id="466" w:name="bookmark366"/>
                      <w:bookmarkStart w:id="467" w:name="bookmark365"/>
                      <w:r>
                        <w:rPr>
                          <w:rFonts w:ascii="Times New Roman" w:hAnsi="Times New Roman" w:eastAsia="Times New Roman" w:cs="Times New Roman"/>
                          <w:color w:val="000000"/>
                          <w:spacing w:val="0"/>
                          <w:w w:val="100"/>
                          <w:position w:val="0"/>
                        </w:rPr>
                        <w:t>058</w:t>
                      </w:r>
                      <w:bookmarkEnd w:id="465"/>
                      <w:bookmarkEnd w:id="466"/>
                      <w:bookmarkEnd w:id="467"/>
                    </w:p>
                  </w:txbxContent>
                </v:textbox>
                <w10:wrap type="topAndBottom"/>
              </v:shape>
            </w:pict>
          </mc:Fallback>
        </mc:AlternateContent>
      </w:r>
      <w:r>
        <mc:AlternateContent>
          <mc:Choice Requires="wps">
            <w:drawing>
              <wp:anchor distT="76200" distB="0" distL="688975" distR="114300" simplePos="0" relativeHeight="251660288" behindDoc="0" locked="0" layoutInCell="1" allowOverlap="1">
                <wp:simplePos x="0" y="0"/>
                <wp:positionH relativeFrom="page">
                  <wp:posOffset>1334770</wp:posOffset>
                </wp:positionH>
                <wp:positionV relativeFrom="paragraph">
                  <wp:posOffset>88900</wp:posOffset>
                </wp:positionV>
                <wp:extent cx="2621280" cy="242570"/>
                <wp:effectExtent l="0" t="0" r="0" b="0"/>
                <wp:wrapTopAndBottom/>
                <wp:docPr id="819" name="Shape 819"/>
                <wp:cNvGraphicFramePr/>
                <a:graphic xmlns:a="http://schemas.openxmlformats.org/drawingml/2006/main">
                  <a:graphicData uri="http://schemas.microsoft.com/office/word/2010/wordprocessingShape">
                    <wps:wsp>
                      <wps:cNvSpPr txBox="1"/>
                      <wps:spPr>
                        <a:xfrm>
                          <a:off x="0" y="0"/>
                          <a:ext cx="2621280" cy="242570"/>
                        </a:xfrm>
                        <a:prstGeom prst="rect">
                          <a:avLst/>
                        </a:prstGeom>
                        <a:noFill/>
                      </wps:spPr>
                      <wps:txbx>
                        <w:txbxContent>
                          <w:p w14:paraId="4270BA74">
                            <w:pPr>
                              <w:pStyle w:val="15"/>
                              <w:keepNext/>
                              <w:keepLines/>
                              <w:widowControl w:val="0"/>
                              <w:shd w:val="clear" w:color="auto" w:fill="auto"/>
                              <w:bidi w:val="0"/>
                              <w:spacing w:before="0" w:after="0" w:line="240" w:lineRule="auto"/>
                              <w:ind w:left="0" w:right="0" w:firstLine="0"/>
                              <w:jc w:val="left"/>
                            </w:pPr>
                            <w:bookmarkStart w:id="468" w:name="bookmark368"/>
                            <w:bookmarkStart w:id="469" w:name="bookmark369"/>
                            <w:bookmarkStart w:id="470" w:name="bookmark370"/>
                            <w:r>
                              <w:rPr>
                                <w:color w:val="000000"/>
                                <w:spacing w:val="0"/>
                                <w:w w:val="100"/>
                                <w:position w:val="0"/>
                              </w:rPr>
                              <w:t>报批义务违反之损害赔偿规则</w:t>
                            </w:r>
                            <w:bookmarkEnd w:id="468"/>
                            <w:bookmarkEnd w:id="469"/>
                            <w:bookmarkEnd w:id="470"/>
                          </w:p>
                        </w:txbxContent>
                      </wps:txbx>
                      <wps:bodyPr wrap="none" lIns="0" tIns="0" rIns="0" bIns="0">
                        <a:noAutofit/>
                      </wps:bodyPr>
                    </wps:wsp>
                  </a:graphicData>
                </a:graphic>
              </wp:anchor>
            </w:drawing>
          </mc:Choice>
          <mc:Fallback>
            <w:pict>
              <v:shape id="Shape 819" o:spid="_x0000_s1026" o:spt="202" type="#_x0000_t202" style="position:absolute;left:0pt;margin-left:105.1pt;margin-top:7pt;height:19.1pt;width:206.4pt;mso-position-horizontal-relative:page;mso-wrap-distance-bottom:0pt;mso-wrap-distance-top:6pt;mso-wrap-style:none;z-index:251660288;mso-width-relative:page;mso-height-relative:page;" filled="f" stroked="f" coordsize="21600,21600" o:gfxdata="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7GwBdYA&#10;AAAJAQAADwAAAAAAAAABACAAAAAiAAAAZHJzL2Rvd25yZXYueG1sUEsBAhQAFAAAAAgAh07iQLqi&#10;IsqvAQAAdAMAAA4AAAAAAAAAAQAgAAAAJQEAAGRycy9lMm9Eb2MueG1sUEsFBgAAAAAGAAYAWQEA&#10;AEYFAAAAAA==&#10;">
                <v:fill on="f" focussize="0,0"/>
                <v:stroke on="f"/>
                <v:imagedata o:title=""/>
                <o:lock v:ext="edit" aspectratio="f"/>
                <v:textbox inset="0mm,0mm,0mm,0mm">
                  <w:txbxContent>
                    <w:p w14:paraId="4270BA74">
                      <w:pPr>
                        <w:pStyle w:val="15"/>
                        <w:keepNext/>
                        <w:keepLines/>
                        <w:widowControl w:val="0"/>
                        <w:shd w:val="clear" w:color="auto" w:fill="auto"/>
                        <w:bidi w:val="0"/>
                        <w:spacing w:before="0" w:after="0" w:line="240" w:lineRule="auto"/>
                        <w:ind w:left="0" w:right="0" w:firstLine="0"/>
                        <w:jc w:val="left"/>
                      </w:pPr>
                      <w:bookmarkStart w:id="468" w:name="bookmark368"/>
                      <w:bookmarkStart w:id="469" w:name="bookmark369"/>
                      <w:bookmarkStart w:id="470" w:name="bookmark370"/>
                      <w:r>
                        <w:rPr>
                          <w:color w:val="000000"/>
                          <w:spacing w:val="0"/>
                          <w:w w:val="100"/>
                          <w:position w:val="0"/>
                        </w:rPr>
                        <w:t>报批义务违反之损害赔偿规则</w:t>
                      </w:r>
                      <w:bookmarkEnd w:id="468"/>
                      <w:bookmarkEnd w:id="469"/>
                      <w:bookmarkEnd w:id="470"/>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5135245</wp:posOffset>
            </wp:positionH>
            <wp:positionV relativeFrom="paragraph">
              <wp:posOffset>213360</wp:posOffset>
            </wp:positionV>
            <wp:extent cx="615950" cy="621665"/>
            <wp:effectExtent l="0" t="0" r="6350" b="635"/>
            <wp:wrapSquare wrapText="left"/>
            <wp:docPr id="821" name="Shape 821"/>
            <wp:cNvGraphicFramePr/>
            <a:graphic xmlns:a="http://schemas.openxmlformats.org/drawingml/2006/main">
              <a:graphicData uri="http://schemas.openxmlformats.org/drawingml/2006/picture">
                <pic:pic xmlns:pic="http://schemas.openxmlformats.org/drawingml/2006/picture">
                  <pic:nvPicPr>
                    <pic:cNvPr id="821" name="Shape 821"/>
                    <pic:cNvPicPr/>
                  </pic:nvPicPr>
                  <pic:blipFill>
                    <a:blip r:embed="rId666"/>
                    <a:stretch>
                      <a:fillRect/>
                    </a:stretch>
                  </pic:blipFill>
                  <pic:spPr>
                    <a:xfrm>
                      <a:off x="0" y="0"/>
                      <a:ext cx="615950" cy="621665"/>
                    </a:xfrm>
                    <a:prstGeom prst="rect">
                      <a:avLst/>
                    </a:prstGeom>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page">
                  <wp:posOffset>1337310</wp:posOffset>
                </wp:positionH>
                <wp:positionV relativeFrom="paragraph">
                  <wp:posOffset>655320</wp:posOffset>
                </wp:positionV>
                <wp:extent cx="2025650" cy="164465"/>
                <wp:effectExtent l="0" t="0" r="0" b="0"/>
                <wp:wrapTopAndBottom/>
                <wp:docPr id="823" name="Shape 823"/>
                <wp:cNvGraphicFramePr/>
                <a:graphic xmlns:a="http://schemas.openxmlformats.org/drawingml/2006/main">
                  <a:graphicData uri="http://schemas.microsoft.com/office/word/2010/wordprocessingShape">
                    <wps:wsp>
                      <wps:cNvSpPr txBox="1"/>
                      <wps:spPr>
                        <a:xfrm>
                          <a:off x="0" y="0"/>
                          <a:ext cx="2025650" cy="164465"/>
                        </a:xfrm>
                        <a:prstGeom prst="rect">
                          <a:avLst/>
                        </a:prstGeom>
                        <a:noFill/>
                      </wps:spPr>
                      <wps:txbx>
                        <w:txbxContent>
                          <w:p w14:paraId="48E09CCD">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期</w:t>
                            </w:r>
                          </w:p>
                        </w:txbxContent>
                      </wps:txbx>
                      <wps:bodyPr wrap="none" lIns="0" tIns="0" rIns="0" bIns="0">
                        <a:noAutofit/>
                      </wps:bodyPr>
                    </wps:wsp>
                  </a:graphicData>
                </a:graphic>
              </wp:anchor>
            </w:drawing>
          </mc:Choice>
          <mc:Fallback>
            <w:pict>
              <v:shape id="Shape 823" o:spid="_x0000_s1026" o:spt="202" type="#_x0000_t202" style="position:absolute;left:0pt;margin-left:105.3pt;margin-top:51.6pt;height:12.95pt;width:159.5pt;mso-position-horizontal-relative:page;mso-wrap-distance-bottom:0pt;mso-wrap-distance-top:0pt;mso-wrap-style:none;z-index:251660288;mso-width-relative:page;mso-height-relative:page;" filled="f" stroked="f" coordsize="21600,21600" o:gfxdata="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T/Q8U1gAA&#10;AAsBAAAPAAAAAAAAAAEAIAAAACIAAABkcnMvZG93bnJldi54bWxQSwECFAAUAAAACACHTuJABB3F&#10;fq4BAAB0AwAADgAAAAAAAAABACAAAAAlAQAAZHJzL2Uyb0RvYy54bWxQSwUGAAAAAAYABgBZAQAA&#10;RQUAAAAA&#10;">
                <v:fill on="f" focussize="0,0"/>
                <v:stroke on="f"/>
                <v:imagedata o:title=""/>
                <o:lock v:ext="edit" aspectratio="f"/>
                <v:textbox inset="0mm,0mm,0mm,0mm">
                  <w:txbxContent>
                    <w:p w14:paraId="48E09CCD">
                      <w:pPr>
                        <w:pStyle w:val="17"/>
                        <w:keepNext w:val="0"/>
                        <w:keepLines w:val="0"/>
                        <w:widowControl w:val="0"/>
                        <w:shd w:val="clear" w:color="auto" w:fill="auto"/>
                        <w:bidi w:val="0"/>
                        <w:spacing w:before="0" w:after="0" w:line="240" w:lineRule="auto"/>
                        <w:ind w:left="0" w:right="0" w:firstLine="0"/>
                        <w:jc w:val="left"/>
                      </w:pP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期</w:t>
                      </w:r>
                    </w:p>
                  </w:txbxContent>
                </v:textbox>
                <w10:wrap type="topAndBottom"/>
              </v:shape>
            </w:pict>
          </mc:Fallback>
        </mc:AlternateContent>
      </w:r>
    </w:p>
    <w:p w14:paraId="31535306">
      <w:pPr>
        <w:pStyle w:val="17"/>
        <w:keepNext w:val="0"/>
        <w:keepLines w:val="0"/>
        <w:widowControl w:val="0"/>
        <w:shd w:val="clear" w:color="auto" w:fill="auto"/>
        <w:bidi w:val="0"/>
        <w:spacing w:before="0" w:after="60" w:line="240" w:lineRule="auto"/>
        <w:ind w:left="0" w:right="0" w:firstLine="0"/>
        <w:jc w:val="center"/>
        <w:rPr>
          <w:sz w:val="19"/>
          <w:szCs w:val="19"/>
        </w:rPr>
      </w:pPr>
      <w:r>
        <w:rPr>
          <w:color w:val="000000"/>
          <w:spacing w:val="0"/>
          <w:w w:val="100"/>
          <w:position w:val="0"/>
          <w:sz w:val="18"/>
          <w:szCs w:val="18"/>
        </w:rPr>
        <w:t>深圳市标榜投资发展有限公司与鞍山市财政局股权转让纠纷案</w:t>
      </w:r>
      <w:r>
        <w:rPr>
          <w:rFonts w:ascii="Times New Roman" w:hAnsi="Times New Roman" w:eastAsia="Times New Roman" w:cs="Times New Roman"/>
          <w:color w:val="000000"/>
          <w:spacing w:val="0"/>
          <w:w w:val="100"/>
          <w:position w:val="0"/>
          <w:sz w:val="19"/>
          <w:szCs w:val="19"/>
        </w:rPr>
        <w:t>I</w:t>
      </w:r>
    </w:p>
    <w:p w14:paraId="17B964E5">
      <w:pPr>
        <w:pStyle w:val="33"/>
        <w:keepNext w:val="0"/>
        <w:keepLines w:val="0"/>
        <w:widowControl w:val="0"/>
        <w:shd w:val="clear" w:color="auto" w:fill="auto"/>
        <w:bidi w:val="0"/>
        <w:spacing w:before="340" w:after="1400" w:line="240" w:lineRule="auto"/>
        <w:ind w:left="0" w:right="0" w:firstLine="0"/>
        <w:jc w:val="right"/>
      </w:pPr>
      <w:r>
        <w:rPr>
          <w:color w:val="000000"/>
          <w:spacing w:val="0"/>
          <w:w w:val="100"/>
          <w:position w:val="0"/>
        </w:rPr>
        <w:t>汤文平暨南大学法学院</w:t>
      </w:r>
    </w:p>
    <w:p w14:paraId="07DA8482">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3E552DB">
      <w:pPr>
        <w:pStyle w:val="17"/>
        <w:keepNext w:val="0"/>
        <w:keepLines w:val="0"/>
        <w:widowControl w:val="0"/>
        <w:shd w:val="clear" w:color="auto" w:fill="auto"/>
        <w:bidi w:val="0"/>
        <w:spacing w:before="0" w:after="200" w:line="339" w:lineRule="exact"/>
        <w:ind w:left="0" w:right="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日，鞍山财政局委托沈阳联合产权交易所（以下简称沈交所）将标的资 产（鞍山银行国有股权）出让信息挂牌公布出售。</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日，标榜公司向财政局交 纳保证金</w:t>
      </w:r>
      <w:r>
        <w:rPr>
          <w:rFonts w:ascii="Times New Roman" w:hAnsi="Times New Roman" w:eastAsia="Times New Roman" w:cs="Times New Roman"/>
          <w:color w:val="000000"/>
          <w:spacing w:val="0"/>
          <w:w w:val="100"/>
          <w:position w:val="0"/>
          <w:sz w:val="19"/>
          <w:szCs w:val="19"/>
        </w:rPr>
        <w:t>1350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日，标榜公司向沈交所交纳保证金</w:t>
      </w:r>
      <w:r>
        <w:rPr>
          <w:rFonts w:ascii="Times New Roman" w:hAnsi="Times New Roman" w:eastAsia="Times New Roman" w:cs="Times New Roman"/>
          <w:color w:val="000000"/>
          <w:spacing w:val="0"/>
          <w:w w:val="100"/>
          <w:position w:val="0"/>
          <w:sz w:val="19"/>
          <w:szCs w:val="19"/>
        </w:rPr>
        <w:t>1350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日，摘牌企业标榜公司与财政局签订《股份转让合同书》，约定以每股</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元收购财政局所 持</w:t>
      </w:r>
      <w:r>
        <w:rPr>
          <w:rFonts w:ascii="Times New Roman" w:hAnsi="Times New Roman" w:eastAsia="Times New Roman" w:cs="Times New Roman"/>
          <w:color w:val="000000"/>
          <w:spacing w:val="0"/>
          <w:w w:val="100"/>
          <w:position w:val="0"/>
          <w:sz w:val="19"/>
          <w:szCs w:val="19"/>
        </w:rPr>
        <w:t>22,500</w:t>
      </w:r>
      <w:r>
        <w:rPr>
          <w:color w:val="000000"/>
          <w:spacing w:val="0"/>
          <w:w w:val="100"/>
          <w:position w:val="0"/>
        </w:rPr>
        <w:t xml:space="preserve">股目标股份。合同同时约定本次转让应上报有权机关审批,在股份交割完毕之后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年内，买方不得出售股份。</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日，鞍山市</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委作出《关于终止鞍山银行国有 股权受让的函》，函告摘牌企业，银监部门向市政府称认为摘牌企业等四户企业存在关联交 易,不会通过审批，市政府责成其函告终止转让。标榜公司回应要求市</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委要么继续履 行股权转让合同，要么提供银监局的正式通知。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日，中国银行业监督管理委 员会辽宁监管局作岀《行政许可事项不予受理通知书》，告知鞍山银行，因该行于补正通知 发出之日起</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个月内未能提交补正申请材料,有关股权转让行政许可事项不予以受理。 </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日市</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 xml:space="preserve">委回应标榜公司将按法定程序专项审计，然后再逐级报送审定。 </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日，财政局函告沈交所，终止鞍山银行国有股权转让，其中宣称资产评估报告 表明每股评估值为</w:t>
      </w:r>
      <w:r>
        <w:rPr>
          <w:rFonts w:ascii="Times New Roman" w:hAnsi="Times New Roman" w:eastAsia="Times New Roman" w:cs="Times New Roman"/>
          <w:color w:val="000000"/>
          <w:spacing w:val="0"/>
          <w:w w:val="100"/>
          <w:position w:val="0"/>
          <w:sz w:val="19"/>
          <w:szCs w:val="19"/>
          <w:lang w:val="en-US" w:eastAsia="en-US" w:bidi="en-US"/>
        </w:rPr>
        <w:t>2.</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元，根据财金</w:t>
      </w:r>
      <w:r>
        <w:rPr>
          <w:rFonts w:ascii="Times New Roman" w:hAnsi="Times New Roman" w:eastAsia="Times New Roman" w:cs="Times New Roman"/>
          <w:color w:val="000000"/>
          <w:spacing w:val="0"/>
          <w:w w:val="100"/>
          <w:position w:val="0"/>
          <w:sz w:val="19"/>
          <w:szCs w:val="19"/>
        </w:rPr>
        <w:t>（2011）118</w:t>
      </w:r>
      <w:r>
        <w:rPr>
          <w:color w:val="000000"/>
          <w:spacing w:val="0"/>
          <w:w w:val="100"/>
          <w:position w:val="0"/>
        </w:rPr>
        <w:t>号文第</w:t>
      </w:r>
      <w:r>
        <w:rPr>
          <w:rFonts w:ascii="Times New Roman" w:hAnsi="Times New Roman" w:eastAsia="Times New Roman" w:cs="Times New Roman"/>
          <w:color w:val="000000"/>
          <w:spacing w:val="0"/>
          <w:w w:val="100"/>
          <w:position w:val="0"/>
          <w:sz w:val="19"/>
          <w:szCs w:val="19"/>
        </w:rPr>
        <w:t>44</w:t>
      </w:r>
      <w:r>
        <w:rPr>
          <w:color w:val="000000"/>
          <w:spacing w:val="0"/>
          <w:w w:val="100"/>
          <w:position w:val="0"/>
        </w:rPr>
        <w:t>条的规定终止产权交易。</w:t>
      </w:r>
      <w:r>
        <w:rPr>
          <w:rFonts w:ascii="Times New Roman" w:hAnsi="Times New Roman" w:eastAsia="Times New Roman" w:cs="Times New Roman"/>
          <w:color w:val="000000"/>
          <w:spacing w:val="0"/>
          <w:w w:val="100"/>
          <w:position w:val="0"/>
          <w:sz w:val="19"/>
          <w:szCs w:val="19"/>
        </w:rPr>
        <w:t xml:space="preserve">2013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日，鞍山鑫鑫会计师事务所审计报告称:因标榜公司报送材料原因,无法判断是否 有足够自有资金进行股份收购,无法判断是否存在影响收购的关联关系,无法判断该公司 是否属于非限制性行业，是否可以入股城商行。</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日，财政局应标榜公司通 知要求返还交易保证金。</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日，财政局在北京金融资产交易所将上述股权重 新挂牌转让，并于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日，以每股</w:t>
      </w:r>
      <w:r>
        <w:rPr>
          <w:rFonts w:ascii="Times New Roman" w:hAnsi="Times New Roman" w:eastAsia="Times New Roman" w:cs="Times New Roman"/>
          <w:color w:val="000000"/>
          <w:spacing w:val="0"/>
          <w:w w:val="100"/>
          <w:position w:val="0"/>
          <w:sz w:val="19"/>
          <w:szCs w:val="19"/>
          <w:lang w:val="en-US" w:eastAsia="en-US" w:bidi="en-US"/>
        </w:rPr>
        <w:t>2.5</w:t>
      </w:r>
      <w:r>
        <w:rPr>
          <w:color w:val="000000"/>
          <w:spacing w:val="0"/>
          <w:w w:val="100"/>
          <w:position w:val="0"/>
        </w:rPr>
        <w:t>元转让给了中国华阳投资有限公司。标榜 公司诉请赔偿各种交易费用（原本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万元）及保证金利息损失约</w:t>
      </w:r>
      <w:r>
        <w:rPr>
          <w:rFonts w:ascii="Times New Roman" w:hAnsi="Times New Roman" w:eastAsia="Times New Roman" w:cs="Times New Roman"/>
          <w:color w:val="000000"/>
          <w:spacing w:val="0"/>
          <w:w w:val="100"/>
          <w:position w:val="0"/>
          <w:sz w:val="19"/>
          <w:szCs w:val="19"/>
        </w:rPr>
        <w:t>190</w:t>
      </w:r>
      <w:r>
        <w:rPr>
          <w:color w:val="000000"/>
          <w:spacing w:val="0"/>
          <w:w w:val="100"/>
          <w:position w:val="0"/>
        </w:rPr>
        <w:t xml:space="preserve">万元,可得利益损失 </w:t>
      </w:r>
      <w:r>
        <w:rPr>
          <w:rFonts w:ascii="Times New Roman" w:hAnsi="Times New Roman" w:eastAsia="Times New Roman" w:cs="Times New Roman"/>
          <w:color w:val="000000"/>
          <w:spacing w:val="0"/>
          <w:w w:val="100"/>
          <w:position w:val="0"/>
          <w:sz w:val="19"/>
          <w:szCs w:val="19"/>
        </w:rPr>
        <w:t>11,250</w:t>
      </w:r>
      <w:r>
        <w:rPr>
          <w:color w:val="000000"/>
          <w:spacing w:val="0"/>
          <w:w w:val="100"/>
          <w:position w:val="0"/>
        </w:rPr>
        <w:t>万元（后一交易所带来的差价）。一审法院（辽宁高院）仅支持第一项诉求,故标榜 公司就第二项诉求上诉至最高人民法院。</w:t>
      </w:r>
    </w:p>
    <w:p w14:paraId="4971965C">
      <w:pPr>
        <w:pStyle w:val="11"/>
        <w:keepNext w:val="0"/>
        <w:keepLines w:val="0"/>
        <w:widowControl w:val="0"/>
        <w:shd w:val="clear" w:color="auto" w:fill="auto"/>
        <w:bidi w:val="0"/>
        <w:spacing w:before="0" w:after="120" w:line="341"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2F21D1B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二审法院判令财政局按前述差价之</w:t>
      </w:r>
      <w:r>
        <w:rPr>
          <w:rFonts w:ascii="Times New Roman" w:hAnsi="Times New Roman" w:eastAsia="Times New Roman" w:cs="Times New Roman"/>
          <w:b/>
          <w:bCs/>
          <w:color w:val="000000"/>
          <w:spacing w:val="0"/>
          <w:w w:val="100"/>
          <w:position w:val="0"/>
          <w:sz w:val="19"/>
          <w:szCs w:val="19"/>
        </w:rPr>
        <w:t>10%</w:t>
      </w:r>
      <w:r>
        <w:rPr>
          <w:color w:val="000000"/>
          <w:spacing w:val="0"/>
          <w:w w:val="100"/>
          <w:position w:val="0"/>
        </w:rPr>
        <w:t>即</w:t>
      </w:r>
      <w:r>
        <w:rPr>
          <w:rFonts w:ascii="Times New Roman" w:hAnsi="Times New Roman" w:eastAsia="Times New Roman" w:cs="Times New Roman"/>
          <w:b/>
          <w:bCs/>
          <w:color w:val="000000"/>
          <w:spacing w:val="0"/>
          <w:w w:val="100"/>
          <w:position w:val="0"/>
          <w:sz w:val="19"/>
          <w:szCs w:val="19"/>
        </w:rPr>
        <w:t>1125</w:t>
      </w:r>
      <w:r>
        <w:rPr>
          <w:color w:val="000000"/>
          <w:spacing w:val="0"/>
          <w:w w:val="100"/>
          <w:position w:val="0"/>
        </w:rPr>
        <w:t>万元赔偿标榜公司损失。</w:t>
      </w:r>
    </w:p>
    <w:p w14:paraId="2C8B6AC5">
      <w:pPr>
        <w:pStyle w:val="17"/>
        <w:keepNext w:val="0"/>
        <w:keepLines w:val="0"/>
        <w:widowControl w:val="0"/>
        <w:shd w:val="clear" w:color="auto" w:fill="auto"/>
        <w:bidi w:val="0"/>
        <w:spacing w:before="0" w:after="340" w:line="343" w:lineRule="exact"/>
        <w:ind w:left="0" w:right="0" w:firstLine="420"/>
        <w:jc w:val="both"/>
      </w:pPr>
      <w:r>
        <w:rPr>
          <w:color w:val="000000"/>
          <w:spacing w:val="0"/>
          <w:w w:val="100"/>
          <w:position w:val="0"/>
        </w:rPr>
        <w:t>因财政局未按照有权机关要求补充报送相关材料，关于标榜公司等存在关联关系导致 其不具有受让涉案股权资格的抗辩又证据不足，故财政局存在缔约过失。标榜公司因财政 局的不诚信行为存在客观现实的交易机会损失。本案中，标榜公司未实际支付对价，且即 使标榜公司实际取得涉案股权，因双方合同对股权再转让有期限限制的约定，故约定期限 届满之后，涉案股权价值是涨是跌，尚不确定。另外，标榜公司虽丧失购买涉案股权的交易 机会,但并不妨碍其之后将资金另行投资其他项目获得收益。综上所述，对标榜公司交易 机会损失，本院酌定按财政局转售涉案股权价差的</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予以确定。</w:t>
      </w:r>
    </w:p>
    <w:p w14:paraId="375C795C">
      <w:pPr>
        <w:pStyle w:val="11"/>
        <w:keepNext w:val="0"/>
        <w:keepLines w:val="0"/>
        <w:widowControl w:val="0"/>
        <w:shd w:val="clear" w:color="auto" w:fill="auto"/>
        <w:bidi w:val="0"/>
        <w:spacing w:before="0" w:after="120" w:line="341" w:lineRule="exact"/>
        <w:ind w:left="0" w:right="0" w:firstLine="0"/>
        <w:jc w:val="both"/>
      </w:pPr>
      <w:r>
        <w:rPr>
          <w:color w:val="000000"/>
          <w:spacing w:val="0"/>
          <w:w w:val="100"/>
          <w:position w:val="0"/>
        </w:rPr>
        <w:t>■评析</w:t>
      </w:r>
    </w:p>
    <w:p w14:paraId="1C27532A">
      <w:pPr>
        <w:pStyle w:val="17"/>
        <w:keepNext w:val="0"/>
        <w:keepLines w:val="0"/>
        <w:widowControl w:val="0"/>
        <w:shd w:val="clear" w:color="auto" w:fill="auto"/>
        <w:bidi w:val="0"/>
        <w:spacing w:before="0" w:after="120" w:line="341"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03C2F7B3">
      <w:pPr>
        <w:pStyle w:val="17"/>
        <w:keepNext w:val="0"/>
        <w:keepLines w:val="0"/>
        <w:widowControl w:val="0"/>
        <w:shd w:val="clear" w:color="auto" w:fill="auto"/>
        <w:bidi w:val="0"/>
        <w:spacing w:before="0" w:after="180" w:line="341" w:lineRule="exact"/>
        <w:ind w:left="0" w:right="0" w:firstLine="420"/>
        <w:jc w:val="both"/>
      </w:pPr>
      <w:r>
        <w:rPr>
          <w:color w:val="000000"/>
          <w:spacing w:val="0"/>
          <w:w w:val="100"/>
          <w:position w:val="0"/>
        </w:rPr>
        <w:t>最高人民法院在本案中就国有股份转让合同报批义务违反认定了缔约过失责任，并进 一步通过交易机会损失引向履行利益损害赔偿，但又仅支持了其中</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的诉求。虽然在论 证上还没有充分展开，但是已足能折射出其间利益冲突和价值裁断的复杂性，对法教义学 的未来建构及司法实务进一步发展颇具启发价值</w:t>
      </w:r>
    </w:p>
    <w:p w14:paraId="5E652822">
      <w:pPr>
        <w:pStyle w:val="17"/>
        <w:keepNext w:val="0"/>
        <w:keepLines w:val="0"/>
        <w:widowControl w:val="0"/>
        <w:shd w:val="clear" w:color="auto" w:fill="auto"/>
        <w:bidi w:val="0"/>
        <w:spacing w:before="0" w:after="180" w:line="341"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报批义务违反之损害赔偿的规范及学理</w:t>
      </w:r>
    </w:p>
    <w:p w14:paraId="5196479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本案涉及的国有银行股份转让审批之依据主要是国务院办公厅《关于加强国有企业产 权交易管理的通知》第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条、财政部《金融企业国有资产转让管理办法》第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条、《商业银行 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条,但是它们都没有回答报批义务违反责任究竟是缔约过失责任还是违约责任。 对此长期存在分歧。</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年最高人民法院《关于审理外商投资企业纠纷案件若干问题的规 定（一）》［法释</w:t>
      </w:r>
      <w:r>
        <w:rPr>
          <w:rFonts w:ascii="Times New Roman" w:hAnsi="Times New Roman" w:eastAsia="Times New Roman" w:cs="Times New Roman"/>
          <w:color w:val="000000"/>
          <w:spacing w:val="0"/>
          <w:w w:val="100"/>
          <w:position w:val="0"/>
          <w:sz w:val="19"/>
          <w:szCs w:val="19"/>
        </w:rPr>
        <w:t>（2010）9</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条，是针对上列问题所作的较新规定,两个条文就报批义 务违反给出的救济方案大相径庭。前者为催告后解除合同、返还已支付转让款、赔偿</w:t>
      </w:r>
      <w:r>
        <w:rPr>
          <w:color w:val="000000"/>
          <w:spacing w:val="0"/>
          <w:w w:val="100"/>
          <w:position w:val="0"/>
          <w:lang w:val="zh-CN" w:eastAsia="zh-CN" w:bidi="zh-CN"/>
        </w:rPr>
        <w:t xml:space="preserve">“实际 </w:t>
      </w:r>
      <w:r>
        <w:rPr>
          <w:color w:val="000000"/>
          <w:spacing w:val="0"/>
          <w:w w:val="100"/>
          <w:position w:val="0"/>
        </w:rPr>
        <w:t>损失”。在解释上，按照参与制定该司法解释的法官的说法，此处的“实际损失</w:t>
      </w:r>
      <w:r>
        <w:rPr>
          <w:color w:val="000000"/>
          <w:spacing w:val="0"/>
          <w:w w:val="100"/>
          <w:position w:val="0"/>
          <w:lang w:val="zh-CN" w:eastAsia="zh-CN" w:bidi="zh-CN"/>
        </w:rPr>
        <w:t>”乃信</w:t>
      </w:r>
      <w:r>
        <w:rPr>
          <w:color w:val="000000"/>
          <w:spacing w:val="0"/>
          <w:w w:val="100"/>
          <w:position w:val="0"/>
        </w:rPr>
        <w:t>赖利益 损失，此处的责任是缔约过失责任。后者却采取了两次诉讼的构造模式:第一次诉讼请求 实际履行报批义务，第二次诉讼请求解除合同并赔偿损失。据称，此处赔偿的是履行利益 损失，其责任为违约责任［万鄂湘主编：《最高人民法院〈关于审理外商投资企业纠纷案件若干问题 的规定（一）〉条文理解与适用》，中国法制出版社</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76,88</w:t>
      </w:r>
      <w:r>
        <w:rPr>
          <w:color w:val="000000"/>
          <w:spacing w:val="0"/>
          <w:w w:val="100"/>
          <w:position w:val="0"/>
        </w:rPr>
        <w:t>页］。</w:t>
      </w:r>
    </w:p>
    <w:p w14:paraId="39BBA9F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此前在这一问题上与该两条文联系最为直接的是</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年出台的最高人民法院《关于 适用〈中华人民共和国合同法〉若干问题的解释（二）》［法释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条。该条通过 征引原《合同法》第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rPr>
        <w:t>条第</w:t>
      </w:r>
      <w:r>
        <w:rPr>
          <w:i/>
          <w:iCs/>
          <w:color w:val="000000"/>
          <w:spacing w:val="0"/>
          <w:w w:val="100"/>
          <w:position w:val="0"/>
        </w:rPr>
        <w:t>3</w:t>
      </w:r>
      <w:r>
        <w:rPr>
          <w:color w:val="000000"/>
          <w:spacing w:val="0"/>
          <w:w w:val="100"/>
          <w:position w:val="0"/>
        </w:rPr>
        <w:t>项（《民法典》第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项），将报批义务违反的后果系于 缔约过失，但是又规定了判由权利人代为申请的“间接强制履行</w:t>
      </w:r>
      <w:r>
        <w:rPr>
          <w:color w:val="000000"/>
          <w:spacing w:val="0"/>
          <w:w w:val="100"/>
          <w:position w:val="0"/>
          <w:lang w:val="zh-CN" w:eastAsia="zh-CN" w:bidi="zh-CN"/>
        </w:rPr>
        <w:t>”，与</w:t>
      </w:r>
      <w:r>
        <w:rPr>
          <w:color w:val="000000"/>
          <w:spacing w:val="0"/>
          <w:w w:val="100"/>
          <w:position w:val="0"/>
        </w:rPr>
        <w:t>通说的缔约过失救济 方式明显不符，在损害赔偿方面，该条指向的</w:t>
      </w:r>
      <w:r>
        <w:rPr>
          <w:color w:val="000000"/>
          <w:spacing w:val="0"/>
          <w:w w:val="100"/>
          <w:position w:val="0"/>
          <w:lang w:val="zh-CN" w:eastAsia="zh-CN" w:bidi="zh-CN"/>
        </w:rPr>
        <w:t>“实</w:t>
      </w:r>
      <w:r>
        <w:rPr>
          <w:color w:val="000000"/>
          <w:spacing w:val="0"/>
          <w:w w:val="100"/>
          <w:position w:val="0"/>
        </w:rPr>
        <w:t>际损失</w:t>
      </w:r>
      <w:r>
        <w:rPr>
          <w:color w:val="000000"/>
          <w:spacing w:val="0"/>
          <w:w w:val="100"/>
          <w:position w:val="0"/>
          <w:lang w:val="zh-CN" w:eastAsia="zh-CN" w:bidi="zh-CN"/>
        </w:rPr>
        <w:t>”究</w:t>
      </w:r>
      <w:r>
        <w:rPr>
          <w:color w:val="000000"/>
          <w:spacing w:val="0"/>
          <w:w w:val="100"/>
          <w:position w:val="0"/>
        </w:rPr>
        <w:t>竟何指也语焉不详。</w:t>
      </w:r>
    </w:p>
    <w:p w14:paraId="1DF83FB6">
      <w:pPr>
        <w:pStyle w:val="17"/>
        <w:keepNext w:val="0"/>
        <w:keepLines w:val="0"/>
        <w:widowControl w:val="0"/>
        <w:shd w:val="clear" w:color="auto" w:fill="auto"/>
        <w:bidi w:val="0"/>
        <w:spacing w:before="0" w:after="120" w:line="341" w:lineRule="exact"/>
        <w:ind w:left="0" w:right="0" w:firstLine="420"/>
        <w:jc w:val="both"/>
        <w:sectPr>
          <w:footnotePr>
            <w:numFmt w:val="chicago"/>
          </w:footnotePr>
          <w:type w:val="continuous"/>
          <w:pgSz w:w="10099" w:h="14782"/>
          <w:pgMar w:top="1251" w:right="995" w:bottom="1157" w:left="1097" w:header="0" w:footer="3" w:gutter="0"/>
          <w:cols w:space="720" w:num="1"/>
          <w:rtlGutter w:val="0"/>
          <w:docGrid w:linePitch="360" w:charSpace="0"/>
        </w:sectPr>
      </w:pPr>
      <w:r>
        <w:rPr>
          <w:color w:val="000000"/>
          <w:spacing w:val="0"/>
          <w:w w:val="100"/>
          <w:position w:val="0"/>
        </w:rPr>
        <w:t xml:space="preserve">为了避开上述难题，有学说建议干脆将批准程序系于履行行为,从而使基础合同的效 </w:t>
      </w:r>
    </w:p>
    <w:p w14:paraId="59B6B014">
      <w:pPr>
        <w:pStyle w:val="17"/>
        <w:keepNext w:val="0"/>
        <w:keepLines w:val="0"/>
        <w:widowControl w:val="0"/>
        <w:shd w:val="clear" w:color="auto" w:fill="auto"/>
        <w:bidi w:val="0"/>
        <w:spacing w:before="0" w:after="120" w:line="341" w:lineRule="exact"/>
        <w:ind w:left="0" w:right="0" w:firstLine="0"/>
        <w:jc w:val="both"/>
      </w:pPr>
      <w:r>
        <w:rPr>
          <w:color w:val="000000"/>
          <w:spacing w:val="0"/>
          <w:w w:val="100"/>
          <w:position w:val="0"/>
        </w:rPr>
        <w:t xml:space="preserve">力从批准的阴影之下彻底解放出来（蔡立东:《行政审批与权利转让合同的效力》，载《中国法学》 </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期；吴光荣:《行政审批对合同效力的影响：理论与实践》，载《法学家》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期）。随 着社会经济的发展变迁以及政府职能的转变，的确某些（甚或一大批）需要批准生效的合同 将只需履行环节的批准，甚至无待批准。但是批准生效合同作为一个整体制度几乎不可能 消亡,前述难题无法借批准后置而毕其功于一役,仍须直面。解决这一难题的合适方法,还 是得依靠如下关键性因素之间的权衡。</w:t>
      </w:r>
    </w:p>
    <w:p w14:paraId="77B3FDA3">
      <w:pPr>
        <w:pStyle w:val="17"/>
        <w:keepNext w:val="0"/>
        <w:keepLines w:val="0"/>
        <w:widowControl w:val="0"/>
        <w:shd w:val="clear" w:color="auto" w:fill="auto"/>
        <w:bidi w:val="0"/>
        <w:spacing w:before="0" w:after="0" w:line="374" w:lineRule="auto"/>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.批准要求背后的政策考量</w:t>
      </w:r>
    </w:p>
    <w:p w14:paraId="1B08A5E1">
      <w:pPr>
        <w:pStyle w:val="17"/>
        <w:keepNext w:val="0"/>
        <w:keepLines w:val="0"/>
        <w:widowControl w:val="0"/>
        <w:shd w:val="clear" w:color="auto" w:fill="auto"/>
        <w:bidi w:val="0"/>
        <w:spacing w:before="0" w:after="120" w:line="341" w:lineRule="exact"/>
        <w:ind w:left="0" w:right="0" w:firstLine="420"/>
        <w:jc w:val="both"/>
      </w:pPr>
      <w:r>
        <w:rPr>
          <w:color w:val="000000"/>
          <w:spacing w:val="0"/>
          <w:w w:val="100"/>
          <w:position w:val="0"/>
        </w:rPr>
        <w:t xml:space="preserve">设置批准要求的政策考量可能包括:审查受让人信用、资质、避免非合资化、国家安全、 国资保护、防止竞争限制等。还可能随着社会发展和制度变迁，而有更替。获批可能性上的 极大差异对实际履行报批义务及损害赔偿均将构成影响。就实际履行报批义务来说，如果 本来就极难获得批准，而且只能由转让方或作为第三方的目标企业提出申请，那么法释 </w:t>
      </w:r>
      <w:r>
        <w:rPr>
          <w:rFonts w:ascii="Times New Roman" w:hAnsi="Times New Roman" w:eastAsia="Times New Roman" w:cs="Times New Roman"/>
          <w:color w:val="000000"/>
          <w:spacing w:val="0"/>
          <w:w w:val="100"/>
          <w:position w:val="0"/>
          <w:sz w:val="19"/>
          <w:szCs w:val="19"/>
          <w:lang w:val="en-US" w:eastAsia="en-US" w:bidi="en-US"/>
        </w:rPr>
        <w:t>[2009]</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号文第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条及法释</w:t>
      </w:r>
      <w:r>
        <w:rPr>
          <w:rFonts w:ascii="Times New Roman" w:hAnsi="Times New Roman" w:eastAsia="Times New Roman" w:cs="Times New Roman"/>
          <w:color w:val="000000"/>
          <w:spacing w:val="0"/>
          <w:w w:val="100"/>
          <w:position w:val="0"/>
          <w:sz w:val="19"/>
          <w:szCs w:val="19"/>
          <w:lang w:val="en-US" w:eastAsia="en-US" w:bidi="en-US"/>
        </w:rPr>
        <w:t>[2010]</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号文第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条设置的</w:t>
      </w:r>
      <w:r>
        <w:rPr>
          <w:color w:val="000000"/>
          <w:spacing w:val="0"/>
          <w:w w:val="100"/>
          <w:position w:val="0"/>
          <w:lang w:val="zh-CN" w:eastAsia="zh-CN" w:bidi="zh-CN"/>
        </w:rPr>
        <w:t>“由相</w:t>
      </w:r>
      <w:r>
        <w:rPr>
          <w:color w:val="000000"/>
          <w:spacing w:val="0"/>
          <w:w w:val="100"/>
          <w:position w:val="0"/>
        </w:rPr>
        <w:t>对方自己办理</w:t>
      </w:r>
      <w:r>
        <w:rPr>
          <w:color w:val="000000"/>
          <w:spacing w:val="0"/>
          <w:w w:val="100"/>
          <w:position w:val="0"/>
          <w:lang w:val="zh-CN" w:eastAsia="zh-CN" w:bidi="zh-CN"/>
        </w:rPr>
        <w:t>”可能</w:t>
      </w:r>
      <w:r>
        <w:rPr>
          <w:color w:val="000000"/>
          <w:spacing w:val="0"/>
          <w:w w:val="100"/>
          <w:position w:val="0"/>
        </w:rPr>
        <w:t>丧失意 义。而对判由义务人办理报批的强制执行，或会涉及</w:t>
      </w:r>
      <w:r>
        <w:rPr>
          <w:color w:val="000000"/>
          <w:spacing w:val="0"/>
          <w:w w:val="100"/>
          <w:position w:val="0"/>
          <w:lang w:val="zh-CN" w:eastAsia="zh-CN" w:bidi="zh-CN"/>
        </w:rPr>
        <w:t>“报</w:t>
      </w:r>
      <w:r>
        <w:rPr>
          <w:color w:val="000000"/>
          <w:spacing w:val="0"/>
          <w:w w:val="100"/>
          <w:position w:val="0"/>
        </w:rPr>
        <w:t>批拟制</w:t>
      </w:r>
      <w:r>
        <w:rPr>
          <w:color w:val="000000"/>
          <w:spacing w:val="0"/>
          <w:w w:val="100"/>
          <w:position w:val="0"/>
          <w:lang w:val="zh-CN" w:eastAsia="zh-CN" w:bidi="zh-CN"/>
        </w:rPr>
        <w:t>”，即</w:t>
      </w:r>
      <w:r>
        <w:rPr>
          <w:color w:val="000000"/>
          <w:spacing w:val="0"/>
          <w:w w:val="100"/>
          <w:position w:val="0"/>
        </w:rPr>
        <w:t>以生效判决代替义务 人意思地作出，这在上述情形下也将丧失意义。对于损害赔偿而言,审批获得的可能性直 接关系到机会损失的计算。本案中，显然无论怎样补充材料,都因国有股份大幅增值而不 可能获得批准。</w:t>
      </w:r>
    </w:p>
    <w:p w14:paraId="67181510">
      <w:pPr>
        <w:pStyle w:val="17"/>
        <w:keepNext w:val="0"/>
        <w:keepLines w:val="0"/>
        <w:widowControl w:val="0"/>
        <w:numPr>
          <w:ilvl w:val="0"/>
          <w:numId w:val="24"/>
        </w:numPr>
        <w:shd w:val="clear" w:color="auto" w:fill="auto"/>
        <w:tabs>
          <w:tab w:val="left" w:pos="702"/>
        </w:tabs>
        <w:bidi w:val="0"/>
        <w:spacing w:before="0" w:after="0" w:line="374" w:lineRule="auto"/>
        <w:ind w:left="0" w:right="0" w:firstLine="420"/>
        <w:jc w:val="both"/>
      </w:pPr>
      <w:bookmarkStart w:id="107" w:name="bookmark371"/>
      <w:bookmarkEnd w:id="107"/>
      <w:r>
        <w:rPr>
          <w:color w:val="000000"/>
          <w:spacing w:val="0"/>
          <w:w w:val="100"/>
          <w:position w:val="0"/>
        </w:rPr>
        <w:t>信赖保护</w:t>
      </w:r>
    </w:p>
    <w:p w14:paraId="51579B7D">
      <w:pPr>
        <w:pStyle w:val="17"/>
        <w:keepNext w:val="0"/>
        <w:keepLines w:val="0"/>
        <w:widowControl w:val="0"/>
        <w:shd w:val="clear" w:color="auto" w:fill="auto"/>
        <w:bidi w:val="0"/>
        <w:spacing w:before="0" w:after="120" w:line="341" w:lineRule="exact"/>
        <w:ind w:left="0" w:right="0" w:firstLine="420"/>
        <w:jc w:val="both"/>
      </w:pPr>
      <w:r>
        <w:rPr>
          <w:color w:val="000000"/>
          <w:spacing w:val="0"/>
          <w:w w:val="100"/>
          <w:position w:val="0"/>
        </w:rPr>
        <w:t>首先应该关注信赖的</w:t>
      </w:r>
      <w:r>
        <w:rPr>
          <w:color w:val="000000"/>
          <w:spacing w:val="0"/>
          <w:w w:val="100"/>
          <w:position w:val="0"/>
          <w:lang w:val="zh-CN" w:eastAsia="zh-CN" w:bidi="zh-CN"/>
        </w:rPr>
        <w:t>“标的”是</w:t>
      </w:r>
      <w:r>
        <w:rPr>
          <w:color w:val="000000"/>
          <w:spacing w:val="0"/>
          <w:w w:val="100"/>
          <w:position w:val="0"/>
        </w:rPr>
        <w:t>什么。例如，信赖此合同无须审批即可生效（实际须审 批）、信赖对方有能力组织报批（实际须由第三人报批且对方不能控制）、信赖一报批必获批 准（实际获准无望）、信赖对方必定报批（实际对方也没有意识到有什么报批</w:t>
      </w:r>
      <w:r>
        <w:rPr>
          <w:color w:val="000000"/>
          <w:spacing w:val="0"/>
          <w:w w:val="100"/>
          <w:position w:val="0"/>
          <w:lang w:val="zh-CN" w:eastAsia="zh-CN" w:bidi="zh-CN"/>
        </w:rPr>
        <w:t>“义务”存</w:t>
      </w:r>
      <w:r>
        <w:rPr>
          <w:color w:val="000000"/>
          <w:spacing w:val="0"/>
          <w:w w:val="100"/>
          <w:position w:val="0"/>
        </w:rPr>
        <w:t>在）。 其次应关注信赖因何而起。例如，因对方的恶意欺诈、无意间的在先行为或信赖人自己的 错误认识而生信赖。最后应关注基于信赖发生怎样的费用，有何投资。例如，在本案中，二 审法院即强调了受让方仅支付保证金，还没有实际进入对价给付。但是在另一方面，整个 交易经历了完整的挂牌竞价程序，又加强了信赖的正当性。</w:t>
      </w:r>
    </w:p>
    <w:p w14:paraId="09E14EE9">
      <w:pPr>
        <w:pStyle w:val="17"/>
        <w:keepNext w:val="0"/>
        <w:keepLines w:val="0"/>
        <w:widowControl w:val="0"/>
        <w:numPr>
          <w:ilvl w:val="0"/>
          <w:numId w:val="24"/>
        </w:numPr>
        <w:shd w:val="clear" w:color="auto" w:fill="auto"/>
        <w:tabs>
          <w:tab w:val="left" w:pos="702"/>
        </w:tabs>
        <w:bidi w:val="0"/>
        <w:spacing w:before="0" w:after="0" w:line="374" w:lineRule="auto"/>
        <w:ind w:left="0" w:right="0" w:firstLine="420"/>
        <w:jc w:val="both"/>
      </w:pPr>
      <w:bookmarkStart w:id="108" w:name="bookmark372"/>
      <w:bookmarkEnd w:id="108"/>
      <w:r>
        <w:rPr>
          <w:color w:val="000000"/>
          <w:spacing w:val="0"/>
          <w:w w:val="100"/>
          <w:position w:val="0"/>
        </w:rPr>
        <w:t>缔约自由的保护</w:t>
      </w:r>
    </w:p>
    <w:p w14:paraId="01D25D4C">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因为这种法定的生效条件对合同生效造成阻碍，不仅在客观上使合同实质性缔约过程 往后推延了，也在主观上对当事人的心理造成影响。这两种主客观的变异对当事人之间的 利益衡量都有深意。</w:t>
      </w:r>
    </w:p>
    <w:p w14:paraId="3501D9C3">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首先，在客观上的缔约程序推延，使成立前与成立后某些类似的因素具有了可比性。 同是批准,或许有董事会[《外商投资企业投资者股权变更的若干规定》（依商务部令</w:t>
      </w:r>
      <w:r>
        <w:rPr>
          <w:rFonts w:ascii="Times New Roman" w:hAnsi="Times New Roman" w:eastAsia="Times New Roman" w:cs="Times New Roman"/>
          <w:color w:val="000000"/>
          <w:spacing w:val="0"/>
          <w:w w:val="100"/>
          <w:position w:val="0"/>
          <w:sz w:val="19"/>
          <w:szCs w:val="19"/>
        </w:rPr>
        <w:t xml:space="preserve">2019 </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号已废止该规章）第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条]、股东会（《公司法》第</w:t>
      </w:r>
      <w:r>
        <w:rPr>
          <w:rFonts w:ascii="Times New Roman" w:hAnsi="Times New Roman" w:eastAsia="Times New Roman" w:cs="Times New Roman"/>
          <w:color w:val="000000"/>
          <w:spacing w:val="0"/>
          <w:w w:val="100"/>
          <w:position w:val="0"/>
          <w:sz w:val="19"/>
          <w:szCs w:val="19"/>
        </w:rPr>
        <w:t>104</w:t>
      </w:r>
      <w:r>
        <w:rPr>
          <w:color w:val="000000"/>
          <w:spacing w:val="0"/>
          <w:w w:val="100"/>
          <w:position w:val="0"/>
        </w:rPr>
        <w:t>条）、其他股东（《公司法》第</w:t>
      </w:r>
      <w:r>
        <w:rPr>
          <w:rFonts w:ascii="Times New Roman" w:hAnsi="Times New Roman" w:eastAsia="Times New Roman" w:cs="Times New Roman"/>
          <w:color w:val="000000"/>
          <w:spacing w:val="0"/>
          <w:w w:val="100"/>
          <w:position w:val="0"/>
          <w:sz w:val="19"/>
          <w:szCs w:val="19"/>
        </w:rPr>
        <w:t xml:space="preserve">71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款），本案所涉机关批准是针对国资的主管部门或政府的批准，实与股东会异曲同 工</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在前述大多数审批场合</w:t>
      </w:r>
      <w:r>
        <w:rPr>
          <w:color w:val="000000"/>
          <w:spacing w:val="0"/>
          <w:w w:val="100"/>
          <w:position w:val="0"/>
          <w:lang w:val="zh-CN" w:eastAsia="zh-CN" w:bidi="zh-CN"/>
        </w:rPr>
        <w:t>，“义</w:t>
      </w:r>
      <w:r>
        <w:rPr>
          <w:color w:val="000000"/>
          <w:spacing w:val="0"/>
          <w:w w:val="100"/>
          <w:position w:val="0"/>
        </w:rPr>
        <w:t>务人”若不提请批准，合同未成立，一般并无责任,而仅在 满足特殊要件时，始有保护信赖的必要。那么拒不提请机关审批是否可以理解为</w:t>
      </w:r>
      <w:r>
        <w:rPr>
          <w:color w:val="000000"/>
          <w:spacing w:val="0"/>
          <w:w w:val="100"/>
          <w:position w:val="0"/>
          <w:lang w:val="en-US" w:eastAsia="en-US" w:bidi="en-US"/>
        </w:rPr>
        <w:t>一一</w:t>
      </w:r>
      <w:r>
        <w:rPr>
          <w:color w:val="000000"/>
          <w:spacing w:val="0"/>
          <w:w w:val="100"/>
          <w:position w:val="0"/>
        </w:rPr>
        <w:t>只是 提升了保护对方信赖的规格，即使信赖责任的构成较为容易而已呢？</w:t>
      </w:r>
    </w:p>
    <w:p w14:paraId="47EB45E3">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其次，在客观上的缔约程序推延使初始情事发生变化的概率增加。这即使是在合同有 效成立之后的场合也是有意义的,继续性合同即有重大事由之终止权的便宜，至于情势变 更则更堪称法律对当事人有限想象力的豁免。这对于推延的缔约过程绝对是有深意的，就 此可以从预约理论的晚近发展得到强有力的印证。这当然不是典型的情势变更之适用情 形,而是在评价上的参照。结论应该是,无论是预约还是批准生效合同，在</w:t>
      </w:r>
      <w:r>
        <w:rPr>
          <w:color w:val="000000"/>
          <w:spacing w:val="0"/>
          <w:w w:val="100"/>
          <w:position w:val="0"/>
          <w:lang w:val="zh-CN" w:eastAsia="zh-CN" w:bidi="zh-CN"/>
        </w:rPr>
        <w:t>“情</w:t>
      </w:r>
      <w:r>
        <w:rPr>
          <w:color w:val="000000"/>
          <w:spacing w:val="0"/>
          <w:w w:val="100"/>
          <w:position w:val="0"/>
        </w:rPr>
        <w:t>势变更</w:t>
      </w:r>
      <w:r>
        <w:rPr>
          <w:color w:val="000000"/>
          <w:spacing w:val="0"/>
          <w:w w:val="100"/>
          <w:position w:val="0"/>
          <w:lang w:val="zh-CN" w:eastAsia="zh-CN" w:bidi="zh-CN"/>
        </w:rPr>
        <w:t xml:space="preserve">”的规 </w:t>
      </w:r>
      <w:r>
        <w:rPr>
          <w:color w:val="000000"/>
          <w:spacing w:val="0"/>
          <w:w w:val="100"/>
          <w:position w:val="0"/>
        </w:rPr>
        <w:t>格认定上都应比真正的情势变更原则要宽松，在效果上也应更进一步有利于义务人，因为 这毕竟还没有</w:t>
      </w:r>
      <w:r>
        <w:rPr>
          <w:color w:val="000000"/>
          <w:spacing w:val="0"/>
          <w:w w:val="100"/>
          <w:position w:val="0"/>
          <w:lang w:val="zh-CN" w:eastAsia="zh-CN" w:bidi="zh-CN"/>
        </w:rPr>
        <w:t>“抵达”生效</w:t>
      </w:r>
      <w:r>
        <w:rPr>
          <w:color w:val="000000"/>
          <w:spacing w:val="0"/>
          <w:w w:val="100"/>
          <w:position w:val="0"/>
        </w:rPr>
        <w:t>的“最终合同</w:t>
      </w:r>
      <w:r>
        <w:rPr>
          <w:color w:val="000000"/>
          <w:spacing w:val="0"/>
          <w:w w:val="100"/>
          <w:position w:val="0"/>
          <w:lang w:val="zh-CN" w:eastAsia="zh-CN" w:bidi="zh-CN"/>
        </w:rPr>
        <w:t>”的</w:t>
      </w:r>
      <w:r>
        <w:rPr>
          <w:color w:val="000000"/>
          <w:spacing w:val="0"/>
          <w:w w:val="100"/>
          <w:position w:val="0"/>
        </w:rPr>
        <w:t>阶段。</w:t>
      </w:r>
    </w:p>
    <w:p w14:paraId="686D7CF1">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批准设置在主观上对当事人心理造成的影响可以归结为一个对</w:t>
      </w:r>
      <w:r>
        <w:rPr>
          <w:color w:val="000000"/>
          <w:spacing w:val="0"/>
          <w:w w:val="100"/>
          <w:position w:val="0"/>
          <w:lang w:val="zh-CN" w:eastAsia="zh-CN" w:bidi="zh-CN"/>
        </w:rPr>
        <w:t>“守</w:t>
      </w:r>
      <w:r>
        <w:rPr>
          <w:color w:val="000000"/>
          <w:spacing w:val="0"/>
          <w:w w:val="100"/>
          <w:position w:val="0"/>
        </w:rPr>
        <w:t>约方”的质疑:你在 进入这个有待批准的合同时是否也意味着承担了某种风险？这道疑问可能会提高对</w:t>
      </w:r>
      <w:r>
        <w:rPr>
          <w:color w:val="000000"/>
          <w:spacing w:val="0"/>
          <w:w w:val="100"/>
          <w:position w:val="0"/>
          <w:lang w:val="zh-CN" w:eastAsia="zh-CN" w:bidi="zh-CN"/>
        </w:rPr>
        <w:t xml:space="preserve">“守约 </w:t>
      </w:r>
      <w:r>
        <w:rPr>
          <w:color w:val="000000"/>
          <w:spacing w:val="0"/>
          <w:w w:val="100"/>
          <w:position w:val="0"/>
        </w:rPr>
        <w:t>方</w:t>
      </w:r>
      <w:r>
        <w:rPr>
          <w:color w:val="000000"/>
          <w:spacing w:val="0"/>
          <w:w w:val="100"/>
          <w:position w:val="0"/>
          <w:lang w:val="zh-CN" w:eastAsia="zh-CN" w:bidi="zh-CN"/>
        </w:rPr>
        <w:t>”自担</w:t>
      </w:r>
      <w:r>
        <w:rPr>
          <w:color w:val="000000"/>
          <w:spacing w:val="0"/>
          <w:w w:val="100"/>
          <w:position w:val="0"/>
        </w:rPr>
        <w:t>风险或先期分散风险的期待，在反面也就降低了对</w:t>
      </w:r>
      <w:r>
        <w:rPr>
          <w:color w:val="000000"/>
          <w:spacing w:val="0"/>
          <w:w w:val="100"/>
          <w:position w:val="0"/>
          <w:lang w:val="zh-CN" w:eastAsia="zh-CN" w:bidi="zh-CN"/>
        </w:rPr>
        <w:t>“违约</w:t>
      </w:r>
      <w:r>
        <w:rPr>
          <w:color w:val="000000"/>
          <w:spacing w:val="0"/>
          <w:w w:val="100"/>
          <w:position w:val="0"/>
        </w:rPr>
        <w:t>方”的要求。二审判决虽 一方面谴责出让方“违反诚实信用</w:t>
      </w:r>
      <w:r>
        <w:rPr>
          <w:color w:val="000000"/>
          <w:spacing w:val="0"/>
          <w:w w:val="100"/>
          <w:position w:val="0"/>
          <w:lang w:val="zh-CN" w:eastAsia="zh-CN" w:bidi="zh-CN"/>
        </w:rPr>
        <w:t>”，另</w:t>
      </w:r>
      <w:r>
        <w:rPr>
          <w:color w:val="000000"/>
          <w:spacing w:val="0"/>
          <w:w w:val="100"/>
          <w:position w:val="0"/>
        </w:rPr>
        <w:t>一方面却又维护了其</w:t>
      </w:r>
      <w:r>
        <w:rPr>
          <w:rFonts w:ascii="Times New Roman" w:hAnsi="Times New Roman" w:eastAsia="Times New Roman" w:cs="Times New Roman"/>
          <w:color w:val="000000"/>
          <w:spacing w:val="0"/>
          <w:w w:val="100"/>
          <w:position w:val="0"/>
          <w:sz w:val="19"/>
          <w:szCs w:val="19"/>
        </w:rPr>
        <w:t>90%</w:t>
      </w:r>
      <w:r>
        <w:rPr>
          <w:color w:val="000000"/>
          <w:spacing w:val="0"/>
          <w:w w:val="100"/>
          <w:position w:val="0"/>
        </w:rPr>
        <w:t>的增值收益，这种风险分 配也是潜台词之一。</w:t>
      </w:r>
    </w:p>
    <w:p w14:paraId="30BFA789">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2A77BFBF">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相对于前述抽象规则的纠结烦琐，裁判立场的壇变似乎就要</w:t>
      </w:r>
      <w:r>
        <w:rPr>
          <w:color w:val="000000"/>
          <w:spacing w:val="0"/>
          <w:w w:val="100"/>
          <w:position w:val="0"/>
          <w:lang w:val="zh-CN" w:eastAsia="zh-CN" w:bidi="zh-CN"/>
        </w:rPr>
        <w:t>“简易”很</w:t>
      </w:r>
      <w:r>
        <w:rPr>
          <w:color w:val="000000"/>
          <w:spacing w:val="0"/>
          <w:w w:val="100"/>
          <w:position w:val="0"/>
        </w:rPr>
        <w:t>多。在很长一段 时期里，法院认为合同既“未生效</w:t>
      </w:r>
      <w:r>
        <w:rPr>
          <w:color w:val="000000"/>
          <w:spacing w:val="0"/>
          <w:w w:val="100"/>
          <w:position w:val="0"/>
          <w:lang w:val="zh-CN" w:eastAsia="zh-CN" w:bidi="zh-CN"/>
        </w:rPr>
        <w:t>”［最</w:t>
      </w:r>
      <w:r>
        <w:rPr>
          <w:color w:val="000000"/>
          <w:spacing w:val="0"/>
          <w:w w:val="100"/>
          <w:position w:val="0"/>
        </w:rPr>
        <w:t>高人民法院《关于适用〈中华人民共和国合同法〉若干问题的 解释(一)》第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条，法释(</w:t>
      </w:r>
      <w:r>
        <w:rPr>
          <w:rFonts w:ascii="Times New Roman" w:hAnsi="Times New Roman" w:eastAsia="Times New Roman" w:cs="Times New Roman"/>
          <w:color w:val="000000"/>
          <w:spacing w:val="0"/>
          <w:w w:val="100"/>
          <w:position w:val="0"/>
          <w:sz w:val="19"/>
          <w:szCs w:val="19"/>
        </w:rPr>
        <w:t>1999) 19</w:t>
      </w:r>
      <w:r>
        <w:rPr>
          <w:color w:val="000000"/>
          <w:spacing w:val="0"/>
          <w:w w:val="100"/>
          <w:position w:val="0"/>
        </w:rPr>
        <w:t>号］，也就没有可供执行的报批义务,往往径直判决原告败诉。 但在很多个案中,这一方案的确经不起诚实信用及公平原则的检验。</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期《最高 人民法院公报》推出的</w:t>
      </w:r>
      <w:r>
        <w:rPr>
          <w:color w:val="000000"/>
          <w:spacing w:val="0"/>
          <w:w w:val="100"/>
          <w:position w:val="0"/>
          <w:lang w:val="zh-CN" w:eastAsia="zh-CN" w:bidi="zh-CN"/>
        </w:rPr>
        <w:t>“再</w:t>
      </w:r>
      <w:r>
        <w:rPr>
          <w:color w:val="000000"/>
          <w:spacing w:val="0"/>
          <w:w w:val="100"/>
          <w:position w:val="0"/>
        </w:rPr>
        <w:t>审申请人广东省中大中鑫投资策划有限公司股权转让纠纷一案 民事再审裁定书”可以视为裁判立场的一次转折，在该案再审裁定中，最高人民法院区分了 未生效与无效，认为未经批准不影响报批义务的效力，且报批义务人拒绝报批的行为有违 诚实信用原则,最后要求其履行报批义务,并承担违约赔偿之责。结合上文评价框架，一定 会重点考虑</w:t>
      </w:r>
      <w:r>
        <w:rPr>
          <w:color w:val="000000"/>
          <w:spacing w:val="0"/>
          <w:w w:val="100"/>
          <w:position w:val="0"/>
          <w:lang w:val="zh-CN" w:eastAsia="zh-CN" w:bidi="zh-CN"/>
        </w:rPr>
        <w:t>“中鑫</w:t>
      </w:r>
      <w:r>
        <w:rPr>
          <w:color w:val="000000"/>
          <w:spacing w:val="0"/>
          <w:w w:val="100"/>
          <w:position w:val="0"/>
        </w:rPr>
        <w:t>公司案</w:t>
      </w:r>
      <w:r>
        <w:rPr>
          <w:color w:val="000000"/>
          <w:spacing w:val="0"/>
          <w:w w:val="100"/>
          <w:position w:val="0"/>
          <w:lang w:val="zh-CN" w:eastAsia="zh-CN" w:bidi="zh-CN"/>
        </w:rPr>
        <w:t>”外</w:t>
      </w:r>
      <w:r>
        <w:rPr>
          <w:color w:val="000000"/>
          <w:spacing w:val="0"/>
          <w:w w:val="100"/>
          <w:position w:val="0"/>
        </w:rPr>
        <w:t xml:space="preserve">商投资企业股权受让方为转让方垫付目标股权拍卖价款的约 定、受让方实际履行了该垫付义务、其他合作出资方及目标企业均确认可获批准且愿配合 报批等特殊情事。该案预示了人民法院就外商投资企业股权转让审批控制有放松的态势。 </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期《最高人民法院公报》推出的</w:t>
      </w:r>
      <w:r>
        <w:rPr>
          <w:color w:val="000000"/>
          <w:spacing w:val="0"/>
          <w:w w:val="100"/>
          <w:position w:val="0"/>
          <w:lang w:val="zh-CN" w:eastAsia="zh-CN" w:bidi="zh-CN"/>
        </w:rPr>
        <w:t>“陈允</w:t>
      </w:r>
      <w:r>
        <w:rPr>
          <w:color w:val="000000"/>
          <w:spacing w:val="0"/>
          <w:w w:val="100"/>
          <w:position w:val="0"/>
        </w:rPr>
        <w:t>斗与宽甸满族自治县虎山镇老边墙村民委 员会采矿权转让合同纠纷案</w:t>
      </w:r>
      <w:r>
        <w:rPr>
          <w:color w:val="000000"/>
          <w:spacing w:val="0"/>
          <w:w w:val="100"/>
          <w:position w:val="0"/>
          <w:lang w:val="zh-CN" w:eastAsia="zh-CN" w:bidi="zh-CN"/>
        </w:rPr>
        <w:t>”则预</w:t>
      </w:r>
      <w:r>
        <w:rPr>
          <w:color w:val="000000"/>
          <w:spacing w:val="0"/>
          <w:w w:val="100"/>
          <w:position w:val="0"/>
        </w:rPr>
        <w:t>示了就矿业权审批控制放松的态势。该案之后，尽管《探 矿权采矿权转让管理办法》第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款审批生效的规定未动,最高人民法院《关于审理 矿业权纠纷案件适用法律若干问题的解释》［法释</w:t>
      </w:r>
      <w:r>
        <w:rPr>
          <w:rFonts w:ascii="Times New Roman" w:hAnsi="Times New Roman" w:eastAsia="Times New Roman" w:cs="Times New Roman"/>
          <w:color w:val="000000"/>
          <w:spacing w:val="0"/>
          <w:w w:val="100"/>
          <w:position w:val="0"/>
          <w:sz w:val="19"/>
          <w:szCs w:val="19"/>
        </w:rPr>
        <w:t>(2017)12</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条却已倾向于将审批 系于履行。但是这些</w:t>
      </w:r>
      <w:r>
        <w:rPr>
          <w:color w:val="000000"/>
          <w:spacing w:val="0"/>
          <w:w w:val="100"/>
          <w:position w:val="0"/>
          <w:lang w:val="zh-CN" w:eastAsia="zh-CN" w:bidi="zh-CN"/>
        </w:rPr>
        <w:t>“简易”的个</w:t>
      </w:r>
      <w:r>
        <w:rPr>
          <w:color w:val="000000"/>
          <w:spacing w:val="0"/>
          <w:w w:val="100"/>
          <w:position w:val="0"/>
        </w:rPr>
        <w:t>案裁判并没有解决所有难题，本案所涉国资收购即是。例 如，广受关注的所谓史上最大股权收购案——</w:t>
      </w:r>
      <w:r>
        <w:rPr>
          <w:color w:val="000000"/>
          <w:spacing w:val="0"/>
          <w:w w:val="100"/>
          <w:position w:val="0"/>
          <w:lang w:val="zh-CN" w:eastAsia="zh-CN" w:bidi="zh-CN"/>
        </w:rPr>
        <w:t>“陈</w:t>
      </w:r>
      <w:r>
        <w:rPr>
          <w:color w:val="000000"/>
          <w:spacing w:val="0"/>
          <w:w w:val="100"/>
          <w:position w:val="0"/>
        </w:rPr>
        <w:t>发树与云南红塔集团有限公司股权转让 纠纷”(以下简称“红塔集团案” )</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年及</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年相继经最高人民法院二审及再审,涉案 标的云南白药股份受让方主张的缔约过失赔偿没有被支持。受让方从出让方云南红塔集 团处拿到协议文本</w:t>
      </w:r>
      <w:r>
        <w:rPr>
          <w:color w:val="000000"/>
          <w:spacing w:val="0"/>
          <w:w w:val="100"/>
          <w:position w:val="0"/>
          <w:lang w:val="zh-CN" w:eastAsia="zh-CN" w:bidi="zh-CN"/>
        </w:rPr>
        <w:t>，“十</w:t>
      </w:r>
      <w:r>
        <w:rPr>
          <w:color w:val="000000"/>
          <w:spacing w:val="0"/>
          <w:w w:val="100"/>
          <w:position w:val="0"/>
        </w:rPr>
        <w:t>分钟</w:t>
      </w:r>
      <w:r>
        <w:rPr>
          <w:color w:val="000000"/>
          <w:spacing w:val="0"/>
          <w:w w:val="100"/>
          <w:position w:val="0"/>
          <w:lang w:val="zh-CN" w:eastAsia="zh-CN" w:bidi="zh-CN"/>
        </w:rPr>
        <w:t>”就决</w:t>
      </w:r>
      <w:r>
        <w:rPr>
          <w:color w:val="000000"/>
          <w:spacing w:val="0"/>
          <w:w w:val="100"/>
          <w:position w:val="0"/>
        </w:rPr>
        <w:t>定签约,并一次性付清了逾</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亿元对价,其后股价迭涨 已达</w:t>
      </w:r>
      <w:r>
        <w:rPr>
          <w:rFonts w:ascii="Times New Roman" w:hAnsi="Times New Roman" w:eastAsia="Times New Roman" w:cs="Times New Roman"/>
          <w:color w:val="000000"/>
          <w:spacing w:val="0"/>
          <w:w w:val="100"/>
          <w:position w:val="0"/>
          <w:sz w:val="19"/>
          <w:szCs w:val="19"/>
          <w:lang w:val="en-US" w:eastAsia="en-US" w:bidi="en-US"/>
        </w:rPr>
        <w:t>64.6</w:t>
      </w:r>
      <w:r>
        <w:rPr>
          <w:color w:val="000000"/>
          <w:spacing w:val="0"/>
          <w:w w:val="100"/>
          <w:position w:val="0"/>
        </w:rPr>
        <w:t>亿元。但因中国烟草集团不同意批准此次转让，受让方未能取得股权。云南省高 级人民法院及最高人民法院三次裁判背后的评价，似也有借国资转让批准程序贬抑受让方 率尔</w:t>
      </w:r>
      <w:r>
        <w:rPr>
          <w:color w:val="000000"/>
          <w:spacing w:val="0"/>
          <w:w w:val="100"/>
          <w:position w:val="0"/>
          <w:lang w:val="zh-CN" w:eastAsia="zh-CN" w:bidi="zh-CN"/>
        </w:rPr>
        <w:t>“信赖”之</w:t>
      </w:r>
      <w:r>
        <w:rPr>
          <w:color w:val="000000"/>
          <w:spacing w:val="0"/>
          <w:w w:val="100"/>
          <w:position w:val="0"/>
        </w:rPr>
        <w:t>意。本案作为公报案例推出，至少在政策考量上，呈现了与上述“红塔集团 案</w:t>
      </w:r>
      <w:r>
        <w:rPr>
          <w:color w:val="000000"/>
          <w:spacing w:val="0"/>
          <w:w w:val="100"/>
          <w:position w:val="0"/>
          <w:lang w:val="zh-CN" w:eastAsia="zh-CN" w:bidi="zh-CN"/>
        </w:rPr>
        <w:t>”略有</w:t>
      </w:r>
      <w:r>
        <w:rPr>
          <w:color w:val="000000"/>
          <w:spacing w:val="0"/>
          <w:w w:val="100"/>
          <w:position w:val="0"/>
        </w:rPr>
        <w:t>不同的走向。</w:t>
      </w:r>
    </w:p>
    <w:p w14:paraId="188DF33F">
      <w:pPr>
        <w:pStyle w:val="17"/>
        <w:keepNext w:val="0"/>
        <w:keepLines w:val="0"/>
        <w:widowControl w:val="0"/>
        <w:shd w:val="clear" w:color="auto" w:fill="auto"/>
        <w:bidi w:val="0"/>
        <w:spacing w:before="0" w:after="160" w:line="339"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267E6E3C">
      <w:pPr>
        <w:pStyle w:val="17"/>
        <w:keepNext w:val="0"/>
        <w:keepLines w:val="0"/>
        <w:widowControl w:val="0"/>
        <w:shd w:val="clear" w:color="auto" w:fill="auto"/>
        <w:bidi w:val="0"/>
        <w:spacing w:before="0" w:after="360" w:line="339" w:lineRule="exact"/>
        <w:ind w:left="0" w:right="0"/>
        <w:jc w:val="both"/>
      </w:pPr>
      <w:r>
        <w:rPr>
          <w:color w:val="000000"/>
          <w:spacing w:val="0"/>
          <w:w w:val="100"/>
          <w:position w:val="0"/>
        </w:rPr>
        <w:t>本案与前引</w:t>
      </w:r>
      <w:r>
        <w:rPr>
          <w:color w:val="000000"/>
          <w:spacing w:val="0"/>
          <w:w w:val="100"/>
          <w:position w:val="0"/>
          <w:lang w:val="zh-CN" w:eastAsia="zh-CN" w:bidi="zh-CN"/>
        </w:rPr>
        <w:t>“红塔</w:t>
      </w:r>
      <w:r>
        <w:rPr>
          <w:color w:val="000000"/>
          <w:spacing w:val="0"/>
          <w:w w:val="100"/>
          <w:position w:val="0"/>
        </w:rPr>
        <w:t>集团案</w:t>
      </w:r>
      <w:r>
        <w:rPr>
          <w:color w:val="000000"/>
          <w:spacing w:val="0"/>
          <w:w w:val="100"/>
          <w:position w:val="0"/>
          <w:lang w:val="zh-CN" w:eastAsia="zh-CN" w:bidi="zh-CN"/>
        </w:rPr>
        <w:t>”都</w:t>
      </w:r>
      <w:r>
        <w:rPr>
          <w:color w:val="000000"/>
          <w:spacing w:val="0"/>
          <w:w w:val="100"/>
          <w:position w:val="0"/>
        </w:rPr>
        <w:t>是国有股份转让合同成立后批准生效前发现股份价值大 涨，实际上也不可能被批准按原价转让。本案受让人仅支付了保证金</w:t>
      </w:r>
      <w:r>
        <w:rPr>
          <w:color w:val="000000"/>
          <w:spacing w:val="0"/>
          <w:w w:val="100"/>
          <w:position w:val="0"/>
          <w:lang w:val="zh-CN" w:eastAsia="zh-CN" w:bidi="zh-CN"/>
        </w:rPr>
        <w:t>，“红</w:t>
      </w:r>
      <w:r>
        <w:rPr>
          <w:color w:val="000000"/>
          <w:spacing w:val="0"/>
          <w:w w:val="100"/>
          <w:position w:val="0"/>
        </w:rPr>
        <w:t>塔集团案</w:t>
      </w:r>
      <w:r>
        <w:rPr>
          <w:color w:val="000000"/>
          <w:spacing w:val="0"/>
          <w:w w:val="100"/>
          <w:position w:val="0"/>
          <w:lang w:val="zh-CN" w:eastAsia="zh-CN" w:bidi="zh-CN"/>
        </w:rPr>
        <w:t xml:space="preserve">”中的 </w:t>
      </w:r>
      <w:r>
        <w:rPr>
          <w:color w:val="000000"/>
          <w:spacing w:val="0"/>
          <w:w w:val="100"/>
          <w:position w:val="0"/>
        </w:rPr>
        <w:t xml:space="preserve">受让人则已迅即支付全款。但是本案被法院支持了 </w:t>
      </w:r>
      <w:r>
        <w:rPr>
          <w:rFonts w:ascii="Times New Roman" w:hAnsi="Times New Roman" w:eastAsia="Times New Roman" w:cs="Times New Roman"/>
          <w:color w:val="000000"/>
          <w:spacing w:val="0"/>
          <w:w w:val="100"/>
          <w:position w:val="0"/>
          <w:sz w:val="19"/>
          <w:szCs w:val="19"/>
          <w:lang w:val="en-US" w:eastAsia="en-US" w:bidi="en-US"/>
        </w:rPr>
        <w:t>io%</w:t>
      </w:r>
      <w:r>
        <w:rPr>
          <w:color w:val="000000"/>
          <w:spacing w:val="0"/>
          <w:w w:val="100"/>
          <w:position w:val="0"/>
        </w:rPr>
        <w:t>的期待利益诉求</w:t>
      </w:r>
      <w:r>
        <w:rPr>
          <w:color w:val="000000"/>
          <w:spacing w:val="0"/>
          <w:w w:val="100"/>
          <w:position w:val="0"/>
          <w:lang w:val="zh-CN" w:eastAsia="zh-CN" w:bidi="zh-CN"/>
        </w:rPr>
        <w:t>，“红</w:t>
      </w:r>
      <w:r>
        <w:rPr>
          <w:color w:val="000000"/>
          <w:spacing w:val="0"/>
          <w:w w:val="100"/>
          <w:position w:val="0"/>
        </w:rPr>
        <w:t>塔集团案”在 期待利益上无收获，这本身说明了最高人民法院在时隔两年之后，更重视国资转让中的受 让人信赖保护。当然，两个典型案例还可以挖掘其他不同点，如本案判决书详细交代了挂 牌交易过程，而</w:t>
      </w:r>
      <w:r>
        <w:rPr>
          <w:color w:val="000000"/>
          <w:spacing w:val="0"/>
          <w:w w:val="100"/>
          <w:position w:val="0"/>
          <w:lang w:val="zh-CN" w:eastAsia="zh-CN" w:bidi="zh-CN"/>
        </w:rPr>
        <w:t>“红塔</w:t>
      </w:r>
      <w:r>
        <w:rPr>
          <w:color w:val="000000"/>
          <w:spacing w:val="0"/>
          <w:w w:val="100"/>
          <w:position w:val="0"/>
        </w:rPr>
        <w:t>集团案</w:t>
      </w:r>
      <w:r>
        <w:rPr>
          <w:color w:val="000000"/>
          <w:spacing w:val="0"/>
          <w:w w:val="100"/>
          <w:position w:val="0"/>
          <w:lang w:val="zh-CN" w:eastAsia="zh-CN" w:bidi="zh-CN"/>
        </w:rPr>
        <w:t>”判</w:t>
      </w:r>
      <w:r>
        <w:rPr>
          <w:color w:val="000000"/>
          <w:spacing w:val="0"/>
          <w:w w:val="100"/>
          <w:position w:val="0"/>
        </w:rPr>
        <w:t>决书仅提及</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日缔约内容;等等。研判司法实 践中发展的不同态势，分析该公报案例将对国资转让带来的影响究竟如何，值得继续关注。 另外，《民法典》第</w:t>
      </w:r>
      <w:r>
        <w:rPr>
          <w:rFonts w:ascii="Times New Roman" w:hAnsi="Times New Roman" w:eastAsia="Times New Roman" w:cs="Times New Roman"/>
          <w:color w:val="000000"/>
          <w:spacing w:val="0"/>
          <w:w w:val="100"/>
          <w:position w:val="0"/>
          <w:sz w:val="19"/>
          <w:szCs w:val="19"/>
        </w:rPr>
        <w:t>502</w:t>
      </w:r>
      <w:r>
        <w:rPr>
          <w:color w:val="000000"/>
          <w:spacing w:val="0"/>
          <w:w w:val="100"/>
          <w:position w:val="0"/>
        </w:rPr>
        <w:t>条就未履行报批义务的责任问题专门作了规定。艮卩“应当办理申请 批准等手续的当事人未履行义务的，对方可以请求其承担违反该义务的责任”。该规定是 否会对报批义务违反的损害赔偿规则构成根本影响，还有待今后实践中进一步观察。</w:t>
      </w:r>
    </w:p>
    <w:p w14:paraId="718B8F6D">
      <w:pPr>
        <w:pStyle w:val="11"/>
        <w:keepNext w:val="0"/>
        <w:keepLines w:val="0"/>
        <w:widowControl w:val="0"/>
        <w:shd w:val="clear" w:color="auto" w:fill="auto"/>
        <w:bidi w:val="0"/>
        <w:spacing w:before="0" w:after="60" w:line="339" w:lineRule="exact"/>
        <w:ind w:left="0" w:right="0" w:firstLine="0"/>
        <w:jc w:val="both"/>
      </w:pPr>
      <w:r>
        <w:rPr>
          <w:i/>
          <w:iCs/>
          <w:color w:val="000000"/>
          <w:spacing w:val="0"/>
          <w:w w:val="100"/>
          <w:position w:val="0"/>
        </w:rPr>
        <w:t>回</w:t>
      </w:r>
      <w:r>
        <w:rPr>
          <w:color w:val="000000"/>
          <w:spacing w:val="0"/>
          <w:w w:val="100"/>
          <w:position w:val="0"/>
        </w:rPr>
        <w:t>参考文献</w:t>
      </w:r>
    </w:p>
    <w:p w14:paraId="45D6B9F7">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汤文平:《批准生效合同报批义务违反、请求权方法与评价法学》，载《法学研究》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汤文平:《德国法上的批准生效合同研究》，载《清华法学》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67D820C4">
      <w:pPr>
        <w:pStyle w:val="17"/>
        <w:keepNext w:val="0"/>
        <w:keepLines w:val="0"/>
        <w:widowControl w:val="0"/>
        <w:shd w:val="clear" w:color="auto" w:fill="auto"/>
        <w:bidi w:val="0"/>
        <w:spacing w:before="0" w:after="0" w:line="314" w:lineRule="exact"/>
        <w:ind w:left="200" w:right="0" w:hanging="200"/>
        <w:jc w:val="both"/>
      </w:pPr>
      <w:r>
        <w:rPr>
          <w:color w:val="000000"/>
          <w:spacing w:val="0"/>
          <w:w w:val="100"/>
          <w:position w:val="0"/>
        </w:rPr>
        <w:t>汤文平:《批准（登记）生效合同</w:t>
      </w:r>
      <w:r>
        <w:rPr>
          <w:color w:val="000000"/>
          <w:spacing w:val="0"/>
          <w:w w:val="100"/>
          <w:position w:val="0"/>
          <w:lang w:val="zh-CN" w:eastAsia="zh-CN" w:bidi="zh-CN"/>
        </w:rPr>
        <w:t>、“申</w:t>
      </w:r>
      <w:r>
        <w:rPr>
          <w:color w:val="000000"/>
          <w:spacing w:val="0"/>
          <w:w w:val="100"/>
          <w:position w:val="0"/>
        </w:rPr>
        <w:t>请义务</w:t>
      </w:r>
      <w:r>
        <w:rPr>
          <w:color w:val="000000"/>
          <w:spacing w:val="0"/>
          <w:w w:val="100"/>
          <w:position w:val="0"/>
          <w:lang w:val="zh-CN" w:eastAsia="zh-CN" w:bidi="zh-CN"/>
        </w:rPr>
        <w:t>”与“</w:t>
      </w:r>
      <w:r>
        <w:rPr>
          <w:color w:val="000000"/>
          <w:spacing w:val="0"/>
          <w:w w:val="100"/>
          <w:position w:val="0"/>
        </w:rPr>
        <w:t>缔约过失”：〈合同法解释（二）〉第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条评注》，载《中外 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93AE0AF">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蔡立东:《行政审批与权利转让合同的效力》，载《中国法学》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7F9B755">
      <w:pPr>
        <w:pStyle w:val="17"/>
        <w:keepNext w:val="0"/>
        <w:keepLines w:val="0"/>
        <w:widowControl w:val="0"/>
        <w:shd w:val="clear" w:color="auto" w:fill="auto"/>
        <w:bidi w:val="0"/>
        <w:spacing w:before="0" w:after="160" w:line="314" w:lineRule="exact"/>
        <w:ind w:left="0" w:right="0" w:firstLine="0"/>
        <w:jc w:val="both"/>
        <w:sectPr>
          <w:headerReference r:id="rId358" w:type="default"/>
          <w:headerReference r:id="rId359" w:type="even"/>
          <w:footnotePr>
            <w:numFmt w:val="chicago"/>
          </w:footnotePr>
          <w:pgSz w:w="10099" w:h="14782"/>
          <w:pgMar w:top="1251" w:right="995" w:bottom="1157" w:left="1097" w:header="0" w:footer="3" w:gutter="0"/>
          <w:pgNumType w:start="288"/>
          <w:cols w:space="720" w:num="1"/>
          <w:rtlGutter w:val="0"/>
          <w:docGrid w:linePitch="360" w:charSpace="0"/>
        </w:sectPr>
      </w:pPr>
      <w:r>
        <w:rPr>
          <w:color w:val="000000"/>
          <w:spacing w:val="0"/>
          <w:w w:val="100"/>
          <w:position w:val="0"/>
        </w:rPr>
        <w:t>吴光荣:《行政审批对合同效力的影响：理论与实践》，载《法学家》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1FC2F8F">
      <w:pPr>
        <w:widowControl w:val="0"/>
        <w:spacing w:line="77" w:lineRule="exact"/>
        <w:rPr>
          <w:sz w:val="6"/>
          <w:szCs w:val="6"/>
        </w:rPr>
      </w:pPr>
    </w:p>
    <w:p w14:paraId="616CB95C">
      <w:pPr>
        <w:widowControl w:val="0"/>
        <w:spacing w:line="1" w:lineRule="exact"/>
        <w:sectPr>
          <w:headerReference r:id="rId360" w:type="default"/>
          <w:headerReference r:id="rId361" w:type="even"/>
          <w:footnotePr>
            <w:numFmt w:val="chicago"/>
          </w:footnotePr>
          <w:pgSz w:w="10099" w:h="14782"/>
          <w:pgMar w:top="1249" w:right="1075" w:bottom="1120" w:left="1021" w:header="0" w:footer="3" w:gutter="0"/>
          <w:pgNumType w:start="307"/>
          <w:cols w:space="720" w:num="1"/>
          <w:rtlGutter w:val="0"/>
          <w:docGrid w:linePitch="360" w:charSpace="0"/>
        </w:sectPr>
      </w:pPr>
    </w:p>
    <w:p w14:paraId="1E9C9D99">
      <w:pPr>
        <w:widowControl w:val="0"/>
        <w:spacing w:line="1" w:lineRule="exact"/>
      </w:pPr>
      <w:r>
        <mc:AlternateContent>
          <mc:Choice Requires="wps">
            <w:drawing>
              <wp:anchor distT="0" distB="18415" distL="114300" distR="3260090" simplePos="0" relativeHeight="251660288" behindDoc="0" locked="0" layoutInCell="1" allowOverlap="1">
                <wp:simplePos x="0" y="0"/>
                <wp:positionH relativeFrom="page">
                  <wp:posOffset>716915</wp:posOffset>
                </wp:positionH>
                <wp:positionV relativeFrom="paragraph">
                  <wp:posOffset>12700</wp:posOffset>
                </wp:positionV>
                <wp:extent cx="449580" cy="304800"/>
                <wp:effectExtent l="0" t="0" r="0" b="0"/>
                <wp:wrapTopAndBottom/>
                <wp:docPr id="829" name="Shape 82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117C56DD">
                            <w:pPr>
                              <w:pStyle w:val="27"/>
                              <w:keepNext/>
                              <w:keepLines/>
                              <w:widowControl w:val="0"/>
                              <w:shd w:val="clear" w:color="auto" w:fill="auto"/>
                              <w:bidi w:val="0"/>
                              <w:spacing w:before="0" w:after="0" w:line="240" w:lineRule="auto"/>
                              <w:ind w:left="0" w:right="0" w:firstLine="0"/>
                              <w:jc w:val="left"/>
                            </w:pPr>
                            <w:bookmarkStart w:id="471" w:name="bookmark373"/>
                            <w:bookmarkStart w:id="472" w:name="bookmark374"/>
                            <w:bookmarkStart w:id="473" w:name="bookmark375"/>
                            <w:r>
                              <w:rPr>
                                <w:rFonts w:ascii="Times New Roman" w:hAnsi="Times New Roman" w:eastAsia="Times New Roman" w:cs="Times New Roman"/>
                                <w:color w:val="000000"/>
                                <w:spacing w:val="0"/>
                                <w:w w:val="100"/>
                                <w:position w:val="0"/>
                              </w:rPr>
                              <w:t>059</w:t>
                            </w:r>
                            <w:bookmarkEnd w:id="471"/>
                            <w:bookmarkEnd w:id="472"/>
                            <w:bookmarkEnd w:id="473"/>
                          </w:p>
                        </w:txbxContent>
                      </wps:txbx>
                      <wps:bodyPr wrap="none" lIns="0" tIns="0" rIns="0" bIns="0">
                        <a:noAutofit/>
                      </wps:bodyPr>
                    </wps:wsp>
                  </a:graphicData>
                </a:graphic>
              </wp:anchor>
            </w:drawing>
          </mc:Choice>
          <mc:Fallback>
            <w:pict>
              <v:shape id="Shape 829" o:spid="_x0000_s1026" o:spt="202" type="#_x0000_t202" style="position:absolute;left:0pt;margin-left:56.45pt;margin-top:1pt;height:24pt;width:35.4pt;mso-position-horizontal-relative:page;mso-wrap-distance-bottom:1.45pt;mso-wrap-distance-top:0pt;mso-wrap-style:none;z-index:251660288;mso-width-relative:page;mso-height-relative:page;" filled="f" stroked="f" coordsize="21600,21600" o:gfxdata="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KwDtQAAAAI&#10;AQAADwAAAAAAAAABACAAAAAiAAAAZHJzL2Rvd25yZXYueG1sUEsBAhQAFAAAAAgAh07iQJBRpAyu&#10;AQAAcwMAAA4AAAAAAAAAAQAgAAAAIwEAAGRycy9lMm9Eb2MueG1sUEsFBgAAAAAGAAYAWQEAAEMF&#10;AAAAAA==&#10;">
                <v:fill on="f" focussize="0,0"/>
                <v:stroke on="f"/>
                <v:imagedata o:title=""/>
                <o:lock v:ext="edit" aspectratio="f"/>
                <v:textbox inset="0mm,0mm,0mm,0mm">
                  <w:txbxContent>
                    <w:p w14:paraId="117C56DD">
                      <w:pPr>
                        <w:pStyle w:val="27"/>
                        <w:keepNext/>
                        <w:keepLines/>
                        <w:widowControl w:val="0"/>
                        <w:shd w:val="clear" w:color="auto" w:fill="auto"/>
                        <w:bidi w:val="0"/>
                        <w:spacing w:before="0" w:after="0" w:line="240" w:lineRule="auto"/>
                        <w:ind w:left="0" w:right="0" w:firstLine="0"/>
                        <w:jc w:val="left"/>
                      </w:pPr>
                      <w:bookmarkStart w:id="471" w:name="bookmark373"/>
                      <w:bookmarkStart w:id="472" w:name="bookmark374"/>
                      <w:bookmarkStart w:id="473" w:name="bookmark375"/>
                      <w:r>
                        <w:rPr>
                          <w:rFonts w:ascii="Times New Roman" w:hAnsi="Times New Roman" w:eastAsia="Times New Roman" w:cs="Times New Roman"/>
                          <w:color w:val="000000"/>
                          <w:spacing w:val="0"/>
                          <w:w w:val="100"/>
                          <w:position w:val="0"/>
                        </w:rPr>
                        <w:t>059</w:t>
                      </w:r>
                      <w:bookmarkEnd w:id="471"/>
                      <w:bookmarkEnd w:id="472"/>
                      <w:bookmarkEnd w:id="473"/>
                    </w:p>
                  </w:txbxContent>
                </v:textbox>
                <w10:wrap type="topAndBottom"/>
              </v:shape>
            </w:pict>
          </mc:Fallback>
        </mc:AlternateContent>
      </w:r>
      <w:r>
        <mc:AlternateContent>
          <mc:Choice Requires="wps">
            <w:drawing>
              <wp:anchor distT="83820" distB="0" distL="696595" distR="114300" simplePos="0" relativeHeight="251660288" behindDoc="0" locked="0" layoutInCell="1" allowOverlap="1">
                <wp:simplePos x="0" y="0"/>
                <wp:positionH relativeFrom="page">
                  <wp:posOffset>1299210</wp:posOffset>
                </wp:positionH>
                <wp:positionV relativeFrom="paragraph">
                  <wp:posOffset>96520</wp:posOffset>
                </wp:positionV>
                <wp:extent cx="3013075" cy="239395"/>
                <wp:effectExtent l="0" t="0" r="0" b="0"/>
                <wp:wrapTopAndBottom/>
                <wp:docPr id="831" name="Shape 831"/>
                <wp:cNvGraphicFramePr/>
                <a:graphic xmlns:a="http://schemas.openxmlformats.org/drawingml/2006/main">
                  <a:graphicData uri="http://schemas.microsoft.com/office/word/2010/wordprocessingShape">
                    <wps:wsp>
                      <wps:cNvSpPr txBox="1"/>
                      <wps:spPr>
                        <a:xfrm>
                          <a:off x="0" y="0"/>
                          <a:ext cx="3013075" cy="239395"/>
                        </a:xfrm>
                        <a:prstGeom prst="rect">
                          <a:avLst/>
                        </a:prstGeom>
                        <a:noFill/>
                      </wps:spPr>
                      <wps:txbx>
                        <w:txbxContent>
                          <w:p w14:paraId="73AE6505">
                            <w:pPr>
                              <w:pStyle w:val="15"/>
                              <w:keepNext/>
                              <w:keepLines/>
                              <w:widowControl w:val="0"/>
                              <w:shd w:val="clear" w:color="auto" w:fill="auto"/>
                              <w:bidi w:val="0"/>
                              <w:spacing w:before="0" w:after="0" w:line="240" w:lineRule="auto"/>
                              <w:ind w:left="0" w:right="0" w:firstLine="0"/>
                              <w:jc w:val="left"/>
                            </w:pPr>
                            <w:bookmarkStart w:id="474" w:name="bookmark378"/>
                            <w:bookmarkStart w:id="475" w:name="bookmark377"/>
                            <w:bookmarkStart w:id="476" w:name="bookmark376"/>
                            <w:r>
                              <w:rPr>
                                <w:color w:val="000000"/>
                                <w:spacing w:val="0"/>
                                <w:w w:val="100"/>
                                <w:position w:val="0"/>
                              </w:rPr>
                              <w:t>约定不明的多数人债务的推定规则</w:t>
                            </w:r>
                            <w:bookmarkEnd w:id="474"/>
                            <w:bookmarkEnd w:id="475"/>
                            <w:bookmarkEnd w:id="476"/>
                          </w:p>
                        </w:txbxContent>
                      </wps:txbx>
                      <wps:bodyPr wrap="none" lIns="0" tIns="0" rIns="0" bIns="0">
                        <a:noAutofit/>
                      </wps:bodyPr>
                    </wps:wsp>
                  </a:graphicData>
                </a:graphic>
              </wp:anchor>
            </w:drawing>
          </mc:Choice>
          <mc:Fallback>
            <w:pict>
              <v:shape id="Shape 831" o:spid="_x0000_s1026" o:spt="202" type="#_x0000_t202" style="position:absolute;left:0pt;margin-left:102.3pt;margin-top:7.6pt;height:18.85pt;width:237.25pt;mso-position-horizontal-relative:page;mso-wrap-distance-bottom:0pt;mso-wrap-distance-top:6.6pt;mso-wrap-style:none;z-index:251660288;mso-width-relative:page;mso-height-relative:page;" filled="f" stroked="f" coordsize="21600,21600" o:gfxdata="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nxpL7X&#10;AAAACQEAAA8AAAAAAAAAAQAgAAAAIgAAAGRycy9kb3ducmV2LnhtbFBLAQIUABQAAAAIAIdO4kDm&#10;Ri2frwEAAHQDAAAOAAAAAAAAAAEAIAAAACYBAABkcnMvZTJvRG9jLnhtbFBLBQYAAAAABgAGAFkB&#10;AABHBQAAAAA=&#10;">
                <v:fill on="f" focussize="0,0"/>
                <v:stroke on="f"/>
                <v:imagedata o:title=""/>
                <o:lock v:ext="edit" aspectratio="f"/>
                <v:textbox inset="0mm,0mm,0mm,0mm">
                  <w:txbxContent>
                    <w:p w14:paraId="73AE6505">
                      <w:pPr>
                        <w:pStyle w:val="15"/>
                        <w:keepNext/>
                        <w:keepLines/>
                        <w:widowControl w:val="0"/>
                        <w:shd w:val="clear" w:color="auto" w:fill="auto"/>
                        <w:bidi w:val="0"/>
                        <w:spacing w:before="0" w:after="0" w:line="240" w:lineRule="auto"/>
                        <w:ind w:left="0" w:right="0" w:firstLine="0"/>
                        <w:jc w:val="left"/>
                      </w:pPr>
                      <w:bookmarkStart w:id="474" w:name="bookmark378"/>
                      <w:bookmarkStart w:id="475" w:name="bookmark377"/>
                      <w:bookmarkStart w:id="476" w:name="bookmark376"/>
                      <w:r>
                        <w:rPr>
                          <w:color w:val="000000"/>
                          <w:spacing w:val="0"/>
                          <w:w w:val="100"/>
                          <w:position w:val="0"/>
                        </w:rPr>
                        <w:t>约定不明的多数人债务的推定规则</w:t>
                      </w:r>
                      <w:bookmarkEnd w:id="474"/>
                      <w:bookmarkEnd w:id="475"/>
                      <w:bookmarkEnd w:id="47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5090795</wp:posOffset>
            </wp:positionH>
            <wp:positionV relativeFrom="paragraph">
              <wp:posOffset>239395</wp:posOffset>
            </wp:positionV>
            <wp:extent cx="615950" cy="621665"/>
            <wp:effectExtent l="0" t="0" r="6350" b="635"/>
            <wp:wrapSquare wrapText="left"/>
            <wp:docPr id="833" name="Shape 833"/>
            <wp:cNvGraphicFramePr/>
            <a:graphic xmlns:a="http://schemas.openxmlformats.org/drawingml/2006/main">
              <a:graphicData uri="http://schemas.openxmlformats.org/drawingml/2006/picture">
                <pic:pic xmlns:pic="http://schemas.openxmlformats.org/drawingml/2006/picture">
                  <pic:nvPicPr>
                    <pic:cNvPr id="833" name="Shape 833"/>
                    <pic:cNvPicPr/>
                  </pic:nvPicPr>
                  <pic:blipFill>
                    <a:blip r:embed="rId667"/>
                    <a:stretch>
                      <a:fillRect/>
                    </a:stretch>
                  </pic:blipFill>
                  <pic:spPr>
                    <a:xfrm>
                      <a:off x="0" y="0"/>
                      <a:ext cx="615950" cy="621665"/>
                    </a:xfrm>
                    <a:prstGeom prst="rect">
                      <a:avLst/>
                    </a:prstGeom>
                  </pic:spPr>
                </pic:pic>
              </a:graphicData>
            </a:graphic>
          </wp:anchor>
        </w:drawing>
      </w:r>
    </w:p>
    <w:p w14:paraId="6EC1F7FF">
      <w:pPr>
        <w:pStyle w:val="17"/>
        <w:keepNext w:val="0"/>
        <w:keepLines w:val="0"/>
        <w:widowControl w:val="0"/>
        <w:shd w:val="clear" w:color="auto" w:fill="auto"/>
        <w:bidi w:val="0"/>
        <w:spacing w:before="0" w:after="360" w:line="322" w:lineRule="exact"/>
        <w:ind w:left="1020" w:right="0" w:firstLine="0"/>
        <w:jc w:val="both"/>
      </w:pPr>
      <w:r>
        <w:rPr>
          <w:color w:val="000000"/>
          <w:spacing w:val="0"/>
          <w:w w:val="100"/>
          <w:position w:val="0"/>
        </w:rPr>
        <w:t>王勇与艾国保、霍建明买卖合同纠纷案丨内蒙古自治区呼伦贝尔 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呼民终字第</w:t>
      </w:r>
      <w:r>
        <w:rPr>
          <w:rFonts w:ascii="Times New Roman" w:hAnsi="Times New Roman" w:eastAsia="Times New Roman" w:cs="Times New Roman"/>
          <w:color w:val="000000"/>
          <w:spacing w:val="0"/>
          <w:w w:val="100"/>
          <w:position w:val="0"/>
          <w:sz w:val="19"/>
          <w:szCs w:val="19"/>
        </w:rPr>
        <w:t>436</w:t>
      </w:r>
      <w:r>
        <w:rPr>
          <w:color w:val="000000"/>
          <w:spacing w:val="0"/>
          <w:w w:val="100"/>
          <w:position w:val="0"/>
        </w:rPr>
        <w:t>号民事判决书</w:t>
      </w:r>
    </w:p>
    <w:p w14:paraId="7EA77D2F">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rPr>
        <w:t>齐云厦门大学法学院</w:t>
      </w:r>
    </w:p>
    <w:p w14:paraId="3AD37EE4">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F06486B">
      <w:pPr>
        <w:pStyle w:val="17"/>
        <w:keepNext w:val="0"/>
        <w:keepLines w:val="0"/>
        <w:widowControl w:val="0"/>
        <w:shd w:val="clear" w:color="auto" w:fill="auto"/>
        <w:bidi w:val="0"/>
        <w:spacing w:before="0" w:after="360" w:line="339" w:lineRule="exact"/>
        <w:ind w:left="0" w:right="0" w:firstLine="42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日，艾国保及霍建明二人共同到王勇经营的博世农物流化肥经销处签 订买卖化肥的销售合同，甲方为王勇，乙方为艾国保、霍建明，同时，李文建作为该合同的保 证人在合同上签字确认。该销售合同约定，乙方向甲方购买复合肥</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吨,每吨按</w:t>
      </w:r>
      <w:r>
        <w:rPr>
          <w:rFonts w:ascii="Times New Roman" w:hAnsi="Times New Roman" w:eastAsia="Times New Roman" w:cs="Times New Roman"/>
          <w:color w:val="000000"/>
          <w:spacing w:val="0"/>
          <w:w w:val="100"/>
          <w:position w:val="0"/>
          <w:sz w:val="19"/>
          <w:szCs w:val="19"/>
        </w:rPr>
        <w:t>1800</w:t>
      </w:r>
      <w:r>
        <w:rPr>
          <w:color w:val="000000"/>
          <w:spacing w:val="0"/>
          <w:w w:val="100"/>
          <w:position w:val="0"/>
        </w:rPr>
        <w:t>元价 格结算，共计</w:t>
      </w:r>
      <w:r>
        <w:rPr>
          <w:rFonts w:ascii="Times New Roman" w:hAnsi="Times New Roman" w:eastAsia="Times New Roman" w:cs="Times New Roman"/>
          <w:color w:val="000000"/>
          <w:spacing w:val="0"/>
          <w:w w:val="100"/>
          <w:position w:val="0"/>
          <w:sz w:val="19"/>
          <w:szCs w:val="19"/>
        </w:rPr>
        <w:t>108, 000</w:t>
      </w:r>
      <w:r>
        <w:rPr>
          <w:color w:val="000000"/>
          <w:spacing w:val="0"/>
          <w:w w:val="100"/>
          <w:position w:val="0"/>
        </w:rPr>
        <w:t xml:space="preserve">元，自双方合同签订之日起，乙方向甲方支付全部货款，如有赊欠，在 </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日前结清。如果乙方还不上欠款，由担保人负责返还。后来艾国保及霍建 明到期未付二者共同赊欠的化肥款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万元,王勇于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日起诉三人要求他们承 担连带给付责任。一审中，霍建明不知所踪,王勇遂撤回对霍建明的诉讼请求。一审判决艾 国保应承担</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万元的还款责任，李文建因保证期间已过不承担责任。艾国保提起上诉。</w:t>
      </w:r>
    </w:p>
    <w:p w14:paraId="53C09AE1">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0C294B06">
      <w:pPr>
        <w:pStyle w:val="17"/>
        <w:keepNext w:val="0"/>
        <w:keepLines w:val="0"/>
        <w:widowControl w:val="0"/>
        <w:shd w:val="clear" w:color="auto" w:fill="auto"/>
        <w:bidi w:val="0"/>
        <w:spacing w:before="0" w:after="0" w:line="335" w:lineRule="exact"/>
        <w:ind w:left="0" w:right="0" w:firstLine="420"/>
        <w:jc w:val="both"/>
      </w:pPr>
      <w:r>
        <w:rPr>
          <w:color w:val="000000"/>
          <w:spacing w:val="0"/>
          <w:w w:val="100"/>
          <w:position w:val="0"/>
        </w:rPr>
        <w:t>驳回上诉，维持原判。</w:t>
      </w:r>
    </w:p>
    <w:p w14:paraId="41CAFF53">
      <w:pPr>
        <w:pStyle w:val="17"/>
        <w:keepNext w:val="0"/>
        <w:keepLines w:val="0"/>
        <w:widowControl w:val="0"/>
        <w:shd w:val="clear" w:color="auto" w:fill="auto"/>
        <w:bidi w:val="0"/>
        <w:spacing w:before="0" w:after="360" w:line="335" w:lineRule="exact"/>
        <w:ind w:left="0" w:right="0" w:firstLine="420"/>
        <w:jc w:val="both"/>
      </w:pPr>
      <w:r>
        <w:rPr>
          <w:color w:val="000000"/>
          <w:spacing w:val="0"/>
          <w:w w:val="100"/>
          <w:position w:val="0"/>
        </w:rPr>
        <w:t>二审法院认为，此案争议焦点为艾国保和霍建明是否具有“共同履行</w:t>
      </w:r>
      <w:r>
        <w:rPr>
          <w:color w:val="000000"/>
          <w:spacing w:val="0"/>
          <w:w w:val="100"/>
          <w:position w:val="0"/>
          <w:lang w:val="zh-CN" w:eastAsia="zh-CN" w:bidi="zh-CN"/>
        </w:rPr>
        <w:t>”销</w:t>
      </w:r>
      <w:r>
        <w:rPr>
          <w:color w:val="000000"/>
          <w:spacing w:val="0"/>
          <w:w w:val="100"/>
          <w:position w:val="0"/>
        </w:rPr>
        <w:t>售合同所涉及 的</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万元化肥欠款的合同义务。该销售合同中甲方为王勇，乙方为艾国保和霍建明，而该 合同第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条结算方式第(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项约定:“双方自合同签订之日起，乙方向甲方支付全部货款，如 有赊欠，每吨按</w:t>
      </w:r>
      <w:r>
        <w:rPr>
          <w:rFonts w:ascii="Times New Roman" w:hAnsi="Times New Roman" w:eastAsia="Times New Roman" w:cs="Times New Roman"/>
          <w:color w:val="000000"/>
          <w:spacing w:val="0"/>
          <w:w w:val="100"/>
          <w:position w:val="0"/>
          <w:sz w:val="19"/>
          <w:szCs w:val="19"/>
        </w:rPr>
        <w:t>1800</w:t>
      </w:r>
      <w:r>
        <w:rPr>
          <w:color w:val="000000"/>
          <w:spacing w:val="0"/>
          <w:w w:val="100"/>
          <w:position w:val="0"/>
        </w:rPr>
        <w:t>元结算，欠款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万元秋后再付</w:t>
      </w:r>
      <w:r>
        <w:rPr>
          <w:color w:val="000000"/>
          <w:spacing w:val="0"/>
          <w:w w:val="100"/>
          <w:position w:val="0"/>
          <w:lang w:val="zh-CN" w:eastAsia="zh-CN" w:bidi="zh-CN"/>
        </w:rPr>
        <w:t>。”该</w:t>
      </w:r>
      <w:r>
        <w:rPr>
          <w:color w:val="000000"/>
          <w:spacing w:val="0"/>
          <w:w w:val="100"/>
          <w:position w:val="0"/>
        </w:rPr>
        <w:t>合同亦未有艾国保和霍建明按份偿 还化肥欠款的约定,故该合同之债的标的，即化肥欠款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万元,系不可分之债，二人共同负 有清偿化肥欠款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万元的义务，债权人王勇可以要求其中任一债务人履行全部债务，王勇 在一审中撤回对霍建明的起诉系依法处分自己的权利,一审法院准许其撤回对霍建明的起 诉并无不当，故而，依原《民法通则》第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条,艾国保应承担</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万元还款责任。</w:t>
      </w:r>
    </w:p>
    <w:p w14:paraId="5F6E0F27">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rPr>
        <w:t>■评析</w:t>
      </w:r>
    </w:p>
    <w:p w14:paraId="62B34D5C">
      <w:pPr>
        <w:pStyle w:val="17"/>
        <w:keepNext w:val="0"/>
        <w:keepLines w:val="0"/>
        <w:widowControl w:val="0"/>
        <w:shd w:val="clear" w:color="auto" w:fill="auto"/>
        <w:bidi w:val="0"/>
        <w:spacing w:before="0" w:after="80" w:line="339"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本判决的思路和意义</w:t>
      </w:r>
    </w:p>
    <w:p w14:paraId="713C512A">
      <w:pPr>
        <w:pStyle w:val="17"/>
        <w:keepNext w:val="0"/>
        <w:keepLines w:val="0"/>
        <w:widowControl w:val="0"/>
        <w:shd w:val="clear" w:color="auto" w:fill="auto"/>
        <w:bidi w:val="0"/>
        <w:spacing w:before="0" w:after="280" w:line="346" w:lineRule="exact"/>
        <w:ind w:left="0" w:right="0" w:firstLine="420"/>
        <w:jc w:val="both"/>
        <w:sectPr>
          <w:footnotePr>
            <w:numFmt w:val="chicago"/>
          </w:footnotePr>
          <w:type w:val="continuous"/>
          <w:pgSz w:w="10099" w:h="14782"/>
          <w:pgMar w:top="1249" w:right="1075" w:bottom="1120" w:left="1021" w:header="821" w:footer="692" w:gutter="0"/>
          <w:cols w:space="720" w:num="1"/>
          <w:rtlGutter w:val="0"/>
          <w:docGrid w:linePitch="360" w:charSpace="0"/>
        </w:sectPr>
      </w:pPr>
      <w:r>
        <w:rPr>
          <w:color w:val="000000"/>
          <w:spacing w:val="0"/>
          <w:w w:val="100"/>
          <w:position w:val="0"/>
        </w:rPr>
        <w:t xml:space="preserve">本案中，最核心的问题是，数个债务人对同一债务负有履行义务的，若没有明确约定其 债务形式，数个债务人应如何向债权人承担责任，此时数个债务人构成什么性质的多数人 </w:t>
      </w:r>
    </w:p>
    <w:p w14:paraId="58E2631F">
      <w:pPr>
        <w:pStyle w:val="17"/>
        <w:keepNext w:val="0"/>
        <w:keepLines w:val="0"/>
        <w:widowControl w:val="0"/>
        <w:shd w:val="clear" w:color="auto" w:fill="auto"/>
        <w:bidi w:val="0"/>
        <w:spacing w:before="0" w:after="280" w:line="346" w:lineRule="exact"/>
        <w:ind w:left="0" w:right="0" w:firstLine="0"/>
        <w:jc w:val="both"/>
      </w:pPr>
      <w:r>
        <w:rPr>
          <w:color w:val="000000"/>
          <w:spacing w:val="0"/>
          <w:w w:val="100"/>
          <w:position w:val="0"/>
        </w:rPr>
        <w:t>之债？这就涉及约定不明的多数债务人的默认推定规则。本案二审法院认为，两个买受人 负有共同履行</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万元还款的义务，此时构成一种不可分之债，那么它是以何种标准来判定 债之可分与否的？与此同时，因为我国立法并未规定不可分之债，该判决援引的法条是关 于连带之债的原《民法通则》第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条，那么不可分之债是一种连带之债吗？综上所述，本案 在立法和理论的层面提出了以下三个尚待明确的问题:第一，如何判断债之可分与否;第 二,不可分之债与连带之债的关系如何界定;第三,约定不明的多数债务人的推定规则。此 案例的研究可以明晰我国在多数人之债领域一些理论及立法上的难点。</w:t>
      </w:r>
    </w:p>
    <w:p w14:paraId="06485475">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约定不明的多数债务人推定规则的规范及学理</w:t>
      </w:r>
    </w:p>
    <w:p w14:paraId="7023F1F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我国在立法层面关于多数人之债只规定了按份之债和连带之债，体现为原《民法通则》 第</w:t>
      </w:r>
      <w:r>
        <w:rPr>
          <w:rFonts w:ascii="Times New Roman" w:hAnsi="Times New Roman" w:eastAsia="Times New Roman" w:cs="Times New Roman"/>
          <w:color w:val="000000"/>
          <w:spacing w:val="0"/>
          <w:w w:val="100"/>
          <w:position w:val="0"/>
          <w:sz w:val="19"/>
          <w:szCs w:val="19"/>
        </w:rPr>
        <w:t>86</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条。另外，原《侵权责任法》第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条规定了连带责任，《民法典》 不仅在总则编第</w:t>
      </w:r>
      <w:r>
        <w:rPr>
          <w:rFonts w:ascii="Times New Roman" w:hAnsi="Times New Roman" w:eastAsia="Times New Roman" w:cs="Times New Roman"/>
          <w:color w:val="000000"/>
          <w:spacing w:val="0"/>
          <w:w w:val="100"/>
          <w:position w:val="0"/>
          <w:sz w:val="19"/>
          <w:szCs w:val="19"/>
        </w:rPr>
        <w:t>177</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178</w:t>
      </w:r>
      <w:r>
        <w:rPr>
          <w:color w:val="000000"/>
          <w:spacing w:val="0"/>
          <w:w w:val="100"/>
          <w:position w:val="0"/>
        </w:rPr>
        <w:t>条分别规定了按份责任和连带责任，还在合同编第</w:t>
      </w:r>
      <w:r>
        <w:rPr>
          <w:rFonts w:ascii="Times New Roman" w:hAnsi="Times New Roman" w:eastAsia="Times New Roman" w:cs="Times New Roman"/>
          <w:color w:val="000000"/>
          <w:spacing w:val="0"/>
          <w:w w:val="100"/>
          <w:position w:val="0"/>
          <w:sz w:val="19"/>
          <w:szCs w:val="19"/>
        </w:rPr>
        <w:t>517</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521</w:t>
      </w:r>
      <w:r>
        <w:rPr>
          <w:color w:val="000000"/>
          <w:spacing w:val="0"/>
          <w:w w:val="100"/>
          <w:position w:val="0"/>
        </w:rPr>
        <w:t>条进一步规定了按份之债和连带之债。简言之，目前我国在多数人之债的类型上只规 定了按份之债和连带之债。</w:t>
      </w:r>
    </w:p>
    <w:p w14:paraId="4E804B5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二审法院在我国立法中并无</w:t>
      </w:r>
      <w:r>
        <w:rPr>
          <w:color w:val="000000"/>
          <w:spacing w:val="0"/>
          <w:w w:val="100"/>
          <w:position w:val="0"/>
          <w:lang w:val="zh-CN" w:eastAsia="zh-CN" w:bidi="zh-CN"/>
        </w:rPr>
        <w:t>“不可</w:t>
      </w:r>
      <w:r>
        <w:rPr>
          <w:color w:val="000000"/>
          <w:spacing w:val="0"/>
          <w:w w:val="100"/>
          <w:position w:val="0"/>
        </w:rPr>
        <w:t>分之债</w:t>
      </w:r>
      <w:r>
        <w:rPr>
          <w:color w:val="000000"/>
          <w:spacing w:val="0"/>
          <w:w w:val="100"/>
          <w:position w:val="0"/>
          <w:lang w:val="zh-CN" w:eastAsia="zh-CN" w:bidi="zh-CN"/>
        </w:rPr>
        <w:t>”规</w:t>
      </w:r>
      <w:r>
        <w:rPr>
          <w:color w:val="000000"/>
          <w:spacing w:val="0"/>
          <w:w w:val="100"/>
          <w:position w:val="0"/>
        </w:rPr>
        <w:t>定的背景下仍然将案涉债务定性为</w:t>
      </w:r>
      <w:r>
        <w:rPr>
          <w:color w:val="000000"/>
          <w:spacing w:val="0"/>
          <w:w w:val="100"/>
          <w:position w:val="0"/>
          <w:lang w:val="zh-CN" w:eastAsia="zh-CN" w:bidi="zh-CN"/>
        </w:rPr>
        <w:t xml:space="preserve">“不可 </w:t>
      </w:r>
      <w:r>
        <w:rPr>
          <w:color w:val="000000"/>
          <w:spacing w:val="0"/>
          <w:w w:val="100"/>
          <w:position w:val="0"/>
        </w:rPr>
        <w:t>分之债</w:t>
      </w:r>
      <w:r>
        <w:rPr>
          <w:color w:val="000000"/>
          <w:spacing w:val="0"/>
          <w:w w:val="100"/>
          <w:position w:val="0"/>
          <w:lang w:val="zh-CN" w:eastAsia="zh-CN" w:bidi="zh-CN"/>
        </w:rPr>
        <w:t>”，可</w:t>
      </w:r>
      <w:r>
        <w:rPr>
          <w:color w:val="000000"/>
          <w:spacing w:val="0"/>
          <w:w w:val="100"/>
          <w:position w:val="0"/>
        </w:rPr>
        <w:t>能的原因在于，我国学者多认为应回归传统大陆法系的做法并在立法上完善我 国多数人之债的基本类型。即在按份之债和连带之债的基础上，至少还应增加可分之债与 不可分之债这一债的分类（张玉敏:《论我国多数人之债制度的完善》，载《现代法学》</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p>
    <w:p w14:paraId="5B1D67C2">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那么,如何判定一个债是可分之债还是不可分之债呢？其标准是:给付的可分与否。换 句话说，所谓的不可分之债，是指给付不可分的多数人之债（齐云:《不可分之债研究》，法律出版 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158</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160</w:t>
      </w:r>
      <w:r>
        <w:rPr>
          <w:color w:val="000000"/>
          <w:spacing w:val="0"/>
          <w:w w:val="100"/>
          <w:position w:val="0"/>
        </w:rPr>
        <w:t>页）。而给付的可分与否，要从</w:t>
      </w:r>
      <w:r>
        <w:rPr>
          <w:color w:val="000000"/>
          <w:spacing w:val="0"/>
          <w:w w:val="100"/>
          <w:position w:val="0"/>
          <w:lang w:val="zh-CN" w:eastAsia="zh-CN" w:bidi="zh-CN"/>
        </w:rPr>
        <w:t>“整</w:t>
      </w:r>
      <w:r>
        <w:rPr>
          <w:color w:val="000000"/>
          <w:spacing w:val="0"/>
          <w:w w:val="100"/>
          <w:position w:val="0"/>
        </w:rPr>
        <w:t>体观念</w:t>
      </w:r>
      <w:r>
        <w:rPr>
          <w:color w:val="000000"/>
          <w:spacing w:val="0"/>
          <w:w w:val="100"/>
          <w:position w:val="0"/>
          <w:lang w:val="zh-CN" w:eastAsia="zh-CN" w:bidi="zh-CN"/>
        </w:rPr>
        <w:t>”和“整</w:t>
      </w:r>
      <w:r>
        <w:rPr>
          <w:color w:val="000000"/>
          <w:spacing w:val="0"/>
          <w:w w:val="100"/>
          <w:position w:val="0"/>
        </w:rPr>
        <w:t>体价值</w:t>
      </w:r>
      <w:r>
        <w:rPr>
          <w:color w:val="000000"/>
          <w:spacing w:val="0"/>
          <w:w w:val="100"/>
          <w:position w:val="0"/>
          <w:lang w:val="zh-CN" w:eastAsia="zh-CN" w:bidi="zh-CN"/>
        </w:rPr>
        <w:t>”为</w:t>
      </w:r>
      <w:r>
        <w:rPr>
          <w:color w:val="000000"/>
          <w:spacing w:val="0"/>
          <w:w w:val="100"/>
          <w:position w:val="0"/>
        </w:rPr>
        <w:t>视角出 发，观察给付被实际分割履行能否维持其原功能并保持其原价值，若可以，则为可分给付, 否则为不可分给付。比如，甲乙二人共同承诺交付梵高的真迹《星夜》给丙,此时给付不可 分割履行,否则就会损害此画的价值，故此债为不可分债务;与之相对，若甲乙二人承诺共 同交付</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公斤黄金给丙，此债即为可分债务，因为分割履行不会损害黄金原来的功能和价 值。另外</w:t>
      </w:r>
      <w:r>
        <w:rPr>
          <w:color w:val="000000"/>
          <w:spacing w:val="0"/>
          <w:w w:val="100"/>
          <w:position w:val="0"/>
          <w:lang w:val="zh-CN" w:eastAsia="zh-CN" w:bidi="zh-CN"/>
        </w:rPr>
        <w:t>，“给</w:t>
      </w:r>
      <w:r>
        <w:rPr>
          <w:color w:val="000000"/>
          <w:spacing w:val="0"/>
          <w:w w:val="100"/>
          <w:position w:val="0"/>
        </w:rPr>
        <w:t>付不可分”还可以分为性质不可分和约定不可分，前者是指给付本身客观上 是不可分的;后者是指给付本身客观上是可分的，但是基于当事人的主观约定而成为不可 分。对此，《意大利民法典》第</w:t>
      </w:r>
      <w:r>
        <w:rPr>
          <w:rFonts w:ascii="Times New Roman" w:hAnsi="Times New Roman" w:eastAsia="Times New Roman" w:cs="Times New Roman"/>
          <w:color w:val="000000"/>
          <w:spacing w:val="0"/>
          <w:w w:val="100"/>
          <w:position w:val="0"/>
          <w:sz w:val="19"/>
          <w:szCs w:val="19"/>
        </w:rPr>
        <w:t>1316</w:t>
      </w:r>
      <w:r>
        <w:rPr>
          <w:color w:val="000000"/>
          <w:spacing w:val="0"/>
          <w:w w:val="100"/>
          <w:position w:val="0"/>
        </w:rPr>
        <w:t>条规定:</w:t>
      </w:r>
      <w:r>
        <w:rPr>
          <w:color w:val="000000"/>
          <w:spacing w:val="0"/>
          <w:w w:val="100"/>
          <w:position w:val="0"/>
          <w:lang w:val="zh-CN" w:eastAsia="zh-CN" w:bidi="zh-CN"/>
        </w:rPr>
        <w:t>“当给</w:t>
      </w:r>
      <w:r>
        <w:rPr>
          <w:color w:val="000000"/>
          <w:spacing w:val="0"/>
          <w:w w:val="100"/>
          <w:position w:val="0"/>
        </w:rPr>
        <w:t>付以物或行为为标的，并且依其性质或者 依缔约当事人确定的方式不能分割的,债即为不可分</w:t>
      </w:r>
      <w:r>
        <w:rPr>
          <w:color w:val="000000"/>
          <w:spacing w:val="0"/>
          <w:w w:val="100"/>
          <w:position w:val="0"/>
          <w:lang w:val="zh-CN" w:eastAsia="zh-CN" w:bidi="zh-CN"/>
        </w:rPr>
        <w:t>。”就</w:t>
      </w:r>
      <w:r>
        <w:rPr>
          <w:color w:val="000000"/>
          <w:spacing w:val="0"/>
          <w:w w:val="100"/>
          <w:position w:val="0"/>
        </w:rPr>
        <w:t>本案来说,在化肥销售合同中明 确约定乙方应向甲方支付全部货款，而该合同的甲方为王勇，乙方为艾国保、霍建明二人, 通过</w:t>
      </w:r>
      <w:r>
        <w:rPr>
          <w:color w:val="000000"/>
          <w:spacing w:val="0"/>
          <w:w w:val="100"/>
          <w:position w:val="0"/>
          <w:lang w:val="zh-CN" w:eastAsia="zh-CN" w:bidi="zh-CN"/>
        </w:rPr>
        <w:t>“文</w:t>
      </w:r>
      <w:r>
        <w:rPr>
          <w:color w:val="000000"/>
          <w:spacing w:val="0"/>
          <w:w w:val="100"/>
          <w:position w:val="0"/>
        </w:rPr>
        <w:t>义解释</w:t>
      </w:r>
      <w:r>
        <w:rPr>
          <w:color w:val="000000"/>
          <w:spacing w:val="0"/>
          <w:w w:val="100"/>
          <w:position w:val="0"/>
          <w:lang w:val="zh-CN" w:eastAsia="zh-CN" w:bidi="zh-CN"/>
        </w:rPr>
        <w:t>”可</w:t>
      </w:r>
      <w:r>
        <w:rPr>
          <w:color w:val="000000"/>
          <w:spacing w:val="0"/>
          <w:w w:val="100"/>
          <w:position w:val="0"/>
        </w:rPr>
        <w:t>知:艾国保和霍建明两人负有向王勇偿付</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万元化肥款的义务,那么， 此时到底是可分债务，还是不可分债务呢？</w:t>
      </w:r>
    </w:p>
    <w:p w14:paraId="68159DB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对此问题,一审法院认为，艾国保和霍建明</w:t>
      </w:r>
      <w:r>
        <w:rPr>
          <w:color w:val="000000"/>
          <w:spacing w:val="0"/>
          <w:w w:val="100"/>
          <w:position w:val="0"/>
          <w:lang w:val="zh-CN" w:eastAsia="zh-CN" w:bidi="zh-CN"/>
        </w:rPr>
        <w:t>“共</w:t>
      </w:r>
      <w:r>
        <w:rPr>
          <w:color w:val="000000"/>
          <w:spacing w:val="0"/>
          <w:w w:val="100"/>
          <w:position w:val="0"/>
        </w:rPr>
        <w:t>同赊欠</w:t>
      </w:r>
      <w:r>
        <w:rPr>
          <w:color w:val="000000"/>
          <w:spacing w:val="0"/>
          <w:w w:val="100"/>
          <w:position w:val="0"/>
          <w:lang w:val="zh-CN" w:eastAsia="zh-CN" w:bidi="zh-CN"/>
        </w:rPr>
        <w:t>”王</w:t>
      </w:r>
      <w:r>
        <w:rPr>
          <w:color w:val="000000"/>
          <w:spacing w:val="0"/>
          <w:w w:val="100"/>
          <w:position w:val="0"/>
        </w:rPr>
        <w:t>勇化肥款未还，依原《民法通 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条和原《侵权责任法》第</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条，各债务人对</w:t>
      </w:r>
      <w:r>
        <w:rPr>
          <w:color w:val="000000"/>
          <w:spacing w:val="0"/>
          <w:w w:val="100"/>
          <w:position w:val="0"/>
          <w:lang w:val="zh-CN" w:eastAsia="zh-CN" w:bidi="zh-CN"/>
        </w:rPr>
        <w:t>“共</w:t>
      </w:r>
      <w:r>
        <w:rPr>
          <w:color w:val="000000"/>
          <w:spacing w:val="0"/>
          <w:w w:val="100"/>
          <w:position w:val="0"/>
        </w:rPr>
        <w:t>同债务</w:t>
      </w:r>
      <w:r>
        <w:rPr>
          <w:color w:val="000000"/>
          <w:spacing w:val="0"/>
          <w:w w:val="100"/>
          <w:position w:val="0"/>
          <w:lang w:val="zh-CN" w:eastAsia="zh-CN" w:bidi="zh-CN"/>
        </w:rPr>
        <w:t>”依</w:t>
      </w:r>
      <w:r>
        <w:rPr>
          <w:color w:val="000000"/>
          <w:spacing w:val="0"/>
          <w:w w:val="100"/>
          <w:position w:val="0"/>
        </w:rPr>
        <w:t>法应承担连带责任。可 以看出，一审法院使用了</w:t>
      </w:r>
      <w:r>
        <w:rPr>
          <w:color w:val="000000"/>
          <w:spacing w:val="0"/>
          <w:w w:val="100"/>
          <w:position w:val="0"/>
          <w:lang w:val="zh-CN" w:eastAsia="zh-CN" w:bidi="zh-CN"/>
        </w:rPr>
        <w:t>“共</w:t>
      </w:r>
      <w:r>
        <w:rPr>
          <w:color w:val="000000"/>
          <w:spacing w:val="0"/>
          <w:w w:val="100"/>
          <w:position w:val="0"/>
        </w:rPr>
        <w:t>同债务</w:t>
      </w:r>
      <w:r>
        <w:rPr>
          <w:color w:val="000000"/>
          <w:spacing w:val="0"/>
          <w:w w:val="100"/>
          <w:position w:val="0"/>
          <w:lang w:val="zh-CN" w:eastAsia="zh-CN" w:bidi="zh-CN"/>
        </w:rPr>
        <w:t>”这</w:t>
      </w:r>
      <w:r>
        <w:rPr>
          <w:color w:val="000000"/>
          <w:spacing w:val="0"/>
          <w:w w:val="100"/>
          <w:position w:val="0"/>
        </w:rPr>
        <w:t>一概念，但没有明确所谓的</w:t>
      </w:r>
      <w:r>
        <w:rPr>
          <w:color w:val="000000"/>
          <w:spacing w:val="0"/>
          <w:w w:val="100"/>
          <w:position w:val="0"/>
          <w:lang w:val="zh-CN" w:eastAsia="zh-CN" w:bidi="zh-CN"/>
        </w:rPr>
        <w:t>“共</w:t>
      </w:r>
      <w:r>
        <w:rPr>
          <w:color w:val="000000"/>
          <w:spacing w:val="0"/>
          <w:w w:val="100"/>
          <w:position w:val="0"/>
        </w:rPr>
        <w:t>同债务</w:t>
      </w:r>
      <w:r>
        <w:rPr>
          <w:color w:val="000000"/>
          <w:spacing w:val="0"/>
          <w:w w:val="100"/>
          <w:position w:val="0"/>
          <w:lang w:val="zh-CN" w:eastAsia="zh-CN" w:bidi="zh-CN"/>
        </w:rPr>
        <w:t>”到底</w:t>
      </w:r>
      <w:r>
        <w:rPr>
          <w:color w:val="000000"/>
          <w:spacing w:val="0"/>
          <w:w w:val="100"/>
          <w:position w:val="0"/>
        </w:rPr>
        <w:t>是什么 性质,而且最终适用的是关于连带债务的法条。二审法院认为，该销售合同明确约定乙方 （艾国保和霍建明）应向甲方（王勇）支付全部货款，而且该销售合同亦未有二人“按份偿 还</w:t>
      </w:r>
      <w:r>
        <w:rPr>
          <w:color w:val="000000"/>
          <w:spacing w:val="0"/>
          <w:w w:val="100"/>
          <w:position w:val="0"/>
          <w:lang w:val="zh-CN" w:eastAsia="zh-CN" w:bidi="zh-CN"/>
        </w:rPr>
        <w:t>”化肥</w:t>
      </w:r>
      <w:r>
        <w:rPr>
          <w:color w:val="000000"/>
          <w:spacing w:val="0"/>
          <w:w w:val="100"/>
          <w:position w:val="0"/>
        </w:rPr>
        <w:t>欠款的约定,故该合同之债的标的，即化肥欠款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万元,系不可分之债，二人共同 负有清偿化肥欠款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万元的义务。二审法院关于该债务的定性，值得商榷。依据前述给付 可分与否的判断标准来看，本案为金钱之债,金钱之债的给付总是可分的，比如，假设霍建 明偿还</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万元，艾国保偿还</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万元,最终王勇获得</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万元，可见分割履行并不会影响王勇最 终获得的价金总数，因此，该债务属于可分债务。</w:t>
      </w:r>
    </w:p>
    <w:p w14:paraId="745DBA23">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那么，为什么二审法院会将此债务定性为不可分债务并适用关于连带债务的规定呢？ 这可能是因为在我国多数人之债立法不完善的情况下二审法院有如下困境和考虑:首先， 依原《民法通则》第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条,连带之债的形成需要</w:t>
      </w:r>
      <w:r>
        <w:rPr>
          <w:color w:val="000000"/>
          <w:spacing w:val="0"/>
          <w:w w:val="100"/>
          <w:position w:val="0"/>
          <w:lang w:val="zh-CN" w:eastAsia="zh-CN" w:bidi="zh-CN"/>
        </w:rPr>
        <w:t>“依照</w:t>
      </w:r>
      <w:r>
        <w:rPr>
          <w:color w:val="000000"/>
          <w:spacing w:val="0"/>
          <w:w w:val="100"/>
          <w:position w:val="0"/>
        </w:rPr>
        <w:t>法律的规定或当事人的约定</w:t>
      </w:r>
      <w:r>
        <w:rPr>
          <w:color w:val="000000"/>
          <w:spacing w:val="0"/>
          <w:w w:val="100"/>
          <w:position w:val="0"/>
          <w:lang w:val="zh-CN" w:eastAsia="zh-CN" w:bidi="zh-CN"/>
        </w:rPr>
        <w:t>”，而</w:t>
      </w:r>
      <w:r>
        <w:rPr>
          <w:color w:val="000000"/>
          <w:spacing w:val="0"/>
          <w:w w:val="100"/>
          <w:position w:val="0"/>
        </w:rPr>
        <w:t>本案 中两个买受人并没有明确约定连带负责,我国也缺乏在约定不明时一般性推定为连带债务 的规则，所以，本案中无法认定两个买受人构成连带债务。其次，虽然我国现行立法并没有 规定不可分债务,但从比较法角度来看，其</w:t>
      </w:r>
      <w:r>
        <w:rPr>
          <w:color w:val="000000"/>
          <w:spacing w:val="0"/>
          <w:w w:val="100"/>
          <w:position w:val="0"/>
          <w:lang w:val="zh-CN" w:eastAsia="zh-CN" w:bidi="zh-CN"/>
        </w:rPr>
        <w:t>“整</w:t>
      </w:r>
      <w:r>
        <w:rPr>
          <w:color w:val="000000"/>
          <w:spacing w:val="0"/>
          <w:w w:val="100"/>
          <w:position w:val="0"/>
        </w:rPr>
        <w:t>体履行</w:t>
      </w:r>
      <w:r>
        <w:rPr>
          <w:color w:val="000000"/>
          <w:spacing w:val="0"/>
          <w:w w:val="100"/>
          <w:position w:val="0"/>
          <w:lang w:val="zh-CN" w:eastAsia="zh-CN" w:bidi="zh-CN"/>
        </w:rPr>
        <w:t>”的</w:t>
      </w:r>
      <w:r>
        <w:rPr>
          <w:color w:val="000000"/>
          <w:spacing w:val="0"/>
          <w:w w:val="100"/>
          <w:position w:val="0"/>
        </w:rPr>
        <w:t>效果与连带债务具有相似性（比如， 《巴西新民法典》第</w:t>
      </w:r>
      <w:r>
        <w:rPr>
          <w:rFonts w:ascii="Times New Roman" w:hAnsi="Times New Roman" w:eastAsia="Times New Roman" w:cs="Times New Roman"/>
          <w:color w:val="000000"/>
          <w:spacing w:val="0"/>
          <w:w w:val="100"/>
          <w:position w:val="0"/>
          <w:sz w:val="19"/>
          <w:szCs w:val="19"/>
        </w:rPr>
        <w:t>259</w:t>
      </w:r>
      <w:r>
        <w:rPr>
          <w:color w:val="000000"/>
          <w:spacing w:val="0"/>
          <w:w w:val="100"/>
          <w:position w:val="0"/>
        </w:rPr>
        <w:t>条规定：“如有两个以上的债务人且给付不可分，他们每个都对整个债务承担责 任。”），这样，二审法院为了让每个买受人对</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万元化肥款都有“整体履行</w:t>
      </w:r>
      <w:r>
        <w:rPr>
          <w:color w:val="000000"/>
          <w:spacing w:val="0"/>
          <w:w w:val="100"/>
          <w:position w:val="0"/>
          <w:lang w:val="zh-CN" w:eastAsia="zh-CN" w:bidi="zh-CN"/>
        </w:rPr>
        <w:t>”的</w:t>
      </w:r>
      <w:r>
        <w:rPr>
          <w:color w:val="000000"/>
          <w:spacing w:val="0"/>
          <w:w w:val="100"/>
          <w:position w:val="0"/>
        </w:rPr>
        <w:t>义务,先将此 债定性为不可分债务，再将不可分债务</w:t>
      </w:r>
      <w:r>
        <w:rPr>
          <w:color w:val="000000"/>
          <w:spacing w:val="0"/>
          <w:w w:val="100"/>
          <w:position w:val="0"/>
          <w:lang w:val="zh-CN" w:eastAsia="zh-CN" w:bidi="zh-CN"/>
        </w:rPr>
        <w:t>“参照”适</w:t>
      </w:r>
      <w:r>
        <w:rPr>
          <w:color w:val="000000"/>
          <w:spacing w:val="0"/>
          <w:w w:val="100"/>
          <w:position w:val="0"/>
        </w:rPr>
        <w:t>用连带债务的规定,从而达到了其意图的 目的。</w:t>
      </w:r>
    </w:p>
    <w:p w14:paraId="78E11DAE">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然而，需明确的是，虽然在“整体履行</w:t>
      </w:r>
      <w:r>
        <w:rPr>
          <w:color w:val="000000"/>
          <w:spacing w:val="0"/>
          <w:w w:val="100"/>
          <w:position w:val="0"/>
          <w:lang w:val="zh-CN" w:eastAsia="zh-CN" w:bidi="zh-CN"/>
        </w:rPr>
        <w:t>”上</w:t>
      </w:r>
      <w:r>
        <w:rPr>
          <w:color w:val="000000"/>
          <w:spacing w:val="0"/>
          <w:w w:val="100"/>
          <w:position w:val="0"/>
        </w:rPr>
        <w:t>，连带之债与不可分之债存在一定的相似性， 但二者整体履行的原因和功能完全不同，不能混淆，更不能以连带之债取代不可分之债。 连带之债和不可分之债都涉及</w:t>
      </w:r>
      <w:r>
        <w:rPr>
          <w:color w:val="000000"/>
          <w:spacing w:val="0"/>
          <w:w w:val="100"/>
          <w:position w:val="0"/>
          <w:lang w:val="zh-CN" w:eastAsia="zh-CN" w:bidi="zh-CN"/>
        </w:rPr>
        <w:t>“整体</w:t>
      </w:r>
      <w:r>
        <w:rPr>
          <w:color w:val="000000"/>
          <w:spacing w:val="0"/>
          <w:w w:val="100"/>
          <w:position w:val="0"/>
        </w:rPr>
        <w:t xml:space="preserve">履行”，即任一债权人都可要求债务人整体履行，而任 一债务人都有整体履行的义务，但是它们产生的原因是截然不同的：对于连带之债，此种 </w:t>
      </w:r>
      <w:r>
        <w:rPr>
          <w:color w:val="000000"/>
          <w:spacing w:val="0"/>
          <w:w w:val="100"/>
          <w:position w:val="0"/>
          <w:lang w:val="zh-CN" w:eastAsia="zh-CN" w:bidi="zh-CN"/>
        </w:rPr>
        <w:t>“整</w:t>
      </w:r>
      <w:r>
        <w:rPr>
          <w:color w:val="000000"/>
          <w:spacing w:val="0"/>
          <w:w w:val="100"/>
          <w:position w:val="0"/>
        </w:rPr>
        <w:t>体履行</w:t>
      </w:r>
      <w:r>
        <w:rPr>
          <w:color w:val="000000"/>
          <w:spacing w:val="0"/>
          <w:w w:val="100"/>
          <w:position w:val="0"/>
          <w:lang w:val="zh-CN" w:eastAsia="zh-CN" w:bidi="zh-CN"/>
        </w:rPr>
        <w:t>”的效</w:t>
      </w:r>
      <w:r>
        <w:rPr>
          <w:color w:val="000000"/>
          <w:spacing w:val="0"/>
          <w:w w:val="100"/>
          <w:position w:val="0"/>
        </w:rPr>
        <w:t>力是当事人双方“心甘情愿</w:t>
      </w:r>
      <w:r>
        <w:rPr>
          <w:color w:val="000000"/>
          <w:spacing w:val="0"/>
          <w:w w:val="100"/>
          <w:position w:val="0"/>
          <w:lang w:val="zh-CN" w:eastAsia="zh-CN" w:bidi="zh-CN"/>
        </w:rPr>
        <w:t>”的</w:t>
      </w:r>
      <w:r>
        <w:rPr>
          <w:color w:val="000000"/>
          <w:spacing w:val="0"/>
          <w:w w:val="100"/>
          <w:position w:val="0"/>
        </w:rPr>
        <w:t>，因为这是当事人的约定或法律的设定，它 是一种人为的上层结构，是一种与</w:t>
      </w:r>
      <w:r>
        <w:rPr>
          <w:color w:val="000000"/>
          <w:spacing w:val="0"/>
          <w:w w:val="100"/>
          <w:position w:val="0"/>
          <w:lang w:val="zh-CN" w:eastAsia="zh-CN" w:bidi="zh-CN"/>
        </w:rPr>
        <w:t>“债</w:t>
      </w:r>
      <w:r>
        <w:rPr>
          <w:color w:val="000000"/>
          <w:spacing w:val="0"/>
          <w:w w:val="100"/>
          <w:position w:val="0"/>
        </w:rPr>
        <w:t>的主体</w:t>
      </w:r>
      <w:r>
        <w:rPr>
          <w:color w:val="000000"/>
          <w:spacing w:val="0"/>
          <w:w w:val="100"/>
          <w:position w:val="0"/>
          <w:lang w:val="zh-CN" w:eastAsia="zh-CN" w:bidi="zh-CN"/>
        </w:rPr>
        <w:t>”相</w:t>
      </w:r>
      <w:r>
        <w:rPr>
          <w:color w:val="000000"/>
          <w:spacing w:val="0"/>
          <w:w w:val="100"/>
          <w:position w:val="0"/>
        </w:rPr>
        <w:t>关的人的性质;对于不可分之债，此种</w:t>
      </w:r>
      <w:r>
        <w:rPr>
          <w:color w:val="000000"/>
          <w:spacing w:val="0"/>
          <w:w w:val="100"/>
          <w:position w:val="0"/>
          <w:lang w:val="zh-CN" w:eastAsia="zh-CN" w:bidi="zh-CN"/>
        </w:rPr>
        <w:t xml:space="preserve">“整 </w:t>
      </w:r>
      <w:r>
        <w:rPr>
          <w:color w:val="000000"/>
          <w:spacing w:val="0"/>
          <w:w w:val="100"/>
          <w:position w:val="0"/>
        </w:rPr>
        <w:t>体履行</w:t>
      </w:r>
      <w:r>
        <w:rPr>
          <w:color w:val="000000"/>
          <w:spacing w:val="0"/>
          <w:w w:val="100"/>
          <w:position w:val="0"/>
          <w:lang w:val="zh-CN" w:eastAsia="zh-CN" w:bidi="zh-CN"/>
        </w:rPr>
        <w:t>”效</w:t>
      </w:r>
      <w:r>
        <w:rPr>
          <w:color w:val="000000"/>
          <w:spacing w:val="0"/>
          <w:w w:val="100"/>
          <w:position w:val="0"/>
        </w:rPr>
        <w:t>力却是当事人双方</w:t>
      </w:r>
      <w:r>
        <w:rPr>
          <w:color w:val="000000"/>
          <w:spacing w:val="0"/>
          <w:w w:val="100"/>
          <w:position w:val="0"/>
          <w:lang w:val="zh-CN" w:eastAsia="zh-CN" w:bidi="zh-CN"/>
        </w:rPr>
        <w:t>“情</w:t>
      </w:r>
      <w:r>
        <w:rPr>
          <w:color w:val="000000"/>
          <w:spacing w:val="0"/>
          <w:w w:val="100"/>
          <w:position w:val="0"/>
        </w:rPr>
        <w:t>非得已</w:t>
      </w:r>
      <w:r>
        <w:rPr>
          <w:color w:val="000000"/>
          <w:spacing w:val="0"/>
          <w:w w:val="100"/>
          <w:position w:val="0"/>
          <w:lang w:val="zh-CN" w:eastAsia="zh-CN" w:bidi="zh-CN"/>
        </w:rPr>
        <w:t>”的</w:t>
      </w:r>
      <w:r>
        <w:rPr>
          <w:color w:val="000000"/>
          <w:spacing w:val="0"/>
          <w:w w:val="100"/>
          <w:position w:val="0"/>
        </w:rPr>
        <w:t>，因为这是给付的客观性质决定的，它是一种自 然的结构，是与</w:t>
      </w:r>
      <w:r>
        <w:rPr>
          <w:color w:val="000000"/>
          <w:spacing w:val="0"/>
          <w:w w:val="100"/>
          <w:position w:val="0"/>
          <w:lang w:val="zh-CN" w:eastAsia="zh-CN" w:bidi="zh-CN"/>
        </w:rPr>
        <w:t>“债</w:t>
      </w:r>
      <w:r>
        <w:rPr>
          <w:color w:val="000000"/>
          <w:spacing w:val="0"/>
          <w:w w:val="100"/>
          <w:position w:val="0"/>
        </w:rPr>
        <w:t>的标的</w:t>
      </w:r>
      <w:r>
        <w:rPr>
          <w:color w:val="000000"/>
          <w:spacing w:val="0"/>
          <w:w w:val="100"/>
          <w:position w:val="0"/>
          <w:lang w:val="zh-CN" w:eastAsia="zh-CN" w:bidi="zh-CN"/>
        </w:rPr>
        <w:t>”相关</w:t>
      </w:r>
      <w:r>
        <w:rPr>
          <w:color w:val="000000"/>
          <w:spacing w:val="0"/>
          <w:w w:val="100"/>
          <w:position w:val="0"/>
        </w:rPr>
        <w:t>的物的性质。换句话说，不可分之债的整体履行是因为给 付不可分，因此不得不整体履行;而连带之债的整体履行，是因为此种债设立的目的，就是 达到此种整体履行的效果（齐云:《不可分之债研究》，法律出版社</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lang w:val="en-US" w:eastAsia="en-US" w:bidi="en-US"/>
        </w:rPr>
        <w:t>49 -63</w:t>
      </w:r>
      <w:r>
        <w:rPr>
          <w:color w:val="000000"/>
          <w:spacing w:val="0"/>
          <w:w w:val="100"/>
          <w:position w:val="0"/>
        </w:rPr>
        <w:t>页）。简言 之，按份之债与连带之债是以</w:t>
      </w:r>
      <w:r>
        <w:rPr>
          <w:color w:val="000000"/>
          <w:spacing w:val="0"/>
          <w:w w:val="100"/>
          <w:position w:val="0"/>
          <w:lang w:val="zh-CN" w:eastAsia="zh-CN" w:bidi="zh-CN"/>
        </w:rPr>
        <w:t>“债的</w:t>
      </w:r>
      <w:r>
        <w:rPr>
          <w:color w:val="000000"/>
          <w:spacing w:val="0"/>
          <w:w w:val="100"/>
          <w:position w:val="0"/>
        </w:rPr>
        <w:t>主体”的相互关系为标准进行的债的分类，它关注的是 数个当事人如何承担义务和享受权利;可分之债与不可分之债，是以</w:t>
      </w:r>
      <w:r>
        <w:rPr>
          <w:color w:val="000000"/>
          <w:spacing w:val="0"/>
          <w:w w:val="100"/>
          <w:position w:val="0"/>
          <w:lang w:val="zh-CN" w:eastAsia="zh-CN" w:bidi="zh-CN"/>
        </w:rPr>
        <w:t>“债</w:t>
      </w:r>
      <w:r>
        <w:rPr>
          <w:color w:val="000000"/>
          <w:spacing w:val="0"/>
          <w:w w:val="100"/>
          <w:position w:val="0"/>
        </w:rPr>
        <w:t>的标的</w:t>
      </w:r>
      <w:r>
        <w:rPr>
          <w:color w:val="000000"/>
          <w:spacing w:val="0"/>
          <w:w w:val="100"/>
          <w:position w:val="0"/>
          <w:lang w:val="zh-CN" w:eastAsia="zh-CN" w:bidi="zh-CN"/>
        </w:rPr>
        <w:t>”（给</w:t>
      </w:r>
      <w:r>
        <w:rPr>
          <w:color w:val="000000"/>
          <w:spacing w:val="0"/>
          <w:w w:val="100"/>
          <w:position w:val="0"/>
        </w:rPr>
        <w:t>付）可 分与否为标准进行的债的分类，它关注的是给付如何在不减损其功能和价值的前提下被适 当履行。不同的债的分类的关注点是不一样的,一种债的分类并不排斥另一种债的分类。 对此,《阿根廷民法典》第</w:t>
      </w:r>
      <w:r>
        <w:rPr>
          <w:rFonts w:ascii="Times New Roman" w:hAnsi="Times New Roman" w:eastAsia="Times New Roman" w:cs="Times New Roman"/>
          <w:color w:val="000000"/>
          <w:spacing w:val="0"/>
          <w:w w:val="100"/>
          <w:position w:val="0"/>
          <w:sz w:val="19"/>
          <w:szCs w:val="19"/>
        </w:rPr>
        <w:t>668</w:t>
      </w:r>
      <w:r>
        <w:rPr>
          <w:color w:val="000000"/>
          <w:spacing w:val="0"/>
          <w:w w:val="100"/>
          <w:position w:val="0"/>
        </w:rPr>
        <w:t>条规定:“约定的连带性不使债具有不可分性,债的不可分性 也不使债具有连带性</w:t>
      </w:r>
      <w:r>
        <w:rPr>
          <w:color w:val="000000"/>
          <w:spacing w:val="0"/>
          <w:w w:val="100"/>
          <w:position w:val="0"/>
          <w:lang w:val="zh-CN" w:eastAsia="zh-CN" w:bidi="zh-CN"/>
        </w:rPr>
        <w:t>。”对</w:t>
      </w:r>
      <w:r>
        <w:rPr>
          <w:color w:val="000000"/>
          <w:spacing w:val="0"/>
          <w:w w:val="100"/>
          <w:position w:val="0"/>
        </w:rPr>
        <w:t>于本案，以给付可分与否为标准来看，二买受人共同负有清偿化 肥欠款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万元的债务,为可分债务;与此同时，还可以继续从债的主体关系的视角来分析: 此时数债务人到底构成按份债务，还是连带债务。这取决于约定不明的数债务人的推定规 则。</w:t>
      </w:r>
    </w:p>
    <w:p w14:paraId="427C0BC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 xml:space="preserve">在我国，约定不明的数个债务人对同一债务负有履行义务的，我国法律只针对特定情 形规定了推定规则,而没有明确针对一般情形设定推定规则。比如，根据我国《民法典》第 </w:t>
      </w:r>
      <w:r>
        <w:rPr>
          <w:rFonts w:ascii="Times New Roman" w:hAnsi="Times New Roman" w:eastAsia="Times New Roman" w:cs="Times New Roman"/>
          <w:color w:val="000000"/>
          <w:spacing w:val="0"/>
          <w:w w:val="100"/>
          <w:position w:val="0"/>
          <w:sz w:val="19"/>
          <w:szCs w:val="19"/>
        </w:rPr>
        <w:t>699</w:t>
      </w:r>
      <w:r>
        <w:rPr>
          <w:color w:val="000000"/>
          <w:spacing w:val="0"/>
          <w:w w:val="100"/>
          <w:position w:val="0"/>
        </w:rPr>
        <w:t>条，同一个债务人有两个以上保证人的,若没有约定保证份额，数个保证人承担连带责 任。针对一般情形的推定规则，各国处理方式主要有三种类型（［德</w:t>
      </w:r>
      <w:r>
        <w:rPr>
          <w:color w:val="000000"/>
          <w:spacing w:val="0"/>
          <w:w w:val="100"/>
          <w:position w:val="0"/>
          <w:lang w:val="en-US" w:eastAsia="en-US" w:bidi="en-US"/>
        </w:rPr>
        <w:t>］</w:t>
      </w:r>
      <w:r>
        <w:rPr>
          <w:color w:val="000000"/>
          <w:spacing w:val="0"/>
          <w:w w:val="100"/>
          <w:position w:val="0"/>
        </w:rPr>
        <w:t>克里斯蒂安-冯</w:t>
      </w:r>
      <w:r>
        <w:rPr>
          <w:color w:val="000000"/>
          <w:spacing w:val="0"/>
          <w:w w:val="100"/>
          <w:position w:val="0"/>
          <w:lang w:val="zh-CN" w:eastAsia="zh-CN" w:bidi="zh-CN"/>
        </w:rPr>
        <w:t>•巴</w:t>
      </w:r>
      <w:r>
        <w:rPr>
          <w:color w:val="000000"/>
          <w:spacing w:val="0"/>
          <w:w w:val="100"/>
          <w:position w:val="0"/>
        </w:rPr>
        <w:t>尔主 编:《欧洲私法的原则、定义与示范规则：欧洲示范民法典草案》，高圣平等译，法律出版社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 xml:space="preserve">年版，第 </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卷，第</w:t>
      </w:r>
      <w:r>
        <w:rPr>
          <w:rFonts w:ascii="Times New Roman" w:hAnsi="Times New Roman" w:eastAsia="Times New Roman" w:cs="Times New Roman"/>
          <w:color w:val="000000"/>
          <w:spacing w:val="0"/>
          <w:w w:val="100"/>
          <w:position w:val="0"/>
          <w:sz w:val="17"/>
          <w:szCs w:val="17"/>
        </w:rPr>
        <w:t>850</w:t>
      </w:r>
      <w:r>
        <w:rPr>
          <w:color w:val="000000"/>
          <w:spacing w:val="0"/>
          <w:w w:val="100"/>
          <w:position w:val="0"/>
        </w:rPr>
        <w:t>页）：第一，推定为按份债务，根据《西班牙民法典》第</w:t>
      </w:r>
      <w:r>
        <w:rPr>
          <w:rFonts w:ascii="Times New Roman" w:hAnsi="Times New Roman" w:eastAsia="Times New Roman" w:cs="Times New Roman"/>
          <w:color w:val="000000"/>
          <w:spacing w:val="0"/>
          <w:w w:val="100"/>
          <w:position w:val="0"/>
          <w:sz w:val="19"/>
          <w:szCs w:val="19"/>
          <w:lang w:val="en-US" w:eastAsia="en-US" w:bidi="en-US"/>
        </w:rPr>
        <w:t>H37</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1138</w:t>
      </w:r>
      <w:r>
        <w:rPr>
          <w:color w:val="000000"/>
          <w:spacing w:val="0"/>
          <w:w w:val="100"/>
          <w:position w:val="0"/>
        </w:rPr>
        <w:t>条的规 定，若有数个债权人或债务人，除非有明确约定,否则不构成连带之债，推定他们均享债权 或均担债务，拉丁法族很多国家都一般性地规定不得推定为连带债务。第二，推定为连带 债务，比如，《德国民法典》第</w:t>
      </w:r>
      <w:r>
        <w:rPr>
          <w:rFonts w:ascii="Times New Roman" w:hAnsi="Times New Roman" w:eastAsia="Times New Roman" w:cs="Times New Roman"/>
          <w:color w:val="000000"/>
          <w:spacing w:val="0"/>
          <w:w w:val="100"/>
          <w:position w:val="0"/>
          <w:sz w:val="19"/>
          <w:szCs w:val="19"/>
        </w:rPr>
        <w:t>427</w:t>
      </w:r>
      <w:r>
        <w:rPr>
          <w:color w:val="000000"/>
          <w:spacing w:val="0"/>
          <w:w w:val="100"/>
          <w:position w:val="0"/>
        </w:rPr>
        <w:t>条规定:“二人以上以合同共同对可分给付负有义务的，有 疑义时，作为连带债务人负责任。”《欧洲示范民法典草案》第</w:t>
      </w:r>
      <w:r>
        <w:rPr>
          <w:rFonts w:ascii="Times New Roman" w:hAnsi="Times New Roman" w:eastAsia="Times New Roman" w:cs="Times New Roman"/>
          <w:color w:val="000000"/>
          <w:spacing w:val="0"/>
          <w:w w:val="100"/>
          <w:position w:val="0"/>
          <w:sz w:val="19"/>
          <w:szCs w:val="19"/>
        </w:rPr>
        <w:t>111-4</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103</w:t>
      </w:r>
      <w:r>
        <w:rPr>
          <w:color w:val="000000"/>
          <w:spacing w:val="0"/>
          <w:w w:val="100"/>
          <w:position w:val="0"/>
        </w:rPr>
        <w:t>条也跟随了德国模 式,设置了类似的规定。第三，区分民事债务和商事债务分别适用不同推定规则。即在民事 债务中推定为按份债务，而在商事债务中则推定为连带债务。比如，《捷克民法典》第</w:t>
      </w:r>
      <w:r>
        <w:rPr>
          <w:rFonts w:ascii="Times New Roman" w:hAnsi="Times New Roman" w:eastAsia="Times New Roman" w:cs="Times New Roman"/>
          <w:color w:val="000000"/>
          <w:spacing w:val="0"/>
          <w:w w:val="100"/>
          <w:position w:val="0"/>
          <w:sz w:val="19"/>
          <w:szCs w:val="19"/>
        </w:rPr>
        <w:t xml:space="preserve">511 </w:t>
      </w:r>
      <w:r>
        <w:rPr>
          <w:color w:val="000000"/>
          <w:spacing w:val="0"/>
          <w:w w:val="100"/>
          <w:position w:val="0"/>
        </w:rPr>
        <w:t>条规定了按份债务推定，《捷克商法典》第</w:t>
      </w:r>
      <w:r>
        <w:rPr>
          <w:rFonts w:ascii="Times New Roman" w:hAnsi="Times New Roman" w:eastAsia="Times New Roman" w:cs="Times New Roman"/>
          <w:color w:val="000000"/>
          <w:spacing w:val="0"/>
          <w:w w:val="100"/>
          <w:position w:val="0"/>
          <w:sz w:val="19"/>
          <w:szCs w:val="19"/>
        </w:rPr>
        <w:t>293</w:t>
      </w:r>
      <w:r>
        <w:rPr>
          <w:color w:val="000000"/>
          <w:spacing w:val="0"/>
          <w:w w:val="100"/>
          <w:position w:val="0"/>
        </w:rPr>
        <w:t>条则是连带债务推定。之所以有这三种截然 不同的立法例，是因为立法者的理念和岀发点不同，此处存在所谓的“有利于债务人原则” 和</w:t>
      </w:r>
      <w:r>
        <w:rPr>
          <w:color w:val="000000"/>
          <w:spacing w:val="0"/>
          <w:w w:val="100"/>
          <w:position w:val="0"/>
          <w:lang w:val="zh-CN" w:eastAsia="zh-CN" w:bidi="zh-CN"/>
        </w:rPr>
        <w:t>“有利</w:t>
      </w:r>
      <w:r>
        <w:rPr>
          <w:color w:val="000000"/>
          <w:spacing w:val="0"/>
          <w:w w:val="100"/>
          <w:position w:val="0"/>
        </w:rPr>
        <w:t>于债权人原则</w:t>
      </w:r>
      <w:r>
        <w:rPr>
          <w:color w:val="000000"/>
          <w:spacing w:val="0"/>
          <w:w w:val="100"/>
          <w:position w:val="0"/>
          <w:lang w:val="zh-CN" w:eastAsia="zh-CN" w:bidi="zh-CN"/>
        </w:rPr>
        <w:t>”之争</w:t>
      </w:r>
      <w:r>
        <w:rPr>
          <w:color w:val="000000"/>
          <w:spacing w:val="0"/>
          <w:w w:val="100"/>
          <w:position w:val="0"/>
        </w:rPr>
        <w:t>，前者认为连带债务是一个在技术上对债务人更为沉重的债 务,在当事人没有明示接受更重责任的前提下，基于意思自治的原则,不能直接推定当事人 缔结了责任更重的连带债务，而应作出按份债务推定（齐云:《论协同之债》，载《法商研究》</w:t>
      </w:r>
      <w:r>
        <w:rPr>
          <w:rFonts w:ascii="Times New Roman" w:hAnsi="Times New Roman" w:eastAsia="Times New Roman" w:cs="Times New Roman"/>
          <w:color w:val="000000"/>
          <w:spacing w:val="0"/>
          <w:w w:val="100"/>
          <w:position w:val="0"/>
          <w:sz w:val="17"/>
          <w:szCs w:val="17"/>
        </w:rPr>
        <w:t xml:space="preserve">2020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期），这其实是欧洲大多数国家的共同法传统;后者认为,为了履行的便利以及尽可能 实现债的目的，应偏向债权人利益保护，而推定成立连带债务显然最有利于债权人利益的 实现（李中原：《多数人之债的类型建构》，载《法学研究》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期）；而区分论是对上述两种做 法的折中，即在民事领域，偏向于保护作为债务人的普通人，于是选择按份推定，而在商事 领域,其适用对象是商事主体,更追求债权实现的便利，于是选择连带推定。</w:t>
      </w:r>
    </w:p>
    <w:p w14:paraId="78E13C8F">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综上所述，我国现行立法对约定不明的多数人债务的推定规则并没有直接明确的规 定，面对以上三种不同的立法例,我国法官在判案时到底应做何种选择呢？其实，对于此问 题,我国立法虽然没有直接规定，但无论是本案适用的原《民法通则》第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条，还是《民法 典》第</w:t>
      </w:r>
      <w:r>
        <w:rPr>
          <w:rFonts w:ascii="Times New Roman" w:hAnsi="Times New Roman" w:eastAsia="Times New Roman" w:cs="Times New Roman"/>
          <w:color w:val="000000"/>
          <w:spacing w:val="0"/>
          <w:w w:val="100"/>
          <w:position w:val="0"/>
          <w:sz w:val="19"/>
          <w:szCs w:val="19"/>
        </w:rPr>
        <w:t>518</w:t>
      </w:r>
      <w:r>
        <w:rPr>
          <w:color w:val="000000"/>
          <w:spacing w:val="0"/>
          <w:w w:val="100"/>
          <w:position w:val="0"/>
        </w:rPr>
        <w:t>条，均明确规定连带债务成立必须要有法律规定或当事人约定，因此，除非我国 未来立法对上述问题有新的不同规定，否则便不能一般性地推定为连带债务。与我国类 似，《葡萄牙民法典》第</w:t>
      </w:r>
      <w:r>
        <w:rPr>
          <w:rFonts w:ascii="Times New Roman" w:hAnsi="Times New Roman" w:eastAsia="Times New Roman" w:cs="Times New Roman"/>
          <w:color w:val="000000"/>
          <w:spacing w:val="0"/>
          <w:w w:val="100"/>
          <w:position w:val="0"/>
          <w:sz w:val="19"/>
          <w:szCs w:val="19"/>
        </w:rPr>
        <w:t>513</w:t>
      </w:r>
      <w:r>
        <w:rPr>
          <w:color w:val="000000"/>
          <w:spacing w:val="0"/>
          <w:w w:val="100"/>
          <w:position w:val="0"/>
        </w:rPr>
        <w:t>条规定:</w:t>
      </w:r>
      <w:r>
        <w:rPr>
          <w:color w:val="000000"/>
          <w:spacing w:val="0"/>
          <w:w w:val="100"/>
          <w:position w:val="0"/>
          <w:lang w:val="zh-CN" w:eastAsia="zh-CN" w:bidi="zh-CN"/>
        </w:rPr>
        <w:t>“债务</w:t>
      </w:r>
      <w:r>
        <w:rPr>
          <w:color w:val="000000"/>
          <w:spacing w:val="0"/>
          <w:w w:val="100"/>
          <w:position w:val="0"/>
        </w:rPr>
        <w:t>人间或债权人间之连带关系，仅基于法律或当事 人之意思而产生时方成立</w:t>
      </w:r>
      <w:r>
        <w:rPr>
          <w:color w:val="000000"/>
          <w:spacing w:val="0"/>
          <w:w w:val="100"/>
          <w:position w:val="0"/>
          <w:lang w:val="zh-CN" w:eastAsia="zh-CN" w:bidi="zh-CN"/>
        </w:rPr>
        <w:t>。”类</w:t>
      </w:r>
      <w:r>
        <w:rPr>
          <w:color w:val="000000"/>
          <w:spacing w:val="0"/>
          <w:w w:val="100"/>
          <w:position w:val="0"/>
        </w:rPr>
        <w:t>似的规定还有《法国民法典》第</w:t>
      </w:r>
      <w:r>
        <w:rPr>
          <w:rFonts w:ascii="Times New Roman" w:hAnsi="Times New Roman" w:eastAsia="Times New Roman" w:cs="Times New Roman"/>
          <w:color w:val="000000"/>
          <w:spacing w:val="0"/>
          <w:w w:val="100"/>
          <w:position w:val="0"/>
          <w:sz w:val="19"/>
          <w:szCs w:val="19"/>
        </w:rPr>
        <w:t>1202</w:t>
      </w:r>
      <w:r>
        <w:rPr>
          <w:color w:val="000000"/>
          <w:spacing w:val="0"/>
          <w:w w:val="100"/>
          <w:position w:val="0"/>
        </w:rPr>
        <w:t>条、《瑞士债法》第</w:t>
      </w:r>
      <w:r>
        <w:rPr>
          <w:rFonts w:ascii="Times New Roman" w:hAnsi="Times New Roman" w:eastAsia="Times New Roman" w:cs="Times New Roman"/>
          <w:color w:val="000000"/>
          <w:spacing w:val="0"/>
          <w:w w:val="100"/>
          <w:position w:val="0"/>
          <w:sz w:val="19"/>
          <w:szCs w:val="19"/>
        </w:rPr>
        <w:t xml:space="preserve">143 </w:t>
      </w:r>
      <w:r>
        <w:rPr>
          <w:color w:val="000000"/>
          <w:spacing w:val="0"/>
          <w:w w:val="100"/>
          <w:position w:val="0"/>
        </w:rPr>
        <w:t>条和《荷兰民法典》第</w:t>
      </w:r>
      <w:r>
        <w:rPr>
          <w:rFonts w:ascii="Times New Roman" w:hAnsi="Times New Roman" w:eastAsia="Times New Roman" w:cs="Times New Roman"/>
          <w:color w:val="000000"/>
          <w:spacing w:val="0"/>
          <w:w w:val="100"/>
          <w:position w:val="0"/>
          <w:sz w:val="19"/>
          <w:szCs w:val="19"/>
          <w:lang w:val="en-US" w:eastAsia="en-US" w:bidi="en-US"/>
        </w:rPr>
        <w:t>6.</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条等。有学者认为，这些国家其实也是间接地采取了按份债务推 定规则</w:t>
      </w:r>
      <w:r>
        <w:rPr>
          <w:color w:val="000000"/>
          <w:spacing w:val="0"/>
          <w:w w:val="100"/>
          <w:position w:val="0"/>
          <w:lang w:val="en-US" w:eastAsia="en-US" w:bidi="en-US"/>
        </w:rPr>
        <w:t>（［</w:t>
      </w:r>
      <w:r>
        <w:rPr>
          <w:color w:val="000000"/>
          <w:spacing w:val="0"/>
          <w:w w:val="100"/>
          <w:position w:val="0"/>
        </w:rPr>
        <w:t>德］索娅-迈尔：《欧洲合同法中的多数债务人关系》（上），陈大创译，载王洪亮等主编：《中 德私法研究》（第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卷），北京大学出版社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rPr>
        <w:t>页）。故而，本案二审法院判决两个买 受人负连带责任欠妥。</w:t>
      </w:r>
    </w:p>
    <w:p w14:paraId="613D8F68">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本判决的参考意义及将来的课题</w:t>
      </w:r>
    </w:p>
    <w:p w14:paraId="59009930">
      <w:pPr>
        <w:pStyle w:val="17"/>
        <w:keepNext w:val="0"/>
        <w:keepLines w:val="0"/>
        <w:widowControl w:val="0"/>
        <w:shd w:val="clear" w:color="auto" w:fill="auto"/>
        <w:bidi w:val="0"/>
        <w:spacing w:before="0" w:after="340" w:line="342" w:lineRule="exact"/>
        <w:ind w:left="0" w:right="0" w:firstLine="420"/>
        <w:jc w:val="both"/>
      </w:pPr>
      <w:r>
        <w:rPr>
          <w:color w:val="000000"/>
          <w:spacing w:val="0"/>
          <w:w w:val="100"/>
          <w:position w:val="0"/>
        </w:rPr>
        <w:t>二审法院的判决暴露出我国在多数人之债的理论以及立法上的不足，导致此领域争议 颇多,在具体类型上，我国当前立法只规定了按份之债和连带之债，并不能涵盖典型的多数 人之债的分类，应加强对可分之债和不可分之债的理论研究，同时还应考虑我国未来立法 中是否要像传统大陆法系国家一样明确规定之。至于数个债务人对同一债务负有履行义 务的，若没有明确约定其债务形式,应该对《民法典》第</w:t>
      </w:r>
      <w:r>
        <w:rPr>
          <w:rFonts w:ascii="Times New Roman" w:hAnsi="Times New Roman" w:eastAsia="Times New Roman" w:cs="Times New Roman"/>
          <w:color w:val="000000"/>
          <w:spacing w:val="0"/>
          <w:w w:val="100"/>
          <w:position w:val="0"/>
          <w:sz w:val="19"/>
          <w:szCs w:val="19"/>
        </w:rPr>
        <w:t>518</w:t>
      </w:r>
      <w:r>
        <w:rPr>
          <w:color w:val="000000"/>
          <w:spacing w:val="0"/>
          <w:w w:val="100"/>
          <w:position w:val="0"/>
        </w:rPr>
        <w:t>条的规定进行反面解释而作出 按份债务的推定。未来在此问题上，我国立法是否要改变其立场而明确规定，尚待进一步 研究。</w:t>
      </w:r>
    </w:p>
    <w:p w14:paraId="21FAF14D">
      <w:pPr>
        <w:pStyle w:val="11"/>
        <w:keepNext w:val="0"/>
        <w:keepLines w:val="0"/>
        <w:widowControl w:val="0"/>
        <w:shd w:val="clear" w:color="auto" w:fill="auto"/>
        <w:bidi w:val="0"/>
        <w:spacing w:before="0" w:after="0" w:line="350" w:lineRule="exact"/>
        <w:ind w:left="0" w:right="0" w:firstLine="0"/>
        <w:jc w:val="both"/>
      </w:pPr>
      <w:r>
        <w:rPr>
          <w:color w:val="000000"/>
          <w:spacing w:val="0"/>
          <w:w w:val="100"/>
          <w:position w:val="0"/>
        </w:rPr>
        <w:t>回参考文献</w:t>
      </w:r>
    </w:p>
    <w:p w14:paraId="00AF4FCC">
      <w:pPr>
        <w:pStyle w:val="17"/>
        <w:keepNext w:val="0"/>
        <w:keepLines w:val="0"/>
        <w:widowControl w:val="0"/>
        <w:shd w:val="clear" w:color="auto" w:fill="auto"/>
        <w:bidi w:val="0"/>
        <w:spacing w:before="0" w:after="0" w:line="350" w:lineRule="exact"/>
        <w:ind w:left="0" w:right="0" w:firstLine="0"/>
        <w:jc w:val="both"/>
      </w:pPr>
      <w:r>
        <w:rPr>
          <w:color w:val="000000"/>
          <w:spacing w:val="0"/>
          <w:w w:val="100"/>
          <w:position w:val="0"/>
        </w:rPr>
        <w:t>张玉敏:《论我国多数人之债制度的完善》，载《现代法学》</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FF5D1F1">
      <w:pPr>
        <w:pStyle w:val="17"/>
        <w:keepNext w:val="0"/>
        <w:keepLines w:val="0"/>
        <w:widowControl w:val="0"/>
        <w:shd w:val="clear" w:color="auto" w:fill="auto"/>
        <w:bidi w:val="0"/>
        <w:spacing w:before="0" w:after="0" w:line="350" w:lineRule="exact"/>
        <w:ind w:left="0" w:right="0" w:firstLine="0"/>
        <w:jc w:val="both"/>
      </w:pPr>
      <w:r>
        <w:rPr>
          <w:color w:val="000000"/>
          <w:spacing w:val="0"/>
          <w:w w:val="100"/>
          <w:position w:val="0"/>
        </w:rPr>
        <w:t>齐云：《不可分之债研究》，法律出版社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583234F3">
      <w:pPr>
        <w:pStyle w:val="17"/>
        <w:keepNext w:val="0"/>
        <w:keepLines w:val="0"/>
        <w:widowControl w:val="0"/>
        <w:shd w:val="clear" w:color="auto" w:fill="auto"/>
        <w:bidi w:val="0"/>
        <w:spacing w:before="0" w:after="0" w:line="298" w:lineRule="exact"/>
        <w:ind w:left="200" w:right="0" w:hanging="200"/>
        <w:jc w:val="both"/>
      </w:pPr>
      <w:r>
        <w:rPr>
          <w:color w:val="000000"/>
          <w:spacing w:val="0"/>
          <w:w w:val="100"/>
          <w:position w:val="0"/>
        </w:rPr>
        <w:t>［德］克里斯蒂安-冯-巴尔主编：《欧洲私法的原则、定义与示范规则：欧洲示范民法典草案》，高圣平 等译，法律出版社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 ~3</w:t>
      </w:r>
      <w:r>
        <w:rPr>
          <w:color w:val="000000"/>
          <w:spacing w:val="0"/>
          <w:w w:val="100"/>
          <w:position w:val="0"/>
        </w:rPr>
        <w:t>卷。</w:t>
      </w:r>
    </w:p>
    <w:p w14:paraId="6473FF94">
      <w:pPr>
        <w:pStyle w:val="17"/>
        <w:keepNext w:val="0"/>
        <w:keepLines w:val="0"/>
        <w:widowControl w:val="0"/>
        <w:shd w:val="clear" w:color="auto" w:fill="auto"/>
        <w:bidi w:val="0"/>
        <w:spacing w:before="0" w:after="0" w:line="298" w:lineRule="exact"/>
        <w:ind w:left="200" w:right="0" w:hanging="200"/>
        <w:jc w:val="both"/>
      </w:pPr>
      <w:r>
        <w:rPr>
          <w:color w:val="000000"/>
          <w:spacing w:val="0"/>
          <w:w w:val="100"/>
          <w:position w:val="0"/>
        </w:rPr>
        <w:t>［德］索娅-迈尔：《欧洲合同法中的多数债务人关系》（上），陈大创译，载王洪亮等主编：《中德私法研 究》（第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卷），北京大学出版社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0F77F05A">
      <w:pPr>
        <w:pStyle w:val="17"/>
        <w:keepNext w:val="0"/>
        <w:keepLines w:val="0"/>
        <w:widowControl w:val="0"/>
        <w:shd w:val="clear" w:color="auto" w:fill="auto"/>
        <w:bidi w:val="0"/>
        <w:spacing w:before="0" w:after="0" w:line="298" w:lineRule="exact"/>
        <w:ind w:left="0" w:right="0" w:firstLine="0"/>
        <w:jc w:val="both"/>
      </w:pPr>
      <w:r>
        <w:rPr>
          <w:color w:val="000000"/>
          <w:spacing w:val="0"/>
          <w:w w:val="100"/>
          <w:position w:val="0"/>
        </w:rPr>
        <w:t>李中原：《多数人之债的类型建构》，载《法学研究》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6FFC54AE">
      <w:pPr>
        <w:pStyle w:val="17"/>
        <w:keepNext w:val="0"/>
        <w:keepLines w:val="0"/>
        <w:widowControl w:val="0"/>
        <w:shd w:val="clear" w:color="auto" w:fill="auto"/>
        <w:bidi w:val="0"/>
        <w:spacing w:before="0" w:after="0" w:line="350" w:lineRule="exact"/>
        <w:ind w:left="0" w:right="0" w:firstLine="0"/>
        <w:jc w:val="both"/>
        <w:sectPr>
          <w:headerReference r:id="rId362" w:type="default"/>
          <w:headerReference r:id="rId363" w:type="even"/>
          <w:footnotePr>
            <w:numFmt w:val="chicago"/>
          </w:footnotePr>
          <w:pgSz w:w="10099" w:h="14782"/>
          <w:pgMar w:top="1249" w:right="1075" w:bottom="1120" w:left="1021" w:header="0" w:footer="3" w:gutter="0"/>
          <w:pgNumType w:start="292"/>
          <w:cols w:space="720" w:num="1"/>
          <w:rtlGutter w:val="0"/>
          <w:docGrid w:linePitch="360" w:charSpace="0"/>
        </w:sectPr>
      </w:pPr>
      <w:r>
        <w:rPr>
          <w:color w:val="000000"/>
          <w:spacing w:val="0"/>
          <w:w w:val="100"/>
          <w:position w:val="0"/>
        </w:rPr>
        <w:t>齐云:《论协同之债》，载《法商研究》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F68EE86">
      <w:pPr>
        <w:widowControl w:val="0"/>
        <w:spacing w:line="103" w:lineRule="exact"/>
        <w:rPr>
          <w:sz w:val="8"/>
          <w:szCs w:val="8"/>
        </w:rPr>
      </w:pPr>
    </w:p>
    <w:p w14:paraId="261885BB">
      <w:pPr>
        <w:widowControl w:val="0"/>
        <w:spacing w:line="1" w:lineRule="exact"/>
        <w:sectPr>
          <w:headerReference r:id="rId366" w:type="first"/>
          <w:headerReference r:id="rId364" w:type="default"/>
          <w:headerReference r:id="rId365" w:type="even"/>
          <w:footnotePr>
            <w:numFmt w:val="chicago"/>
          </w:footnotePr>
          <w:pgSz w:w="10099" w:h="14782"/>
          <w:pgMar w:top="1302" w:right="1001" w:bottom="1094" w:left="1095" w:header="0" w:footer="3" w:gutter="0"/>
          <w:pgNumType w:start="312"/>
          <w:cols w:space="720" w:num="1"/>
          <w:titlePg/>
          <w:rtlGutter w:val="0"/>
          <w:docGrid w:linePitch="360" w:charSpace="0"/>
        </w:sectPr>
      </w:pPr>
    </w:p>
    <w:p w14:paraId="619E4623">
      <w:pPr>
        <w:widowControl w:val="0"/>
        <w:spacing w:line="1" w:lineRule="exact"/>
      </w:pPr>
      <w:r>
        <w:drawing>
          <wp:anchor distT="0" distB="0" distL="114300" distR="1065530" simplePos="0" relativeHeight="251660288" behindDoc="0" locked="0" layoutInCell="1" allowOverlap="1">
            <wp:simplePos x="0" y="0"/>
            <wp:positionH relativeFrom="page">
              <wp:posOffset>723265</wp:posOffset>
            </wp:positionH>
            <wp:positionV relativeFrom="paragraph">
              <wp:posOffset>12700</wp:posOffset>
            </wp:positionV>
            <wp:extent cx="481330" cy="408305"/>
            <wp:effectExtent l="0" t="0" r="1270" b="10795"/>
            <wp:wrapTopAndBottom/>
            <wp:docPr id="843" name="Shape 843"/>
            <wp:cNvGraphicFramePr/>
            <a:graphic xmlns:a="http://schemas.openxmlformats.org/drawingml/2006/main">
              <a:graphicData uri="http://schemas.openxmlformats.org/drawingml/2006/picture">
                <pic:pic xmlns:pic="http://schemas.openxmlformats.org/drawingml/2006/picture">
                  <pic:nvPicPr>
                    <pic:cNvPr id="843" name="Shape 843"/>
                    <pic:cNvPicPr/>
                  </pic:nvPicPr>
                  <pic:blipFill>
                    <a:blip r:embed="rId668"/>
                    <a:stretch>
                      <a:fillRect/>
                    </a:stretch>
                  </pic:blipFill>
                  <pic:spPr>
                    <a:xfrm>
                      <a:off x="0" y="0"/>
                      <a:ext cx="481330" cy="408305"/>
                    </a:xfrm>
                    <a:prstGeom prst="rect">
                      <a:avLst/>
                    </a:prstGeom>
                  </pic:spPr>
                </pic:pic>
              </a:graphicData>
            </a:graphic>
          </wp:anchor>
        </w:drawing>
      </w:r>
      <w:r>
        <mc:AlternateContent>
          <mc:Choice Requires="wps">
            <w:drawing>
              <wp:anchor distT="130810" distB="40005" distL="730250" distR="114300" simplePos="0" relativeHeight="251660288" behindDoc="0" locked="0" layoutInCell="1" allowOverlap="1">
                <wp:simplePos x="0" y="0"/>
                <wp:positionH relativeFrom="page">
                  <wp:posOffset>1339215</wp:posOffset>
                </wp:positionH>
                <wp:positionV relativeFrom="paragraph">
                  <wp:posOffset>143510</wp:posOffset>
                </wp:positionV>
                <wp:extent cx="816610" cy="237490"/>
                <wp:effectExtent l="0" t="0" r="0" b="0"/>
                <wp:wrapTopAndBottom/>
                <wp:docPr id="845" name="Shape 845"/>
                <wp:cNvGraphicFramePr/>
                <a:graphic xmlns:a="http://schemas.openxmlformats.org/drawingml/2006/main">
                  <a:graphicData uri="http://schemas.microsoft.com/office/word/2010/wordprocessingShape">
                    <wps:wsp>
                      <wps:cNvSpPr txBox="1"/>
                      <wps:spPr>
                        <a:xfrm>
                          <a:off x="0" y="0"/>
                          <a:ext cx="816610" cy="237490"/>
                        </a:xfrm>
                        <a:prstGeom prst="rect">
                          <a:avLst/>
                        </a:prstGeom>
                        <a:noFill/>
                      </wps:spPr>
                      <wps:txbx>
                        <w:txbxContent>
                          <w:p w14:paraId="261A7A76">
                            <w:pPr>
                              <w:pStyle w:val="15"/>
                              <w:keepNext/>
                              <w:keepLines/>
                              <w:widowControl w:val="0"/>
                              <w:shd w:val="clear" w:color="auto" w:fill="auto"/>
                              <w:bidi w:val="0"/>
                              <w:spacing w:before="0" w:after="0" w:line="240" w:lineRule="auto"/>
                              <w:ind w:left="0" w:right="0" w:firstLine="0"/>
                              <w:jc w:val="center"/>
                            </w:pPr>
                            <w:bookmarkStart w:id="477" w:name="bookmark380"/>
                            <w:bookmarkStart w:id="478" w:name="bookmark379"/>
                            <w:bookmarkStart w:id="479" w:name="bookmark381"/>
                            <w:r>
                              <w:rPr>
                                <w:color w:val="000000"/>
                                <w:spacing w:val="0"/>
                                <w:w w:val="100"/>
                                <w:position w:val="0"/>
                              </w:rPr>
                              <w:t>利他合同</w:t>
                            </w:r>
                            <w:bookmarkEnd w:id="477"/>
                            <w:bookmarkEnd w:id="478"/>
                            <w:bookmarkEnd w:id="479"/>
                          </w:p>
                        </w:txbxContent>
                      </wps:txbx>
                      <wps:bodyPr wrap="none" lIns="0" tIns="0" rIns="0" bIns="0">
                        <a:noAutofit/>
                      </wps:bodyPr>
                    </wps:wsp>
                  </a:graphicData>
                </a:graphic>
              </wp:anchor>
            </w:drawing>
          </mc:Choice>
          <mc:Fallback>
            <w:pict>
              <v:shape id="Shape 845" o:spid="_x0000_s1026" o:spt="202" type="#_x0000_t202" style="position:absolute;left:0pt;margin-left:105.45pt;margin-top:11.3pt;height:18.7pt;width:64.3pt;mso-position-horizontal-relative:page;mso-wrap-distance-bottom:3.15pt;mso-wrap-distance-top:10.3pt;mso-wrap-style:none;z-index:251660288;mso-width-relative:page;mso-height-relative:page;" filled="f" stroked="f" coordsize="21600,21600" o:gfxdata="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eTm6vX&#10;AAAACQEAAA8AAAAAAAAAAQAgAAAAIgAAAGRycy9kb3ducmV2LnhtbFBLAQIUABQAAAAIAIdO4kBJ&#10;bSG9rwEAAHMDAAAOAAAAAAAAAAEAIAAAACYBAABkcnMvZTJvRG9jLnhtbFBLBQYAAAAABgAGAFkB&#10;AABHBQAAAAA=&#10;">
                <v:fill on="f" focussize="0,0"/>
                <v:stroke on="f"/>
                <v:imagedata o:title=""/>
                <o:lock v:ext="edit" aspectratio="f"/>
                <v:textbox inset="0mm,0mm,0mm,0mm">
                  <w:txbxContent>
                    <w:p w14:paraId="261A7A76">
                      <w:pPr>
                        <w:pStyle w:val="15"/>
                        <w:keepNext/>
                        <w:keepLines/>
                        <w:widowControl w:val="0"/>
                        <w:shd w:val="clear" w:color="auto" w:fill="auto"/>
                        <w:bidi w:val="0"/>
                        <w:spacing w:before="0" w:after="0" w:line="240" w:lineRule="auto"/>
                        <w:ind w:left="0" w:right="0" w:firstLine="0"/>
                        <w:jc w:val="center"/>
                      </w:pPr>
                      <w:bookmarkStart w:id="477" w:name="bookmark380"/>
                      <w:bookmarkStart w:id="478" w:name="bookmark379"/>
                      <w:bookmarkStart w:id="479" w:name="bookmark381"/>
                      <w:r>
                        <w:rPr>
                          <w:color w:val="000000"/>
                          <w:spacing w:val="0"/>
                          <w:w w:val="100"/>
                          <w:position w:val="0"/>
                        </w:rPr>
                        <w:t>利他合同</w:t>
                      </w:r>
                      <w:bookmarkEnd w:id="477"/>
                      <w:bookmarkEnd w:id="478"/>
                      <w:bookmarkEnd w:id="479"/>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5133975</wp:posOffset>
            </wp:positionH>
            <wp:positionV relativeFrom="paragraph">
              <wp:posOffset>262255</wp:posOffset>
            </wp:positionV>
            <wp:extent cx="585470" cy="621665"/>
            <wp:effectExtent l="0" t="0" r="11430" b="635"/>
            <wp:wrapSquare wrapText="left"/>
            <wp:docPr id="847" name="Shape 847"/>
            <wp:cNvGraphicFramePr/>
            <a:graphic xmlns:a="http://schemas.openxmlformats.org/drawingml/2006/main">
              <a:graphicData uri="http://schemas.openxmlformats.org/drawingml/2006/picture">
                <pic:pic xmlns:pic="http://schemas.openxmlformats.org/drawingml/2006/picture">
                  <pic:nvPicPr>
                    <pic:cNvPr id="847" name="Shape 847"/>
                    <pic:cNvPicPr/>
                  </pic:nvPicPr>
                  <pic:blipFill>
                    <a:blip r:embed="rId669"/>
                    <a:stretch>
                      <a:fillRect/>
                    </a:stretch>
                  </pic:blipFill>
                  <pic:spPr>
                    <a:xfrm>
                      <a:off x="0" y="0"/>
                      <a:ext cx="585470" cy="621665"/>
                    </a:xfrm>
                    <a:prstGeom prst="rect">
                      <a:avLst/>
                    </a:prstGeom>
                  </pic:spPr>
                </pic:pic>
              </a:graphicData>
            </a:graphic>
          </wp:anchor>
        </w:drawing>
      </w:r>
    </w:p>
    <w:p w14:paraId="6D997F75">
      <w:pPr>
        <w:pStyle w:val="17"/>
        <w:keepNext w:val="0"/>
        <w:keepLines w:val="0"/>
        <w:widowControl w:val="0"/>
        <w:shd w:val="clear" w:color="auto" w:fill="auto"/>
        <w:bidi w:val="0"/>
        <w:spacing w:before="0" w:after="80" w:line="240" w:lineRule="auto"/>
        <w:ind w:left="0" w:right="0" w:firstLine="1000"/>
        <w:jc w:val="left"/>
      </w:pPr>
      <w:r>
        <w:rPr>
          <w:color w:val="000000"/>
          <w:spacing w:val="0"/>
          <w:w w:val="100"/>
          <w:position w:val="0"/>
        </w:rPr>
        <w:t>黄以霞等诉王明然等买卖合同案丨江苏省宿迁市中级人民法院</w:t>
      </w:r>
    </w:p>
    <w:p w14:paraId="0BE0C9FC">
      <w:pPr>
        <w:pStyle w:val="17"/>
        <w:keepNext w:val="0"/>
        <w:keepLines w:val="0"/>
        <w:widowControl w:val="0"/>
        <w:shd w:val="clear" w:color="auto" w:fill="auto"/>
        <w:bidi w:val="0"/>
        <w:spacing w:before="0" w:after="380" w:line="240" w:lineRule="auto"/>
        <w:ind w:left="0" w:right="0" w:firstLine="1000"/>
        <w:jc w:val="left"/>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宿中民二终字第</w:t>
      </w:r>
      <w:r>
        <w:rPr>
          <w:rFonts w:ascii="Times New Roman" w:hAnsi="Times New Roman" w:eastAsia="Times New Roman" w:cs="Times New Roman"/>
          <w:color w:val="000000"/>
          <w:spacing w:val="0"/>
          <w:w w:val="100"/>
          <w:position w:val="0"/>
          <w:sz w:val="19"/>
          <w:szCs w:val="19"/>
        </w:rPr>
        <w:t>0187</w:t>
      </w:r>
      <w:r>
        <w:rPr>
          <w:color w:val="000000"/>
          <w:spacing w:val="0"/>
          <w:w w:val="100"/>
          <w:position w:val="0"/>
        </w:rPr>
        <w:t>号民事判决书</w:t>
      </w:r>
    </w:p>
    <w:p w14:paraId="1A26C364">
      <w:pPr>
        <w:pStyle w:val="33"/>
        <w:keepNext w:val="0"/>
        <w:keepLines w:val="0"/>
        <w:widowControl w:val="0"/>
        <w:shd w:val="clear" w:color="auto" w:fill="auto"/>
        <w:bidi w:val="0"/>
        <w:spacing w:before="0" w:after="1420" w:line="240" w:lineRule="auto"/>
        <w:ind w:left="0" w:right="0" w:firstLine="0"/>
        <w:jc w:val="right"/>
      </w:pPr>
      <w:r>
        <w:rPr>
          <w:color w:val="000000"/>
          <w:spacing w:val="0"/>
          <w:w w:val="100"/>
          <w:position w:val="0"/>
          <w:sz w:val="18"/>
          <w:szCs w:val="18"/>
        </w:rPr>
        <w:t>薛军</w:t>
      </w:r>
      <w:r>
        <w:rPr>
          <w:color w:val="000000"/>
          <w:spacing w:val="0"/>
          <w:w w:val="100"/>
          <w:position w:val="0"/>
        </w:rPr>
        <w:t>北京大学法学院</w:t>
      </w:r>
    </w:p>
    <w:p w14:paraId="5DA5142A">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8348FE9">
      <w:pPr>
        <w:pStyle w:val="17"/>
        <w:keepNext w:val="0"/>
        <w:keepLines w:val="0"/>
        <w:widowControl w:val="0"/>
        <w:shd w:val="clear" w:color="auto" w:fill="auto"/>
        <w:bidi w:val="0"/>
        <w:spacing w:before="0" w:after="0" w:line="354" w:lineRule="exact"/>
        <w:ind w:left="0" w:right="0" w:firstLine="420"/>
        <w:jc w:val="both"/>
      </w:pPr>
      <w:r>
        <w:rPr>
          <w:color w:val="000000"/>
          <w:spacing w:val="0"/>
          <w:w w:val="100"/>
          <w:position w:val="0"/>
        </w:rPr>
        <w:t>本案诉讼原告（二审被上诉人）为黄以霞等</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人。诉讼第一被告（二审上诉人）为王明 然。诉讼第二被告（二审上诉人）为泗阳县辛迪加食品有限公司（以下简称辛迪加公司）。 该公司的法定代表人为王明然。</w:t>
      </w:r>
    </w:p>
    <w:p w14:paraId="5A980E55">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本案原告黄以霞等</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人系原泗阳县糖果食品厂职工，糖果厂于</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 xml:space="preserve">年被宣告破产。 </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日，被告王明然以人民币</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万元价格竞买成交糖果厂实物资产，并交付了价 款</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万元。同年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日，被告与原糖果厂破产清算组签订了实物资产拍卖出售协议书， 该协议约定:原糖果厂实物资产受让总金额为</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万元，王明然取得所有权，王明然组合原企 业全体在册职工，并依照法律、法规保障职工的合法权益。原企业职工的工龄要在乙方新 建的企业中连续计算，并办理劳动关系变更手续。同年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日，被告王明然与原糖果厂 破产清算组办理了资产交接手续。同年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日，被告王明然与另外</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人以上述买受的 资产注册成立了辛迪加公司并由其任公司董事长。但本案原告黄以霞等人与被告辛迪加 公司一直没有建立劳动关系。鉴于原糖果厂破产还债程序已经终结，破产清算组已经解 散，被告一直未能履行</w:t>
      </w:r>
      <w:r>
        <w:rPr>
          <w:color w:val="000000"/>
          <w:spacing w:val="0"/>
          <w:w w:val="100"/>
          <w:position w:val="0"/>
          <w:lang w:val="zh-CN" w:eastAsia="zh-CN" w:bidi="zh-CN"/>
        </w:rPr>
        <w:t>“组合”义务</w:t>
      </w:r>
      <w:r>
        <w:rPr>
          <w:color w:val="000000"/>
          <w:spacing w:val="0"/>
          <w:w w:val="100"/>
          <w:position w:val="0"/>
        </w:rPr>
        <w:t>，未吸收原告进该企业工作，未为原告办理和缴纳养老保 险，未支付原告最低生活费，更未偿付解除劳动合同补偿金，原告起诉要求判令王明然和辛迪 加公司依照劳动部门测算的数额偿付原告生活费、解除劳动合同补偿金和应缴纳养老保险费。</w:t>
      </w:r>
    </w:p>
    <w:p w14:paraId="1DE8C29B">
      <w:pPr>
        <w:pStyle w:val="17"/>
        <w:keepNext w:val="0"/>
        <w:keepLines w:val="0"/>
        <w:widowControl w:val="0"/>
        <w:shd w:val="clear" w:color="auto" w:fill="auto"/>
        <w:bidi w:val="0"/>
        <w:spacing w:before="0" w:after="380" w:line="344" w:lineRule="exact"/>
        <w:ind w:left="0" w:right="0" w:firstLine="420"/>
        <w:jc w:val="both"/>
      </w:pPr>
      <w:r>
        <w:rPr>
          <w:color w:val="000000"/>
          <w:spacing w:val="0"/>
          <w:w w:val="100"/>
          <w:position w:val="0"/>
        </w:rPr>
        <w:t>被告王明然辩称，原告与被告之间从未订立过劳动合同，也未订立过安置合同或其他 合同,双方不存在合同法律关系;实物资产拍卖出售协议的主体与原告没有关系，原告依据 该协议主张权益是错误的、不适格的;原告起诉无合同和法律依据。另外，原告起诉已经超 过诉讼时效。</w:t>
      </w:r>
    </w:p>
    <w:p w14:paraId="5832DEEC">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58537BC8">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判决驳回上诉，维持原判。</w:t>
      </w:r>
    </w:p>
    <w:p w14:paraId="2032DEFF">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江苏省泗阳县人民法院认为，本案被告王明然在原糖果厂破产还债程序中，经过依法 竞争买受原糖果厂实物资产，并与破产清算组就资产买卖双方的权利义务订立了实物资产 拍卖出售协议书，是双方真实意思表示,该协议依法成立并发生法律效力。与被告王明然 订立财产转让协议的行为是破产清算组在破产清算过程中依法处置企业破产财产的行为， 其首要和根本的目的是安置原破产企业职工，因此该破产资产买卖协议在形式上表现为一 种原因行为,但更重要的是依附于而又相对独立于破产资产买卖这一原因行为而存在的第 三人约款，即约定由资产买受人履行对合同当事人以外的原破产企业在册职工进行依法安 置的义务。第三人约款的相对独立性使利益第三人对义务人依约定取得了直接请求权。 本案中，原糖果厂破产清算组按协议约定向被告王明然交付了原糖果厂的实物资产，其合 同义务已经正确和全面履行。被告王明然除了应当向破产清算组交付协议价款外,还应当 依据协议约定，诚信、全面、正确地履行更重要的义务，即安置原企业破产时全部在册职工。 被告王明然对符合协议约定的组合安置条件的职工未能按约定的组合标准履行安置义务 属违约行为，应当依法承担违约责任。享有安置利益的职工有权依法直接请求被告王明然 履行义务或赔偿损失。另外，鉴于直接享有安置利益的原糖果厂职工高传刚、徐荣花已经 死亡，他们各自的法定继承人有权依据继承法的规定主张被继承人生前相应的权利。因被 告辛迪加公司不是买卖合同主体,也不是安置职工的义务主体，涉诉职工与被告辛迪加公 司没有建立劳动关系或合同关系,故对原告要求被告辛迪加公司与被告王明然共同承担赔 偿责任的诉讼请求不予支持。</w:t>
      </w:r>
    </w:p>
    <w:p w14:paraId="47E7527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江苏省泗阳县人民法院所列实体法上的裁判依据是《继承法》第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条;《合同法》 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91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项、第</w:t>
      </w:r>
      <w:r>
        <w:rPr>
          <w:rFonts w:ascii="Times New Roman" w:hAnsi="Times New Roman" w:eastAsia="Times New Roman" w:cs="Times New Roman"/>
          <w:color w:val="000000"/>
          <w:spacing w:val="0"/>
          <w:w w:val="100"/>
          <w:position w:val="0"/>
          <w:sz w:val="19"/>
          <w:szCs w:val="19"/>
        </w:rPr>
        <w:t>107</w:t>
      </w:r>
      <w:r>
        <w:rPr>
          <w:color w:val="000000"/>
          <w:spacing w:val="0"/>
          <w:w w:val="100"/>
          <w:position w:val="0"/>
        </w:rPr>
        <w:t>条。</w:t>
      </w:r>
    </w:p>
    <w:p w14:paraId="18BD5903">
      <w:pPr>
        <w:pStyle w:val="17"/>
        <w:keepNext w:val="0"/>
        <w:keepLines w:val="0"/>
        <w:widowControl w:val="0"/>
        <w:shd w:val="clear" w:color="auto" w:fill="auto"/>
        <w:bidi w:val="0"/>
        <w:spacing w:before="0" w:after="380" w:line="342" w:lineRule="exact"/>
        <w:ind w:left="0" w:right="0" w:firstLine="420"/>
        <w:jc w:val="both"/>
      </w:pPr>
      <w:r>
        <w:rPr>
          <w:color w:val="000000"/>
          <w:spacing w:val="0"/>
          <w:w w:val="100"/>
          <w:position w:val="0"/>
        </w:rPr>
        <w:t>二审法院江苏省宿迁市中级人民法院认为，因签订协议书的双方当事人是泗阳县糖果 厂清算组与王明然，本案的被上诉人仅是利益第三人，该协议书也没有送达给被上诉人。 上诉人没有充分证据证明被上诉人知道或应当知道该合同的全部内容。因此对上诉人主 张被上诉人的起诉已经超过诉讼时效的主张不予支持。</w:t>
      </w:r>
    </w:p>
    <w:p w14:paraId="647A9227">
      <w:pPr>
        <w:pStyle w:val="11"/>
        <w:keepNext w:val="0"/>
        <w:keepLines w:val="0"/>
        <w:widowControl w:val="0"/>
        <w:shd w:val="clear" w:color="auto" w:fill="auto"/>
        <w:bidi w:val="0"/>
        <w:spacing w:before="0" w:after="240" w:line="343" w:lineRule="exact"/>
        <w:ind w:left="0" w:right="0" w:firstLine="0"/>
        <w:jc w:val="both"/>
      </w:pPr>
      <w:r>
        <w:rPr>
          <w:color w:val="000000"/>
          <w:spacing w:val="0"/>
          <w:w w:val="100"/>
          <w:position w:val="0"/>
        </w:rPr>
        <w:t>■评析</w:t>
      </w:r>
    </w:p>
    <w:p w14:paraId="6A67B7BC">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判决的思路及意义</w:t>
      </w:r>
    </w:p>
    <w:p w14:paraId="54EA746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本案所渉的关键法律问题是，在当事人订立的资产买卖合同中，特别约定了买受人应 当对第三人履行相应义务的利益第三人约款。而相关的受益第三人未以任何方式参与资 产买卖合同的订立，不是合同一方当事人,也未对相关的约定表示同意接受。在这种情况 下，受益第三人是否可以针对允诺人（也就是买卖合同关系中的资产买受人）享有直接的履 行请求权？后者是否可以基于合同效力的相对性原则，主张受益第三人不是合同一方当事 人，因此不是适格的原告？对于这一问题，一审、二审法院在判决中均明确认可，受益第三人 可以基于合同中的利益第三人约款，而享有直接的履行请求权。如果允诺人违约不履行相 应的义务,该第三人可以要求违约损害赔偿。</w:t>
      </w:r>
    </w:p>
    <w:p w14:paraId="7C4E887A">
      <w:pPr>
        <w:pStyle w:val="17"/>
        <w:keepNext w:val="0"/>
        <w:keepLines w:val="0"/>
        <w:widowControl w:val="0"/>
        <w:shd w:val="clear" w:color="auto" w:fill="auto"/>
        <w:bidi w:val="0"/>
        <w:spacing w:before="0" w:after="0" w:line="343" w:lineRule="exact"/>
        <w:ind w:left="0" w:right="0" w:firstLine="420"/>
        <w:jc w:val="both"/>
        <w:sectPr>
          <w:footnotePr>
            <w:numFmt w:val="chicago"/>
          </w:footnotePr>
          <w:type w:val="continuous"/>
          <w:pgSz w:w="10099" w:h="14782"/>
          <w:pgMar w:top="1302" w:right="1001" w:bottom="1094" w:left="1095" w:header="0" w:footer="3" w:gutter="0"/>
          <w:cols w:space="720" w:num="1"/>
          <w:rtlGutter w:val="0"/>
          <w:docGrid w:linePitch="360" w:charSpace="0"/>
        </w:sectPr>
      </w:pPr>
      <w:r>
        <w:rPr>
          <w:color w:val="000000"/>
          <w:spacing w:val="0"/>
          <w:w w:val="100"/>
          <w:position w:val="0"/>
        </w:rPr>
        <w:t xml:space="preserve">法院对此案的裁判思路，完全契合民事立法与理论上通行的利他合同的基本理论和制 度构造，认同利益第三人可以基于他人订立的合同中的利益第三人约款，享有直接的履行 </w:t>
      </w:r>
    </w:p>
    <w:p w14:paraId="742ACC38">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请求权。这一裁判对于厘定利他合同的基本法理,具有重要参考价值。</w:t>
      </w:r>
    </w:p>
    <w:p w14:paraId="17F8B39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不仅如此,此案判决还涉及利他合同制度构造中的多项重要基础性的问题，值得关注</w:t>
      </w:r>
      <w:r>
        <w:rPr>
          <w:rFonts w:ascii="Times New Roman" w:hAnsi="Times New Roman" w:eastAsia="Times New Roman" w:cs="Times New Roman"/>
          <w:color w:val="000000"/>
          <w:spacing w:val="0"/>
          <w:w w:val="100"/>
          <w:position w:val="0"/>
          <w:sz w:val="19"/>
          <w:szCs w:val="19"/>
          <w:lang w:val="en-US" w:eastAsia="en-US" w:bidi="en-US"/>
        </w:rPr>
        <w:t xml:space="preserve">O </w:t>
      </w:r>
      <w:r>
        <w:rPr>
          <w:color w:val="000000"/>
          <w:spacing w:val="0"/>
          <w:w w:val="100"/>
          <w:position w:val="0"/>
        </w:rPr>
        <w:t>此案中若干受益第三人已经去世，其权益应该如何处置？这一问题的解决,取决于一个重 要前提，也即对受益第三人取得相应权利的时间节点的认定。对此，法院认为,就原则而言, 受益第三人约款随着合同的成立生效一同成立与生效，而一旦正常生效，受益第三人即取 得相应权利，而不需要其他诸如相关第三人</w:t>
      </w:r>
      <w:r>
        <w:rPr>
          <w:color w:val="000000"/>
          <w:spacing w:val="0"/>
          <w:w w:val="100"/>
          <w:position w:val="0"/>
          <w:lang w:val="zh-CN" w:eastAsia="zh-CN" w:bidi="zh-CN"/>
        </w:rPr>
        <w:t>“同</w:t>
      </w:r>
      <w:r>
        <w:rPr>
          <w:color w:val="000000"/>
          <w:spacing w:val="0"/>
          <w:w w:val="100"/>
          <w:position w:val="0"/>
        </w:rPr>
        <w:t>意接受</w:t>
      </w:r>
      <w:r>
        <w:rPr>
          <w:color w:val="000000"/>
          <w:spacing w:val="0"/>
          <w:w w:val="100"/>
          <w:position w:val="0"/>
          <w:lang w:val="zh-CN" w:eastAsia="zh-CN" w:bidi="zh-CN"/>
        </w:rPr>
        <w:t>”“实</w:t>
      </w:r>
      <w:r>
        <w:rPr>
          <w:color w:val="000000"/>
          <w:spacing w:val="0"/>
          <w:w w:val="100"/>
          <w:position w:val="0"/>
        </w:rPr>
        <w:t>际知晓</w:t>
      </w:r>
      <w:r>
        <w:rPr>
          <w:color w:val="000000"/>
          <w:spacing w:val="0"/>
          <w:w w:val="100"/>
          <w:position w:val="0"/>
          <w:lang w:val="zh-CN" w:eastAsia="zh-CN" w:bidi="zh-CN"/>
        </w:rPr>
        <w:t>”“未</w:t>
      </w:r>
      <w:r>
        <w:rPr>
          <w:color w:val="000000"/>
          <w:spacing w:val="0"/>
          <w:w w:val="100"/>
          <w:position w:val="0"/>
        </w:rPr>
        <w:t>加拒绝</w:t>
      </w:r>
      <w:r>
        <w:rPr>
          <w:color w:val="000000"/>
          <w:spacing w:val="0"/>
          <w:w w:val="100"/>
          <w:position w:val="0"/>
          <w:lang w:val="zh-CN" w:eastAsia="zh-CN" w:bidi="zh-CN"/>
        </w:rPr>
        <w:t>”之</w:t>
      </w:r>
      <w:r>
        <w:rPr>
          <w:color w:val="000000"/>
          <w:spacing w:val="0"/>
          <w:w w:val="100"/>
          <w:position w:val="0"/>
        </w:rPr>
        <w:t>类的附 加条件。因此,即使受益第三人在主张权利之前去世，也同样被认为已经取得了相关权利， 并且这一权利可以由其继承人继承。本案中，法院对这一问题的裁判思路值得赞同。</w:t>
      </w:r>
    </w:p>
    <w:p w14:paraId="2012B473">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此外，本案的被告，也就是利益第三人约款的允诺人提出了诉讼时效的抗辩。这一问 题涉及利益第三人的请求权获得的时间以及诉讼时效起算点的问题。法院在裁判中，一方 面认可受益第三人基于合同取得直接的履行请求权，另一方面基于对案件事实的分析，认 为没有证据表明第三人知道相关约款的内容，因此不构成权利不行使，诉讼时效的抗辩也 因此不能成立。法院的这一裁判思路，就整体而言，值得支持。在诉讼时效问题上,利益第 三人约款的确存在一定的特殊性。由于第三人获得履行请求权不以其知情为前提,所以第 三人完全有可能在不知情的情况下，获得了相应的权利。由于不知情，第三人就有可能长 时间不去主张权利。在这种情况下，当然不能发生诉讼时效的起算问题，否则对第三人是 不公平的。要解决这一问题,可能的方案就是合同关系的当事人，积极地告知第三人相关 赋权性约款的存在。一旦有积极的权利告知，就会导致时效的起算。</w:t>
      </w:r>
    </w:p>
    <w:p w14:paraId="3FC850B3">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相关规范及学理</w:t>
      </w:r>
    </w:p>
    <w:p w14:paraId="489D767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关于利他合同，在中国合同法的理论与实践中，长期存在争议。争议的焦点在于</w:t>
      </w:r>
      <w:r>
        <w:rPr>
          <w:rFonts w:ascii="Times New Roman" w:hAnsi="Times New Roman" w:eastAsia="Times New Roman" w:cs="Times New Roman"/>
          <w:color w:val="000000"/>
          <w:spacing w:val="0"/>
          <w:w w:val="100"/>
          <w:position w:val="0"/>
          <w:sz w:val="19"/>
          <w:szCs w:val="19"/>
        </w:rPr>
        <w:t xml:space="preserve">,1999 </w:t>
      </w:r>
      <w:r>
        <w:rPr>
          <w:color w:val="000000"/>
          <w:spacing w:val="0"/>
          <w:w w:val="100"/>
          <w:position w:val="0"/>
        </w:rPr>
        <w:t>年《合同法》第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条是否可以被解释为中国法上关于利他合同的基础性规范。研判第</w:t>
      </w:r>
      <w:r>
        <w:rPr>
          <w:rFonts w:ascii="Times New Roman" w:hAnsi="Times New Roman" w:eastAsia="Times New Roman" w:cs="Times New Roman"/>
          <w:color w:val="000000"/>
          <w:spacing w:val="0"/>
          <w:w w:val="100"/>
          <w:position w:val="0"/>
          <w:sz w:val="19"/>
          <w:szCs w:val="19"/>
        </w:rPr>
        <w:t xml:space="preserve">64 </w:t>
      </w:r>
      <w:r>
        <w:rPr>
          <w:color w:val="000000"/>
          <w:spacing w:val="0"/>
          <w:w w:val="100"/>
          <w:position w:val="0"/>
        </w:rPr>
        <w:t>条的表述，可以发现，该条文没有提到第三人可以取得独立的履行请求权。支持论者认为, 没有提到第三人的独立履行请求权，并不表明第三人不能取得独立的履行请求权,可以通 过解释论的建构,认为第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条提供了中国法上的关于利他合同的基础性规范。反对论者结 合对立法过程中第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条之来源的梳理，认为虽然在立法目的和计划上，原《合同法》的制定 者的确试图规范利他合同，但由于学理研究未臻深入，导致第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条规范的仅仅是不真正利 他合同，由此造成中国合同法上岀现了违反立法计划的关于利他合同的法律漏洞,所以必 须借助于法律漏洞填补技术来塑造中国法上的利他合同理论与构造,或者在大规模修法或 民法典编纂之时通过立法的方式来填补这一法律漏洞。</w:t>
      </w:r>
    </w:p>
    <w:p w14:paraId="55FD74E1">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应该认为，原《合同法》第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条并不足以支撑通过解释论的途径来建构一个完整的利 他合同制度框架。这主要是因为，对于利他合同制度建构至为重要的第三人是否取得独立 的履行请求权，何时取得相关的权利,取得相关的权利是否需要具备特定的条件，受益第三 人是否可以拒绝相关的赋权法律效果，一旦第三人拒绝之后产生何种法律效果，这些问题 都无法在第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条的表述中获得哪怕最低限度的指示。因此,虽然借助于第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条的解释论 来构造中国法上的利他合同的努力值得肯定，但其本质上仍是以解释论的名义，进行法律 漏洞填补。与其如此，不如实事求是地承认法律漏洞的存在，还第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条以其应有的体系地 位（关于不真正利他合同的规定）,进而避免不必要的理解上的扭曲。</w:t>
      </w:r>
    </w:p>
    <w:p w14:paraId="6D1B4D4F">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在原《合同法》实施的过程中，针对当事人在合同中约定向第三人履行的问题，司法解 释做出了回应。最高人民法院《关于适用〈中华人民共和国合同法〉若干问题的解释（二）》 ［法释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条规定，人民法院根据具体案情可以将原《合同法》第</w:t>
      </w:r>
      <w:r>
        <w:rPr>
          <w:rFonts w:ascii="Times New Roman" w:hAnsi="Times New Roman" w:eastAsia="Times New Roman" w:cs="Times New Roman"/>
          <w:color w:val="000000"/>
          <w:spacing w:val="0"/>
          <w:w w:val="100"/>
          <w:position w:val="0"/>
          <w:sz w:val="19"/>
          <w:szCs w:val="19"/>
          <w:lang w:val="en-US" w:eastAsia="en-US" w:bidi="en-US"/>
        </w:rPr>
        <w:t>64.65</w:t>
      </w:r>
      <w:r>
        <w:rPr>
          <w:color w:val="000000"/>
          <w:spacing w:val="0"/>
          <w:w w:val="100"/>
          <w:position w:val="0"/>
        </w:rPr>
        <w:t>条规 定的第三人列为无独立请求权的第三人,但不得依职权将其列为该合同诉讼案件的被告或 者有独立请求权的第三人。根据司法解释的这一规定,法院似乎认为，不能基于第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条的 规定认可第三人具有独立的履行请求权,因此在诉讼程序中也不能被列为有独立请求权的 第三人。司法解释的这一规定，支持了第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条是关于不真正利他合同的规定的学理观点。</w:t>
      </w:r>
    </w:p>
    <w:p w14:paraId="217B8881">
      <w:pPr>
        <w:pStyle w:val="17"/>
        <w:keepNext w:val="0"/>
        <w:keepLines w:val="0"/>
        <w:widowControl w:val="0"/>
        <w:shd w:val="clear" w:color="auto" w:fill="auto"/>
        <w:bidi w:val="0"/>
        <w:spacing w:before="0" w:after="280" w:line="343" w:lineRule="exact"/>
        <w:ind w:left="0" w:right="0"/>
        <w:jc w:val="both"/>
      </w:pPr>
      <w:r>
        <w:rPr>
          <w:color w:val="000000"/>
          <w:spacing w:val="0"/>
          <w:w w:val="100"/>
          <w:position w:val="0"/>
        </w:rPr>
        <w:t>学界的这一争论最终在民法典编纂中得到了回应。《民法典》第</w:t>
      </w:r>
      <w:r>
        <w:rPr>
          <w:rFonts w:ascii="Times New Roman" w:hAnsi="Times New Roman" w:eastAsia="Times New Roman" w:cs="Times New Roman"/>
          <w:color w:val="000000"/>
          <w:spacing w:val="0"/>
          <w:w w:val="100"/>
          <w:position w:val="0"/>
          <w:sz w:val="19"/>
          <w:szCs w:val="19"/>
        </w:rPr>
        <w:t>522</w:t>
      </w:r>
      <w:r>
        <w:rPr>
          <w:color w:val="000000"/>
          <w:spacing w:val="0"/>
          <w:w w:val="100"/>
          <w:position w:val="0"/>
        </w:rPr>
        <w:t>条的规定采取了 综合式的立法模式。第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款延续了原《合同法》第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条的框架，规定了不真正利他合同。 同时在第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款规定了真正意义上的利他合同，使第三人可以获得独立的履行请求权。通过 这一新的立法，中国法上的利他合同制度得以完善，先前存在的立法层面上的漏洞得到填 补。特别需要强调的是，第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款还明确了受益第三人的履行请求权取得的方式问题以及第 三人的拒绝权问题,这些都是利他合同的基础性规则。</w:t>
      </w:r>
    </w:p>
    <w:p w14:paraId="2F815264">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6842C765">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原《合同法》制定之后,虽然存在关于利他合同的立法漏洞，但这并未影响中国的司法 者借助比较法上的资料,深入认知利他合同存在的必要性。本文所评析的案例就是一个典 型。可以注意到，法院在列举裁判依据时，并未提到原《合同法》第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条，而是将诚实信用 原则条款（原《合同法》第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条）；合同严守条款（原《合同法》第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条），全面履行条款（原《合 同法》第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条）作为裁判依据。当然，法院在援引这些条文的过程中,并未详细论述，为什 么基于私人自治、诚实信用原则以及全面履行的规则,就能够推演出第三人可以基于他人 的约定而获得独立的履行请求权。</w:t>
      </w:r>
    </w:p>
    <w:p w14:paraId="63590F77">
      <w:pPr>
        <w:pStyle w:val="17"/>
        <w:keepNext w:val="0"/>
        <w:keepLines w:val="0"/>
        <w:widowControl w:val="0"/>
        <w:shd w:val="clear" w:color="auto" w:fill="auto"/>
        <w:bidi w:val="0"/>
        <w:spacing w:before="0" w:after="0" w:line="343" w:lineRule="exact"/>
        <w:ind w:left="0" w:right="0"/>
        <w:jc w:val="both"/>
        <w:rPr>
          <w:sz w:val="19"/>
          <w:szCs w:val="19"/>
        </w:rPr>
      </w:pPr>
      <w:r>
        <w:rPr>
          <w:color w:val="000000"/>
          <w:spacing w:val="0"/>
          <w:w w:val="100"/>
          <w:position w:val="0"/>
          <w:sz w:val="18"/>
          <w:szCs w:val="18"/>
        </w:rPr>
        <w:t xml:space="preserve">但这种裁判思路具有典型意义。一个类似案件是由上海市第二中级人民法院作出的 </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8"/>
          <w:szCs w:val="18"/>
        </w:rPr>
        <w:t>沪</w:t>
      </w:r>
      <w:r>
        <w:rPr>
          <w:rFonts w:ascii="Times New Roman" w:hAnsi="Times New Roman" w:eastAsia="Times New Roman" w:cs="Times New Roman"/>
          <w:color w:val="000000"/>
          <w:spacing w:val="0"/>
          <w:w w:val="100"/>
          <w:position w:val="0"/>
          <w:sz w:val="19"/>
          <w:szCs w:val="19"/>
        </w:rPr>
        <w:t>02</w:t>
      </w:r>
      <w:r>
        <w:rPr>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10385</w:t>
      </w:r>
      <w:r>
        <w:rPr>
          <w:color w:val="000000"/>
          <w:spacing w:val="0"/>
          <w:w w:val="100"/>
          <w:position w:val="0"/>
          <w:sz w:val="18"/>
          <w:szCs w:val="18"/>
        </w:rPr>
        <w:t>号民事判决书。法院在裁判理由中明确提到：</w:t>
      </w:r>
      <w:r>
        <w:rPr>
          <w:color w:val="000000"/>
          <w:spacing w:val="0"/>
          <w:w w:val="100"/>
          <w:position w:val="0"/>
          <w:sz w:val="18"/>
          <w:szCs w:val="18"/>
          <w:lang w:val="zh-CN" w:eastAsia="zh-CN" w:bidi="zh-CN"/>
        </w:rPr>
        <w:t>“虽然</w:t>
      </w:r>
      <w:r>
        <w:rPr>
          <w:color w:val="000000"/>
          <w:spacing w:val="0"/>
          <w:w w:val="100"/>
          <w:position w:val="0"/>
          <w:sz w:val="18"/>
          <w:szCs w:val="18"/>
        </w:rPr>
        <w:t>我国合同法目 前尚未明确规定合同以外的利益第三人对不履行债务的债务人享有债权履行请求权，仅规 定当事人约定由债务人向第三人履行债务的，债务人未向第三人履行债务或者履行债务不 符合约定，应当向债权人承担违约责任,但并不妨碍该第三人依据诚实信用原则要求债务 人按约履行合同所确定的义务,从而满足第三人与合同有关的客观利益。因此，在韵达公 司未举证证明其已就丢失的货物向寄件人承担违约责任情况下，即使孙卫东非涉案运输合 同的相对人，其亦有权要求韵达公司向其交付涉案运输合同项下的玩偶，并在韵达公司交 付不能的情况下,提出违约赔偿的请求</w:t>
      </w:r>
      <w:r>
        <w:rPr>
          <w:rFonts w:ascii="Times New Roman" w:hAnsi="Times New Roman" w:eastAsia="Times New Roman" w:cs="Times New Roman"/>
          <w:color w:val="000000"/>
          <w:spacing w:val="0"/>
          <w:w w:val="100"/>
          <w:position w:val="0"/>
          <w:sz w:val="19"/>
          <w:szCs w:val="19"/>
          <w:lang w:val="en-US" w:eastAsia="en-US" w:bidi="en-US"/>
        </w:rPr>
        <w:t xml:space="preserve">o </w:t>
      </w:r>
      <w:r>
        <w:rPr>
          <w:rFonts w:ascii="Times New Roman" w:hAnsi="Times New Roman" w:eastAsia="Times New Roman" w:cs="Times New Roman"/>
          <w:color w:val="000000"/>
          <w:spacing w:val="0"/>
          <w:w w:val="100"/>
          <w:position w:val="0"/>
          <w:sz w:val="19"/>
          <w:szCs w:val="19"/>
        </w:rPr>
        <w:t>”</w:t>
      </w:r>
    </w:p>
    <w:p w14:paraId="0AA52128">
      <w:pPr>
        <w:pStyle w:val="17"/>
        <w:keepNext w:val="0"/>
        <w:keepLines w:val="0"/>
        <w:widowControl w:val="0"/>
        <w:shd w:val="clear" w:color="auto" w:fill="auto"/>
        <w:bidi w:val="0"/>
        <w:spacing w:before="0" w:after="160" w:line="343" w:lineRule="exact"/>
        <w:ind w:left="0" w:right="0"/>
        <w:jc w:val="both"/>
      </w:pPr>
      <w:r>
        <w:rPr>
          <w:color w:val="000000"/>
          <w:spacing w:val="0"/>
          <w:w w:val="100"/>
          <w:position w:val="0"/>
        </w:rPr>
        <w:t>这说明中国的法官已经充分注意到原《合同法》第</w:t>
      </w:r>
      <w:r>
        <w:rPr>
          <w:rFonts w:ascii="Times New Roman" w:hAnsi="Times New Roman" w:eastAsia="Times New Roman" w:cs="Times New Roman"/>
          <w:color w:val="000000"/>
          <w:spacing w:val="0"/>
          <w:w w:val="100"/>
          <w:position w:val="0"/>
          <w:sz w:val="19"/>
          <w:szCs w:val="19"/>
        </w:rPr>
        <w:t>64</w:t>
      </w:r>
      <w:r>
        <w:rPr>
          <w:color w:val="000000"/>
          <w:spacing w:val="0"/>
          <w:w w:val="100"/>
          <w:position w:val="0"/>
        </w:rPr>
        <w:t>条的准确内涵，不能勉为其难地 拿来作为真正的利他合同案件的裁判依据。同时，中国的法官并未因为法律漏洞的存在, 而忽略利他合同所具有的重要实践意义。随着中国民法典编纂的完成，中国未来的民事司 法,完全可以而且应该以《民法典》第</w:t>
      </w:r>
      <w:r>
        <w:rPr>
          <w:rFonts w:ascii="Times New Roman" w:hAnsi="Times New Roman" w:eastAsia="Times New Roman" w:cs="Times New Roman"/>
          <w:color w:val="000000"/>
          <w:spacing w:val="0"/>
          <w:w w:val="100"/>
          <w:position w:val="0"/>
          <w:sz w:val="19"/>
          <w:szCs w:val="19"/>
        </w:rPr>
        <w:t>522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款作为直接的裁判依据来妥当处理利他合 同案件。</w:t>
      </w:r>
    </w:p>
    <w:p w14:paraId="19482DC8">
      <w:pPr>
        <w:pStyle w:val="17"/>
        <w:keepNext w:val="0"/>
        <w:keepLines w:val="0"/>
        <w:widowControl w:val="0"/>
        <w:shd w:val="clear" w:color="auto" w:fill="auto"/>
        <w:bidi w:val="0"/>
        <w:spacing w:before="0" w:after="160" w:line="340" w:lineRule="exact"/>
        <w:ind w:left="0" w:right="0" w:firstLine="0"/>
        <w:jc w:val="both"/>
      </w:pPr>
      <w:r>
        <w:rPr>
          <w:color w:val="000000"/>
          <w:spacing w:val="0"/>
          <w:w w:val="100"/>
          <w:position w:val="0"/>
          <w:lang w:val="en-US" w:eastAsia="en-US" w:bidi="en-US"/>
        </w:rPr>
        <w:t>®</w:t>
      </w:r>
      <w:r>
        <w:rPr>
          <w:color w:val="000000"/>
          <w:spacing w:val="0"/>
          <w:w w:val="100"/>
          <w:position w:val="0"/>
        </w:rPr>
        <w:t>参考意义及将来的课题</w:t>
      </w:r>
    </w:p>
    <w:p w14:paraId="0E454D92">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本案中涉及的利他合同还存在很多需要在未来的司法适用中通过解释论来予以进一 步明确的问题。对于利他合同而言，最关键的是判断合同当事人是否有赋予第三人以直接 履行请求权的意思。如果没有这一意图,则相关的合同只是纯粹的向第三人履行的合同, 也就是所谓不真正利他合同。如果当事人在这方面的意图不是很清晰明确,不容易通过解 释等方式来推知，则需要结合合同的性质、当事人缔约的目的等因素来判断第三人是否可 以获得独立的履行请求权。至于第三人获得履行请求权的条件、时间节点,第三人行使拒 绝权的法律效果，以及此种拒绝行为是否受制于债权人的撤销权，相关合同是否因为债务 人拒绝向第三人履行而可以解除，谁可以行使这种解除权等问题，都仍然值得深入研究。</w:t>
      </w:r>
    </w:p>
    <w:p w14:paraId="46A23628">
      <w:pPr>
        <w:pStyle w:val="11"/>
        <w:keepNext w:val="0"/>
        <w:keepLines w:val="0"/>
        <w:widowControl w:val="0"/>
        <w:shd w:val="clear" w:color="auto" w:fill="auto"/>
        <w:bidi w:val="0"/>
        <w:spacing w:before="0" w:after="40"/>
        <w:ind w:left="0" w:right="0" w:firstLine="0"/>
        <w:jc w:val="both"/>
      </w:pPr>
      <w:r>
        <w:rPr>
          <w:color w:val="000000"/>
          <w:spacing w:val="0"/>
          <w:w w:val="100"/>
          <w:position w:val="0"/>
        </w:rPr>
        <w:t>回参考文献</w:t>
      </w:r>
    </w:p>
    <w:p w14:paraId="60A6BC5B">
      <w:pPr>
        <w:pStyle w:val="17"/>
        <w:keepNext w:val="0"/>
        <w:keepLines w:val="0"/>
        <w:widowControl w:val="0"/>
        <w:shd w:val="clear" w:color="auto" w:fill="auto"/>
        <w:bidi w:val="0"/>
        <w:spacing w:before="0" w:after="40" w:line="322" w:lineRule="exact"/>
        <w:ind w:left="0" w:right="0" w:firstLine="0"/>
        <w:jc w:val="both"/>
      </w:pPr>
      <w:r>
        <w:rPr>
          <w:color w:val="000000"/>
          <w:spacing w:val="0"/>
          <w:w w:val="100"/>
          <w:position w:val="0"/>
        </w:rPr>
        <w:t>薛军:《利他合同的基本理论问题》，载《法学研究》</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张家勇：《为第三人利益的合同的制度构造》，法律出版社</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年版。</w:t>
      </w:r>
    </w:p>
    <w:p w14:paraId="6632050D">
      <w:pPr>
        <w:pStyle w:val="17"/>
        <w:keepNext w:val="0"/>
        <w:keepLines w:val="0"/>
        <w:widowControl w:val="0"/>
        <w:shd w:val="clear" w:color="auto" w:fill="auto"/>
        <w:bidi w:val="0"/>
        <w:spacing w:before="0" w:after="0" w:line="290" w:lineRule="exact"/>
        <w:ind w:left="200" w:right="0" w:hanging="200"/>
        <w:jc w:val="both"/>
      </w:pPr>
      <w:r>
        <w:rPr>
          <w:color w:val="000000"/>
          <w:spacing w:val="0"/>
          <w:w w:val="100"/>
          <w:position w:val="0"/>
        </w:rPr>
        <w:t>薛军：《论〈中华人民共和国合同法〉第</w:t>
      </w:r>
      <w:r>
        <w:rPr>
          <w:rFonts w:ascii="Times New Roman" w:hAnsi="Times New Roman" w:eastAsia="Times New Roman" w:cs="Times New Roman"/>
          <w:color w:val="000000"/>
          <w:spacing w:val="0"/>
          <w:w w:val="100"/>
          <w:position w:val="0"/>
          <w:sz w:val="17"/>
          <w:szCs w:val="17"/>
        </w:rPr>
        <w:t>64</w:t>
      </w:r>
      <w:r>
        <w:rPr>
          <w:color w:val="000000"/>
          <w:spacing w:val="0"/>
          <w:w w:val="100"/>
          <w:position w:val="0"/>
        </w:rPr>
        <w:t>条的定性与解释一兼与</w:t>
      </w:r>
      <w:r>
        <w:rPr>
          <w:color w:val="000000"/>
          <w:spacing w:val="0"/>
          <w:w w:val="100"/>
          <w:position w:val="0"/>
          <w:lang w:val="zh-CN" w:eastAsia="zh-CN" w:bidi="zh-CN"/>
        </w:rPr>
        <w:t>“利他</w:t>
      </w:r>
      <w:r>
        <w:rPr>
          <w:color w:val="000000"/>
          <w:spacing w:val="0"/>
          <w:w w:val="100"/>
          <w:position w:val="0"/>
        </w:rPr>
        <w:t>合同论</w:t>
      </w:r>
      <w:r>
        <w:rPr>
          <w:color w:val="000000"/>
          <w:spacing w:val="0"/>
          <w:w w:val="100"/>
          <w:position w:val="0"/>
          <w:lang w:val="zh-CN" w:eastAsia="zh-CN" w:bidi="zh-CN"/>
        </w:rPr>
        <w:t>”商</w:t>
      </w:r>
      <w:r>
        <w:rPr>
          <w:color w:val="000000"/>
          <w:spacing w:val="0"/>
          <w:w w:val="100"/>
          <w:position w:val="0"/>
        </w:rPr>
        <w:t>榷》，载《法商研 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47F481B">
      <w:pPr>
        <w:pStyle w:val="17"/>
        <w:keepNext w:val="0"/>
        <w:keepLines w:val="0"/>
        <w:widowControl w:val="0"/>
        <w:shd w:val="clear" w:color="auto" w:fill="auto"/>
        <w:bidi w:val="0"/>
        <w:spacing w:before="0" w:after="40" w:line="340" w:lineRule="exact"/>
        <w:ind w:left="0" w:right="0" w:firstLine="0"/>
        <w:jc w:val="both"/>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w:t>
      </w:r>
    </w:p>
    <w:p w14:paraId="2D1BA8DF">
      <w:pPr>
        <w:pStyle w:val="17"/>
        <w:keepNext w:val="0"/>
        <w:keepLines w:val="0"/>
        <w:widowControl w:val="0"/>
        <w:shd w:val="clear" w:color="auto" w:fill="auto"/>
        <w:bidi w:val="0"/>
        <w:spacing w:before="0" w:after="100" w:line="293" w:lineRule="exact"/>
        <w:ind w:left="200" w:right="0" w:hanging="200"/>
        <w:jc w:val="both"/>
        <w:sectPr>
          <w:headerReference r:id="rId367" w:type="default"/>
          <w:headerReference r:id="rId368" w:type="even"/>
          <w:footnotePr>
            <w:numFmt w:val="chicago"/>
          </w:footnotePr>
          <w:pgSz w:w="10099" w:h="14782"/>
          <w:pgMar w:top="1302" w:right="1001" w:bottom="1094" w:left="1095" w:header="0" w:footer="3" w:gutter="0"/>
          <w:pgNumType w:start="298"/>
          <w:cols w:space="720" w:num="1"/>
          <w:rtlGutter w:val="0"/>
          <w:docGrid w:linePitch="360" w:charSpace="0"/>
        </w:sectPr>
      </w:pPr>
      <w:r>
        <w:rPr>
          <w:color w:val="000000"/>
          <w:spacing w:val="0"/>
          <w:w w:val="100"/>
          <w:position w:val="0"/>
        </w:rPr>
        <w:t>薛军：《合同渉他效力的逻辑基础与模式选择</w:t>
      </w:r>
      <w:r>
        <w:rPr>
          <w:color w:val="000000"/>
          <w:spacing w:val="0"/>
          <w:w w:val="100"/>
          <w:position w:val="0"/>
          <w:lang w:val="en-US" w:eastAsia="en-US" w:bidi="en-US"/>
        </w:rPr>
        <w:t>一一</w:t>
      </w:r>
      <w:r>
        <w:rPr>
          <w:color w:val="000000"/>
          <w:spacing w:val="0"/>
          <w:w w:val="100"/>
          <w:position w:val="0"/>
        </w:rPr>
        <w:t>兼评〈民法典合同编（草案）〉（二审稿）相关规定》，载 《法商研究》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5075373">
      <w:pPr>
        <w:widowControl w:val="0"/>
        <w:spacing w:line="1" w:lineRule="exact"/>
      </w:pPr>
      <w:r>
        <w:drawing>
          <wp:anchor distT="0" distB="277495" distL="114300" distR="3888105" simplePos="0" relativeHeight="251660288" behindDoc="0" locked="0" layoutInCell="1" allowOverlap="1">
            <wp:simplePos x="0" y="0"/>
            <wp:positionH relativeFrom="page">
              <wp:posOffset>705485</wp:posOffset>
            </wp:positionH>
            <wp:positionV relativeFrom="paragraph">
              <wp:posOffset>12700</wp:posOffset>
            </wp:positionV>
            <wp:extent cx="481330" cy="414655"/>
            <wp:effectExtent l="0" t="0" r="1270" b="4445"/>
            <wp:wrapTopAndBottom/>
            <wp:docPr id="853" name="Shape 853"/>
            <wp:cNvGraphicFramePr/>
            <a:graphic xmlns:a="http://schemas.openxmlformats.org/drawingml/2006/main">
              <a:graphicData uri="http://schemas.openxmlformats.org/drawingml/2006/picture">
                <pic:pic xmlns:pic="http://schemas.openxmlformats.org/drawingml/2006/picture">
                  <pic:nvPicPr>
                    <pic:cNvPr id="853" name="Shape 853"/>
                    <pic:cNvPicPr/>
                  </pic:nvPicPr>
                  <pic:blipFill>
                    <a:blip r:embed="rId670"/>
                    <a:stretch>
                      <a:fillRect/>
                    </a:stretch>
                  </pic:blipFill>
                  <pic:spPr>
                    <a:xfrm>
                      <a:off x="0" y="0"/>
                      <a:ext cx="481330" cy="414655"/>
                    </a:xfrm>
                    <a:prstGeom prst="rect">
                      <a:avLst/>
                    </a:prstGeom>
                  </pic:spPr>
                </pic:pic>
              </a:graphicData>
            </a:graphic>
          </wp:anchor>
        </w:drawing>
      </w:r>
      <w:r>
        <mc:AlternateContent>
          <mc:Choice Requires="wps">
            <w:drawing>
              <wp:anchor distT="34925" distB="635" distL="723900" distR="114300" simplePos="0" relativeHeight="251660288" behindDoc="0" locked="0" layoutInCell="1" allowOverlap="1">
                <wp:simplePos x="0" y="0"/>
                <wp:positionH relativeFrom="page">
                  <wp:posOffset>1315085</wp:posOffset>
                </wp:positionH>
                <wp:positionV relativeFrom="paragraph">
                  <wp:posOffset>47625</wp:posOffset>
                </wp:positionV>
                <wp:extent cx="3645535" cy="656590"/>
                <wp:effectExtent l="0" t="0" r="0" b="0"/>
                <wp:wrapTopAndBottom/>
                <wp:docPr id="855" name="Shape 855"/>
                <wp:cNvGraphicFramePr/>
                <a:graphic xmlns:a="http://schemas.openxmlformats.org/drawingml/2006/main">
                  <a:graphicData uri="http://schemas.microsoft.com/office/word/2010/wordprocessingShape">
                    <wps:wsp>
                      <wps:cNvSpPr txBox="1"/>
                      <wps:spPr>
                        <a:xfrm>
                          <a:off x="0" y="0"/>
                          <a:ext cx="3645535" cy="656590"/>
                        </a:xfrm>
                        <a:prstGeom prst="rect">
                          <a:avLst/>
                        </a:prstGeom>
                        <a:noFill/>
                      </wps:spPr>
                      <wps:txbx>
                        <w:txbxContent>
                          <w:p w14:paraId="2E987E39">
                            <w:pPr>
                              <w:pStyle w:val="15"/>
                              <w:keepNext/>
                              <w:keepLines/>
                              <w:widowControl w:val="0"/>
                              <w:shd w:val="clear" w:color="auto" w:fill="auto"/>
                              <w:bidi w:val="0"/>
                              <w:spacing w:before="0" w:after="0" w:line="506" w:lineRule="exact"/>
                              <w:ind w:left="0" w:right="0" w:firstLine="0"/>
                              <w:jc w:val="left"/>
                            </w:pPr>
                            <w:bookmarkStart w:id="480" w:name="bookmark382"/>
                            <w:bookmarkStart w:id="481" w:name="bookmark383"/>
                            <w:bookmarkStart w:id="482" w:name="bookmark384"/>
                            <w:r>
                              <w:rPr>
                                <w:color w:val="000000"/>
                                <w:spacing w:val="0"/>
                                <w:w w:val="100"/>
                                <w:position w:val="0"/>
                              </w:rPr>
                              <w:t>第三人违约是否引发丧失商业信誉之不安 抗辩</w:t>
                            </w:r>
                            <w:bookmarkEnd w:id="480"/>
                            <w:bookmarkEnd w:id="481"/>
                            <w:bookmarkEnd w:id="482"/>
                          </w:p>
                        </w:txbxContent>
                      </wps:txbx>
                      <wps:bodyPr lIns="0" tIns="0" rIns="0" bIns="0">
                        <a:noAutofit/>
                      </wps:bodyPr>
                    </wps:wsp>
                  </a:graphicData>
                </a:graphic>
              </wp:anchor>
            </w:drawing>
          </mc:Choice>
          <mc:Fallback>
            <w:pict>
              <v:shape id="Shape 855" o:spid="_x0000_s1026" o:spt="202" type="#_x0000_t202" style="position:absolute;left:0pt;margin-left:103.55pt;margin-top:3.75pt;height:51.7pt;width:287.05pt;mso-position-horizontal-relative:page;mso-wrap-distance-bottom:0.05pt;mso-wrap-distance-top:2.75pt;z-index:251660288;mso-width-relative:page;mso-height-relative:page;" filled="f" stroked="f" coordsize="21600,21600" o:gfxdata="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FLOXvYAAAACQEA&#10;AA8AAAAAAAAAAQAgAAAAIgAAAGRycy9kb3ducmV2LnhtbFBLAQIUABQAAAAIAIdO4kDZYXt8qAEA&#10;AGgDAAAOAAAAAAAAAAEAIAAAACcBAABkcnMvZTJvRG9jLnhtbFBLBQYAAAAABgAGAFkBAABBBQAA&#10;AAA=&#10;">
                <v:fill on="f" focussize="0,0"/>
                <v:stroke on="f"/>
                <v:imagedata o:title=""/>
                <o:lock v:ext="edit" aspectratio="f"/>
                <v:textbox inset="0mm,0mm,0mm,0mm">
                  <w:txbxContent>
                    <w:p w14:paraId="2E987E39">
                      <w:pPr>
                        <w:pStyle w:val="15"/>
                        <w:keepNext/>
                        <w:keepLines/>
                        <w:widowControl w:val="0"/>
                        <w:shd w:val="clear" w:color="auto" w:fill="auto"/>
                        <w:bidi w:val="0"/>
                        <w:spacing w:before="0" w:after="0" w:line="506" w:lineRule="exact"/>
                        <w:ind w:left="0" w:right="0" w:firstLine="0"/>
                        <w:jc w:val="left"/>
                      </w:pPr>
                      <w:bookmarkStart w:id="480" w:name="bookmark382"/>
                      <w:bookmarkStart w:id="481" w:name="bookmark383"/>
                      <w:bookmarkStart w:id="482" w:name="bookmark384"/>
                      <w:r>
                        <w:rPr>
                          <w:color w:val="000000"/>
                          <w:spacing w:val="0"/>
                          <w:w w:val="100"/>
                          <w:position w:val="0"/>
                        </w:rPr>
                        <w:t>第三人违约是否引发丧失商业信誉之不安 抗辩</w:t>
                      </w:r>
                      <w:bookmarkEnd w:id="480"/>
                      <w:bookmarkEnd w:id="481"/>
                      <w:bookmarkEnd w:id="482"/>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5152390</wp:posOffset>
            </wp:positionH>
            <wp:positionV relativeFrom="paragraph">
              <wp:posOffset>509270</wp:posOffset>
            </wp:positionV>
            <wp:extent cx="579120" cy="585470"/>
            <wp:effectExtent l="0" t="0" r="5080" b="11430"/>
            <wp:wrapSquare wrapText="left"/>
            <wp:docPr id="857" name="Shape 857"/>
            <wp:cNvGraphicFramePr/>
            <a:graphic xmlns:a="http://schemas.openxmlformats.org/drawingml/2006/main">
              <a:graphicData uri="http://schemas.openxmlformats.org/drawingml/2006/picture">
                <pic:pic xmlns:pic="http://schemas.openxmlformats.org/drawingml/2006/picture">
                  <pic:nvPicPr>
                    <pic:cNvPr id="857" name="Shape 857"/>
                    <pic:cNvPicPr/>
                  </pic:nvPicPr>
                  <pic:blipFill>
                    <a:blip r:embed="rId671"/>
                    <a:stretch>
                      <a:fillRect/>
                    </a:stretch>
                  </pic:blipFill>
                  <pic:spPr>
                    <a:xfrm>
                      <a:off x="0" y="0"/>
                      <a:ext cx="579120" cy="585470"/>
                    </a:xfrm>
                    <a:prstGeom prst="rect">
                      <a:avLst/>
                    </a:prstGeom>
                  </pic:spPr>
                </pic:pic>
              </a:graphicData>
            </a:graphic>
          </wp:anchor>
        </w:drawing>
      </w:r>
    </w:p>
    <w:p w14:paraId="1D4E17DB">
      <w:pPr>
        <w:pStyle w:val="17"/>
        <w:keepNext w:val="0"/>
        <w:keepLines w:val="0"/>
        <w:widowControl w:val="0"/>
        <w:shd w:val="clear" w:color="auto" w:fill="auto"/>
        <w:bidi w:val="0"/>
        <w:spacing w:before="0" w:after="420" w:line="319" w:lineRule="exact"/>
        <w:ind w:left="1020" w:right="0" w:firstLine="0"/>
        <w:jc w:val="both"/>
      </w:pPr>
      <w:r>
        <w:rPr>
          <w:color w:val="000000"/>
          <w:spacing w:val="0"/>
          <w:w w:val="100"/>
          <w:position w:val="0"/>
        </w:rPr>
        <w:t>俞财新与福建华辰房地产有限公司、魏传瑞商品房买卖（预约）合 同纠纷案丨《最高人民法院公报》</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期</w:t>
      </w:r>
    </w:p>
    <w:p w14:paraId="712A13C5">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贺佥!］北京大学法学院</w:t>
      </w:r>
    </w:p>
    <w:p w14:paraId="578D728E">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5ADC84F">
      <w:pPr>
        <w:pStyle w:val="17"/>
        <w:keepNext w:val="0"/>
        <w:keepLines w:val="0"/>
        <w:widowControl w:val="0"/>
        <w:shd w:val="clear" w:color="auto" w:fill="auto"/>
        <w:bidi w:val="0"/>
        <w:spacing w:before="0" w:after="0" w:line="347" w:lineRule="exact"/>
        <w:ind w:left="0" w:right="0" w:firstLine="42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日，一审被告福建华辰房地产有限公司（以下简称华辰公司）在尚未取 得预售许可的情形下，与一审原告俞财新签订《商铺认购书》。按照合同约定，俞财新向华 辰公司认购诉争商铺合计</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余平方米,总价款约</w:t>
      </w:r>
      <w:r>
        <w:rPr>
          <w:rFonts w:ascii="Times New Roman" w:hAnsi="Times New Roman" w:eastAsia="Times New Roman" w:cs="Times New Roman"/>
          <w:color w:val="000000"/>
          <w:spacing w:val="0"/>
          <w:w w:val="100"/>
          <w:position w:val="0"/>
          <w:sz w:val="19"/>
          <w:szCs w:val="19"/>
        </w:rPr>
        <w:t>1</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 xml:space="preserve">亿元。俞财新应当在签订认购书后 </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日内交纳</w:t>
      </w:r>
      <w:r>
        <w:rPr>
          <w:rFonts w:ascii="Times New Roman" w:hAnsi="Times New Roman" w:eastAsia="Times New Roman" w:cs="Times New Roman"/>
          <w:color w:val="000000"/>
          <w:spacing w:val="0"/>
          <w:w w:val="100"/>
          <w:position w:val="0"/>
          <w:sz w:val="19"/>
          <w:szCs w:val="19"/>
        </w:rPr>
        <w:t>6360</w:t>
      </w:r>
      <w:r>
        <w:rPr>
          <w:color w:val="000000"/>
          <w:spacing w:val="0"/>
          <w:w w:val="100"/>
          <w:position w:val="0"/>
        </w:rPr>
        <w:t>万元订金，华辰公司在收到订金后</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日内领取《商品房预售许可证》，并 与俞财新签订《商品房买卖合同》，同时保证在之后</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日内办理备案登记。双方还对违约 金、付款方式等事项作了约定。一审被告魏传瑞对华辰公司的债务承担连带保证责任。</w:t>
      </w:r>
    </w:p>
    <w:p w14:paraId="7A468A2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截至</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日，俞财新如约向华辰公司支付订金总计</w:t>
      </w:r>
      <w:r>
        <w:rPr>
          <w:rFonts w:ascii="Times New Roman" w:hAnsi="Times New Roman" w:eastAsia="Times New Roman" w:cs="Times New Roman"/>
          <w:color w:val="000000"/>
          <w:spacing w:val="0"/>
          <w:w w:val="100"/>
          <w:position w:val="0"/>
          <w:sz w:val="19"/>
          <w:szCs w:val="19"/>
        </w:rPr>
        <w:t>5760</w:t>
      </w:r>
      <w:r>
        <w:rPr>
          <w:color w:val="000000"/>
          <w:spacing w:val="0"/>
          <w:w w:val="100"/>
          <w:position w:val="0"/>
        </w:rPr>
        <w:t xml:space="preserve">万元，其中汇款 </w:t>
      </w:r>
      <w:r>
        <w:rPr>
          <w:rFonts w:ascii="Times New Roman" w:hAnsi="Times New Roman" w:eastAsia="Times New Roman" w:cs="Times New Roman"/>
          <w:color w:val="000000"/>
          <w:spacing w:val="0"/>
          <w:w w:val="100"/>
          <w:position w:val="0"/>
          <w:sz w:val="19"/>
          <w:szCs w:val="19"/>
        </w:rPr>
        <w:t>4800</w:t>
      </w:r>
      <w:r>
        <w:rPr>
          <w:color w:val="000000"/>
          <w:spacing w:val="0"/>
          <w:w w:val="100"/>
          <w:position w:val="0"/>
        </w:rPr>
        <w:t>万元，现金</w:t>
      </w:r>
      <w:r>
        <w:rPr>
          <w:rFonts w:ascii="Times New Roman" w:hAnsi="Times New Roman" w:eastAsia="Times New Roman" w:cs="Times New Roman"/>
          <w:color w:val="000000"/>
          <w:spacing w:val="0"/>
          <w:w w:val="100"/>
          <w:position w:val="0"/>
          <w:sz w:val="19"/>
          <w:szCs w:val="19"/>
        </w:rPr>
        <w:t>960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日又汇款支付订金</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万元。剩余</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万元再未 支付。</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日，华辰公司取得诉争商铺的《商品房预售许可证》,后另售他人。</w:t>
      </w:r>
    </w:p>
    <w:p w14:paraId="745544E6">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俞财新起诉称，其在付款期间，因了解到华辰公司无法按期办理《商品房预售许可证》， 故暂缓支付订金余款</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万元,这符合《合同法》第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条之规定;经多次催告，华辰公司以 各种理由拒不与俞财新签订《商品房买卖合同》，后又将诉争商铺转卖他人，已无履约可能。 据此请求解除《商铺认购书》、返还订金</w:t>
      </w:r>
      <w:r>
        <w:rPr>
          <w:rFonts w:ascii="Times New Roman" w:hAnsi="Times New Roman" w:eastAsia="Times New Roman" w:cs="Times New Roman"/>
          <w:color w:val="000000"/>
          <w:spacing w:val="0"/>
          <w:w w:val="100"/>
          <w:position w:val="0"/>
          <w:sz w:val="19"/>
          <w:szCs w:val="19"/>
        </w:rPr>
        <w:t>5860</w:t>
      </w:r>
      <w:r>
        <w:rPr>
          <w:color w:val="000000"/>
          <w:spacing w:val="0"/>
          <w:w w:val="100"/>
          <w:position w:val="0"/>
        </w:rPr>
        <w:t>万元及赔偿违约金，并请求魏传瑞承担连带保 证责任。福建省高级人民法院一审判决：</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解除《商铺认购书》；</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华辰公司向俞财新支 付</w:t>
      </w:r>
      <w:r>
        <w:rPr>
          <w:rFonts w:ascii="Times New Roman" w:hAnsi="Times New Roman" w:eastAsia="Times New Roman" w:cs="Times New Roman"/>
          <w:color w:val="000000"/>
          <w:spacing w:val="0"/>
          <w:w w:val="100"/>
          <w:position w:val="0"/>
          <w:sz w:val="19"/>
          <w:szCs w:val="19"/>
        </w:rPr>
        <w:t>5860</w:t>
      </w:r>
      <w:r>
        <w:rPr>
          <w:color w:val="000000"/>
          <w:spacing w:val="0"/>
          <w:w w:val="100"/>
          <w:position w:val="0"/>
        </w:rPr>
        <w:t>万元及其利息（按同期贷款利率计算）；</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魏传瑞就上述第二项债务承担连带偿还 责任;</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驳回俞财新的其他诉讼请求。</w:t>
      </w:r>
    </w:p>
    <w:p w14:paraId="356AA310">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俞财新、华辰公司不服一审判决,分别向最高人民法院提起上诉。</w:t>
      </w:r>
    </w:p>
    <w:p w14:paraId="2E6BDAA8">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rPr>
        <w:t>■判决要旨</w:t>
      </w:r>
    </w:p>
    <w:p w14:paraId="6C92A383">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驳回上诉，维持原判。</w:t>
      </w:r>
    </w:p>
    <w:p w14:paraId="491F29AC">
      <w:pPr>
        <w:pStyle w:val="17"/>
        <w:keepNext w:val="0"/>
        <w:keepLines w:val="0"/>
        <w:widowControl w:val="0"/>
        <w:shd w:val="clear" w:color="auto" w:fill="auto"/>
        <w:bidi w:val="0"/>
        <w:spacing w:before="0" w:after="0" w:line="352" w:lineRule="exact"/>
        <w:ind w:left="0" w:right="0" w:firstLine="420"/>
        <w:jc w:val="both"/>
        <w:sectPr>
          <w:headerReference r:id="rId369" w:type="default"/>
          <w:headerReference r:id="rId370" w:type="even"/>
          <w:footnotePr>
            <w:numFmt w:val="chicago"/>
          </w:footnotePr>
          <w:pgSz w:w="10099" w:h="14782"/>
          <w:pgMar w:top="1317" w:right="1032" w:bottom="1099" w:left="1058" w:header="889" w:footer="671" w:gutter="0"/>
          <w:pgNumType w:start="317"/>
          <w:cols w:space="720" w:num="1"/>
          <w:rtlGutter w:val="0"/>
          <w:docGrid w:linePitch="360" w:charSpace="0"/>
        </w:sectPr>
      </w:pPr>
      <w:r>
        <w:rPr>
          <w:color w:val="000000"/>
          <w:spacing w:val="0"/>
          <w:w w:val="100"/>
          <w:position w:val="0"/>
        </w:rPr>
        <w:t>关于俞财新少支付</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 xml:space="preserve">万元订金是否属于行使不安抗辩权的问题。本院认为,俞财新 主张不安抗辩权的理由是华辰公司丧失商业信誉，依据是其与福州华辰房地产有限公司 （以下简称福州华辰公司）签订另一购房合同后，福州华辰公司将合同约定的房屋设定抵 </w:t>
      </w:r>
    </w:p>
    <w:p w14:paraId="7E7F3784">
      <w:pPr>
        <w:pStyle w:val="17"/>
        <w:keepNext w:val="0"/>
        <w:keepLines w:val="0"/>
        <w:widowControl w:val="0"/>
        <w:shd w:val="clear" w:color="auto" w:fill="auto"/>
        <w:bidi w:val="0"/>
        <w:spacing w:before="0" w:after="0" w:line="352" w:lineRule="exact"/>
        <w:ind w:left="0" w:right="0" w:firstLine="0"/>
        <w:jc w:val="both"/>
      </w:pPr>
      <w:r>
        <w:rPr>
          <w:color w:val="000000"/>
          <w:spacing w:val="0"/>
          <w:w w:val="100"/>
          <w:position w:val="0"/>
        </w:rPr>
        <w:t>押。然而，福州华辰公司与华辰公司是两个不同的法人，以案外人违约为由在本案合同履 行中行使不安抗辩权，不符合合同相对性原则。根据《合同法》第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条的规定，俞财新关于 其行使不安抗辩权的主张，依据不足。《合同法》第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条规定了行使不安抗辩权的要件，即 使俞财新有权行使不安抗辩权，也应当及时通知对方。但无证据证明俞财新履行过通知义 务。因此，俞财新关于其行使不安抗辩权的主张,缺乏事实和法律依据，本院不予支持。</w:t>
      </w:r>
    </w:p>
    <w:p w14:paraId="0C11AFA0">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该案在《最高人民法院公报》中的裁判摘要为:</w:t>
      </w:r>
      <w:r>
        <w:rPr>
          <w:color w:val="000000"/>
          <w:spacing w:val="0"/>
          <w:w w:val="100"/>
          <w:position w:val="0"/>
          <w:lang w:val="zh-CN" w:eastAsia="zh-CN" w:bidi="zh-CN"/>
        </w:rPr>
        <w:t>“根据</w:t>
      </w:r>
      <w:r>
        <w:rPr>
          <w:color w:val="000000"/>
          <w:spacing w:val="0"/>
          <w:w w:val="100"/>
          <w:position w:val="0"/>
        </w:rPr>
        <w:t>合同的相对性原则,涉案合同一方 当事人以案外人违约为由，主张在涉案合同履行中行使不安抗辩权的，人民法院不予支 持。”</w:t>
      </w:r>
    </w:p>
    <w:p w14:paraId="57BF3465">
      <w:pPr>
        <w:pStyle w:val="11"/>
        <w:keepNext w:val="0"/>
        <w:keepLines w:val="0"/>
        <w:widowControl w:val="0"/>
        <w:shd w:val="clear" w:color="auto" w:fill="auto"/>
        <w:bidi w:val="0"/>
        <w:spacing w:before="0" w:after="260" w:line="345" w:lineRule="exact"/>
        <w:ind w:left="0" w:right="0" w:firstLine="0"/>
        <w:jc w:val="both"/>
      </w:pPr>
      <w:r>
        <w:rPr>
          <w:color w:val="000000"/>
          <w:spacing w:val="0"/>
          <w:w w:val="100"/>
          <w:position w:val="0"/>
        </w:rPr>
        <w:t>■评析</w:t>
      </w:r>
    </w:p>
    <w:p w14:paraId="361E9EC1">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12C01B57">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本判决除涉及不安抗辩权外，还关乎违约方解除权、双方违约、名为买卖实为借贷之证 据认定等诸多难题。鉴于题旨,其他问题暂不讨论。本判决的特色在于确立了如下规则:依 据合同相对性原则，合同一方无法以案外人（合同当事人之外的第三人）违约，进而导致合 同相对方丧失商业信誉为由，享有针对合同相对方之不安抗辩权。这不但牵涉第三人违约 与丧失商业信誉之关系，还关乎合同相对性原则之理解。尽管该案时隔多年，但鉴于学界 对其迄今罕有关注，故仍有解读和省思之必要。</w:t>
      </w:r>
    </w:p>
    <w:p w14:paraId="19695663">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第三人违约是否使（先履行）合同一方享有不安抗辩权，无关乎合同相对性原则</w:t>
      </w:r>
    </w:p>
    <w:p w14:paraId="65CE7181">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一般认为，合同的相对性是指合同关系仅存在于合同当事人之间，不对第三人发生效 力［韩世远:《合同法总论》（第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页；朱广新：《合同法总则》（第</w:t>
      </w:r>
      <w:r>
        <w:rPr>
          <w:rFonts w:ascii="Times New Roman" w:hAnsi="Times New Roman" w:eastAsia="Times New Roman" w:cs="Times New Roman"/>
          <w:color w:val="000000"/>
          <w:spacing w:val="0"/>
          <w:w w:val="100"/>
          <w:position w:val="0"/>
          <w:sz w:val="17"/>
          <w:szCs w:val="17"/>
        </w:rPr>
        <w:t xml:space="preserve">2 </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页］。具体而言,第三人原则上无法基于当事人之间 的合同取得合同权利、承担合同义务［最高人民法院《关于适用〈中华人民共和国合同法〉若干问题 的解释（二）》［法释</w:t>
      </w:r>
      <w:r>
        <w:rPr>
          <w:rFonts w:ascii="Times New Roman" w:hAnsi="Times New Roman" w:eastAsia="Times New Roman" w:cs="Times New Roman"/>
          <w:color w:val="000000"/>
          <w:spacing w:val="0"/>
          <w:w w:val="100"/>
          <w:position w:val="0"/>
          <w:sz w:val="17"/>
          <w:szCs w:val="17"/>
        </w:rPr>
        <w:t>（2009）5</w:t>
      </w:r>
      <w:r>
        <w:rPr>
          <w:color w:val="000000"/>
          <w:spacing w:val="0"/>
          <w:w w:val="100"/>
          <w:position w:val="0"/>
        </w:rPr>
        <w:t>号］第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条］，更不会因此承担违约责任（《民法典》第</w:t>
      </w:r>
      <w:r>
        <w:rPr>
          <w:rFonts w:ascii="Times New Roman" w:hAnsi="Times New Roman" w:eastAsia="Times New Roman" w:cs="Times New Roman"/>
          <w:color w:val="000000"/>
          <w:spacing w:val="0"/>
          <w:w w:val="100"/>
          <w:position w:val="0"/>
          <w:sz w:val="19"/>
          <w:szCs w:val="19"/>
        </w:rPr>
        <w:t>593</w:t>
      </w:r>
      <w:r>
        <w:rPr>
          <w:color w:val="000000"/>
          <w:spacing w:val="0"/>
          <w:w w:val="100"/>
          <w:position w:val="0"/>
        </w:rPr>
        <w:t>条）。当 然，在保险合同等少数情形，合同相对性原则亦例外被突破。但无论原则还是例外,均涉及 如下问题:第三人是否因合同约定而享有或承担该合同项下的权利、义务或责任。</w:t>
      </w:r>
    </w:p>
    <w:p w14:paraId="7D4B2061">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套用于本判决，关乎合同相对性原则之问题应为:第三人（福州华辰公司）是否因涉案 合同享有不安抗辩权，或者成为该不安抗辩权所指向之相对人？以上问题之突兀,其实已 初步表明，合同相对性原则与不安抗辩权之行使或许并无关联。</w:t>
      </w:r>
    </w:p>
    <w:p w14:paraId="208AC663">
      <w:pPr>
        <w:pStyle w:val="17"/>
        <w:keepNext w:val="0"/>
        <w:keepLines w:val="0"/>
        <w:widowControl w:val="0"/>
        <w:shd w:val="clear" w:color="auto" w:fill="auto"/>
        <w:bidi w:val="0"/>
        <w:spacing w:before="0" w:after="260" w:line="345" w:lineRule="exact"/>
        <w:ind w:left="0" w:right="0" w:firstLine="420"/>
        <w:jc w:val="both"/>
      </w:pPr>
      <w:r>
        <w:rPr>
          <w:color w:val="000000"/>
          <w:spacing w:val="0"/>
          <w:w w:val="100"/>
          <w:position w:val="0"/>
        </w:rPr>
        <w:t>进一步观察本判决，其基于合同相对性原则所欲处理之问题为:第三人之（违约）行为， 能否使合同一方（俞财新）向另一方（华辰公司）主张合同权利（不安抗辩权）？其回答与潜 在的论理则为:基于合同相对性原则，第三人之行为不能视为合同一方之行为，故合同另一 方不能据此向该合同一方主张合同权利。于此,合同相对性原则似乎是指:第三人非合同 一方,故第三人之行为不等于合同一方之行为。此与该原则之本义，即合同之外的第三人 可否取得合同项下之权利、义务或责任，相去不可以道里计。</w:t>
      </w:r>
    </w:p>
    <w:p w14:paraId="2A4CD923">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一个需附带说明的问题是:合同一方之合同权利，是否只能因合同相对方的行为，而不 能因第三人的行为产生？显然不是。因第三人的原因导致违约，守约方仍可享有针对违约 方之违约救济权利，即为明证。而且,该问题与合同相对性原则并不相关，而取决于有关法 律制度之规范目的（如违约责任是否为结果义务）</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违约责任如是，不安抗辩权亦如是。</w:t>
      </w:r>
    </w:p>
    <w:p w14:paraId="44312E08">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第三人之行为或其他事实，亦可（间接）使先履行一方享有不安抗辩权</w:t>
      </w:r>
    </w:p>
    <w:p w14:paraId="6577755D">
      <w:pPr>
        <w:pStyle w:val="17"/>
        <w:keepNext w:val="0"/>
        <w:keepLines w:val="0"/>
        <w:widowControl w:val="0"/>
        <w:shd w:val="clear" w:color="auto" w:fill="auto"/>
        <w:bidi w:val="0"/>
        <w:spacing w:before="0" w:after="0" w:line="343" w:lineRule="exact"/>
        <w:ind w:left="0" w:right="0" w:firstLine="420"/>
        <w:jc w:val="both"/>
        <w:rPr>
          <w:sz w:val="19"/>
          <w:szCs w:val="19"/>
        </w:rPr>
      </w:pPr>
      <w:r>
        <w:rPr>
          <w:color w:val="000000"/>
          <w:spacing w:val="0"/>
          <w:w w:val="100"/>
          <w:position w:val="0"/>
          <w:sz w:val="18"/>
          <w:szCs w:val="18"/>
        </w:rPr>
        <w:t>原《合同法》第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款规定，后履行一方若有下列情形之一,先履行一方即享有不 安抗辩权:“（一）经营状况严重恶化;（二）转移财产、抽逃资金,以逃避债务；（三）丧失商业 信誉;（四）有丧失或者可能丧失履行债务能力的其他情形</w:t>
      </w:r>
      <w:r>
        <w:rPr>
          <w:rFonts w:ascii="Times New Roman" w:hAnsi="Times New Roman" w:eastAsia="Times New Roman" w:cs="Times New Roman"/>
          <w:color w:val="000000"/>
          <w:spacing w:val="0"/>
          <w:w w:val="100"/>
          <w:position w:val="0"/>
          <w:sz w:val="19"/>
          <w:szCs w:val="19"/>
          <w:lang w:val="en-US" w:eastAsia="en-US" w:bidi="en-US"/>
        </w:rPr>
        <w:t xml:space="preserve">o </w:t>
      </w:r>
      <w:r>
        <w:rPr>
          <w:rFonts w:ascii="Times New Roman" w:hAnsi="Times New Roman" w:eastAsia="Times New Roman" w:cs="Times New Roman"/>
          <w:color w:val="000000"/>
          <w:spacing w:val="0"/>
          <w:w w:val="100"/>
          <w:position w:val="0"/>
          <w:sz w:val="19"/>
          <w:szCs w:val="19"/>
        </w:rPr>
        <w:t>”</w:t>
      </w:r>
    </w:p>
    <w:p w14:paraId="7A057872">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依据该规定，不安抗辩权的产生前提为，后履行一方岀现经营状况严重恶化、丧失商业 信誉等</w:t>
      </w:r>
      <w:r>
        <w:rPr>
          <w:color w:val="000000"/>
          <w:spacing w:val="0"/>
          <w:w w:val="100"/>
          <w:position w:val="0"/>
          <w:lang w:val="zh-CN" w:eastAsia="zh-CN" w:bidi="zh-CN"/>
        </w:rPr>
        <w:t>“情</w:t>
      </w:r>
      <w:r>
        <w:rPr>
          <w:color w:val="000000"/>
          <w:spacing w:val="0"/>
          <w:w w:val="100"/>
          <w:position w:val="0"/>
        </w:rPr>
        <w:t>形”。此等情形之有无,与后履行一方在系争合同中的违约行为并无必然关联。 只要存在前述情形,无论是后履行一方自行造成,还是第三人或其他因素所导致，均可产生 先履行一方的不安抗辩权。</w:t>
      </w:r>
    </w:p>
    <w:p w14:paraId="312CF6C0">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在学理上,少数研究对此有清醒认识。其或者个别指出，“丧失商业信誉的行为，不一 定针对特定的当事人”；若后履行一方在同类合同中对他人丧失商业信用，先履行一方即可 能因此享有不安抗辩权［隋彭生：《合同法要义》（第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168 </w:t>
      </w:r>
      <w:r>
        <w:rPr>
          <w:color w:val="000000"/>
          <w:spacing w:val="0"/>
          <w:w w:val="100"/>
          <w:position w:val="0"/>
        </w:rPr>
        <w:t>页］。又或者一般而论</w:t>
      </w:r>
      <w:r>
        <w:rPr>
          <w:color w:val="000000"/>
          <w:spacing w:val="0"/>
          <w:w w:val="100"/>
          <w:position w:val="0"/>
          <w:lang w:val="zh-CN" w:eastAsia="zh-CN" w:bidi="zh-CN"/>
        </w:rPr>
        <w:t>，“凡</w:t>
      </w:r>
      <w:r>
        <w:rPr>
          <w:color w:val="000000"/>
          <w:spacing w:val="0"/>
          <w:w w:val="100"/>
          <w:position w:val="0"/>
        </w:rPr>
        <w:t>与后履行一方有关且可能威胁到先履行一方对待给付请求权的 情形,不管其是否由来于后履行一方自身的行为，皆可纳入不安抗辩权的发生事由</w:t>
      </w:r>
      <w:r>
        <w:rPr>
          <w:color w:val="000000"/>
          <w:spacing w:val="0"/>
          <w:w w:val="100"/>
          <w:position w:val="0"/>
          <w:lang w:val="zh-CN" w:eastAsia="zh-CN" w:bidi="zh-CN"/>
        </w:rPr>
        <w:t>”［朱</w:t>
      </w:r>
      <w:r>
        <w:rPr>
          <w:color w:val="000000"/>
          <w:spacing w:val="0"/>
          <w:w w:val="100"/>
          <w:position w:val="0"/>
        </w:rPr>
        <w:t>广 新:《合同法总则》（第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503</w:t>
      </w:r>
      <w:r>
        <w:rPr>
          <w:color w:val="000000"/>
          <w:spacing w:val="0"/>
          <w:w w:val="100"/>
          <w:position w:val="0"/>
        </w:rPr>
        <w:t>页］。</w:t>
      </w:r>
    </w:p>
    <w:p w14:paraId="57C07BA8">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在实践中,不安抗辩权之产生亦无须与后履行一方在系争合同之行为直接相关。例 如</w:t>
      </w:r>
      <w:r>
        <w:rPr>
          <w:color w:val="000000"/>
          <w:spacing w:val="0"/>
          <w:w w:val="100"/>
          <w:position w:val="0"/>
          <w:lang w:val="zh-CN" w:eastAsia="zh-CN" w:bidi="zh-CN"/>
        </w:rPr>
        <w:t>，“新</w:t>
      </w:r>
      <w:r>
        <w:rPr>
          <w:color w:val="000000"/>
          <w:spacing w:val="0"/>
          <w:w w:val="100"/>
          <w:position w:val="0"/>
        </w:rPr>
        <w:t>乡市津都奶业有限公司与新乡市鑫福钢结构有限公司建设工程施工合同纠纷申请 案”［最高人民法院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2398</w:t>
      </w:r>
      <w:r>
        <w:rPr>
          <w:color w:val="000000"/>
          <w:spacing w:val="0"/>
          <w:w w:val="100"/>
          <w:position w:val="0"/>
        </w:rPr>
        <w:t>号］民事裁定书认为，施工方是基于对系争项目乃第三 人（中国扶贫会）计划投资项目之信任而全额垫资施工;在合同履行过程中,施工方获知第 三人并无对系争项目之投资计划而停工,系以不安抗辩权为依据。</w:t>
      </w:r>
    </w:p>
    <w:p w14:paraId="598A7D68">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第三人违约是否导致后履行一方丧失商业信誉，进而产生先履行一方之不安抗辩权？</w:t>
      </w:r>
    </w:p>
    <w:p w14:paraId="3F16B97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本判决涉及第三人违约是否导致后履行一方丧失商业信誉问题。在不安抗辩权之发 生并不受制于后履行一方在系争合同之违约行为的背景下，与本判决类似、因而须相同对 待的情形至少还包括:后履行一方在其他合同中对第三人违约、在其他合同中对先履行一 方违约、在系争合同的既往履行中（常见于继续性合同场合）对先履行一方违约等。以上情 形均涉及如下共通问题:违约是否导致丧失商业信誉。换言之，作为不安抗辩权发生事由 之一的丧失商业信誉所指为何,是否包括违约？</w:t>
      </w:r>
    </w:p>
    <w:p w14:paraId="4739C914">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在学理上,现有研究通常仅强调</w:t>
      </w:r>
      <w:r>
        <w:rPr>
          <w:color w:val="000000"/>
          <w:spacing w:val="0"/>
          <w:w w:val="100"/>
          <w:position w:val="0"/>
          <w:lang w:val="zh-CN" w:eastAsia="zh-CN" w:bidi="zh-CN"/>
        </w:rPr>
        <w:t>，“丧</w:t>
      </w:r>
      <w:r>
        <w:rPr>
          <w:color w:val="000000"/>
          <w:spacing w:val="0"/>
          <w:w w:val="100"/>
          <w:position w:val="0"/>
        </w:rPr>
        <w:t>失商业信誉</w:t>
      </w:r>
      <w:r>
        <w:rPr>
          <w:color w:val="000000"/>
          <w:spacing w:val="0"/>
          <w:w w:val="100"/>
          <w:position w:val="0"/>
          <w:lang w:val="zh-CN" w:eastAsia="zh-CN" w:bidi="zh-CN"/>
        </w:rPr>
        <w:t>”应当</w:t>
      </w:r>
      <w:r>
        <w:rPr>
          <w:color w:val="000000"/>
          <w:spacing w:val="0"/>
          <w:w w:val="100"/>
          <w:position w:val="0"/>
        </w:rPr>
        <w:t>符合原《合同法》第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 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项之兜底条款的要求，即</w:t>
      </w:r>
      <w:r>
        <w:rPr>
          <w:color w:val="000000"/>
          <w:spacing w:val="0"/>
          <w:w w:val="100"/>
          <w:position w:val="0"/>
          <w:lang w:val="zh-CN" w:eastAsia="zh-CN" w:bidi="zh-CN"/>
        </w:rPr>
        <w:t>“丧</w:t>
      </w:r>
      <w:r>
        <w:rPr>
          <w:color w:val="000000"/>
          <w:spacing w:val="0"/>
          <w:w w:val="100"/>
          <w:position w:val="0"/>
        </w:rPr>
        <w:t>失或者可能丧失履行债务能力”；并未谈及违约与丧失商 业信誉之关系（参见崔建远主编：《合同法》，法律出版社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110</w:t>
      </w:r>
      <w:r>
        <w:rPr>
          <w:color w:val="000000"/>
          <w:spacing w:val="0"/>
          <w:w w:val="100"/>
          <w:position w:val="0"/>
        </w:rPr>
        <w:t>页；韩世远:《合同法总论》， 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419</w:t>
      </w:r>
      <w:r>
        <w:rPr>
          <w:color w:val="000000"/>
          <w:spacing w:val="0"/>
          <w:w w:val="100"/>
          <w:position w:val="0"/>
        </w:rPr>
        <w:t>页）。不过,少数研究对此仍有说明:丧失商业信誉</w:t>
      </w:r>
      <w:r>
        <w:rPr>
          <w:color w:val="000000"/>
          <w:spacing w:val="0"/>
          <w:w w:val="100"/>
          <w:position w:val="0"/>
          <w:lang w:val="zh-CN" w:eastAsia="zh-CN" w:bidi="zh-CN"/>
        </w:rPr>
        <w:t>“通常</w:t>
      </w:r>
      <w:r>
        <w:rPr>
          <w:color w:val="000000"/>
          <w:spacing w:val="0"/>
          <w:w w:val="100"/>
          <w:position w:val="0"/>
        </w:rPr>
        <w:t>应指的 是先给付义务人在经济活动中多次违约以致人们对其信用产生怀疑,仅仅一次情节轻微的 违约不能认定为’丧失商业信誉</w:t>
      </w:r>
      <w:r>
        <w:rPr>
          <w:color w:val="000000"/>
          <w:spacing w:val="0"/>
          <w:w w:val="100"/>
          <w:position w:val="0"/>
          <w:lang w:val="en-US" w:eastAsia="en-US" w:bidi="en-US"/>
        </w:rPr>
        <w:t>'</w:t>
      </w:r>
      <w:r>
        <w:rPr>
          <w:color w:val="000000"/>
          <w:spacing w:val="0"/>
          <w:w w:val="100"/>
          <w:position w:val="0"/>
        </w:rPr>
        <w:t>”；此外,丧失商业信誉原则上亦须达到有丧失或可能丧失 履行债务能力之程度（王洪亮:《债法总论》，北京大学出版社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129</w:t>
      </w:r>
      <w:r>
        <w:rPr>
          <w:color w:val="000000"/>
          <w:spacing w:val="0"/>
          <w:w w:val="100"/>
          <w:position w:val="0"/>
        </w:rPr>
        <w:t>页）。</w:t>
      </w:r>
    </w:p>
    <w:p w14:paraId="7AA85F9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在实践中,个别裁判虽界定了商业信誉，但并未谈及违约。如“王和喜与乌鲁木齐亿鑫 金通汽车销售有限公司买卖合同纠纷再审案”［新疆维吾尔自治区高级人民法院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新 民申</w:t>
      </w:r>
      <w:r>
        <w:rPr>
          <w:rFonts w:ascii="Times New Roman" w:hAnsi="Times New Roman" w:eastAsia="Times New Roman" w:cs="Times New Roman"/>
          <w:color w:val="000000"/>
          <w:spacing w:val="0"/>
          <w:w w:val="100"/>
          <w:position w:val="0"/>
          <w:sz w:val="17"/>
          <w:szCs w:val="17"/>
        </w:rPr>
        <w:t>1435</w:t>
      </w:r>
      <w:r>
        <w:rPr>
          <w:color w:val="000000"/>
          <w:spacing w:val="0"/>
          <w:w w:val="100"/>
          <w:position w:val="0"/>
        </w:rPr>
        <w:t>号］民事裁定书认为,</w:t>
      </w:r>
      <w:r>
        <w:rPr>
          <w:color w:val="000000"/>
          <w:spacing w:val="0"/>
          <w:w w:val="100"/>
          <w:position w:val="0"/>
          <w:lang w:val="zh-CN" w:eastAsia="zh-CN" w:bidi="zh-CN"/>
        </w:rPr>
        <w:t>“《合</w:t>
      </w:r>
      <w:r>
        <w:rPr>
          <w:color w:val="000000"/>
          <w:spacing w:val="0"/>
          <w:w w:val="100"/>
          <w:position w:val="0"/>
        </w:rPr>
        <w:t>同法》第</w:t>
      </w:r>
      <w:r>
        <w:rPr>
          <w:rFonts w:ascii="Times New Roman" w:hAnsi="Times New Roman" w:eastAsia="Times New Roman" w:cs="Times New Roman"/>
          <w:color w:val="000000"/>
          <w:spacing w:val="0"/>
          <w:w w:val="100"/>
          <w:position w:val="0"/>
          <w:sz w:val="17"/>
          <w:szCs w:val="17"/>
        </w:rPr>
        <w:t>68</w:t>
      </w:r>
      <w:r>
        <w:rPr>
          <w:color w:val="000000"/>
          <w:spacing w:val="0"/>
          <w:w w:val="100"/>
          <w:position w:val="0"/>
        </w:rPr>
        <w:t xml:space="preserve">条的丧失商业信誉是指后履行方当事人在 进行商业活动过程中，商业信誉很差,严重违背诚实信用原则。这里的丧失商业信誉必须 要到达严重的程度”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相反,不少较高层级的裁判均指岀，违约不等于丧失商业信誉;不过, 多次或长期违约,且违约是欠缺履行债务能力所导致时,仍属于丧失商业信誉。例如</w:t>
      </w:r>
      <w:r>
        <w:rPr>
          <w:color w:val="000000"/>
          <w:spacing w:val="0"/>
          <w:w w:val="100"/>
          <w:position w:val="0"/>
          <w:lang w:val="zh-CN" w:eastAsia="zh-CN" w:bidi="zh-CN"/>
        </w:rPr>
        <w:t xml:space="preserve">，“王 </w:t>
      </w:r>
      <w:r>
        <w:rPr>
          <w:color w:val="000000"/>
          <w:spacing w:val="0"/>
          <w:w w:val="100"/>
          <w:position w:val="0"/>
        </w:rPr>
        <w:t>健股权转让纠纷再审案”［最高人民法院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568</w:t>
      </w:r>
      <w:r>
        <w:rPr>
          <w:color w:val="000000"/>
          <w:spacing w:val="0"/>
          <w:w w:val="100"/>
          <w:position w:val="0"/>
        </w:rPr>
        <w:t>号］民事裁定书指出：</w:t>
      </w:r>
      <w:r>
        <w:rPr>
          <w:color w:val="000000"/>
          <w:spacing w:val="0"/>
          <w:w w:val="100"/>
          <w:position w:val="0"/>
          <w:lang w:val="zh-CN" w:eastAsia="zh-CN" w:bidi="zh-CN"/>
        </w:rPr>
        <w:t xml:space="preserve">“当事 </w:t>
      </w:r>
      <w:r>
        <w:rPr>
          <w:color w:val="000000"/>
          <w:spacing w:val="0"/>
          <w:w w:val="100"/>
          <w:position w:val="0"/>
        </w:rPr>
        <w:t>人违约并不等同于'丧失商业信誉’，不等同于丧失合同履行能力。不安抗辩权的行使应当 满足先给付义务人有确切证据证明后给付义务人的履行能力明显降低，有不能为对待给付 的现实危险的前提条件</w:t>
      </w:r>
      <w:r>
        <w:rPr>
          <w:color w:val="000000"/>
          <w:spacing w:val="0"/>
          <w:w w:val="100"/>
          <w:position w:val="0"/>
          <w:lang w:val="zh-CN" w:eastAsia="zh-CN" w:bidi="zh-CN"/>
        </w:rPr>
        <w:t>。”更</w:t>
      </w:r>
      <w:r>
        <w:rPr>
          <w:color w:val="000000"/>
          <w:spacing w:val="0"/>
          <w:w w:val="100"/>
          <w:position w:val="0"/>
        </w:rPr>
        <w:t>精准的说明见于“深圳市汇采纸制品有限公司、邹善良股权转 让纠纷案</w:t>
      </w:r>
      <w:r>
        <w:rPr>
          <w:color w:val="000000"/>
          <w:spacing w:val="0"/>
          <w:w w:val="100"/>
          <w:position w:val="0"/>
          <w:lang w:val="zh-CN" w:eastAsia="zh-CN" w:bidi="zh-CN"/>
        </w:rPr>
        <w:t>”［云</w:t>
      </w:r>
      <w:r>
        <w:rPr>
          <w:color w:val="000000"/>
          <w:spacing w:val="0"/>
          <w:w w:val="100"/>
          <w:position w:val="0"/>
        </w:rPr>
        <w:t>南省高级人民法院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云民终</w:t>
      </w:r>
      <w:r>
        <w:rPr>
          <w:rFonts w:ascii="Times New Roman" w:hAnsi="Times New Roman" w:eastAsia="Times New Roman" w:cs="Times New Roman"/>
          <w:color w:val="000000"/>
          <w:spacing w:val="0"/>
          <w:w w:val="100"/>
          <w:position w:val="0"/>
          <w:sz w:val="17"/>
          <w:szCs w:val="17"/>
        </w:rPr>
        <w:t>737</w:t>
      </w:r>
      <w:r>
        <w:rPr>
          <w:color w:val="000000"/>
          <w:spacing w:val="0"/>
          <w:w w:val="100"/>
          <w:position w:val="0"/>
        </w:rPr>
        <w:t>号］民事判决书：</w:t>
      </w:r>
      <w:r>
        <w:rPr>
          <w:color w:val="000000"/>
          <w:spacing w:val="0"/>
          <w:w w:val="100"/>
          <w:position w:val="0"/>
          <w:lang w:val="zh-CN" w:eastAsia="zh-CN" w:bidi="zh-CN"/>
        </w:rPr>
        <w:t>“'丧</w:t>
      </w:r>
      <w:r>
        <w:rPr>
          <w:color w:val="000000"/>
          <w:spacing w:val="0"/>
          <w:w w:val="100"/>
          <w:position w:val="0"/>
        </w:rPr>
        <w:t>失商业信誉'中的'商 业信誉’，是指社会公众对某一经营者的经济能力、信用状况等给予的社会评价的推断，由 此可见,判断一个商业主体是否丧失商业信誉，不能仅仅根据该主体单一的、偶尔发生的不 良情形就作出判断。如果一方当事人要以违约为由指控对方丧失商业信誉,其必须举证证 明对方当事人多次或者长期性没有能力履行或者不能履行合同义务</w:t>
      </w:r>
      <w:r>
        <w:rPr>
          <w:color w:val="000000"/>
          <w:spacing w:val="0"/>
          <w:w w:val="100"/>
          <w:position w:val="0"/>
          <w:lang w:val="zh-CN" w:eastAsia="zh-CN" w:bidi="zh-CN"/>
        </w:rPr>
        <w:t>……</w:t>
      </w:r>
      <w:r>
        <w:rPr>
          <w:color w:val="000000"/>
          <w:spacing w:val="0"/>
          <w:w w:val="100"/>
          <w:position w:val="0"/>
        </w:rPr>
        <w:t>”</w:t>
      </w:r>
    </w:p>
    <w:p w14:paraId="03E9BC2B">
      <w:pPr>
        <w:pStyle w:val="17"/>
        <w:keepNext w:val="0"/>
        <w:keepLines w:val="0"/>
        <w:widowControl w:val="0"/>
        <w:shd w:val="clear" w:color="auto" w:fill="auto"/>
        <w:bidi w:val="0"/>
        <w:spacing w:before="0" w:after="0" w:line="342" w:lineRule="exact"/>
        <w:ind w:left="0" w:right="0" w:firstLine="420"/>
        <w:jc w:val="both"/>
        <w:rPr>
          <w:sz w:val="17"/>
          <w:szCs w:val="17"/>
        </w:rPr>
      </w:pPr>
      <w:r>
        <w:rPr>
          <w:color w:val="000000"/>
          <w:spacing w:val="0"/>
          <w:w w:val="100"/>
          <w:position w:val="0"/>
          <w:sz w:val="18"/>
          <w:szCs w:val="18"/>
        </w:rPr>
        <w:t>此外，部分下级法院的裁判虽也认同多次或长期违约涉及丧失商业信誉，但并未强调 违约的原因必须为欠缺履行债务能力。如“上海锦林纺织品有限公司与上饶市华美服饰有 限公司承揽合同纠纷案</w:t>
      </w:r>
      <w:r>
        <w:rPr>
          <w:color w:val="000000"/>
          <w:spacing w:val="0"/>
          <w:w w:val="100"/>
          <w:position w:val="0"/>
          <w:sz w:val="18"/>
          <w:szCs w:val="18"/>
          <w:lang w:val="zh-CN" w:eastAsia="zh-CN" w:bidi="zh-CN"/>
        </w:rPr>
        <w:t>”［上</w:t>
      </w:r>
      <w:r>
        <w:rPr>
          <w:color w:val="000000"/>
          <w:spacing w:val="0"/>
          <w:w w:val="100"/>
          <w:position w:val="0"/>
          <w:sz w:val="18"/>
          <w:szCs w:val="18"/>
        </w:rPr>
        <w:t>海市杨浦区人民法院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8"/>
          <w:szCs w:val="18"/>
        </w:rPr>
        <w:t>沪</w:t>
      </w:r>
      <w:r>
        <w:rPr>
          <w:rFonts w:ascii="Times New Roman" w:hAnsi="Times New Roman" w:eastAsia="Times New Roman" w:cs="Times New Roman"/>
          <w:color w:val="000000"/>
          <w:spacing w:val="0"/>
          <w:w w:val="100"/>
          <w:position w:val="0"/>
          <w:sz w:val="17"/>
          <w:szCs w:val="17"/>
        </w:rPr>
        <w:t>0110</w:t>
      </w:r>
      <w:r>
        <w:rPr>
          <w:color w:val="000000"/>
          <w:spacing w:val="0"/>
          <w:w w:val="100"/>
          <w:position w:val="0"/>
          <w:sz w:val="18"/>
          <w:szCs w:val="18"/>
        </w:rPr>
        <w:t>民初</w:t>
      </w:r>
      <w:r>
        <w:rPr>
          <w:rFonts w:ascii="Times New Roman" w:hAnsi="Times New Roman" w:eastAsia="Times New Roman" w:cs="Times New Roman"/>
          <w:color w:val="000000"/>
          <w:spacing w:val="0"/>
          <w:w w:val="100"/>
          <w:position w:val="0"/>
          <w:sz w:val="17"/>
          <w:szCs w:val="17"/>
        </w:rPr>
        <w:t>11727</w:t>
      </w:r>
      <w:r>
        <w:rPr>
          <w:color w:val="000000"/>
          <w:spacing w:val="0"/>
          <w:w w:val="100"/>
          <w:position w:val="0"/>
          <w:sz w:val="18"/>
          <w:szCs w:val="18"/>
        </w:rPr>
        <w:t xml:space="preserve">号］民事判决书认为： </w:t>
      </w:r>
      <w:r>
        <w:rPr>
          <w:color w:val="000000"/>
          <w:spacing w:val="0"/>
          <w:w w:val="100"/>
          <w:position w:val="0"/>
          <w:sz w:val="18"/>
          <w:szCs w:val="18"/>
          <w:lang w:val="zh-CN" w:eastAsia="zh-CN" w:bidi="zh-CN"/>
        </w:rPr>
        <w:t>“丧</w:t>
      </w:r>
      <w:r>
        <w:rPr>
          <w:color w:val="000000"/>
          <w:spacing w:val="0"/>
          <w:w w:val="100"/>
          <w:position w:val="0"/>
          <w:sz w:val="18"/>
          <w:szCs w:val="18"/>
        </w:rPr>
        <w:t>失商业信誉,是指后履行债务的当事人失去了诚实信用、按期履行等良好的声誉。</w:t>
      </w:r>
      <w:r>
        <w:rPr>
          <w:color w:val="000000"/>
          <w:spacing w:val="0"/>
          <w:w w:val="100"/>
          <w:position w:val="0"/>
          <w:sz w:val="18"/>
          <w:szCs w:val="18"/>
          <w:lang w:val="zh-CN" w:eastAsia="zh-CN" w:bidi="zh-CN"/>
        </w:rPr>
        <w:t xml:space="preserve">”类似 </w:t>
      </w:r>
      <w:r>
        <w:rPr>
          <w:color w:val="000000"/>
          <w:spacing w:val="0"/>
          <w:w w:val="100"/>
          <w:position w:val="0"/>
          <w:sz w:val="18"/>
          <w:szCs w:val="18"/>
        </w:rPr>
        <w:t>意见还见于</w:t>
      </w:r>
      <w:r>
        <w:rPr>
          <w:color w:val="000000"/>
          <w:spacing w:val="0"/>
          <w:w w:val="100"/>
          <w:position w:val="0"/>
          <w:sz w:val="18"/>
          <w:szCs w:val="18"/>
          <w:lang w:val="zh-CN" w:eastAsia="zh-CN" w:bidi="zh-CN"/>
        </w:rPr>
        <w:t>“安徽</w:t>
      </w:r>
      <w:r>
        <w:rPr>
          <w:color w:val="000000"/>
          <w:spacing w:val="0"/>
          <w:w w:val="100"/>
          <w:position w:val="0"/>
          <w:sz w:val="18"/>
          <w:szCs w:val="18"/>
        </w:rPr>
        <w:t>省晨力科学仪器有限公司与龙岩龙安安全科技有限公司居间合同纠纷 案</w:t>
      </w:r>
      <w:r>
        <w:rPr>
          <w:color w:val="000000"/>
          <w:spacing w:val="0"/>
          <w:w w:val="100"/>
          <w:position w:val="0"/>
          <w:sz w:val="18"/>
          <w:szCs w:val="18"/>
          <w:lang w:val="zh-CN" w:eastAsia="zh-CN" w:bidi="zh-CN"/>
        </w:rPr>
        <w:t>”［福</w:t>
      </w:r>
      <w:r>
        <w:rPr>
          <w:color w:val="000000"/>
          <w:spacing w:val="0"/>
          <w:w w:val="100"/>
          <w:position w:val="0"/>
          <w:sz w:val="18"/>
          <w:szCs w:val="18"/>
        </w:rPr>
        <w:t>建省龙岩市新罗区人民法院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8"/>
          <w:szCs w:val="18"/>
        </w:rPr>
        <w:t>闽</w:t>
      </w:r>
      <w:r>
        <w:rPr>
          <w:rFonts w:ascii="Times New Roman" w:hAnsi="Times New Roman" w:eastAsia="Times New Roman" w:cs="Times New Roman"/>
          <w:color w:val="000000"/>
          <w:spacing w:val="0"/>
          <w:w w:val="100"/>
          <w:position w:val="0"/>
          <w:sz w:val="17"/>
          <w:szCs w:val="17"/>
        </w:rPr>
        <w:t>0802</w:t>
      </w:r>
      <w:r>
        <w:rPr>
          <w:color w:val="000000"/>
          <w:spacing w:val="0"/>
          <w:w w:val="100"/>
          <w:position w:val="0"/>
          <w:sz w:val="18"/>
          <w:szCs w:val="18"/>
        </w:rPr>
        <w:t>民初</w:t>
      </w:r>
      <w:r>
        <w:rPr>
          <w:rFonts w:ascii="Times New Roman" w:hAnsi="Times New Roman" w:eastAsia="Times New Roman" w:cs="Times New Roman"/>
          <w:color w:val="000000"/>
          <w:spacing w:val="0"/>
          <w:w w:val="100"/>
          <w:position w:val="0"/>
          <w:sz w:val="17"/>
          <w:szCs w:val="17"/>
        </w:rPr>
        <w:t>6504</w:t>
      </w:r>
      <w:r>
        <w:rPr>
          <w:color w:val="000000"/>
          <w:spacing w:val="0"/>
          <w:w w:val="100"/>
          <w:position w:val="0"/>
          <w:sz w:val="18"/>
          <w:szCs w:val="18"/>
        </w:rPr>
        <w:t>号］民事判决书：</w:t>
      </w:r>
      <w:r>
        <w:rPr>
          <w:color w:val="000000"/>
          <w:spacing w:val="0"/>
          <w:w w:val="100"/>
          <w:position w:val="0"/>
          <w:sz w:val="18"/>
          <w:szCs w:val="18"/>
          <w:lang w:val="zh-CN" w:eastAsia="zh-CN" w:bidi="zh-CN"/>
        </w:rPr>
        <w:t>“所</w:t>
      </w:r>
      <w:r>
        <w:rPr>
          <w:color w:val="000000"/>
          <w:spacing w:val="0"/>
          <w:w w:val="100"/>
          <w:position w:val="0"/>
          <w:sz w:val="18"/>
          <w:szCs w:val="18"/>
        </w:rPr>
        <w:t>谓丧失商业信 誉，是指一方当事人长期或多次不履行合同义务，当事人存在破产、资不抵债、财产明显减 少、有清偿能力却拒不履行等情形</w:t>
      </w:r>
      <w:r>
        <w:rPr>
          <w:rFonts w:ascii="Times New Roman" w:hAnsi="Times New Roman" w:eastAsia="Times New Roman" w:cs="Times New Roman"/>
          <w:color w:val="000000"/>
          <w:spacing w:val="0"/>
          <w:w w:val="100"/>
          <w:position w:val="0"/>
          <w:sz w:val="17"/>
          <w:szCs w:val="17"/>
          <w:lang w:val="en-US" w:eastAsia="en-US" w:bidi="en-US"/>
        </w:rPr>
        <w:t xml:space="preserve">o </w:t>
      </w:r>
      <w:r>
        <w:rPr>
          <w:rFonts w:ascii="Times New Roman" w:hAnsi="Times New Roman" w:eastAsia="Times New Roman" w:cs="Times New Roman"/>
          <w:color w:val="000000"/>
          <w:spacing w:val="0"/>
          <w:w w:val="100"/>
          <w:position w:val="0"/>
          <w:sz w:val="17"/>
          <w:szCs w:val="17"/>
        </w:rPr>
        <w:t>”</w:t>
      </w:r>
    </w:p>
    <w:p w14:paraId="3A12EBD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前述学理以及较高层级裁判所持的见解可资赞同：丧失商业信誉必须满足</w:t>
      </w:r>
      <w:r>
        <w:rPr>
          <w:color w:val="000000"/>
          <w:spacing w:val="0"/>
          <w:w w:val="100"/>
          <w:position w:val="0"/>
          <w:lang w:val="zh-CN" w:eastAsia="zh-CN" w:bidi="zh-CN"/>
        </w:rPr>
        <w:t>“丧</w:t>
      </w:r>
      <w:r>
        <w:rPr>
          <w:color w:val="000000"/>
          <w:spacing w:val="0"/>
          <w:w w:val="100"/>
          <w:position w:val="0"/>
        </w:rPr>
        <w:t>失或者 可能丧失履行债务能力”之要求。此种限制与作为兜底条款的原《合同法》第</w:t>
      </w:r>
      <w:r>
        <w:rPr>
          <w:rFonts w:ascii="Times New Roman" w:hAnsi="Times New Roman" w:eastAsia="Times New Roman" w:cs="Times New Roman"/>
          <w:color w:val="000000"/>
          <w:spacing w:val="0"/>
          <w:w w:val="100"/>
          <w:position w:val="0"/>
          <w:sz w:val="17"/>
          <w:szCs w:val="17"/>
        </w:rPr>
        <w:t>68</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款 在体系上一致。据此,导致后履行一方丧失商业信誉之当事人或第三人违约,必须限于导 致后履行一方丧失或者可能丧失履行债务能力之违约。</w:t>
      </w:r>
    </w:p>
    <w:p w14:paraId="6EFF15C9">
      <w:pPr>
        <w:pStyle w:val="17"/>
        <w:keepNext w:val="0"/>
        <w:keepLines w:val="0"/>
        <w:widowControl w:val="0"/>
        <w:shd w:val="clear" w:color="auto" w:fill="auto"/>
        <w:bidi w:val="0"/>
        <w:spacing w:before="0" w:after="0" w:line="342" w:lineRule="exact"/>
        <w:ind w:left="0" w:right="0" w:firstLine="420"/>
        <w:jc w:val="both"/>
        <w:sectPr>
          <w:headerReference r:id="rId371" w:type="default"/>
          <w:headerReference r:id="rId372" w:type="even"/>
          <w:footnotePr>
            <w:numFmt w:val="chicago"/>
          </w:footnotePr>
          <w:pgSz w:w="10099" w:h="14782"/>
          <w:pgMar w:top="1317" w:right="1032" w:bottom="1099" w:left="1058" w:header="0" w:footer="3" w:gutter="0"/>
          <w:pgNumType w:start="302"/>
          <w:cols w:space="720" w:num="1"/>
          <w:rtlGutter w:val="0"/>
          <w:docGrid w:linePitch="360" w:charSpace="0"/>
        </w:sectPr>
      </w:pPr>
      <w:r>
        <w:rPr>
          <w:color w:val="000000"/>
          <w:spacing w:val="0"/>
          <w:w w:val="100"/>
          <w:position w:val="0"/>
        </w:rPr>
        <w:t>就本判决而言，关键便在于第三人福州华辰公司在其他合同中对作为合同一方之俞财 新的违约，是否导致系争合同的后履行一方华辰公司丧失或可能丧失履行债务能力，进而 丧失商业信誉？从本判决的事实来看，福州华辰公司的实际控制人,正是涉案合同的保证 人魏传瑞;此外,魏传瑞或许也是华辰公司的实际控制人。换言之，同一实际控制人控制的 两个公司,一个公司在其他合同中对先履行一方违约，是否表明另一公司丧失商业信誉（或 者丧失或可能丧失履行债务能力）？这是一个事实判断问题，牵扯各种证据与因果关系，无</w:t>
      </w:r>
    </w:p>
    <w:p w14:paraId="1CA2CFFB">
      <w:pPr>
        <w:pStyle w:val="17"/>
        <w:keepNext w:val="0"/>
        <w:keepLines w:val="0"/>
        <w:widowControl w:val="0"/>
        <w:shd w:val="clear" w:color="auto" w:fill="auto"/>
        <w:bidi w:val="0"/>
        <w:spacing w:before="0" w:after="300" w:line="240" w:lineRule="auto"/>
        <w:ind w:left="0" w:right="0" w:firstLine="0"/>
        <w:jc w:val="right"/>
        <w:rPr>
          <w:sz w:val="17"/>
          <w:szCs w:val="17"/>
        </w:rPr>
      </w:pPr>
      <w:r>
        <w:rPr>
          <w:color w:val="000000"/>
          <w:spacing w:val="0"/>
          <w:w w:val="100"/>
          <w:position w:val="0"/>
          <w:sz w:val="18"/>
          <w:szCs w:val="18"/>
        </w:rPr>
        <w:t>第三人违约是否引发丧失商业信誉之不安抗辩丨</w:t>
      </w:r>
      <w:r>
        <w:rPr>
          <w:rFonts w:ascii="Times New Roman" w:hAnsi="Times New Roman" w:eastAsia="Times New Roman" w:cs="Times New Roman"/>
          <w:color w:val="000000"/>
          <w:spacing w:val="0"/>
          <w:w w:val="100"/>
          <w:position w:val="0"/>
          <w:sz w:val="17"/>
          <w:szCs w:val="17"/>
        </w:rPr>
        <w:t>305</w:t>
      </w:r>
    </w:p>
    <w:p w14:paraId="34332871">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rPr>
        <w:t>须多论。但可以明确，前述关联公司的商业信誉及履行债务能力确有可能一荣俱荣、一损 俱损，故不可简单以公司独立人格、独立财产为由，更不可以合同相对性原则为由，一概排 除此种可能。</w:t>
      </w:r>
    </w:p>
    <w:p w14:paraId="70D2DF7B">
      <w:pPr>
        <w:pStyle w:val="17"/>
        <w:keepNext w:val="0"/>
        <w:keepLines w:val="0"/>
        <w:widowControl w:val="0"/>
        <w:shd w:val="clear" w:color="auto" w:fill="auto"/>
        <w:bidi w:val="0"/>
        <w:spacing w:before="0" w:after="160" w:line="341" w:lineRule="exact"/>
        <w:ind w:left="0" w:right="0" w:firstLine="0"/>
        <w:jc w:val="both"/>
      </w:pPr>
      <w:r>
        <w:rPr>
          <w:color w:val="000000"/>
          <w:spacing w:val="0"/>
          <w:w w:val="100"/>
          <w:position w:val="0"/>
        </w:rPr>
        <w:t>冈未来课题</w:t>
      </w:r>
    </w:p>
    <w:p w14:paraId="41BFF7A9">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导致后履行一方丧失商业信誉之违约，是否包括其具有履行债务能力,而单纯欠缺履 约意愿之违约？如恶意欺诈、被认定为失信被执行人等场景，此为未来需研究之课题。虽然 此种解读与体系解释的结论不符，但是，从文义解释来看，丧失商业信誉并不限于履行债务 能力之欠缺，而涵盖因恶意违约等而“失信”之情形。从目的解释来看，若将商业信誉视为 一种名誉或无形资产，无论是欠缺财产所导致之信誉减损，还是不重然诺所导致之信誉减 损，并无区别对待之理。随着《民法典》的颁布生效，在技术层面，欠缺履约意愿之违约所导 致之丧失商业信誉，是直接适用《民法典》第</w:t>
      </w:r>
      <w:r>
        <w:rPr>
          <w:rFonts w:ascii="Times New Roman" w:hAnsi="Times New Roman" w:eastAsia="Times New Roman" w:cs="Times New Roman"/>
          <w:color w:val="000000"/>
          <w:spacing w:val="0"/>
          <w:w w:val="100"/>
          <w:position w:val="0"/>
          <w:sz w:val="17"/>
          <w:szCs w:val="17"/>
        </w:rPr>
        <w:t>527</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项，还是类推适用之,亦有探 讨余地。</w:t>
      </w:r>
    </w:p>
    <w:p w14:paraId="0424232B">
      <w:pPr>
        <w:pStyle w:val="11"/>
        <w:keepNext w:val="0"/>
        <w:keepLines w:val="0"/>
        <w:widowControl w:val="0"/>
        <w:shd w:val="clear" w:color="auto" w:fill="auto"/>
        <w:bidi w:val="0"/>
        <w:spacing w:before="0" w:after="0" w:line="341" w:lineRule="exact"/>
        <w:ind w:left="0" w:right="0" w:firstLine="0"/>
        <w:jc w:val="left"/>
      </w:pPr>
      <w:r>
        <w:rPr>
          <w:color w:val="000000"/>
          <w:spacing w:val="0"/>
          <w:w w:val="100"/>
          <w:position w:val="0"/>
        </w:rPr>
        <w:t>口参考文献</w:t>
      </w:r>
    </w:p>
    <w:p w14:paraId="192A52C5">
      <w:pPr>
        <w:pStyle w:val="17"/>
        <w:keepNext w:val="0"/>
        <w:keepLines w:val="0"/>
        <w:widowControl w:val="0"/>
        <w:shd w:val="clear" w:color="auto" w:fill="auto"/>
        <w:bidi w:val="0"/>
        <w:spacing w:before="0" w:after="0" w:line="341" w:lineRule="exact"/>
        <w:ind w:left="0" w:right="0" w:firstLine="0"/>
        <w:jc w:val="left"/>
      </w:pPr>
      <w:r>
        <w:rPr>
          <w:color w:val="000000"/>
          <w:spacing w:val="0"/>
          <w:w w:val="100"/>
          <w:position w:val="0"/>
        </w:rPr>
        <w:t>崔建远主编：《合同法》（第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69D69F6A">
      <w:pPr>
        <w:pStyle w:val="17"/>
        <w:keepNext w:val="0"/>
        <w:keepLines w:val="0"/>
        <w:widowControl w:val="0"/>
        <w:shd w:val="clear" w:color="auto" w:fill="auto"/>
        <w:bidi w:val="0"/>
        <w:spacing w:before="0" w:after="0" w:line="341" w:lineRule="exact"/>
        <w:ind w:left="0" w:right="0" w:firstLine="0"/>
        <w:jc w:val="both"/>
      </w:pPr>
      <w:r>
        <w:rPr>
          <w:color w:val="000000"/>
          <w:spacing w:val="0"/>
          <w:w w:val="100"/>
          <w:position w:val="0"/>
        </w:rPr>
        <w:t>隋彭生：《合同法要义》（第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w:t>
      </w:r>
      <w:r>
        <w:rPr>
          <w:color w:val="000000"/>
          <w:spacing w:val="0"/>
          <w:w w:val="100"/>
          <w:position w:val="0"/>
          <w:sz w:val="17"/>
          <w:szCs w:val="17"/>
        </w:rPr>
        <w:t>），</w:t>
      </w:r>
      <w:r>
        <w:rPr>
          <w:color w:val="000000"/>
          <w:spacing w:val="0"/>
          <w:w w:val="100"/>
          <w:position w:val="0"/>
        </w:rPr>
        <w:t>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5C94A66D">
      <w:pPr>
        <w:pStyle w:val="17"/>
        <w:keepNext w:val="0"/>
        <w:keepLines w:val="0"/>
        <w:widowControl w:val="0"/>
        <w:shd w:val="clear" w:color="auto" w:fill="auto"/>
        <w:bidi w:val="0"/>
        <w:spacing w:before="0" w:after="0" w:line="341"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6C37A6B5">
      <w:pPr>
        <w:pStyle w:val="17"/>
        <w:keepNext w:val="0"/>
        <w:keepLines w:val="0"/>
        <w:widowControl w:val="0"/>
        <w:shd w:val="clear" w:color="auto" w:fill="auto"/>
        <w:bidi w:val="0"/>
        <w:spacing w:before="0" w:after="220" w:line="341" w:lineRule="exact"/>
        <w:ind w:left="0" w:right="0" w:firstLine="0"/>
        <w:jc w:val="left"/>
        <w:sectPr>
          <w:headerReference r:id="rId373" w:type="default"/>
          <w:headerReference r:id="rId374" w:type="even"/>
          <w:footnotePr>
            <w:numFmt w:val="chicago"/>
          </w:footnotePr>
          <w:pgSz w:w="10099" w:h="14782"/>
          <w:pgMar w:top="787" w:right="1305" w:bottom="787" w:left="811" w:header="359" w:footer="359" w:gutter="0"/>
          <w:pgNumType w:start="321"/>
          <w:cols w:space="720" w:num="1"/>
          <w:rtlGutter w:val="0"/>
          <w:docGrid w:linePitch="360" w:charSpace="0"/>
        </w:sectPr>
      </w:pPr>
      <w:r>
        <w:rPr>
          <w:color w:val="000000"/>
          <w:spacing w:val="0"/>
          <w:w w:val="100"/>
          <w:position w:val="0"/>
        </w:rPr>
        <w:t>朱广新:《合同法总则》（第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w:t>
      </w:r>
      <w:r>
        <w:rPr>
          <w:color w:val="000000"/>
          <w:spacing w:val="0"/>
          <w:w w:val="100"/>
          <w:position w:val="0"/>
          <w:sz w:val="17"/>
          <w:szCs w:val="17"/>
        </w:rPr>
        <w:t>），</w:t>
      </w:r>
      <w:r>
        <w:rPr>
          <w:color w:val="000000"/>
          <w:spacing w:val="0"/>
          <w:w w:val="100"/>
          <w:position w:val="0"/>
        </w:rPr>
        <w:t>中国人民大学出版社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w:t>
      </w:r>
    </w:p>
    <w:p w14:paraId="1776056F">
      <w:pPr>
        <w:widowControl w:val="0"/>
        <w:spacing w:line="86" w:lineRule="exact"/>
        <w:rPr>
          <w:sz w:val="7"/>
          <w:szCs w:val="7"/>
        </w:rPr>
      </w:pPr>
    </w:p>
    <w:p w14:paraId="452FF3ED">
      <w:pPr>
        <w:widowControl w:val="0"/>
        <w:spacing w:line="1" w:lineRule="exact"/>
        <w:sectPr>
          <w:footnotePr>
            <w:numFmt w:val="chicago"/>
          </w:footnotePr>
          <w:pgSz w:w="10099" w:h="14782"/>
          <w:pgMar w:top="1330" w:right="979" w:bottom="1072" w:left="1107" w:header="0" w:footer="3" w:gutter="0"/>
          <w:cols w:space="720" w:num="1"/>
          <w:rtlGutter w:val="0"/>
          <w:docGrid w:linePitch="360" w:charSpace="0"/>
        </w:sectPr>
      </w:pPr>
    </w:p>
    <w:p w14:paraId="084DBE9C">
      <w:pPr>
        <w:widowControl w:val="0"/>
        <w:spacing w:line="1" w:lineRule="exact"/>
      </w:pPr>
      <w:r>
        <mc:AlternateContent>
          <mc:Choice Requires="wps">
            <w:drawing>
              <wp:anchor distT="0" distB="19685" distL="0" distR="0" simplePos="0" relativeHeight="251660288" behindDoc="0" locked="0" layoutInCell="1" allowOverlap="1">
                <wp:simplePos x="0" y="0"/>
                <wp:positionH relativeFrom="page">
                  <wp:posOffset>774700</wp:posOffset>
                </wp:positionH>
                <wp:positionV relativeFrom="paragraph">
                  <wp:posOffset>0</wp:posOffset>
                </wp:positionV>
                <wp:extent cx="448310" cy="304800"/>
                <wp:effectExtent l="0" t="0" r="0" b="0"/>
                <wp:wrapTopAndBottom/>
                <wp:docPr id="863" name="Shape 863"/>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00F9CD46">
                            <w:pPr>
                              <w:pStyle w:val="27"/>
                              <w:keepNext/>
                              <w:keepLines/>
                              <w:widowControl w:val="0"/>
                              <w:shd w:val="clear" w:color="auto" w:fill="auto"/>
                              <w:bidi w:val="0"/>
                              <w:spacing w:before="0" w:after="0" w:line="240" w:lineRule="auto"/>
                              <w:ind w:left="0" w:right="0" w:firstLine="0"/>
                              <w:jc w:val="left"/>
                            </w:pPr>
                            <w:bookmarkStart w:id="483" w:name="bookmark385"/>
                            <w:bookmarkStart w:id="484" w:name="bookmark386"/>
                            <w:bookmarkStart w:id="485" w:name="bookmark387"/>
                            <w:r>
                              <w:rPr>
                                <w:rFonts w:ascii="Times New Roman" w:hAnsi="Times New Roman" w:eastAsia="Times New Roman" w:cs="Times New Roman"/>
                                <w:color w:val="000000"/>
                                <w:spacing w:val="0"/>
                                <w:w w:val="100"/>
                                <w:position w:val="0"/>
                              </w:rPr>
                              <w:t>062</w:t>
                            </w:r>
                            <w:bookmarkEnd w:id="483"/>
                            <w:bookmarkEnd w:id="484"/>
                            <w:bookmarkEnd w:id="485"/>
                          </w:p>
                        </w:txbxContent>
                      </wps:txbx>
                      <wps:bodyPr wrap="none" lIns="0" tIns="0" rIns="0" bIns="0">
                        <a:noAutofit/>
                      </wps:bodyPr>
                    </wps:wsp>
                  </a:graphicData>
                </a:graphic>
              </wp:anchor>
            </w:drawing>
          </mc:Choice>
          <mc:Fallback>
            <w:pict>
              <v:shape id="Shape 863" o:spid="_x0000_s1026" o:spt="202" type="#_x0000_t202" style="position:absolute;left:0pt;margin-left:61pt;margin-top:0pt;height:24pt;width:35.3pt;mso-position-horizontal-relative:page;mso-wrap-distance-bottom:1.55pt;mso-wrap-distance-top:0pt;mso-wrap-style:none;z-index:251660288;mso-width-relative:page;mso-height-relative:page;" filled="f" stroked="f" coordsize="21600,21600" o:gfxdata="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3Zbg9QAAAAH&#10;AQAADwAAAAAAAAABACAAAAAiAAAAZHJzL2Rvd25yZXYueG1sUEsBAhQAFAAAAAgAh07iQGE3S/+u&#10;AQAAcwMAAA4AAAAAAAAAAQAgAAAAIwEAAGRycy9lMm9Eb2MueG1sUEsFBgAAAAAGAAYAWQEAAEMF&#10;AAAAAA==&#10;">
                <v:fill on="f" focussize="0,0"/>
                <v:stroke on="f"/>
                <v:imagedata o:title=""/>
                <o:lock v:ext="edit" aspectratio="f"/>
                <v:textbox inset="0mm,0mm,0mm,0mm">
                  <w:txbxContent>
                    <w:p w14:paraId="00F9CD46">
                      <w:pPr>
                        <w:pStyle w:val="27"/>
                        <w:keepNext/>
                        <w:keepLines/>
                        <w:widowControl w:val="0"/>
                        <w:shd w:val="clear" w:color="auto" w:fill="auto"/>
                        <w:bidi w:val="0"/>
                        <w:spacing w:before="0" w:after="0" w:line="240" w:lineRule="auto"/>
                        <w:ind w:left="0" w:right="0" w:firstLine="0"/>
                        <w:jc w:val="left"/>
                      </w:pPr>
                      <w:bookmarkStart w:id="483" w:name="bookmark385"/>
                      <w:bookmarkStart w:id="484" w:name="bookmark386"/>
                      <w:bookmarkStart w:id="485" w:name="bookmark387"/>
                      <w:r>
                        <w:rPr>
                          <w:rFonts w:ascii="Times New Roman" w:hAnsi="Times New Roman" w:eastAsia="Times New Roman" w:cs="Times New Roman"/>
                          <w:color w:val="000000"/>
                          <w:spacing w:val="0"/>
                          <w:w w:val="100"/>
                          <w:position w:val="0"/>
                        </w:rPr>
                        <w:t>062</w:t>
                      </w:r>
                      <w:bookmarkEnd w:id="483"/>
                      <w:bookmarkEnd w:id="484"/>
                      <w:bookmarkEnd w:id="485"/>
                    </w:p>
                  </w:txbxContent>
                </v:textbox>
                <w10:wrap type="topAndBottom"/>
              </v:shape>
            </w:pict>
          </mc:Fallback>
        </mc:AlternateContent>
      </w:r>
      <w:r>
        <mc:AlternateContent>
          <mc:Choice Requires="wps">
            <w:drawing>
              <wp:anchor distT="82550" distB="0" distL="0" distR="0" simplePos="0" relativeHeight="251660288" behindDoc="0" locked="0" layoutInCell="1" allowOverlap="1">
                <wp:simplePos x="0" y="0"/>
                <wp:positionH relativeFrom="page">
                  <wp:posOffset>1350645</wp:posOffset>
                </wp:positionH>
                <wp:positionV relativeFrom="paragraph">
                  <wp:posOffset>82550</wp:posOffset>
                </wp:positionV>
                <wp:extent cx="2820670" cy="242570"/>
                <wp:effectExtent l="0" t="0" r="0" b="0"/>
                <wp:wrapTopAndBottom/>
                <wp:docPr id="865" name="Shape 865"/>
                <wp:cNvGraphicFramePr/>
                <a:graphic xmlns:a="http://schemas.openxmlformats.org/drawingml/2006/main">
                  <a:graphicData uri="http://schemas.microsoft.com/office/word/2010/wordprocessingShape">
                    <wps:wsp>
                      <wps:cNvSpPr txBox="1"/>
                      <wps:spPr>
                        <a:xfrm>
                          <a:off x="0" y="0"/>
                          <a:ext cx="2820670" cy="242570"/>
                        </a:xfrm>
                        <a:prstGeom prst="rect">
                          <a:avLst/>
                        </a:prstGeom>
                        <a:noFill/>
                      </wps:spPr>
                      <wps:txbx>
                        <w:txbxContent>
                          <w:p w14:paraId="6E52DFE1">
                            <w:pPr>
                              <w:pStyle w:val="15"/>
                              <w:keepNext/>
                              <w:keepLines/>
                              <w:widowControl w:val="0"/>
                              <w:shd w:val="clear" w:color="auto" w:fill="auto"/>
                              <w:bidi w:val="0"/>
                              <w:spacing w:before="0" w:after="0" w:line="240" w:lineRule="auto"/>
                              <w:ind w:left="0" w:right="0" w:firstLine="0"/>
                              <w:jc w:val="left"/>
                            </w:pPr>
                            <w:bookmarkStart w:id="486" w:name="bookmark390"/>
                            <w:bookmarkStart w:id="487" w:name="bookmark388"/>
                            <w:bookmarkStart w:id="488" w:name="bookmark389"/>
                            <w:r>
                              <w:rPr>
                                <w:color w:val="000000"/>
                                <w:spacing w:val="0"/>
                                <w:w w:val="100"/>
                                <w:position w:val="0"/>
                              </w:rPr>
                              <w:t>情势变更与不可抗力的关系问题</w:t>
                            </w:r>
                            <w:bookmarkEnd w:id="486"/>
                            <w:bookmarkEnd w:id="487"/>
                            <w:bookmarkEnd w:id="488"/>
                          </w:p>
                        </w:txbxContent>
                      </wps:txbx>
                      <wps:bodyPr wrap="none" lIns="0" tIns="0" rIns="0" bIns="0">
                        <a:noAutofit/>
                      </wps:bodyPr>
                    </wps:wsp>
                  </a:graphicData>
                </a:graphic>
              </wp:anchor>
            </w:drawing>
          </mc:Choice>
          <mc:Fallback>
            <w:pict>
              <v:shape id="Shape 865" o:spid="_x0000_s1026" o:spt="202" type="#_x0000_t202" style="position:absolute;left:0pt;margin-left:106.35pt;margin-top:6.5pt;height:19.1pt;width:222.1pt;mso-position-horizontal-relative:page;mso-wrap-distance-bottom:0pt;mso-wrap-distance-top:6.5pt;mso-wrap-style:none;z-index:251660288;mso-width-relative:page;mso-height-relative:page;" filled="f" stroked="f" coordsize="21600,21600" o:gfxdata="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bX9NnWAAAA&#10;CQEAAA8AAAAAAAAAAQAgAAAAIgAAAGRycy9kb3ducmV2LnhtbFBLAQIUABQAAAAIAIdO4kDJt684&#10;rQEAAHQDAAAOAAAAAAAAAAEAIAAAACUBAABkcnMvZTJvRG9jLnhtbFBLBQYAAAAABgAGAFkBAABE&#10;BQAAAAA=&#10;">
                <v:fill on="f" focussize="0,0"/>
                <v:stroke on="f"/>
                <v:imagedata o:title=""/>
                <o:lock v:ext="edit" aspectratio="f"/>
                <v:textbox inset="0mm,0mm,0mm,0mm">
                  <w:txbxContent>
                    <w:p w14:paraId="6E52DFE1">
                      <w:pPr>
                        <w:pStyle w:val="15"/>
                        <w:keepNext/>
                        <w:keepLines/>
                        <w:widowControl w:val="0"/>
                        <w:shd w:val="clear" w:color="auto" w:fill="auto"/>
                        <w:bidi w:val="0"/>
                        <w:spacing w:before="0" w:after="0" w:line="240" w:lineRule="auto"/>
                        <w:ind w:left="0" w:right="0" w:firstLine="0"/>
                        <w:jc w:val="left"/>
                      </w:pPr>
                      <w:bookmarkStart w:id="486" w:name="bookmark390"/>
                      <w:bookmarkStart w:id="487" w:name="bookmark388"/>
                      <w:bookmarkStart w:id="488" w:name="bookmark389"/>
                      <w:r>
                        <w:rPr>
                          <w:color w:val="000000"/>
                          <w:spacing w:val="0"/>
                          <w:w w:val="100"/>
                          <w:position w:val="0"/>
                        </w:rPr>
                        <w:t>情势变更与不可抗力的关系问题</w:t>
                      </w:r>
                      <w:bookmarkEnd w:id="486"/>
                      <w:bookmarkEnd w:id="487"/>
                      <w:bookmarkEnd w:id="488"/>
                    </w:p>
                  </w:txbxContent>
                </v:textbox>
                <w10:wrap type="topAndBottom"/>
              </v:shape>
            </w:pict>
          </mc:Fallback>
        </mc:AlternateContent>
      </w:r>
    </w:p>
    <w:p w14:paraId="480C732A">
      <w:pPr>
        <w:pStyle w:val="17"/>
        <w:keepNext w:val="0"/>
        <w:keepLines w:val="0"/>
        <w:widowControl w:val="0"/>
        <w:shd w:val="clear" w:color="auto" w:fill="auto"/>
        <w:bidi w:val="0"/>
        <w:spacing w:before="0" w:after="420" w:line="323" w:lineRule="exact"/>
        <w:ind w:left="1000" w:right="0" w:firstLine="20"/>
        <w:jc w:val="both"/>
      </w:pPr>
      <w:r>
        <w:drawing>
          <wp:anchor distT="0" distB="0" distL="114300" distR="114300" simplePos="0" relativeHeight="251660288" behindDoc="0" locked="0" layoutInCell="1" allowOverlap="1">
            <wp:simplePos x="0" y="0"/>
            <wp:positionH relativeFrom="page">
              <wp:posOffset>5148580</wp:posOffset>
            </wp:positionH>
            <wp:positionV relativeFrom="paragraph">
              <wp:posOffset>50800</wp:posOffset>
            </wp:positionV>
            <wp:extent cx="628015" cy="701040"/>
            <wp:effectExtent l="0" t="0" r="6985" b="10160"/>
            <wp:wrapSquare wrapText="left"/>
            <wp:docPr id="867" name="Shape 867"/>
            <wp:cNvGraphicFramePr/>
            <a:graphic xmlns:a="http://schemas.openxmlformats.org/drawingml/2006/main">
              <a:graphicData uri="http://schemas.openxmlformats.org/drawingml/2006/picture">
                <pic:pic xmlns:pic="http://schemas.openxmlformats.org/drawingml/2006/picture">
                  <pic:nvPicPr>
                    <pic:cNvPr id="867" name="Shape 867"/>
                    <pic:cNvPicPr/>
                  </pic:nvPicPr>
                  <pic:blipFill>
                    <a:blip r:embed="rId672"/>
                    <a:stretch>
                      <a:fillRect/>
                    </a:stretch>
                  </pic:blipFill>
                  <pic:spPr>
                    <a:xfrm>
                      <a:off x="0" y="0"/>
                      <a:ext cx="628015" cy="701040"/>
                    </a:xfrm>
                    <a:prstGeom prst="rect">
                      <a:avLst/>
                    </a:prstGeom>
                  </pic:spPr>
                </pic:pic>
              </a:graphicData>
            </a:graphic>
          </wp:anchor>
        </w:drawing>
      </w:r>
      <w:r>
        <w:rPr>
          <w:color w:val="000000"/>
          <w:spacing w:val="0"/>
          <w:w w:val="100"/>
          <w:position w:val="0"/>
        </w:rPr>
        <w:t>成都鹏伟实业有限公司与江西省永修县人民政府、永修县鄱阳湖采 砂管理工作领导小组办公室采矿权纠纷案丨《最高人民法院公 报》</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期</w:t>
      </w:r>
    </w:p>
    <w:p w14:paraId="4A260940">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侯国跃</w:t>
      </w:r>
      <w:r>
        <w:rPr>
          <w:color w:val="000000"/>
          <w:spacing w:val="0"/>
          <w:w w:val="100"/>
          <w:position w:val="0"/>
        </w:rPr>
        <w:t>西南政法大学民商法学院</w:t>
      </w:r>
    </w:p>
    <w:p w14:paraId="7C6BE2F8">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6DCD11D">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年，永修县政府决定以拍卖的方式出让鄱阳湖永修县水域</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个采区的采砂权。县 釆砂办制作并在“中国投资在线</w:t>
      </w:r>
      <w:r>
        <w:rPr>
          <w:color w:val="000000"/>
          <w:spacing w:val="0"/>
          <w:w w:val="100"/>
          <w:position w:val="0"/>
          <w:lang w:val="zh-CN" w:eastAsia="zh-CN" w:bidi="zh-CN"/>
        </w:rPr>
        <w:t>”网站</w:t>
      </w:r>
      <w:r>
        <w:rPr>
          <w:color w:val="000000"/>
          <w:spacing w:val="0"/>
          <w:w w:val="100"/>
          <w:position w:val="0"/>
        </w:rPr>
        <w:t>上登载《推介书》，载明:“鄱阳湖汛期早,时间长，从每 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月上旬到</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月底，开采期长达</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天;投资金额</w:t>
      </w:r>
      <w:r>
        <w:rPr>
          <w:rFonts w:ascii="Times New Roman" w:hAnsi="Times New Roman" w:eastAsia="Times New Roman" w:cs="Times New Roman"/>
          <w:color w:val="000000"/>
          <w:spacing w:val="0"/>
          <w:w w:val="100"/>
          <w:position w:val="0"/>
          <w:sz w:val="19"/>
          <w:szCs w:val="19"/>
          <w:lang w:val="en-US" w:eastAsia="en-US" w:bidi="en-US"/>
        </w:rPr>
        <w:t>1.</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亿元人民币以上，主要为购买采矿 权的价款和税费;销售总额可达</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亿〜</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亿元，利润</w:t>
      </w:r>
      <w:r>
        <w:rPr>
          <w:rFonts w:ascii="Times New Roman" w:hAnsi="Times New Roman" w:eastAsia="Times New Roman" w:cs="Times New Roman"/>
          <w:color w:val="000000"/>
          <w:spacing w:val="0"/>
          <w:w w:val="100"/>
          <w:position w:val="0"/>
          <w:sz w:val="19"/>
          <w:szCs w:val="19"/>
        </w:rPr>
        <w:t>5000</w:t>
      </w:r>
      <w:r>
        <w:rPr>
          <w:color w:val="000000"/>
          <w:spacing w:val="0"/>
          <w:w w:val="100"/>
          <w:position w:val="0"/>
        </w:rPr>
        <w:t>万〜</w:t>
      </w:r>
      <w:r>
        <w:rPr>
          <w:rFonts w:ascii="Times New Roman" w:hAnsi="Times New Roman" w:eastAsia="Times New Roman" w:cs="Times New Roman"/>
          <w:color w:val="000000"/>
          <w:spacing w:val="0"/>
          <w:w w:val="100"/>
          <w:position w:val="0"/>
          <w:sz w:val="19"/>
          <w:szCs w:val="19"/>
        </w:rPr>
        <w:t>7000</w:t>
      </w:r>
      <w:r>
        <w:rPr>
          <w:color w:val="000000"/>
          <w:spacing w:val="0"/>
          <w:w w:val="100"/>
          <w:position w:val="0"/>
        </w:rPr>
        <w:t>万元</w:t>
      </w:r>
      <w:r>
        <w:rPr>
          <w:color w:val="000000"/>
          <w:spacing w:val="0"/>
          <w:w w:val="100"/>
          <w:position w:val="0"/>
          <w:lang w:val="zh-CN" w:eastAsia="zh-CN" w:bidi="zh-CN"/>
        </w:rPr>
        <w:t>。”为</w:t>
      </w:r>
      <w:r>
        <w:rPr>
          <w:color w:val="000000"/>
          <w:spacing w:val="0"/>
          <w:w w:val="100"/>
          <w:position w:val="0"/>
        </w:rPr>
        <w:t>配合招商引 资，县采砂办工作人员编写了《江西省鄱阳湖永修采区</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年采砂可行性报告》，对采砂权 的投资前景，包括运作盈利方式、设备投入、人员配置、效益等方面做了详细的分析预算，结 论是本项目利润</w:t>
      </w:r>
      <w:r>
        <w:rPr>
          <w:rFonts w:ascii="Times New Roman" w:hAnsi="Times New Roman" w:eastAsia="Times New Roman" w:cs="Times New Roman"/>
          <w:color w:val="000000"/>
          <w:spacing w:val="0"/>
          <w:w w:val="100"/>
          <w:position w:val="0"/>
          <w:sz w:val="19"/>
          <w:szCs w:val="19"/>
          <w:lang w:val="en-US" w:eastAsia="en-US" w:bidi="en-US"/>
        </w:rPr>
        <w:t>5015.</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万元。该《可行性报告》还指出，采砂存在政策风险、市场风险和自 然风险。</w:t>
      </w:r>
      <w:r>
        <w:rPr>
          <w:color w:val="000000"/>
          <w:spacing w:val="0"/>
          <w:w w:val="100"/>
          <w:position w:val="0"/>
          <w:lang w:val="zh-CN" w:eastAsia="zh-CN" w:bidi="zh-CN"/>
        </w:rPr>
        <w:t>“如果</w:t>
      </w:r>
      <w:r>
        <w:rPr>
          <w:color w:val="000000"/>
          <w:spacing w:val="0"/>
          <w:w w:val="100"/>
          <w:position w:val="0"/>
        </w:rPr>
        <w:t>遇上枯水年,会对开采期造成较大影响。不过</w:t>
      </w:r>
      <w:r>
        <w:rPr>
          <w:color w:val="000000"/>
          <w:spacing w:val="0"/>
          <w:w w:val="100"/>
          <w:position w:val="0"/>
          <w:lang w:val="zh-CN" w:eastAsia="zh-CN" w:bidi="zh-CN"/>
        </w:rPr>
        <w:t>……</w:t>
      </w:r>
      <w:r>
        <w:rPr>
          <w:color w:val="000000"/>
          <w:spacing w:val="0"/>
          <w:w w:val="100"/>
          <w:position w:val="0"/>
        </w:rPr>
        <w:t>开采</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天）是没 有问题的。”</w:t>
      </w:r>
    </w:p>
    <w:p w14:paraId="4841A44C">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日，鹏伟公司以</w:t>
      </w:r>
      <w:r>
        <w:rPr>
          <w:rFonts w:ascii="Times New Roman" w:hAnsi="Times New Roman" w:eastAsia="Times New Roman" w:cs="Times New Roman"/>
          <w:color w:val="000000"/>
          <w:spacing w:val="0"/>
          <w:w w:val="100"/>
          <w:position w:val="0"/>
          <w:sz w:val="19"/>
          <w:szCs w:val="19"/>
        </w:rPr>
        <w:t>4678</w:t>
      </w:r>
      <w:r>
        <w:rPr>
          <w:color w:val="000000"/>
          <w:spacing w:val="0"/>
          <w:w w:val="100"/>
          <w:position w:val="0"/>
        </w:rPr>
        <w:t>万元竞得采砂权。随后，鹏伟公司陆续向永修县非 税收入管理局交纳</w:t>
      </w:r>
      <w:r>
        <w:rPr>
          <w:rFonts w:ascii="Times New Roman" w:hAnsi="Times New Roman" w:eastAsia="Times New Roman" w:cs="Times New Roman"/>
          <w:color w:val="000000"/>
          <w:spacing w:val="0"/>
          <w:w w:val="100"/>
          <w:position w:val="0"/>
          <w:sz w:val="19"/>
          <w:szCs w:val="19"/>
        </w:rPr>
        <w:t>8228</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日，采砂办与鹏伟公司签订《采砂权出让合 同》，约定:“一、采砂权使用期限自签订本合同之日至</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日止，同时满足防汛 要求;采砂船数量</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艘（功率</w:t>
      </w:r>
      <w:r>
        <w:rPr>
          <w:rFonts w:ascii="Times New Roman" w:hAnsi="Times New Roman" w:eastAsia="Times New Roman" w:cs="Times New Roman"/>
          <w:color w:val="000000"/>
          <w:spacing w:val="0"/>
          <w:w w:val="100"/>
          <w:position w:val="0"/>
          <w:sz w:val="19"/>
          <w:szCs w:val="19"/>
          <w:lang w:val="en-US" w:eastAsia="en-US" w:bidi="en-US"/>
        </w:rPr>
        <w:t>4000kw</w:t>
      </w:r>
      <w:r>
        <w:rPr>
          <w:color w:val="000000"/>
          <w:spacing w:val="0"/>
          <w:w w:val="100"/>
          <w:position w:val="0"/>
        </w:rPr>
        <w:t>以内/艘）；年控制采量</w:t>
      </w:r>
      <w:r>
        <w:rPr>
          <w:rFonts w:ascii="Times New Roman" w:hAnsi="Times New Roman" w:eastAsia="Times New Roman" w:cs="Times New Roman"/>
          <w:color w:val="000000"/>
          <w:spacing w:val="0"/>
          <w:w w:val="100"/>
          <w:position w:val="0"/>
          <w:sz w:val="19"/>
          <w:szCs w:val="19"/>
        </w:rPr>
        <w:t>1740</w:t>
      </w:r>
      <w:r>
        <w:rPr>
          <w:color w:val="000000"/>
          <w:spacing w:val="0"/>
          <w:w w:val="100"/>
          <w:position w:val="0"/>
        </w:rPr>
        <w:t xml:space="preserve">万吨;二、拍卖成交金额 </w:t>
      </w:r>
      <w:r>
        <w:rPr>
          <w:rFonts w:ascii="Times New Roman" w:hAnsi="Times New Roman" w:eastAsia="Times New Roman" w:cs="Times New Roman"/>
          <w:color w:val="000000"/>
          <w:spacing w:val="0"/>
          <w:w w:val="100"/>
          <w:position w:val="0"/>
          <w:sz w:val="19"/>
          <w:szCs w:val="19"/>
        </w:rPr>
        <w:t>8228</w:t>
      </w:r>
      <w:r>
        <w:rPr>
          <w:color w:val="000000"/>
          <w:spacing w:val="0"/>
          <w:w w:val="100"/>
          <w:position w:val="0"/>
        </w:rPr>
        <w:t>万元（包括税费）……十、本合同约定的采区采砂权使用期限，是根据上级主管部门的 批文当年度的有效可采期，实际可采期限以当年水位不能供采砂船只作业时为准。”</w:t>
      </w:r>
    </w:p>
    <w:p w14:paraId="5E58B664">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自</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月以后，江西省持续高温干旱天气，降雨偏少,长江江西段出现同期罕见枯 水位，鄱阳湖水大量流入长江，水位急剧下降,出现自</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年代初期以来罕见的低水 位。</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18 0,0</w:t>
      </w:r>
      <w:r>
        <w:rPr>
          <w:color w:val="000000"/>
          <w:spacing w:val="0"/>
          <w:w w:val="100"/>
          <w:position w:val="0"/>
        </w:rPr>
        <w:t>鄱阳湖水位过低造成运砂船难以进入采区，鹏伟公司被迫停止采砂。</w:t>
      </w:r>
    </w:p>
    <w:p w14:paraId="799F109C">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5CCAF6B">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撤销一审判决，改判永修县人民政府、县采砂办退还鹏伟公司采砂权出让价款</w:t>
      </w:r>
      <w:r>
        <w:rPr>
          <w:rFonts w:ascii="Times New Roman" w:hAnsi="Times New Roman" w:eastAsia="Times New Roman" w:cs="Times New Roman"/>
          <w:b/>
          <w:bCs/>
          <w:color w:val="000000"/>
          <w:spacing w:val="0"/>
          <w:w w:val="100"/>
          <w:position w:val="0"/>
          <w:sz w:val="19"/>
          <w:szCs w:val="19"/>
        </w:rPr>
        <w:t>1079</w:t>
      </w:r>
      <w:r>
        <w:rPr>
          <w:color w:val="000000"/>
          <w:spacing w:val="0"/>
          <w:w w:val="100"/>
          <w:position w:val="0"/>
        </w:rPr>
        <w:t>余 万兀。</w:t>
      </w:r>
    </w:p>
    <w:p w14:paraId="44D000C7">
      <w:pPr>
        <w:pStyle w:val="17"/>
        <w:keepNext w:val="0"/>
        <w:keepLines w:val="0"/>
        <w:widowControl w:val="0"/>
        <w:shd w:val="clear" w:color="auto" w:fill="auto"/>
        <w:bidi w:val="0"/>
        <w:spacing w:before="0" w:after="360" w:line="348" w:lineRule="exact"/>
        <w:ind w:left="0" w:right="0" w:firstLine="420"/>
        <w:jc w:val="both"/>
        <w:sectPr>
          <w:footnotePr>
            <w:numFmt w:val="chicago"/>
          </w:footnotePr>
          <w:type w:val="continuous"/>
          <w:pgSz w:w="10099" w:h="14782"/>
          <w:pgMar w:top="1330" w:right="979" w:bottom="1072" w:left="1107" w:header="902" w:footer="644" w:gutter="0"/>
          <w:cols w:space="720" w:num="1"/>
          <w:rtlGutter w:val="0"/>
          <w:docGrid w:linePitch="360" w:charSpace="0"/>
        </w:sectPr>
      </w:pPr>
      <w:r>
        <w:rPr>
          <w:color w:val="000000"/>
          <w:spacing w:val="0"/>
          <w:w w:val="100"/>
          <w:position w:val="0"/>
        </w:rPr>
        <w:t>鹏伟公司在履行本案《采砂权出让合同》过程中遭遇鄱阳湖</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 xml:space="preserve">年未遇的罕见低水位， </w:t>
      </w:r>
    </w:p>
    <w:p w14:paraId="3B3E04C7">
      <w:pPr>
        <w:pStyle w:val="17"/>
        <w:keepNext w:val="0"/>
        <w:keepLines w:val="0"/>
        <w:widowControl w:val="0"/>
        <w:shd w:val="clear" w:color="auto" w:fill="auto"/>
        <w:bidi w:val="0"/>
        <w:spacing w:before="0" w:after="360" w:line="348" w:lineRule="exact"/>
        <w:ind w:left="0" w:right="0" w:firstLine="0"/>
        <w:jc w:val="both"/>
      </w:pPr>
      <w:r>
        <w:rPr>
          <w:color w:val="000000"/>
          <w:spacing w:val="0"/>
          <w:w w:val="100"/>
          <w:position w:val="0"/>
        </w:rPr>
        <w:t>导致釆砂船不能在采砂区域作业,采砂提前结束，未能达到《采砂权出让合同》约定的合同 目的，形成巨额亏损。这一客观情况是鹏伟公司和采砂办在签订合同时不可能预见的，鹏 伟公司的损失也非商业风险所致。在此情况下，仍旧依照合同约定履行，必然导致采砂办 取得全部合同收益，而令鹏伟公司承担全部投资损失，对鹏伟公司而言是不公平的,有悖于 合同法的基本原则。鹏伟公司要求采砂办退还部分合同价款,实际是要求对《采砂权出让 合同》的部分条款进行变更，符合合同法和本院司法解释的规定。</w:t>
      </w:r>
    </w:p>
    <w:p w14:paraId="02885037">
      <w:pPr>
        <w:pStyle w:val="11"/>
        <w:keepNext w:val="0"/>
        <w:keepLines w:val="0"/>
        <w:widowControl w:val="0"/>
        <w:shd w:val="clear" w:color="auto" w:fill="auto"/>
        <w:bidi w:val="0"/>
        <w:spacing w:before="0" w:after="260" w:line="347" w:lineRule="exact"/>
        <w:ind w:left="0" w:right="0" w:firstLine="0"/>
        <w:jc w:val="both"/>
      </w:pPr>
      <w:r>
        <w:rPr>
          <w:color w:val="000000"/>
          <w:spacing w:val="0"/>
          <w:w w:val="100"/>
          <w:position w:val="0"/>
        </w:rPr>
        <w:t>■评析</w:t>
      </w:r>
    </w:p>
    <w:p w14:paraId="37CA2E39">
      <w:pPr>
        <w:pStyle w:val="17"/>
        <w:keepNext w:val="0"/>
        <w:keepLines w:val="0"/>
        <w:widowControl w:val="0"/>
        <w:shd w:val="clear" w:color="auto" w:fill="auto"/>
        <w:bidi w:val="0"/>
        <w:spacing w:before="0" w:after="0" w:line="38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60784A02">
      <w:pPr>
        <w:pStyle w:val="17"/>
        <w:keepNext w:val="0"/>
        <w:keepLines w:val="0"/>
        <w:widowControl w:val="0"/>
        <w:shd w:val="clear" w:color="auto" w:fill="auto"/>
        <w:bidi w:val="0"/>
        <w:spacing w:before="0" w:after="260" w:line="347" w:lineRule="exact"/>
        <w:ind w:left="0" w:right="0"/>
        <w:jc w:val="both"/>
      </w:pPr>
      <w:r>
        <w:rPr>
          <w:color w:val="000000"/>
          <w:spacing w:val="0"/>
          <w:w w:val="100"/>
          <w:position w:val="0"/>
        </w:rPr>
        <w:t>一方面，二审法院认定了发生自然灾害的事实，即</w:t>
      </w:r>
      <w:r>
        <w:rPr>
          <w:color w:val="000000"/>
          <w:spacing w:val="0"/>
          <w:w w:val="100"/>
          <w:position w:val="0"/>
          <w:lang w:val="zh-CN" w:eastAsia="zh-CN" w:bidi="zh-CN"/>
        </w:rPr>
        <w:t>“自</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月以后，江西省持续高 温干旱天气，降雨偏少，长江江西段出现同期罕见枯水位</w:t>
      </w:r>
      <w:r>
        <w:rPr>
          <w:color w:val="000000"/>
          <w:spacing w:val="0"/>
          <w:w w:val="100"/>
          <w:position w:val="0"/>
          <w:lang w:val="zh-CN" w:eastAsia="zh-CN" w:bidi="zh-CN"/>
        </w:rPr>
        <w:t>”，以</w:t>
      </w:r>
      <w:r>
        <w:rPr>
          <w:color w:val="000000"/>
          <w:spacing w:val="0"/>
          <w:w w:val="100"/>
          <w:position w:val="0"/>
        </w:rPr>
        <w:t>及该自然灾害对合同履行的 影响，即</w:t>
      </w:r>
      <w:r>
        <w:rPr>
          <w:color w:val="000000"/>
          <w:spacing w:val="0"/>
          <w:w w:val="100"/>
          <w:position w:val="0"/>
          <w:lang w:val="zh-CN" w:eastAsia="zh-CN" w:bidi="zh-CN"/>
        </w:rPr>
        <w:t>“受</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年未遇的鄱阳湖罕见低水影响,鹏伟公司采砂提前结束，该自然灾害与鹏伟 公司的亏损具有直接的因果关系”；另一方面，二审法院并未支持鹏伟公司以不可抗力为由 解除合同的诉讼请求，而是从合同法的基本原则出发,把鹏伟公司要求采砂办退还部分合 同价款的主张解释为对合同部分条款的变更,进而适用情势变更规则处理本案。简言之, 本案确立了</w:t>
      </w:r>
      <w:r>
        <w:rPr>
          <w:color w:val="000000"/>
          <w:spacing w:val="0"/>
          <w:w w:val="100"/>
          <w:position w:val="0"/>
          <w:lang w:val="zh-CN" w:eastAsia="zh-CN" w:bidi="zh-CN"/>
        </w:rPr>
        <w:t>“基于</w:t>
      </w:r>
      <w:r>
        <w:rPr>
          <w:color w:val="000000"/>
          <w:spacing w:val="0"/>
          <w:w w:val="100"/>
          <w:position w:val="0"/>
        </w:rPr>
        <w:t>不可抗力的原因而可能适用情势变更规则</w:t>
      </w:r>
      <w:r>
        <w:rPr>
          <w:color w:val="000000"/>
          <w:spacing w:val="0"/>
          <w:w w:val="100"/>
          <w:position w:val="0"/>
          <w:lang w:val="zh-CN" w:eastAsia="zh-CN" w:bidi="zh-CN"/>
        </w:rPr>
        <w:t>”的裁</w:t>
      </w:r>
      <w:r>
        <w:rPr>
          <w:color w:val="000000"/>
          <w:spacing w:val="0"/>
          <w:w w:val="100"/>
          <w:position w:val="0"/>
        </w:rPr>
        <w:t>判思路，或者说“不可抗 力是因、情势变更是果”的法律思维。</w:t>
      </w:r>
    </w:p>
    <w:p w14:paraId="468789A6">
      <w:pPr>
        <w:pStyle w:val="17"/>
        <w:keepNext w:val="0"/>
        <w:keepLines w:val="0"/>
        <w:widowControl w:val="0"/>
        <w:shd w:val="clear" w:color="auto" w:fill="auto"/>
        <w:bidi w:val="0"/>
        <w:spacing w:before="0" w:after="0" w:line="38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关于不可抗力与情势变更的规范及学理</w:t>
      </w:r>
    </w:p>
    <w:p w14:paraId="19F8D47A">
      <w:pPr>
        <w:pStyle w:val="17"/>
        <w:keepNext w:val="0"/>
        <w:keepLines w:val="0"/>
        <w:widowControl w:val="0"/>
        <w:shd w:val="clear" w:color="auto" w:fill="auto"/>
        <w:bidi w:val="0"/>
        <w:spacing w:before="0" w:after="0" w:line="347" w:lineRule="exact"/>
        <w:ind w:left="0" w:right="0"/>
        <w:jc w:val="both"/>
      </w:pPr>
      <w:r>
        <w:rPr>
          <w:color w:val="000000"/>
          <w:spacing w:val="0"/>
          <w:w w:val="100"/>
          <w:position w:val="0"/>
        </w:rPr>
        <w:t>根据《民法典》第</w:t>
      </w:r>
      <w:r>
        <w:rPr>
          <w:rFonts w:ascii="Times New Roman" w:hAnsi="Times New Roman" w:eastAsia="Times New Roman" w:cs="Times New Roman"/>
          <w:color w:val="000000"/>
          <w:spacing w:val="0"/>
          <w:w w:val="100"/>
          <w:position w:val="0"/>
          <w:sz w:val="19"/>
          <w:szCs w:val="19"/>
        </w:rPr>
        <w:t>180</w:t>
      </w:r>
      <w:r>
        <w:rPr>
          <w:color w:val="000000"/>
          <w:spacing w:val="0"/>
          <w:w w:val="100"/>
          <w:position w:val="0"/>
        </w:rPr>
        <w:t>条的规定，不可抗力是指不能预见、不能避免且不能克服的客观 情况。由此可见，合同法视野中的不可抗力，是指合同订立后发生的，当事人订立合同时不 能预见的，且不能避免和不能克服的导致合同不能履行或目的不能实现的客观情况。</w:t>
      </w:r>
    </w:p>
    <w:p w14:paraId="33E488AF">
      <w:pPr>
        <w:pStyle w:val="17"/>
        <w:keepNext w:val="0"/>
        <w:keepLines w:val="0"/>
        <w:widowControl w:val="0"/>
        <w:shd w:val="clear" w:color="auto" w:fill="auto"/>
        <w:bidi w:val="0"/>
        <w:spacing w:before="0" w:after="0" w:line="347" w:lineRule="exact"/>
        <w:ind w:left="0" w:right="0"/>
        <w:jc w:val="both"/>
      </w:pPr>
      <w:r>
        <w:rPr>
          <w:color w:val="000000"/>
          <w:spacing w:val="0"/>
          <w:w w:val="100"/>
          <w:position w:val="0"/>
        </w:rPr>
        <w:t>关于情势变更，原《民法通则》和原《合同法》均未设置规定。在司法实践中，最高人民 法院首先是在</w:t>
      </w:r>
      <w:r>
        <w:rPr>
          <w:color w:val="000000"/>
          <w:spacing w:val="0"/>
          <w:w w:val="100"/>
          <w:position w:val="0"/>
          <w:lang w:val="zh-CN" w:eastAsia="zh-CN" w:bidi="zh-CN"/>
        </w:rPr>
        <w:t>“法函</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号”复函中通过对原《民法通则》第</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款显失公平 进行解释认可情势变更规则，其后又在《全国经济审判工作座谈会纪要》</w:t>
      </w:r>
      <w:r>
        <w:rPr>
          <w:color w:val="000000"/>
          <w:spacing w:val="0"/>
          <w:w w:val="100"/>
          <w:position w:val="0"/>
          <w:lang w:val="en-US" w:eastAsia="en-US" w:bidi="en-US"/>
        </w:rPr>
        <w:t>［</w:t>
      </w:r>
      <w:r>
        <w:rPr>
          <w:color w:val="000000"/>
          <w:spacing w:val="0"/>
          <w:w w:val="100"/>
          <w:position w:val="0"/>
        </w:rPr>
        <w:t>法发（</w:t>
      </w:r>
      <w:r>
        <w:rPr>
          <w:rFonts w:ascii="Times New Roman" w:hAnsi="Times New Roman" w:eastAsia="Times New Roman" w:cs="Times New Roman"/>
          <w:color w:val="000000"/>
          <w:spacing w:val="0"/>
          <w:w w:val="100"/>
          <w:position w:val="0"/>
          <w:sz w:val="19"/>
          <w:szCs w:val="19"/>
        </w:rPr>
        <w:t>1993）8</w:t>
      </w:r>
      <w:r>
        <w:rPr>
          <w:color w:val="000000"/>
          <w:spacing w:val="0"/>
          <w:w w:val="100"/>
          <w:position w:val="0"/>
        </w:rPr>
        <w:t>号］ 中明确：由于不可归责于当事人双方的原因，作为合同基础的客观情况发生了非当事人所 能预见的根本性变化，以致合同履行显失公平的，可以根据当事人的申请，按情势变更原则 变更或解除合同。</w:t>
      </w:r>
    </w:p>
    <w:p w14:paraId="070BFF9C">
      <w:pPr>
        <w:pStyle w:val="17"/>
        <w:keepNext w:val="0"/>
        <w:keepLines w:val="0"/>
        <w:widowControl w:val="0"/>
        <w:shd w:val="clear" w:color="auto" w:fill="auto"/>
        <w:bidi w:val="0"/>
        <w:spacing w:before="0" w:after="0" w:line="348" w:lineRule="exact"/>
        <w:ind w:left="0" w:right="0"/>
        <w:jc w:val="both"/>
        <w:rPr>
          <w:sz w:val="11"/>
          <w:szCs w:val="11"/>
        </w:rPr>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sz w:val="18"/>
          <w:szCs w:val="18"/>
        </w:rPr>
        <w:t>年《劳动合同法》第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项规定</w:t>
      </w:r>
      <w:r>
        <w:rPr>
          <w:color w:val="000000"/>
          <w:spacing w:val="0"/>
          <w:w w:val="100"/>
          <w:position w:val="0"/>
          <w:sz w:val="18"/>
          <w:szCs w:val="18"/>
          <w:lang w:val="zh-CN" w:eastAsia="zh-CN" w:bidi="zh-CN"/>
        </w:rPr>
        <w:t>，“劳</w:t>
      </w:r>
      <w:r>
        <w:rPr>
          <w:color w:val="000000"/>
          <w:spacing w:val="0"/>
          <w:w w:val="100"/>
          <w:position w:val="0"/>
          <w:sz w:val="18"/>
          <w:szCs w:val="18"/>
        </w:rPr>
        <w:t>动合同订立时所依据的客观情况发生重 大变化，致使劳动合同无法履行,经用人单位与劳动者协商,未能就变更劳动合同内容达成 协议的</w:t>
      </w:r>
      <w:r>
        <w:rPr>
          <w:color w:val="000000"/>
          <w:spacing w:val="0"/>
          <w:w w:val="100"/>
          <w:position w:val="0"/>
          <w:sz w:val="18"/>
          <w:szCs w:val="18"/>
          <w:lang w:val="zh-CN" w:eastAsia="zh-CN" w:bidi="zh-CN"/>
        </w:rPr>
        <w:t>”，用</w:t>
      </w:r>
      <w:r>
        <w:rPr>
          <w:color w:val="000000"/>
          <w:spacing w:val="0"/>
          <w:w w:val="100"/>
          <w:position w:val="0"/>
          <w:sz w:val="18"/>
          <w:szCs w:val="18"/>
        </w:rPr>
        <w:t>人单位可以解除劳动合同。该法第</w:t>
      </w:r>
      <w:r>
        <w:rPr>
          <w:rFonts w:ascii="Times New Roman" w:hAnsi="Times New Roman" w:eastAsia="Times New Roman" w:cs="Times New Roman"/>
          <w:color w:val="000000"/>
          <w:spacing w:val="0"/>
          <w:w w:val="100"/>
          <w:position w:val="0"/>
          <w:sz w:val="19"/>
          <w:szCs w:val="19"/>
        </w:rPr>
        <w:t>41</w:t>
      </w:r>
      <w:r>
        <w:rPr>
          <w:color w:val="000000"/>
          <w:spacing w:val="0"/>
          <w:w w:val="100"/>
          <w:position w:val="0"/>
          <w:sz w:val="18"/>
          <w:szCs w:val="18"/>
        </w:rPr>
        <w:t>条关于经济性裁员的规定，通常也被解 释为情势变更规则的具体体现。但是，由于原《合同法》对情势变更缺乏一般性规定，故最 高人民法院以《关于适用〈中华人民共和国合同法〉若干问题的解释（二）》</w:t>
      </w:r>
      <w:r>
        <w:rPr>
          <w:color w:val="000000"/>
          <w:spacing w:val="0"/>
          <w:w w:val="100"/>
          <w:position w:val="0"/>
          <w:sz w:val="18"/>
          <w:szCs w:val="18"/>
          <w:lang w:val="en-US" w:eastAsia="en-US" w:bidi="en-US"/>
        </w:rPr>
        <w:t>［</w:t>
      </w:r>
      <w:r>
        <w:rPr>
          <w:color w:val="000000"/>
          <w:spacing w:val="0"/>
          <w:w w:val="100"/>
          <w:position w:val="0"/>
          <w:sz w:val="18"/>
          <w:szCs w:val="18"/>
        </w:rPr>
        <w:t>法释（</w:t>
      </w:r>
      <w:r>
        <w:rPr>
          <w:rFonts w:ascii="Times New Roman" w:hAnsi="Times New Roman" w:eastAsia="Times New Roman" w:cs="Times New Roman"/>
          <w:color w:val="000000"/>
          <w:spacing w:val="0"/>
          <w:w w:val="100"/>
          <w:position w:val="0"/>
          <w:sz w:val="19"/>
          <w:szCs w:val="19"/>
        </w:rPr>
        <w:t xml:space="preserve">2009）5 </w:t>
      </w:r>
      <w:r>
        <w:rPr>
          <w:color w:val="000000"/>
          <w:spacing w:val="0"/>
          <w:w w:val="100"/>
          <w:position w:val="0"/>
          <w:sz w:val="18"/>
          <w:szCs w:val="18"/>
        </w:rPr>
        <w:t>号］（以下简称《合同法司法解释二》）第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sz w:val="18"/>
          <w:szCs w:val="18"/>
        </w:rPr>
        <w:t>条予以补充。该司法解释主要起草人曹守晔法 官指岀</w:t>
      </w:r>
      <w:r>
        <w:rPr>
          <w:color w:val="000000"/>
          <w:spacing w:val="0"/>
          <w:w w:val="100"/>
          <w:position w:val="0"/>
          <w:sz w:val="18"/>
          <w:szCs w:val="18"/>
          <w:lang w:val="zh-CN" w:eastAsia="zh-CN" w:bidi="zh-CN"/>
        </w:rPr>
        <w:t>，“本</w:t>
      </w:r>
      <w:r>
        <w:rPr>
          <w:color w:val="000000"/>
          <w:spacing w:val="0"/>
          <w:w w:val="100"/>
          <w:position w:val="0"/>
          <w:sz w:val="18"/>
          <w:szCs w:val="18"/>
        </w:rPr>
        <w:t>条主要解决合同订立后显失公平的问题</w:t>
      </w:r>
      <w:r>
        <w:rPr>
          <w:color w:val="000000"/>
          <w:spacing w:val="0"/>
          <w:w w:val="100"/>
          <w:position w:val="0"/>
          <w:sz w:val="11"/>
          <w:szCs w:val="11"/>
          <w:lang w:val="zh-CN" w:eastAsia="zh-CN" w:bidi="zh-CN"/>
        </w:rPr>
        <w:t>”［曹</w:t>
      </w:r>
      <w:r>
        <w:rPr>
          <w:color w:val="000000"/>
          <w:spacing w:val="0"/>
          <w:w w:val="100"/>
          <w:position w:val="0"/>
          <w:sz w:val="11"/>
          <w:szCs w:val="11"/>
        </w:rPr>
        <w:t>守晔:《〈关于适用合同法若干问题的解 释（二）〉的理解与适用》，载《人民司法》</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sz w:val="11"/>
          <w:szCs w:val="11"/>
        </w:rPr>
        <w:t>期］。</w:t>
      </w:r>
      <w:r>
        <w:rPr>
          <w:color w:val="000000"/>
          <w:spacing w:val="0"/>
          <w:w w:val="100"/>
          <w:position w:val="0"/>
          <w:sz w:val="18"/>
          <w:szCs w:val="18"/>
        </w:rPr>
        <w:t>在司法实践的基础上，立法机关在《民 法典》第</w:t>
      </w:r>
      <w:r>
        <w:rPr>
          <w:rFonts w:ascii="Times New Roman" w:hAnsi="Times New Roman" w:eastAsia="Times New Roman" w:cs="Times New Roman"/>
          <w:color w:val="000000"/>
          <w:spacing w:val="0"/>
          <w:w w:val="100"/>
          <w:position w:val="0"/>
          <w:sz w:val="19"/>
          <w:szCs w:val="19"/>
        </w:rPr>
        <w:t>533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款规定:</w:t>
      </w:r>
      <w:r>
        <w:rPr>
          <w:color w:val="000000"/>
          <w:spacing w:val="0"/>
          <w:w w:val="100"/>
          <w:position w:val="0"/>
          <w:sz w:val="18"/>
          <w:szCs w:val="18"/>
          <w:lang w:val="zh-CN" w:eastAsia="zh-CN" w:bidi="zh-CN"/>
        </w:rPr>
        <w:t>“合同</w:t>
      </w:r>
      <w:r>
        <w:rPr>
          <w:color w:val="000000"/>
          <w:spacing w:val="0"/>
          <w:w w:val="100"/>
          <w:position w:val="0"/>
          <w:sz w:val="18"/>
          <w:szCs w:val="18"/>
        </w:rPr>
        <w:t>成立后，合同的基础条件发生了当事人在订立合同时无 法预见的、不属于商业风险的重大变化，继续履行合同对于当事人一方明显不公平的，受不 利影响的当事人可以与对方重新协商;在合理期限内协商不成的，当事人可以请求人民法 院或者仲裁机构变更或者解除合同</w:t>
      </w:r>
      <w:r>
        <w:rPr>
          <w:color w:val="000000"/>
          <w:spacing w:val="0"/>
          <w:w w:val="100"/>
          <w:position w:val="0"/>
          <w:sz w:val="18"/>
          <w:szCs w:val="18"/>
          <w:lang w:val="zh-CN" w:eastAsia="zh-CN" w:bidi="zh-CN"/>
        </w:rPr>
        <w:t>。”可</w:t>
      </w:r>
      <w:r>
        <w:rPr>
          <w:color w:val="000000"/>
          <w:spacing w:val="0"/>
          <w:w w:val="100"/>
          <w:position w:val="0"/>
          <w:sz w:val="18"/>
          <w:szCs w:val="18"/>
        </w:rPr>
        <w:t>见，所谓情势变更是指在合同成立以后发生的不可 归责于当事人原因的合同基础条件之重大变化</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 xml:space="preserve">版），法律出版社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488</w:t>
      </w:r>
      <w:r>
        <w:rPr>
          <w:color w:val="000000"/>
          <w:spacing w:val="0"/>
          <w:w w:val="100"/>
          <w:position w:val="0"/>
          <w:sz w:val="11"/>
          <w:szCs w:val="11"/>
        </w:rPr>
        <w:t>页］。</w:t>
      </w:r>
    </w:p>
    <w:p w14:paraId="07F2C18C">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情势变更和不可抗力一样，同属当事人在订立合同时无法预见的客观情况或现象，但 二者存在实质区别。首先，客观表现不同。情势变更主要表现为影响合同履行的社会经济 形势的剧变事件，如物价极度上涨、货币严重贬值、金融动荡危机和国家政策变更等</w:t>
      </w:r>
      <w:r>
        <w:rPr>
          <w:color w:val="000000"/>
          <w:spacing w:val="0"/>
          <w:w w:val="100"/>
          <w:position w:val="0"/>
          <w:sz w:val="11"/>
          <w:szCs w:val="11"/>
        </w:rPr>
        <w:t>［曹守 晔:《最高人民法院〈关于适用《中华人民共和国合同法》若干问题的解释（二）〉之情势变更问题的理解 与适用》，载《法律适用</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sz w:val="11"/>
          <w:szCs w:val="11"/>
        </w:rPr>
        <w:t>期］。由</w:t>
      </w:r>
      <w:r>
        <w:rPr>
          <w:color w:val="000000"/>
          <w:spacing w:val="0"/>
          <w:w w:val="100"/>
          <w:position w:val="0"/>
          <w:sz w:val="18"/>
          <w:szCs w:val="18"/>
        </w:rPr>
        <w:t>于情势变更的情况较为复杂,故须经诉讼或仲裁裁 量认定。不可抗力则主要表现为人力不可抗拒的自然力，比如地震、海啸、台风、洪水、旱灾 等自然灾害，当然也包括某些社会异常事件，比如战争、罢工等重大事件。不可抗力并不必 须通过诉讼确认。其次，造成的影响不同。发生情势变更时，在大多情况下合同仍能履行, 只是继续履行合同将会造成显失公平的后果。一般认为，显失公平应按照理性人的标准判 断，包括履行特别困难、债权人受领严重不足、履行对债权人无利益等</w:t>
      </w:r>
      <w:r>
        <w:rPr>
          <w:color w:val="000000"/>
          <w:spacing w:val="0"/>
          <w:w w:val="100"/>
          <w:position w:val="0"/>
          <w:sz w:val="11"/>
          <w:szCs w:val="11"/>
        </w:rPr>
        <w:t>［崔建远:《合同法》（第</w:t>
      </w:r>
      <w:r>
        <w:rPr>
          <w:rFonts w:ascii="Times New Roman" w:hAnsi="Times New Roman" w:eastAsia="Times New Roman" w:cs="Times New Roman"/>
          <w:color w:val="000000"/>
          <w:spacing w:val="0"/>
          <w:w w:val="100"/>
          <w:position w:val="0"/>
          <w:sz w:val="17"/>
          <w:szCs w:val="17"/>
        </w:rPr>
        <w:t xml:space="preserve">6 </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90</w:t>
      </w:r>
      <w:r>
        <w:rPr>
          <w:color w:val="000000"/>
          <w:spacing w:val="0"/>
          <w:w w:val="100"/>
          <w:position w:val="0"/>
          <w:sz w:val="11"/>
          <w:szCs w:val="11"/>
        </w:rPr>
        <w:t>页］。</w:t>
      </w:r>
      <w:r>
        <w:rPr>
          <w:color w:val="000000"/>
          <w:spacing w:val="0"/>
          <w:w w:val="100"/>
          <w:position w:val="0"/>
          <w:sz w:val="18"/>
          <w:szCs w:val="18"/>
        </w:rPr>
        <w:t>在德国的判例上还创造了仅因价格超常涨落而使一方 当事人履行合同即遭受“经济废墟</w:t>
      </w:r>
      <w:r>
        <w:rPr>
          <w:color w:val="000000"/>
          <w:spacing w:val="0"/>
          <w:w w:val="100"/>
          <w:position w:val="0"/>
          <w:sz w:val="18"/>
          <w:szCs w:val="18"/>
          <w:lang w:val="zh-CN" w:eastAsia="zh-CN" w:bidi="zh-CN"/>
        </w:rPr>
        <w:t>”或“生存</w:t>
      </w:r>
      <w:r>
        <w:rPr>
          <w:color w:val="000000"/>
          <w:spacing w:val="0"/>
          <w:w w:val="100"/>
          <w:position w:val="0"/>
          <w:sz w:val="18"/>
          <w:szCs w:val="18"/>
        </w:rPr>
        <w:t>毁灭”等概念</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 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507</w:t>
      </w:r>
      <w:r>
        <w:rPr>
          <w:color w:val="000000"/>
          <w:spacing w:val="0"/>
          <w:w w:val="100"/>
          <w:position w:val="0"/>
          <w:sz w:val="11"/>
          <w:szCs w:val="11"/>
        </w:rPr>
        <w:t>页］。</w:t>
      </w:r>
      <w:r>
        <w:rPr>
          <w:color w:val="000000"/>
          <w:spacing w:val="0"/>
          <w:w w:val="100"/>
          <w:position w:val="0"/>
          <w:sz w:val="18"/>
          <w:szCs w:val="18"/>
        </w:rPr>
        <w:t>而不可抗力事件将会造成合同履行不能或合同目的不能实 现。总而言之,情势变更规则重在修正外因引发的利益严重失衡之局面，以实现“给付均 衡</w:t>
      </w:r>
      <w:r>
        <w:rPr>
          <w:color w:val="000000"/>
          <w:spacing w:val="0"/>
          <w:w w:val="100"/>
          <w:position w:val="0"/>
          <w:sz w:val="18"/>
          <w:szCs w:val="18"/>
          <w:lang w:val="zh-CN" w:eastAsia="zh-CN" w:bidi="zh-CN"/>
        </w:rPr>
        <w:t>”为规</w:t>
      </w:r>
      <w:r>
        <w:rPr>
          <w:color w:val="000000"/>
          <w:spacing w:val="0"/>
          <w:w w:val="100"/>
          <w:position w:val="0"/>
          <w:sz w:val="18"/>
          <w:szCs w:val="18"/>
        </w:rPr>
        <w:t xml:space="preserve">范意旨，使合同在公平的基础上得到变通履行或裁判解除;而不可抗力制度重在对 履行不能或目的不达的客观现实予以回应，使合同关系在毁灭性力量的作用下提前宣告终 </w:t>
      </w:r>
      <w:r>
        <w:rPr>
          <w:color w:val="000000"/>
          <w:spacing w:val="0"/>
          <w:w w:val="100"/>
          <w:position w:val="0"/>
          <w:sz w:val="11"/>
          <w:szCs w:val="11"/>
        </w:rPr>
        <w:t>止。</w:t>
      </w:r>
    </w:p>
    <w:p w14:paraId="5C94149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契约应当严守是合同法的基本原则，因为合同是当事人自由判断和自愿选择的结果。 我国《民法典》第</w:t>
      </w:r>
      <w:r>
        <w:rPr>
          <w:rFonts w:ascii="Times New Roman" w:hAnsi="Times New Roman" w:eastAsia="Times New Roman" w:cs="Times New Roman"/>
          <w:color w:val="000000"/>
          <w:spacing w:val="0"/>
          <w:w w:val="100"/>
          <w:position w:val="0"/>
          <w:sz w:val="19"/>
          <w:szCs w:val="19"/>
        </w:rPr>
        <w:t>465</w:t>
      </w:r>
      <w:r>
        <w:rPr>
          <w:color w:val="000000"/>
          <w:spacing w:val="0"/>
          <w:w w:val="100"/>
          <w:position w:val="0"/>
        </w:rPr>
        <w:t>条对此设有明文规定。然而，当发生不可抗力或情势变更等例外情形 时，当事人当初做出判断和选择的前提已不复存在，故而，法律基于对客观现实的尊重和对 诚信原则的贯彻，确立不可抗力制度或情势变更规则,进而缓和契约严守与合同正义之间 的冲突。</w:t>
      </w:r>
    </w:p>
    <w:p w14:paraId="0AF4A9B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但问题是,不可抗力与情势变更的法律后果并不完全相同。根据原《民法总则》第</w:t>
      </w:r>
      <w:r>
        <w:rPr>
          <w:rFonts w:ascii="Times New Roman" w:hAnsi="Times New Roman" w:eastAsia="Times New Roman" w:cs="Times New Roman"/>
          <w:color w:val="000000"/>
          <w:spacing w:val="0"/>
          <w:w w:val="100"/>
          <w:position w:val="0"/>
          <w:sz w:val="19"/>
          <w:szCs w:val="19"/>
        </w:rPr>
        <w:t xml:space="preserve">180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590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项、第</w:t>
      </w:r>
      <w:r>
        <w:rPr>
          <w:rFonts w:ascii="Times New Roman" w:hAnsi="Times New Roman" w:eastAsia="Times New Roman" w:cs="Times New Roman"/>
          <w:color w:val="000000"/>
          <w:spacing w:val="0"/>
          <w:w w:val="100"/>
          <w:position w:val="0"/>
          <w:sz w:val="19"/>
          <w:szCs w:val="19"/>
        </w:rPr>
        <w:t>117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款等规定, 不可抗力既构成合同终止的法定解除条件，也构成违约责任的法定免责事由。也就是说, 在不可抗力发生后，当事人有权直接解除合同，且无需承担违约责任。不同的是，根据司法 解释及《民法典》的规定，在发生情势变更时，法律引导当事人以面对现实的态度履行</w:t>
      </w:r>
      <w:r>
        <w:rPr>
          <w:color w:val="000000"/>
          <w:spacing w:val="0"/>
          <w:w w:val="100"/>
          <w:position w:val="0"/>
          <w:lang w:val="zh-CN" w:eastAsia="zh-CN" w:bidi="zh-CN"/>
        </w:rPr>
        <w:t xml:space="preserve">“重新 </w:t>
      </w:r>
      <w:r>
        <w:rPr>
          <w:color w:val="000000"/>
          <w:spacing w:val="0"/>
          <w:w w:val="100"/>
          <w:position w:val="0"/>
        </w:rPr>
        <w:t>磋商”的义务，磋商不成时由法院或仲裁机构强制变更合同，仅在变更合同仍然无法修复利 益失衡之结果时，方可强制裁判解除合同。也就是说,情势变更的后果通常是变更合同，解 除合同应属例外。故而,个案中实际发生的客观情况在性质上构成不可抗力还是情势变 更，乃合同纠纷裁判可能难以回避的关键问题。</w:t>
      </w:r>
    </w:p>
    <w:p w14:paraId="17E7CB7C">
      <w:pPr>
        <w:pStyle w:val="17"/>
        <w:keepNext w:val="0"/>
        <w:keepLines w:val="0"/>
        <w:widowControl w:val="0"/>
        <w:shd w:val="clear" w:color="auto" w:fill="auto"/>
        <w:bidi w:val="0"/>
        <w:spacing w:before="0" w:after="300" w:line="343" w:lineRule="exact"/>
        <w:ind w:left="0" w:right="0" w:firstLine="420"/>
        <w:jc w:val="both"/>
        <w:rPr>
          <w:sz w:val="11"/>
          <w:szCs w:val="11"/>
        </w:rPr>
      </w:pPr>
      <w:r>
        <w:rPr>
          <w:color w:val="000000"/>
          <w:spacing w:val="0"/>
          <w:w w:val="100"/>
          <w:position w:val="0"/>
          <w:sz w:val="18"/>
          <w:szCs w:val="18"/>
        </w:rPr>
        <w:t>不过,不可抗力与情势变更之界限并非泾渭分明，它往往考验着裁判者的智慧。大致 而言，在个案中有两种方法可供遵循:一是形态论，即从事件本身的形态出发，如遇严重影 响合同履行的自然灾害、战争等，可认定为不可抗力，而无须考虑情势变更;如遇社会经济 形势的重大变化，则应认定为情势变更;二是结果论，即从事件的影响程度出发，对合同造 成毁灭性打击，即导致当事人无法履行合同义务或合同目的不能实现的事件，应认定为不 可抗力;而仅影响合同利益格局，即造成对一方当事人明显不公平的事件，则应被认定为情 势变更</w:t>
      </w:r>
      <w:r>
        <w:rPr>
          <w:color w:val="000000"/>
          <w:spacing w:val="0"/>
          <w:w w:val="100"/>
          <w:position w:val="0"/>
          <w:sz w:val="11"/>
          <w:szCs w:val="11"/>
        </w:rPr>
        <w:t>（侯国跃:《新冠肺炎疫情的合同之维：不可抗力还是情势变更》，载《中国检察官》</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sz w:val="11"/>
          <w:szCs w:val="11"/>
        </w:rPr>
        <w:t>期）。</w:t>
      </w:r>
    </w:p>
    <w:p w14:paraId="3FEC4BCB">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52BAD466">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最高人民法院曾在《关于在防治传染性非典型肺炎期间依法做好人民法院相关审判、 执行工作的通知》［法</w:t>
      </w:r>
      <w:r>
        <w:rPr>
          <w:rFonts w:ascii="Times New Roman" w:hAnsi="Times New Roman" w:eastAsia="Times New Roman" w:cs="Times New Roman"/>
          <w:color w:val="000000"/>
          <w:spacing w:val="0"/>
          <w:w w:val="100"/>
          <w:position w:val="0"/>
          <w:sz w:val="19"/>
          <w:szCs w:val="19"/>
        </w:rPr>
        <w:t>（2003）72</w:t>
      </w:r>
      <w:r>
        <w:rPr>
          <w:color w:val="000000"/>
          <w:spacing w:val="0"/>
          <w:w w:val="100"/>
          <w:position w:val="0"/>
        </w:rPr>
        <w:t>号］中规定:</w:t>
      </w:r>
      <w:r>
        <w:rPr>
          <w:color w:val="000000"/>
          <w:spacing w:val="0"/>
          <w:w w:val="100"/>
          <w:position w:val="0"/>
          <w:lang w:val="zh-CN" w:eastAsia="zh-CN" w:bidi="zh-CN"/>
        </w:rPr>
        <w:t>“因政</w:t>
      </w:r>
      <w:r>
        <w:rPr>
          <w:color w:val="000000"/>
          <w:spacing w:val="0"/>
          <w:w w:val="100"/>
          <w:position w:val="0"/>
        </w:rPr>
        <w:t>府及有关部门为防治’非典’疫情而采取 行政措施直接导致合同不能履行，或者由于’非典’疫情的影响致使合同当事人根本不能履 行而引起的纠纷，按照《中华人民共和国合同法》第一百一十七条和第一百一十八条的规定 妥善处理</w:t>
      </w:r>
      <w:r>
        <w:rPr>
          <w:color w:val="000000"/>
          <w:spacing w:val="0"/>
          <w:w w:val="100"/>
          <w:position w:val="0"/>
          <w:lang w:val="zh-CN" w:eastAsia="zh-CN" w:bidi="zh-CN"/>
        </w:rPr>
        <w:t>。”这</w:t>
      </w:r>
      <w:r>
        <w:rPr>
          <w:color w:val="000000"/>
          <w:spacing w:val="0"/>
          <w:w w:val="100"/>
          <w:position w:val="0"/>
        </w:rPr>
        <w:t>一规定中明确强调政府行政措施或</w:t>
      </w:r>
      <w:r>
        <w:rPr>
          <w:color w:val="000000"/>
          <w:spacing w:val="0"/>
          <w:w w:val="100"/>
          <w:position w:val="0"/>
          <w:lang w:val="zh-CN" w:eastAsia="zh-CN" w:bidi="zh-CN"/>
        </w:rPr>
        <w:t>“非典”疫情</w:t>
      </w:r>
      <w:r>
        <w:rPr>
          <w:color w:val="000000"/>
          <w:spacing w:val="0"/>
          <w:w w:val="100"/>
          <w:position w:val="0"/>
        </w:rPr>
        <w:t>构成不可抗力须以导致合同 履行不能作为结果性条件。这种认定思路使用的就是从事件的影响程度出发区分不可抗 力和情势变更的</w:t>
      </w:r>
      <w:r>
        <w:rPr>
          <w:color w:val="000000"/>
          <w:spacing w:val="0"/>
          <w:w w:val="100"/>
          <w:position w:val="0"/>
          <w:lang w:val="zh-CN" w:eastAsia="zh-CN" w:bidi="zh-CN"/>
        </w:rPr>
        <w:t>“结果</w:t>
      </w:r>
      <w:r>
        <w:rPr>
          <w:color w:val="000000"/>
          <w:spacing w:val="0"/>
          <w:w w:val="100"/>
          <w:position w:val="0"/>
        </w:rPr>
        <w:t>引导型</w:t>
      </w:r>
      <w:r>
        <w:rPr>
          <w:color w:val="000000"/>
          <w:spacing w:val="0"/>
          <w:w w:val="100"/>
          <w:position w:val="0"/>
          <w:lang w:val="zh-CN" w:eastAsia="zh-CN" w:bidi="zh-CN"/>
        </w:rPr>
        <w:t>”的</w:t>
      </w:r>
      <w:r>
        <w:rPr>
          <w:color w:val="000000"/>
          <w:spacing w:val="0"/>
          <w:w w:val="100"/>
          <w:position w:val="0"/>
        </w:rPr>
        <w:t>裁判方法。</w:t>
      </w:r>
    </w:p>
    <w:p w14:paraId="27179303">
      <w:pPr>
        <w:pStyle w:val="17"/>
        <w:keepNext w:val="0"/>
        <w:keepLines w:val="0"/>
        <w:widowControl w:val="0"/>
        <w:shd w:val="clear" w:color="auto" w:fill="auto"/>
        <w:bidi w:val="0"/>
        <w:spacing w:before="0" w:after="300" w:line="349" w:lineRule="exact"/>
        <w:ind w:left="0" w:right="0" w:firstLine="420"/>
        <w:jc w:val="both"/>
      </w:pPr>
      <w:r>
        <w:rPr>
          <w:color w:val="000000"/>
          <w:spacing w:val="0"/>
          <w:w w:val="100"/>
          <w:position w:val="0"/>
        </w:rPr>
        <w:t>从《合同法司法解释二》第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条的规定来看，最高人民法院最初是试图撇清情势变更 与不可抗力的关系的，故强调情势变更具有“非不可抗力造成</w:t>
      </w:r>
      <w:r>
        <w:rPr>
          <w:color w:val="000000"/>
          <w:spacing w:val="0"/>
          <w:w w:val="100"/>
          <w:position w:val="0"/>
          <w:lang w:val="zh-CN" w:eastAsia="zh-CN" w:bidi="zh-CN"/>
        </w:rPr>
        <w:t>”的</w:t>
      </w:r>
      <w:r>
        <w:rPr>
          <w:color w:val="000000"/>
          <w:spacing w:val="0"/>
          <w:w w:val="100"/>
          <w:position w:val="0"/>
        </w:rPr>
        <w:t>特征。此后，无论是地方 法院的司法裁判，还是民法学界的学理解释，都以此作为二者关系的基本观点。然而，本案 告诉我们，其实最高人民法院内部的认识可能也未必完全一致。《合同法司法解释二》发布 之后即出现本案裁判便是明证。</w:t>
      </w:r>
    </w:p>
    <w:p w14:paraId="734DB20A">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本裁定的参考意义及将来的课题</w:t>
      </w:r>
    </w:p>
    <w:p w14:paraId="1DCFA74C">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在实务中，本案中最高人民法院的裁判已经确认不可抗力可以是导致合同基础动摇的 原因,进而可能引发情势变更规则的适用。但是，对于最高人民法院这一裁判存在不同理 解。在理论界，王利明教授认为，只要发生了当事人无法预见的客观情势，比如</w:t>
      </w:r>
      <w:r>
        <w:rPr>
          <w:color w:val="000000"/>
          <w:spacing w:val="0"/>
          <w:w w:val="100"/>
          <w:position w:val="0"/>
          <w:lang w:val="zh-CN" w:eastAsia="zh-CN" w:bidi="zh-CN"/>
        </w:rPr>
        <w:t xml:space="preserve">“非典”、限 </w:t>
      </w:r>
      <w:r>
        <w:rPr>
          <w:color w:val="000000"/>
          <w:spacing w:val="0"/>
          <w:w w:val="100"/>
          <w:position w:val="0"/>
        </w:rPr>
        <w:t>购等，导致合同订立的基础丧失，若继续履行合同使得当事人显失公平，则构成履行艰难, 根本不用区分其到底是情势变更还是不可抗力</w:t>
      </w:r>
      <w:r>
        <w:rPr>
          <w:color w:val="000000"/>
          <w:spacing w:val="0"/>
          <w:w w:val="100"/>
          <w:position w:val="0"/>
          <w:sz w:val="11"/>
          <w:szCs w:val="11"/>
        </w:rPr>
        <w:t>（参见王利明教授</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rPr>
        <w:t>11</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rPr>
        <w:t>29</w:t>
      </w:r>
      <w:r>
        <w:rPr>
          <w:color w:val="000000"/>
          <w:spacing w:val="0"/>
          <w:w w:val="100"/>
          <w:position w:val="0"/>
          <w:sz w:val="11"/>
          <w:szCs w:val="11"/>
        </w:rPr>
        <w:t>日</w:t>
      </w:r>
      <w:r>
        <w:rPr>
          <w:color w:val="000000"/>
          <w:spacing w:val="0"/>
          <w:w w:val="100"/>
          <w:position w:val="0"/>
          <w:sz w:val="11"/>
          <w:szCs w:val="11"/>
          <w:lang w:val="zh-CN" w:eastAsia="zh-CN" w:bidi="zh-CN"/>
        </w:rPr>
        <w:t>“民法</w:t>
      </w:r>
      <w:r>
        <w:rPr>
          <w:color w:val="000000"/>
          <w:spacing w:val="0"/>
          <w:w w:val="100"/>
          <w:position w:val="0"/>
          <w:sz w:val="11"/>
          <w:szCs w:val="11"/>
        </w:rPr>
        <w:t>典合同 编总则重大疑难问题</w:t>
      </w:r>
      <w:r>
        <w:rPr>
          <w:color w:val="000000"/>
          <w:spacing w:val="0"/>
          <w:w w:val="100"/>
          <w:position w:val="0"/>
          <w:sz w:val="11"/>
          <w:szCs w:val="11"/>
          <w:lang w:val="zh-CN" w:eastAsia="zh-CN" w:bidi="zh-CN"/>
        </w:rPr>
        <w:t>”讲</w:t>
      </w:r>
      <w:r>
        <w:rPr>
          <w:color w:val="000000"/>
          <w:spacing w:val="0"/>
          <w:w w:val="100"/>
          <w:position w:val="0"/>
          <w:sz w:val="11"/>
          <w:szCs w:val="11"/>
        </w:rPr>
        <w:t>座实录，载中国民商法律网：</w:t>
      </w:r>
      <w:r>
        <w:rPr>
          <w:rFonts w:ascii="Times New Roman" w:hAnsi="Times New Roman" w:eastAsia="Times New Roman" w:cs="Times New Roman"/>
          <w:color w:val="000000"/>
          <w:spacing w:val="0"/>
          <w:w w:val="100"/>
          <w:position w:val="0"/>
          <w:sz w:val="17"/>
          <w:szCs w:val="17"/>
          <w:lang w:val="en-US" w:eastAsia="en-US" w:bidi="en-US"/>
        </w:rPr>
        <w:t>http</w:t>
      </w:r>
      <w:r>
        <w:rPr>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//www. civillaw. com. cn/zt/t/? id = 36761, 2020</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lang w:val="en-US" w:eastAsia="en-US" w:bidi="en-US"/>
        </w:rPr>
        <w:t>5</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lang w:val="en-US" w:eastAsia="en-US" w:bidi="en-US"/>
        </w:rPr>
        <w:t>10</w:t>
      </w:r>
      <w:r>
        <w:rPr>
          <w:color w:val="000000"/>
          <w:spacing w:val="0"/>
          <w:w w:val="100"/>
          <w:position w:val="0"/>
          <w:sz w:val="11"/>
          <w:szCs w:val="11"/>
        </w:rPr>
        <w:t>日最后访问）。</w:t>
      </w:r>
      <w:r>
        <w:rPr>
          <w:color w:val="000000"/>
          <w:spacing w:val="0"/>
          <w:w w:val="100"/>
          <w:position w:val="0"/>
        </w:rPr>
        <w:t>韩世远教授也认为,不可抗力与情势变更共同规范当事人没有 承受的、支配领域外的风险,故二者并非必然冲突，而是功能互补</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 xml:space="preserve">496 </w:t>
      </w:r>
      <w:r>
        <w:rPr>
          <w:rFonts w:ascii="Times New Roman" w:hAnsi="Times New Roman" w:eastAsia="Times New Roman" w:cs="Times New Roman"/>
          <w:color w:val="000000"/>
          <w:spacing w:val="0"/>
          <w:w w:val="100"/>
          <w:position w:val="0"/>
          <w:sz w:val="17"/>
          <w:szCs w:val="17"/>
          <w:lang w:val="en-US" w:eastAsia="en-US" w:bidi="en-US"/>
        </w:rPr>
        <w:t>-498</w:t>
      </w:r>
      <w:r>
        <w:rPr>
          <w:color w:val="000000"/>
          <w:spacing w:val="0"/>
          <w:w w:val="100"/>
          <w:position w:val="0"/>
          <w:sz w:val="11"/>
          <w:szCs w:val="11"/>
        </w:rPr>
        <w:t>页］。</w:t>
      </w:r>
      <w:r>
        <w:rPr>
          <w:color w:val="000000"/>
          <w:spacing w:val="0"/>
          <w:w w:val="100"/>
          <w:position w:val="0"/>
        </w:rPr>
        <w:t>在立法方面，《民法典》第</w:t>
      </w:r>
      <w:r>
        <w:rPr>
          <w:rFonts w:ascii="Times New Roman" w:hAnsi="Times New Roman" w:eastAsia="Times New Roman" w:cs="Times New Roman"/>
          <w:color w:val="000000"/>
          <w:spacing w:val="0"/>
          <w:w w:val="100"/>
          <w:position w:val="0"/>
          <w:sz w:val="19"/>
          <w:szCs w:val="19"/>
        </w:rPr>
        <w:t>533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款在规定情 势变更规则时删除了</w:t>
      </w:r>
      <w:r>
        <w:rPr>
          <w:color w:val="000000"/>
          <w:spacing w:val="0"/>
          <w:w w:val="100"/>
          <w:position w:val="0"/>
          <w:lang w:val="zh-CN" w:eastAsia="zh-CN" w:bidi="zh-CN"/>
        </w:rPr>
        <w:t>“非不</w:t>
      </w:r>
      <w:r>
        <w:rPr>
          <w:color w:val="000000"/>
          <w:spacing w:val="0"/>
          <w:w w:val="100"/>
          <w:position w:val="0"/>
        </w:rPr>
        <w:t>可抗力造成的</w:t>
      </w:r>
      <w:r>
        <w:rPr>
          <w:color w:val="000000"/>
          <w:spacing w:val="0"/>
          <w:w w:val="100"/>
          <w:position w:val="0"/>
          <w:lang w:val="zh-CN" w:eastAsia="zh-CN" w:bidi="zh-CN"/>
        </w:rPr>
        <w:t>”这</w:t>
      </w:r>
      <w:r>
        <w:rPr>
          <w:color w:val="000000"/>
          <w:spacing w:val="0"/>
          <w:w w:val="100"/>
          <w:position w:val="0"/>
        </w:rPr>
        <w:t>一表述，是否也确认了在不可抗力发生的情况 之下也有情势变更规则适用的空间之命题，值得进一步深入研究。</w:t>
      </w:r>
    </w:p>
    <w:p w14:paraId="467F3FD9">
      <w:pPr>
        <w:pStyle w:val="17"/>
        <w:keepNext w:val="0"/>
        <w:keepLines w:val="0"/>
        <w:widowControl w:val="0"/>
        <w:shd w:val="clear" w:color="auto" w:fill="auto"/>
        <w:bidi w:val="0"/>
        <w:spacing w:before="0" w:after="360" w:line="337" w:lineRule="exact"/>
        <w:ind w:left="0" w:right="0" w:firstLine="440"/>
        <w:jc w:val="both"/>
      </w:pPr>
      <w:r>
        <w:rPr>
          <w:color w:val="000000"/>
          <w:spacing w:val="0"/>
          <w:w w:val="100"/>
          <w:position w:val="0"/>
        </w:rPr>
        <w:t>以新冠肺炎疫情及其防控为例，全国人大常委会法工委发言人、研究室主任臧铁伟表 示:当前我国发生了新冠肺炎疫情这一突发公共卫生事件;为了保护公众健康，政府也采取 了相应疫情防控措施;对于因此不能履行合同的当事人来说，属于不能预见、不能避免并不 能克月艮的不可抗力</w:t>
      </w:r>
      <w:r>
        <w:rPr>
          <w:color w:val="000000"/>
          <w:spacing w:val="0"/>
          <w:w w:val="100"/>
          <w:position w:val="0"/>
          <w:sz w:val="11"/>
          <w:szCs w:val="11"/>
        </w:rPr>
        <w:t>（参见《在法治轨道上保障疫情防控顺利开展——全国人大常委会法工委有关部 门负责人就疫情防控相关法律问题答记者问》，载人民网：</w:t>
      </w:r>
      <w:r>
        <w:fldChar w:fldCharType="begin"/>
      </w:r>
      <w:r>
        <w:instrText xml:space="preserve">HYPERLINK "http://politics"</w:instrText>
      </w:r>
      <w:r>
        <w:fldChar w:fldCharType="separate"/>
      </w:r>
      <w:r>
        <w:rPr>
          <w:rFonts w:ascii="Times New Roman" w:hAnsi="Times New Roman" w:eastAsia="Times New Roman" w:cs="Times New Roman"/>
          <w:color w:val="000000"/>
          <w:spacing w:val="0"/>
          <w:w w:val="100"/>
          <w:position w:val="0"/>
          <w:sz w:val="17"/>
          <w:szCs w:val="17"/>
          <w:lang w:val="en-US" w:eastAsia="en-US" w:bidi="en-US"/>
        </w:rPr>
        <w:t>http</w:t>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lang w:val="en-US" w:eastAsia="en-US" w:bidi="en-US"/>
        </w:rPr>
        <w:t>//politics</w:t>
      </w:r>
      <w:r>
        <w:fldChar w:fldCharType="end"/>
      </w:r>
      <w:r>
        <w:rPr>
          <w:rFonts w:ascii="Times New Roman" w:hAnsi="Times New Roman" w:eastAsia="Times New Roman" w:cs="Times New Roman"/>
          <w:color w:val="000000"/>
          <w:spacing w:val="0"/>
          <w:w w:val="100"/>
          <w:position w:val="0"/>
          <w:sz w:val="17"/>
          <w:szCs w:val="17"/>
          <w:lang w:val="en-US" w:eastAsia="en-US" w:bidi="en-US"/>
        </w:rPr>
        <w:t>, people, com. cn/nl/2020/ 0211/clOOl -31580515.html,2020</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lang w:val="en-US" w:eastAsia="en-US" w:bidi="en-US"/>
        </w:rPr>
        <w:t>3</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rPr>
        <w:t>10</w:t>
      </w:r>
      <w:r>
        <w:rPr>
          <w:color w:val="000000"/>
          <w:spacing w:val="0"/>
          <w:w w:val="100"/>
          <w:position w:val="0"/>
          <w:sz w:val="11"/>
          <w:szCs w:val="11"/>
        </w:rPr>
        <w:t>日最后访问）。</w:t>
      </w:r>
      <w:r>
        <w:rPr>
          <w:color w:val="000000"/>
          <w:spacing w:val="0"/>
          <w:w w:val="100"/>
          <w:position w:val="0"/>
        </w:rPr>
        <w:t>随后，最高人民法院于</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 xml:space="preserve">16 </w:t>
      </w:r>
      <w:r>
        <w:rPr>
          <w:color w:val="000000"/>
          <w:spacing w:val="0"/>
          <w:w w:val="100"/>
          <w:position w:val="0"/>
        </w:rPr>
        <w:t>日印发《关于依法妥善审理涉新冠肺炎疫情民事案件若干问题的指导意见（一）》的通知［法 发</w:t>
      </w:r>
      <w:r>
        <w:rPr>
          <w:rFonts w:ascii="Times New Roman" w:hAnsi="Times New Roman" w:eastAsia="Times New Roman" w:cs="Times New Roman"/>
          <w:color w:val="000000"/>
          <w:spacing w:val="0"/>
          <w:w w:val="100"/>
          <w:position w:val="0"/>
          <w:sz w:val="17"/>
          <w:szCs w:val="17"/>
        </w:rPr>
        <w:t>（2020）12</w:t>
      </w:r>
      <w:r>
        <w:rPr>
          <w:color w:val="000000"/>
          <w:spacing w:val="0"/>
          <w:w w:val="100"/>
          <w:position w:val="0"/>
        </w:rPr>
        <w:t>号］，就合同纠纷案件中如何看待新冠肺炎疫情或防控措施的问题，该指导意见 总体上有两方面的意见值得注意:一是类型化的裁判思维，即在个案中根据疫情或疫情防 控措施对合同履行的影响程度等因素决定法律适用,而非一概而论地定性疫情或疫情防控 措施;二是结果导向的裁判思维，即根据疫情或疫情防控措施导致的结果是合同履行不能、 合同目的不达抑或是显失公平，来确定适用不可抗力规则还是情势变更规则。</w:t>
      </w:r>
    </w:p>
    <w:p w14:paraId="0DF79F2B">
      <w:pPr>
        <w:pStyle w:val="11"/>
        <w:keepNext w:val="0"/>
        <w:keepLines w:val="0"/>
        <w:widowControl w:val="0"/>
        <w:shd w:val="clear" w:color="auto" w:fill="auto"/>
        <w:bidi w:val="0"/>
        <w:spacing w:before="0" w:after="60" w:line="337" w:lineRule="exact"/>
        <w:ind w:left="0" w:right="0" w:firstLine="0"/>
        <w:jc w:val="left"/>
      </w:pPr>
      <w:r>
        <w:rPr>
          <w:color w:val="000000"/>
          <w:spacing w:val="0"/>
          <w:w w:val="100"/>
          <w:position w:val="0"/>
        </w:rPr>
        <w:t>回参考文献</w:t>
      </w:r>
    </w:p>
    <w:p w14:paraId="3740530B">
      <w:pPr>
        <w:pStyle w:val="33"/>
        <w:keepNext w:val="0"/>
        <w:keepLines w:val="0"/>
        <w:widowControl w:val="0"/>
        <w:shd w:val="clear" w:color="auto" w:fill="auto"/>
        <w:bidi w:val="0"/>
        <w:spacing w:before="0" w:after="60" w:line="318" w:lineRule="exact"/>
        <w:ind w:left="0" w:right="0" w:firstLine="0"/>
        <w:jc w:val="left"/>
        <w:sectPr>
          <w:headerReference r:id="rId375" w:type="default"/>
          <w:headerReference r:id="rId376" w:type="even"/>
          <w:footnotePr>
            <w:numFmt w:val="chicago"/>
          </w:footnotePr>
          <w:pgSz w:w="10099" w:h="14782"/>
          <w:pgMar w:top="1330" w:right="979" w:bottom="1072" w:left="1107" w:header="0" w:footer="3" w:gutter="0"/>
          <w:pgNumType w:start="307"/>
          <w:cols w:space="720" w:num="1"/>
          <w:rtlGutter w:val="0"/>
          <w:docGrid w:linePitch="360" w:charSpace="0"/>
        </w:sectPr>
      </w:pPr>
      <w:r>
        <w:rPr>
          <w:color w:val="000000"/>
          <w:spacing w:val="0"/>
          <w:w w:val="100"/>
          <w:position w:val="0"/>
        </w:rPr>
        <w:t>梁慧星:《民法总论》（第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 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 崔建远:《合同法》（第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 刘凯湘、张海峡:《论不可抗力》，载《法学研究》</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 曹守晔:《〈关于适用合同法若干问题的解释（二）〉的理解与适用》，载《人民司法》</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13</w:t>
      </w:r>
      <w:r>
        <w:rPr>
          <w:color w:val="000000"/>
          <w:spacing w:val="0"/>
          <w:w w:val="100"/>
          <w:position w:val="0"/>
        </w:rPr>
        <w:t>期。</w:t>
      </w:r>
    </w:p>
    <w:p w14:paraId="4CE3B691">
      <w:pPr>
        <w:widowControl w:val="0"/>
        <w:spacing w:line="1" w:lineRule="exact"/>
      </w:pPr>
      <w:r>
        <w:drawing>
          <wp:anchor distT="0" distB="0" distL="114300" distR="2265680" simplePos="0" relativeHeight="251660288" behindDoc="0" locked="0" layoutInCell="1" allowOverlap="1">
            <wp:simplePos x="0" y="0"/>
            <wp:positionH relativeFrom="page">
              <wp:posOffset>685800</wp:posOffset>
            </wp:positionH>
            <wp:positionV relativeFrom="paragraph">
              <wp:posOffset>12700</wp:posOffset>
            </wp:positionV>
            <wp:extent cx="481330" cy="420370"/>
            <wp:effectExtent l="0" t="0" r="1270" b="11430"/>
            <wp:wrapTopAndBottom/>
            <wp:docPr id="873" name="Shape 873"/>
            <wp:cNvGraphicFramePr/>
            <a:graphic xmlns:a="http://schemas.openxmlformats.org/drawingml/2006/main">
              <a:graphicData uri="http://schemas.openxmlformats.org/drawingml/2006/picture">
                <pic:pic xmlns:pic="http://schemas.openxmlformats.org/drawingml/2006/picture">
                  <pic:nvPicPr>
                    <pic:cNvPr id="873" name="Shape 873"/>
                    <pic:cNvPicPr/>
                  </pic:nvPicPr>
                  <pic:blipFill>
                    <a:blip r:embed="rId673"/>
                    <a:stretch>
                      <a:fillRect/>
                    </a:stretch>
                  </pic:blipFill>
                  <pic:spPr>
                    <a:xfrm>
                      <a:off x="0" y="0"/>
                      <a:ext cx="481330" cy="420370"/>
                    </a:xfrm>
                    <a:prstGeom prst="rect">
                      <a:avLst/>
                    </a:prstGeom>
                  </pic:spPr>
                </pic:pic>
              </a:graphicData>
            </a:graphic>
          </wp:anchor>
        </w:drawing>
      </w:r>
      <w:r>
        <mc:AlternateContent>
          <mc:Choice Requires="wps">
            <w:drawing>
              <wp:anchor distT="143510" distB="42545" distL="720725" distR="114300" simplePos="0" relativeHeight="251660288" behindDoc="0" locked="0" layoutInCell="1" allowOverlap="1">
                <wp:simplePos x="0" y="0"/>
                <wp:positionH relativeFrom="page">
                  <wp:posOffset>1292225</wp:posOffset>
                </wp:positionH>
                <wp:positionV relativeFrom="paragraph">
                  <wp:posOffset>156210</wp:posOffset>
                </wp:positionV>
                <wp:extent cx="2023745" cy="231775"/>
                <wp:effectExtent l="0" t="0" r="0" b="0"/>
                <wp:wrapTopAndBottom/>
                <wp:docPr id="875" name="Shape 875"/>
                <wp:cNvGraphicFramePr/>
                <a:graphic xmlns:a="http://schemas.openxmlformats.org/drawingml/2006/main">
                  <a:graphicData uri="http://schemas.microsoft.com/office/word/2010/wordprocessingShape">
                    <wps:wsp>
                      <wps:cNvSpPr txBox="1"/>
                      <wps:spPr>
                        <a:xfrm>
                          <a:off x="0" y="0"/>
                          <a:ext cx="2023745" cy="231775"/>
                        </a:xfrm>
                        <a:prstGeom prst="rect">
                          <a:avLst/>
                        </a:prstGeom>
                        <a:noFill/>
                      </wps:spPr>
                      <wps:txbx>
                        <w:txbxContent>
                          <w:p w14:paraId="799DCDC6">
                            <w:pPr>
                              <w:pStyle w:val="15"/>
                              <w:keepNext/>
                              <w:keepLines/>
                              <w:widowControl w:val="0"/>
                              <w:shd w:val="clear" w:color="auto" w:fill="auto"/>
                              <w:bidi w:val="0"/>
                              <w:spacing w:before="0" w:after="0" w:line="240" w:lineRule="auto"/>
                              <w:ind w:left="0" w:right="0" w:firstLine="0"/>
                              <w:jc w:val="left"/>
                            </w:pPr>
                            <w:bookmarkStart w:id="489" w:name="bookmark391"/>
                            <w:bookmarkStart w:id="490" w:name="bookmark392"/>
                            <w:bookmarkStart w:id="491" w:name="bookmark393"/>
                            <w:r>
                              <w:rPr>
                                <w:color w:val="000000"/>
                                <w:spacing w:val="0"/>
                                <w:w w:val="100"/>
                                <w:position w:val="0"/>
                              </w:rPr>
                              <w:t>继续性合同的适用规则</w:t>
                            </w:r>
                            <w:bookmarkEnd w:id="489"/>
                            <w:bookmarkEnd w:id="490"/>
                            <w:bookmarkEnd w:id="491"/>
                          </w:p>
                        </w:txbxContent>
                      </wps:txbx>
                      <wps:bodyPr wrap="none" lIns="0" tIns="0" rIns="0" bIns="0">
                        <a:noAutofit/>
                      </wps:bodyPr>
                    </wps:wsp>
                  </a:graphicData>
                </a:graphic>
              </wp:anchor>
            </w:drawing>
          </mc:Choice>
          <mc:Fallback>
            <w:pict>
              <v:shape id="Shape 875" o:spid="_x0000_s1026" o:spt="202" type="#_x0000_t202" style="position:absolute;left:0pt;margin-left:101.75pt;margin-top:12.3pt;height:18.25pt;width:159.35pt;mso-position-horizontal-relative:page;mso-wrap-distance-bottom:3.35pt;mso-wrap-distance-top:11.3pt;mso-wrap-style:none;z-index:251660288;mso-width-relative:page;mso-height-relative:page;" filled="f" stroked="f" coordsize="21600,21600" o:gfxdata="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7ra/41gAA&#10;AAkBAAAPAAAAAAAAAAEAIAAAACIAAABkcnMvZG93bnJldi54bWxQSwECFAAUAAAACACHTuJAOp0I&#10;T64BAAB0AwAADgAAAAAAAAABACAAAAAlAQAAZHJzL2Uyb0RvYy54bWxQSwUGAAAAAAYABgBZAQAA&#10;RQUAAAAA&#10;">
                <v:fill on="f" focussize="0,0"/>
                <v:stroke on="f"/>
                <v:imagedata o:title=""/>
                <o:lock v:ext="edit" aspectratio="f"/>
                <v:textbox inset="0mm,0mm,0mm,0mm">
                  <w:txbxContent>
                    <w:p w14:paraId="799DCDC6">
                      <w:pPr>
                        <w:pStyle w:val="15"/>
                        <w:keepNext/>
                        <w:keepLines/>
                        <w:widowControl w:val="0"/>
                        <w:shd w:val="clear" w:color="auto" w:fill="auto"/>
                        <w:bidi w:val="0"/>
                        <w:spacing w:before="0" w:after="0" w:line="240" w:lineRule="auto"/>
                        <w:ind w:left="0" w:right="0" w:firstLine="0"/>
                        <w:jc w:val="left"/>
                      </w:pPr>
                      <w:bookmarkStart w:id="489" w:name="bookmark391"/>
                      <w:bookmarkStart w:id="490" w:name="bookmark392"/>
                      <w:bookmarkStart w:id="491" w:name="bookmark393"/>
                      <w:r>
                        <w:rPr>
                          <w:color w:val="000000"/>
                          <w:spacing w:val="0"/>
                          <w:w w:val="100"/>
                          <w:position w:val="0"/>
                        </w:rPr>
                        <w:t>继续性合同的适用规则</w:t>
                      </w:r>
                      <w:bookmarkEnd w:id="489"/>
                      <w:bookmarkEnd w:id="490"/>
                      <w:bookmarkEnd w:id="491"/>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5090160</wp:posOffset>
            </wp:positionH>
            <wp:positionV relativeFrom="paragraph">
              <wp:posOffset>323215</wp:posOffset>
            </wp:positionV>
            <wp:extent cx="579120" cy="554990"/>
            <wp:effectExtent l="0" t="0" r="5080" b="3810"/>
            <wp:wrapSquare wrapText="left"/>
            <wp:docPr id="877" name="Shape 877"/>
            <wp:cNvGraphicFramePr/>
            <a:graphic xmlns:a="http://schemas.openxmlformats.org/drawingml/2006/main">
              <a:graphicData uri="http://schemas.openxmlformats.org/drawingml/2006/picture">
                <pic:pic xmlns:pic="http://schemas.openxmlformats.org/drawingml/2006/picture">
                  <pic:nvPicPr>
                    <pic:cNvPr id="877" name="Shape 877"/>
                    <pic:cNvPicPr/>
                  </pic:nvPicPr>
                  <pic:blipFill>
                    <a:blip r:embed="rId674"/>
                    <a:stretch>
                      <a:fillRect/>
                    </a:stretch>
                  </pic:blipFill>
                  <pic:spPr>
                    <a:xfrm>
                      <a:off x="0" y="0"/>
                      <a:ext cx="579120" cy="554990"/>
                    </a:xfrm>
                    <a:prstGeom prst="rect">
                      <a:avLst/>
                    </a:prstGeom>
                  </pic:spPr>
                </pic:pic>
              </a:graphicData>
            </a:graphic>
          </wp:anchor>
        </w:drawing>
      </w:r>
    </w:p>
    <w:p w14:paraId="2BF4B8AC">
      <w:pPr>
        <w:pStyle w:val="17"/>
        <w:keepNext w:val="0"/>
        <w:keepLines w:val="0"/>
        <w:widowControl w:val="0"/>
        <w:shd w:val="clear" w:color="auto" w:fill="auto"/>
        <w:bidi w:val="0"/>
        <w:spacing w:before="0" w:after="440" w:line="326" w:lineRule="exact"/>
        <w:ind w:left="1020" w:right="0" w:firstLine="0"/>
        <w:jc w:val="left"/>
      </w:pPr>
      <w:r>
        <w:rPr>
          <w:color w:val="000000"/>
          <w:spacing w:val="0"/>
          <w:w w:val="100"/>
          <w:position w:val="0"/>
        </w:rPr>
        <w:t>孙金辉与济南万怡物业服务有限公司物业服务合同纠纷案丨济 南市中级人民法院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鲁</w:t>
      </w:r>
      <w:r>
        <w:rPr>
          <w:rFonts w:ascii="Times New Roman" w:hAnsi="Times New Roman" w:eastAsia="Times New Roman" w:cs="Times New Roman"/>
          <w:color w:val="000000"/>
          <w:spacing w:val="0"/>
          <w:w w:val="100"/>
          <w:position w:val="0"/>
          <w:sz w:val="19"/>
          <w:szCs w:val="19"/>
        </w:rPr>
        <w:t>01</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3323</w:t>
      </w:r>
      <w:r>
        <w:rPr>
          <w:color w:val="000000"/>
          <w:spacing w:val="0"/>
          <w:w w:val="100"/>
          <w:position w:val="0"/>
        </w:rPr>
        <w:t>号民事判决书</w:t>
      </w:r>
    </w:p>
    <w:p w14:paraId="05AE30E4">
      <w:pPr>
        <w:pStyle w:val="17"/>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许中缘中南大学法学院</w:t>
      </w:r>
    </w:p>
    <w:p w14:paraId="1AF6448C">
      <w:pPr>
        <w:pStyle w:val="11"/>
        <w:keepNext w:val="0"/>
        <w:keepLines w:val="0"/>
        <w:widowControl w:val="0"/>
        <w:shd w:val="clear" w:color="auto" w:fill="auto"/>
        <w:bidi w:val="0"/>
        <w:spacing w:before="0" w:after="80" w:line="344"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1BECD3F6">
      <w:pPr>
        <w:pStyle w:val="17"/>
        <w:keepNext w:val="0"/>
        <w:keepLines w:val="0"/>
        <w:widowControl w:val="0"/>
        <w:shd w:val="clear" w:color="auto" w:fill="auto"/>
        <w:bidi w:val="0"/>
        <w:spacing w:before="0" w:after="0" w:line="344" w:lineRule="exact"/>
        <w:ind w:left="0" w:right="0" w:firstLine="42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日，原告万怡物业（甲方）与被告孙金辉（乙方）签订《前期物业服务合 同》，约定:乙方房屋坐落于济南某某小区</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室,房屋建筑面积</w:t>
      </w:r>
      <w:r>
        <w:rPr>
          <w:rFonts w:ascii="Times New Roman" w:hAnsi="Times New Roman" w:eastAsia="Times New Roman" w:cs="Times New Roman"/>
          <w:color w:val="000000"/>
          <w:spacing w:val="0"/>
          <w:w w:val="100"/>
          <w:position w:val="0"/>
          <w:sz w:val="19"/>
          <w:szCs w:val="19"/>
          <w:lang w:val="en-US" w:eastAsia="en-US" w:bidi="en-US"/>
        </w:rPr>
        <w:t>151.64</w:t>
      </w:r>
      <w:r>
        <w:rPr>
          <w:color w:val="000000"/>
          <w:spacing w:val="0"/>
          <w:w w:val="100"/>
          <w:position w:val="0"/>
        </w:rPr>
        <w:t>平方米，甲方向乙方 提供物业服务;乙方住宅区的物业管理服务费按建筑面积每月每平方米</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元标准计算，业主 应于每季度第一个月前</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日内向物业公司预交整个季度的物业服务费。合同签订后，万怡 物业在该小区提供物业服务。因孙金辉未交纳</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日的物 业服务费,万怡物业诉至法院。万怡物业称，孙金辉的物业费为</w:t>
      </w:r>
      <w:r>
        <w:rPr>
          <w:rFonts w:ascii="Times New Roman" w:hAnsi="Times New Roman" w:eastAsia="Times New Roman" w:cs="Times New Roman"/>
          <w:color w:val="000000"/>
          <w:spacing w:val="0"/>
          <w:w w:val="100"/>
          <w:position w:val="0"/>
          <w:sz w:val="19"/>
          <w:szCs w:val="19"/>
        </w:rPr>
        <w:t>9098</w:t>
      </w:r>
      <w:r>
        <w:rPr>
          <w:color w:val="000000"/>
          <w:spacing w:val="0"/>
          <w:w w:val="100"/>
          <w:position w:val="0"/>
        </w:rPr>
        <w:t>元，违约金按照合同约 定，从应付之日起按日支付未支付款项的</w:t>
      </w:r>
      <w:r>
        <w:rPr>
          <w:rFonts w:ascii="Times New Roman" w:hAnsi="Times New Roman" w:eastAsia="Times New Roman" w:cs="Times New Roman"/>
          <w:color w:val="000000"/>
          <w:spacing w:val="0"/>
          <w:w w:val="100"/>
          <w:position w:val="0"/>
          <w:sz w:val="19"/>
          <w:szCs w:val="19"/>
          <w:lang w:val="en-US" w:eastAsia="en-US" w:bidi="en-US"/>
        </w:rPr>
        <w:t xml:space="preserve">0. </w:t>
      </w: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rPr>
        <w:t>,以未支付款项为基数分段计算，截至</w:t>
      </w:r>
      <w:r>
        <w:rPr>
          <w:rFonts w:ascii="Times New Roman" w:hAnsi="Times New Roman" w:eastAsia="Times New Roman" w:cs="Times New Roman"/>
          <w:color w:val="000000"/>
          <w:spacing w:val="0"/>
          <w:w w:val="100"/>
          <w:position w:val="0"/>
          <w:sz w:val="19"/>
          <w:szCs w:val="19"/>
        </w:rPr>
        <w:t xml:space="preserve">2016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日，违约金共计</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万余元，但仅主张</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元。</w:t>
      </w:r>
    </w:p>
    <w:p w14:paraId="2ACDAB4F">
      <w:pPr>
        <w:pStyle w:val="17"/>
        <w:keepNext w:val="0"/>
        <w:keepLines w:val="0"/>
        <w:widowControl w:val="0"/>
        <w:shd w:val="clear" w:color="auto" w:fill="auto"/>
        <w:bidi w:val="0"/>
        <w:spacing w:before="0" w:after="360" w:line="343" w:lineRule="exact"/>
        <w:ind w:left="0" w:right="0" w:firstLine="420"/>
        <w:jc w:val="both"/>
      </w:pPr>
      <w:r>
        <w:rPr>
          <w:color w:val="000000"/>
          <w:spacing w:val="0"/>
          <w:w w:val="100"/>
          <w:position w:val="0"/>
        </w:rPr>
        <w:t xml:space="preserve">审理中，被告认为物业服务合同为继续性合同，适用诉讼时效不应该以整个合同一体 适用,而应该以季度为单位，每个相对独立的履行部分个别计算,分别适用诉讼时效。如果 不从每一笔物业费的拖欠之日起算诉讼时效期间,就意味着被告在物业费拖欠之日不构成 违约，违约金无从产生。被告认为，本案诉讼时效的有效区间应为原告主张其权利之日即 </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日向前两年，即除原告主张的</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日的物业 费之外，其他物业费的请求皆超出诉讼时效,丧失胜诉权。</w:t>
      </w:r>
    </w:p>
    <w:p w14:paraId="5C0EDC0B">
      <w:pPr>
        <w:pStyle w:val="11"/>
        <w:keepNext w:val="0"/>
        <w:keepLines w:val="0"/>
        <w:widowControl w:val="0"/>
        <w:shd w:val="clear" w:color="auto" w:fill="auto"/>
        <w:bidi w:val="0"/>
        <w:spacing w:before="0" w:after="80" w:line="344"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06042335">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驳回上诉，维持原判。</w:t>
      </w:r>
    </w:p>
    <w:p w14:paraId="3A2741B9">
      <w:pPr>
        <w:pStyle w:val="17"/>
        <w:keepNext w:val="0"/>
        <w:keepLines w:val="0"/>
        <w:widowControl w:val="0"/>
        <w:shd w:val="clear" w:color="auto" w:fill="auto"/>
        <w:bidi w:val="0"/>
        <w:spacing w:before="0" w:after="220" w:line="345" w:lineRule="exact"/>
        <w:ind w:left="0" w:right="0" w:firstLine="420"/>
        <w:jc w:val="both"/>
        <w:sectPr>
          <w:headerReference r:id="rId377" w:type="default"/>
          <w:headerReference r:id="rId378" w:type="even"/>
          <w:footnotePr>
            <w:numFmt w:val="chicago"/>
          </w:footnotePr>
          <w:pgSz w:w="10099" w:h="14782"/>
          <w:pgMar w:top="1350" w:right="1081" w:bottom="1067" w:left="1020" w:header="922" w:footer="639" w:gutter="0"/>
          <w:pgNumType w:start="327"/>
          <w:cols w:space="720" w:num="1"/>
          <w:rtlGutter w:val="0"/>
          <w:docGrid w:linePitch="360" w:charSpace="0"/>
        </w:sectPr>
      </w:pPr>
      <w:r>
        <w:rPr>
          <w:color w:val="000000"/>
          <w:spacing w:val="0"/>
          <w:w w:val="100"/>
          <w:position w:val="0"/>
        </w:rPr>
        <w:t>物业服务合同属于继续性合同，物业服务期间内产生的物业费系同一合同项下具有整 体性和关联性的定期给付之债。物业服务合同双方当事人之间具有长期稳定的合同关系, 维系其合同的基础是互相之间的信赖，业主没有支付某一期物业费,物业公司没有及时追 索和主张，并非怠于行使权利，而是基于维护双方间良好的合作关系以及对业主的信任和 谅解。因此，同一物业服务合同中约定的定期给付物业费之债的请求权，诉讼时效期间从 最后一笔物业费履行期限届满之日起算。</w:t>
      </w:r>
    </w:p>
    <w:p w14:paraId="69416B23">
      <w:pPr>
        <w:pStyle w:val="11"/>
        <w:keepNext w:val="0"/>
        <w:keepLines w:val="0"/>
        <w:widowControl w:val="0"/>
        <w:shd w:val="clear" w:color="auto" w:fill="auto"/>
        <w:bidi w:val="0"/>
        <w:spacing w:before="0" w:after="140" w:line="343" w:lineRule="exact"/>
        <w:ind w:left="0" w:right="0" w:firstLine="0"/>
        <w:jc w:val="left"/>
      </w:pPr>
      <w:r>
        <w:rPr>
          <w:color w:val="000000"/>
          <w:spacing w:val="0"/>
          <w:w w:val="100"/>
          <w:position w:val="0"/>
        </w:rPr>
        <w:t>■评析</w:t>
      </w:r>
    </w:p>
    <w:p w14:paraId="3C76FD24">
      <w:pPr>
        <w:pStyle w:val="17"/>
        <w:keepNext w:val="0"/>
        <w:keepLines w:val="0"/>
        <w:widowControl w:val="0"/>
        <w:shd w:val="clear" w:color="auto" w:fill="auto"/>
        <w:bidi w:val="0"/>
        <w:spacing w:before="0" w:after="140" w:line="343"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68FA289E">
      <w:pPr>
        <w:pStyle w:val="17"/>
        <w:keepNext w:val="0"/>
        <w:keepLines w:val="0"/>
        <w:widowControl w:val="0"/>
        <w:shd w:val="clear" w:color="auto" w:fill="auto"/>
        <w:bidi w:val="0"/>
        <w:spacing w:before="0" w:after="180" w:line="342" w:lineRule="exact"/>
        <w:ind w:left="0" w:right="0" w:firstLine="420"/>
        <w:jc w:val="both"/>
      </w:pPr>
      <w:r>
        <w:rPr>
          <w:color w:val="000000"/>
          <w:spacing w:val="0"/>
          <w:w w:val="100"/>
          <w:position w:val="0"/>
        </w:rPr>
        <w:t>本案中，被告辩称物业服务合同适用诉讼时效应以每个相对独立的履行部分个别计 算，分别适用，该答辩意见未得到法院的支持。裁判要旨强调物业服务合同双方之间具有 长期稳定的合同关系，维系其合同的基础是互相之间的信赖，同一物业服务合同中约定的 定期给付物业费之债的请求权，诉讼时效期间从最后一笔物业费履行期限届满之日起算。 本案对于继续性合同的适用规则类案例具有重要的审判指导意义。</w:t>
      </w:r>
    </w:p>
    <w:p w14:paraId="7D48F7F4">
      <w:pPr>
        <w:pStyle w:val="17"/>
        <w:keepNext w:val="0"/>
        <w:keepLines w:val="0"/>
        <w:widowControl w:val="0"/>
        <w:shd w:val="clear" w:color="auto" w:fill="auto"/>
        <w:bidi w:val="0"/>
        <w:spacing w:before="0" w:after="140" w:line="343"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继续性合同的适用规则规范及学理</w:t>
      </w:r>
    </w:p>
    <w:p w14:paraId="5E3F911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以时间因素在合同履行中所处的地位和所起的作用为标准，合同可区分为一时性合同 和继续性合同。一时性合同,是指一次给付便使合同内容实现的合同。继续性合同,是指合 同的内容非一次给付可以完结，而是继续地实现，时间因素在债的履行上居于重要地位，总 给付的内容取决于应为给付时间的长度</w:t>
      </w:r>
      <w:r>
        <w:rPr>
          <w:color w:val="000000"/>
          <w:spacing w:val="0"/>
          <w:w w:val="100"/>
          <w:position w:val="0"/>
          <w:sz w:val="11"/>
          <w:szCs w:val="11"/>
        </w:rPr>
        <w:t>（韩世远:《合同法总论》，法律出版社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 xml:space="preserve">62~63 </w:t>
      </w:r>
      <w:r>
        <w:rPr>
          <w:color w:val="000000"/>
          <w:spacing w:val="0"/>
          <w:w w:val="100"/>
          <w:position w:val="0"/>
          <w:sz w:val="11"/>
          <w:szCs w:val="11"/>
        </w:rPr>
        <w:t>页）。</w:t>
      </w:r>
      <w:r>
        <w:rPr>
          <w:color w:val="000000"/>
          <w:spacing w:val="0"/>
          <w:w w:val="100"/>
          <w:position w:val="0"/>
        </w:rPr>
        <w:t>典型的继续性合同如合伙、租赁、雇佣、委托、保管合同等。我国原《合同法》的理论体 系是以一时性合同为中心构建起来的，排除了劳动合同、保险合同等固有继续性合同，使其 单独立法，雇佣合同等部分继续性合同则被排除在典型合同范围之外。对于一时性合同的 规则不能解决的特殊问题源《合同法》则采用例外规范的技术予以规定。</w:t>
      </w:r>
    </w:p>
    <w:p w14:paraId="47696B2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继续性合同具有三个特征:一是自始欠缺确定的总给付内容，给付时间的长短对合同 总给付的确定具有决定意义;二是合同一般具有无限延续性或不可耗损性;三是合同当事 人之间负有持续尽力义务且具有极强的信赖关系</w:t>
      </w:r>
      <w:r>
        <w:rPr>
          <w:color w:val="000000"/>
          <w:spacing w:val="0"/>
          <w:w w:val="100"/>
          <w:position w:val="0"/>
          <w:sz w:val="11"/>
          <w:szCs w:val="11"/>
        </w:rPr>
        <w:t>（屈茂辉、张红:《继续性合同：基于合同法理与 立法技术的多重考量》，载《中国法学》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r>
        <w:rPr>
          <w:color w:val="000000"/>
          <w:spacing w:val="0"/>
          <w:w w:val="100"/>
          <w:position w:val="0"/>
        </w:rPr>
        <w:t>基于以上特征，继续性合同的适用规则具 有如下特殊性：</w:t>
      </w:r>
    </w:p>
    <w:p w14:paraId="23FA311B">
      <w:pPr>
        <w:pStyle w:val="17"/>
        <w:keepNext w:val="0"/>
        <w:keepLines w:val="0"/>
        <w:widowControl w:val="0"/>
        <w:shd w:val="clear" w:color="auto" w:fill="auto"/>
        <w:bidi w:val="0"/>
        <w:spacing w:before="0" w:after="0" w:line="343" w:lineRule="exact"/>
        <w:ind w:left="0" w:right="0" w:firstLine="420"/>
        <w:jc w:val="both"/>
        <w:rPr>
          <w:sz w:val="11"/>
          <w:szCs w:val="11"/>
        </w:rPr>
      </w:pPr>
      <w:r>
        <w:rPr>
          <w:color w:val="000000"/>
          <w:spacing w:val="0"/>
          <w:w w:val="100"/>
          <w:position w:val="0"/>
          <w:sz w:val="18"/>
          <w:szCs w:val="18"/>
        </w:rPr>
        <w:t>第一，继续性合同的履行规则。继续性合同，在存续期间内其履行呈持续状态,债权关 系并不立即消灭，称为</w:t>
      </w:r>
      <w:r>
        <w:rPr>
          <w:color w:val="000000"/>
          <w:spacing w:val="0"/>
          <w:w w:val="100"/>
          <w:position w:val="0"/>
          <w:sz w:val="18"/>
          <w:szCs w:val="18"/>
          <w:lang w:val="zh-CN" w:eastAsia="zh-CN" w:bidi="zh-CN"/>
        </w:rPr>
        <w:t>“继</w:t>
      </w:r>
      <w:r>
        <w:rPr>
          <w:color w:val="000000"/>
          <w:spacing w:val="0"/>
          <w:w w:val="100"/>
          <w:position w:val="0"/>
          <w:sz w:val="18"/>
          <w:szCs w:val="18"/>
        </w:rPr>
        <w:t>续的给付</w:t>
      </w:r>
      <w:r>
        <w:rPr>
          <w:color w:val="000000"/>
          <w:spacing w:val="0"/>
          <w:w w:val="100"/>
          <w:position w:val="0"/>
          <w:sz w:val="18"/>
          <w:szCs w:val="18"/>
          <w:lang w:val="zh-CN" w:eastAsia="zh-CN" w:bidi="zh-CN"/>
        </w:rPr>
        <w:t>”或者“状</w:t>
      </w:r>
      <w:r>
        <w:rPr>
          <w:color w:val="000000"/>
          <w:spacing w:val="0"/>
          <w:w w:val="100"/>
          <w:position w:val="0"/>
          <w:sz w:val="18"/>
          <w:szCs w:val="18"/>
        </w:rPr>
        <w:t>态给付</w:t>
      </w:r>
      <w:r>
        <w:rPr>
          <w:color w:val="000000"/>
          <w:spacing w:val="0"/>
          <w:w w:val="100"/>
          <w:position w:val="0"/>
          <w:sz w:val="11"/>
          <w:szCs w:val="11"/>
          <w:lang w:val="zh-CN" w:eastAsia="zh-CN" w:bidi="zh-CN"/>
        </w:rPr>
        <w:t>”（韩</w:t>
      </w:r>
      <w:r>
        <w:rPr>
          <w:color w:val="000000"/>
          <w:spacing w:val="0"/>
          <w:w w:val="100"/>
          <w:position w:val="0"/>
          <w:sz w:val="11"/>
          <w:szCs w:val="11"/>
        </w:rPr>
        <w:t>世远:《合同法总论》，法律出版社</w:t>
      </w:r>
      <w:r>
        <w:rPr>
          <w:rFonts w:ascii="Times New Roman" w:hAnsi="Times New Roman" w:eastAsia="Times New Roman" w:cs="Times New Roman"/>
          <w:color w:val="000000"/>
          <w:spacing w:val="0"/>
          <w:w w:val="100"/>
          <w:position w:val="0"/>
          <w:sz w:val="17"/>
          <w:szCs w:val="17"/>
        </w:rPr>
        <w:t xml:space="preserve">2011 </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64</w:t>
      </w:r>
      <w:r>
        <w:rPr>
          <w:color w:val="000000"/>
          <w:spacing w:val="0"/>
          <w:w w:val="100"/>
          <w:position w:val="0"/>
          <w:sz w:val="11"/>
          <w:szCs w:val="11"/>
        </w:rPr>
        <w:t>页）。</w:t>
      </w:r>
      <w:r>
        <w:rPr>
          <w:color w:val="000000"/>
          <w:spacing w:val="0"/>
          <w:w w:val="100"/>
          <w:position w:val="0"/>
          <w:sz w:val="18"/>
          <w:szCs w:val="18"/>
        </w:rPr>
        <w:t>由于继续性合同需要将合同关系持续地维持下去，当事人之间的信赖关系 便成为合同的实质性要素，因此债权债务关系的让与性弱，如《民法典》第</w:t>
      </w:r>
      <w:r>
        <w:rPr>
          <w:rFonts w:ascii="Times New Roman" w:hAnsi="Times New Roman" w:eastAsia="Times New Roman" w:cs="Times New Roman"/>
          <w:color w:val="000000"/>
          <w:spacing w:val="0"/>
          <w:w w:val="100"/>
          <w:position w:val="0"/>
          <w:sz w:val="17"/>
          <w:szCs w:val="17"/>
        </w:rPr>
        <w:t>894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款规 定</w:t>
      </w:r>
      <w:r>
        <w:rPr>
          <w:color w:val="000000"/>
          <w:spacing w:val="0"/>
          <w:w w:val="100"/>
          <w:position w:val="0"/>
          <w:sz w:val="18"/>
          <w:szCs w:val="18"/>
          <w:lang w:val="zh-CN" w:eastAsia="zh-CN" w:bidi="zh-CN"/>
        </w:rPr>
        <w:t>，“保</w:t>
      </w:r>
      <w:r>
        <w:rPr>
          <w:color w:val="000000"/>
          <w:spacing w:val="0"/>
          <w:w w:val="100"/>
          <w:position w:val="0"/>
          <w:sz w:val="18"/>
          <w:szCs w:val="18"/>
        </w:rPr>
        <w:t>管人不得将保管物转交第三人保管，但当事人另有约定的除外”。对于继续性合同 的债务不履行（给付不能、给付延迟、不完全给付及物之瑕疵担保等），原则上应区别</w:t>
      </w:r>
      <w:r>
        <w:rPr>
          <w:color w:val="000000"/>
          <w:spacing w:val="0"/>
          <w:w w:val="100"/>
          <w:position w:val="0"/>
          <w:sz w:val="18"/>
          <w:szCs w:val="18"/>
          <w:lang w:val="zh-CN" w:eastAsia="zh-CN" w:bidi="zh-CN"/>
        </w:rPr>
        <w:t xml:space="preserve">“个别 </w:t>
      </w:r>
      <w:r>
        <w:rPr>
          <w:color w:val="000000"/>
          <w:spacing w:val="0"/>
          <w:w w:val="100"/>
          <w:position w:val="0"/>
          <w:sz w:val="18"/>
          <w:szCs w:val="18"/>
        </w:rPr>
        <w:t>给付</w:t>
      </w:r>
      <w:r>
        <w:rPr>
          <w:color w:val="000000"/>
          <w:spacing w:val="0"/>
          <w:w w:val="100"/>
          <w:position w:val="0"/>
          <w:sz w:val="18"/>
          <w:szCs w:val="18"/>
          <w:lang w:val="zh-CN" w:eastAsia="zh-CN" w:bidi="zh-CN"/>
        </w:rPr>
        <w:t>”和“</w:t>
      </w:r>
      <w:r>
        <w:rPr>
          <w:color w:val="000000"/>
          <w:spacing w:val="0"/>
          <w:w w:val="100"/>
          <w:position w:val="0"/>
          <w:sz w:val="18"/>
          <w:szCs w:val="18"/>
        </w:rPr>
        <w:t>整个合同”。对于</w:t>
      </w:r>
      <w:r>
        <w:rPr>
          <w:color w:val="000000"/>
          <w:spacing w:val="0"/>
          <w:w w:val="100"/>
          <w:position w:val="0"/>
          <w:sz w:val="18"/>
          <w:szCs w:val="18"/>
          <w:lang w:val="zh-CN" w:eastAsia="zh-CN" w:bidi="zh-CN"/>
        </w:rPr>
        <w:t>“个</w:t>
      </w:r>
      <w:r>
        <w:rPr>
          <w:color w:val="000000"/>
          <w:spacing w:val="0"/>
          <w:w w:val="100"/>
          <w:position w:val="0"/>
          <w:sz w:val="18"/>
          <w:szCs w:val="18"/>
        </w:rPr>
        <w:t>别给付</w:t>
      </w:r>
      <w:r>
        <w:rPr>
          <w:color w:val="000000"/>
          <w:spacing w:val="0"/>
          <w:w w:val="100"/>
          <w:position w:val="0"/>
          <w:sz w:val="18"/>
          <w:szCs w:val="18"/>
          <w:lang w:val="zh-CN" w:eastAsia="zh-CN" w:bidi="zh-CN"/>
        </w:rPr>
        <w:t>”，原</w:t>
      </w:r>
      <w:r>
        <w:rPr>
          <w:color w:val="000000"/>
          <w:spacing w:val="0"/>
          <w:w w:val="100"/>
          <w:position w:val="0"/>
          <w:sz w:val="18"/>
          <w:szCs w:val="18"/>
        </w:rPr>
        <w:t>则上可直接适用原《合同法》或相关法律有关违 约责任等的规定;对于</w:t>
      </w:r>
      <w:r>
        <w:rPr>
          <w:color w:val="000000"/>
          <w:spacing w:val="0"/>
          <w:w w:val="100"/>
          <w:position w:val="0"/>
          <w:sz w:val="18"/>
          <w:szCs w:val="18"/>
          <w:lang w:val="zh-CN" w:eastAsia="zh-CN" w:bidi="zh-CN"/>
        </w:rPr>
        <w:t>“整</w:t>
      </w:r>
      <w:r>
        <w:rPr>
          <w:color w:val="000000"/>
          <w:spacing w:val="0"/>
          <w:w w:val="100"/>
          <w:position w:val="0"/>
          <w:sz w:val="18"/>
          <w:szCs w:val="18"/>
        </w:rPr>
        <w:t>个合同</w:t>
      </w:r>
      <w:r>
        <w:rPr>
          <w:color w:val="000000"/>
          <w:spacing w:val="0"/>
          <w:w w:val="100"/>
          <w:position w:val="0"/>
          <w:sz w:val="18"/>
          <w:szCs w:val="18"/>
          <w:lang w:val="zh-CN" w:eastAsia="zh-CN" w:bidi="zh-CN"/>
        </w:rPr>
        <w:t>”，仅</w:t>
      </w:r>
      <w:r>
        <w:rPr>
          <w:color w:val="000000"/>
          <w:spacing w:val="0"/>
          <w:w w:val="100"/>
          <w:position w:val="0"/>
          <w:sz w:val="18"/>
          <w:szCs w:val="18"/>
        </w:rPr>
        <w:t>能终止合同，即解除时使过去的给付保持效力，避免 法律关系趋于复杂</w:t>
      </w:r>
      <w:r>
        <w:rPr>
          <w:color w:val="000000"/>
          <w:spacing w:val="0"/>
          <w:w w:val="100"/>
          <w:position w:val="0"/>
          <w:sz w:val="11"/>
          <w:szCs w:val="11"/>
        </w:rPr>
        <w:t>（王泽鉴:《债法原理》，北京大学出版社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年版）。</w:t>
      </w:r>
    </w:p>
    <w:p w14:paraId="5610EB39">
      <w:pPr>
        <w:pStyle w:val="17"/>
        <w:keepNext w:val="0"/>
        <w:keepLines w:val="0"/>
        <w:widowControl w:val="0"/>
        <w:shd w:val="clear" w:color="auto" w:fill="auto"/>
        <w:bidi w:val="0"/>
        <w:spacing w:before="0" w:after="0" w:line="343" w:lineRule="exact"/>
        <w:ind w:left="0" w:right="0" w:firstLine="420"/>
        <w:jc w:val="both"/>
        <w:sectPr>
          <w:headerReference r:id="rId379" w:type="default"/>
          <w:headerReference r:id="rId380" w:type="even"/>
          <w:footnotePr>
            <w:numFmt w:val="chicago"/>
          </w:footnotePr>
          <w:pgSz w:w="10099" w:h="14782"/>
          <w:pgMar w:top="1350" w:right="1081" w:bottom="1067" w:left="1020" w:header="0" w:footer="639" w:gutter="0"/>
          <w:pgNumType w:start="312"/>
          <w:cols w:space="720" w:num="1"/>
          <w:rtlGutter w:val="0"/>
          <w:docGrid w:linePitch="360" w:charSpace="0"/>
        </w:sectPr>
      </w:pPr>
      <w:r>
        <w:rPr>
          <w:color w:val="000000"/>
          <w:spacing w:val="0"/>
          <w:w w:val="100"/>
          <w:position w:val="0"/>
        </w:rPr>
        <w:t xml:space="preserve">第二，继续性合同的解除规则。一时性合同严格贯彻合同严守原则，解除权产生的原 因较少。继续性合同却与此不同，一方面,由于继续性合同存续期间长，继续性合同由一个 整体的合同来固定双方大概的合同权利义务,并随着时间的推移而产生新的权利义务。这 样一来，每一个时间推移所产生的新的权利义务就具有相对独立性,构成一个相对独立的 </w:t>
      </w:r>
    </w:p>
    <w:p w14:paraId="103F96EF">
      <w:pPr>
        <w:pStyle w:val="17"/>
        <w:keepNext w:val="0"/>
        <w:keepLines w:val="0"/>
        <w:widowControl w:val="0"/>
        <w:shd w:val="clear" w:color="auto" w:fill="auto"/>
        <w:bidi w:val="0"/>
        <w:spacing w:before="0" w:after="0" w:line="343" w:lineRule="exact"/>
        <w:ind w:left="0" w:right="0" w:firstLine="0"/>
        <w:jc w:val="both"/>
        <w:rPr>
          <w:sz w:val="11"/>
          <w:szCs w:val="11"/>
        </w:rPr>
      </w:pPr>
      <w:r>
        <w:rPr>
          <w:color w:val="000000"/>
          <w:spacing w:val="0"/>
          <w:w w:val="100"/>
          <w:position w:val="0"/>
          <w:sz w:val="18"/>
          <w:szCs w:val="18"/>
        </w:rPr>
        <w:t>债权债务;另一方面，继续性合同特别重视信赖基础，信赖基础一旦丧失，或因其他特殊事 由难以期盼当事人继续维持这种结合关系时，法律宜允许一方当事人有权解除合同</w:t>
      </w:r>
      <w:r>
        <w:rPr>
          <w:color w:val="000000"/>
          <w:spacing w:val="0"/>
          <w:w w:val="100"/>
          <w:position w:val="0"/>
          <w:sz w:val="11"/>
          <w:szCs w:val="11"/>
        </w:rPr>
        <w:t>［崔建 远:《合同法》（第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35</w:t>
      </w:r>
      <w:r>
        <w:rPr>
          <w:color w:val="000000"/>
          <w:spacing w:val="0"/>
          <w:w w:val="100"/>
          <w:position w:val="0"/>
          <w:sz w:val="11"/>
          <w:szCs w:val="11"/>
        </w:rPr>
        <w:t>页］。</w:t>
      </w:r>
      <w:r>
        <w:rPr>
          <w:color w:val="000000"/>
          <w:spacing w:val="0"/>
          <w:w w:val="100"/>
          <w:position w:val="0"/>
          <w:sz w:val="18"/>
          <w:szCs w:val="18"/>
        </w:rPr>
        <w:t>值得注意的是，《民法典》第</w:t>
      </w:r>
      <w:r>
        <w:rPr>
          <w:rFonts w:ascii="Times New Roman" w:hAnsi="Times New Roman" w:eastAsia="Times New Roman" w:cs="Times New Roman"/>
          <w:color w:val="000000"/>
          <w:spacing w:val="0"/>
          <w:w w:val="100"/>
          <w:position w:val="0"/>
          <w:sz w:val="19"/>
          <w:szCs w:val="19"/>
        </w:rPr>
        <w:t>562</w:t>
      </w:r>
      <w:r>
        <w:rPr>
          <w:color w:val="000000"/>
          <w:spacing w:val="0"/>
          <w:w w:val="100"/>
          <w:position w:val="0"/>
          <w:sz w:val="18"/>
          <w:szCs w:val="18"/>
        </w:rPr>
        <w:t>条对 不定期继续性合同的随时终止作出了一般性规定。此外,继续性合同也适用原《合同法》 “总则</w:t>
      </w:r>
      <w:r>
        <w:rPr>
          <w:color w:val="000000"/>
          <w:spacing w:val="0"/>
          <w:w w:val="100"/>
          <w:position w:val="0"/>
          <w:sz w:val="18"/>
          <w:szCs w:val="18"/>
          <w:lang w:val="zh-CN" w:eastAsia="zh-CN" w:bidi="zh-CN"/>
        </w:rPr>
        <w:t>”中</w:t>
      </w:r>
      <w:r>
        <w:rPr>
          <w:color w:val="000000"/>
          <w:spacing w:val="0"/>
          <w:w w:val="100"/>
          <w:position w:val="0"/>
          <w:sz w:val="18"/>
          <w:szCs w:val="18"/>
        </w:rPr>
        <w:t>的解除规则，如合意解除（《合同法》第</w:t>
      </w:r>
      <w:r>
        <w:rPr>
          <w:rFonts w:ascii="Times New Roman" w:hAnsi="Times New Roman" w:eastAsia="Times New Roman" w:cs="Times New Roman"/>
          <w:color w:val="000000"/>
          <w:spacing w:val="0"/>
          <w:w w:val="100"/>
          <w:position w:val="0"/>
          <w:sz w:val="19"/>
          <w:szCs w:val="19"/>
        </w:rPr>
        <w:t>93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款，《民法典》第</w:t>
      </w:r>
      <w:r>
        <w:rPr>
          <w:rFonts w:ascii="Times New Roman" w:hAnsi="Times New Roman" w:eastAsia="Times New Roman" w:cs="Times New Roman"/>
          <w:color w:val="000000"/>
          <w:spacing w:val="0"/>
          <w:w w:val="100"/>
          <w:position w:val="0"/>
          <w:sz w:val="19"/>
          <w:szCs w:val="19"/>
        </w:rPr>
        <w:t>562</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 约定解除（《合同法》第</w:t>
      </w:r>
      <w:r>
        <w:rPr>
          <w:rFonts w:ascii="Times New Roman" w:hAnsi="Times New Roman" w:eastAsia="Times New Roman" w:cs="Times New Roman"/>
          <w:color w:val="000000"/>
          <w:spacing w:val="0"/>
          <w:w w:val="100"/>
          <w:position w:val="0"/>
          <w:sz w:val="19"/>
          <w:szCs w:val="19"/>
        </w:rPr>
        <w:t>93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款，《民法典》第</w:t>
      </w:r>
      <w:r>
        <w:rPr>
          <w:rFonts w:ascii="Times New Roman" w:hAnsi="Times New Roman" w:eastAsia="Times New Roman" w:cs="Times New Roman"/>
          <w:color w:val="000000"/>
          <w:spacing w:val="0"/>
          <w:w w:val="100"/>
          <w:position w:val="0"/>
          <w:sz w:val="19"/>
          <w:szCs w:val="19"/>
        </w:rPr>
        <w:t>562</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款）、因不可抗力之法定解除 （《合同法》第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项，《民法典》第</w:t>
      </w:r>
      <w:r>
        <w:rPr>
          <w:rFonts w:ascii="Times New Roman" w:hAnsi="Times New Roman" w:eastAsia="Times New Roman" w:cs="Times New Roman"/>
          <w:color w:val="000000"/>
          <w:spacing w:val="0"/>
          <w:w w:val="100"/>
          <w:position w:val="0"/>
          <w:sz w:val="19"/>
          <w:szCs w:val="19"/>
        </w:rPr>
        <w:t>563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项）、因违约之法定解除（《合同法》第</w:t>
      </w:r>
      <w:r>
        <w:rPr>
          <w:rFonts w:ascii="Times New Roman" w:hAnsi="Times New Roman" w:eastAsia="Times New Roman" w:cs="Times New Roman"/>
          <w:color w:val="000000"/>
          <w:spacing w:val="0"/>
          <w:w w:val="100"/>
          <w:position w:val="0"/>
          <w:sz w:val="19"/>
          <w:szCs w:val="19"/>
        </w:rPr>
        <w:t xml:space="preserve">94 </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项，《民法典》第</w:t>
      </w:r>
      <w:r>
        <w:rPr>
          <w:rFonts w:ascii="Times New Roman" w:hAnsi="Times New Roman" w:eastAsia="Times New Roman" w:cs="Times New Roman"/>
          <w:color w:val="000000"/>
          <w:spacing w:val="0"/>
          <w:w w:val="100"/>
          <w:position w:val="0"/>
          <w:sz w:val="19"/>
          <w:szCs w:val="19"/>
        </w:rPr>
        <w:t>563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款）；此外,还有因情事变更之司法解除（最高人民 法院《关于适用〈中华人民共和国合同法〉若干问题的解释（二）》［法释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 xml:space="preserve">26 </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9"/>
          <w:szCs w:val="19"/>
        </w:rPr>
        <w:t>533</w:t>
      </w:r>
      <w:r>
        <w:rPr>
          <w:color w:val="000000"/>
          <w:spacing w:val="0"/>
          <w:w w:val="100"/>
          <w:position w:val="0"/>
          <w:sz w:val="18"/>
          <w:szCs w:val="18"/>
        </w:rPr>
        <w:t>条）。但需要注意的是,“总则</w:t>
      </w:r>
      <w:r>
        <w:rPr>
          <w:color w:val="000000"/>
          <w:spacing w:val="0"/>
          <w:w w:val="100"/>
          <w:position w:val="0"/>
          <w:sz w:val="18"/>
          <w:szCs w:val="18"/>
          <w:lang w:val="zh-CN" w:eastAsia="zh-CN" w:bidi="zh-CN"/>
        </w:rPr>
        <w:t>”中关</w:t>
      </w:r>
      <w:r>
        <w:rPr>
          <w:color w:val="000000"/>
          <w:spacing w:val="0"/>
          <w:w w:val="100"/>
          <w:position w:val="0"/>
          <w:sz w:val="18"/>
          <w:szCs w:val="18"/>
        </w:rPr>
        <w:t>于解除规则的设定,事实上多以一 时性合同为典型，对于继续性合同本身的特殊性关注不足</w:t>
      </w:r>
      <w:r>
        <w:rPr>
          <w:color w:val="000000"/>
          <w:spacing w:val="0"/>
          <w:w w:val="100"/>
          <w:position w:val="0"/>
          <w:sz w:val="11"/>
          <w:szCs w:val="11"/>
        </w:rPr>
        <w:t>（韩世远:《继续性合同的解除:违约方 解除抑或重大事由解除》，载《中外法学》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p>
    <w:p w14:paraId="337824FA">
      <w:pPr>
        <w:pStyle w:val="17"/>
        <w:keepNext w:val="0"/>
        <w:keepLines w:val="0"/>
        <w:widowControl w:val="0"/>
        <w:shd w:val="clear" w:color="auto" w:fill="auto"/>
        <w:bidi w:val="0"/>
        <w:spacing w:before="0" w:after="0" w:line="341" w:lineRule="exact"/>
        <w:ind w:left="0" w:right="0" w:firstLine="420"/>
        <w:jc w:val="both"/>
        <w:rPr>
          <w:sz w:val="11"/>
          <w:szCs w:val="11"/>
        </w:rPr>
      </w:pPr>
      <w:r>
        <w:rPr>
          <w:color w:val="000000"/>
          <w:spacing w:val="0"/>
          <w:w w:val="100"/>
          <w:position w:val="0"/>
          <w:sz w:val="18"/>
          <w:szCs w:val="18"/>
        </w:rPr>
        <w:t>第三，继续性合同的解除效力。《民法典》第</w:t>
      </w:r>
      <w:r>
        <w:rPr>
          <w:rFonts w:ascii="Times New Roman" w:hAnsi="Times New Roman" w:eastAsia="Times New Roman" w:cs="Times New Roman"/>
          <w:color w:val="000000"/>
          <w:spacing w:val="0"/>
          <w:w w:val="100"/>
          <w:position w:val="0"/>
          <w:sz w:val="19"/>
          <w:szCs w:val="19"/>
        </w:rPr>
        <w:t>566</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款部分延续了原《合同法》第</w:t>
      </w:r>
      <w:r>
        <w:rPr>
          <w:rFonts w:ascii="Times New Roman" w:hAnsi="Times New Roman" w:eastAsia="Times New Roman" w:cs="Times New Roman"/>
          <w:color w:val="000000"/>
          <w:spacing w:val="0"/>
          <w:w w:val="100"/>
          <w:position w:val="0"/>
          <w:sz w:val="19"/>
          <w:szCs w:val="19"/>
        </w:rPr>
        <w:t xml:space="preserve">97 </w:t>
      </w:r>
      <w:r>
        <w:rPr>
          <w:color w:val="000000"/>
          <w:spacing w:val="0"/>
          <w:w w:val="100"/>
          <w:position w:val="0"/>
          <w:sz w:val="18"/>
          <w:szCs w:val="18"/>
        </w:rPr>
        <w:t>条的规定。艮卩</w:t>
      </w:r>
      <w:r>
        <w:rPr>
          <w:color w:val="000000"/>
          <w:spacing w:val="0"/>
          <w:w w:val="100"/>
          <w:position w:val="0"/>
          <w:sz w:val="18"/>
          <w:szCs w:val="18"/>
          <w:lang w:val="zh-CN" w:eastAsia="zh-CN" w:bidi="zh-CN"/>
        </w:rPr>
        <w:t>“合同</w:t>
      </w:r>
      <w:r>
        <w:rPr>
          <w:color w:val="000000"/>
          <w:spacing w:val="0"/>
          <w:w w:val="100"/>
          <w:position w:val="0"/>
          <w:sz w:val="18"/>
          <w:szCs w:val="18"/>
        </w:rPr>
        <w:t>解除后，尚未履行的，终止履行；已经履行的，根据履行情况和合同性 质,当事人可以请求恢复原状或者采取其他补救措施，并有权要求赔偿损失”。学界通说认 为，根据</w:t>
      </w:r>
      <w:r>
        <w:rPr>
          <w:color w:val="000000"/>
          <w:spacing w:val="0"/>
          <w:w w:val="100"/>
          <w:position w:val="0"/>
          <w:sz w:val="18"/>
          <w:szCs w:val="18"/>
          <w:lang w:val="zh-CN" w:eastAsia="zh-CN" w:bidi="zh-CN"/>
        </w:rPr>
        <w:t>“合同</w:t>
      </w:r>
      <w:r>
        <w:rPr>
          <w:color w:val="000000"/>
          <w:spacing w:val="0"/>
          <w:w w:val="100"/>
          <w:position w:val="0"/>
          <w:sz w:val="18"/>
          <w:szCs w:val="18"/>
        </w:rPr>
        <w:t>的性质</w:t>
      </w:r>
      <w:r>
        <w:rPr>
          <w:color w:val="000000"/>
          <w:spacing w:val="0"/>
          <w:w w:val="100"/>
          <w:position w:val="0"/>
          <w:sz w:val="18"/>
          <w:szCs w:val="18"/>
          <w:lang w:val="zh-CN" w:eastAsia="zh-CN" w:bidi="zh-CN"/>
        </w:rPr>
        <w:t>”，继</w:t>
      </w:r>
      <w:r>
        <w:rPr>
          <w:color w:val="000000"/>
          <w:spacing w:val="0"/>
          <w:w w:val="100"/>
          <w:position w:val="0"/>
          <w:sz w:val="18"/>
          <w:szCs w:val="18"/>
        </w:rPr>
        <w:t>续性合同被解除后，或无恢复原状的可能性，或不宜恢复原状，故 通常不生恢复原状义务问题</w:t>
      </w:r>
      <w:r>
        <w:rPr>
          <w:color w:val="000000"/>
          <w:spacing w:val="0"/>
          <w:w w:val="100"/>
          <w:position w:val="0"/>
          <w:sz w:val="11"/>
          <w:szCs w:val="11"/>
        </w:rPr>
        <w:t>（韩世远:《继续性合同的解除:违约方解除抑或重大事由解除》，载《中 外法学》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p>
    <w:p w14:paraId="70913DE2">
      <w:pPr>
        <w:pStyle w:val="17"/>
        <w:keepNext w:val="0"/>
        <w:keepLines w:val="0"/>
        <w:widowControl w:val="0"/>
        <w:shd w:val="clear" w:color="auto" w:fill="auto"/>
        <w:bidi w:val="0"/>
        <w:spacing w:before="0" w:after="300" w:line="341" w:lineRule="exact"/>
        <w:ind w:left="0" w:right="0" w:firstLine="420"/>
        <w:jc w:val="both"/>
        <w:rPr>
          <w:sz w:val="11"/>
          <w:szCs w:val="11"/>
        </w:rPr>
      </w:pPr>
      <w:r>
        <w:rPr>
          <w:color w:val="000000"/>
          <w:spacing w:val="0"/>
          <w:w w:val="100"/>
          <w:position w:val="0"/>
          <w:sz w:val="18"/>
          <w:szCs w:val="18"/>
        </w:rPr>
        <w:t>第四,继续性合同适用诉讼时效的问题。继续性合同在本质上可以分解成若干</w:t>
      </w:r>
      <w:r>
        <w:rPr>
          <w:color w:val="000000"/>
          <w:spacing w:val="0"/>
          <w:w w:val="100"/>
          <w:position w:val="0"/>
          <w:sz w:val="18"/>
          <w:szCs w:val="18"/>
          <w:lang w:val="zh-CN" w:eastAsia="zh-CN" w:bidi="zh-CN"/>
        </w:rPr>
        <w:t xml:space="preserve">“个别 </w:t>
      </w:r>
      <w:r>
        <w:rPr>
          <w:color w:val="000000"/>
          <w:spacing w:val="0"/>
          <w:w w:val="100"/>
          <w:position w:val="0"/>
          <w:sz w:val="18"/>
          <w:szCs w:val="18"/>
        </w:rPr>
        <w:t>给付”，具有某种程度经济上及法律上的独立性</w:t>
      </w:r>
      <w:r>
        <w:rPr>
          <w:color w:val="000000"/>
          <w:spacing w:val="0"/>
          <w:w w:val="100"/>
          <w:position w:val="0"/>
          <w:sz w:val="11"/>
          <w:szCs w:val="11"/>
        </w:rPr>
        <w:t xml:space="preserve">（王文军:《论继续性合同的解除》，载《法商研究》 </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期）。继续性合同的解除不具有溯及力也印证了这一点。本案中，法院认定争议 的物业费为定期给付之债。但我国现行法律规范只对分期给付之债诉讼时效的起算点作 岀了规定，对于定期给付之债，学界也存在较大争议</w:t>
      </w:r>
      <w:r>
        <w:rPr>
          <w:color w:val="000000"/>
          <w:spacing w:val="0"/>
          <w:w w:val="100"/>
          <w:position w:val="0"/>
          <w:sz w:val="11"/>
          <w:szCs w:val="11"/>
        </w:rPr>
        <w:t>（关于定期给付债务诉讼时效问题，参见本判 例百选第</w:t>
      </w:r>
      <w:r>
        <w:rPr>
          <w:rFonts w:ascii="Times New Roman" w:hAnsi="Times New Roman" w:eastAsia="Times New Roman" w:cs="Times New Roman"/>
          <w:color w:val="000000"/>
          <w:spacing w:val="0"/>
          <w:w w:val="100"/>
          <w:position w:val="0"/>
          <w:sz w:val="17"/>
          <w:szCs w:val="17"/>
        </w:rPr>
        <w:t>26</w:t>
      </w:r>
      <w:r>
        <w:rPr>
          <w:color w:val="000000"/>
          <w:spacing w:val="0"/>
          <w:w w:val="100"/>
          <w:position w:val="0"/>
          <w:sz w:val="11"/>
          <w:szCs w:val="11"/>
        </w:rPr>
        <w:t>号案例）。</w:t>
      </w:r>
      <w:r>
        <w:rPr>
          <w:color w:val="000000"/>
          <w:spacing w:val="0"/>
          <w:w w:val="100"/>
          <w:position w:val="0"/>
          <w:sz w:val="18"/>
          <w:szCs w:val="18"/>
        </w:rPr>
        <w:t>一是认为定期给付债务在合同履行过程中具有双务性,各期债务具有 独立性，应当分别起算诉讼时效;二是认为以信赖关系为基础，权利人基于对同一合同项下 的同一性质的债权最后履行期限的合理信赖，也同样存在为维护合作关系而不在每一笔债 务履行期限届满后立即主张权利的情形，尤其是在履行期限较短的情况下，应当从最后一 期履行期间届满之日起算诉讼时效</w:t>
      </w:r>
      <w:r>
        <w:rPr>
          <w:color w:val="000000"/>
          <w:spacing w:val="0"/>
          <w:w w:val="100"/>
          <w:position w:val="0"/>
          <w:sz w:val="11"/>
          <w:szCs w:val="11"/>
        </w:rPr>
        <w:t>（最高人民法院民事审判第二庭编著:《最高人民法院关于民事 案件诉讼时效司法解释理解与适用》，人民法院出版社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sz w:val="11"/>
          <w:szCs w:val="11"/>
        </w:rPr>
        <w:t>页）。</w:t>
      </w:r>
      <w:r>
        <w:rPr>
          <w:color w:val="000000"/>
          <w:spacing w:val="0"/>
          <w:w w:val="100"/>
          <w:position w:val="0"/>
          <w:sz w:val="18"/>
          <w:szCs w:val="18"/>
        </w:rPr>
        <w:t>此外，还有观点认为， 无论是分期给付之债，还是定期给付之债，诉讼时效期间起算的关键都在于分期履行的债 务是否具有独立性。在确定分期履行之债是否可分时,应采取多视角的综合性评析标准, 从给付本身性质、债的履行目的、法律价值取向等方面作出合理判断</w:t>
      </w:r>
      <w:r>
        <w:rPr>
          <w:color w:val="000000"/>
          <w:spacing w:val="0"/>
          <w:w w:val="100"/>
          <w:position w:val="0"/>
          <w:sz w:val="11"/>
          <w:szCs w:val="11"/>
        </w:rPr>
        <w:t>（冯恺:《分期履行之债的 诉讼时效适用基础——请求权的可分性分析》，载《法律科学》</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p>
    <w:p w14:paraId="06674D5A">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既有司法实践状况</w:t>
      </w:r>
    </w:p>
    <w:p w14:paraId="25A99DA0">
      <w:pPr>
        <w:pStyle w:val="17"/>
        <w:keepNext w:val="0"/>
        <w:keepLines w:val="0"/>
        <w:widowControl w:val="0"/>
        <w:shd w:val="clear" w:color="auto" w:fill="auto"/>
        <w:bidi w:val="0"/>
        <w:spacing w:before="0" w:after="0" w:line="341" w:lineRule="exact"/>
        <w:ind w:left="0" w:right="0"/>
        <w:jc w:val="both"/>
        <w:sectPr>
          <w:headerReference r:id="rId381" w:type="default"/>
          <w:headerReference r:id="rId382" w:type="even"/>
          <w:footnotePr>
            <w:numFmt w:val="chicago"/>
          </w:footnotePr>
          <w:pgSz w:w="10099" w:h="14782"/>
          <w:pgMar w:top="1350" w:right="1081" w:bottom="1067" w:left="1020" w:header="0" w:footer="639" w:gutter="0"/>
          <w:pgNumType w:start="329"/>
          <w:cols w:space="720" w:num="1"/>
          <w:rtlGutter w:val="0"/>
          <w:docGrid w:linePitch="360" w:charSpace="0"/>
        </w:sectPr>
      </w:pPr>
      <w:r>
        <w:rPr>
          <w:color w:val="000000"/>
          <w:spacing w:val="0"/>
          <w:w w:val="100"/>
          <w:position w:val="0"/>
        </w:rPr>
        <w:t xml:space="preserve">既有司法实践对于继续性合同解除效力的司法态度基本一致。一般认为，合同解除后 </w:t>
      </w:r>
    </w:p>
    <w:p w14:paraId="6CEB9841">
      <w:pPr>
        <w:pStyle w:val="17"/>
        <w:keepNext w:val="0"/>
        <w:keepLines w:val="0"/>
        <w:widowControl w:val="0"/>
        <w:shd w:val="clear" w:color="auto" w:fill="auto"/>
        <w:bidi w:val="0"/>
        <w:spacing w:before="0" w:after="0" w:line="341" w:lineRule="exact"/>
        <w:ind w:left="0" w:right="0" w:firstLine="0"/>
        <w:jc w:val="both"/>
        <w:rPr>
          <w:sz w:val="17"/>
          <w:szCs w:val="17"/>
        </w:rPr>
      </w:pPr>
      <w:r>
        <w:rPr>
          <w:color w:val="000000"/>
          <w:spacing w:val="0"/>
          <w:w w:val="100"/>
          <w:position w:val="0"/>
          <w:sz w:val="18"/>
          <w:szCs w:val="18"/>
        </w:rPr>
        <w:t>发生效力终止的法律后果,但继续性合同的解除不具有溯及力，合同解除之前应当履行的 给付义务仍应按约履行。如</w:t>
      </w:r>
      <w:r>
        <w:rPr>
          <w:color w:val="000000"/>
          <w:spacing w:val="0"/>
          <w:w w:val="100"/>
          <w:position w:val="0"/>
          <w:sz w:val="18"/>
          <w:szCs w:val="18"/>
          <w:lang w:val="zh-CN" w:eastAsia="zh-CN" w:bidi="zh-CN"/>
        </w:rPr>
        <w:t>“宜昌</w:t>
      </w:r>
      <w:r>
        <w:rPr>
          <w:color w:val="000000"/>
          <w:spacing w:val="0"/>
          <w:w w:val="100"/>
          <w:position w:val="0"/>
          <w:sz w:val="18"/>
          <w:szCs w:val="18"/>
        </w:rPr>
        <w:t>市夷陵区龙泉镇龙泉村村民委员会、王银荣土地租赁合 同纠纷案”</w:t>
      </w:r>
      <w:r>
        <w:rPr>
          <w:color w:val="000000"/>
          <w:spacing w:val="0"/>
          <w:w w:val="100"/>
          <w:position w:val="0"/>
          <w:sz w:val="11"/>
          <w:szCs w:val="11"/>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最高法民申</w:t>
      </w:r>
      <w:r>
        <w:rPr>
          <w:rFonts w:ascii="Times New Roman" w:hAnsi="Times New Roman" w:eastAsia="Times New Roman" w:cs="Times New Roman"/>
          <w:color w:val="000000"/>
          <w:spacing w:val="0"/>
          <w:w w:val="100"/>
          <w:position w:val="0"/>
          <w:sz w:val="17"/>
          <w:szCs w:val="17"/>
        </w:rPr>
        <w:t>2869</w:t>
      </w:r>
      <w:r>
        <w:rPr>
          <w:color w:val="000000"/>
          <w:spacing w:val="0"/>
          <w:w w:val="100"/>
          <w:position w:val="0"/>
          <w:sz w:val="11"/>
          <w:szCs w:val="11"/>
        </w:rPr>
        <w:t>号民事裁定书］中</w:t>
      </w:r>
      <w:r>
        <w:rPr>
          <w:color w:val="000000"/>
          <w:spacing w:val="0"/>
          <w:w w:val="100"/>
          <w:position w:val="0"/>
          <w:sz w:val="18"/>
          <w:szCs w:val="18"/>
        </w:rPr>
        <w:t>，法院认为：</w:t>
      </w:r>
      <w:r>
        <w:rPr>
          <w:color w:val="000000"/>
          <w:spacing w:val="0"/>
          <w:w w:val="100"/>
          <w:position w:val="0"/>
          <w:sz w:val="18"/>
          <w:szCs w:val="18"/>
          <w:lang w:val="zh-CN" w:eastAsia="zh-CN" w:bidi="zh-CN"/>
        </w:rPr>
        <w:t>“案</w:t>
      </w:r>
      <w:r>
        <w:rPr>
          <w:color w:val="000000"/>
          <w:spacing w:val="0"/>
          <w:w w:val="100"/>
          <w:position w:val="0"/>
          <w:sz w:val="18"/>
          <w:szCs w:val="18"/>
        </w:rPr>
        <w:t>涉合同作为 继续性合同,其解除原则上并不具有溯及力，申请人要求将被申请人占有经营期间的收益 予以返还或者抵充损失,据理不足</w:t>
      </w:r>
      <w:r>
        <w:rPr>
          <w:rFonts w:ascii="Times New Roman" w:hAnsi="Times New Roman" w:eastAsia="Times New Roman" w:cs="Times New Roman"/>
          <w:color w:val="000000"/>
          <w:spacing w:val="0"/>
          <w:w w:val="100"/>
          <w:position w:val="0"/>
          <w:sz w:val="17"/>
          <w:szCs w:val="17"/>
          <w:lang w:val="en-US" w:eastAsia="en-US" w:bidi="en-US"/>
        </w:rPr>
        <w:t xml:space="preserve">o </w:t>
      </w:r>
      <w:r>
        <w:rPr>
          <w:rFonts w:ascii="Times New Roman" w:hAnsi="Times New Roman" w:eastAsia="Times New Roman" w:cs="Times New Roman"/>
          <w:color w:val="000000"/>
          <w:spacing w:val="0"/>
          <w:w w:val="100"/>
          <w:position w:val="0"/>
          <w:sz w:val="17"/>
          <w:szCs w:val="17"/>
        </w:rPr>
        <w:t>”</w:t>
      </w:r>
    </w:p>
    <w:p w14:paraId="6A42C258">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既有司法实践对于继续性合同的解除规则存在诸多争议判决，如</w:t>
      </w:r>
      <w:r>
        <w:rPr>
          <w:color w:val="000000"/>
          <w:spacing w:val="0"/>
          <w:w w:val="100"/>
          <w:position w:val="0"/>
          <w:lang w:val="zh-CN" w:eastAsia="zh-CN" w:bidi="zh-CN"/>
        </w:rPr>
        <w:t>“山西</w:t>
      </w:r>
      <w:r>
        <w:rPr>
          <w:color w:val="000000"/>
          <w:spacing w:val="0"/>
          <w:w w:val="100"/>
          <w:position w:val="0"/>
        </w:rPr>
        <w:t>数源华石化工 能源有限公司与山西三维集团股份有限公司租赁合同纠纷案”</w:t>
      </w:r>
      <w:r>
        <w:rPr>
          <w:color w:val="000000"/>
          <w:spacing w:val="0"/>
          <w:w w:val="100"/>
          <w:position w:val="0"/>
          <w:sz w:val="11"/>
          <w:szCs w:val="11"/>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民一终字 第</w:t>
      </w:r>
      <w:r>
        <w:rPr>
          <w:rFonts w:ascii="Times New Roman" w:hAnsi="Times New Roman" w:eastAsia="Times New Roman" w:cs="Times New Roman"/>
          <w:color w:val="000000"/>
          <w:spacing w:val="0"/>
          <w:w w:val="100"/>
          <w:position w:val="0"/>
          <w:sz w:val="17"/>
          <w:szCs w:val="17"/>
        </w:rPr>
        <w:t>67</w:t>
      </w:r>
      <w:r>
        <w:rPr>
          <w:color w:val="000000"/>
          <w:spacing w:val="0"/>
          <w:w w:val="100"/>
          <w:position w:val="0"/>
          <w:sz w:val="11"/>
          <w:szCs w:val="11"/>
        </w:rPr>
        <w:t>号民事判决书］</w:t>
      </w:r>
      <w:r>
        <w:rPr>
          <w:color w:val="000000"/>
          <w:spacing w:val="0"/>
          <w:w w:val="100"/>
          <w:position w:val="0"/>
        </w:rPr>
        <w:t>中，涉案合同双方均存在违约行为但均未构成根本违约，同时也难以适 用合同解除的其他规则，法院被迫从当事人的意思方面寻求突破，根据双方均将解除合同 作为诉讼请求或反诉请求，而认定双方对于解除合同具有共同意思，从而判决解除合同。 类似地，在</w:t>
      </w:r>
      <w:r>
        <w:rPr>
          <w:color w:val="000000"/>
          <w:spacing w:val="0"/>
          <w:w w:val="100"/>
          <w:position w:val="0"/>
          <w:lang w:val="zh-CN" w:eastAsia="zh-CN" w:bidi="zh-CN"/>
        </w:rPr>
        <w:t>“九</w:t>
      </w:r>
      <w:r>
        <w:rPr>
          <w:color w:val="000000"/>
          <w:spacing w:val="0"/>
          <w:w w:val="100"/>
          <w:position w:val="0"/>
        </w:rPr>
        <w:t>江雅格泰大酒店有限公司房屋租赁合同纠纷案”</w:t>
      </w:r>
      <w:r>
        <w:rPr>
          <w:color w:val="000000"/>
          <w:spacing w:val="0"/>
          <w:w w:val="100"/>
          <w:position w:val="0"/>
          <w:sz w:val="11"/>
          <w:szCs w:val="11"/>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最高法民 再</w:t>
      </w:r>
      <w:r>
        <w:rPr>
          <w:rFonts w:ascii="Times New Roman" w:hAnsi="Times New Roman" w:eastAsia="Times New Roman" w:cs="Times New Roman"/>
          <w:color w:val="000000"/>
          <w:spacing w:val="0"/>
          <w:w w:val="100"/>
          <w:position w:val="0"/>
          <w:sz w:val="17"/>
          <w:szCs w:val="17"/>
        </w:rPr>
        <w:t>227</w:t>
      </w:r>
      <w:r>
        <w:rPr>
          <w:color w:val="000000"/>
          <w:spacing w:val="0"/>
          <w:w w:val="100"/>
          <w:position w:val="0"/>
          <w:sz w:val="11"/>
          <w:szCs w:val="11"/>
        </w:rPr>
        <w:t>号民事判决书］</w:t>
      </w:r>
      <w:r>
        <w:rPr>
          <w:color w:val="000000"/>
          <w:spacing w:val="0"/>
          <w:w w:val="100"/>
          <w:position w:val="0"/>
        </w:rPr>
        <w:t>中，被告在履约过程中的违约行为不足以构成根本违约,也不符合约定 的解除合同条件。但法院认为</w:t>
      </w:r>
      <w:r>
        <w:rPr>
          <w:color w:val="000000"/>
          <w:spacing w:val="0"/>
          <w:w w:val="100"/>
          <w:position w:val="0"/>
          <w:lang w:val="zh-CN" w:eastAsia="zh-CN" w:bidi="zh-CN"/>
        </w:rPr>
        <w:t>，“鉴</w:t>
      </w:r>
      <w:r>
        <w:rPr>
          <w:color w:val="000000"/>
          <w:spacing w:val="0"/>
          <w:w w:val="100"/>
          <w:position w:val="0"/>
        </w:rPr>
        <w:t>于雅格泰公司向被告发出解除租赁合同的通知,被告在 案件审理过程中提起反诉,请求法院判决解除租赁合同，应认定双方就解除合同达成了一 致意见”。</w:t>
      </w:r>
    </w:p>
    <w:p w14:paraId="19261A90">
      <w:pPr>
        <w:pStyle w:val="17"/>
        <w:keepNext w:val="0"/>
        <w:keepLines w:val="0"/>
        <w:widowControl w:val="0"/>
        <w:shd w:val="clear" w:color="auto" w:fill="auto"/>
        <w:bidi w:val="0"/>
        <w:spacing w:before="0" w:after="280" w:line="340" w:lineRule="exact"/>
        <w:ind w:left="0" w:right="0" w:firstLine="420"/>
        <w:jc w:val="both"/>
      </w:pPr>
      <w:r>
        <w:rPr>
          <w:color w:val="000000"/>
          <w:spacing w:val="0"/>
          <w:w w:val="100"/>
          <w:position w:val="0"/>
        </w:rPr>
        <w:t>在继续性合同适用诉讼时效的问题上，司法实践中态度不一。如在</w:t>
      </w:r>
      <w:r>
        <w:rPr>
          <w:color w:val="000000"/>
          <w:spacing w:val="0"/>
          <w:w w:val="100"/>
          <w:position w:val="0"/>
          <w:lang w:val="zh-CN" w:eastAsia="zh-CN" w:bidi="zh-CN"/>
        </w:rPr>
        <w:t>“贵</w:t>
      </w:r>
      <w:r>
        <w:rPr>
          <w:color w:val="000000"/>
          <w:spacing w:val="0"/>
          <w:w w:val="100"/>
          <w:position w:val="0"/>
        </w:rPr>
        <w:t>阳双诚物业管 理有限公司湄潭分公司、王奇物业服务合同纠纷案</w:t>
      </w:r>
      <w:r>
        <w:rPr>
          <w:color w:val="000000"/>
          <w:spacing w:val="0"/>
          <w:w w:val="100"/>
          <w:position w:val="0"/>
          <w:sz w:val="11"/>
          <w:szCs w:val="11"/>
          <w:lang w:val="zh-CN" w:eastAsia="zh-CN" w:bidi="zh-CN"/>
        </w:rPr>
        <w:t>”［贵</w:t>
      </w:r>
      <w:r>
        <w:rPr>
          <w:color w:val="000000"/>
          <w:spacing w:val="0"/>
          <w:w w:val="100"/>
          <w:position w:val="0"/>
          <w:sz w:val="11"/>
          <w:szCs w:val="11"/>
        </w:rPr>
        <w:t>州省高级人民法院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黔民申</w:t>
      </w:r>
      <w:r>
        <w:rPr>
          <w:rFonts w:ascii="Times New Roman" w:hAnsi="Times New Roman" w:eastAsia="Times New Roman" w:cs="Times New Roman"/>
          <w:color w:val="000000"/>
          <w:spacing w:val="0"/>
          <w:w w:val="100"/>
          <w:position w:val="0"/>
          <w:sz w:val="17"/>
          <w:szCs w:val="17"/>
        </w:rPr>
        <w:t>488</w:t>
      </w:r>
      <w:r>
        <w:rPr>
          <w:color w:val="000000"/>
          <w:spacing w:val="0"/>
          <w:w w:val="100"/>
          <w:position w:val="0"/>
          <w:sz w:val="11"/>
          <w:szCs w:val="11"/>
        </w:rPr>
        <w:t>号 民事裁定书］</w:t>
      </w:r>
      <w:r>
        <w:rPr>
          <w:color w:val="000000"/>
          <w:spacing w:val="0"/>
          <w:w w:val="100"/>
          <w:position w:val="0"/>
        </w:rPr>
        <w:t>中，法院认为双方签订的物业合同所约定的物业费系合同之债，且有具体的履行 时间，虽每月的服务及费用相同，但系每月均要履行的相同债务，不属于同一债务的分期履 行，应从每一期物业费履行期限届满后起算诉讼时效。而在“秦皇岛华侨大酒店与秦皇岛 市海港区工商行政管理局租赁合同纠纷案</w:t>
      </w:r>
      <w:r>
        <w:rPr>
          <w:color w:val="000000"/>
          <w:spacing w:val="0"/>
          <w:w w:val="100"/>
          <w:position w:val="0"/>
          <w:sz w:val="11"/>
          <w:szCs w:val="11"/>
          <w:lang w:val="zh-CN" w:eastAsia="zh-CN" w:bidi="zh-CN"/>
        </w:rPr>
        <w:t>”［最</w:t>
      </w:r>
      <w:r>
        <w:rPr>
          <w:color w:val="000000"/>
          <w:spacing w:val="0"/>
          <w:w w:val="100"/>
          <w:position w:val="0"/>
          <w:sz w:val="11"/>
          <w:szCs w:val="11"/>
        </w:rPr>
        <w:t>高人民法院（</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民提字第</w:t>
      </w:r>
      <w:r>
        <w:rPr>
          <w:rFonts w:ascii="Times New Roman" w:hAnsi="Times New Roman" w:eastAsia="Times New Roman" w:cs="Times New Roman"/>
          <w:color w:val="000000"/>
          <w:spacing w:val="0"/>
          <w:w w:val="100"/>
          <w:position w:val="0"/>
          <w:sz w:val="17"/>
          <w:szCs w:val="17"/>
        </w:rPr>
        <w:t>304</w:t>
      </w:r>
      <w:r>
        <w:rPr>
          <w:color w:val="000000"/>
          <w:spacing w:val="0"/>
          <w:w w:val="100"/>
          <w:position w:val="0"/>
          <w:sz w:val="11"/>
          <w:szCs w:val="11"/>
        </w:rPr>
        <w:t xml:space="preserve">号民事判决书］ </w:t>
      </w:r>
      <w:r>
        <w:rPr>
          <w:color w:val="000000"/>
          <w:spacing w:val="0"/>
          <w:w w:val="100"/>
          <w:position w:val="0"/>
        </w:rPr>
        <w:t>中，法院认为，如果诉讼时效从每一期租金债务履行期限届满之日分别计算，将会割裂同一 租赁合同的整体性,还将导致债权人频繁地主张权利，动摇双方之间的互信。因此,为充分 保护债权人,维护双方之间的互信，存在长期房屋租赁合同关系的双方当事人因租金支付 发生纠纷的，诉讼时效应从最后一期租金履行期限届满之日起开始计算。</w:t>
      </w:r>
    </w:p>
    <w:p w14:paraId="61C24E2B">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001559B0">
      <w:pPr>
        <w:pStyle w:val="17"/>
        <w:keepNext w:val="0"/>
        <w:keepLines w:val="0"/>
        <w:widowControl w:val="0"/>
        <w:shd w:val="clear" w:color="auto" w:fill="auto"/>
        <w:bidi w:val="0"/>
        <w:spacing w:before="0" w:after="140" w:line="339" w:lineRule="exact"/>
        <w:ind w:left="0" w:right="0" w:firstLine="420"/>
        <w:jc w:val="both"/>
      </w:pPr>
      <w:r>
        <w:rPr>
          <w:color w:val="000000"/>
          <w:spacing w:val="0"/>
          <w:w w:val="100"/>
          <w:position w:val="0"/>
        </w:rPr>
        <w:t>本案判决以信赖关系为基础，对继续性合同适用诉讼时效的问题作出裁判指引，关注 继续性合同的特殊性，为继续性合同类案件的裁判提供了一定的思维方法。就将来而言, 在法律规则的设定上要考虑继续性合同的特殊性，同时注重协调《民事诉讼法》和《民法典》 关于诉讼时效的规定。此外,从既有的司法实践中明显可以看出，继续性合同解除问题存 在明显的规则供给不足，导致裁判存在独辟蹊径、回避应答的情形，或产生司法权力直接介 入民事法律关系的风险。未来需要进一步完善相关法律规范，尤其是在合同法的一般规则 设计中关注继续性合同的特殊性。</w:t>
      </w:r>
    </w:p>
    <w:p w14:paraId="60098543">
      <w:pPr>
        <w:pStyle w:val="11"/>
        <w:keepNext w:val="0"/>
        <w:keepLines w:val="0"/>
        <w:widowControl w:val="0"/>
        <w:shd w:val="clear" w:color="auto" w:fill="auto"/>
        <w:bidi w:val="0"/>
        <w:spacing w:before="0" w:after="80" w:line="240" w:lineRule="auto"/>
        <w:ind w:left="0" w:right="0" w:firstLine="0"/>
        <w:jc w:val="left"/>
      </w:pPr>
      <w:r>
        <w:rPr>
          <w:color w:val="000000"/>
          <w:spacing w:val="0"/>
          <w:w w:val="100"/>
          <w:position w:val="0"/>
        </w:rPr>
        <w:t>回参考文献</w:t>
      </w:r>
    </w:p>
    <w:p w14:paraId="0F22CCB3">
      <w:pPr>
        <w:pStyle w:val="33"/>
        <w:keepNext w:val="0"/>
        <w:keepLines w:val="0"/>
        <w:widowControl w:val="0"/>
        <w:shd w:val="clear" w:color="auto" w:fill="auto"/>
        <w:bidi w:val="0"/>
        <w:spacing w:before="0" w:after="0" w:line="302" w:lineRule="exact"/>
        <w:ind w:left="0" w:right="0" w:firstLine="0"/>
        <w:jc w:val="left"/>
      </w:pPr>
      <w:r>
        <w:rPr>
          <w:color w:val="000000"/>
          <w:spacing w:val="0"/>
          <w:w w:val="100"/>
          <w:position w:val="0"/>
        </w:rPr>
        <w:t>韩世远:《合同法总论》，法律出版社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2493C0E2">
      <w:pPr>
        <w:pStyle w:val="33"/>
        <w:keepNext w:val="0"/>
        <w:keepLines w:val="0"/>
        <w:widowControl w:val="0"/>
        <w:shd w:val="clear" w:color="auto" w:fill="auto"/>
        <w:bidi w:val="0"/>
        <w:spacing w:before="0" w:after="0" w:line="302" w:lineRule="exact"/>
        <w:ind w:left="0" w:right="0" w:firstLine="0"/>
        <w:jc w:val="left"/>
      </w:pPr>
      <w:r>
        <w:rPr>
          <w:color w:val="000000"/>
          <w:spacing w:val="0"/>
          <w:w w:val="100"/>
          <w:position w:val="0"/>
        </w:rPr>
        <w:t>王泽鉴：《债法原理》，北京大学出版社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704E56CF">
      <w:pPr>
        <w:pStyle w:val="33"/>
        <w:keepNext w:val="0"/>
        <w:keepLines w:val="0"/>
        <w:widowControl w:val="0"/>
        <w:shd w:val="clear" w:color="auto" w:fill="auto"/>
        <w:tabs>
          <w:tab w:val="left" w:pos="4978"/>
        </w:tabs>
        <w:bidi w:val="0"/>
        <w:spacing w:before="0" w:after="0" w:line="302" w:lineRule="exact"/>
        <w:ind w:left="0" w:right="0" w:firstLine="0"/>
        <w:jc w:val="left"/>
      </w:pPr>
      <w:r>
        <w:rPr>
          <w:color w:val="000000"/>
          <w:spacing w:val="0"/>
          <w:w w:val="100"/>
          <w:position w:val="0"/>
        </w:rPr>
        <w:t>崔建远:《合同法》（第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r>
        <w:rPr>
          <w:color w:val="000000"/>
          <w:spacing w:val="0"/>
          <w:w w:val="100"/>
          <w:position w:val="0"/>
        </w:rPr>
        <w:tab/>
      </w:r>
      <w:r>
        <w:rPr>
          <w:color w:val="000000"/>
          <w:spacing w:val="0"/>
          <w:w w:val="100"/>
          <w:position w:val="0"/>
        </w:rPr>
        <w:t>/</w:t>
      </w:r>
    </w:p>
    <w:p w14:paraId="12A9D9BB">
      <w:pPr>
        <w:pStyle w:val="33"/>
        <w:keepNext w:val="0"/>
        <w:keepLines w:val="0"/>
        <w:widowControl w:val="0"/>
        <w:shd w:val="clear" w:color="auto" w:fill="auto"/>
        <w:bidi w:val="0"/>
        <w:spacing w:before="0" w:after="0" w:line="302" w:lineRule="exact"/>
        <w:ind w:left="180" w:right="0" w:hanging="180"/>
        <w:jc w:val="left"/>
      </w:pPr>
      <w:r>
        <w:rPr>
          <w:color w:val="000000"/>
          <w:spacing w:val="0"/>
          <w:w w:val="100"/>
          <w:position w:val="0"/>
        </w:rPr>
        <w:t>最高人民法院民事审判第二庭编著:《最高人民法院关于民事飞柯冬《江时效司法解释理解与适用》，人 民法院出版社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178F8218">
      <w:pPr>
        <w:pStyle w:val="33"/>
        <w:keepNext w:val="0"/>
        <w:keepLines w:val="0"/>
        <w:widowControl w:val="0"/>
        <w:shd w:val="clear" w:color="auto" w:fill="auto"/>
        <w:bidi w:val="0"/>
        <w:spacing w:before="0" w:after="0" w:line="302" w:lineRule="exact"/>
        <w:ind w:left="0" w:right="0" w:firstLine="0"/>
        <w:jc w:val="left"/>
      </w:pPr>
      <w:r>
        <w:rPr>
          <w:color w:val="000000"/>
          <w:spacing w:val="0"/>
          <w:w w:val="100"/>
          <w:position w:val="0"/>
        </w:rPr>
        <w:t>屈茂辉、张红:《继续性合同：基于合同法理与立法技术的多重考量》，载《中国法学》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A8B3DB0">
      <w:pPr>
        <w:pStyle w:val="33"/>
        <w:keepNext w:val="0"/>
        <w:keepLines w:val="0"/>
        <w:widowControl w:val="0"/>
        <w:shd w:val="clear" w:color="auto" w:fill="auto"/>
        <w:bidi w:val="0"/>
        <w:spacing w:before="0" w:after="0" w:line="302" w:lineRule="exact"/>
        <w:ind w:left="0" w:right="0" w:firstLine="0"/>
        <w:jc w:val="left"/>
      </w:pPr>
      <w:r>
        <w:rPr>
          <w:color w:val="000000"/>
          <w:spacing w:val="0"/>
          <w:w w:val="100"/>
          <w:position w:val="0"/>
        </w:rPr>
        <w:t>韩世远:《继续性合同的解除:违约方解除抑或重大事由解除》，载《中外法学》</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ED04045">
      <w:pPr>
        <w:pStyle w:val="33"/>
        <w:keepNext w:val="0"/>
        <w:keepLines w:val="0"/>
        <w:widowControl w:val="0"/>
        <w:shd w:val="clear" w:color="auto" w:fill="auto"/>
        <w:bidi w:val="0"/>
        <w:spacing w:before="0" w:after="0" w:line="302" w:lineRule="exact"/>
        <w:ind w:left="0" w:right="0" w:firstLine="0"/>
        <w:jc w:val="left"/>
      </w:pPr>
      <w:r>
        <w:rPr>
          <w:color w:val="000000"/>
          <w:spacing w:val="0"/>
          <w:w w:val="100"/>
          <w:position w:val="0"/>
        </w:rPr>
        <w:t>王文军：《论继续性合同的解除》，载《法商研究》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906B98F">
      <w:pPr>
        <w:pStyle w:val="33"/>
        <w:keepNext w:val="0"/>
        <w:keepLines w:val="0"/>
        <w:widowControl w:val="0"/>
        <w:shd w:val="clear" w:color="auto" w:fill="auto"/>
        <w:bidi w:val="0"/>
        <w:spacing w:before="0" w:after="0" w:line="302" w:lineRule="exact"/>
        <w:ind w:left="0" w:right="0" w:firstLine="0"/>
        <w:jc w:val="left"/>
        <w:sectPr>
          <w:headerReference r:id="rId385" w:type="first"/>
          <w:headerReference r:id="rId383" w:type="default"/>
          <w:headerReference r:id="rId384" w:type="even"/>
          <w:footnotePr>
            <w:numFmt w:val="chicago"/>
          </w:footnotePr>
          <w:pgSz w:w="10099" w:h="14782"/>
          <w:pgMar w:top="1350" w:right="1081" w:bottom="1067" w:left="1020" w:header="0" w:footer="3" w:gutter="0"/>
          <w:pgNumType w:start="314"/>
          <w:cols w:space="720" w:num="1"/>
          <w:titlePg/>
          <w:rtlGutter w:val="0"/>
          <w:docGrid w:linePitch="360" w:charSpace="0"/>
        </w:sectPr>
      </w:pPr>
      <w:r>
        <w:rPr>
          <w:color w:val="000000"/>
          <w:spacing w:val="0"/>
          <w:w w:val="100"/>
          <w:position w:val="0"/>
        </w:rPr>
        <w:t>冯恺：《分期履行之债的诉讼时效适用基础</w:t>
      </w:r>
      <w:r>
        <w:rPr>
          <w:color w:val="000000"/>
          <w:spacing w:val="0"/>
          <w:w w:val="100"/>
          <w:position w:val="0"/>
          <w:lang w:val="en-US" w:eastAsia="en-US" w:bidi="en-US"/>
        </w:rPr>
        <w:t>一一</w:t>
      </w:r>
      <w:r>
        <w:rPr>
          <w:color w:val="000000"/>
          <w:spacing w:val="0"/>
          <w:w w:val="100"/>
          <w:position w:val="0"/>
        </w:rPr>
        <w:t>请求权的可分性分析》，载《法律科学》</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3C0AA11">
      <w:pPr>
        <w:widowControl w:val="0"/>
        <w:spacing w:line="50" w:lineRule="exact"/>
        <w:rPr>
          <w:sz w:val="4"/>
          <w:szCs w:val="4"/>
        </w:rPr>
      </w:pPr>
    </w:p>
    <w:p w14:paraId="6E220332">
      <w:pPr>
        <w:widowControl w:val="0"/>
        <w:spacing w:line="1" w:lineRule="exact"/>
        <w:sectPr>
          <w:headerReference r:id="rId386" w:type="default"/>
          <w:headerReference r:id="rId387" w:type="even"/>
          <w:footnotePr>
            <w:numFmt w:val="chicago"/>
          </w:footnotePr>
          <w:pgSz w:w="10099" w:h="14782"/>
          <w:pgMar w:top="1297" w:right="999" w:bottom="1112" w:left="1097" w:header="0" w:footer="3" w:gutter="0"/>
          <w:pgNumType w:start="332"/>
          <w:cols w:space="720" w:num="1"/>
          <w:rtlGutter w:val="0"/>
          <w:docGrid w:linePitch="360" w:charSpace="0"/>
        </w:sectPr>
      </w:pPr>
    </w:p>
    <w:p w14:paraId="37AC97F8">
      <w:pPr>
        <w:widowControl w:val="0"/>
        <w:spacing w:line="1" w:lineRule="exact"/>
      </w:pPr>
      <w:r>
        <mc:AlternateContent>
          <mc:Choice Requires="wps">
            <w:drawing>
              <wp:anchor distT="0" distB="22860" distL="0" distR="0" simplePos="0" relativeHeight="251660288" behindDoc="0" locked="0" layoutInCell="1" allowOverlap="1">
                <wp:simplePos x="0" y="0"/>
                <wp:positionH relativeFrom="page">
                  <wp:posOffset>762000</wp:posOffset>
                </wp:positionH>
                <wp:positionV relativeFrom="paragraph">
                  <wp:posOffset>0</wp:posOffset>
                </wp:positionV>
                <wp:extent cx="452755" cy="304800"/>
                <wp:effectExtent l="0" t="0" r="0" b="0"/>
                <wp:wrapTopAndBottom/>
                <wp:docPr id="893" name="Shape 893"/>
                <wp:cNvGraphicFramePr/>
                <a:graphic xmlns:a="http://schemas.openxmlformats.org/drawingml/2006/main">
                  <a:graphicData uri="http://schemas.microsoft.com/office/word/2010/wordprocessingShape">
                    <wps:wsp>
                      <wps:cNvSpPr txBox="1"/>
                      <wps:spPr>
                        <a:xfrm>
                          <a:off x="0" y="0"/>
                          <a:ext cx="452755" cy="304800"/>
                        </a:xfrm>
                        <a:prstGeom prst="rect">
                          <a:avLst/>
                        </a:prstGeom>
                        <a:noFill/>
                      </wps:spPr>
                      <wps:txbx>
                        <w:txbxContent>
                          <w:p w14:paraId="524E87F3">
                            <w:pPr>
                              <w:pStyle w:val="27"/>
                              <w:keepNext/>
                              <w:keepLines/>
                              <w:widowControl w:val="0"/>
                              <w:shd w:val="clear" w:color="auto" w:fill="auto"/>
                              <w:bidi w:val="0"/>
                              <w:spacing w:before="0" w:after="0" w:line="240" w:lineRule="auto"/>
                              <w:ind w:left="0" w:right="0" w:firstLine="0"/>
                              <w:jc w:val="both"/>
                            </w:pPr>
                            <w:bookmarkStart w:id="492" w:name="bookmark394"/>
                            <w:bookmarkStart w:id="493" w:name="bookmark395"/>
                            <w:bookmarkStart w:id="494" w:name="bookmark396"/>
                            <w:r>
                              <w:rPr>
                                <w:rFonts w:ascii="Times New Roman" w:hAnsi="Times New Roman" w:eastAsia="Times New Roman" w:cs="Times New Roman"/>
                                <w:color w:val="000000"/>
                                <w:spacing w:val="0"/>
                                <w:w w:val="100"/>
                                <w:position w:val="0"/>
                                <w:lang w:val="zh-TW" w:eastAsia="zh-TW" w:bidi="zh-TW"/>
                              </w:rPr>
                              <w:t>064</w:t>
                            </w:r>
                            <w:bookmarkEnd w:id="492"/>
                            <w:bookmarkEnd w:id="493"/>
                            <w:bookmarkEnd w:id="494"/>
                          </w:p>
                        </w:txbxContent>
                      </wps:txbx>
                      <wps:bodyPr wrap="none" lIns="0" tIns="0" rIns="0" bIns="0">
                        <a:noAutofit/>
                      </wps:bodyPr>
                    </wps:wsp>
                  </a:graphicData>
                </a:graphic>
              </wp:anchor>
            </w:drawing>
          </mc:Choice>
          <mc:Fallback>
            <w:pict>
              <v:shape id="Shape 893" o:spid="_x0000_s1026" o:spt="202" type="#_x0000_t202" style="position:absolute;left:0pt;margin-left:60pt;margin-top:0pt;height:24pt;width:35.65pt;mso-position-horizontal-relative:page;mso-wrap-distance-bottom:1.8pt;mso-wrap-distance-top:0pt;mso-wrap-style:none;z-index:251660288;mso-width-relative:page;mso-height-relative:page;" filled="f" stroked="f" coordsize="21600,21600" o:gfxdata="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uxvANIAAAAH&#10;AQAADwAAAAAAAAABACAAAAAiAAAAZHJzL2Rvd25yZXYueG1sUEsBAhQAFAAAAAgAh07iQI2dSqmw&#10;AQAAcwMAAA4AAAAAAAAAAQAgAAAAIQEAAGRycy9lMm9Eb2MueG1sUEsFBgAAAAAGAAYAWQEAAEMF&#10;AAAAAA==&#10;">
                <v:fill on="f" focussize="0,0"/>
                <v:stroke on="f"/>
                <v:imagedata o:title=""/>
                <o:lock v:ext="edit" aspectratio="f"/>
                <v:textbox inset="0mm,0mm,0mm,0mm">
                  <w:txbxContent>
                    <w:p w14:paraId="524E87F3">
                      <w:pPr>
                        <w:pStyle w:val="27"/>
                        <w:keepNext/>
                        <w:keepLines/>
                        <w:widowControl w:val="0"/>
                        <w:shd w:val="clear" w:color="auto" w:fill="auto"/>
                        <w:bidi w:val="0"/>
                        <w:spacing w:before="0" w:after="0" w:line="240" w:lineRule="auto"/>
                        <w:ind w:left="0" w:right="0" w:firstLine="0"/>
                        <w:jc w:val="both"/>
                      </w:pPr>
                      <w:bookmarkStart w:id="492" w:name="bookmark394"/>
                      <w:bookmarkStart w:id="493" w:name="bookmark395"/>
                      <w:bookmarkStart w:id="494" w:name="bookmark396"/>
                      <w:r>
                        <w:rPr>
                          <w:rFonts w:ascii="Times New Roman" w:hAnsi="Times New Roman" w:eastAsia="Times New Roman" w:cs="Times New Roman"/>
                          <w:color w:val="000000"/>
                          <w:spacing w:val="0"/>
                          <w:w w:val="100"/>
                          <w:position w:val="0"/>
                          <w:lang w:val="zh-TW" w:eastAsia="zh-TW" w:bidi="zh-TW"/>
                        </w:rPr>
                        <w:t>064</w:t>
                      </w:r>
                      <w:bookmarkEnd w:id="492"/>
                      <w:bookmarkEnd w:id="493"/>
                      <w:bookmarkEnd w:id="494"/>
                    </w:p>
                  </w:txbxContent>
                </v:textbox>
                <w10:wrap type="topAndBottom"/>
              </v:shape>
            </w:pict>
          </mc:Fallback>
        </mc:AlternateContent>
      </w:r>
      <w:r>
        <mc:AlternateContent>
          <mc:Choice Requires="wps">
            <w:drawing>
              <wp:anchor distT="86995" distB="0" distL="0" distR="0" simplePos="0" relativeHeight="251660288" behindDoc="0" locked="0" layoutInCell="1" allowOverlap="1">
                <wp:simplePos x="0" y="0"/>
                <wp:positionH relativeFrom="page">
                  <wp:posOffset>1339850</wp:posOffset>
                </wp:positionH>
                <wp:positionV relativeFrom="paragraph">
                  <wp:posOffset>86995</wp:posOffset>
                </wp:positionV>
                <wp:extent cx="3221990" cy="240665"/>
                <wp:effectExtent l="0" t="0" r="0" b="0"/>
                <wp:wrapTopAndBottom/>
                <wp:docPr id="895" name="Shape 895"/>
                <wp:cNvGraphicFramePr/>
                <a:graphic xmlns:a="http://schemas.openxmlformats.org/drawingml/2006/main">
                  <a:graphicData uri="http://schemas.microsoft.com/office/word/2010/wordprocessingShape">
                    <wps:wsp>
                      <wps:cNvSpPr txBox="1"/>
                      <wps:spPr>
                        <a:xfrm>
                          <a:off x="0" y="0"/>
                          <a:ext cx="3221990" cy="240665"/>
                        </a:xfrm>
                        <a:prstGeom prst="rect">
                          <a:avLst/>
                        </a:prstGeom>
                        <a:noFill/>
                      </wps:spPr>
                      <wps:txbx>
                        <w:txbxContent>
                          <w:p w14:paraId="58404AD1">
                            <w:pPr>
                              <w:pStyle w:val="15"/>
                              <w:keepNext/>
                              <w:keepLines/>
                              <w:widowControl w:val="0"/>
                              <w:shd w:val="clear" w:color="auto" w:fill="auto"/>
                              <w:bidi w:val="0"/>
                              <w:spacing w:before="0" w:after="0" w:line="240" w:lineRule="auto"/>
                              <w:ind w:left="0" w:right="0" w:firstLine="0"/>
                              <w:jc w:val="left"/>
                            </w:pPr>
                            <w:bookmarkStart w:id="495" w:name="bookmark397"/>
                            <w:bookmarkStart w:id="496" w:name="bookmark398"/>
                            <w:bookmarkStart w:id="497" w:name="bookmark399"/>
                            <w:r>
                              <w:rPr>
                                <w:color w:val="000000"/>
                                <w:spacing w:val="0"/>
                                <w:w w:val="100"/>
                                <w:position w:val="0"/>
                              </w:rPr>
                              <w:t>债务人进入破产程序后的代位权行使</w:t>
                            </w:r>
                            <w:bookmarkEnd w:id="495"/>
                            <w:bookmarkEnd w:id="496"/>
                            <w:bookmarkEnd w:id="497"/>
                          </w:p>
                        </w:txbxContent>
                      </wps:txbx>
                      <wps:bodyPr wrap="none" lIns="0" tIns="0" rIns="0" bIns="0">
                        <a:noAutofit/>
                      </wps:bodyPr>
                    </wps:wsp>
                  </a:graphicData>
                </a:graphic>
              </wp:anchor>
            </w:drawing>
          </mc:Choice>
          <mc:Fallback>
            <w:pict>
              <v:shape id="Shape 895" o:spid="_x0000_s1026" o:spt="202" type="#_x0000_t202" style="position:absolute;left:0pt;margin-left:105.5pt;margin-top:6.85pt;height:18.95pt;width:253.7pt;mso-position-horizontal-relative:page;mso-wrap-distance-bottom:0pt;mso-wrap-distance-top:6.85pt;mso-wrap-style:none;z-index:251660288;mso-width-relative:page;mso-height-relative:page;" filled="f" stroked="f" coordsize="21600,21600" o:gfxdata="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d+9tK9YA&#10;AAAJAQAADwAAAAAAAAABACAAAAAiAAAAZHJzL2Rvd25yZXYueG1sUEsBAhQAFAAAAAgAh07iQDsT&#10;1AyvAQAAdAMAAA4AAAAAAAAAAQAgAAAAJQEAAGRycy9lMm9Eb2MueG1sUEsFBgAAAAAGAAYAWQEA&#10;AEYFAAAAAA==&#10;">
                <v:fill on="f" focussize="0,0"/>
                <v:stroke on="f"/>
                <v:imagedata o:title=""/>
                <o:lock v:ext="edit" aspectratio="f"/>
                <v:textbox inset="0mm,0mm,0mm,0mm">
                  <w:txbxContent>
                    <w:p w14:paraId="58404AD1">
                      <w:pPr>
                        <w:pStyle w:val="15"/>
                        <w:keepNext/>
                        <w:keepLines/>
                        <w:widowControl w:val="0"/>
                        <w:shd w:val="clear" w:color="auto" w:fill="auto"/>
                        <w:bidi w:val="0"/>
                        <w:spacing w:before="0" w:after="0" w:line="240" w:lineRule="auto"/>
                        <w:ind w:left="0" w:right="0" w:firstLine="0"/>
                        <w:jc w:val="left"/>
                      </w:pPr>
                      <w:bookmarkStart w:id="495" w:name="bookmark397"/>
                      <w:bookmarkStart w:id="496" w:name="bookmark398"/>
                      <w:bookmarkStart w:id="497" w:name="bookmark399"/>
                      <w:r>
                        <w:rPr>
                          <w:color w:val="000000"/>
                          <w:spacing w:val="0"/>
                          <w:w w:val="100"/>
                          <w:position w:val="0"/>
                        </w:rPr>
                        <w:t>债务人进入破产程序后的代位权行使</w:t>
                      </w:r>
                      <w:bookmarkEnd w:id="495"/>
                      <w:bookmarkEnd w:id="496"/>
                      <w:bookmarkEnd w:id="497"/>
                    </w:p>
                  </w:txbxContent>
                </v:textbox>
                <w10:wrap type="topAndBottom"/>
              </v:shape>
            </w:pict>
          </mc:Fallback>
        </mc:AlternateContent>
      </w:r>
    </w:p>
    <w:p w14:paraId="4D280BBC">
      <w:pPr>
        <w:pStyle w:val="17"/>
        <w:keepNext w:val="0"/>
        <w:keepLines w:val="0"/>
        <w:widowControl w:val="0"/>
        <w:shd w:val="clear" w:color="auto" w:fill="auto"/>
        <w:bidi w:val="0"/>
        <w:spacing w:before="0" w:after="0" w:line="341" w:lineRule="exact"/>
        <w:ind w:left="1020" w:right="0" w:firstLine="0"/>
        <w:jc w:val="left"/>
      </w:pPr>
      <w:r>
        <w:rPr>
          <w:color w:val="000000"/>
          <w:spacing w:val="0"/>
          <w:w w:val="100"/>
          <w:position w:val="0"/>
        </w:rPr>
        <w:t>中国长城资产管理公司长沙办事处与成功控股集团有限公司、酒鬼:回曲 酒股份有限公司、湖南湘泉集团有限公司代位权纠纷上诉案丨最</w:t>
      </w:r>
    </w:p>
    <w:p w14:paraId="2B80CB16">
      <w:pPr>
        <w:pStyle w:val="17"/>
        <w:keepNext w:val="0"/>
        <w:keepLines w:val="0"/>
        <w:widowControl w:val="0"/>
        <w:shd w:val="clear" w:color="auto" w:fill="auto"/>
        <w:bidi w:val="0"/>
        <w:spacing w:before="0" w:after="380" w:line="341" w:lineRule="exact"/>
        <w:ind w:left="1020" w:right="0" w:firstLine="0"/>
        <w:jc w:val="both"/>
      </w:pPr>
      <w:r>
        <w:rPr>
          <w:color w:val="000000"/>
          <w:spacing w:val="0"/>
          <w:w w:val="100"/>
          <w:position w:val="0"/>
        </w:rPr>
        <w:t>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218</w:t>
      </w:r>
      <w:r>
        <w:rPr>
          <w:color w:val="000000"/>
          <w:spacing w:val="0"/>
          <w:w w:val="100"/>
          <w:position w:val="0"/>
        </w:rPr>
        <w:t>号民事裁定书</w:t>
      </w:r>
    </w:p>
    <w:p w14:paraId="376AD3AA">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石—峰</w:t>
      </w:r>
      <w:r>
        <w:rPr>
          <w:color w:val="000000"/>
          <w:spacing w:val="0"/>
          <w:w w:val="100"/>
          <w:position w:val="0"/>
        </w:rPr>
        <w:t>浙江大学光华法学院</w:t>
      </w:r>
    </w:p>
    <w:p w14:paraId="7EFF1860">
      <w:pPr>
        <w:pStyle w:val="11"/>
        <w:keepNext w:val="0"/>
        <w:keepLines w:val="0"/>
        <w:widowControl w:val="0"/>
        <w:shd w:val="clear" w:color="auto" w:fill="auto"/>
        <w:bidi w:val="0"/>
        <w:spacing w:before="0" w:after="80"/>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CD3DA4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原审第三人湘泉集团于</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 xml:space="preserve">日，在湘西工商银行贷款 </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笔，共计欠款</w:t>
      </w:r>
      <w:r>
        <w:rPr>
          <w:rFonts w:ascii="Times New Roman" w:hAnsi="Times New Roman" w:eastAsia="Times New Roman" w:cs="Times New Roman"/>
          <w:color w:val="000000"/>
          <w:spacing w:val="0"/>
          <w:w w:val="100"/>
          <w:position w:val="0"/>
          <w:sz w:val="19"/>
          <w:szCs w:val="19"/>
          <w:lang w:val="en-US" w:eastAsia="en-US" w:bidi="en-US"/>
        </w:rPr>
        <w:t>2.</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亿元。</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月，上诉人长城公司从湘西工商银行受让了上述债 权,经催告，原审第三人湘泉集团至今未予偿还。此外</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月，原审第三人湘泉集团 将自己持有的被上诉人酒鬼酒公司股票</w:t>
      </w:r>
      <w:r>
        <w:rPr>
          <w:rFonts w:ascii="Times New Roman" w:hAnsi="Times New Roman" w:eastAsia="Times New Roman" w:cs="Times New Roman"/>
          <w:color w:val="000000"/>
          <w:spacing w:val="0"/>
          <w:w w:val="100"/>
          <w:position w:val="0"/>
          <w:sz w:val="19"/>
          <w:szCs w:val="19"/>
        </w:rPr>
        <w:t>8800</w:t>
      </w:r>
      <w:r>
        <w:rPr>
          <w:color w:val="000000"/>
          <w:spacing w:val="0"/>
          <w:w w:val="100"/>
          <w:position w:val="0"/>
        </w:rPr>
        <w:t>万股，以</w:t>
      </w:r>
      <w:r>
        <w:rPr>
          <w:rFonts w:ascii="Times New Roman" w:hAnsi="Times New Roman" w:eastAsia="Times New Roman" w:cs="Times New Roman"/>
          <w:color w:val="000000"/>
          <w:spacing w:val="0"/>
          <w:w w:val="100"/>
          <w:position w:val="0"/>
          <w:sz w:val="19"/>
          <w:szCs w:val="19"/>
          <w:lang w:val="en-US" w:eastAsia="en-US" w:bidi="en-US"/>
        </w:rPr>
        <w:t xml:space="preserve">3. </w:t>
      </w:r>
      <w:r>
        <w:rPr>
          <w:rFonts w:ascii="Times New Roman" w:hAnsi="Times New Roman" w:eastAsia="Times New Roman" w:cs="Times New Roman"/>
          <w:color w:val="000000"/>
          <w:spacing w:val="0"/>
          <w:w w:val="100"/>
          <w:position w:val="0"/>
          <w:sz w:val="19"/>
          <w:szCs w:val="19"/>
        </w:rPr>
        <w:t>5288</w:t>
      </w:r>
      <w:r>
        <w:rPr>
          <w:color w:val="000000"/>
          <w:spacing w:val="0"/>
          <w:w w:val="100"/>
          <w:position w:val="0"/>
        </w:rPr>
        <w:t>亿元的价格转让给被上诉人 成功控股集团。</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月，湘泉集团又与成功控股集团、酒鬼酒公司签订三方协议，约 定上述股权转让金由成功控股集团直接付给酒鬼酒公司。上诉人长城公司以原审第三人 湘泉集团在明知该三方协议无效的情况下，怠于行使权利，侵害了其利益为由，提起代位权 诉讼，请求判令两位被上诉人共同清偿湘泉集团所欠上诉人债务</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亿元及相应利息,但被湖 南省高级人民法院以湘泉集团已进入破产程序为由裁定驳回起诉。其理由在于:最高人民 法院《关于贯彻执行〈中华人民共和国企业破产法（试行）〉若干问题的意见》［法（经）发 </w:t>
      </w:r>
      <w:r>
        <w:rPr>
          <w:rFonts w:ascii="Times New Roman" w:hAnsi="Times New Roman" w:eastAsia="Times New Roman" w:cs="Times New Roman"/>
          <w:color w:val="000000"/>
          <w:spacing w:val="0"/>
          <w:w w:val="100"/>
          <w:position w:val="0"/>
          <w:sz w:val="19"/>
          <w:szCs w:val="19"/>
        </w:rPr>
        <w:t>（1991）35</w:t>
      </w:r>
      <w:r>
        <w:rPr>
          <w:color w:val="000000"/>
          <w:spacing w:val="0"/>
          <w:w w:val="100"/>
          <w:position w:val="0"/>
        </w:rPr>
        <w:t>号］［以下简称《破产法意见》，该意见后被法释</w:t>
      </w:r>
      <w:r>
        <w:rPr>
          <w:rFonts w:ascii="Times New Roman" w:hAnsi="Times New Roman" w:eastAsia="Times New Roman" w:cs="Times New Roman"/>
          <w:color w:val="000000"/>
          <w:spacing w:val="0"/>
          <w:w w:val="100"/>
          <w:position w:val="0"/>
          <w:sz w:val="19"/>
          <w:szCs w:val="19"/>
        </w:rPr>
        <w:t>（2013）2</w:t>
      </w:r>
      <w:r>
        <w:rPr>
          <w:color w:val="000000"/>
          <w:spacing w:val="0"/>
          <w:w w:val="100"/>
          <w:position w:val="0"/>
        </w:rPr>
        <w:t>号废止］第</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 xml:space="preserve">条规定， </w:t>
      </w:r>
      <w:r>
        <w:rPr>
          <w:color w:val="000000"/>
          <w:spacing w:val="0"/>
          <w:w w:val="100"/>
          <w:position w:val="0"/>
          <w:lang w:val="zh-CN" w:eastAsia="zh-CN" w:bidi="zh-CN"/>
        </w:rPr>
        <w:t>“人民</w:t>
      </w:r>
      <w:r>
        <w:rPr>
          <w:color w:val="000000"/>
          <w:spacing w:val="0"/>
          <w:w w:val="100"/>
          <w:position w:val="0"/>
        </w:rPr>
        <w:t>法院发布立案公告后，债权人只能申报债权，不能向受理破产案件的人民法院提起新 的诉讼</w:t>
      </w:r>
      <w:r>
        <w:rPr>
          <w:color w:val="000000"/>
          <w:spacing w:val="0"/>
          <w:w w:val="100"/>
          <w:position w:val="0"/>
          <w:lang w:val="zh-CN" w:eastAsia="zh-CN" w:bidi="zh-CN"/>
        </w:rPr>
        <w:t>”，包</w:t>
      </w:r>
      <w:r>
        <w:rPr>
          <w:color w:val="000000"/>
          <w:spacing w:val="0"/>
          <w:w w:val="100"/>
          <w:position w:val="0"/>
        </w:rPr>
        <w:t>括代位权诉讼;同时认为代位权诉讼将使得破产债务人违背禁止个别清偿的原 则。此外,长城公司已申报债权，若认为破产债务人怠于行使债权,应通过债权人会议来主 张自己的权利，请求受理破产法院通过裁定的方式救济，但不能另行提起诉讼。</w:t>
      </w:r>
    </w:p>
    <w:p w14:paraId="5DC6AA41">
      <w:pPr>
        <w:pStyle w:val="17"/>
        <w:keepNext w:val="0"/>
        <w:keepLines w:val="0"/>
        <w:widowControl w:val="0"/>
        <w:shd w:val="clear" w:color="auto" w:fill="auto"/>
        <w:bidi w:val="0"/>
        <w:spacing w:before="0" w:after="220" w:line="340" w:lineRule="exact"/>
        <w:ind w:left="0" w:right="0" w:firstLine="420"/>
        <w:jc w:val="both"/>
        <w:sectPr>
          <w:footnotePr>
            <w:numFmt w:val="chicago"/>
          </w:footnotePr>
          <w:type w:val="continuous"/>
          <w:pgSz w:w="10099" w:h="14782"/>
          <w:pgMar w:top="1297" w:right="999" w:bottom="1112" w:left="1097" w:header="869" w:footer="684" w:gutter="0"/>
          <w:cols w:space="720" w:num="1"/>
          <w:rtlGutter w:val="0"/>
          <w:docGrid w:linePitch="360" w:charSpace="0"/>
        </w:sectPr>
      </w:pPr>
      <w:r>
        <w:rPr>
          <w:color w:val="000000"/>
          <w:spacing w:val="0"/>
          <w:w w:val="100"/>
          <w:position w:val="0"/>
        </w:rPr>
        <w:t>长城公司向最高人民法院提起上诉。其主要理由如下:湖南省高级人民法院对《破产 法意见》第</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条存在错误理解</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该条主要禁止以债务人为被告的新的诉讼，并且仅禁止 向受理破产法院起诉。</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本案以非破产债务人为被告提起诉讼，也未向受理破产申请的 法院提起诉讼。</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假设湖南省高级人民法院的理由成立,一旦债务人申请破产，债权人就 不能提起任何新的诉讼，那么也就不能向保证人提起新的诉讼，但这显然与现行法律相矛 盾。成功控股集团与酒鬼酒公司均未作答辩。</w:t>
      </w:r>
    </w:p>
    <w:p w14:paraId="15E977CD">
      <w:pPr>
        <w:pStyle w:val="11"/>
        <w:keepNext w:val="0"/>
        <w:keepLines w:val="0"/>
        <w:widowControl w:val="0"/>
        <w:shd w:val="clear" w:color="auto" w:fill="auto"/>
        <w:bidi w:val="0"/>
        <w:spacing w:before="0" w:after="120" w:line="342" w:lineRule="exact"/>
        <w:ind w:left="0" w:right="0" w:firstLine="0"/>
        <w:jc w:val="both"/>
      </w:pPr>
      <w:r>
        <w:rPr>
          <w:color w:val="000000"/>
          <w:spacing w:val="0"/>
          <w:w w:val="100"/>
          <w:position w:val="0"/>
        </w:rPr>
        <w:t>■判决要旨</w:t>
      </w:r>
    </w:p>
    <w:p w14:paraId="75F20D9F">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在债务人进入破产程序的情况下，人民法院不应以普通程序受理债权人代位权诉讼， 应由受理破产案件的法院确定次债务人是否应当向债权人履行债务。理由在于</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l</w:t>
      </w:r>
      <w:r>
        <w:rPr>
          <w:color w:val="000000"/>
          <w:spacing w:val="0"/>
          <w:w w:val="100"/>
          <w:position w:val="0"/>
          <w:sz w:val="19"/>
          <w:szCs w:val="19"/>
          <w:lang w:val="en-US" w:eastAsia="en-US" w:bidi="en-US"/>
        </w:rPr>
        <w:t>）</w:t>
      </w:r>
      <w:r>
        <w:rPr>
          <w:color w:val="000000"/>
          <w:spacing w:val="0"/>
          <w:w w:val="100"/>
          <w:position w:val="0"/>
        </w:rPr>
        <w:t>代位 权行使在普通民事程序中的标的是债务人对次债务人的债权,行使的目的是使债权人个别 受偿。但在破产程序中这一债权作为债务人的破产财产，应由全体债权人公平受偿。若由 债权人行使代位权将直接影响其他债权人的利益，违反破产债权人公平受偿的原则。</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破 产程序本身即具有追回债务人对外债权的功能，可申请法院予以纠正。最高人民法院《关 于审理企业破产案件若干问题的规定》［法释</w:t>
      </w:r>
      <w:r>
        <w:rPr>
          <w:rFonts w:ascii="Times New Roman" w:hAnsi="Times New Roman" w:eastAsia="Times New Roman" w:cs="Times New Roman"/>
          <w:color w:val="000000"/>
          <w:spacing w:val="0"/>
          <w:w w:val="100"/>
          <w:position w:val="0"/>
          <w:sz w:val="19"/>
          <w:szCs w:val="19"/>
        </w:rPr>
        <w:t>（2002）23</w:t>
      </w:r>
      <w:r>
        <w:rPr>
          <w:color w:val="000000"/>
          <w:spacing w:val="0"/>
          <w:w w:val="100"/>
          <w:position w:val="0"/>
        </w:rPr>
        <w:t>号</w:t>
      </w:r>
      <w:r>
        <w:rPr>
          <w:color w:val="000000"/>
          <w:spacing w:val="0"/>
          <w:w w:val="100"/>
          <w:position w:val="0"/>
          <w:lang w:val="en-US" w:eastAsia="en-US" w:bidi="en-US"/>
        </w:rPr>
        <w:t>］（</w:t>
      </w:r>
      <w:r>
        <w:rPr>
          <w:color w:val="000000"/>
          <w:spacing w:val="0"/>
          <w:w w:val="100"/>
          <w:position w:val="0"/>
        </w:rPr>
        <w:t>以下简称《破产法规定》）第</w:t>
      </w:r>
      <w:r>
        <w:rPr>
          <w:rFonts w:ascii="Times New Roman" w:hAnsi="Times New Roman" w:eastAsia="Times New Roman" w:cs="Times New Roman"/>
          <w:color w:val="000000"/>
          <w:spacing w:val="0"/>
          <w:w w:val="100"/>
          <w:position w:val="0"/>
          <w:sz w:val="19"/>
          <w:szCs w:val="19"/>
        </w:rPr>
        <w:t xml:space="preserve">50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款规定了清算组具有及时回收破产企业财产的职责以及债权人在清算组怠 于履行职责时有监督的权利。</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尽管债权人对债务人以外的连带债务人提起诉讼并不为 法律或司法解释所禁止，但此种诉讼的对象是基于个别债权的连带责任，其效果也是保护 个别债权的实现，而代位权诉讼的标的是债务人对次债务人的债权,该项财产是对债务人 全部债务的担保，不是对个别债务的担保，代位权诉讼与对债务人的保证人的诉讼有着根 本的区别。</w:t>
      </w:r>
    </w:p>
    <w:p w14:paraId="1BAEF2F0">
      <w:pPr>
        <w:pStyle w:val="11"/>
        <w:keepNext w:val="0"/>
        <w:keepLines w:val="0"/>
        <w:widowControl w:val="0"/>
        <w:shd w:val="clear" w:color="auto" w:fill="auto"/>
        <w:bidi w:val="0"/>
        <w:spacing w:before="0" w:after="120" w:line="342" w:lineRule="exact"/>
        <w:ind w:left="0" w:right="0" w:firstLine="0"/>
        <w:jc w:val="both"/>
      </w:pPr>
      <w:r>
        <w:rPr>
          <w:color w:val="000000"/>
          <w:spacing w:val="0"/>
          <w:w w:val="100"/>
          <w:position w:val="0"/>
        </w:rPr>
        <w:t>■评析</w:t>
      </w:r>
    </w:p>
    <w:p w14:paraId="4F962F5E">
      <w:pPr>
        <w:pStyle w:val="17"/>
        <w:keepNext w:val="0"/>
        <w:keepLines w:val="0"/>
        <w:widowControl w:val="0"/>
        <w:shd w:val="clear" w:color="auto" w:fill="auto"/>
        <w:bidi w:val="0"/>
        <w:spacing w:before="0" w:after="120" w:line="342" w:lineRule="exact"/>
        <w:ind w:left="0" w:right="0" w:firstLine="0"/>
        <w:jc w:val="both"/>
      </w:pPr>
      <w:r>
        <w:rPr>
          <w:color w:val="000000"/>
          <w:spacing w:val="0"/>
          <w:w w:val="100"/>
          <w:position w:val="0"/>
          <w:lang w:val="zh-CN" w:eastAsia="zh-CN" w:bidi="zh-CN"/>
        </w:rPr>
        <w:t>①</w:t>
      </w:r>
      <w:r>
        <w:rPr>
          <w:color w:val="000000"/>
          <w:spacing w:val="0"/>
          <w:w w:val="100"/>
          <w:position w:val="0"/>
        </w:rPr>
        <w:t>本判决的思路和意义</w:t>
      </w:r>
    </w:p>
    <w:p w14:paraId="31B9672B">
      <w:pPr>
        <w:pStyle w:val="17"/>
        <w:keepNext w:val="0"/>
        <w:keepLines w:val="0"/>
        <w:widowControl w:val="0"/>
        <w:shd w:val="clear" w:color="auto" w:fill="auto"/>
        <w:bidi w:val="0"/>
        <w:spacing w:before="0" w:after="160" w:line="341" w:lineRule="exact"/>
        <w:ind w:left="0" w:right="0" w:firstLine="420"/>
        <w:jc w:val="both"/>
      </w:pPr>
      <w:r>
        <w:rPr>
          <w:color w:val="000000"/>
          <w:spacing w:val="0"/>
          <w:w w:val="100"/>
          <w:position w:val="0"/>
        </w:rPr>
        <w:t xml:space="preserve">本案中，一审和二审法院均以债务人进入破产程序为由否认债权人可在此时提起代位 权诉讼。其核心理由在于代位权诉讼将使债权人获得个别清偿，从而与破产法中的禁止个 别清偿和公平受偿原则相悖。而债权人在破产程序中存在通过债权人会议表达意见或通 过监督申请法院纠正等其他保障债权的手段。本案中提出了债权人代位权诉讼除受实体 法上构成要件影响外，还受程序法的影响。在判决思路上似也表明代位权诉讼并非以债权 </w:t>
      </w:r>
      <w:r>
        <w:rPr>
          <w:color w:val="000000"/>
          <w:spacing w:val="0"/>
          <w:w w:val="100"/>
          <w:position w:val="0"/>
          <w:lang w:val="zh-CN" w:eastAsia="zh-CN" w:bidi="zh-CN"/>
        </w:rPr>
        <w:t>“入库”为</w:t>
      </w:r>
      <w:r>
        <w:rPr>
          <w:color w:val="000000"/>
          <w:spacing w:val="0"/>
          <w:w w:val="100"/>
          <w:position w:val="0"/>
        </w:rPr>
        <w:t>结果而是会导致个别清偿。此将对后续代位权诉讼产生重要意义。</w:t>
      </w:r>
    </w:p>
    <w:p w14:paraId="693467F5">
      <w:pPr>
        <w:pStyle w:val="17"/>
        <w:keepNext w:val="0"/>
        <w:keepLines w:val="0"/>
        <w:widowControl w:val="0"/>
        <w:shd w:val="clear" w:color="auto" w:fill="auto"/>
        <w:bidi w:val="0"/>
        <w:spacing w:before="0" w:after="120" w:line="342" w:lineRule="exact"/>
        <w:ind w:left="0" w:right="0" w:firstLine="0"/>
        <w:jc w:val="left"/>
      </w:pPr>
      <w:r>
        <w:rPr>
          <w:color w:val="000000"/>
          <w:spacing w:val="0"/>
          <w:w w:val="100"/>
          <w:position w:val="0"/>
        </w:rPr>
        <w:t>田规范及学理</w:t>
      </w:r>
    </w:p>
    <w:p w14:paraId="49C73E7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关于代位权诉讼,《民法典》第</w:t>
      </w:r>
      <w:r>
        <w:rPr>
          <w:rFonts w:ascii="Times New Roman" w:hAnsi="Times New Roman" w:eastAsia="Times New Roman" w:cs="Times New Roman"/>
          <w:color w:val="000000"/>
          <w:spacing w:val="0"/>
          <w:w w:val="100"/>
          <w:position w:val="0"/>
          <w:sz w:val="19"/>
          <w:szCs w:val="19"/>
        </w:rPr>
        <w:t>535</w:t>
      </w:r>
      <w:r>
        <w:rPr>
          <w:color w:val="000000"/>
          <w:spacing w:val="0"/>
          <w:w w:val="100"/>
          <w:position w:val="0"/>
        </w:rPr>
        <w:t>条及最高人民法院《关于适用〈中华人民共和国合同 法〉若干问题的解释（一）》［法释</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1999）19</w:t>
      </w:r>
      <w:r>
        <w:rPr>
          <w:color w:val="000000"/>
          <w:spacing w:val="0"/>
          <w:w w:val="100"/>
          <w:position w:val="0"/>
        </w:rPr>
        <w:t>号］（以下简称《合同法司法解释一》）相关条款 对其构成及行使条件已有较为清晰的规定。对于债权人行使代位权的后果素有“入库规 则”与</w:t>
      </w:r>
      <w:r>
        <w:rPr>
          <w:color w:val="000000"/>
          <w:spacing w:val="0"/>
          <w:w w:val="100"/>
          <w:position w:val="0"/>
          <w:lang w:val="zh-CN" w:eastAsia="zh-CN" w:bidi="zh-CN"/>
        </w:rPr>
        <w:t>“直接</w:t>
      </w:r>
      <w:r>
        <w:rPr>
          <w:color w:val="000000"/>
          <w:spacing w:val="0"/>
          <w:w w:val="100"/>
          <w:position w:val="0"/>
        </w:rPr>
        <w:t>个别清偿规则”的争议（史尚宽:《债法总论》，中国政法大学出版社</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膾</w:t>
      </w:r>
      <w:r>
        <w:rPr>
          <w:rFonts w:ascii="Times New Roman" w:hAnsi="Times New Roman" w:eastAsia="Times New Roman" w:cs="Times New Roman"/>
          <w:color w:val="000000"/>
          <w:spacing w:val="0"/>
          <w:w w:val="100"/>
          <w:position w:val="0"/>
          <w:sz w:val="19"/>
          <w:szCs w:val="19"/>
        </w:rPr>
        <w:t>0</w:t>
      </w:r>
      <w:r>
        <w:rPr>
          <w:color w:val="000000"/>
          <w:spacing w:val="0"/>
          <w:w w:val="100"/>
          <w:position w:val="0"/>
        </w:rPr>
        <w:t>年版，第</w:t>
      </w:r>
      <w:r>
        <w:rPr>
          <w:rFonts w:ascii="Times New Roman" w:hAnsi="Times New Roman" w:eastAsia="Times New Roman" w:cs="Times New Roman"/>
          <w:color w:val="000000"/>
          <w:spacing w:val="0"/>
          <w:w w:val="100"/>
          <w:position w:val="0"/>
          <w:sz w:val="19"/>
          <w:szCs w:val="19"/>
        </w:rPr>
        <w:t>462 ~ 463</w:t>
      </w:r>
      <w:r>
        <w:rPr>
          <w:color w:val="000000"/>
          <w:spacing w:val="0"/>
          <w:w w:val="100"/>
          <w:position w:val="0"/>
        </w:rPr>
        <w:t>页）。但从《合同法司法解释一》第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条的规定来看，代位权诉讼的结果是次债务人向 债权人履行清偿义务并导致三方债权债务关系消灭，采取的是“直接个别清偿规则”。此规 则在普通诉讼程序中，并未引发太多争议。然而，在债务人进入破产程序后，由于破产法对 全体债权人公平清偿的要求，使普通诉讼程序中债权人代位权导致的“直接个别清偿”与破 产法之理念相冲突。</w:t>
      </w:r>
    </w:p>
    <w:p w14:paraId="1C132CAB">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与原《破产法意见》第</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条在程序上限制新诉讼不同，新《企业破产法》第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条改变了 规则——并非限制诉讼，而是</w:t>
      </w:r>
      <w:r>
        <w:rPr>
          <w:color w:val="000000"/>
          <w:spacing w:val="0"/>
          <w:w w:val="100"/>
          <w:position w:val="0"/>
          <w:lang w:val="zh-CN" w:eastAsia="zh-CN" w:bidi="zh-CN"/>
        </w:rPr>
        <w:t>“有</w:t>
      </w:r>
      <w:r>
        <w:rPr>
          <w:color w:val="000000"/>
          <w:spacing w:val="0"/>
          <w:w w:val="100"/>
          <w:position w:val="0"/>
        </w:rPr>
        <w:t>关债务人</w:t>
      </w:r>
      <w:r>
        <w:rPr>
          <w:color w:val="000000"/>
          <w:spacing w:val="0"/>
          <w:w w:val="100"/>
          <w:position w:val="0"/>
          <w:lang w:val="zh-CN" w:eastAsia="zh-CN" w:bidi="zh-CN"/>
        </w:rPr>
        <w:t>”的新</w:t>
      </w:r>
      <w:r>
        <w:rPr>
          <w:color w:val="000000"/>
          <w:spacing w:val="0"/>
          <w:w w:val="100"/>
          <w:position w:val="0"/>
        </w:rPr>
        <w:t>民事诉讼只能由“受理破产申请的人民法 院”进行集中管辖。虽然债务人不是代位权诉讼的被告，但其一般以诉讼第三人的身份参 与诉讼,因而该诉讼也是</w:t>
      </w:r>
      <w:r>
        <w:rPr>
          <w:color w:val="000000"/>
          <w:spacing w:val="0"/>
          <w:w w:val="100"/>
          <w:position w:val="0"/>
          <w:lang w:val="zh-CN" w:eastAsia="zh-CN" w:bidi="zh-CN"/>
        </w:rPr>
        <w:t>“有关</w:t>
      </w:r>
      <w:r>
        <w:rPr>
          <w:color w:val="000000"/>
          <w:spacing w:val="0"/>
          <w:w w:val="100"/>
          <w:position w:val="0"/>
        </w:rPr>
        <w:t>债务人</w:t>
      </w:r>
      <w:r>
        <w:rPr>
          <w:color w:val="000000"/>
          <w:spacing w:val="0"/>
          <w:w w:val="100"/>
          <w:position w:val="0"/>
          <w:lang w:val="zh-CN" w:eastAsia="zh-CN" w:bidi="zh-CN"/>
        </w:rPr>
        <w:t>”的</w:t>
      </w:r>
      <w:r>
        <w:rPr>
          <w:color w:val="000000"/>
          <w:spacing w:val="0"/>
          <w:w w:val="100"/>
          <w:position w:val="0"/>
        </w:rPr>
        <w:t>新诉讼。但此是否意味着在程序上，债权人可提 起代位权诉讼呢？根据最高人民法院《关于适用〈中华人民共和国企业破产法〉若干问题的 规定（二）》［法释</w:t>
      </w:r>
      <w:r>
        <w:rPr>
          <w:rFonts w:ascii="Times New Roman" w:hAnsi="Times New Roman" w:eastAsia="Times New Roman" w:cs="Times New Roman"/>
          <w:color w:val="000000"/>
          <w:spacing w:val="0"/>
          <w:w w:val="100"/>
          <w:position w:val="0"/>
          <w:sz w:val="19"/>
          <w:szCs w:val="19"/>
        </w:rPr>
        <w:t>（2013）22</w:t>
      </w:r>
      <w:r>
        <w:rPr>
          <w:color w:val="000000"/>
          <w:spacing w:val="0"/>
          <w:w w:val="100"/>
          <w:position w:val="0"/>
        </w:rPr>
        <w:t>号］（以下简称《破产法司法解释二》）第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款的规定，即 使是在破产申请受理前，债权人就已提起代位权诉讼的,破产申请受理时案件尚未审结的, 人民法院也应当中止审理。同时,根据该解释第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条的规定，破产申请受理后，债权人再提 起代位权诉讼的，人民法院将不予受理。其中的原因在于，代位权诉讼是就债务人财产提 起的个别清偿诉讼，因而无法按照新《企业破产法》第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条的规定，在管理人接管债务人的 财产后，继续进行中止的诉讼或者仲裁。</w:t>
      </w:r>
    </w:p>
    <w:p w14:paraId="5E4898B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代位权诉讼之所以与破产程序相悖，与其到底采取“入库规则</w:t>
      </w:r>
      <w:r>
        <w:rPr>
          <w:color w:val="000000"/>
          <w:spacing w:val="0"/>
          <w:w w:val="100"/>
          <w:position w:val="0"/>
          <w:lang w:val="zh-CN" w:eastAsia="zh-CN" w:bidi="zh-CN"/>
        </w:rPr>
        <w:t>”还是“直</w:t>
      </w:r>
      <w:r>
        <w:rPr>
          <w:color w:val="000000"/>
          <w:spacing w:val="0"/>
          <w:w w:val="100"/>
          <w:position w:val="0"/>
        </w:rPr>
        <w:t>接个别清偿规 则</w:t>
      </w:r>
      <w:r>
        <w:rPr>
          <w:color w:val="000000"/>
          <w:spacing w:val="0"/>
          <w:w w:val="100"/>
          <w:position w:val="0"/>
          <w:lang w:val="zh-CN" w:eastAsia="zh-CN" w:bidi="zh-CN"/>
        </w:rPr>
        <w:t>”有关</w:t>
      </w:r>
      <w:r>
        <w:rPr>
          <w:color w:val="000000"/>
          <w:spacing w:val="0"/>
          <w:w w:val="100"/>
          <w:position w:val="0"/>
        </w:rPr>
        <w:t>。代位权诉讼可追溯至法国民法中的间接诉权制度,在强制执行法欠缺对债权人 保护手段的情况下，间接诉权以实体法的形式直接赋予债权人行使债务人权利的权利。但 是债权人不能以自己的名义行使该权利，而仅能以债务人的代理人身份，以债务人的名义 为请求</w:t>
      </w:r>
      <w:r>
        <w:rPr>
          <w:color w:val="000000"/>
          <w:spacing w:val="0"/>
          <w:w w:val="100"/>
          <w:position w:val="0"/>
          <w:sz w:val="11"/>
          <w:szCs w:val="11"/>
        </w:rPr>
        <w:t>（尹田：《法国现代合同法：契约自由与社会公正的冲突与平衡》，法律出版社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年版</w:t>
      </w:r>
      <w:r>
        <w:rPr>
          <w:color w:val="000000"/>
          <w:spacing w:val="0"/>
          <w:w w:val="100"/>
          <w:position w:val="0"/>
        </w:rPr>
        <w:t>，第</w:t>
      </w:r>
      <w:r>
        <w:rPr>
          <w:rFonts w:ascii="Times New Roman" w:hAnsi="Times New Roman" w:eastAsia="Times New Roman" w:cs="Times New Roman"/>
          <w:color w:val="000000"/>
          <w:spacing w:val="0"/>
          <w:w w:val="100"/>
          <w:position w:val="0"/>
          <w:sz w:val="17"/>
          <w:szCs w:val="17"/>
        </w:rPr>
        <w:t xml:space="preserve">299 </w:t>
      </w:r>
      <w:r>
        <w:rPr>
          <w:color w:val="000000"/>
          <w:spacing w:val="0"/>
          <w:w w:val="100"/>
          <w:position w:val="0"/>
          <w:sz w:val="11"/>
          <w:szCs w:val="11"/>
        </w:rPr>
        <w:t>页）。</w:t>
      </w:r>
      <w:r>
        <w:rPr>
          <w:color w:val="000000"/>
          <w:spacing w:val="0"/>
          <w:w w:val="100"/>
          <w:position w:val="0"/>
        </w:rPr>
        <w:t>故债权人代债务人所受领之给付，其标的物仍为一般债权人之共同担保物，行使代位 权者不得直接以之充作清偿。债权人为欲满足自己之债权，应另采强制执行之方法</w:t>
      </w:r>
      <w:r>
        <w:rPr>
          <w:color w:val="000000"/>
          <w:spacing w:val="0"/>
          <w:w w:val="100"/>
          <w:position w:val="0"/>
          <w:sz w:val="11"/>
          <w:szCs w:val="11"/>
        </w:rPr>
        <w:t>（史尚 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471</w:t>
      </w:r>
      <w:r>
        <w:rPr>
          <w:color w:val="000000"/>
          <w:spacing w:val="0"/>
          <w:w w:val="100"/>
          <w:position w:val="0"/>
          <w:sz w:val="11"/>
          <w:szCs w:val="11"/>
        </w:rPr>
        <w:t>页）。</w:t>
      </w:r>
      <w:r>
        <w:rPr>
          <w:color w:val="000000"/>
          <w:spacing w:val="0"/>
          <w:w w:val="100"/>
          <w:position w:val="0"/>
        </w:rPr>
        <w:t>因此,代位权制度的本旨是为维持 债务人之责任财产,提高自身债权的保障。但日本司法实践对债权人代位权的运用大大超 越了该制度本来的宗旨，其判例先后在代位权行使效果以及制度的用途和要件上作出了扩 张，允许代位权人直接受领第三债务人的给付,甚至允许代位权被转用于保全特定债权而 非一般责任财产</w:t>
      </w:r>
      <w:r>
        <w:rPr>
          <w:color w:val="000000"/>
          <w:spacing w:val="0"/>
          <w:w w:val="100"/>
          <w:position w:val="0"/>
          <w:sz w:val="11"/>
          <w:szCs w:val="11"/>
        </w:rPr>
        <w:t>（钱伟荣:《债权人代位权——日本判例和学说的现状及其展望》，韩世远、</w:t>
      </w:r>
      <w:r>
        <w:rPr>
          <w:color w:val="000000"/>
          <w:spacing w:val="0"/>
          <w:w w:val="100"/>
          <w:position w:val="0"/>
          <w:sz w:val="11"/>
          <w:szCs w:val="11"/>
          <w:lang w:val="en-US" w:eastAsia="en-US" w:bidi="en-US"/>
        </w:rPr>
        <w:t>［</w:t>
      </w:r>
      <w:r>
        <w:rPr>
          <w:color w:val="000000"/>
          <w:spacing w:val="0"/>
          <w:w w:val="100"/>
          <w:position w:val="0"/>
          <w:sz w:val="11"/>
          <w:szCs w:val="11"/>
        </w:rPr>
        <w:t>日］下森 定主编:《履行障碍法研究》，法律出版社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年版。转引自潘重阳：《论债权人代位权制度之存废——以 实体与程序交叉为视角》，载《大连海事大学学报》（社会科学版</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r>
        <w:rPr>
          <w:color w:val="000000"/>
          <w:spacing w:val="0"/>
          <w:w w:val="100"/>
          <w:position w:val="0"/>
        </w:rPr>
        <w:t>我国《合同法司法 解释一》中也规定代位权的行使将直接消灭三方关系，即行使代位权者可直接获得次债务 人的清偿。但该规定的目的是为解决困扰中国企业多年的</w:t>
      </w:r>
      <w:r>
        <w:rPr>
          <w:color w:val="000000"/>
          <w:spacing w:val="0"/>
          <w:w w:val="100"/>
          <w:position w:val="0"/>
          <w:lang w:val="zh-CN" w:eastAsia="zh-CN" w:bidi="zh-CN"/>
        </w:rPr>
        <w:t>“三</w:t>
      </w:r>
      <w:r>
        <w:rPr>
          <w:color w:val="000000"/>
          <w:spacing w:val="0"/>
          <w:w w:val="100"/>
          <w:position w:val="0"/>
        </w:rPr>
        <w:t>角债”问题多提供一个可资 利用的手段</w:t>
      </w:r>
      <w:r>
        <w:rPr>
          <w:color w:val="000000"/>
          <w:spacing w:val="0"/>
          <w:w w:val="100"/>
          <w:position w:val="0"/>
          <w:sz w:val="11"/>
          <w:szCs w:val="11"/>
        </w:rPr>
        <w:t>（梁慧星:《读法条 学民法》，人民法院出版社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154</w:t>
      </w:r>
      <w:r>
        <w:rPr>
          <w:color w:val="000000"/>
          <w:spacing w:val="0"/>
          <w:w w:val="100"/>
          <w:position w:val="0"/>
          <w:sz w:val="11"/>
          <w:szCs w:val="11"/>
        </w:rPr>
        <w:t>页）</w:t>
      </w:r>
      <w:r>
        <w:rPr>
          <w:color w:val="000000"/>
          <w:spacing w:val="0"/>
          <w:w w:val="100"/>
          <w:position w:val="0"/>
        </w:rPr>
        <w:t>，具有政策引导性。 一旦采取直接消灭三方债权债务的方式,就是釆取</w:t>
      </w:r>
      <w:r>
        <w:rPr>
          <w:color w:val="000000"/>
          <w:spacing w:val="0"/>
          <w:w w:val="100"/>
          <w:position w:val="0"/>
          <w:lang w:val="zh-CN" w:eastAsia="zh-CN" w:bidi="zh-CN"/>
        </w:rPr>
        <w:t>“直接</w:t>
      </w:r>
      <w:r>
        <w:rPr>
          <w:color w:val="000000"/>
          <w:spacing w:val="0"/>
          <w:w w:val="100"/>
          <w:position w:val="0"/>
        </w:rPr>
        <w:t>个别清偿规则”，便会与破产程序 中禁止个别清偿原则不符。</w:t>
      </w:r>
    </w:p>
    <w:p w14:paraId="76FEEC57">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对于此，《民法典》第</w:t>
      </w:r>
      <w:r>
        <w:rPr>
          <w:rFonts w:ascii="Times New Roman" w:hAnsi="Times New Roman" w:eastAsia="Times New Roman" w:cs="Times New Roman"/>
          <w:color w:val="000000"/>
          <w:spacing w:val="0"/>
          <w:w w:val="100"/>
          <w:position w:val="0"/>
          <w:sz w:val="19"/>
          <w:szCs w:val="19"/>
        </w:rPr>
        <w:t>537</w:t>
      </w:r>
      <w:r>
        <w:rPr>
          <w:color w:val="000000"/>
          <w:spacing w:val="0"/>
          <w:w w:val="100"/>
          <w:position w:val="0"/>
        </w:rPr>
        <w:t>条仍采取</w:t>
      </w:r>
      <w:r>
        <w:rPr>
          <w:color w:val="000000"/>
          <w:spacing w:val="0"/>
          <w:w w:val="100"/>
          <w:position w:val="0"/>
          <w:lang w:val="zh-CN" w:eastAsia="zh-CN" w:bidi="zh-CN"/>
        </w:rPr>
        <w:t>“直接</w:t>
      </w:r>
      <w:r>
        <w:rPr>
          <w:color w:val="000000"/>
          <w:spacing w:val="0"/>
          <w:w w:val="100"/>
          <w:position w:val="0"/>
        </w:rPr>
        <w:t>个别清偿规则</w:t>
      </w:r>
      <w:r>
        <w:rPr>
          <w:color w:val="000000"/>
          <w:spacing w:val="0"/>
          <w:w w:val="100"/>
          <w:position w:val="0"/>
          <w:lang w:val="zh-CN" w:eastAsia="zh-CN" w:bidi="zh-CN"/>
        </w:rPr>
        <w:t>”，又</w:t>
      </w:r>
      <w:r>
        <w:rPr>
          <w:color w:val="000000"/>
          <w:spacing w:val="0"/>
          <w:w w:val="100"/>
          <w:position w:val="0"/>
        </w:rPr>
        <w:t xml:space="preserve">特别规定“债务人破产的， 依照相关法律的规定处理”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此时,若债务人进入破产程序,但其管理人仍怠于行使债权 的，债权人只能通过申报债权，并在债权人会议中提出监督的方式要求管理人追回债务人 的财产。如果提岀监督后，管理人仍然怠于行使债权，是否允许债权人以“入库规则”为效 果提起代位权诉讼呢？对于此，《破产法司法解释二》第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款规定，若债权人提起代 位权诉讼后,在一审中变更其诉讼请求为追收的相关财产归入债务人财产的，可不中止审 理。但该款仅适用于</w:t>
      </w:r>
      <w:r>
        <w:rPr>
          <w:color w:val="000000"/>
          <w:spacing w:val="0"/>
          <w:w w:val="100"/>
          <w:position w:val="0"/>
          <w:lang w:val="zh-CN" w:eastAsia="zh-CN" w:bidi="zh-CN"/>
        </w:rPr>
        <w:t>“破</w:t>
      </w:r>
      <w:r>
        <w:rPr>
          <w:color w:val="000000"/>
          <w:spacing w:val="0"/>
          <w:w w:val="100"/>
          <w:position w:val="0"/>
        </w:rPr>
        <w:t>产申请受理前</w:t>
      </w:r>
      <w:r>
        <w:rPr>
          <w:color w:val="000000"/>
          <w:spacing w:val="0"/>
          <w:w w:val="100"/>
          <w:position w:val="0"/>
          <w:lang w:val="zh-CN" w:eastAsia="zh-CN" w:bidi="zh-CN"/>
        </w:rPr>
        <w:t>”提起</w:t>
      </w:r>
      <w:r>
        <w:rPr>
          <w:color w:val="000000"/>
          <w:spacing w:val="0"/>
          <w:w w:val="100"/>
          <w:position w:val="0"/>
        </w:rPr>
        <w:t>的代位权诉讼，对于</w:t>
      </w:r>
      <w:r>
        <w:rPr>
          <w:color w:val="000000"/>
          <w:spacing w:val="0"/>
          <w:w w:val="100"/>
          <w:position w:val="0"/>
          <w:lang w:val="zh-CN" w:eastAsia="zh-CN" w:bidi="zh-CN"/>
        </w:rPr>
        <w:t>“破产</w:t>
      </w:r>
      <w:r>
        <w:rPr>
          <w:color w:val="000000"/>
          <w:spacing w:val="0"/>
          <w:w w:val="100"/>
          <w:position w:val="0"/>
        </w:rPr>
        <w:t>申请受理后”提起的 代位权诉讼,依据该解释第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条，似无受理的可能。不过，第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款中“个别债权人代 表全体债权人</w:t>
      </w:r>
      <w:r>
        <w:rPr>
          <w:color w:val="000000"/>
          <w:spacing w:val="0"/>
          <w:w w:val="100"/>
          <w:position w:val="0"/>
          <w:lang w:val="zh-CN" w:eastAsia="zh-CN" w:bidi="zh-CN"/>
        </w:rPr>
        <w:t>……</w:t>
      </w:r>
      <w:r>
        <w:rPr>
          <w:color w:val="000000"/>
          <w:spacing w:val="0"/>
          <w:w w:val="100"/>
          <w:position w:val="0"/>
        </w:rPr>
        <w:t>主张次债务人</w:t>
      </w:r>
      <w:r>
        <w:rPr>
          <w:color w:val="000000"/>
          <w:spacing w:val="0"/>
          <w:w w:val="100"/>
          <w:position w:val="0"/>
          <w:lang w:val="zh-CN" w:eastAsia="zh-CN" w:bidi="zh-CN"/>
        </w:rPr>
        <w:t>……</w:t>
      </w:r>
      <w:r>
        <w:rPr>
          <w:color w:val="000000"/>
          <w:spacing w:val="0"/>
          <w:w w:val="100"/>
          <w:position w:val="0"/>
        </w:rPr>
        <w:t>向债务人清偿</w:t>
      </w:r>
      <w:r>
        <w:rPr>
          <w:color w:val="000000"/>
          <w:spacing w:val="0"/>
          <w:w w:val="100"/>
          <w:position w:val="0"/>
          <w:lang w:val="zh-CN" w:eastAsia="zh-CN" w:bidi="zh-CN"/>
        </w:rPr>
        <w:t>”（采</w:t>
      </w:r>
      <w:r>
        <w:rPr>
          <w:color w:val="000000"/>
          <w:spacing w:val="0"/>
          <w:w w:val="100"/>
          <w:position w:val="0"/>
        </w:rPr>
        <w:t>取“入库规则”）在教义学归类上也 可属于代位权诉讼。</w:t>
      </w:r>
    </w:p>
    <w:p w14:paraId="2DFC41CF">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39F40D57">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债权人代位权诉讼在破产程序中面临的首要冲突便是该案件的诉讼管辖权归属于哪 一家法院，以及是否允许当事人排除。《合同法司法解释一》第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条规定:“债权人依照合 同法第七十三条的规定提起代位权诉讼的，由被告住所地人民法院管辖</w:t>
      </w:r>
      <w:r>
        <w:rPr>
          <w:color w:val="000000"/>
          <w:spacing w:val="0"/>
          <w:w w:val="100"/>
          <w:position w:val="0"/>
          <w:lang w:val="zh-CN" w:eastAsia="zh-CN" w:bidi="zh-CN"/>
        </w:rPr>
        <w:t>。”而</w:t>
      </w:r>
      <w:r>
        <w:rPr>
          <w:color w:val="000000"/>
          <w:spacing w:val="0"/>
          <w:w w:val="100"/>
          <w:position w:val="0"/>
        </w:rPr>
        <w:t>《企业破产法》 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w:t>
      </w:r>
      <w:r>
        <w:rPr>
          <w:color w:val="000000"/>
          <w:spacing w:val="0"/>
          <w:w w:val="100"/>
          <w:position w:val="0"/>
          <w:lang w:val="zh-CN" w:eastAsia="zh-CN" w:bidi="zh-CN"/>
        </w:rPr>
        <w:t>“人民</w:t>
      </w:r>
      <w:r>
        <w:rPr>
          <w:color w:val="000000"/>
          <w:spacing w:val="0"/>
          <w:w w:val="100"/>
          <w:position w:val="0"/>
        </w:rPr>
        <w:t>法院受理破产申请后，有关债务人的民事诉讼，只能向受理破产申请的 人民法院提起。”针对这两者优先适用的问题，浙江</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公司等诉金</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投资股份有限公司 等债权人代位权纠纷案［浙江省高级人民法院</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浙辖终字第</w:t>
      </w:r>
      <w:r>
        <w:rPr>
          <w:rFonts w:ascii="Times New Roman" w:hAnsi="Times New Roman" w:eastAsia="Times New Roman" w:cs="Times New Roman"/>
          <w:color w:val="000000"/>
          <w:spacing w:val="0"/>
          <w:w w:val="100"/>
          <w:position w:val="0"/>
          <w:sz w:val="19"/>
          <w:szCs w:val="19"/>
        </w:rPr>
        <w:t>141</w:t>
      </w:r>
      <w:r>
        <w:rPr>
          <w:color w:val="000000"/>
          <w:spacing w:val="0"/>
          <w:w w:val="100"/>
          <w:position w:val="0"/>
        </w:rPr>
        <w:t>号民事裁定书］中，浙 江省高级人民法院认为，《合同法司法解释一》第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条系对民事诉讼法规定的原告就被告 原则的重申,属一般规定;《企业破产法》第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条系对涉及破产债务人民事诉讼管辖的特别 规定。根据特别法优于一般法的法律适用原则，应当适用《企业破产法》第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条确定管辖 权。而就是否允许当事人约定排除，湘电风能有限公司、弈成新材料科技（上海）有限公司 债权人代位权纠纷案［最高人民法院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民辖终</w:t>
      </w:r>
      <w:r>
        <w:rPr>
          <w:rFonts w:ascii="Times New Roman" w:hAnsi="Times New Roman" w:eastAsia="Times New Roman" w:cs="Times New Roman"/>
          <w:color w:val="000000"/>
          <w:spacing w:val="0"/>
          <w:w w:val="100"/>
          <w:position w:val="0"/>
          <w:sz w:val="19"/>
          <w:szCs w:val="19"/>
        </w:rPr>
        <w:t>73</w:t>
      </w:r>
      <w:r>
        <w:rPr>
          <w:color w:val="000000"/>
          <w:spacing w:val="0"/>
          <w:w w:val="100"/>
          <w:position w:val="0"/>
        </w:rPr>
        <w:t>号民事裁定书］中，最高人民法院将 《合同法司法解释一》第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条界定为债权人代位权诉讼特殊地域管辖规定,认定其为不得 违反的强制性规定。</w:t>
      </w:r>
    </w:p>
    <w:p w14:paraId="3843E814">
      <w:pPr>
        <w:pStyle w:val="17"/>
        <w:keepNext w:val="0"/>
        <w:keepLines w:val="0"/>
        <w:widowControl w:val="0"/>
        <w:shd w:val="clear" w:color="auto" w:fill="auto"/>
        <w:bidi w:val="0"/>
        <w:spacing w:before="0" w:after="0" w:line="343" w:lineRule="exact"/>
        <w:ind w:left="0" w:right="0" w:firstLine="420"/>
        <w:jc w:val="both"/>
        <w:rPr>
          <w:sz w:val="19"/>
          <w:szCs w:val="19"/>
        </w:rPr>
      </w:pPr>
      <w:r>
        <w:rPr>
          <w:color w:val="000000"/>
          <w:spacing w:val="0"/>
          <w:w w:val="100"/>
          <w:position w:val="0"/>
          <w:sz w:val="18"/>
          <w:szCs w:val="18"/>
        </w:rPr>
        <w:t>在明确诉讼管辖法院后，若债务人的破产申请已被人民法院受理，此时债权人的债权 如何得到保障？司法实践中主要依据债权人代位权诉讼情况分为三类：（</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）代位权诉讼尚 未提起，债权人向破产管理人申报债权。即便债权人向人民法院提起代位权诉讼的，法院 也将依照《破产法司法解释二》第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sz w:val="18"/>
          <w:szCs w:val="18"/>
        </w:rPr>
        <w:t>条的规定不予受理。</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已提起代位权诉讼但未作出 判决的，依照《破产法司法解释二》第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项规定，中止审理，并移送破产受理法 院［广东省高级人民法院</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sz w:val="18"/>
          <w:szCs w:val="18"/>
        </w:rPr>
        <w:t>粤民申</w:t>
      </w:r>
      <w:r>
        <w:rPr>
          <w:rFonts w:ascii="Times New Roman" w:hAnsi="Times New Roman" w:eastAsia="Times New Roman" w:cs="Times New Roman"/>
          <w:color w:val="000000"/>
          <w:spacing w:val="0"/>
          <w:w w:val="100"/>
          <w:position w:val="0"/>
          <w:sz w:val="19"/>
          <w:szCs w:val="19"/>
        </w:rPr>
        <w:t>7387</w:t>
      </w:r>
      <w:r>
        <w:rPr>
          <w:color w:val="000000"/>
          <w:spacing w:val="0"/>
          <w:w w:val="100"/>
          <w:position w:val="0"/>
          <w:sz w:val="18"/>
          <w:szCs w:val="18"/>
        </w:rPr>
        <w:t>号民事裁定书］。</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代位权诉讼判决已作出， 但未执行完毕。人民法院应根据《企业破产法》第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sz w:val="18"/>
          <w:szCs w:val="18"/>
        </w:rPr>
        <w:t>条、《破产法司法解释二》第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sz w:val="18"/>
          <w:szCs w:val="18"/>
        </w:rPr>
        <w:t>条的规 定，中止执行，由债权人依法向管理人申报债权［江苏省高级人民法院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sz w:val="18"/>
          <w:szCs w:val="18"/>
        </w:rPr>
        <w:t>苏执监</w:t>
      </w:r>
      <w:r>
        <w:rPr>
          <w:rFonts w:ascii="Times New Roman" w:hAnsi="Times New Roman" w:eastAsia="Times New Roman" w:cs="Times New Roman"/>
          <w:color w:val="000000"/>
          <w:spacing w:val="0"/>
          <w:w w:val="100"/>
          <w:position w:val="0"/>
          <w:sz w:val="19"/>
          <w:szCs w:val="19"/>
        </w:rPr>
        <w:t>483</w:t>
      </w:r>
      <w:r>
        <w:rPr>
          <w:color w:val="000000"/>
          <w:spacing w:val="0"/>
          <w:w w:val="100"/>
          <w:position w:val="0"/>
          <w:sz w:val="18"/>
          <w:szCs w:val="18"/>
        </w:rPr>
        <w:t>号 执行裁定书］</w:t>
      </w:r>
      <w:r>
        <w:rPr>
          <w:rFonts w:ascii="Times New Roman" w:hAnsi="Times New Roman" w:eastAsia="Times New Roman" w:cs="Times New Roman"/>
          <w:color w:val="000000"/>
          <w:spacing w:val="0"/>
          <w:w w:val="100"/>
          <w:position w:val="0"/>
          <w:sz w:val="19"/>
          <w:szCs w:val="19"/>
          <w:lang w:val="en-US" w:eastAsia="en-US" w:bidi="en-US"/>
        </w:rPr>
        <w:t>O</w:t>
      </w:r>
    </w:p>
    <w:p w14:paraId="533053AE">
      <w:pPr>
        <w:pStyle w:val="17"/>
        <w:keepNext w:val="0"/>
        <w:keepLines w:val="0"/>
        <w:widowControl w:val="0"/>
        <w:shd w:val="clear" w:color="auto" w:fill="auto"/>
        <w:bidi w:val="0"/>
        <w:spacing w:before="0" w:after="180" w:line="343" w:lineRule="exact"/>
        <w:ind w:left="0" w:right="0" w:firstLine="420"/>
        <w:jc w:val="both"/>
        <w:rPr>
          <w:sz w:val="11"/>
          <w:szCs w:val="11"/>
        </w:rPr>
      </w:pPr>
      <w:r>
        <w:rPr>
          <w:color w:val="000000"/>
          <w:spacing w:val="0"/>
          <w:w w:val="100"/>
          <w:position w:val="0"/>
          <w:sz w:val="18"/>
          <w:szCs w:val="18"/>
        </w:rPr>
        <w:t>依据《破产法司法解释二》第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款和第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款，在特别情形下债权人可提 起以</w:t>
      </w:r>
      <w:r>
        <w:rPr>
          <w:color w:val="000000"/>
          <w:spacing w:val="0"/>
          <w:w w:val="100"/>
          <w:position w:val="0"/>
          <w:sz w:val="18"/>
          <w:szCs w:val="18"/>
          <w:lang w:val="zh-CN" w:eastAsia="zh-CN" w:bidi="zh-CN"/>
        </w:rPr>
        <w:t>“入库”为</w:t>
      </w:r>
      <w:r>
        <w:rPr>
          <w:color w:val="000000"/>
          <w:spacing w:val="0"/>
          <w:w w:val="100"/>
          <w:position w:val="0"/>
          <w:sz w:val="18"/>
          <w:szCs w:val="18"/>
        </w:rPr>
        <w:t>目的的代位权诉讼，此时仍需满足代位权实现的一般要件。例如，实践中存 在债务人与次债务人人格混同且互负债权债务，债务人对次债务人的债权被法院认定抵 销,从而导致债权人代位权诉讼构成要件缺失的情况</w:t>
      </w:r>
      <w:r>
        <w:rPr>
          <w:color w:val="000000"/>
          <w:spacing w:val="0"/>
          <w:w w:val="100"/>
          <w:position w:val="0"/>
          <w:sz w:val="11"/>
          <w:szCs w:val="11"/>
        </w:rPr>
        <w:t>［辽宁省高级人民法院（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辽民终</w:t>
      </w:r>
      <w:r>
        <w:rPr>
          <w:rFonts w:ascii="Times New Roman" w:hAnsi="Times New Roman" w:eastAsia="Times New Roman" w:cs="Times New Roman"/>
          <w:color w:val="000000"/>
          <w:spacing w:val="0"/>
          <w:w w:val="100"/>
          <w:position w:val="0"/>
          <w:sz w:val="17"/>
          <w:szCs w:val="17"/>
        </w:rPr>
        <w:t xml:space="preserve">1288 </w:t>
      </w:r>
      <w:r>
        <w:rPr>
          <w:color w:val="000000"/>
          <w:spacing w:val="0"/>
          <w:w w:val="100"/>
          <w:position w:val="0"/>
          <w:sz w:val="11"/>
          <w:szCs w:val="11"/>
        </w:rPr>
        <w:t>号民事判决书］。</w:t>
      </w:r>
    </w:p>
    <w:p w14:paraId="51BF6CDA">
      <w:pPr>
        <w:pStyle w:val="17"/>
        <w:keepNext w:val="0"/>
        <w:keepLines w:val="0"/>
        <w:widowControl w:val="0"/>
        <w:shd w:val="clear" w:color="auto" w:fill="auto"/>
        <w:bidi w:val="0"/>
        <w:spacing w:before="0" w:after="180" w:line="343"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本裁定的参考意义及将来的课题</w:t>
      </w:r>
    </w:p>
    <w:p w14:paraId="337BF8A5">
      <w:pPr>
        <w:pStyle w:val="17"/>
        <w:keepNext w:val="0"/>
        <w:keepLines w:val="0"/>
        <w:widowControl w:val="0"/>
        <w:shd w:val="clear" w:color="auto" w:fill="auto"/>
        <w:bidi w:val="0"/>
        <w:spacing w:before="0" w:after="0" w:line="331" w:lineRule="exact"/>
        <w:ind w:left="0" w:right="0" w:firstLine="420"/>
        <w:jc w:val="both"/>
      </w:pPr>
      <w:r>
        <w:rPr>
          <w:color w:val="000000"/>
          <w:spacing w:val="0"/>
          <w:w w:val="100"/>
          <w:position w:val="0"/>
        </w:rPr>
        <w:t>就债权人代位权在破产程序中的行使问题，本案中最高人民法院清晰地指出普通民事 诉讼程序与破产程序对个别债权人和全体债权人保护的区别，即在债务人进入破产程序 后，若以</w:t>
      </w:r>
      <w:r>
        <w:rPr>
          <w:color w:val="000000"/>
          <w:spacing w:val="0"/>
          <w:w w:val="100"/>
          <w:position w:val="0"/>
          <w:lang w:val="zh-CN" w:eastAsia="zh-CN" w:bidi="zh-CN"/>
        </w:rPr>
        <w:t>“直</w:t>
      </w:r>
      <w:r>
        <w:rPr>
          <w:color w:val="000000"/>
          <w:spacing w:val="0"/>
          <w:w w:val="100"/>
          <w:position w:val="0"/>
        </w:rPr>
        <w:t>接个别清偿”为目的提起代位权诉讼将与破产法禁止个别清偿和公平清偿原则 相悖。但根据《破产法司法解释二》的相关规定，以</w:t>
      </w:r>
      <w:r>
        <w:rPr>
          <w:color w:val="000000"/>
          <w:spacing w:val="0"/>
          <w:w w:val="100"/>
          <w:position w:val="0"/>
          <w:lang w:val="zh-CN" w:eastAsia="zh-CN" w:bidi="zh-CN"/>
        </w:rPr>
        <w:t>“入</w:t>
      </w:r>
      <w:r>
        <w:rPr>
          <w:color w:val="000000"/>
          <w:spacing w:val="0"/>
          <w:w w:val="100"/>
          <w:position w:val="0"/>
        </w:rPr>
        <w:t>库”为目的的代位权诉讼在特别情形 下仍可得到支持。此时代位权诉讼的法律效果则从直接消灭债权人与债务人以及债务人 与次债务人之间的债权债务关系，降格为仅消灭债务人与次债务人之间的债权债务关系。 但本案中仅就一般情形下限制破产程序中代位权诉讼的提起进行了裁判，对于特别情形下 以</w:t>
      </w:r>
      <w:r>
        <w:rPr>
          <w:color w:val="000000"/>
          <w:spacing w:val="0"/>
          <w:w w:val="100"/>
          <w:position w:val="0"/>
          <w:lang w:val="zh-CN" w:eastAsia="zh-CN" w:bidi="zh-CN"/>
        </w:rPr>
        <w:t>“入库”为</w:t>
      </w:r>
      <w:r>
        <w:rPr>
          <w:color w:val="000000"/>
          <w:spacing w:val="0"/>
          <w:w w:val="100"/>
          <w:position w:val="0"/>
        </w:rPr>
        <w:t>目的的代位权诉讼是否得以适用未表明态度。</w:t>
      </w:r>
    </w:p>
    <w:p w14:paraId="2336EC0C">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对于此，要对破产法中的相关规定作进一步的分析和研究，即是否在破产程序中存在 以</w:t>
      </w:r>
      <w:r>
        <w:rPr>
          <w:color w:val="000000"/>
          <w:spacing w:val="0"/>
          <w:w w:val="100"/>
          <w:position w:val="0"/>
          <w:lang w:val="zh-CN" w:eastAsia="zh-CN" w:bidi="zh-CN"/>
        </w:rPr>
        <w:t>“入库”为</w:t>
      </w:r>
      <w:r>
        <w:rPr>
          <w:color w:val="000000"/>
          <w:spacing w:val="0"/>
          <w:w w:val="100"/>
          <w:position w:val="0"/>
        </w:rPr>
        <w:t>目的的代位权。此外,还需关注《民法典》第</w:t>
      </w:r>
      <w:r>
        <w:rPr>
          <w:rFonts w:ascii="Times New Roman" w:hAnsi="Times New Roman" w:eastAsia="Times New Roman" w:cs="Times New Roman"/>
          <w:color w:val="000000"/>
          <w:spacing w:val="0"/>
          <w:w w:val="100"/>
          <w:position w:val="0"/>
          <w:sz w:val="19"/>
          <w:szCs w:val="19"/>
        </w:rPr>
        <w:t>536</w:t>
      </w:r>
      <w:r>
        <w:rPr>
          <w:color w:val="000000"/>
          <w:spacing w:val="0"/>
          <w:w w:val="100"/>
          <w:position w:val="0"/>
        </w:rPr>
        <w:t>条的规定:“债权人的债权到期 前,债务人的债权或者与该债权有关的从权利存在诉讼时效期间即将届满或者未及时申报 破产债权等情形，影响债权人的债权实现的，债权人可以代位向债务人的相对人请求其向 债务人履行、向破产管理人申报或者作出其他必要的行为。</w:t>
      </w:r>
      <w:r>
        <w:rPr>
          <w:color w:val="000000"/>
          <w:spacing w:val="0"/>
          <w:w w:val="100"/>
          <w:position w:val="0"/>
          <w:lang w:val="zh-CN" w:eastAsia="zh-CN" w:bidi="zh-CN"/>
        </w:rPr>
        <w:t>”这与</w:t>
      </w: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537</w:t>
      </w:r>
      <w:r>
        <w:rPr>
          <w:color w:val="000000"/>
          <w:spacing w:val="0"/>
          <w:w w:val="100"/>
          <w:position w:val="0"/>
        </w:rPr>
        <w:t>条中规定 的代位权成立的，由次债务人向债权人履行义务不同。第</w:t>
      </w:r>
      <w:r>
        <w:rPr>
          <w:rFonts w:ascii="Times New Roman" w:hAnsi="Times New Roman" w:eastAsia="Times New Roman" w:cs="Times New Roman"/>
          <w:color w:val="000000"/>
          <w:spacing w:val="0"/>
          <w:w w:val="100"/>
          <w:position w:val="0"/>
          <w:sz w:val="19"/>
          <w:szCs w:val="19"/>
        </w:rPr>
        <w:t>536</w:t>
      </w:r>
      <w:r>
        <w:rPr>
          <w:color w:val="000000"/>
          <w:spacing w:val="0"/>
          <w:w w:val="100"/>
          <w:position w:val="0"/>
        </w:rPr>
        <w:t xml:space="preserve">条实际创设了特别情形下以 </w:t>
      </w:r>
      <w:r>
        <w:rPr>
          <w:color w:val="000000"/>
          <w:spacing w:val="0"/>
          <w:w w:val="100"/>
          <w:position w:val="0"/>
          <w:lang w:val="zh-CN" w:eastAsia="zh-CN" w:bidi="zh-CN"/>
        </w:rPr>
        <w:t>“入库”为</w:t>
      </w:r>
      <w:r>
        <w:rPr>
          <w:color w:val="000000"/>
          <w:spacing w:val="0"/>
          <w:w w:val="100"/>
          <w:position w:val="0"/>
        </w:rPr>
        <w:t>目的的代位权，第</w:t>
      </w:r>
      <w:r>
        <w:rPr>
          <w:rFonts w:ascii="Times New Roman" w:hAnsi="Times New Roman" w:eastAsia="Times New Roman" w:cs="Times New Roman"/>
          <w:color w:val="000000"/>
          <w:spacing w:val="0"/>
          <w:w w:val="100"/>
          <w:position w:val="0"/>
          <w:sz w:val="19"/>
          <w:szCs w:val="19"/>
        </w:rPr>
        <w:t>537</w:t>
      </w:r>
      <w:r>
        <w:rPr>
          <w:color w:val="000000"/>
          <w:spacing w:val="0"/>
          <w:w w:val="100"/>
          <w:position w:val="0"/>
        </w:rPr>
        <w:t>条则是仍以“直接个别清偿</w:t>
      </w:r>
      <w:r>
        <w:rPr>
          <w:color w:val="000000"/>
          <w:spacing w:val="0"/>
          <w:w w:val="100"/>
          <w:position w:val="0"/>
          <w:lang w:val="zh-CN" w:eastAsia="zh-CN" w:bidi="zh-CN"/>
        </w:rPr>
        <w:t>”为目</w:t>
      </w:r>
      <w:r>
        <w:rPr>
          <w:color w:val="000000"/>
          <w:spacing w:val="0"/>
          <w:w w:val="100"/>
          <w:position w:val="0"/>
        </w:rPr>
        <w:t>的的代位权。从第</w:t>
      </w:r>
      <w:r>
        <w:rPr>
          <w:rFonts w:ascii="Times New Roman" w:hAnsi="Times New Roman" w:eastAsia="Times New Roman" w:cs="Times New Roman"/>
          <w:color w:val="000000"/>
          <w:spacing w:val="0"/>
          <w:w w:val="100"/>
          <w:position w:val="0"/>
          <w:sz w:val="19"/>
          <w:szCs w:val="19"/>
        </w:rPr>
        <w:t>537</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句“债务人对相对人的债权或者与该债权有关的从权利被采取保全、执行措施,或者债 务人破产的，依照相关法律的规定处理</w:t>
      </w:r>
      <w:r>
        <w:rPr>
          <w:color w:val="000000"/>
          <w:spacing w:val="0"/>
          <w:w w:val="100"/>
          <w:position w:val="0"/>
          <w:lang w:val="zh-CN" w:eastAsia="zh-CN" w:bidi="zh-CN"/>
        </w:rPr>
        <w:t>”来看</w:t>
      </w:r>
      <w:r>
        <w:rPr>
          <w:color w:val="000000"/>
          <w:spacing w:val="0"/>
          <w:w w:val="100"/>
          <w:position w:val="0"/>
        </w:rPr>
        <w:t>，立法者有意创设不同于以</w:t>
      </w:r>
      <w:r>
        <w:rPr>
          <w:color w:val="000000"/>
          <w:spacing w:val="0"/>
          <w:w w:val="100"/>
          <w:position w:val="0"/>
          <w:lang w:val="zh-CN" w:eastAsia="zh-CN" w:bidi="zh-CN"/>
        </w:rPr>
        <w:t>“直接</w:t>
      </w:r>
      <w:r>
        <w:rPr>
          <w:color w:val="000000"/>
          <w:spacing w:val="0"/>
          <w:w w:val="100"/>
          <w:position w:val="0"/>
        </w:rPr>
        <w:t>个别清偿”为 目的的特别代位权。此是否表明进入破产程序后，债权人仍可以在特别情形下行使以“入 库</w:t>
      </w:r>
      <w:r>
        <w:rPr>
          <w:color w:val="000000"/>
          <w:spacing w:val="0"/>
          <w:w w:val="100"/>
          <w:position w:val="0"/>
          <w:lang w:val="zh-CN" w:eastAsia="zh-CN" w:bidi="zh-CN"/>
        </w:rPr>
        <w:t>”为目</w:t>
      </w:r>
      <w:r>
        <w:rPr>
          <w:color w:val="000000"/>
          <w:spacing w:val="0"/>
          <w:w w:val="100"/>
          <w:position w:val="0"/>
        </w:rPr>
        <w:t>的的代位权,需进一步明确。</w:t>
      </w:r>
    </w:p>
    <w:p w14:paraId="0B66DC3D">
      <w:pPr>
        <w:pStyle w:val="11"/>
        <w:keepNext w:val="0"/>
        <w:keepLines w:val="0"/>
        <w:widowControl w:val="0"/>
        <w:shd w:val="clear" w:color="auto" w:fill="auto"/>
        <w:bidi w:val="0"/>
        <w:spacing w:before="0" w:after="80" w:line="340" w:lineRule="exact"/>
        <w:ind w:left="0" w:right="0" w:firstLine="0"/>
        <w:jc w:val="both"/>
      </w:pPr>
      <w:r>
        <w:rPr>
          <w:color w:val="000000"/>
          <w:spacing w:val="0"/>
          <w:w w:val="100"/>
          <w:position w:val="0"/>
        </w:rPr>
        <w:t>回参考文献</w:t>
      </w:r>
    </w:p>
    <w:p w14:paraId="567E6D61">
      <w:pPr>
        <w:pStyle w:val="33"/>
        <w:keepNext w:val="0"/>
        <w:keepLines w:val="0"/>
        <w:widowControl w:val="0"/>
        <w:shd w:val="clear" w:color="auto" w:fill="auto"/>
        <w:bidi w:val="0"/>
        <w:spacing w:before="0" w:after="0" w:line="298" w:lineRule="exact"/>
        <w:ind w:left="0" w:right="0" w:firstLine="0"/>
        <w:jc w:val="both"/>
      </w:pPr>
      <w:r>
        <w:rPr>
          <w:color w:val="000000"/>
          <w:spacing w:val="0"/>
          <w:w w:val="100"/>
          <w:position w:val="0"/>
        </w:rPr>
        <w:t>史尚宽:《债法总论》，中国政法大学出版社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18D1ED61">
      <w:pPr>
        <w:pStyle w:val="33"/>
        <w:keepNext w:val="0"/>
        <w:keepLines w:val="0"/>
        <w:widowControl w:val="0"/>
        <w:shd w:val="clear" w:color="auto" w:fill="auto"/>
        <w:bidi w:val="0"/>
        <w:spacing w:before="0" w:after="0" w:line="298" w:lineRule="exact"/>
        <w:ind w:left="0" w:right="0" w:firstLine="0"/>
        <w:jc w:val="both"/>
      </w:pPr>
      <w:r>
        <w:rPr>
          <w:color w:val="000000"/>
          <w:spacing w:val="0"/>
          <w:w w:val="100"/>
          <w:position w:val="0"/>
        </w:rPr>
        <w:t>尹田：《法国现代合同法：契约自由与社会公正的冲突与平衡》，法律出版社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0CBD8392">
      <w:pPr>
        <w:pStyle w:val="33"/>
        <w:keepNext w:val="0"/>
        <w:keepLines w:val="0"/>
        <w:widowControl w:val="0"/>
        <w:shd w:val="clear" w:color="auto" w:fill="auto"/>
        <w:bidi w:val="0"/>
        <w:spacing w:before="0" w:after="0" w:line="298" w:lineRule="exact"/>
        <w:ind w:left="200" w:right="0" w:hanging="200"/>
        <w:jc w:val="both"/>
      </w:pPr>
      <w:r>
        <w:rPr>
          <w:color w:val="000000"/>
          <w:spacing w:val="0"/>
          <w:w w:val="100"/>
          <w:position w:val="0"/>
        </w:rPr>
        <w:t>潘重阳：《论债权人代位权制度之存废</w:t>
      </w:r>
      <w:r>
        <w:rPr>
          <w:color w:val="000000"/>
          <w:spacing w:val="0"/>
          <w:w w:val="100"/>
          <w:position w:val="0"/>
          <w:lang w:val="en-US" w:eastAsia="en-US" w:bidi="en-US"/>
        </w:rPr>
        <w:t>一一</w:t>
      </w:r>
      <w:r>
        <w:rPr>
          <w:color w:val="000000"/>
          <w:spacing w:val="0"/>
          <w:w w:val="100"/>
          <w:position w:val="0"/>
        </w:rPr>
        <w:t>以实体与程序交叉为视角》，载《大连海事大学学报》（社会科 学版</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777FFDCE">
      <w:pPr>
        <w:pStyle w:val="33"/>
        <w:keepNext w:val="0"/>
        <w:keepLines w:val="0"/>
        <w:widowControl w:val="0"/>
        <w:shd w:val="clear" w:color="auto" w:fill="auto"/>
        <w:bidi w:val="0"/>
        <w:spacing w:before="0" w:after="40" w:line="298" w:lineRule="exact"/>
        <w:ind w:left="0" w:right="0" w:firstLine="0"/>
        <w:jc w:val="left"/>
        <w:sectPr>
          <w:headerReference r:id="rId388" w:type="default"/>
          <w:headerReference r:id="rId389" w:type="even"/>
          <w:footnotePr>
            <w:numFmt w:val="chicago"/>
          </w:footnotePr>
          <w:pgSz w:w="10099" w:h="14782"/>
          <w:pgMar w:top="1297" w:right="999" w:bottom="1112" w:left="1097" w:header="0" w:footer="3" w:gutter="0"/>
          <w:pgNumType w:start="317"/>
          <w:cols w:space="720" w:num="1"/>
          <w:rtlGutter w:val="0"/>
          <w:docGrid w:linePitch="360" w:charSpace="0"/>
        </w:sectPr>
      </w:pPr>
      <w:r>
        <w:rPr>
          <w:color w:val="000000"/>
          <w:spacing w:val="0"/>
          <w:w w:val="100"/>
          <w:position w:val="0"/>
        </w:rPr>
        <w:t>梁慧星：《读条文 学民法》，人民法院出版社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w:t>
      </w:r>
    </w:p>
    <w:p w14:paraId="74DD0584">
      <w:pPr>
        <w:widowControl w:val="0"/>
        <w:spacing w:line="139" w:lineRule="exact"/>
        <w:rPr>
          <w:sz w:val="11"/>
          <w:szCs w:val="11"/>
        </w:rPr>
      </w:pPr>
    </w:p>
    <w:p w14:paraId="293B61FF">
      <w:pPr>
        <w:widowControl w:val="0"/>
        <w:spacing w:line="1" w:lineRule="exact"/>
        <w:sectPr>
          <w:headerReference r:id="rId390" w:type="default"/>
          <w:headerReference r:id="rId391" w:type="even"/>
          <w:footnotePr>
            <w:numFmt w:val="chicago"/>
          </w:footnotePr>
          <w:pgSz w:w="10099" w:h="14782"/>
          <w:pgMar w:top="1291" w:right="1034" w:bottom="1101" w:left="1064" w:header="0" w:footer="3" w:gutter="0"/>
          <w:pgNumType w:start="337"/>
          <w:cols w:space="720" w:num="1"/>
          <w:rtlGutter w:val="0"/>
          <w:docGrid w:linePitch="360" w:charSpace="0"/>
        </w:sectPr>
      </w:pPr>
    </w:p>
    <w:p w14:paraId="1613A142">
      <w:pPr>
        <w:widowControl w:val="0"/>
        <w:spacing w:line="1" w:lineRule="exact"/>
      </w:pPr>
      <w:r>
        <mc:AlternateContent>
          <mc:Choice Requires="wps">
            <w:drawing>
              <wp:anchor distT="0" distB="83185" distL="0" distR="0" simplePos="0" relativeHeight="251660288" behindDoc="0" locked="0" layoutInCell="1" allowOverlap="1">
                <wp:simplePos x="0" y="0"/>
                <wp:positionH relativeFrom="page">
                  <wp:posOffset>744220</wp:posOffset>
                </wp:positionH>
                <wp:positionV relativeFrom="paragraph">
                  <wp:posOffset>0</wp:posOffset>
                </wp:positionV>
                <wp:extent cx="449580" cy="304800"/>
                <wp:effectExtent l="0" t="0" r="0" b="0"/>
                <wp:wrapTopAndBottom/>
                <wp:docPr id="901" name="Shape 901"/>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2DDA6DA8">
                            <w:pPr>
                              <w:pStyle w:val="27"/>
                              <w:keepNext/>
                              <w:keepLines/>
                              <w:widowControl w:val="0"/>
                              <w:shd w:val="clear" w:color="auto" w:fill="auto"/>
                              <w:bidi w:val="0"/>
                              <w:spacing w:before="0" w:after="0" w:line="240" w:lineRule="auto"/>
                              <w:ind w:left="0" w:right="0" w:firstLine="0"/>
                              <w:jc w:val="both"/>
                            </w:pPr>
                            <w:bookmarkStart w:id="498" w:name="bookmark402"/>
                            <w:bookmarkStart w:id="499" w:name="bookmark401"/>
                            <w:bookmarkStart w:id="500" w:name="bookmark400"/>
                            <w:r>
                              <w:rPr>
                                <w:rFonts w:ascii="Times New Roman" w:hAnsi="Times New Roman" w:eastAsia="Times New Roman" w:cs="Times New Roman"/>
                                <w:color w:val="000000"/>
                                <w:spacing w:val="0"/>
                                <w:w w:val="100"/>
                                <w:position w:val="0"/>
                              </w:rPr>
                              <w:t>065</w:t>
                            </w:r>
                            <w:bookmarkEnd w:id="498"/>
                            <w:bookmarkEnd w:id="499"/>
                            <w:bookmarkEnd w:id="500"/>
                          </w:p>
                        </w:txbxContent>
                      </wps:txbx>
                      <wps:bodyPr wrap="none" lIns="0" tIns="0" rIns="0" bIns="0">
                        <a:noAutofit/>
                      </wps:bodyPr>
                    </wps:wsp>
                  </a:graphicData>
                </a:graphic>
              </wp:anchor>
            </w:drawing>
          </mc:Choice>
          <mc:Fallback>
            <w:pict>
              <v:shape id="Shape 901" o:spid="_x0000_s1026" o:spt="202" type="#_x0000_t202" style="position:absolute;left:0pt;margin-left:58.6pt;margin-top:0pt;height:24pt;width:35.4pt;mso-position-horizontal-relative:page;mso-wrap-distance-bottom:6.55pt;mso-wrap-distance-top:0pt;mso-wrap-style:none;z-index:251660288;mso-width-relative:page;mso-height-relative:page;" filled="f" stroked="f" coordsize="21600,21600" o:gfxdata="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MljXSAAAABwEA&#10;AA8AAAAAAAAAAQAgAAAAIgAAAGRycy9kb3ducmV2LnhtbFBLAQIUABQAAAAIAIdO4kC9wiQKrgEA&#10;AHMDAAAOAAAAAAAAAAEAIAAAACEBAABkcnMvZTJvRG9jLnhtbFBLBQYAAAAABgAGAFkBAABBBQAA&#10;AAA=&#10;">
                <v:fill on="f" focussize="0,0"/>
                <v:stroke on="f"/>
                <v:imagedata o:title=""/>
                <o:lock v:ext="edit" aspectratio="f"/>
                <v:textbox inset="0mm,0mm,0mm,0mm">
                  <w:txbxContent>
                    <w:p w14:paraId="2DDA6DA8">
                      <w:pPr>
                        <w:pStyle w:val="27"/>
                        <w:keepNext/>
                        <w:keepLines/>
                        <w:widowControl w:val="0"/>
                        <w:shd w:val="clear" w:color="auto" w:fill="auto"/>
                        <w:bidi w:val="0"/>
                        <w:spacing w:before="0" w:after="0" w:line="240" w:lineRule="auto"/>
                        <w:ind w:left="0" w:right="0" w:firstLine="0"/>
                        <w:jc w:val="both"/>
                      </w:pPr>
                      <w:bookmarkStart w:id="498" w:name="bookmark402"/>
                      <w:bookmarkStart w:id="499" w:name="bookmark401"/>
                      <w:bookmarkStart w:id="500" w:name="bookmark400"/>
                      <w:r>
                        <w:rPr>
                          <w:rFonts w:ascii="Times New Roman" w:hAnsi="Times New Roman" w:eastAsia="Times New Roman" w:cs="Times New Roman"/>
                          <w:color w:val="000000"/>
                          <w:spacing w:val="0"/>
                          <w:w w:val="100"/>
                          <w:position w:val="0"/>
                        </w:rPr>
                        <w:t>065</w:t>
                      </w:r>
                      <w:bookmarkEnd w:id="498"/>
                      <w:bookmarkEnd w:id="499"/>
                      <w:bookmarkEnd w:id="500"/>
                    </w:p>
                  </w:txbxContent>
                </v:textbox>
                <w10:wrap type="topAndBottom"/>
              </v:shape>
            </w:pict>
          </mc:Fallback>
        </mc:AlternateContent>
      </w:r>
      <w:r>
        <mc:AlternateContent>
          <mc:Choice Requires="wps">
            <w:drawing>
              <wp:anchor distT="83820" distB="63500" distL="0" distR="0" simplePos="0" relativeHeight="251660288" behindDoc="0" locked="0" layoutInCell="1" allowOverlap="1">
                <wp:simplePos x="0" y="0"/>
                <wp:positionH relativeFrom="page">
                  <wp:posOffset>1320165</wp:posOffset>
                </wp:positionH>
                <wp:positionV relativeFrom="paragraph">
                  <wp:posOffset>83820</wp:posOffset>
                </wp:positionV>
                <wp:extent cx="2621280" cy="240665"/>
                <wp:effectExtent l="0" t="0" r="0" b="0"/>
                <wp:wrapTopAndBottom/>
                <wp:docPr id="903" name="Shape 903"/>
                <wp:cNvGraphicFramePr/>
                <a:graphic xmlns:a="http://schemas.openxmlformats.org/drawingml/2006/main">
                  <a:graphicData uri="http://schemas.microsoft.com/office/word/2010/wordprocessingShape">
                    <wps:wsp>
                      <wps:cNvSpPr txBox="1"/>
                      <wps:spPr>
                        <a:xfrm>
                          <a:off x="0" y="0"/>
                          <a:ext cx="2621280" cy="240665"/>
                        </a:xfrm>
                        <a:prstGeom prst="rect">
                          <a:avLst/>
                        </a:prstGeom>
                        <a:noFill/>
                      </wps:spPr>
                      <wps:txbx>
                        <w:txbxContent>
                          <w:p w14:paraId="2E3BD07E">
                            <w:pPr>
                              <w:pStyle w:val="15"/>
                              <w:keepNext/>
                              <w:keepLines/>
                              <w:widowControl w:val="0"/>
                              <w:shd w:val="clear" w:color="auto" w:fill="auto"/>
                              <w:bidi w:val="0"/>
                              <w:spacing w:before="0" w:after="0" w:line="240" w:lineRule="auto"/>
                              <w:ind w:left="0" w:right="0" w:firstLine="0"/>
                              <w:jc w:val="left"/>
                            </w:pPr>
                            <w:bookmarkStart w:id="501" w:name="bookmark405"/>
                            <w:bookmarkStart w:id="502" w:name="bookmark403"/>
                            <w:bookmarkStart w:id="503" w:name="bookmark404"/>
                            <w:r>
                              <w:rPr>
                                <w:color w:val="000000"/>
                                <w:spacing w:val="0"/>
                                <w:w w:val="100"/>
                                <w:position w:val="0"/>
                              </w:rPr>
                              <w:t>债权人对故意有偿行为的撤销</w:t>
                            </w:r>
                            <w:bookmarkEnd w:id="501"/>
                            <w:bookmarkEnd w:id="502"/>
                            <w:bookmarkEnd w:id="503"/>
                          </w:p>
                        </w:txbxContent>
                      </wps:txbx>
                      <wps:bodyPr wrap="none" lIns="0" tIns="0" rIns="0" bIns="0">
                        <a:noAutofit/>
                      </wps:bodyPr>
                    </wps:wsp>
                  </a:graphicData>
                </a:graphic>
              </wp:anchor>
            </w:drawing>
          </mc:Choice>
          <mc:Fallback>
            <w:pict>
              <v:shape id="Shape 903" o:spid="_x0000_s1026" o:spt="202" type="#_x0000_t202" style="position:absolute;left:0pt;margin-left:103.95pt;margin-top:6.6pt;height:18.95pt;width:206.4pt;mso-position-horizontal-relative:page;mso-wrap-distance-bottom:5pt;mso-wrap-distance-top:6.6pt;mso-wrap-style:none;z-index:251660288;mso-width-relative:page;mso-height-relative:page;" filled="f" stroked="f" coordsize="21600,21600" o:gfxdata="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s+Z0vVAAAA&#10;CQEAAA8AAAAAAAAAAQAgAAAAIgAAAGRycy9kb3ducmV2LnhtbFBLAQIUABQAAAAIAIdO4kACHpc7&#10;rgEAAHQDAAAOAAAAAAAAAAEAIAAAACQBAABkcnMvZTJvRG9jLnhtbFBLBQYAAAAABgAGAFkBAABE&#10;BQAAAAA=&#10;">
                <v:fill on="f" focussize="0,0"/>
                <v:stroke on="f"/>
                <v:imagedata o:title=""/>
                <o:lock v:ext="edit" aspectratio="f"/>
                <v:textbox inset="0mm,0mm,0mm,0mm">
                  <w:txbxContent>
                    <w:p w14:paraId="2E3BD07E">
                      <w:pPr>
                        <w:pStyle w:val="15"/>
                        <w:keepNext/>
                        <w:keepLines/>
                        <w:widowControl w:val="0"/>
                        <w:shd w:val="clear" w:color="auto" w:fill="auto"/>
                        <w:bidi w:val="0"/>
                        <w:spacing w:before="0" w:after="0" w:line="240" w:lineRule="auto"/>
                        <w:ind w:left="0" w:right="0" w:firstLine="0"/>
                        <w:jc w:val="left"/>
                      </w:pPr>
                      <w:bookmarkStart w:id="501" w:name="bookmark405"/>
                      <w:bookmarkStart w:id="502" w:name="bookmark403"/>
                      <w:bookmarkStart w:id="503" w:name="bookmark404"/>
                      <w:r>
                        <w:rPr>
                          <w:color w:val="000000"/>
                          <w:spacing w:val="0"/>
                          <w:w w:val="100"/>
                          <w:position w:val="0"/>
                        </w:rPr>
                        <w:t>债权人对故意有偿行为的撤销</w:t>
                      </w:r>
                      <w:bookmarkEnd w:id="501"/>
                      <w:bookmarkEnd w:id="502"/>
                      <w:bookmarkEnd w:id="503"/>
                    </w:p>
                  </w:txbxContent>
                </v:textbox>
                <w10:wrap type="topAndBottom"/>
              </v:shape>
            </w:pict>
          </mc:Fallback>
        </mc:AlternateContent>
      </w:r>
    </w:p>
    <w:p w14:paraId="3EBFDC76">
      <w:pPr>
        <w:pStyle w:val="17"/>
        <w:keepNext w:val="0"/>
        <w:keepLines w:val="0"/>
        <w:widowControl w:val="0"/>
        <w:shd w:val="clear" w:color="auto" w:fill="auto"/>
        <w:bidi w:val="0"/>
        <w:spacing w:before="0" w:after="0" w:line="240" w:lineRule="auto"/>
        <w:ind w:left="1020" w:right="0" w:firstLine="0"/>
        <w:jc w:val="both"/>
      </w:pPr>
      <w:r>
        <w:rPr>
          <w:color w:val="000000"/>
          <w:spacing w:val="0"/>
          <w:w w:val="100"/>
          <w:position w:val="0"/>
        </w:rPr>
        <w:t>国家开发银行与沈阳高压开关有限责任公司、新东北电气（沈阳）</w:t>
      </w:r>
    </w:p>
    <w:p w14:paraId="5924430F">
      <w:pPr>
        <w:pStyle w:val="17"/>
        <w:keepNext w:val="0"/>
        <w:keepLines w:val="0"/>
        <w:widowControl w:val="0"/>
        <w:shd w:val="clear" w:color="auto" w:fill="auto"/>
        <w:bidi w:val="0"/>
        <w:spacing w:before="0" w:after="400" w:line="332" w:lineRule="exact"/>
        <w:ind w:left="1020" w:right="0" w:firstLine="0"/>
        <w:jc w:val="both"/>
      </w:pPr>
      <w:r>
        <w:drawing>
          <wp:anchor distT="0" distB="0" distL="114300" distR="114300" simplePos="0" relativeHeight="251660288" behindDoc="0" locked="0" layoutInCell="1" allowOverlap="1">
            <wp:simplePos x="0" y="0"/>
            <wp:positionH relativeFrom="page">
              <wp:posOffset>5118100</wp:posOffset>
            </wp:positionH>
            <wp:positionV relativeFrom="paragraph">
              <wp:posOffset>88900</wp:posOffset>
            </wp:positionV>
            <wp:extent cx="615950" cy="621665"/>
            <wp:effectExtent l="0" t="0" r="6350" b="635"/>
            <wp:wrapSquare wrapText="left"/>
            <wp:docPr id="905" name="Shape 905"/>
            <wp:cNvGraphicFramePr/>
            <a:graphic xmlns:a="http://schemas.openxmlformats.org/drawingml/2006/main">
              <a:graphicData uri="http://schemas.openxmlformats.org/drawingml/2006/picture">
                <pic:pic xmlns:pic="http://schemas.openxmlformats.org/drawingml/2006/picture">
                  <pic:nvPicPr>
                    <pic:cNvPr id="905" name="Shape 905"/>
                    <pic:cNvPicPr/>
                  </pic:nvPicPr>
                  <pic:blipFill>
                    <a:blip r:embed="rId675"/>
                    <a:stretch>
                      <a:fillRect/>
                    </a:stretch>
                  </pic:blipFill>
                  <pic:spPr>
                    <a:xfrm>
                      <a:off x="0" y="0"/>
                      <a:ext cx="615950" cy="621665"/>
                    </a:xfrm>
                    <a:prstGeom prst="rect">
                      <a:avLst/>
                    </a:prstGeom>
                  </pic:spPr>
                </pic:pic>
              </a:graphicData>
            </a:graphic>
          </wp:anchor>
        </w:drawing>
      </w:r>
      <w:r>
        <w:rPr>
          <w:color w:val="000000"/>
          <w:spacing w:val="0"/>
          <w:w w:val="100"/>
          <w:position w:val="0"/>
        </w:rPr>
        <w:t>高压开关有限公司、新东北电气（沈阳）高压隔离开关有限公司、沈 阳北富机械制造有限公司等借款合同、撤销权纠纷案丨最高人民 法院</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号民事判决书</w:t>
      </w:r>
    </w:p>
    <w:p w14:paraId="34299D8A">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王洪亮</w:t>
      </w:r>
      <w:r>
        <w:rPr>
          <w:color w:val="000000"/>
          <w:spacing w:val="0"/>
          <w:w w:val="100"/>
          <w:position w:val="0"/>
        </w:rPr>
        <w:t>清华大学法学院</w:t>
      </w:r>
    </w:p>
    <w:p w14:paraId="5458DE10">
      <w:pPr>
        <w:pStyle w:val="11"/>
        <w:keepNext w:val="0"/>
        <w:keepLines w:val="0"/>
        <w:widowControl w:val="0"/>
        <w:shd w:val="clear" w:color="auto" w:fill="auto"/>
        <w:bidi w:val="0"/>
        <w:spacing w:before="0" w:after="6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4AD5052">
      <w:pPr>
        <w:pStyle w:val="17"/>
        <w:keepNext w:val="0"/>
        <w:keepLines w:val="0"/>
        <w:widowControl w:val="0"/>
        <w:shd w:val="clear" w:color="auto" w:fill="auto"/>
        <w:bidi w:val="0"/>
        <w:spacing w:before="0" w:after="0" w:line="340" w:lineRule="exact"/>
        <w:ind w:left="0" w:right="0"/>
        <w:jc w:val="both"/>
        <w:rPr>
          <w:sz w:val="19"/>
          <w:szCs w:val="19"/>
        </w:rPr>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sz w:val="18"/>
          <w:szCs w:val="18"/>
        </w:rPr>
        <w:t>月，国家开发银行（以下简称国开行）与沈阳高压开关有限责任公司（以下简 称沈阳高开）签订了一份《基本建设借款合同》，其中约定沈阳高开向国开行借款</w:t>
      </w:r>
      <w:r>
        <w:rPr>
          <w:rFonts w:ascii="Times New Roman" w:hAnsi="Times New Roman" w:eastAsia="Times New Roman" w:cs="Times New Roman"/>
          <w:color w:val="000000"/>
          <w:spacing w:val="0"/>
          <w:w w:val="100"/>
          <w:position w:val="0"/>
          <w:sz w:val="19"/>
          <w:szCs w:val="19"/>
        </w:rPr>
        <w:t>15,300</w:t>
      </w:r>
      <w:r>
        <w:rPr>
          <w:color w:val="000000"/>
          <w:spacing w:val="0"/>
          <w:w w:val="100"/>
          <w:position w:val="0"/>
          <w:sz w:val="18"/>
          <w:szCs w:val="18"/>
        </w:rPr>
        <w:t>万 元，应自</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sz w:val="18"/>
          <w:szCs w:val="18"/>
        </w:rPr>
        <w:t>月至</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sz w:val="18"/>
          <w:szCs w:val="18"/>
        </w:rPr>
        <w:t>月分</w:t>
      </w: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8"/>
          <w:szCs w:val="18"/>
        </w:rPr>
        <w:t xml:space="preserve">次偿还本金和利息。沈阳变压器有限责任公司 （以下简称沈阳变压）承担连带保证责任。后沈阳高开在偿还了 </w:t>
      </w:r>
      <w:r>
        <w:rPr>
          <w:rFonts w:ascii="Times New Roman" w:hAnsi="Times New Roman" w:eastAsia="Times New Roman" w:cs="Times New Roman"/>
          <w:color w:val="000000"/>
          <w:spacing w:val="0"/>
          <w:w w:val="100"/>
          <w:position w:val="0"/>
          <w:sz w:val="19"/>
          <w:szCs w:val="19"/>
        </w:rPr>
        <w:t>1300</w:t>
      </w:r>
      <w:r>
        <w:rPr>
          <w:color w:val="000000"/>
          <w:spacing w:val="0"/>
          <w:w w:val="100"/>
          <w:position w:val="0"/>
          <w:sz w:val="18"/>
          <w:szCs w:val="18"/>
        </w:rPr>
        <w:t>万元后，其余贷款本 息未还。</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月，两者又签订了一份短期借款合同，约定沈阳高开向国开行借款</w:t>
      </w:r>
      <w:r>
        <w:rPr>
          <w:rFonts w:ascii="Times New Roman" w:hAnsi="Times New Roman" w:eastAsia="Times New Roman" w:cs="Times New Roman"/>
          <w:color w:val="000000"/>
          <w:spacing w:val="0"/>
          <w:w w:val="100"/>
          <w:position w:val="0"/>
          <w:sz w:val="19"/>
          <w:szCs w:val="19"/>
        </w:rPr>
        <w:t xml:space="preserve">1000 </w:t>
      </w:r>
      <w:r>
        <w:rPr>
          <w:color w:val="000000"/>
          <w:spacing w:val="0"/>
          <w:w w:val="100"/>
          <w:position w:val="0"/>
          <w:sz w:val="18"/>
          <w:szCs w:val="18"/>
        </w:rPr>
        <w:t>万元，应于一年后偿还本金与利息。东北建筑安装工程总公司（以下简称东北建安）承担连 带保证责任。随后沈阳高开同样未能偿还该笔贷款本息。</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月至</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月，沈阳 高开以实物出资方式，合资成立新东北电气（沈阳）高压开关有限公司（以下简称新东北 电）、新东北电气（沈阳）高压隔离开关有限公司（以下简称新泰高压；占股</w:t>
      </w:r>
      <w:r>
        <w:rPr>
          <w:rFonts w:ascii="Times New Roman" w:hAnsi="Times New Roman" w:eastAsia="Times New Roman" w:cs="Times New Roman"/>
          <w:color w:val="000000"/>
          <w:spacing w:val="0"/>
          <w:w w:val="100"/>
          <w:position w:val="0"/>
          <w:sz w:val="19"/>
          <w:szCs w:val="19"/>
        </w:rPr>
        <w:t>74.4%）,</w:t>
      </w:r>
      <w:r>
        <w:rPr>
          <w:color w:val="000000"/>
          <w:spacing w:val="0"/>
          <w:w w:val="100"/>
          <w:position w:val="0"/>
          <w:sz w:val="18"/>
          <w:szCs w:val="18"/>
        </w:rPr>
        <w:t>沈阳北 富机械制造有限公司（以下简称诚泰能源；占股</w:t>
      </w:r>
      <w:r>
        <w:rPr>
          <w:rFonts w:ascii="Times New Roman" w:hAnsi="Times New Roman" w:eastAsia="Times New Roman" w:cs="Times New Roman"/>
          <w:color w:val="000000"/>
          <w:spacing w:val="0"/>
          <w:w w:val="100"/>
          <w:position w:val="0"/>
          <w:sz w:val="19"/>
          <w:szCs w:val="19"/>
        </w:rPr>
        <w:t>95% ）</w:t>
      </w:r>
      <w:r>
        <w:rPr>
          <w:color w:val="000000"/>
          <w:spacing w:val="0"/>
          <w:w w:val="100"/>
          <w:position w:val="0"/>
          <w:sz w:val="18"/>
          <w:szCs w:val="18"/>
        </w:rPr>
        <w:t>;沈阳东利物流有限公司（以下简称新 泰仓储;占股</w:t>
      </w:r>
      <w:r>
        <w:rPr>
          <w:rFonts w:ascii="Times New Roman" w:hAnsi="Times New Roman" w:eastAsia="Times New Roman" w:cs="Times New Roman"/>
          <w:color w:val="000000"/>
          <w:spacing w:val="0"/>
          <w:w w:val="100"/>
          <w:position w:val="0"/>
          <w:sz w:val="19"/>
          <w:szCs w:val="19"/>
        </w:rPr>
        <w:t xml:space="preserve">95% </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vertAlign w:val="subscript"/>
          <w:lang w:val="en-US" w:eastAsia="en-US" w:bidi="en-US"/>
        </w:rPr>
        <w:t>o</w:t>
      </w:r>
    </w:p>
    <w:p w14:paraId="10D8FF8B">
      <w:pPr>
        <w:pStyle w:val="17"/>
        <w:keepNext w:val="0"/>
        <w:keepLines w:val="0"/>
        <w:widowControl w:val="0"/>
        <w:shd w:val="clear" w:color="auto" w:fill="auto"/>
        <w:bidi w:val="0"/>
        <w:spacing w:before="0" w:after="0" w:line="342" w:lineRule="exact"/>
        <w:ind w:left="0" w:right="0"/>
        <w:jc w:val="both"/>
      </w:pP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月，沈阳高开与东北电气发展股份有限公司（以下简称东北电气）签订股权转 让协议，东北电气以其持有的沈阳添升通信设备有限公司（以下简称沈阳添升</w:t>
      </w:r>
      <w:r>
        <w:rPr>
          <w:rFonts w:ascii="Times New Roman" w:hAnsi="Times New Roman" w:eastAsia="Times New Roman" w:cs="Times New Roman"/>
          <w:color w:val="000000"/>
          <w:spacing w:val="0"/>
          <w:w w:val="100"/>
          <w:position w:val="0"/>
          <w:sz w:val="19"/>
          <w:szCs w:val="19"/>
        </w:rPr>
        <w:t>）98.5%</w:t>
      </w:r>
      <w:r>
        <w:rPr>
          <w:color w:val="000000"/>
          <w:spacing w:val="0"/>
          <w:w w:val="100"/>
          <w:position w:val="0"/>
        </w:rPr>
        <w:t>的股 权（以</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台汽轮发电机组折价</w:t>
      </w:r>
      <w:r>
        <w:rPr>
          <w:rFonts w:ascii="Times New Roman" w:hAnsi="Times New Roman" w:eastAsia="Times New Roman" w:cs="Times New Roman"/>
          <w:color w:val="000000"/>
          <w:spacing w:val="0"/>
          <w:w w:val="100"/>
          <w:position w:val="0"/>
          <w:sz w:val="19"/>
          <w:szCs w:val="19"/>
        </w:rPr>
        <w:t>13, 000</w:t>
      </w:r>
      <w:r>
        <w:rPr>
          <w:color w:val="000000"/>
          <w:spacing w:val="0"/>
          <w:w w:val="100"/>
          <w:position w:val="0"/>
        </w:rPr>
        <w:t>万元投资沈阳添升，但后来审计表明该发电机组账面 价值实际为</w:t>
      </w:r>
      <w:r>
        <w:rPr>
          <w:rFonts w:ascii="Times New Roman" w:hAnsi="Times New Roman" w:eastAsia="Times New Roman" w:cs="Times New Roman"/>
          <w:color w:val="000000"/>
          <w:spacing w:val="0"/>
          <w:w w:val="100"/>
          <w:position w:val="0"/>
          <w:sz w:val="19"/>
          <w:szCs w:val="19"/>
          <w:lang w:val="en-US" w:eastAsia="en-US" w:bidi="en-US"/>
        </w:rPr>
        <w:t xml:space="preserve">2787. </w:t>
      </w: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万元）作为对价取得了新泰高压</w:t>
      </w:r>
      <w:r>
        <w:rPr>
          <w:rFonts w:ascii="Times New Roman" w:hAnsi="Times New Roman" w:eastAsia="Times New Roman" w:cs="Times New Roman"/>
          <w:color w:val="000000"/>
          <w:spacing w:val="0"/>
          <w:w w:val="100"/>
          <w:position w:val="0"/>
          <w:sz w:val="19"/>
          <w:szCs w:val="19"/>
        </w:rPr>
        <w:t>74.4%</w:t>
      </w:r>
      <w:r>
        <w:rPr>
          <w:color w:val="000000"/>
          <w:spacing w:val="0"/>
          <w:w w:val="100"/>
          <w:position w:val="0"/>
        </w:rPr>
        <w:t>的股权;东北电气以其对东北 输变电设备集团公司（以下简称东北输变电</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7666</w:t>
      </w:r>
      <w:r>
        <w:rPr>
          <w:color w:val="000000"/>
          <w:spacing w:val="0"/>
          <w:w w:val="100"/>
          <w:position w:val="0"/>
        </w:rPr>
        <w:t>万元的债权及利息为对价取得了诚泰能 源</w:t>
      </w:r>
      <w:r>
        <w:rPr>
          <w:rFonts w:ascii="Times New Roman" w:hAnsi="Times New Roman" w:eastAsia="Times New Roman" w:cs="Times New Roman"/>
          <w:color w:val="000000"/>
          <w:spacing w:val="0"/>
          <w:w w:val="100"/>
          <w:position w:val="0"/>
          <w:sz w:val="19"/>
          <w:szCs w:val="19"/>
        </w:rPr>
        <w:t>95%</w:t>
      </w:r>
      <w:r>
        <w:rPr>
          <w:color w:val="000000"/>
          <w:spacing w:val="0"/>
          <w:w w:val="100"/>
          <w:position w:val="0"/>
        </w:rPr>
        <w:t>的股权和新泰仓储</w:t>
      </w:r>
      <w:r>
        <w:rPr>
          <w:rFonts w:ascii="Times New Roman" w:hAnsi="Times New Roman" w:eastAsia="Times New Roman" w:cs="Times New Roman"/>
          <w:color w:val="000000"/>
          <w:spacing w:val="0"/>
          <w:w w:val="100"/>
          <w:position w:val="0"/>
          <w:sz w:val="19"/>
          <w:szCs w:val="19"/>
        </w:rPr>
        <w:t>95%</w:t>
      </w:r>
      <w:r>
        <w:rPr>
          <w:color w:val="000000"/>
          <w:spacing w:val="0"/>
          <w:w w:val="100"/>
          <w:position w:val="0"/>
        </w:rPr>
        <w:t>的股权。辽宁省沈阳市中级人民法院在</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年已经因东北 输变电无财产可供执行而作出执行终结的裁定。</w:t>
      </w:r>
    </w:p>
    <w:p w14:paraId="4992C35A">
      <w:pPr>
        <w:pStyle w:val="17"/>
        <w:keepNext w:val="0"/>
        <w:keepLines w:val="0"/>
        <w:widowControl w:val="0"/>
        <w:shd w:val="clear" w:color="auto" w:fill="auto"/>
        <w:bidi w:val="0"/>
        <w:spacing w:before="0" w:after="0" w:line="346" w:lineRule="exact"/>
        <w:ind w:left="0" w:right="0"/>
        <w:jc w:val="both"/>
        <w:sectPr>
          <w:footnotePr>
            <w:numFmt w:val="chicago"/>
          </w:footnotePr>
          <w:type w:val="continuous"/>
          <w:pgSz w:w="10099" w:h="14782"/>
          <w:pgMar w:top="1291" w:right="1034" w:bottom="1101" w:left="1064" w:header="863" w:footer="673" w:gutter="0"/>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月，沈阳高开将沈阳添升</w:t>
      </w:r>
      <w:r>
        <w:rPr>
          <w:rFonts w:ascii="Times New Roman" w:hAnsi="Times New Roman" w:eastAsia="Times New Roman" w:cs="Times New Roman"/>
          <w:color w:val="000000"/>
          <w:spacing w:val="0"/>
          <w:w w:val="100"/>
          <w:position w:val="0"/>
          <w:sz w:val="19"/>
          <w:szCs w:val="19"/>
          <w:lang w:val="en-US" w:eastAsia="en-US" w:bidi="en-US"/>
        </w:rPr>
        <w:t xml:space="preserve">98.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的股权以</w:t>
      </w:r>
      <w:r>
        <w:rPr>
          <w:rFonts w:ascii="Times New Roman" w:hAnsi="Times New Roman" w:eastAsia="Times New Roman" w:cs="Times New Roman"/>
          <w:color w:val="000000"/>
          <w:spacing w:val="0"/>
          <w:w w:val="100"/>
          <w:position w:val="0"/>
          <w:sz w:val="19"/>
          <w:szCs w:val="19"/>
        </w:rPr>
        <w:t>13, 000</w:t>
      </w:r>
      <w:r>
        <w:rPr>
          <w:color w:val="000000"/>
          <w:spacing w:val="0"/>
          <w:w w:val="100"/>
          <w:position w:val="0"/>
        </w:rPr>
        <w:t>万元的价格转让给沈阳德 佳经贸有限公司（以下简称沈阳德佳）。但账目表明，期间沈阳德佳收购股权的</w:t>
      </w:r>
      <w:r>
        <w:rPr>
          <w:rFonts w:ascii="Times New Roman" w:hAnsi="Times New Roman" w:eastAsia="Times New Roman" w:cs="Times New Roman"/>
          <w:color w:val="000000"/>
          <w:spacing w:val="0"/>
          <w:w w:val="100"/>
          <w:position w:val="0"/>
          <w:sz w:val="19"/>
          <w:szCs w:val="19"/>
        </w:rPr>
        <w:t>13,000</w:t>
      </w:r>
      <w:r>
        <w:rPr>
          <w:color w:val="000000"/>
          <w:spacing w:val="0"/>
          <w:w w:val="100"/>
          <w:position w:val="0"/>
        </w:rPr>
        <w:t>万 元资金出自辽宁新泰。而沈阳高开收到转让款</w:t>
      </w:r>
      <w:r>
        <w:rPr>
          <w:rFonts w:ascii="Times New Roman" w:hAnsi="Times New Roman" w:eastAsia="Times New Roman" w:cs="Times New Roman"/>
          <w:color w:val="000000"/>
          <w:spacing w:val="0"/>
          <w:w w:val="100"/>
          <w:position w:val="0"/>
          <w:sz w:val="19"/>
          <w:szCs w:val="19"/>
        </w:rPr>
        <w:t>13,000</w:t>
      </w:r>
      <w:r>
        <w:rPr>
          <w:color w:val="000000"/>
          <w:spacing w:val="0"/>
          <w:w w:val="100"/>
          <w:position w:val="0"/>
        </w:rPr>
        <w:t>万元后立即将其中约</w:t>
      </w:r>
      <w:r>
        <w:rPr>
          <w:rFonts w:ascii="Times New Roman" w:hAnsi="Times New Roman" w:eastAsia="Times New Roman" w:cs="Times New Roman"/>
          <w:color w:val="000000"/>
          <w:spacing w:val="0"/>
          <w:w w:val="100"/>
          <w:position w:val="0"/>
          <w:sz w:val="19"/>
          <w:szCs w:val="19"/>
        </w:rPr>
        <w:t>10,000</w:t>
      </w:r>
      <w:r>
        <w:rPr>
          <w:color w:val="000000"/>
          <w:spacing w:val="0"/>
          <w:w w:val="100"/>
          <w:position w:val="0"/>
        </w:rPr>
        <w:t>万元以 直接和间接方式背书给了辽宁新泰。</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月中国银监会辽宁监管局相关调查载明，沈 阳高开通过投资、转让、股权变更等一系列方式,在两年多时间里将一家由大量国有银行贷 </w:t>
      </w:r>
    </w:p>
    <w:p w14:paraId="77C1C68E">
      <w:pPr>
        <w:pStyle w:val="17"/>
        <w:keepNext w:val="0"/>
        <w:keepLines w:val="0"/>
        <w:widowControl w:val="0"/>
        <w:shd w:val="clear" w:color="auto" w:fill="auto"/>
        <w:bidi w:val="0"/>
        <w:spacing w:before="0" w:after="0" w:line="346" w:lineRule="exact"/>
        <w:ind w:left="0" w:right="0" w:firstLine="0"/>
        <w:jc w:val="both"/>
      </w:pPr>
      <w:r>
        <w:rPr>
          <w:color w:val="000000"/>
          <w:spacing w:val="0"/>
          <w:w w:val="100"/>
          <w:position w:val="0"/>
        </w:rPr>
        <w:t>款形成的龙头企业变成没有偿还债务能力的空壳企业，手段恶劣,性质严重。</w:t>
      </w:r>
    </w:p>
    <w:p w14:paraId="3B7B9CCC">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国开行于</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日向北京市高级人民法院提起诉讼，请求判令</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沈阳高开 支付贷款本金</w:t>
      </w:r>
      <w:r>
        <w:rPr>
          <w:rFonts w:ascii="Times New Roman" w:hAnsi="Times New Roman" w:eastAsia="Times New Roman" w:cs="Times New Roman"/>
          <w:color w:val="000000"/>
          <w:spacing w:val="0"/>
          <w:w w:val="100"/>
          <w:position w:val="0"/>
          <w:sz w:val="19"/>
          <w:szCs w:val="19"/>
        </w:rPr>
        <w:t>15, 000</w:t>
      </w:r>
      <w:r>
        <w:rPr>
          <w:color w:val="000000"/>
          <w:spacing w:val="0"/>
          <w:w w:val="100"/>
          <w:position w:val="0"/>
        </w:rPr>
        <w:t>万元和利息；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沈阳变压对贷款本金</w:t>
      </w:r>
      <w:r>
        <w:rPr>
          <w:rFonts w:ascii="Times New Roman" w:hAnsi="Times New Roman" w:eastAsia="Times New Roman" w:cs="Times New Roman"/>
          <w:color w:val="000000"/>
          <w:spacing w:val="0"/>
          <w:w w:val="100"/>
          <w:position w:val="0"/>
          <w:sz w:val="19"/>
          <w:szCs w:val="19"/>
        </w:rPr>
        <w:t>14, 000</w:t>
      </w:r>
      <w:r>
        <w:rPr>
          <w:color w:val="000000"/>
          <w:spacing w:val="0"/>
          <w:w w:val="100"/>
          <w:position w:val="0"/>
        </w:rPr>
        <w:t>万元及利息承担连带清 偿责任;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东北建安对贷款本金</w:t>
      </w:r>
      <w:r>
        <w:rPr>
          <w:rFonts w:ascii="Times New Roman" w:hAnsi="Times New Roman" w:eastAsia="Times New Roman" w:cs="Times New Roman"/>
          <w:color w:val="000000"/>
          <w:spacing w:val="0"/>
          <w:w w:val="100"/>
          <w:position w:val="0"/>
          <w:sz w:val="19"/>
          <w:szCs w:val="19"/>
        </w:rPr>
        <w:t>1000</w:t>
      </w:r>
      <w:r>
        <w:rPr>
          <w:color w:val="000000"/>
          <w:spacing w:val="0"/>
          <w:w w:val="100"/>
          <w:position w:val="0"/>
        </w:rPr>
        <w:t>万元及利息承担连带清偿责任；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确认沈阳高开与 东北电气之间的股权转让合同无效；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新东北电、新泰高压、诚泰能源、新泰仓储、东北电 气对沈阳高开的债务承担连带责任；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由被告方承担本案诉讼费用。在庭审中，国开行提 出，由于东北电气将其受让的沈阳高开的股权再次转让，故东北电气应对其不能返还的部 分承担赔偿责任。后又于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日向辽宁省高级人民法院提起诉讼，请求判令撤 销沈阳高开与东北电气间转让新泰高压、诚泰能源、新泰仓储股权的行为。辽宁省高级人 民法院将该案应移送北京市高级人民法院合并审理。北京市高级人民法院受理后，将该移 送案与本案合并进行了审理，并撤销了东北电气以其持有的对东北输变电</w:t>
      </w:r>
      <w:r>
        <w:rPr>
          <w:rFonts w:ascii="Times New Roman" w:hAnsi="Times New Roman" w:eastAsia="Times New Roman" w:cs="Times New Roman"/>
          <w:color w:val="000000"/>
          <w:spacing w:val="0"/>
          <w:w w:val="100"/>
          <w:position w:val="0"/>
          <w:sz w:val="19"/>
          <w:szCs w:val="19"/>
        </w:rPr>
        <w:t>7666</w:t>
      </w:r>
      <w:r>
        <w:rPr>
          <w:color w:val="000000"/>
          <w:spacing w:val="0"/>
          <w:w w:val="100"/>
          <w:position w:val="0"/>
        </w:rPr>
        <w:t>万元的债权 及利息与沈阳高开持有的在诚泰能源</w:t>
      </w:r>
      <w:r>
        <w:rPr>
          <w:rFonts w:ascii="Times New Roman" w:hAnsi="Times New Roman" w:eastAsia="Times New Roman" w:cs="Times New Roman"/>
          <w:color w:val="000000"/>
          <w:spacing w:val="0"/>
          <w:w w:val="100"/>
          <w:position w:val="0"/>
          <w:sz w:val="19"/>
          <w:szCs w:val="19"/>
        </w:rPr>
        <w:t>95%</w:t>
      </w:r>
      <w:r>
        <w:rPr>
          <w:color w:val="000000"/>
          <w:spacing w:val="0"/>
          <w:w w:val="100"/>
          <w:position w:val="0"/>
        </w:rPr>
        <w:t>的股权和在新泰仓储</w:t>
      </w:r>
      <w:r>
        <w:rPr>
          <w:rFonts w:ascii="Times New Roman" w:hAnsi="Times New Roman" w:eastAsia="Times New Roman" w:cs="Times New Roman"/>
          <w:color w:val="000000"/>
          <w:spacing w:val="0"/>
          <w:w w:val="100"/>
          <w:position w:val="0"/>
          <w:sz w:val="19"/>
          <w:szCs w:val="19"/>
        </w:rPr>
        <w:t>95%</w:t>
      </w:r>
      <w:r>
        <w:rPr>
          <w:color w:val="000000"/>
          <w:spacing w:val="0"/>
          <w:w w:val="100"/>
          <w:position w:val="0"/>
        </w:rPr>
        <w:t>的股权进行股权置换 的合同。二审最高人民法院撤销了沈阳高开以其在新泰高压</w:t>
      </w:r>
      <w:r>
        <w:rPr>
          <w:rFonts w:ascii="Times New Roman" w:hAnsi="Times New Roman" w:eastAsia="Times New Roman" w:cs="Times New Roman"/>
          <w:color w:val="000000"/>
          <w:spacing w:val="0"/>
          <w:w w:val="100"/>
          <w:position w:val="0"/>
          <w:sz w:val="19"/>
          <w:szCs w:val="19"/>
        </w:rPr>
        <w:t>74.4%</w:t>
      </w:r>
      <w:r>
        <w:rPr>
          <w:color w:val="000000"/>
          <w:spacing w:val="0"/>
          <w:w w:val="100"/>
          <w:position w:val="0"/>
        </w:rPr>
        <w:t>的股权与东北电气持 有的沈阳添升</w:t>
      </w:r>
      <w:r>
        <w:rPr>
          <w:rFonts w:ascii="Times New Roman" w:hAnsi="Times New Roman" w:eastAsia="Times New Roman" w:cs="Times New Roman"/>
          <w:color w:val="000000"/>
          <w:spacing w:val="0"/>
          <w:w w:val="100"/>
          <w:position w:val="0"/>
          <w:sz w:val="19"/>
          <w:szCs w:val="19"/>
          <w:lang w:val="en-US" w:eastAsia="en-US" w:bidi="en-US"/>
        </w:rPr>
        <w:t>98.</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的股权进行股权置换的合同，并判决沈阳高开将其在沈阳添升</w:t>
      </w:r>
      <w:r>
        <w:rPr>
          <w:rFonts w:ascii="Times New Roman" w:hAnsi="Times New Roman" w:eastAsia="Times New Roman" w:cs="Times New Roman"/>
          <w:color w:val="000000"/>
          <w:spacing w:val="0"/>
          <w:w w:val="100"/>
          <w:position w:val="0"/>
          <w:sz w:val="19"/>
          <w:szCs w:val="19"/>
          <w:lang w:val="en-US" w:eastAsia="en-US" w:bidi="en-US"/>
        </w:rPr>
        <w:t xml:space="preserve">98. </w:t>
      </w:r>
      <w:r>
        <w:rPr>
          <w:rFonts w:ascii="Times New Roman" w:hAnsi="Times New Roman" w:eastAsia="Times New Roman" w:cs="Times New Roman"/>
          <w:color w:val="000000"/>
          <w:spacing w:val="0"/>
          <w:w w:val="100"/>
          <w:position w:val="0"/>
          <w:sz w:val="19"/>
          <w:szCs w:val="19"/>
        </w:rPr>
        <w:t xml:space="preserve">5% </w:t>
      </w:r>
      <w:r>
        <w:rPr>
          <w:color w:val="000000"/>
          <w:spacing w:val="0"/>
          <w:w w:val="100"/>
          <w:position w:val="0"/>
        </w:rPr>
        <w:t>的股权返还给东北电气，东北电气将其在新泰高压</w:t>
      </w:r>
      <w:r>
        <w:rPr>
          <w:rFonts w:ascii="Times New Roman" w:hAnsi="Times New Roman" w:eastAsia="Times New Roman" w:cs="Times New Roman"/>
          <w:color w:val="000000"/>
          <w:spacing w:val="0"/>
          <w:w w:val="100"/>
          <w:position w:val="0"/>
          <w:sz w:val="19"/>
          <w:szCs w:val="19"/>
        </w:rPr>
        <w:t>74.4%</w:t>
      </w:r>
      <w:r>
        <w:rPr>
          <w:color w:val="000000"/>
          <w:spacing w:val="0"/>
          <w:w w:val="100"/>
          <w:position w:val="0"/>
        </w:rPr>
        <w:t>的股权返还给沈阳高开。如两者 不能相互返还，东北电气应在</w:t>
      </w:r>
      <w:r>
        <w:rPr>
          <w:rFonts w:ascii="Times New Roman" w:hAnsi="Times New Roman" w:eastAsia="Times New Roman" w:cs="Times New Roman"/>
          <w:color w:val="000000"/>
          <w:spacing w:val="0"/>
          <w:w w:val="100"/>
          <w:position w:val="0"/>
          <w:sz w:val="19"/>
          <w:szCs w:val="19"/>
        </w:rPr>
        <w:t>13,000</w:t>
      </w:r>
      <w:r>
        <w:rPr>
          <w:color w:val="000000"/>
          <w:spacing w:val="0"/>
          <w:w w:val="100"/>
          <w:position w:val="0"/>
        </w:rPr>
        <w:t>万元扣除</w:t>
      </w:r>
      <w:r>
        <w:rPr>
          <w:rFonts w:ascii="Times New Roman" w:hAnsi="Times New Roman" w:eastAsia="Times New Roman" w:cs="Times New Roman"/>
          <w:color w:val="000000"/>
          <w:spacing w:val="0"/>
          <w:w w:val="100"/>
          <w:position w:val="0"/>
          <w:sz w:val="19"/>
          <w:szCs w:val="19"/>
          <w:lang w:val="en-US" w:eastAsia="en-US" w:bidi="en-US"/>
        </w:rPr>
        <w:t>2787.88</w:t>
      </w:r>
      <w:r>
        <w:rPr>
          <w:color w:val="000000"/>
          <w:spacing w:val="0"/>
          <w:w w:val="100"/>
          <w:position w:val="0"/>
        </w:rPr>
        <w:t>万元的范围内赔偿沈阳高开损失。</w:t>
      </w:r>
    </w:p>
    <w:p w14:paraId="6B48E706">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C030AE3">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根据原《合同法》第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条的规定，债务人以明显不合理的低价转让财产,对债权人造成 损害，并且受让人知道该情形的，债权人可以请求人民法院撤销债务人转让财产的行为。</w:t>
      </w:r>
    </w:p>
    <w:p w14:paraId="3EDBEDE4">
      <w:pPr>
        <w:pStyle w:val="11"/>
        <w:keepNext w:val="0"/>
        <w:keepLines w:val="0"/>
        <w:widowControl w:val="0"/>
        <w:shd w:val="clear" w:color="auto" w:fill="auto"/>
        <w:bidi w:val="0"/>
        <w:spacing w:before="0" w:after="240" w:line="342" w:lineRule="exact"/>
        <w:ind w:left="0" w:right="0" w:firstLine="0"/>
        <w:jc w:val="left"/>
      </w:pPr>
      <w:r>
        <w:rPr>
          <w:color w:val="000000"/>
          <w:spacing w:val="0"/>
          <w:w w:val="100"/>
          <w:position w:val="0"/>
        </w:rPr>
        <w:t>■评析</w:t>
      </w:r>
    </w:p>
    <w:p w14:paraId="344B227A">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本判决的审判思路和学理评析</w:t>
      </w:r>
    </w:p>
    <w:p w14:paraId="0F55625A">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本案首先要解决的问题是究竟适用原《合同法》第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项、原《民法总则》第</w:t>
      </w:r>
      <w:r>
        <w:rPr>
          <w:rFonts w:ascii="Times New Roman" w:hAnsi="Times New Roman" w:eastAsia="Times New Roman" w:cs="Times New Roman"/>
          <w:color w:val="000000"/>
          <w:spacing w:val="0"/>
          <w:w w:val="100"/>
          <w:position w:val="0"/>
          <w:sz w:val="19"/>
          <w:szCs w:val="19"/>
        </w:rPr>
        <w:t xml:space="preserve">154 </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154</w:t>
      </w:r>
      <w:r>
        <w:rPr>
          <w:color w:val="000000"/>
          <w:spacing w:val="0"/>
          <w:w w:val="100"/>
          <w:position w:val="0"/>
        </w:rPr>
        <w:t>条），还是原《合同法》第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538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539</w:t>
      </w:r>
      <w:r>
        <w:rPr>
          <w:color w:val="000000"/>
          <w:spacing w:val="0"/>
          <w:w w:val="100"/>
          <w:position w:val="0"/>
        </w:rPr>
        <w:t>条对应地作 了修改）</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债权人先是请求北京市高级人民法院确认沈阳高开与东北电气之间的股权转让 合同无效,后来又请求辽宁省高级人民法院判令撤销相关股权转让行为。两案合并审理 后，应当确认国开行的请求是撤销沈阳高开与东北电气间转让新泰高压、诚泰能源、新泰仓 储股权的行为。依据当事人的请求，应当适用原《合同法》第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条。当事人也可以选择依 据恶意串通主张合同无效，但恶意串通构成并不清晰，对于恶意串通的证明标准较高，且合 同被认定无效后，原告作为债权人无权要求第三人将标的物返还给债务人。债权人撤销权 构成特别规范，应优先适用</w:t>
      </w:r>
      <w:r>
        <w:rPr>
          <w:color w:val="000000"/>
          <w:spacing w:val="0"/>
          <w:w w:val="100"/>
          <w:position w:val="0"/>
          <w:sz w:val="11"/>
          <w:szCs w:val="11"/>
        </w:rPr>
        <w:t>（茅少伟:《论恶意串通》，载《中外法学》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故在原告仅 仅请求判令被告之间股权置换合同无效的情况下，法院也应当优先适用债权人撤销权规 范。</w:t>
      </w:r>
    </w:p>
    <w:p w14:paraId="252461F1">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本案的关键是国开行是否有权撤销沈阳高开与东北电气间转让新泰高压、诚泰能源、 新泰仓储股权的行为的问题。限于篇幅,本文仅分析其中国开行可否撤销新泰高压股权与 沈阳添升股权置换行为的问题。依据原《合同法》第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条，符合如下构成要件，国开行即可 行使债权人撤销权。</w:t>
      </w:r>
    </w:p>
    <w:p w14:paraId="782BF33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首先，债权人对债务人须享有合法的债权。本案中，沈阳高开尚欠国开行</w:t>
      </w:r>
      <w:r>
        <w:rPr>
          <w:rFonts w:ascii="Times New Roman" w:hAnsi="Times New Roman" w:eastAsia="Times New Roman" w:cs="Times New Roman"/>
          <w:color w:val="000000"/>
          <w:spacing w:val="0"/>
          <w:w w:val="100"/>
          <w:position w:val="0"/>
          <w:sz w:val="17"/>
          <w:szCs w:val="17"/>
          <w:lang w:val="en-US" w:eastAsia="en-US" w:bidi="en-US"/>
        </w:rPr>
        <w:t>1.5</w:t>
      </w:r>
      <w:r>
        <w:rPr>
          <w:color w:val="000000"/>
          <w:spacing w:val="0"/>
          <w:w w:val="100"/>
          <w:position w:val="0"/>
        </w:rPr>
        <w:t>亿元。基 于学界通说，债权人的债权必须是金钱债权或者将来可转化为金钱债权的债权</w:t>
      </w:r>
      <w:r>
        <w:rPr>
          <w:color w:val="000000"/>
          <w:spacing w:val="0"/>
          <w:w w:val="100"/>
          <w:position w:val="0"/>
          <w:sz w:val="11"/>
          <w:szCs w:val="11"/>
        </w:rPr>
        <w:t>［韩世远:《合 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480</w:t>
      </w:r>
      <w:r>
        <w:rPr>
          <w:color w:val="000000"/>
          <w:spacing w:val="0"/>
          <w:w w:val="100"/>
          <w:position w:val="0"/>
          <w:sz w:val="11"/>
          <w:szCs w:val="11"/>
        </w:rPr>
        <w:t>页］</w:t>
      </w:r>
      <w:r>
        <w:rPr>
          <w:color w:val="000000"/>
          <w:spacing w:val="0"/>
          <w:w w:val="100"/>
          <w:position w:val="0"/>
        </w:rPr>
        <w:t>，本案债权是典型的金钱债权。在国开行 起诉行使撤销权之时，尽管部分债权还没有到期，但债务人的行为已经危及将来债权的实 现，故应当允许债权人根据未到期的债权,主张撤销权。</w:t>
      </w:r>
    </w:p>
    <w:p w14:paraId="47BF2DEF">
      <w:pPr>
        <w:pStyle w:val="17"/>
        <w:keepNext w:val="0"/>
        <w:keepLines w:val="0"/>
        <w:widowControl w:val="0"/>
        <w:shd w:val="clear" w:color="auto" w:fill="auto"/>
        <w:bidi w:val="0"/>
        <w:spacing w:before="0" w:after="0" w:line="343" w:lineRule="exact"/>
        <w:ind w:left="0" w:right="0" w:firstLine="420"/>
        <w:jc w:val="both"/>
        <w:rPr>
          <w:sz w:val="8"/>
          <w:szCs w:val="8"/>
        </w:rPr>
      </w:pPr>
      <w:r>
        <w:rPr>
          <w:color w:val="000000"/>
          <w:spacing w:val="0"/>
          <w:w w:val="100"/>
          <w:position w:val="0"/>
          <w:sz w:val="18"/>
          <w:szCs w:val="18"/>
        </w:rPr>
        <w:t>其次，需要有债务人的行为。原《合同法》规定在有偿行为的情况下，债务人以明显不 合理的低价转让财产的，债权人可以撤销。涉案合同属于互易合同,其中有两次股权的转 让行为，属于原《合同法》要求的</w:t>
      </w:r>
      <w:r>
        <w:rPr>
          <w:color w:val="000000"/>
          <w:spacing w:val="0"/>
          <w:w w:val="100"/>
          <w:position w:val="0"/>
          <w:sz w:val="18"/>
          <w:szCs w:val="18"/>
          <w:lang w:val="zh-CN" w:eastAsia="zh-CN" w:bidi="zh-CN"/>
        </w:rPr>
        <w:t>“转</w:t>
      </w:r>
      <w:r>
        <w:rPr>
          <w:color w:val="000000"/>
          <w:spacing w:val="0"/>
          <w:w w:val="100"/>
          <w:position w:val="0"/>
          <w:sz w:val="18"/>
          <w:szCs w:val="18"/>
        </w:rPr>
        <w:t xml:space="preserve">让财产行为” </w:t>
      </w:r>
      <w:r>
        <w:rPr>
          <w:rFonts w:ascii="Times New Roman" w:hAnsi="Times New Roman" w:eastAsia="Times New Roman" w:cs="Times New Roman"/>
          <w:color w:val="000000"/>
          <w:spacing w:val="0"/>
          <w:w w:val="100"/>
          <w:position w:val="0"/>
          <w:sz w:val="8"/>
          <w:szCs w:val="8"/>
          <w:lang w:val="en-US" w:eastAsia="en-US" w:bidi="en-US"/>
        </w:rPr>
        <w:t>O</w:t>
      </w:r>
    </w:p>
    <w:p w14:paraId="0689F4D8">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至于债务人转让财产是否以明显不合理的低价进行的，对此，最高人民法院《关于适用 〈中华人民共和国合同法〉若干问题的解释（二）》［法释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号］（以下简称《合同法解 释二》）第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条有明确规定。本案中，股权置换交易发生在</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日。沈阳高开岀 资</w:t>
      </w:r>
      <w:r>
        <w:rPr>
          <w:rFonts w:ascii="Times New Roman" w:hAnsi="Times New Roman" w:eastAsia="Times New Roman" w:cs="Times New Roman"/>
          <w:color w:val="000000"/>
          <w:spacing w:val="0"/>
          <w:w w:val="100"/>
          <w:position w:val="0"/>
          <w:sz w:val="19"/>
          <w:szCs w:val="19"/>
        </w:rPr>
        <w:t>1600</w:t>
      </w:r>
      <w:r>
        <w:rPr>
          <w:color w:val="000000"/>
          <w:spacing w:val="0"/>
          <w:w w:val="100"/>
          <w:position w:val="0"/>
        </w:rPr>
        <w:t>万美元，获得新泰高压股权</w:t>
      </w:r>
      <w:r>
        <w:rPr>
          <w:rFonts w:ascii="Times New Roman" w:hAnsi="Times New Roman" w:eastAsia="Times New Roman" w:cs="Times New Roman"/>
          <w:color w:val="000000"/>
          <w:spacing w:val="0"/>
          <w:w w:val="100"/>
          <w:position w:val="0"/>
          <w:sz w:val="19"/>
          <w:szCs w:val="19"/>
        </w:rPr>
        <w:t>74.4%</w:t>
      </w:r>
      <w:r>
        <w:rPr>
          <w:color w:val="000000"/>
          <w:spacing w:val="0"/>
          <w:w w:val="100"/>
          <w:position w:val="0"/>
          <w:sz w:val="19"/>
          <w:szCs w:val="19"/>
        </w:rPr>
        <w:t>；</w:t>
      </w:r>
      <w:r>
        <w:rPr>
          <w:color w:val="000000"/>
          <w:spacing w:val="0"/>
          <w:w w:val="100"/>
          <w:position w:val="0"/>
        </w:rPr>
        <w:t>而东北电气以</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台汽轮发电机组折价</w:t>
      </w:r>
      <w:r>
        <w:rPr>
          <w:rFonts w:ascii="Times New Roman" w:hAnsi="Times New Roman" w:eastAsia="Times New Roman" w:cs="Times New Roman"/>
          <w:color w:val="000000"/>
          <w:spacing w:val="0"/>
          <w:w w:val="100"/>
          <w:position w:val="0"/>
          <w:sz w:val="19"/>
          <w:szCs w:val="19"/>
        </w:rPr>
        <w:t xml:space="preserve">13, 000 </w:t>
      </w:r>
      <w:r>
        <w:rPr>
          <w:color w:val="000000"/>
          <w:spacing w:val="0"/>
          <w:w w:val="100"/>
          <w:position w:val="0"/>
        </w:rPr>
        <w:t>万元投资沈阳添升,获得其</w:t>
      </w:r>
      <w:r>
        <w:rPr>
          <w:rFonts w:ascii="Times New Roman" w:hAnsi="Times New Roman" w:eastAsia="Times New Roman" w:cs="Times New Roman"/>
          <w:color w:val="000000"/>
          <w:spacing w:val="0"/>
          <w:w w:val="100"/>
          <w:position w:val="0"/>
          <w:sz w:val="19"/>
          <w:szCs w:val="19"/>
        </w:rPr>
        <w:t>98.5%</w:t>
      </w:r>
      <w:r>
        <w:rPr>
          <w:color w:val="000000"/>
          <w:spacing w:val="0"/>
          <w:w w:val="100"/>
          <w:position w:val="0"/>
        </w:rPr>
        <w:t>的股权。从表面上，二者的投资价值相当。但前文表明， 汽轮发电机组的账面价值为</w:t>
      </w:r>
      <w:r>
        <w:rPr>
          <w:rFonts w:ascii="Times New Roman" w:hAnsi="Times New Roman" w:eastAsia="Times New Roman" w:cs="Times New Roman"/>
          <w:color w:val="000000"/>
          <w:spacing w:val="0"/>
          <w:w w:val="100"/>
          <w:position w:val="0"/>
          <w:sz w:val="19"/>
          <w:szCs w:val="19"/>
          <w:lang w:val="en-US" w:eastAsia="en-US" w:bidi="en-US"/>
        </w:rPr>
        <w:t xml:space="preserve">2787. </w:t>
      </w: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万元。</w:t>
      </w:r>
    </w:p>
    <w:p w14:paraId="0F98D9D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值得注意的是，沈阳高开将沈阳添升</w:t>
      </w:r>
      <w:r>
        <w:rPr>
          <w:rFonts w:ascii="Times New Roman" w:hAnsi="Times New Roman" w:eastAsia="Times New Roman" w:cs="Times New Roman"/>
          <w:color w:val="000000"/>
          <w:spacing w:val="0"/>
          <w:w w:val="100"/>
          <w:position w:val="0"/>
          <w:sz w:val="19"/>
          <w:szCs w:val="19"/>
        </w:rPr>
        <w:t>98.5%</w:t>
      </w:r>
      <w:r>
        <w:rPr>
          <w:color w:val="000000"/>
          <w:spacing w:val="0"/>
          <w:w w:val="100"/>
          <w:position w:val="0"/>
        </w:rPr>
        <w:t>的股权转让给沈阳德佳的对价为</w:t>
      </w:r>
      <w:r>
        <w:rPr>
          <w:rFonts w:ascii="Times New Roman" w:hAnsi="Times New Roman" w:eastAsia="Times New Roman" w:cs="Times New Roman"/>
          <w:color w:val="000000"/>
          <w:spacing w:val="0"/>
          <w:w w:val="100"/>
          <w:position w:val="0"/>
          <w:sz w:val="19"/>
          <w:szCs w:val="19"/>
        </w:rPr>
        <w:t xml:space="preserve">13,000 </w:t>
      </w:r>
      <w:r>
        <w:rPr>
          <w:color w:val="000000"/>
          <w:spacing w:val="0"/>
          <w:w w:val="100"/>
          <w:position w:val="0"/>
        </w:rPr>
        <w:t>万元。但其后沈阳高开将该笔款项的</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转给辽宁新泰，其余转给新泰高压等企业，沈阳 德佳在股权价款支付前后账户余额未发生改变。因此，法院从交易当地一般经营者的视 角，考虑交易当时东北电气出资价值，以及嗣后转让该股权的实际对价，认定该笔股权价值 在</w:t>
      </w:r>
      <w:r>
        <w:rPr>
          <w:rFonts w:ascii="Times New Roman" w:hAnsi="Times New Roman" w:eastAsia="Times New Roman" w:cs="Times New Roman"/>
          <w:color w:val="000000"/>
          <w:spacing w:val="0"/>
          <w:w w:val="100"/>
          <w:position w:val="0"/>
          <w:sz w:val="19"/>
          <w:szCs w:val="19"/>
        </w:rPr>
        <w:t>2787</w:t>
      </w:r>
      <w:r>
        <w:rPr>
          <w:color w:val="000000"/>
          <w:spacing w:val="0"/>
          <w:w w:val="100"/>
          <w:position w:val="0"/>
        </w:rPr>
        <w:t>万元左右，并未达到沈阳高开股权对价的</w:t>
      </w:r>
      <w:r>
        <w:rPr>
          <w:rFonts w:ascii="Times New Roman" w:hAnsi="Times New Roman" w:eastAsia="Times New Roman" w:cs="Times New Roman"/>
          <w:color w:val="000000"/>
          <w:spacing w:val="0"/>
          <w:w w:val="100"/>
          <w:position w:val="0"/>
          <w:sz w:val="19"/>
          <w:szCs w:val="19"/>
        </w:rPr>
        <w:t xml:space="preserve">70% </w:t>
      </w:r>
      <w:r>
        <w:rPr>
          <w:color w:val="000000"/>
          <w:spacing w:val="0"/>
          <w:w w:val="100"/>
          <w:position w:val="0"/>
        </w:rPr>
        <w:t>,故债务人的行为构成明显不合理低 价转让财产。</w:t>
      </w:r>
    </w:p>
    <w:p w14:paraId="2AE0032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再次，债务人的行为有害债权。对此，要具体考察债务人的诈害行为是否导致债务人 一般财产的减少,并使得债权人无法获得全额赔偿</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 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465</w:t>
      </w:r>
      <w:r>
        <w:rPr>
          <w:color w:val="000000"/>
          <w:spacing w:val="0"/>
          <w:w w:val="100"/>
          <w:position w:val="0"/>
          <w:sz w:val="11"/>
          <w:szCs w:val="11"/>
        </w:rPr>
        <w:t>页］。</w:t>
      </w:r>
      <w:r>
        <w:rPr>
          <w:color w:val="000000"/>
          <w:spacing w:val="0"/>
          <w:w w:val="100"/>
          <w:position w:val="0"/>
        </w:rPr>
        <w:t>本案中，沈阳高开的股权置换后获得的对价在</w:t>
      </w:r>
      <w:r>
        <w:rPr>
          <w:rFonts w:ascii="Times New Roman" w:hAnsi="Times New Roman" w:eastAsia="Times New Roman" w:cs="Times New Roman"/>
          <w:color w:val="000000"/>
          <w:spacing w:val="0"/>
          <w:w w:val="100"/>
          <w:position w:val="0"/>
          <w:sz w:val="19"/>
          <w:szCs w:val="19"/>
        </w:rPr>
        <w:t>2787</w:t>
      </w:r>
      <w:r>
        <w:rPr>
          <w:color w:val="000000"/>
          <w:spacing w:val="0"/>
          <w:w w:val="100"/>
          <w:position w:val="0"/>
        </w:rPr>
        <w:t>万元左右，其责 任财产明显减少。而且银监局证明，沈阳高开已经成为一个没有偿还债务能力的空壳企 业，实际上不能履行国开行全部的债务。所以可以认定债务人的股权置换行为有害于债权 人债权的实现。</w:t>
      </w:r>
    </w:p>
    <w:p w14:paraId="2E10423C">
      <w:pPr>
        <w:pStyle w:val="17"/>
        <w:keepNext w:val="0"/>
        <w:keepLines w:val="0"/>
        <w:widowControl w:val="0"/>
        <w:shd w:val="clear" w:color="auto" w:fill="auto"/>
        <w:bidi w:val="0"/>
        <w:spacing w:before="0" w:after="0" w:line="343" w:lineRule="exact"/>
        <w:ind w:left="0" w:right="0" w:firstLine="420"/>
        <w:jc w:val="both"/>
        <w:rPr>
          <w:sz w:val="11"/>
          <w:szCs w:val="11"/>
        </w:rPr>
      </w:pPr>
      <w:r>
        <w:rPr>
          <w:color w:val="000000"/>
          <w:spacing w:val="0"/>
          <w:w w:val="100"/>
          <w:position w:val="0"/>
          <w:sz w:val="18"/>
          <w:szCs w:val="18"/>
        </w:rPr>
        <w:t>值得讨论的是涉案借贷债权之上附有第三人保证。若第三人的保证可以保障债权人 债权的实现，债权人不得行使撤销权;但是在保证人清偿能力不足的情况下,债权人也得以 行使撤销权。如在本案中，直到诉讼时，债务人与保证人都未偿还</w:t>
      </w:r>
      <w:r>
        <w:rPr>
          <w:rFonts w:ascii="Times New Roman" w:hAnsi="Times New Roman" w:eastAsia="Times New Roman" w:cs="Times New Roman"/>
          <w:color w:val="000000"/>
          <w:spacing w:val="0"/>
          <w:w w:val="100"/>
          <w:position w:val="0"/>
          <w:sz w:val="19"/>
          <w:szCs w:val="19"/>
        </w:rPr>
        <w:t>15, 000</w:t>
      </w:r>
      <w:r>
        <w:rPr>
          <w:color w:val="000000"/>
          <w:spacing w:val="0"/>
          <w:w w:val="100"/>
          <w:position w:val="0"/>
          <w:sz w:val="18"/>
          <w:szCs w:val="18"/>
        </w:rPr>
        <w:t>万元本金及利息， 债务人的行为仍会危及债权人债权实现</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 第</w:t>
      </w:r>
      <w:r>
        <w:rPr>
          <w:rFonts w:ascii="Times New Roman" w:hAnsi="Times New Roman" w:eastAsia="Times New Roman" w:cs="Times New Roman"/>
          <w:color w:val="000000"/>
          <w:spacing w:val="0"/>
          <w:w w:val="100"/>
          <w:position w:val="0"/>
          <w:sz w:val="17"/>
          <w:szCs w:val="17"/>
        </w:rPr>
        <w:t>461</w:t>
      </w:r>
      <w:r>
        <w:rPr>
          <w:color w:val="000000"/>
          <w:spacing w:val="0"/>
          <w:w w:val="100"/>
          <w:position w:val="0"/>
          <w:sz w:val="11"/>
          <w:szCs w:val="11"/>
        </w:rPr>
        <w:t>页］。</w:t>
      </w:r>
    </w:p>
    <w:p w14:paraId="0D6D15A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复次,须有债务人的恶意。从原《合同法》第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条的文义中，并不能得出债务人恶意这 一要件，但自利益平衡的角度来看，应当要求债务人主观上有恶意方可行使撤销权</w:t>
      </w:r>
      <w:r>
        <w:rPr>
          <w:color w:val="000000"/>
          <w:spacing w:val="0"/>
          <w:w w:val="100"/>
          <w:position w:val="0"/>
          <w:sz w:val="11"/>
          <w:szCs w:val="11"/>
        </w:rPr>
        <w:t>（王洪亮: 《债法总论》，北京大学出版社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152</w:t>
      </w:r>
      <w:r>
        <w:rPr>
          <w:color w:val="000000"/>
          <w:spacing w:val="0"/>
          <w:w w:val="100"/>
          <w:position w:val="0"/>
          <w:sz w:val="11"/>
          <w:szCs w:val="11"/>
        </w:rPr>
        <w:t>页）。</w:t>
      </w:r>
      <w:r>
        <w:rPr>
          <w:color w:val="000000"/>
          <w:spacing w:val="0"/>
          <w:w w:val="100"/>
          <w:position w:val="0"/>
        </w:rPr>
        <w:t>有学者认为，债务人明知其资产不足以清 偿全部债务,而仍处分财产或权利，即推定其恶意处分财产</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 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468</w:t>
      </w:r>
      <w:r>
        <w:rPr>
          <w:color w:val="000000"/>
          <w:spacing w:val="0"/>
          <w:w w:val="100"/>
          <w:position w:val="0"/>
          <w:sz w:val="11"/>
          <w:szCs w:val="11"/>
        </w:rPr>
        <w:t>页］。</w:t>
      </w:r>
      <w:r>
        <w:rPr>
          <w:color w:val="000000"/>
          <w:spacing w:val="0"/>
          <w:w w:val="100"/>
          <w:position w:val="0"/>
        </w:rPr>
        <w:t>本案中，沈阳高开主观恶意十分明显,对此,银监会也予以 证明。</w:t>
      </w:r>
    </w:p>
    <w:p w14:paraId="51A9469F">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最后,根据原《合同法》第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条,还需要满足受益人知道的构成要件，即受益人受益时 知道债务人的行为有害于债权人的实现。本案中，东北电气应当明知其投入沈阳添升的资 产</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台发电机）价值仅为</w:t>
      </w:r>
      <w:r>
        <w:rPr>
          <w:rFonts w:ascii="Times New Roman" w:hAnsi="Times New Roman" w:eastAsia="Times New Roman" w:cs="Times New Roman"/>
          <w:color w:val="000000"/>
          <w:spacing w:val="0"/>
          <w:w w:val="100"/>
          <w:position w:val="0"/>
          <w:sz w:val="19"/>
          <w:szCs w:val="19"/>
        </w:rPr>
        <w:t>2787</w:t>
      </w:r>
      <w:r>
        <w:rPr>
          <w:color w:val="000000"/>
          <w:spacing w:val="0"/>
          <w:w w:val="100"/>
          <w:position w:val="0"/>
        </w:rPr>
        <w:t>万元左右，在这种情况下却仍以该不合理的低价换取沈阳 高开享有的股权，其与后者进行了一系列不合理低价的交易行为，而且这些交易发生的时 点恰好是在债务人设立新泰高压之后的不久。另外,在股权置换时，应对对方的财务情况、 负债情况进行一定的调查，从中可以知道沈阳高开的负债情况。</w:t>
      </w:r>
    </w:p>
    <w:p w14:paraId="09D52A86">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综上所述，对于沈阳高开以其在新泰高压</w:t>
      </w:r>
      <w:r>
        <w:rPr>
          <w:rFonts w:ascii="Times New Roman" w:hAnsi="Times New Roman" w:eastAsia="Times New Roman" w:cs="Times New Roman"/>
          <w:color w:val="000000"/>
          <w:spacing w:val="0"/>
          <w:w w:val="100"/>
          <w:position w:val="0"/>
          <w:sz w:val="19"/>
          <w:szCs w:val="19"/>
        </w:rPr>
        <w:t>74.4%</w:t>
      </w:r>
      <w:r>
        <w:rPr>
          <w:color w:val="000000"/>
          <w:spacing w:val="0"/>
          <w:w w:val="100"/>
          <w:position w:val="0"/>
        </w:rPr>
        <w:t xml:space="preserve">的股权置换东北电气持有的沈阳添升 </w:t>
      </w:r>
      <w:r>
        <w:rPr>
          <w:rFonts w:ascii="Times New Roman" w:hAnsi="Times New Roman" w:eastAsia="Times New Roman" w:cs="Times New Roman"/>
          <w:color w:val="000000"/>
          <w:spacing w:val="0"/>
          <w:w w:val="100"/>
          <w:position w:val="0"/>
          <w:sz w:val="19"/>
          <w:szCs w:val="19"/>
        </w:rPr>
        <w:t>98.5%</w:t>
      </w:r>
      <w:r>
        <w:rPr>
          <w:color w:val="000000"/>
          <w:spacing w:val="0"/>
          <w:w w:val="100"/>
          <w:position w:val="0"/>
        </w:rPr>
        <w:t>的股权的行为，国开行享有撤销权。</w:t>
      </w:r>
    </w:p>
    <w:p w14:paraId="47629B5E">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 xml:space="preserve">依据最高人民法院《关于适用〈中华人民共和国合同法〉若干问题的解释（一）》［法释 </w:t>
      </w:r>
      <w:r>
        <w:rPr>
          <w:rFonts w:ascii="Times New Roman" w:hAnsi="Times New Roman" w:eastAsia="Times New Roman" w:cs="Times New Roman"/>
          <w:color w:val="000000"/>
          <w:spacing w:val="0"/>
          <w:w w:val="100"/>
          <w:position w:val="0"/>
          <w:sz w:val="19"/>
          <w:szCs w:val="19"/>
        </w:rPr>
        <w:t>（1999）19</w:t>
      </w:r>
      <w:r>
        <w:rPr>
          <w:color w:val="000000"/>
          <w:spacing w:val="0"/>
          <w:w w:val="100"/>
          <w:position w:val="0"/>
        </w:rPr>
        <w:t>号］（以下简称《合同法解释一》）第</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款，经法院依法撤销的侵害债权行 为的判决生效后，债务人与第三人之间的侵害债权的行为自始无效。所以，案涉股权置换 合同自始无效。但法律上并没有明确规定第三人的返还义务,也没有规定返还不能的赔偿 义务。而处理合同无效或可撤销之后法律效果的原《合同法》第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条规则在这里也无法准 用，国开行作为债权人行使撤销权后只能请求第三人将标的物或者财产返还给债务人东北 电气。而且，从撤销权的规范目的出发，也不能判决沈阳高开返还第三人股权。在债权人行 使撤销权后，第三人只能向债务人另案提出请求。</w:t>
      </w:r>
    </w:p>
    <w:p w14:paraId="6AAD609F">
      <w:pPr>
        <w:pStyle w:val="17"/>
        <w:keepNext w:val="0"/>
        <w:keepLines w:val="0"/>
        <w:widowControl w:val="0"/>
        <w:shd w:val="clear" w:color="auto" w:fill="auto"/>
        <w:bidi w:val="0"/>
        <w:spacing w:before="0" w:after="0" w:line="38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5F5C45B8">
      <w:pPr>
        <w:pStyle w:val="33"/>
        <w:keepNext w:val="0"/>
        <w:keepLines w:val="0"/>
        <w:widowControl w:val="0"/>
        <w:shd w:val="clear" w:color="auto" w:fill="auto"/>
        <w:bidi w:val="0"/>
        <w:spacing w:before="0" w:after="0" w:line="338" w:lineRule="exact"/>
        <w:ind w:left="0" w:right="0" w:firstLine="420"/>
        <w:jc w:val="both"/>
      </w:pPr>
      <w:r>
        <w:rPr>
          <w:color w:val="000000"/>
          <w:spacing w:val="0"/>
          <w:w w:val="100"/>
          <w:position w:val="0"/>
          <w:sz w:val="18"/>
          <w:szCs w:val="18"/>
        </w:rPr>
        <w:t>在司法实践中，形成了比较稳定的裁判意见，对于债务人与第三人实施有偿行为侵害 债权实现的，债权人得予以撤销</w:t>
      </w:r>
      <w:r>
        <w:rPr>
          <w:color w:val="000000"/>
          <w:spacing w:val="0"/>
          <w:w w:val="100"/>
          <w:position w:val="0"/>
        </w:rPr>
        <w:t>［如申请再审人中国水利电力对外公司与被申请人上海福岷围垦疏 浚有限公司、龙湾港集团上海实业有限责任公司、海南龙湾港疏浚集团有限公司撤销权纠纷案，最高人 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民二提字第</w:t>
      </w:r>
      <w:r>
        <w:rPr>
          <w:rFonts w:ascii="Times New Roman" w:hAnsi="Times New Roman" w:eastAsia="Times New Roman" w:cs="Times New Roman"/>
          <w:color w:val="000000"/>
          <w:spacing w:val="0"/>
          <w:w w:val="100"/>
          <w:position w:val="0"/>
          <w:sz w:val="17"/>
          <w:szCs w:val="17"/>
        </w:rPr>
        <w:t>58</w:t>
      </w:r>
      <w:r>
        <w:rPr>
          <w:color w:val="000000"/>
          <w:spacing w:val="0"/>
          <w:w w:val="100"/>
          <w:position w:val="0"/>
        </w:rPr>
        <w:t>号民事判决书；陈志明等诉陈伟伟公司债权人撤销权纠纷案，最高人民法 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310</w:t>
      </w:r>
      <w:r>
        <w:rPr>
          <w:color w:val="000000"/>
          <w:spacing w:val="0"/>
          <w:w w:val="100"/>
          <w:position w:val="0"/>
        </w:rPr>
        <w:t>号民事判决书］。</w:t>
      </w:r>
      <w:r>
        <w:rPr>
          <w:color w:val="000000"/>
          <w:spacing w:val="0"/>
          <w:w w:val="100"/>
          <w:position w:val="0"/>
          <w:sz w:val="18"/>
          <w:szCs w:val="18"/>
        </w:rPr>
        <w:t>对于</w:t>
      </w:r>
      <w:r>
        <w:rPr>
          <w:color w:val="000000"/>
          <w:spacing w:val="0"/>
          <w:w w:val="100"/>
          <w:position w:val="0"/>
          <w:sz w:val="18"/>
          <w:szCs w:val="18"/>
          <w:lang w:val="zh-CN" w:eastAsia="zh-CN" w:bidi="zh-CN"/>
        </w:rPr>
        <w:t>“明</w:t>
      </w:r>
      <w:r>
        <w:rPr>
          <w:color w:val="000000"/>
          <w:spacing w:val="0"/>
          <w:w w:val="100"/>
          <w:position w:val="0"/>
          <w:sz w:val="18"/>
          <w:szCs w:val="18"/>
        </w:rPr>
        <w:t>显不合理低价</w:t>
      </w:r>
      <w:r>
        <w:rPr>
          <w:color w:val="000000"/>
          <w:spacing w:val="0"/>
          <w:w w:val="100"/>
          <w:position w:val="0"/>
          <w:sz w:val="18"/>
          <w:szCs w:val="18"/>
          <w:lang w:val="zh-CN" w:eastAsia="zh-CN" w:bidi="zh-CN"/>
        </w:rPr>
        <w:t>”转</w:t>
      </w:r>
      <w:r>
        <w:rPr>
          <w:color w:val="000000"/>
          <w:spacing w:val="0"/>
          <w:w w:val="100"/>
          <w:position w:val="0"/>
          <w:sz w:val="18"/>
          <w:szCs w:val="18"/>
        </w:rPr>
        <w:t>让财产的判断，一般参照 《合同法司法解释二》第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sz w:val="18"/>
          <w:szCs w:val="18"/>
        </w:rPr>
        <w:t>条的规定予以判定</w:t>
      </w:r>
      <w:r>
        <w:rPr>
          <w:color w:val="000000"/>
          <w:spacing w:val="0"/>
          <w:w w:val="100"/>
          <w:position w:val="0"/>
        </w:rPr>
        <w:t>［如胡婷婷等与郑金龙等撤销权纠纷申请案，最高 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1943</w:t>
      </w:r>
      <w:r>
        <w:rPr>
          <w:color w:val="000000"/>
          <w:spacing w:val="0"/>
          <w:w w:val="100"/>
          <w:position w:val="0"/>
        </w:rPr>
        <w:t>号民事裁定书］</w:t>
      </w:r>
      <w:r>
        <w:rPr>
          <w:color w:val="000000"/>
          <w:spacing w:val="0"/>
          <w:w w:val="100"/>
          <w:position w:val="0"/>
          <w:sz w:val="18"/>
          <w:szCs w:val="18"/>
        </w:rPr>
        <w:t>，具体根据交易当时、交易当地一般经营者的判 断，并参考交易当时交易地的物价部门指导价或者市场交易价，结合其他相关因素综合考 虑予以确认</w:t>
      </w:r>
      <w:r>
        <w:rPr>
          <w:color w:val="000000"/>
          <w:spacing w:val="0"/>
          <w:w w:val="100"/>
          <w:position w:val="0"/>
        </w:rPr>
        <w:t>［如中国建设银行淮北分行与淮北市友谊汽车修理改装厂债权人撤销权纠纷案，最高人民 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民二终字第</w:t>
      </w:r>
      <w:r>
        <w:rPr>
          <w:rFonts w:ascii="Times New Roman" w:hAnsi="Times New Roman" w:eastAsia="Times New Roman" w:cs="Times New Roman"/>
          <w:color w:val="000000"/>
          <w:spacing w:val="0"/>
          <w:w w:val="100"/>
          <w:position w:val="0"/>
          <w:sz w:val="17"/>
          <w:szCs w:val="17"/>
        </w:rPr>
        <w:t>63</w:t>
      </w:r>
      <w:r>
        <w:rPr>
          <w:color w:val="000000"/>
          <w:spacing w:val="0"/>
          <w:w w:val="100"/>
          <w:position w:val="0"/>
        </w:rPr>
        <w:t>号民事判决书］。</w:t>
      </w:r>
    </w:p>
    <w:p w14:paraId="022EBDDD">
      <w:pPr>
        <w:pStyle w:val="33"/>
        <w:keepNext w:val="0"/>
        <w:keepLines w:val="0"/>
        <w:widowControl w:val="0"/>
        <w:shd w:val="clear" w:color="auto" w:fill="auto"/>
        <w:bidi w:val="0"/>
        <w:spacing w:before="0" w:after="0" w:line="325" w:lineRule="exact"/>
        <w:ind w:left="0" w:right="0" w:firstLine="420"/>
        <w:jc w:val="both"/>
      </w:pPr>
      <w:r>
        <w:rPr>
          <w:color w:val="000000"/>
          <w:spacing w:val="0"/>
          <w:w w:val="100"/>
          <w:position w:val="0"/>
          <w:sz w:val="18"/>
          <w:szCs w:val="18"/>
        </w:rPr>
        <w:t>在构成要件上，一般同时要求债务人与转得人恶意</w:t>
      </w:r>
      <w:r>
        <w:rPr>
          <w:color w:val="000000"/>
          <w:spacing w:val="0"/>
          <w:w w:val="100"/>
          <w:position w:val="0"/>
        </w:rPr>
        <w:t>［如中国水利电力对外公司与上海福岷 围垦疏浚有限公司、龙湾港集团上海实业有限责任公司、海南龙湾港疏浚集团有限公司撤销权纠纷案， 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民二提字第</w:t>
      </w:r>
      <w:r>
        <w:rPr>
          <w:rFonts w:ascii="Times New Roman" w:hAnsi="Times New Roman" w:eastAsia="Times New Roman" w:cs="Times New Roman"/>
          <w:color w:val="000000"/>
          <w:spacing w:val="0"/>
          <w:w w:val="100"/>
          <w:position w:val="0"/>
          <w:sz w:val="17"/>
          <w:szCs w:val="17"/>
        </w:rPr>
        <w:t>58</w:t>
      </w:r>
      <w:r>
        <w:rPr>
          <w:color w:val="000000"/>
          <w:spacing w:val="0"/>
          <w:w w:val="100"/>
          <w:position w:val="0"/>
        </w:rPr>
        <w:t>号民事判决书］。</w:t>
      </w:r>
    </w:p>
    <w:p w14:paraId="0277D016">
      <w:pPr>
        <w:pStyle w:val="17"/>
        <w:keepNext w:val="0"/>
        <w:keepLines w:val="0"/>
        <w:widowControl w:val="0"/>
        <w:shd w:val="clear" w:color="auto" w:fill="auto"/>
        <w:bidi w:val="0"/>
        <w:spacing w:before="0" w:after="0" w:line="346" w:lineRule="exact"/>
        <w:ind w:left="0" w:right="0" w:firstLine="420"/>
        <w:jc w:val="both"/>
        <w:rPr>
          <w:sz w:val="11"/>
          <w:szCs w:val="11"/>
        </w:rPr>
      </w:pPr>
      <w:r>
        <w:rPr>
          <w:color w:val="000000"/>
          <w:spacing w:val="0"/>
          <w:w w:val="100"/>
          <w:position w:val="0"/>
          <w:sz w:val="18"/>
          <w:szCs w:val="18"/>
        </w:rPr>
        <w:t>在法律效果上，需具体根据申请人的诉讼请求决定，若申请人主张诈害行为无效的，法 院一般仅判决诈害行为无效</w:t>
      </w:r>
      <w:r>
        <w:rPr>
          <w:color w:val="000000"/>
          <w:spacing w:val="0"/>
          <w:w w:val="100"/>
          <w:position w:val="0"/>
          <w:sz w:val="11"/>
          <w:szCs w:val="11"/>
        </w:rPr>
        <w:t>（前述中国水利电力对外公司案）。</w:t>
      </w:r>
      <w:r>
        <w:rPr>
          <w:color w:val="000000"/>
          <w:spacing w:val="0"/>
          <w:w w:val="100"/>
          <w:position w:val="0"/>
          <w:sz w:val="18"/>
          <w:szCs w:val="18"/>
        </w:rPr>
        <w:t>若当事人既主张诈害行为无 效，又主张转得人返还的,法院一般在判决诈害行为无效之外,还会判决转得人（第三人）将 所得返还给债务人</w:t>
      </w:r>
      <w:r>
        <w:rPr>
          <w:color w:val="000000"/>
          <w:spacing w:val="0"/>
          <w:w w:val="100"/>
          <w:position w:val="0"/>
          <w:sz w:val="11"/>
          <w:szCs w:val="11"/>
        </w:rPr>
        <w:t>［中钢集团天津有限公司等诉于景立等买卖合同纠纷、债权人撤销权纠纷案，最高 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683</w:t>
      </w:r>
      <w:r>
        <w:rPr>
          <w:color w:val="000000"/>
          <w:spacing w:val="0"/>
          <w:w w:val="100"/>
          <w:position w:val="0"/>
          <w:sz w:val="11"/>
          <w:szCs w:val="11"/>
        </w:rPr>
        <w:t>号民事判决书］。</w:t>
      </w:r>
    </w:p>
    <w:p w14:paraId="15F5AF29">
      <w:pPr>
        <w:pStyle w:val="17"/>
        <w:keepNext w:val="0"/>
        <w:keepLines w:val="0"/>
        <w:widowControl w:val="0"/>
        <w:shd w:val="clear" w:color="auto" w:fill="auto"/>
        <w:bidi w:val="0"/>
        <w:spacing w:before="0" w:after="180" w:line="337" w:lineRule="exact"/>
        <w:ind w:left="0" w:right="0" w:firstLine="420"/>
        <w:jc w:val="both"/>
        <w:rPr>
          <w:sz w:val="11"/>
          <w:szCs w:val="11"/>
        </w:rPr>
      </w:pPr>
      <w:r>
        <w:rPr>
          <w:color w:val="000000"/>
          <w:spacing w:val="0"/>
          <w:w w:val="100"/>
          <w:position w:val="0"/>
          <w:sz w:val="18"/>
          <w:szCs w:val="18"/>
        </w:rPr>
        <w:t>对于撤销权的行使，法律要求债权人自知道或者应当知道可撤销之日起</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年内行使，自 债务人的行为发生之日起</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年内行使。涉及物权变动登记的，实践中有观点认为</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年最长 期间应从债务人签订转让合同时起算</w:t>
      </w:r>
      <w:r>
        <w:rPr>
          <w:color w:val="000000"/>
          <w:spacing w:val="0"/>
          <w:w w:val="100"/>
          <w:position w:val="0"/>
          <w:sz w:val="11"/>
          <w:szCs w:val="11"/>
        </w:rPr>
        <w:t>（雅德咨询公司诉金湖饮食服务公司等债权人行使撤销权超 过法定期间被驳回案，载《江苏省高级人民法院公报》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辑）。</w:t>
      </w:r>
    </w:p>
    <w:p w14:paraId="7DF689EF">
      <w:pPr>
        <w:pStyle w:val="17"/>
        <w:keepNext w:val="0"/>
        <w:keepLines w:val="0"/>
        <w:widowControl w:val="0"/>
        <w:shd w:val="clear" w:color="auto" w:fill="auto"/>
        <w:bidi w:val="0"/>
        <w:spacing w:before="0" w:after="140" w:line="340"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本裁定的参考意义及将来的课题</w:t>
      </w:r>
    </w:p>
    <w:p w14:paraId="2296A52F">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本案中，债务人以及转得人故意的举证责任问题值得考虑。若将举证责任完全分配给 债权人，则会使行使撤销权产生困难。虽然有的学者主张应对转得人的故意采取推定的方 式,实质上使得举证责任倒置,但对于债务人的故意是否也可以采取推定的方式，采取举证 责任倒置的法律基础何在？对于债务人、转得人故意的问题，比较合理的思路还是通过客 观化考察债务人的注意义务,并类型化具体的故意情形，如将财产转给关系密切的人或关 联企业、在被判决承担债务不久等关键时刻转让财产等。</w:t>
      </w:r>
    </w:p>
    <w:p w14:paraId="776E06C6">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对于有偿行为型的撤销权构成，关注的重点应在故意要件，而非有偿行为的类型，如是 否不合理低价，一方面,不合理低价不容易判断;另一方面，与无偿行为也不容易区分，而且 在对债权人债权实现是否构成诈害的判定上，即使支付完全的对价,也可能存在侵害债权 的情况。在法律效果上，本案处理有超出法律规定之嫌，从结果来看，比较类似合同撤销的 法律效果。基于撤销权的规定，法院只能判决转得人将财产返还给债务人。</w:t>
      </w:r>
    </w:p>
    <w:p w14:paraId="7003889D">
      <w:pPr>
        <w:pStyle w:val="17"/>
        <w:keepNext w:val="0"/>
        <w:keepLines w:val="0"/>
        <w:widowControl w:val="0"/>
        <w:shd w:val="clear" w:color="auto" w:fill="auto"/>
        <w:bidi w:val="0"/>
        <w:spacing w:before="0" w:after="360" w:line="347" w:lineRule="exact"/>
        <w:ind w:left="0" w:right="0" w:firstLine="420"/>
        <w:jc w:val="both"/>
      </w:pPr>
      <w:r>
        <w:rPr>
          <w:color w:val="000000"/>
          <w:spacing w:val="0"/>
          <w:w w:val="100"/>
          <w:position w:val="0"/>
        </w:rPr>
        <w:t>《民法典》生效后，相关规则发生了变化,前述原《合同法》第</w:t>
      </w:r>
      <w:r>
        <w:rPr>
          <w:rFonts w:ascii="Times New Roman" w:hAnsi="Times New Roman" w:eastAsia="Times New Roman" w:cs="Times New Roman"/>
          <w:color w:val="000000"/>
          <w:spacing w:val="0"/>
          <w:w w:val="100"/>
          <w:position w:val="0"/>
          <w:sz w:val="19"/>
          <w:szCs w:val="19"/>
        </w:rPr>
        <w:t>74</w:t>
      </w:r>
      <w:r>
        <w:rPr>
          <w:color w:val="000000"/>
          <w:spacing w:val="0"/>
          <w:w w:val="100"/>
          <w:position w:val="0"/>
        </w:rPr>
        <w:t xml:space="preserve">条被分解为《民法典》第 </w:t>
      </w:r>
      <w:r>
        <w:rPr>
          <w:rFonts w:ascii="Times New Roman" w:hAnsi="Times New Roman" w:eastAsia="Times New Roman" w:cs="Times New Roman"/>
          <w:color w:val="000000"/>
          <w:spacing w:val="0"/>
          <w:w w:val="100"/>
          <w:position w:val="0"/>
          <w:sz w:val="19"/>
          <w:szCs w:val="19"/>
        </w:rPr>
        <w:t>538,539</w:t>
      </w:r>
      <w:r>
        <w:rPr>
          <w:color w:val="000000"/>
          <w:spacing w:val="0"/>
          <w:w w:val="100"/>
          <w:position w:val="0"/>
        </w:rPr>
        <w:t>条两个条文，依次规定了无偿处分时的债权人撤销权和不合理价格交易时的债权 人撤销权。行使撤销权的事由已经根据司法解释等作了扩张:但基本保持撤销权的既有规 范逻辑。本裁定涉及的前述解释问题，依然有探讨的空间 、</w:t>
      </w:r>
    </w:p>
    <w:p w14:paraId="131F8DF0">
      <w:pPr>
        <w:pStyle w:val="11"/>
        <w:keepNext w:val="0"/>
        <w:keepLines w:val="0"/>
        <w:widowControl w:val="0"/>
        <w:shd w:val="clear" w:color="auto" w:fill="auto"/>
        <w:bidi w:val="0"/>
        <w:spacing w:before="0" w:after="180" w:line="340" w:lineRule="exact"/>
        <w:ind w:left="0" w:right="0" w:firstLine="0"/>
        <w:jc w:val="both"/>
      </w:pPr>
      <w:r>
        <w:rPr>
          <w:color w:val="000000"/>
          <w:spacing w:val="0"/>
          <w:w w:val="100"/>
          <w:position w:val="0"/>
        </w:rPr>
        <w:t>回参考文献</w:t>
      </w:r>
    </w:p>
    <w:p w14:paraId="42F4B1EB">
      <w:pPr>
        <w:pStyle w:val="33"/>
        <w:keepNext w:val="0"/>
        <w:keepLines w:val="0"/>
        <w:widowControl w:val="0"/>
        <w:shd w:val="clear" w:color="auto" w:fill="auto"/>
        <w:bidi w:val="0"/>
        <w:spacing w:before="0" w:after="140" w:line="240" w:lineRule="auto"/>
        <w:ind w:left="0" w:right="0" w:firstLine="0"/>
        <w:jc w:val="both"/>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52B33FDC">
      <w:pPr>
        <w:pStyle w:val="33"/>
        <w:keepNext w:val="0"/>
        <w:keepLines w:val="0"/>
        <w:widowControl w:val="0"/>
        <w:shd w:val="clear" w:color="auto" w:fill="auto"/>
        <w:bidi w:val="0"/>
        <w:spacing w:before="0" w:after="160" w:line="240" w:lineRule="auto"/>
        <w:ind w:left="0" w:right="0" w:firstLine="0"/>
        <w:jc w:val="both"/>
        <w:sectPr>
          <w:headerReference r:id="rId392" w:type="default"/>
          <w:headerReference r:id="rId393" w:type="even"/>
          <w:footnotePr>
            <w:numFmt w:val="chicago"/>
          </w:footnotePr>
          <w:pgSz w:w="10099" w:h="14782"/>
          <w:pgMar w:top="1291" w:right="1034" w:bottom="1101" w:left="1064" w:header="0" w:footer="3" w:gutter="0"/>
          <w:pgNumType w:start="322"/>
          <w:cols w:space="720" w:num="1"/>
          <w:rtlGutter w:val="0"/>
          <w:docGrid w:linePitch="360" w:charSpace="0"/>
        </w:sectPr>
      </w:pPr>
      <w:r>
        <w:rPr>
          <w:color w:val="000000"/>
          <w:spacing w:val="0"/>
          <w:w w:val="100"/>
          <w:position w:val="0"/>
        </w:rPr>
        <w:t>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37DCF25A">
      <w:pPr>
        <w:widowControl w:val="0"/>
        <w:spacing w:line="1" w:lineRule="exact"/>
      </w:pPr>
      <w:r>
        <w:drawing>
          <wp:anchor distT="0" distB="0" distL="0" distR="0" simplePos="0" relativeHeight="251660288" behindDoc="0" locked="0" layoutInCell="1" allowOverlap="1">
            <wp:simplePos x="0" y="0"/>
            <wp:positionH relativeFrom="page">
              <wp:posOffset>702310</wp:posOffset>
            </wp:positionH>
            <wp:positionV relativeFrom="paragraph">
              <wp:posOffset>0</wp:posOffset>
            </wp:positionV>
            <wp:extent cx="481330" cy="408305"/>
            <wp:effectExtent l="0" t="0" r="1270" b="10795"/>
            <wp:wrapTopAndBottom/>
            <wp:docPr id="911" name="Shape 911"/>
            <wp:cNvGraphicFramePr/>
            <a:graphic xmlns:a="http://schemas.openxmlformats.org/drawingml/2006/main">
              <a:graphicData uri="http://schemas.openxmlformats.org/drawingml/2006/picture">
                <pic:pic xmlns:pic="http://schemas.openxmlformats.org/drawingml/2006/picture">
                  <pic:nvPicPr>
                    <pic:cNvPr id="911" name="Shape 911"/>
                    <pic:cNvPicPr/>
                  </pic:nvPicPr>
                  <pic:blipFill>
                    <a:blip r:embed="rId676"/>
                    <a:stretch>
                      <a:fillRect/>
                    </a:stretch>
                  </pic:blipFill>
                  <pic:spPr>
                    <a:xfrm>
                      <a:off x="0" y="0"/>
                      <a:ext cx="481330" cy="408305"/>
                    </a:xfrm>
                    <a:prstGeom prst="rect">
                      <a:avLst/>
                    </a:prstGeom>
                  </pic:spPr>
                </pic:pic>
              </a:graphicData>
            </a:graphic>
          </wp:anchor>
        </w:drawing>
      </w:r>
      <w:r>
        <mc:AlternateContent>
          <mc:Choice Requires="wps">
            <w:drawing>
              <wp:anchor distT="125095" distB="42545" distL="0" distR="0" simplePos="0" relativeHeight="251660288" behindDoc="0" locked="0" layoutInCell="1" allowOverlap="1">
                <wp:simplePos x="0" y="0"/>
                <wp:positionH relativeFrom="page">
                  <wp:posOffset>1311910</wp:posOffset>
                </wp:positionH>
                <wp:positionV relativeFrom="paragraph">
                  <wp:posOffset>125095</wp:posOffset>
                </wp:positionV>
                <wp:extent cx="2616835" cy="240665"/>
                <wp:effectExtent l="0" t="0" r="0" b="0"/>
                <wp:wrapTopAndBottom/>
                <wp:docPr id="913" name="Shape 913"/>
                <wp:cNvGraphicFramePr/>
                <a:graphic xmlns:a="http://schemas.openxmlformats.org/drawingml/2006/main">
                  <a:graphicData uri="http://schemas.microsoft.com/office/word/2010/wordprocessingShape">
                    <wps:wsp>
                      <wps:cNvSpPr txBox="1"/>
                      <wps:spPr>
                        <a:xfrm>
                          <a:off x="0" y="0"/>
                          <a:ext cx="2616835" cy="240665"/>
                        </a:xfrm>
                        <a:prstGeom prst="rect">
                          <a:avLst/>
                        </a:prstGeom>
                        <a:noFill/>
                      </wps:spPr>
                      <wps:txbx>
                        <w:txbxContent>
                          <w:p w14:paraId="0C0DBCD0">
                            <w:pPr>
                              <w:pStyle w:val="15"/>
                              <w:keepNext/>
                              <w:keepLines/>
                              <w:widowControl w:val="0"/>
                              <w:shd w:val="clear" w:color="auto" w:fill="auto"/>
                              <w:bidi w:val="0"/>
                              <w:spacing w:before="0" w:after="0" w:line="240" w:lineRule="auto"/>
                              <w:ind w:left="0" w:right="0" w:firstLine="0"/>
                              <w:jc w:val="left"/>
                            </w:pPr>
                            <w:bookmarkStart w:id="504" w:name="bookmark406"/>
                            <w:bookmarkStart w:id="505" w:name="bookmark407"/>
                            <w:bookmarkStart w:id="506" w:name="bookmark408"/>
                            <w:r>
                              <w:rPr>
                                <w:color w:val="000000"/>
                                <w:spacing w:val="0"/>
                                <w:w w:val="100"/>
                                <w:position w:val="0"/>
                              </w:rPr>
                              <w:t>债权让与通知对债务人的效力</w:t>
                            </w:r>
                            <w:bookmarkEnd w:id="504"/>
                            <w:bookmarkEnd w:id="505"/>
                            <w:bookmarkEnd w:id="506"/>
                          </w:p>
                        </w:txbxContent>
                      </wps:txbx>
                      <wps:bodyPr wrap="none" lIns="0" tIns="0" rIns="0" bIns="0">
                        <a:noAutofit/>
                      </wps:bodyPr>
                    </wps:wsp>
                  </a:graphicData>
                </a:graphic>
              </wp:anchor>
            </w:drawing>
          </mc:Choice>
          <mc:Fallback>
            <w:pict>
              <v:shape id="Shape 913" o:spid="_x0000_s1026" o:spt="202" type="#_x0000_t202" style="position:absolute;left:0pt;margin-left:103.3pt;margin-top:9.85pt;height:18.95pt;width:206.05pt;mso-position-horizontal-relative:page;mso-wrap-distance-bottom:3.35pt;mso-wrap-distance-top:9.85pt;mso-wrap-style:none;z-index:251660288;mso-width-relative:page;mso-height-relative:page;" filled="f" stroked="f" coordsize="21600,21600" o:gfxdata="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HmtHnW&#10;AAAACQEAAA8AAAAAAAAAAQAgAAAAIgAAAGRycy9kb3ducmV2LnhtbFBLAQIUABQAAAAIAIdO4kCu&#10;604UsAEAAHQDAAAOAAAAAAAAAAEAIAAAACUBAABkcnMvZTJvRG9jLnhtbFBLBQYAAAAABgAGAFkB&#10;AABHBQAAAAA=&#10;">
                <v:fill on="f" focussize="0,0"/>
                <v:stroke on="f"/>
                <v:imagedata o:title=""/>
                <o:lock v:ext="edit" aspectratio="f"/>
                <v:textbox inset="0mm,0mm,0mm,0mm">
                  <w:txbxContent>
                    <w:p w14:paraId="0C0DBCD0">
                      <w:pPr>
                        <w:pStyle w:val="15"/>
                        <w:keepNext/>
                        <w:keepLines/>
                        <w:widowControl w:val="0"/>
                        <w:shd w:val="clear" w:color="auto" w:fill="auto"/>
                        <w:bidi w:val="0"/>
                        <w:spacing w:before="0" w:after="0" w:line="240" w:lineRule="auto"/>
                        <w:ind w:left="0" w:right="0" w:firstLine="0"/>
                        <w:jc w:val="left"/>
                      </w:pPr>
                      <w:bookmarkStart w:id="504" w:name="bookmark406"/>
                      <w:bookmarkStart w:id="505" w:name="bookmark407"/>
                      <w:bookmarkStart w:id="506" w:name="bookmark408"/>
                      <w:r>
                        <w:rPr>
                          <w:color w:val="000000"/>
                          <w:spacing w:val="0"/>
                          <w:w w:val="100"/>
                          <w:position w:val="0"/>
                        </w:rPr>
                        <w:t>债权让与通知对债务人的效力</w:t>
                      </w:r>
                      <w:bookmarkEnd w:id="504"/>
                      <w:bookmarkEnd w:id="505"/>
                      <w:bookmarkEnd w:id="506"/>
                    </w:p>
                  </w:txbxContent>
                </v:textbox>
                <w10:wrap type="topAndBottom"/>
              </v:shape>
            </w:pict>
          </mc:Fallback>
        </mc:AlternateContent>
      </w:r>
    </w:p>
    <w:p w14:paraId="3096D27B">
      <w:pPr>
        <w:pStyle w:val="17"/>
        <w:keepNext w:val="0"/>
        <w:keepLines w:val="0"/>
        <w:widowControl w:val="0"/>
        <w:shd w:val="clear" w:color="auto" w:fill="auto"/>
        <w:bidi w:val="0"/>
        <w:spacing w:before="0" w:after="420" w:line="323" w:lineRule="exact"/>
        <w:ind w:left="1000" w:right="0" w:firstLine="0"/>
        <w:jc w:val="both"/>
      </w:pPr>
      <w:r>
        <w:drawing>
          <wp:anchor distT="0" distB="0" distL="114300" distR="114300" simplePos="0" relativeHeight="251660288" behindDoc="0" locked="0" layoutInCell="1" allowOverlap="1">
            <wp:simplePos x="0" y="0"/>
            <wp:positionH relativeFrom="page">
              <wp:posOffset>5109210</wp:posOffset>
            </wp:positionH>
            <wp:positionV relativeFrom="paragraph">
              <wp:posOffset>38100</wp:posOffset>
            </wp:positionV>
            <wp:extent cx="615950" cy="621665"/>
            <wp:effectExtent l="0" t="0" r="6350" b="635"/>
            <wp:wrapSquare wrapText="left"/>
            <wp:docPr id="915" name="Shape 915"/>
            <wp:cNvGraphicFramePr/>
            <a:graphic xmlns:a="http://schemas.openxmlformats.org/drawingml/2006/main">
              <a:graphicData uri="http://schemas.openxmlformats.org/drawingml/2006/picture">
                <pic:pic xmlns:pic="http://schemas.openxmlformats.org/drawingml/2006/picture">
                  <pic:nvPicPr>
                    <pic:cNvPr id="915" name="Shape 915"/>
                    <pic:cNvPicPr/>
                  </pic:nvPicPr>
                  <pic:blipFill>
                    <a:blip r:embed="rId677"/>
                    <a:stretch>
                      <a:fillRect/>
                    </a:stretch>
                  </pic:blipFill>
                  <pic:spPr>
                    <a:xfrm>
                      <a:off x="0" y="0"/>
                      <a:ext cx="615950" cy="621665"/>
                    </a:xfrm>
                    <a:prstGeom prst="rect">
                      <a:avLst/>
                    </a:prstGeom>
                  </pic:spPr>
                </pic:pic>
              </a:graphicData>
            </a:graphic>
          </wp:anchor>
        </w:drawing>
      </w:r>
      <w:r>
        <w:rPr>
          <w:color w:val="000000"/>
          <w:spacing w:val="0"/>
          <w:w w:val="100"/>
          <w:position w:val="0"/>
        </w:rPr>
        <w:t>遵义渝禾商贸有限责任公司诉中信银行股份有限公司贵阳分行公 司、简传刚、杨小平保理业务合同纠纷案丨最高人民法院</w:t>
      </w:r>
      <w:r>
        <w:rPr>
          <w:rFonts w:ascii="Times New Roman" w:hAnsi="Times New Roman" w:eastAsia="Times New Roman" w:cs="Times New Roman"/>
          <w:color w:val="000000"/>
          <w:spacing w:val="0"/>
          <w:w w:val="100"/>
          <w:position w:val="0"/>
          <w:sz w:val="19"/>
          <w:szCs w:val="19"/>
        </w:rPr>
        <w:t xml:space="preserve">（2016） </w:t>
      </w:r>
      <w:r>
        <w:rPr>
          <w:color w:val="000000"/>
          <w:spacing w:val="0"/>
          <w:w w:val="100"/>
          <w:position w:val="0"/>
        </w:rPr>
        <w:t>最高法民申</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号民事裁定书</w:t>
      </w:r>
    </w:p>
    <w:p w14:paraId="552A09EA">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lang w:val="zh-CN" w:eastAsia="zh-CN" w:bidi="zh-CN"/>
        </w:rPr>
        <w:t>冯）</w:t>
      </w:r>
      <w:r>
        <w:rPr>
          <w:b/>
          <w:bCs/>
          <w:color w:val="000000"/>
          <w:spacing w:val="0"/>
          <w:w w:val="100"/>
          <w:position w:val="0"/>
          <w:sz w:val="18"/>
          <w:szCs w:val="18"/>
        </w:rPr>
        <w:t>吉语</w:t>
      </w:r>
      <w:r>
        <w:rPr>
          <w:color w:val="000000"/>
          <w:spacing w:val="0"/>
          <w:w w:val="100"/>
          <w:position w:val="0"/>
        </w:rPr>
        <w:t>南京大学法学院</w:t>
      </w:r>
    </w:p>
    <w:p w14:paraId="4B16783F">
      <w:pPr>
        <w:pStyle w:val="11"/>
        <w:keepNext w:val="0"/>
        <w:keepLines w:val="0"/>
        <w:widowControl w:val="0"/>
        <w:shd w:val="clear" w:color="auto" w:fill="auto"/>
        <w:bidi w:val="0"/>
        <w:spacing w:before="0" w:after="60" w:line="34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3A7240B">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日，再审被申请人</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公司与再审被申请人</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银行签订了《国内保理业务 合同（有追索权）》，其中约定将</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公司对再审申请人</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公司享有的</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万元债权让与</w:t>
      </w:r>
      <w:r>
        <w:rPr>
          <w:rFonts w:ascii="Times New Roman" w:hAnsi="Times New Roman" w:eastAsia="Times New Roman" w:cs="Times New Roman"/>
          <w:color w:val="000000"/>
          <w:spacing w:val="0"/>
          <w:w w:val="100"/>
          <w:position w:val="0"/>
          <w:sz w:val="19"/>
          <w:szCs w:val="19"/>
          <w:lang w:val="en-US" w:eastAsia="en-US" w:bidi="en-US"/>
        </w:rPr>
        <w:t xml:space="preserve">Z </w:t>
      </w:r>
      <w:r>
        <w:rPr>
          <w:color w:val="000000"/>
          <w:spacing w:val="0"/>
          <w:w w:val="100"/>
          <w:position w:val="0"/>
        </w:rPr>
        <w:t>银行。同日，</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公司与</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银行共同向</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公司发出了债权让与通知。之后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27 </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 xml:space="preserve">银行将该债权转让给了 </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公司，但并未对</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发出通知。但</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 xml:space="preserve">声称已经知情债权让与 </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公司到期未向</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银行清偿其债务。</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银行遂诉请</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公司偿还</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万元债务,</w:t>
      </w:r>
      <w:r>
        <w:rPr>
          <w:rFonts w:ascii="Times New Roman" w:hAnsi="Times New Roman" w:eastAsia="Times New Roman" w:cs="Times New Roman"/>
          <w:color w:val="000000"/>
          <w:spacing w:val="0"/>
          <w:w w:val="100"/>
          <w:position w:val="0"/>
          <w:sz w:val="19"/>
          <w:szCs w:val="19"/>
          <w:lang w:val="en-US" w:eastAsia="en-US" w:bidi="en-US"/>
        </w:rPr>
        <w:t xml:space="preserve">Y </w:t>
      </w:r>
      <w:r>
        <w:rPr>
          <w:color w:val="000000"/>
          <w:spacing w:val="0"/>
          <w:w w:val="100"/>
          <w:position w:val="0"/>
        </w:rPr>
        <w:t>公司在二审中提出两点主张，其一,</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公司已经向</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公司支付相应款项，债务已经履行完 毕;其二，现债权人为</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银行无权主张债权。但均未被法院采纳。</w:t>
      </w:r>
    </w:p>
    <w:p w14:paraId="3E51A9A6">
      <w:pPr>
        <w:pStyle w:val="17"/>
        <w:keepNext w:val="0"/>
        <w:keepLines w:val="0"/>
        <w:widowControl w:val="0"/>
        <w:shd w:val="clear" w:color="auto" w:fill="auto"/>
        <w:bidi w:val="0"/>
        <w:spacing w:before="0" w:after="360" w:line="346" w:lineRule="exact"/>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公司向最高人民法院申请再审。再审的主要理由在于</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银行将本案所涉债权转让 给</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公司，故</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银行不再具有债权人资格，其已丧失本案诉讼主体资格。</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银行在解释还 款原因时,已告知</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公司和</w:t>
      </w:r>
      <w:r>
        <w:rPr>
          <w:rFonts w:ascii="Times New Roman" w:hAnsi="Times New Roman" w:eastAsia="Times New Roman" w:cs="Times New Roman"/>
          <w:color w:val="000000"/>
          <w:spacing w:val="0"/>
          <w:w w:val="100"/>
          <w:position w:val="0"/>
          <w:sz w:val="19"/>
          <w:szCs w:val="19"/>
          <w:lang w:val="en-US" w:eastAsia="en-US" w:bidi="en-US"/>
        </w:rPr>
        <w:t>Y</w:t>
      </w:r>
      <w:r>
        <w:rPr>
          <w:color w:val="000000"/>
          <w:spacing w:val="0"/>
          <w:w w:val="100"/>
          <w:position w:val="0"/>
        </w:rPr>
        <w:t>公司其将债权转让</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公司的事实。且通知义务在案件审理 中亦可以履行,</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银行在诉讼程序中举示债权转让材料的行为，已经达到了通知的法律效 果。</w:t>
      </w:r>
    </w:p>
    <w:p w14:paraId="3EEC96D5">
      <w:pPr>
        <w:pStyle w:val="11"/>
        <w:keepNext w:val="0"/>
        <w:keepLines w:val="0"/>
        <w:widowControl w:val="0"/>
        <w:shd w:val="clear" w:color="auto" w:fill="auto"/>
        <w:bidi w:val="0"/>
        <w:spacing w:before="0" w:after="6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854E29C">
      <w:pPr>
        <w:pStyle w:val="17"/>
        <w:keepNext w:val="0"/>
        <w:keepLines w:val="0"/>
        <w:widowControl w:val="0"/>
        <w:shd w:val="clear" w:color="auto" w:fill="auto"/>
        <w:bidi w:val="0"/>
        <w:spacing w:before="0" w:after="0" w:line="348" w:lineRule="exact"/>
        <w:ind w:left="0" w:right="0"/>
        <w:jc w:val="both"/>
      </w:pPr>
      <w:r>
        <w:rPr>
          <w:color w:val="000000"/>
          <w:spacing w:val="0"/>
          <w:w w:val="100"/>
          <w:position w:val="0"/>
        </w:rPr>
        <w:t>驳回再审申请。</w:t>
      </w:r>
    </w:p>
    <w:p w14:paraId="42C86AE2">
      <w:pPr>
        <w:pStyle w:val="17"/>
        <w:keepNext w:val="0"/>
        <w:keepLines w:val="0"/>
        <w:widowControl w:val="0"/>
        <w:shd w:val="clear" w:color="auto" w:fill="auto"/>
        <w:bidi w:val="0"/>
        <w:spacing w:before="0" w:after="200" w:line="348" w:lineRule="exact"/>
        <w:ind w:left="0" w:right="0" w:firstLine="420"/>
        <w:jc w:val="both"/>
        <w:sectPr>
          <w:headerReference r:id="rId394" w:type="default"/>
          <w:headerReference r:id="rId395" w:type="even"/>
          <w:footnotePr>
            <w:numFmt w:val="chicago"/>
          </w:footnotePr>
          <w:pgSz w:w="10099" w:h="14782"/>
          <w:pgMar w:top="1291" w:right="1034" w:bottom="1101" w:left="1064" w:header="863" w:footer="673" w:gutter="0"/>
          <w:pgNumType w:start="342"/>
          <w:cols w:space="720" w:num="1"/>
          <w:rtlGutter w:val="0"/>
          <w:docGrid w:linePitch="360" w:charSpace="0"/>
        </w:sectPr>
      </w:pPr>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条规定:</w:t>
      </w:r>
      <w:r>
        <w:rPr>
          <w:color w:val="000000"/>
          <w:spacing w:val="0"/>
          <w:w w:val="100"/>
          <w:position w:val="0"/>
          <w:lang w:val="zh-CN" w:eastAsia="zh-CN" w:bidi="zh-CN"/>
        </w:rPr>
        <w:t>“债权</w:t>
      </w:r>
      <w:r>
        <w:rPr>
          <w:color w:val="000000"/>
          <w:spacing w:val="0"/>
          <w:w w:val="100"/>
          <w:position w:val="0"/>
        </w:rPr>
        <w:t>人转让权利的，应当通知债务人，未经通知，该转让对债 务人不发生效力。债权人转让权利的通知不可撤销，但经受让人同意的除外。</w:t>
      </w:r>
      <w:r>
        <w:rPr>
          <w:color w:val="000000"/>
          <w:spacing w:val="0"/>
          <w:w w:val="100"/>
          <w:position w:val="0"/>
          <w:lang w:val="zh-CN" w:eastAsia="zh-CN" w:bidi="zh-CN"/>
        </w:rPr>
        <w:t>”该条</w:t>
      </w:r>
      <w:r>
        <w:rPr>
          <w:color w:val="000000"/>
          <w:spacing w:val="0"/>
          <w:w w:val="100"/>
          <w:position w:val="0"/>
        </w:rPr>
        <w:t>规定采 债权转让的通知主义模式，通知是债权转让对债务人生效的要件。债务人应当向谁履行债 务,取决于其是否收到债权转让通知。债务人在没有收到债权转让通知前，无论其是否实 际知晓债权转让的情况，债权转让对债务人均不发生法律效力，债务人仍应向原债权人履 行债务。该案中，虽然</w:t>
      </w:r>
      <w:r>
        <w:rPr>
          <w:rFonts w:ascii="Times New Roman" w:hAnsi="Times New Roman" w:eastAsia="Times New Roman" w:cs="Times New Roman"/>
          <w:color w:val="000000"/>
          <w:spacing w:val="0"/>
          <w:w w:val="100"/>
          <w:position w:val="0"/>
          <w:sz w:val="19"/>
          <w:szCs w:val="19"/>
          <w:lang w:val="en-US" w:eastAsia="en-US" w:bidi="en-US"/>
        </w:rPr>
        <w:t>Z</w:t>
      </w:r>
      <w:r>
        <w:rPr>
          <w:color w:val="000000"/>
          <w:spacing w:val="0"/>
          <w:w w:val="100"/>
          <w:position w:val="0"/>
        </w:rPr>
        <w:t>银行将所涉债权转让</w:t>
      </w:r>
      <w:r>
        <w:rPr>
          <w:rFonts w:ascii="Times New Roman" w:hAnsi="Times New Roman" w:eastAsia="Times New Roman" w:cs="Times New Roman"/>
          <w:color w:val="000000"/>
          <w:spacing w:val="0"/>
          <w:w w:val="100"/>
          <w:position w:val="0"/>
          <w:sz w:val="19"/>
          <w:szCs w:val="19"/>
          <w:lang w:val="en-US" w:eastAsia="en-US" w:bidi="en-US"/>
        </w:rPr>
        <w:t>D</w:t>
      </w:r>
      <w:r>
        <w:rPr>
          <w:color w:val="000000"/>
          <w:spacing w:val="0"/>
          <w:w w:val="100"/>
          <w:position w:val="0"/>
        </w:rPr>
        <w:t>公司，但未通知债务人，因此，该债权转让 对债务人不发生效力。</w:t>
      </w:r>
    </w:p>
    <w:p w14:paraId="0F269DEC">
      <w:pPr>
        <w:pStyle w:val="11"/>
        <w:keepNext w:val="0"/>
        <w:keepLines w:val="0"/>
        <w:widowControl w:val="0"/>
        <w:shd w:val="clear" w:color="auto" w:fill="auto"/>
        <w:bidi w:val="0"/>
        <w:spacing w:before="0" w:after="260" w:line="240" w:lineRule="auto"/>
        <w:ind w:left="0" w:right="0" w:firstLine="0"/>
        <w:jc w:val="left"/>
      </w:pPr>
      <w:r>
        <w:rPr>
          <w:color w:val="000000"/>
          <w:spacing w:val="0"/>
          <w:w w:val="100"/>
          <w:position w:val="0"/>
        </w:rPr>
        <w:t>■评析</w:t>
      </w:r>
    </w:p>
    <w:p w14:paraId="06627E05">
      <w:pPr>
        <w:pStyle w:val="17"/>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本裁定的思路和意义</w:t>
      </w:r>
    </w:p>
    <w:p w14:paraId="4D120B94">
      <w:pPr>
        <w:pStyle w:val="17"/>
        <w:keepNext w:val="0"/>
        <w:keepLines w:val="0"/>
        <w:widowControl w:val="0"/>
        <w:shd w:val="clear" w:color="auto" w:fill="auto"/>
        <w:bidi w:val="0"/>
        <w:spacing w:before="0" w:after="260" w:line="347" w:lineRule="exact"/>
        <w:ind w:left="0" w:right="0" w:firstLine="420"/>
        <w:jc w:val="both"/>
      </w:pPr>
      <w:r>
        <w:rPr>
          <w:color w:val="000000"/>
          <w:spacing w:val="0"/>
          <w:w w:val="100"/>
          <w:position w:val="0"/>
        </w:rPr>
        <w:t>本案涉及两次债权让与，第一次债权让与通知了债务人,而第二次债权让与没有通知 债务人，但是债务人通过其他方式知晓了债权让与的事实。原《合同法》第</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条规定了未 经通知，债权让与对债务人不发生效力。但并未明言,</w:t>
      </w:r>
      <w:r>
        <w:rPr>
          <w:color w:val="000000"/>
          <w:spacing w:val="0"/>
          <w:w w:val="100"/>
          <w:position w:val="0"/>
          <w:lang w:val="zh-CN" w:eastAsia="zh-CN" w:bidi="zh-CN"/>
        </w:rPr>
        <w:t>“不发</w:t>
      </w:r>
      <w:r>
        <w:rPr>
          <w:color w:val="000000"/>
          <w:spacing w:val="0"/>
          <w:w w:val="100"/>
          <w:position w:val="0"/>
        </w:rPr>
        <w:t>生效力</w:t>
      </w:r>
      <w:r>
        <w:rPr>
          <w:color w:val="000000"/>
          <w:spacing w:val="0"/>
          <w:w w:val="100"/>
          <w:position w:val="0"/>
          <w:lang w:val="zh-CN" w:eastAsia="zh-CN" w:bidi="zh-CN"/>
        </w:rPr>
        <w:t>”具体</w:t>
      </w:r>
      <w:r>
        <w:rPr>
          <w:color w:val="000000"/>
          <w:spacing w:val="0"/>
          <w:w w:val="100"/>
          <w:position w:val="0"/>
        </w:rPr>
        <w:t xml:space="preserve">何意。该案例，尽 管当事人在再审中并未提出已经清偿之抗辩，但仍能反映出最高人民法院从正反两方面明 确了 </w:t>
      </w:r>
      <w:r>
        <w:rPr>
          <w:color w:val="000000"/>
          <w:spacing w:val="0"/>
          <w:w w:val="100"/>
          <w:position w:val="0"/>
          <w:lang w:val="zh-CN" w:eastAsia="zh-CN" w:bidi="zh-CN"/>
        </w:rPr>
        <w:t>“不发</w:t>
      </w:r>
      <w:r>
        <w:rPr>
          <w:color w:val="000000"/>
          <w:spacing w:val="0"/>
          <w:w w:val="100"/>
          <w:position w:val="0"/>
        </w:rPr>
        <w:t>生效力”的含义，即一方面,如果已为通知，则债务人纵向原债权人为给付，也不 发生清偿之效果;另一方面,如果未为通知，则债务人纵明知债权已经转让,仍必须向原债 权人为给付。</w:t>
      </w:r>
    </w:p>
    <w:p w14:paraId="1FEBE695">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通知对债务人效力的规范与学理</w:t>
      </w:r>
    </w:p>
    <w:p w14:paraId="4DA373F8">
      <w:pPr>
        <w:pStyle w:val="17"/>
        <w:keepNext w:val="0"/>
        <w:keepLines w:val="0"/>
        <w:widowControl w:val="0"/>
        <w:shd w:val="clear" w:color="auto" w:fill="auto"/>
        <w:bidi w:val="0"/>
        <w:spacing w:before="0" w:after="0" w:line="362"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句规定债权让与未经通知，对债务人不发生效力。这一 规定同样延续到了《民法典》第</w:t>
      </w:r>
      <w:r>
        <w:rPr>
          <w:rFonts w:ascii="Times New Roman" w:hAnsi="Times New Roman" w:eastAsia="Times New Roman" w:cs="Times New Roman"/>
          <w:color w:val="000000"/>
          <w:spacing w:val="0"/>
          <w:w w:val="100"/>
          <w:position w:val="0"/>
          <w:sz w:val="19"/>
          <w:szCs w:val="19"/>
        </w:rPr>
        <w:t>546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款。从文义来看，通知是债权让与对债务人发生 效力的唯一要件。</w:t>
      </w:r>
    </w:p>
    <w:p w14:paraId="44251DE6">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通知在性质上属于准法律行为的一种，即所谓的观念通知</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612</w:t>
      </w:r>
      <w:r>
        <w:rPr>
          <w:color w:val="000000"/>
          <w:spacing w:val="0"/>
          <w:w w:val="100"/>
          <w:position w:val="0"/>
          <w:sz w:val="11"/>
          <w:szCs w:val="11"/>
        </w:rPr>
        <w:t>页］</w:t>
      </w:r>
      <w:r>
        <w:rPr>
          <w:color w:val="000000"/>
          <w:spacing w:val="0"/>
          <w:w w:val="100"/>
          <w:position w:val="0"/>
        </w:rPr>
        <w:t>，是将债权已经让与的事实告知债务人</w:t>
      </w:r>
      <w:r>
        <w:rPr>
          <w:color w:val="000000"/>
          <w:spacing w:val="0"/>
          <w:w w:val="100"/>
          <w:position w:val="0"/>
          <w:sz w:val="11"/>
          <w:szCs w:val="11"/>
        </w:rPr>
        <w:t>（韩海光、崔建远： 《论债权让与和对抗要件》，载《政治与法律》</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rPr>
        <w:t>我国主流观点传统上往往从对抗要 件的角度理解通知的效力</w:t>
      </w:r>
      <w:r>
        <w:rPr>
          <w:color w:val="000000"/>
          <w:spacing w:val="0"/>
          <w:w w:val="100"/>
          <w:position w:val="0"/>
          <w:sz w:val="11"/>
          <w:szCs w:val="11"/>
        </w:rPr>
        <w:t>（韩海光、崔建远:《论债权让与和对抗要件》，载《政治与法律》</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6 </w:t>
      </w:r>
      <w:r>
        <w:rPr>
          <w:color w:val="000000"/>
          <w:spacing w:val="0"/>
          <w:w w:val="100"/>
          <w:position w:val="0"/>
          <w:sz w:val="11"/>
          <w:szCs w:val="11"/>
        </w:rPr>
        <w:t>期）</w:t>
      </w:r>
      <w:r>
        <w:rPr>
          <w:color w:val="000000"/>
          <w:spacing w:val="0"/>
          <w:w w:val="100"/>
          <w:position w:val="0"/>
        </w:rPr>
        <w:t>，新近学说则更倾向于从权利主张要件层面理解</w:t>
      </w:r>
      <w:r>
        <w:rPr>
          <w:color w:val="000000"/>
          <w:spacing w:val="0"/>
          <w:w w:val="100"/>
          <w:position w:val="0"/>
          <w:sz w:val="11"/>
          <w:szCs w:val="11"/>
        </w:rPr>
        <w:t xml:space="preserve">（王勤劳:《债权让与制度研究》，法律出版社 </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125</w:t>
      </w:r>
      <w:r>
        <w:rPr>
          <w:color w:val="000000"/>
          <w:spacing w:val="0"/>
          <w:w w:val="100"/>
          <w:position w:val="0"/>
          <w:sz w:val="11"/>
          <w:szCs w:val="11"/>
        </w:rPr>
        <w:t>页）。两</w:t>
      </w:r>
      <w:r>
        <w:rPr>
          <w:color w:val="000000"/>
          <w:spacing w:val="0"/>
          <w:w w:val="100"/>
          <w:position w:val="0"/>
        </w:rPr>
        <w:t>种观点仅为理念与术语之争，在通知对债务人的效力方面并无实质 区别。在上述两种观点以外,少数有力说则认为从立法目的来看，通知是为了保护债务人， 但实际上,通知主义对于债权受让人而言更为有利。如果从债务人保护的规范目的出发， 那么通知与债务人保护“不必拴在一起</w:t>
      </w:r>
      <w:r>
        <w:rPr>
          <w:color w:val="000000"/>
          <w:spacing w:val="0"/>
          <w:w w:val="100"/>
          <w:position w:val="0"/>
          <w:sz w:val="11"/>
          <w:szCs w:val="11"/>
          <w:lang w:val="zh-CN" w:eastAsia="zh-CN" w:bidi="zh-CN"/>
        </w:rPr>
        <w:t>”（张</w:t>
      </w:r>
      <w:r>
        <w:rPr>
          <w:color w:val="000000"/>
          <w:spacing w:val="0"/>
          <w:w w:val="100"/>
          <w:position w:val="0"/>
          <w:sz w:val="11"/>
          <w:szCs w:val="11"/>
        </w:rPr>
        <w:t>谷:《论债权让与契约与债务人保护原则》，载《中外法 学</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459</w:t>
      </w:r>
      <w:r>
        <w:rPr>
          <w:color w:val="000000"/>
          <w:spacing w:val="0"/>
          <w:w w:val="100"/>
          <w:position w:val="0"/>
          <w:sz w:val="11"/>
          <w:szCs w:val="11"/>
        </w:rPr>
        <w:t>页）。</w:t>
      </w:r>
      <w:r>
        <w:rPr>
          <w:color w:val="000000"/>
          <w:spacing w:val="0"/>
          <w:w w:val="100"/>
          <w:position w:val="0"/>
        </w:rPr>
        <w:t>就此而言，我国学 说对于如何理解通知对债务人的效力大致形成了三种观点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对抗要件说；</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债权形式 要件说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债务人保护工具说。在最后一种观点下，通知对债务人的效力与前两种观点略 有不同。</w:t>
      </w:r>
    </w:p>
    <w:p w14:paraId="24C319C6">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通知对债务人的效力可以分为通知以前与通知以后。在通知以后，不同学说的观点基 本相同。债务人应当基于通知向债权受让人为给付</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 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612</w:t>
      </w:r>
      <w:r>
        <w:rPr>
          <w:color w:val="000000"/>
          <w:spacing w:val="0"/>
          <w:w w:val="100"/>
          <w:position w:val="0"/>
          <w:sz w:val="11"/>
          <w:szCs w:val="11"/>
        </w:rPr>
        <w:t>页］。</w:t>
      </w:r>
      <w:r>
        <w:rPr>
          <w:color w:val="000000"/>
          <w:spacing w:val="0"/>
          <w:w w:val="100"/>
          <w:position w:val="0"/>
        </w:rPr>
        <w:t>即使债权让与合同无效或被撤销，乃至债权让与本身存在效力瑕 疵,债务人仍得信赖通知而为有效的清偿</w:t>
      </w:r>
      <w:r>
        <w:rPr>
          <w:color w:val="000000"/>
          <w:spacing w:val="0"/>
          <w:w w:val="100"/>
          <w:position w:val="0"/>
          <w:sz w:val="11"/>
          <w:szCs w:val="11"/>
        </w:rPr>
        <w:t>［王洪亮：《债法总论》（第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版），北京大学出版社</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462</w:t>
      </w:r>
      <w:r>
        <w:rPr>
          <w:color w:val="000000"/>
          <w:spacing w:val="0"/>
          <w:w w:val="100"/>
          <w:position w:val="0"/>
          <w:sz w:val="11"/>
          <w:szCs w:val="11"/>
        </w:rPr>
        <w:t>页］</w:t>
      </w:r>
      <w:r>
        <w:rPr>
          <w:color w:val="000000"/>
          <w:spacing w:val="0"/>
          <w:w w:val="100"/>
          <w:position w:val="0"/>
        </w:rPr>
        <w:t xml:space="preserve">。但是，在通知以后，如果债务人仍然向原债权人为给付，则不发生清偿的效 </w:t>
      </w:r>
      <w:r>
        <w:rPr>
          <w:color w:val="000000"/>
          <w:spacing w:val="0"/>
          <w:w w:val="100"/>
          <w:position w:val="0"/>
          <w:sz w:val="11"/>
          <w:szCs w:val="11"/>
        </w:rPr>
        <w:t>力。</w:t>
      </w:r>
      <w:r>
        <w:rPr>
          <w:color w:val="000000"/>
          <w:spacing w:val="0"/>
          <w:w w:val="100"/>
          <w:position w:val="0"/>
        </w:rPr>
        <w:t>此时，债权受让人的债权不受影响。此时，债务人仍须向债权受让人提供给付,并依给 付型不当得利请求债权出让人返还所受领的给付。例如，在本案中,债务人虽然主张已经 清偿了债务,但是由于第一次债权让与已经通知，故债务人对债权受让人仍负有债务。原 二审判决明确了这一点。由于此时债务人向原债权人提供了给付，故而构成给付型不当得 利。根据给付型不当得利优先原则，债权受让人不能基于不当得利请求债权出让人返还所 受领的给付。</w:t>
      </w:r>
    </w:p>
    <w:p w14:paraId="16064E56">
      <w:pPr>
        <w:pStyle w:val="17"/>
        <w:keepNext w:val="0"/>
        <w:keepLines w:val="0"/>
        <w:widowControl w:val="0"/>
        <w:shd w:val="clear" w:color="auto" w:fill="auto"/>
        <w:bidi w:val="0"/>
        <w:spacing w:before="0" w:after="0" w:line="341" w:lineRule="exact"/>
        <w:ind w:left="0" w:right="0" w:firstLine="420"/>
        <w:jc w:val="both"/>
        <w:rPr>
          <w:sz w:val="11"/>
          <w:szCs w:val="11"/>
        </w:rPr>
      </w:pPr>
      <w:r>
        <w:rPr>
          <w:color w:val="000000"/>
          <w:spacing w:val="0"/>
          <w:w w:val="100"/>
          <w:position w:val="0"/>
          <w:sz w:val="18"/>
          <w:szCs w:val="18"/>
        </w:rPr>
        <w:t>在债权让与以后，通知以前，如果债务人并不知晓债权让与之事实，那么债务人仍得对 原债权人为一切法律行为。对于这一问题学说并无争议。例如，债务人仍得向原债权人为 有效的清偿</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616</w:t>
      </w:r>
      <w:r>
        <w:rPr>
          <w:color w:val="000000"/>
          <w:spacing w:val="0"/>
          <w:w w:val="100"/>
          <w:position w:val="0"/>
          <w:sz w:val="11"/>
          <w:szCs w:val="11"/>
        </w:rPr>
        <w:t>页；王洪亮:《债法总论》， 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460</w:t>
      </w:r>
      <w:r>
        <w:rPr>
          <w:color w:val="000000"/>
          <w:spacing w:val="0"/>
          <w:w w:val="100"/>
          <w:position w:val="0"/>
          <w:sz w:val="11"/>
          <w:szCs w:val="11"/>
        </w:rPr>
        <w:t>页］。</w:t>
      </w:r>
      <w:r>
        <w:rPr>
          <w:color w:val="000000"/>
          <w:spacing w:val="0"/>
          <w:w w:val="100"/>
          <w:position w:val="0"/>
          <w:sz w:val="18"/>
          <w:szCs w:val="18"/>
        </w:rPr>
        <w:t>此种情况下,债权受让人的债权因债务人清偿而消灭， 只能依不当得利请求债权出让人返还所受领给付。但是，对于债务人能否放弃此种保护， 上述三种学说存在争议。在前两种学说下,如果将其推演至极致，会得岀债务人不得基于 不当得利请求原债权人返还所受领给付的结论</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 xml:space="preserve">版），法律出版社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616</w:t>
      </w:r>
      <w:r>
        <w:rPr>
          <w:color w:val="000000"/>
          <w:spacing w:val="0"/>
          <w:w w:val="100"/>
          <w:position w:val="0"/>
          <w:sz w:val="11"/>
          <w:szCs w:val="11"/>
        </w:rPr>
        <w:t>页］。</w:t>
      </w:r>
      <w:r>
        <w:rPr>
          <w:color w:val="000000"/>
          <w:spacing w:val="0"/>
          <w:w w:val="100"/>
          <w:position w:val="0"/>
          <w:sz w:val="18"/>
          <w:szCs w:val="18"/>
        </w:rPr>
        <w:t>在最后一种学说下，由于通知只是债务人保护的工具，对于债务人而 言，理所当然可以不主张保护，可以基于不当得利请求债权出让人返还给付,并重新对债权 受让人为清偿</w:t>
      </w:r>
      <w:r>
        <w:rPr>
          <w:color w:val="000000"/>
          <w:spacing w:val="0"/>
          <w:w w:val="100"/>
          <w:position w:val="0"/>
          <w:sz w:val="11"/>
          <w:szCs w:val="11"/>
        </w:rPr>
        <w:t>（王洪亮:《债法总论》，北京大学出版社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460</w:t>
      </w:r>
      <w:r>
        <w:rPr>
          <w:color w:val="000000"/>
          <w:spacing w:val="0"/>
          <w:w w:val="100"/>
          <w:position w:val="0"/>
          <w:sz w:val="11"/>
          <w:szCs w:val="11"/>
        </w:rPr>
        <w:t>页）。</w:t>
      </w:r>
    </w:p>
    <w:p w14:paraId="08DCDC94">
      <w:pPr>
        <w:pStyle w:val="17"/>
        <w:keepNext w:val="0"/>
        <w:keepLines w:val="0"/>
        <w:widowControl w:val="0"/>
        <w:shd w:val="clear" w:color="auto" w:fill="auto"/>
        <w:bidi w:val="0"/>
        <w:spacing w:before="0" w:after="0" w:line="341" w:lineRule="exact"/>
        <w:ind w:left="0" w:right="0" w:firstLine="420"/>
        <w:jc w:val="both"/>
        <w:rPr>
          <w:sz w:val="11"/>
          <w:szCs w:val="11"/>
        </w:rPr>
      </w:pPr>
      <w:r>
        <w:rPr>
          <w:color w:val="000000"/>
          <w:spacing w:val="0"/>
          <w:w w:val="100"/>
          <w:position w:val="0"/>
          <w:sz w:val="18"/>
          <w:szCs w:val="18"/>
        </w:rPr>
        <w:t>对于通知以前，已经知悉债权让与的债务人的法律地位的问题，学说争议更大。尽管 在前两种理论下，通知才是债权让与对债务人的生效要件，因此，通知以前，即使债务人知 悉债权让与的事实，债权出让人仍得向其收取债权，债务人必须向其为给付,并且该给付对 债权受让人而言，发生清偿的效力</w:t>
      </w:r>
      <w:r>
        <w:rPr>
          <w:color w:val="000000"/>
          <w:spacing w:val="0"/>
          <w:w w:val="100"/>
          <w:position w:val="0"/>
          <w:sz w:val="11"/>
          <w:szCs w:val="11"/>
        </w:rPr>
        <w:t>（王勤劳:《债权让与制度研究》，法律出版社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139</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 140</w:t>
      </w:r>
      <w:r>
        <w:rPr>
          <w:color w:val="000000"/>
          <w:spacing w:val="0"/>
          <w:w w:val="100"/>
          <w:position w:val="0"/>
          <w:sz w:val="11"/>
          <w:szCs w:val="11"/>
        </w:rPr>
        <w:t>页）</w:t>
      </w:r>
      <w:r>
        <w:rPr>
          <w:color w:val="000000"/>
          <w:spacing w:val="0"/>
          <w:w w:val="100"/>
          <w:position w:val="0"/>
          <w:sz w:val="18"/>
          <w:szCs w:val="18"/>
        </w:rPr>
        <w:t>。但是，前两种学说的支持者往往并未将理论与逻辑贯彻到底，一方面，对于债权出 让人能否向债务人主张债权，支持前两种学说的学者基本回避了这一问题;另一方面，支持 前两种学说的学者多数在价值判断上也不能认可恶意的债务人仍受保护。其主张通过引 入诚信原则，对原《合同法》第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sz w:val="18"/>
          <w:szCs w:val="18"/>
        </w:rPr>
        <w:t>条进行限缩解释,即该条仅保护善意的债务人</w:t>
      </w:r>
      <w:r>
        <w:rPr>
          <w:color w:val="000000"/>
          <w:spacing w:val="0"/>
          <w:w w:val="100"/>
          <w:position w:val="0"/>
          <w:sz w:val="11"/>
          <w:szCs w:val="11"/>
        </w:rPr>
        <w:t>［韩海光、崔 建远:《论债权让与和对抗要件》，载《政治与法律》</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期；徐涤宇：《〈合同法〉第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sz w:val="11"/>
          <w:szCs w:val="11"/>
        </w:rPr>
        <w:t>条（债权让 与通知）评注》，载《法学家》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sz w:val="18"/>
          <w:szCs w:val="18"/>
        </w:rPr>
        <w:t>。债务人保护工具说在解释这一问题上更为自洽，原 《合同法》第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款第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句规定的</w:t>
      </w:r>
      <w:r>
        <w:rPr>
          <w:color w:val="000000"/>
          <w:spacing w:val="0"/>
          <w:w w:val="100"/>
          <w:position w:val="0"/>
          <w:sz w:val="18"/>
          <w:szCs w:val="18"/>
          <w:lang w:val="zh-CN" w:eastAsia="zh-CN" w:bidi="zh-CN"/>
        </w:rPr>
        <w:t>“不发</w:t>
      </w:r>
      <w:r>
        <w:rPr>
          <w:color w:val="000000"/>
          <w:spacing w:val="0"/>
          <w:w w:val="100"/>
          <w:position w:val="0"/>
          <w:sz w:val="18"/>
          <w:szCs w:val="18"/>
        </w:rPr>
        <w:t>生效力</w:t>
      </w:r>
      <w:r>
        <w:rPr>
          <w:color w:val="000000"/>
          <w:spacing w:val="0"/>
          <w:w w:val="100"/>
          <w:position w:val="0"/>
          <w:sz w:val="18"/>
          <w:szCs w:val="18"/>
          <w:lang w:val="zh-CN" w:eastAsia="zh-CN" w:bidi="zh-CN"/>
        </w:rPr>
        <w:t>”指</w:t>
      </w:r>
      <w:r>
        <w:rPr>
          <w:color w:val="000000"/>
          <w:spacing w:val="0"/>
          <w:w w:val="100"/>
          <w:position w:val="0"/>
          <w:sz w:val="18"/>
          <w:szCs w:val="18"/>
        </w:rPr>
        <w:t>的是不通知对于债务人的清偿效力 不生影响。债权让与以后，通知以前，如果债务人知悉债权已经转让，那么一方面，债务人对 债权岀让人享有抗辩理所当然。此时，债务人可以向债权受让人为给付，但如果嗣后发现 债权让与合同无效或被撤销，则债务人的给付不发生清偿的效力。另一方面，知悉债权已 经转让的债务人不应再受到保护，因为通知作为债务人保护工具，目的在于避免债务人错 误清偿</w:t>
      </w:r>
      <w:r>
        <w:rPr>
          <w:color w:val="000000"/>
          <w:spacing w:val="0"/>
          <w:w w:val="100"/>
          <w:position w:val="0"/>
          <w:sz w:val="11"/>
          <w:szCs w:val="11"/>
        </w:rPr>
        <w:t>（王洪亮：《债法总论》，北京大学出版社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459</w:t>
      </w:r>
      <w:r>
        <w:rPr>
          <w:color w:val="000000"/>
          <w:spacing w:val="0"/>
          <w:w w:val="100"/>
          <w:position w:val="0"/>
          <w:sz w:val="11"/>
          <w:szCs w:val="11"/>
        </w:rPr>
        <w:t>页）。</w:t>
      </w:r>
    </w:p>
    <w:p w14:paraId="366E761A">
      <w:pPr>
        <w:pStyle w:val="17"/>
        <w:keepNext w:val="0"/>
        <w:keepLines w:val="0"/>
        <w:widowControl w:val="0"/>
        <w:shd w:val="clear" w:color="auto" w:fill="auto"/>
        <w:bidi w:val="0"/>
        <w:spacing w:before="0" w:after="280" w:line="336" w:lineRule="exact"/>
        <w:ind w:left="0" w:right="0" w:firstLine="420"/>
        <w:jc w:val="both"/>
      </w:pPr>
      <w:r>
        <w:rPr>
          <w:color w:val="000000"/>
          <w:spacing w:val="0"/>
          <w:w w:val="100"/>
          <w:position w:val="0"/>
        </w:rPr>
        <w:t>本案中，第二次债权让与没有通知债务人，但债务人已知悉债权让与的事实，最高人民 法院的裁定理由釆纳了严格贯彻通知作为对抗要件或权利主张要件的观点。</w:t>
      </w:r>
    </w:p>
    <w:p w14:paraId="5C725682">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099D5E94">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在本裁定之前，实践中对于通知和债务人保护的关系已经有诸多判决。对于通知以 后，债务人继续向债权出让人清偿这一问题，最高人民法院的态度较为明确。较为典型的 案例如</w:t>
      </w:r>
      <w:r>
        <w:rPr>
          <w:color w:val="000000"/>
          <w:spacing w:val="0"/>
          <w:w w:val="100"/>
          <w:position w:val="0"/>
          <w:lang w:val="zh-CN" w:eastAsia="zh-CN" w:bidi="zh-CN"/>
        </w:rPr>
        <w:t>“青</w:t>
      </w:r>
      <w:r>
        <w:rPr>
          <w:color w:val="000000"/>
          <w:spacing w:val="0"/>
          <w:w w:val="100"/>
          <w:position w:val="0"/>
        </w:rPr>
        <w:t>岛泓海投资有限公司与中国农业银行潍坊市分行不当得利纠纷申请案</w:t>
      </w:r>
      <w:r>
        <w:rPr>
          <w:color w:val="000000"/>
          <w:spacing w:val="0"/>
          <w:w w:val="100"/>
          <w:position w:val="0"/>
          <w:sz w:val="11"/>
          <w:szCs w:val="11"/>
          <w:lang w:val="zh-CN" w:eastAsia="zh-CN" w:bidi="zh-CN"/>
        </w:rPr>
        <w:t>”［最</w:t>
      </w:r>
      <w:r>
        <w:rPr>
          <w:color w:val="000000"/>
          <w:spacing w:val="0"/>
          <w:w w:val="100"/>
          <w:position w:val="0"/>
          <w:sz w:val="11"/>
          <w:szCs w:val="11"/>
        </w:rPr>
        <w:t>高人 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1631</w:t>
      </w:r>
      <w:r>
        <w:rPr>
          <w:color w:val="000000"/>
          <w:spacing w:val="0"/>
          <w:w w:val="100"/>
          <w:position w:val="0"/>
          <w:sz w:val="11"/>
          <w:szCs w:val="11"/>
        </w:rPr>
        <w:t>号民事裁定书］,</w:t>
      </w:r>
      <w:r>
        <w:rPr>
          <w:color w:val="000000"/>
          <w:spacing w:val="0"/>
          <w:w w:val="100"/>
          <w:position w:val="0"/>
        </w:rPr>
        <w:t>该案中，最高人民法院认为，在已经通知的情况下， 债务人对债权出让人为给付,不发生清偿的效果，债权受让人仍对债务人享有债权。该案 明显反映了最高人民法院认为通知以后，债务人继续向原债权人为给付，不发生清偿的效 力。</w:t>
      </w:r>
    </w:p>
    <w:p w14:paraId="796D5DED">
      <w:pPr>
        <w:pStyle w:val="17"/>
        <w:keepNext w:val="0"/>
        <w:keepLines w:val="0"/>
        <w:widowControl w:val="0"/>
        <w:shd w:val="clear" w:color="auto" w:fill="auto"/>
        <w:bidi w:val="0"/>
        <w:spacing w:before="0" w:after="0" w:line="343" w:lineRule="exact"/>
        <w:ind w:left="0" w:right="0"/>
        <w:jc w:val="both"/>
        <w:rPr>
          <w:sz w:val="11"/>
          <w:szCs w:val="11"/>
        </w:rPr>
      </w:pPr>
      <w:r>
        <w:rPr>
          <w:color w:val="000000"/>
          <w:spacing w:val="0"/>
          <w:w w:val="100"/>
          <w:position w:val="0"/>
          <w:sz w:val="18"/>
          <w:szCs w:val="18"/>
        </w:rPr>
        <w:t>但是，在给付后的返还问题上，尤其是在债权受让人能否向债权出让人请求返还的问 题上,法院的案例呈现三种态度。其一,以债权受让人的债权未受影响为由，否定不当得利。 例如,在上述</w:t>
      </w:r>
      <w:r>
        <w:rPr>
          <w:color w:val="000000"/>
          <w:spacing w:val="0"/>
          <w:w w:val="100"/>
          <w:position w:val="0"/>
          <w:sz w:val="18"/>
          <w:szCs w:val="18"/>
          <w:lang w:val="zh-CN" w:eastAsia="zh-CN" w:bidi="zh-CN"/>
        </w:rPr>
        <w:t>“青岛</w:t>
      </w:r>
      <w:r>
        <w:rPr>
          <w:color w:val="000000"/>
          <w:spacing w:val="0"/>
          <w:w w:val="100"/>
          <w:position w:val="0"/>
          <w:sz w:val="18"/>
          <w:szCs w:val="18"/>
        </w:rPr>
        <w:t>泓海投资有限公司与中国农业银行潍坊市分行不当得利纠纷申请案” 中,最高人民法院认为债权受让人没有</w:t>
      </w:r>
      <w:r>
        <w:rPr>
          <w:color w:val="000000"/>
          <w:spacing w:val="0"/>
          <w:w w:val="100"/>
          <w:position w:val="0"/>
          <w:sz w:val="18"/>
          <w:szCs w:val="18"/>
          <w:lang w:val="zh-CN" w:eastAsia="zh-CN" w:bidi="zh-CN"/>
        </w:rPr>
        <w:t>“受有</w:t>
      </w:r>
      <w:r>
        <w:rPr>
          <w:color w:val="000000"/>
          <w:spacing w:val="0"/>
          <w:w w:val="100"/>
          <w:position w:val="0"/>
          <w:sz w:val="18"/>
          <w:szCs w:val="18"/>
        </w:rPr>
        <w:t>损害”，不符合不当得利构成要件，否定了债权 受让人请求债权出让人返还的诉求。其二，虽然债权受让人的债权未受影响，但受让人可 以通过代位法理，代位债务人请求债权出让人返还，如王富博法官对“中国信达资产管理公 司济南办事处与中国银行股份有限公司淄博市周村支行金融债权转让合同纠纷案</w:t>
      </w:r>
      <w:r>
        <w:rPr>
          <w:color w:val="000000"/>
          <w:spacing w:val="0"/>
          <w:w w:val="100"/>
          <w:position w:val="0"/>
          <w:sz w:val="18"/>
          <w:szCs w:val="18"/>
          <w:lang w:val="zh-CN" w:eastAsia="zh-CN" w:bidi="zh-CN"/>
        </w:rPr>
        <w:t xml:space="preserve">”的评 </w:t>
      </w:r>
      <w:r>
        <w:rPr>
          <w:color w:val="000000"/>
          <w:spacing w:val="0"/>
          <w:w w:val="100"/>
          <w:position w:val="0"/>
          <w:sz w:val="18"/>
          <w:szCs w:val="18"/>
        </w:rPr>
        <w:t>论。其三，也有法院认为,如果债权出让人在债权已经转让的情况下，依然积极收取债权，构 成侵害他人债权，如</w:t>
      </w:r>
      <w:r>
        <w:rPr>
          <w:color w:val="000000"/>
          <w:spacing w:val="0"/>
          <w:w w:val="100"/>
          <w:position w:val="0"/>
          <w:sz w:val="18"/>
          <w:szCs w:val="18"/>
          <w:lang w:val="zh-CN" w:eastAsia="zh-CN" w:bidi="zh-CN"/>
        </w:rPr>
        <w:t>“中国</w:t>
      </w:r>
      <w:r>
        <w:rPr>
          <w:color w:val="000000"/>
          <w:spacing w:val="0"/>
          <w:w w:val="100"/>
          <w:position w:val="0"/>
          <w:sz w:val="18"/>
          <w:szCs w:val="18"/>
        </w:rPr>
        <w:t>建设银行股份有限公司衡东支行诉李光明财产侵权责任纠纷再 审案'</w:t>
      </w:r>
      <w:r>
        <w:rPr>
          <w:color w:val="000000"/>
          <w:spacing w:val="0"/>
          <w:w w:val="100"/>
          <w:position w:val="0"/>
          <w:sz w:val="11"/>
          <w:szCs w:val="11"/>
        </w:rPr>
        <w:t>'［湖南省衡阳市中级人民法院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湘</w:t>
      </w:r>
      <w:r>
        <w:rPr>
          <w:rFonts w:ascii="Times New Roman" w:hAnsi="Times New Roman" w:eastAsia="Times New Roman" w:cs="Times New Roman"/>
          <w:color w:val="000000"/>
          <w:spacing w:val="0"/>
          <w:w w:val="100"/>
          <w:position w:val="0"/>
          <w:sz w:val="17"/>
          <w:szCs w:val="17"/>
        </w:rPr>
        <w:t>04</w:t>
      </w:r>
      <w:r>
        <w:rPr>
          <w:color w:val="000000"/>
          <w:spacing w:val="0"/>
          <w:w w:val="100"/>
          <w:position w:val="0"/>
          <w:sz w:val="11"/>
          <w:szCs w:val="11"/>
        </w:rPr>
        <w:t>民再</w:t>
      </w:r>
      <w:r>
        <w:rPr>
          <w:rFonts w:ascii="Times New Roman" w:hAnsi="Times New Roman" w:eastAsia="Times New Roman" w:cs="Times New Roman"/>
          <w:color w:val="000000"/>
          <w:spacing w:val="0"/>
          <w:w w:val="100"/>
          <w:position w:val="0"/>
          <w:sz w:val="17"/>
          <w:szCs w:val="17"/>
        </w:rPr>
        <w:t>11</w:t>
      </w:r>
      <w:r>
        <w:rPr>
          <w:color w:val="000000"/>
          <w:spacing w:val="0"/>
          <w:w w:val="100"/>
          <w:position w:val="0"/>
          <w:sz w:val="11"/>
          <w:szCs w:val="11"/>
        </w:rPr>
        <w:t>号民事裁定书］。</w:t>
      </w:r>
    </w:p>
    <w:p w14:paraId="1D633754">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对于通知以前、债务人知悉债权让与的事实以后债务人的保护问题，最高人民法院态 度不明。</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年最高人民法院发布的《关于审理涉及金融不良债权转让案件工作座谈会纪 要》［法发</w:t>
      </w:r>
      <w:r>
        <w:rPr>
          <w:rFonts w:ascii="Times New Roman" w:hAnsi="Times New Roman" w:eastAsia="Times New Roman" w:cs="Times New Roman"/>
          <w:color w:val="000000"/>
          <w:spacing w:val="0"/>
          <w:w w:val="100"/>
          <w:position w:val="0"/>
          <w:sz w:val="19"/>
          <w:szCs w:val="19"/>
        </w:rPr>
        <w:t>(2009)19</w:t>
      </w:r>
      <w:r>
        <w:rPr>
          <w:color w:val="000000"/>
          <w:spacing w:val="0"/>
          <w:w w:val="100"/>
          <w:position w:val="0"/>
        </w:rPr>
        <w:t>号］(以下简称《纪要》)第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句规定</w:t>
      </w:r>
      <w:r>
        <w:rPr>
          <w:color w:val="000000"/>
          <w:spacing w:val="0"/>
          <w:w w:val="100"/>
          <w:position w:val="0"/>
          <w:lang w:val="zh-CN" w:eastAsia="zh-CN" w:bidi="zh-CN"/>
        </w:rPr>
        <w:t>，“不</w:t>
      </w:r>
      <w:r>
        <w:rPr>
          <w:color w:val="000000"/>
          <w:spacing w:val="0"/>
          <w:w w:val="100"/>
          <w:position w:val="0"/>
        </w:rPr>
        <w:t>良债权已经剥离至金融 资产管理公司又被转让给受让人后，国有企业债务人知道或者应当知道不良债权已经转让 而仍向原国有银行清偿的，不得对抗受让人对其提起的追索之诉，国有企业债务人在对受 让人清偿后向原国有银行提起返还不当得利之诉的，人民法院应予受理</w:t>
      </w:r>
      <w:r>
        <w:rPr>
          <w:color w:val="000000"/>
          <w:spacing w:val="0"/>
          <w:w w:val="100"/>
          <w:position w:val="0"/>
          <w:lang w:val="zh-CN" w:eastAsia="zh-CN" w:bidi="zh-CN"/>
        </w:rPr>
        <w:t>”，似</w:t>
      </w:r>
      <w:r>
        <w:rPr>
          <w:color w:val="000000"/>
          <w:spacing w:val="0"/>
          <w:w w:val="100"/>
          <w:position w:val="0"/>
        </w:rPr>
        <w:t>背离了原《合 同法》第</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句的规定，以债务人的主观状态作为保护的标准，而非以通知为唯 一的客观标准。王富博法官在针对前述“中国信达资产管理公司济南办事处与中国银行股 份有限公司淄博市周村支行金融债权转让合同纠纷案”的评论中明确表示应当根据债务人 的主观情形,分别赋予受让人不同的救济方式。</w:t>
      </w:r>
    </w:p>
    <w:p w14:paraId="48E92B5D">
      <w:pPr>
        <w:pStyle w:val="17"/>
        <w:keepNext w:val="0"/>
        <w:keepLines w:val="0"/>
        <w:widowControl w:val="0"/>
        <w:shd w:val="clear" w:color="auto" w:fill="auto"/>
        <w:bidi w:val="0"/>
        <w:spacing w:before="0" w:after="160" w:line="343" w:lineRule="exact"/>
        <w:ind w:left="0" w:right="0"/>
        <w:jc w:val="both"/>
      </w:pPr>
      <w:r>
        <w:rPr>
          <w:color w:val="000000"/>
          <w:spacing w:val="0"/>
          <w:w w:val="100"/>
          <w:position w:val="0"/>
        </w:rPr>
        <w:t>尽管《纪要》的适用范围是国有银行对国有企业享有的不良金融债权，并不当然适用于 一般债权让与，但是，最高人民法院在多个批复中，均明确表示一般债权让与也应当参照 《纪要》。例如，在《关于如何理解最高人民法院法发</w:t>
      </w:r>
      <w:r>
        <w:rPr>
          <w:rFonts w:ascii="Times New Roman" w:hAnsi="Times New Roman" w:eastAsia="Times New Roman" w:cs="Times New Roman"/>
          <w:color w:val="000000"/>
          <w:spacing w:val="0"/>
          <w:w w:val="100"/>
          <w:position w:val="0"/>
          <w:sz w:val="19"/>
          <w:szCs w:val="19"/>
        </w:rPr>
        <w:t>(2009)19</w:t>
      </w:r>
      <w:r>
        <w:rPr>
          <w:color w:val="000000"/>
          <w:spacing w:val="0"/>
          <w:w w:val="100"/>
          <w:position w:val="0"/>
        </w:rPr>
        <w:t>号〈会议纪要〉若干问题的请 示之答复》</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民二他字第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号］中，最高人民法院指出，</w:t>
      </w:r>
      <w:r>
        <w:rPr>
          <w:color w:val="000000"/>
          <w:spacing w:val="0"/>
          <w:w w:val="100"/>
          <w:position w:val="0"/>
          <w:lang w:val="zh-CN" w:eastAsia="zh-CN" w:bidi="zh-CN"/>
        </w:rPr>
        <w:t>“根据</w:t>
      </w:r>
      <w:r>
        <w:rPr>
          <w:color w:val="000000"/>
          <w:spacing w:val="0"/>
          <w:w w:val="100"/>
          <w:position w:val="0"/>
        </w:rPr>
        <w:t>《纪要》的精神和目的， 涉及非国有企业债务人的金融不良债权转让纠纷案件,亦应参照适用《纪要》的规定”。就 此而言，在一般债权让与中，债务人保护的限度同样取决于债务人的主观状态，而非仅取决 于通知。</w:t>
      </w:r>
    </w:p>
    <w:p w14:paraId="29C6007D">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rPr>
        <w:t>回本裁定的参考意义及将来的课题</w:t>
      </w:r>
    </w:p>
    <w:p w14:paraId="3B4D2C17">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本案中，最高人民法院一方面延续了通知以后债务人错误清偿不受保护，不发生清偿 效力的观点;另一方面，在通知之前债务人保护的限度问题上,一改之前所采的主观标准, 转而采纳了通知作为债务人保护的限度。从学理上看,两种标准体现了对通知功能认识的 不同，并且更为关键的是，其中也体现了价值判断的不同。以债务人的主观状态作为标准, 体现了对善意的保护，由此形成的是一个有层次区分的债务人保护体系。具体而言，区分 三个层次，债权让与时、债务人善意时、债务人收到通知时，根据不同的时点,给予其相应的 保护。相反,如果以通知作为标准，体现的则是建立统一的客观保护体系。《民法典》颁布 生效后，何种体系更为妥当不仅需要考虑《民法典》第</w:t>
      </w:r>
      <w:r>
        <w:rPr>
          <w:rFonts w:ascii="Times New Roman" w:hAnsi="Times New Roman" w:eastAsia="Times New Roman" w:cs="Times New Roman"/>
          <w:color w:val="000000"/>
          <w:spacing w:val="0"/>
          <w:w w:val="100"/>
          <w:position w:val="0"/>
          <w:sz w:val="19"/>
          <w:szCs w:val="19"/>
        </w:rPr>
        <w:t>546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款的文义,而且需要考虑 我国信赖责任体系的构建，以期实现价值判断上的统一。此外，在债务人错误清偿以后，返 还应当釆何种理论构成同样有待我国司法实践的进一步探索。</w:t>
      </w:r>
    </w:p>
    <w:p w14:paraId="1D535EE7">
      <w:pPr>
        <w:pStyle w:val="11"/>
        <w:keepNext w:val="0"/>
        <w:keepLines w:val="0"/>
        <w:widowControl w:val="0"/>
        <w:shd w:val="clear" w:color="auto" w:fill="auto"/>
        <w:bidi w:val="0"/>
        <w:spacing w:before="0" w:after="200" w:line="341" w:lineRule="exact"/>
        <w:ind w:left="0" w:right="0" w:firstLine="0"/>
        <w:jc w:val="both"/>
      </w:pPr>
      <w:r>
        <w:rPr>
          <w:i/>
          <w:iCs/>
          <w:color w:val="000000"/>
          <w:spacing w:val="0"/>
          <w:w w:val="100"/>
          <w:position w:val="0"/>
        </w:rPr>
        <w:t>回</w:t>
      </w:r>
      <w:r>
        <w:rPr>
          <w:color w:val="000000"/>
          <w:spacing w:val="0"/>
          <w:w w:val="100"/>
          <w:position w:val="0"/>
        </w:rPr>
        <w:t>参考文献</w:t>
      </w:r>
    </w:p>
    <w:p w14:paraId="69259D12">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02D5660C">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韩海光、崔建远:《论债权让与和对抗要件》，载《政治与法律》</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0A784D9">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徐涤宇：《〈合同法〉第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rPr>
        <w:t>条（债权让与通知）评注》，载《法学家》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0ABBF32">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张谷:《论债权让与契约与债务人保护原则》，载《中外法学》</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5C8F372">
      <w:pPr>
        <w:pStyle w:val="33"/>
        <w:keepNext w:val="0"/>
        <w:keepLines w:val="0"/>
        <w:widowControl w:val="0"/>
        <w:shd w:val="clear" w:color="auto" w:fill="auto"/>
        <w:bidi w:val="0"/>
        <w:spacing w:before="0" w:after="120" w:line="240" w:lineRule="auto"/>
        <w:ind w:left="0" w:right="0" w:firstLine="0"/>
        <w:jc w:val="left"/>
      </w:pPr>
      <w:r>
        <w:rPr>
          <w:color w:val="000000"/>
          <w:spacing w:val="0"/>
          <w:w w:val="100"/>
          <w:position w:val="0"/>
        </w:rPr>
        <w:t>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36B68EAD">
      <w:pPr>
        <w:pStyle w:val="33"/>
        <w:keepNext w:val="0"/>
        <w:keepLines w:val="0"/>
        <w:widowControl w:val="0"/>
        <w:shd w:val="clear" w:color="auto" w:fill="auto"/>
        <w:bidi w:val="0"/>
        <w:spacing w:before="0" w:after="120" w:line="240" w:lineRule="auto"/>
        <w:ind w:left="0" w:right="0" w:firstLine="0"/>
        <w:jc w:val="left"/>
        <w:sectPr>
          <w:headerReference r:id="rId396" w:type="default"/>
          <w:headerReference r:id="rId397" w:type="even"/>
          <w:footnotePr>
            <w:numFmt w:val="chicago"/>
          </w:footnotePr>
          <w:pgSz w:w="10099" w:h="14782"/>
          <w:pgMar w:top="1291" w:right="1034" w:bottom="1101" w:left="1064" w:header="0" w:footer="3" w:gutter="0"/>
          <w:pgNumType w:start="327"/>
          <w:cols w:space="720" w:num="1"/>
          <w:rtlGutter w:val="0"/>
          <w:docGrid w:linePitch="360" w:charSpace="0"/>
        </w:sectPr>
      </w:pPr>
      <w:r>
        <w:rPr>
          <w:color w:val="000000"/>
          <w:spacing w:val="0"/>
          <w:w w:val="100"/>
          <w:position w:val="0"/>
        </w:rPr>
        <w:t>王勤劳:《债权让与制度研究》，法律出版社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4E617692">
      <w:pPr>
        <w:widowControl w:val="0"/>
        <w:spacing w:line="3" w:lineRule="exact"/>
        <w:rPr>
          <w:sz w:val="2"/>
          <w:szCs w:val="2"/>
        </w:rPr>
      </w:pPr>
    </w:p>
    <w:p w14:paraId="23BC4410">
      <w:pPr>
        <w:widowControl w:val="0"/>
        <w:spacing w:line="1" w:lineRule="exact"/>
        <w:sectPr>
          <w:headerReference r:id="rId398" w:type="default"/>
          <w:headerReference r:id="rId399" w:type="even"/>
          <w:footnotePr>
            <w:numFmt w:val="chicago"/>
          </w:footnotePr>
          <w:pgSz w:w="10099" w:h="14782"/>
          <w:pgMar w:top="1288" w:right="1082" w:bottom="1116" w:left="1015" w:header="0" w:footer="3" w:gutter="0"/>
          <w:pgNumType w:start="347"/>
          <w:cols w:space="720" w:num="1"/>
          <w:rtlGutter w:val="0"/>
          <w:docGrid w:linePitch="360" w:charSpace="0"/>
        </w:sectPr>
      </w:pPr>
    </w:p>
    <w:p w14:paraId="537B776A">
      <w:pPr>
        <w:widowControl w:val="0"/>
        <w:spacing w:line="1" w:lineRule="exact"/>
      </w:pPr>
      <w:r>
        <w:drawing>
          <wp:anchor distT="0" distB="0" distL="114300" distR="3467100" simplePos="0" relativeHeight="251660288" behindDoc="0" locked="0" layoutInCell="1" allowOverlap="1">
            <wp:simplePos x="0" y="0"/>
            <wp:positionH relativeFrom="page">
              <wp:posOffset>681990</wp:posOffset>
            </wp:positionH>
            <wp:positionV relativeFrom="paragraph">
              <wp:posOffset>12700</wp:posOffset>
            </wp:positionV>
            <wp:extent cx="475615" cy="414655"/>
            <wp:effectExtent l="0" t="0" r="6985" b="4445"/>
            <wp:wrapTopAndBottom/>
            <wp:docPr id="921" name="Shape 921"/>
            <wp:cNvGraphicFramePr/>
            <a:graphic xmlns:a="http://schemas.openxmlformats.org/drawingml/2006/main">
              <a:graphicData uri="http://schemas.openxmlformats.org/drawingml/2006/picture">
                <pic:pic xmlns:pic="http://schemas.openxmlformats.org/drawingml/2006/picture">
                  <pic:nvPicPr>
                    <pic:cNvPr id="921" name="Shape 921"/>
                    <pic:cNvPicPr/>
                  </pic:nvPicPr>
                  <pic:blipFill>
                    <a:blip r:embed="rId678"/>
                    <a:stretch>
                      <a:fillRect/>
                    </a:stretch>
                  </pic:blipFill>
                  <pic:spPr>
                    <a:xfrm>
                      <a:off x="0" y="0"/>
                      <a:ext cx="475615" cy="414655"/>
                    </a:xfrm>
                    <a:prstGeom prst="rect">
                      <a:avLst/>
                    </a:prstGeom>
                  </pic:spPr>
                </pic:pic>
              </a:graphicData>
            </a:graphic>
          </wp:anchor>
        </w:drawing>
      </w:r>
      <w:r>
        <mc:AlternateContent>
          <mc:Choice Requires="wps">
            <w:drawing>
              <wp:anchor distT="140335" distB="36830" distL="723900" distR="114300" simplePos="0" relativeHeight="251660288" behindDoc="0" locked="0" layoutInCell="1" allowOverlap="1">
                <wp:simplePos x="0" y="0"/>
                <wp:positionH relativeFrom="page">
                  <wp:posOffset>1291590</wp:posOffset>
                </wp:positionH>
                <wp:positionV relativeFrom="paragraph">
                  <wp:posOffset>153035</wp:posOffset>
                </wp:positionV>
                <wp:extent cx="3218815" cy="237490"/>
                <wp:effectExtent l="0" t="0" r="0" b="0"/>
                <wp:wrapTopAndBottom/>
                <wp:docPr id="923" name="Shape 923"/>
                <wp:cNvGraphicFramePr/>
                <a:graphic xmlns:a="http://schemas.openxmlformats.org/drawingml/2006/main">
                  <a:graphicData uri="http://schemas.microsoft.com/office/word/2010/wordprocessingShape">
                    <wps:wsp>
                      <wps:cNvSpPr txBox="1"/>
                      <wps:spPr>
                        <a:xfrm>
                          <a:off x="0" y="0"/>
                          <a:ext cx="3218815" cy="237490"/>
                        </a:xfrm>
                        <a:prstGeom prst="rect">
                          <a:avLst/>
                        </a:prstGeom>
                        <a:noFill/>
                      </wps:spPr>
                      <wps:txbx>
                        <w:txbxContent>
                          <w:p w14:paraId="3944B34C">
                            <w:pPr>
                              <w:pStyle w:val="15"/>
                              <w:keepNext/>
                              <w:keepLines/>
                              <w:widowControl w:val="0"/>
                              <w:shd w:val="clear" w:color="auto" w:fill="auto"/>
                              <w:bidi w:val="0"/>
                              <w:spacing w:before="0" w:after="0" w:line="240" w:lineRule="auto"/>
                              <w:ind w:left="0" w:right="0" w:firstLine="0"/>
                              <w:jc w:val="left"/>
                            </w:pPr>
                            <w:bookmarkStart w:id="507" w:name="bookmark410"/>
                            <w:bookmarkStart w:id="508" w:name="bookmark409"/>
                            <w:bookmarkStart w:id="509" w:name="bookmark411"/>
                            <w:r>
                              <w:rPr>
                                <w:color w:val="000000"/>
                                <w:spacing w:val="0"/>
                                <w:w w:val="100"/>
                                <w:position w:val="0"/>
                              </w:rPr>
                              <w:t>转让抵押权不以办理转移登记为必要</w:t>
                            </w:r>
                            <w:bookmarkEnd w:id="507"/>
                            <w:bookmarkEnd w:id="508"/>
                            <w:bookmarkEnd w:id="509"/>
                          </w:p>
                        </w:txbxContent>
                      </wps:txbx>
                      <wps:bodyPr wrap="none" lIns="0" tIns="0" rIns="0" bIns="0">
                        <a:noAutofit/>
                      </wps:bodyPr>
                    </wps:wsp>
                  </a:graphicData>
                </a:graphic>
              </wp:anchor>
            </w:drawing>
          </mc:Choice>
          <mc:Fallback>
            <w:pict>
              <v:shape id="Shape 923" o:spid="_x0000_s1026" o:spt="202" type="#_x0000_t202" style="position:absolute;left:0pt;margin-left:101.7pt;margin-top:12.05pt;height:18.7pt;width:253.45pt;mso-position-horizontal-relative:page;mso-wrap-distance-bottom:2.9pt;mso-wrap-distance-top:11.05pt;mso-wrap-style:none;z-index:251660288;mso-width-relative:page;mso-height-relative:page;" filled="f" stroked="f" coordsize="21600,21600" o:gfxdata="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1fdx&#10;19cAAAAJAQAADwAAAAAAAAABACAAAAAiAAAAZHJzL2Rvd25yZXYueG1sUEsBAhQAFAAAAAgAh07i&#10;QNUonTexAQAAdAMAAA4AAAAAAAAAAQAgAAAAJgEAAGRycy9lMm9Eb2MueG1sUEsFBgAAAAAGAAYA&#10;WQEAAEkFAAAAAA==&#10;">
                <v:fill on="f" focussize="0,0"/>
                <v:stroke on="f"/>
                <v:imagedata o:title=""/>
                <o:lock v:ext="edit" aspectratio="f"/>
                <v:textbox inset="0mm,0mm,0mm,0mm">
                  <w:txbxContent>
                    <w:p w14:paraId="3944B34C">
                      <w:pPr>
                        <w:pStyle w:val="15"/>
                        <w:keepNext/>
                        <w:keepLines/>
                        <w:widowControl w:val="0"/>
                        <w:shd w:val="clear" w:color="auto" w:fill="auto"/>
                        <w:bidi w:val="0"/>
                        <w:spacing w:before="0" w:after="0" w:line="240" w:lineRule="auto"/>
                        <w:ind w:left="0" w:right="0" w:firstLine="0"/>
                        <w:jc w:val="left"/>
                      </w:pPr>
                      <w:bookmarkStart w:id="507" w:name="bookmark410"/>
                      <w:bookmarkStart w:id="508" w:name="bookmark409"/>
                      <w:bookmarkStart w:id="509" w:name="bookmark411"/>
                      <w:r>
                        <w:rPr>
                          <w:color w:val="000000"/>
                          <w:spacing w:val="0"/>
                          <w:w w:val="100"/>
                          <w:position w:val="0"/>
                        </w:rPr>
                        <w:t>转让抵押权不以办理转移登记为必要</w:t>
                      </w:r>
                      <w:bookmarkEnd w:id="507"/>
                      <w:bookmarkEnd w:id="508"/>
                      <w:bookmarkEnd w:id="509"/>
                    </w:p>
                  </w:txbxContent>
                </v:textbox>
                <w10:wrap type="topAndBottom"/>
              </v:shape>
            </w:pict>
          </mc:Fallback>
        </mc:AlternateContent>
      </w:r>
      <w:r>
        <w:drawing>
          <wp:anchor distT="0" distB="387350" distL="172085" distR="79375" simplePos="0" relativeHeight="251660288" behindDoc="0" locked="0" layoutInCell="1" allowOverlap="1">
            <wp:simplePos x="0" y="0"/>
            <wp:positionH relativeFrom="page">
              <wp:posOffset>5122545</wp:posOffset>
            </wp:positionH>
            <wp:positionV relativeFrom="paragraph">
              <wp:posOffset>332105</wp:posOffset>
            </wp:positionV>
            <wp:extent cx="542290" cy="542290"/>
            <wp:effectExtent l="0" t="0" r="3810" b="3810"/>
            <wp:wrapSquare wrapText="left"/>
            <wp:docPr id="925" name="Shape 925"/>
            <wp:cNvGraphicFramePr/>
            <a:graphic xmlns:a="http://schemas.openxmlformats.org/drawingml/2006/main">
              <a:graphicData uri="http://schemas.openxmlformats.org/drawingml/2006/picture">
                <pic:pic xmlns:pic="http://schemas.openxmlformats.org/drawingml/2006/picture">
                  <pic:nvPicPr>
                    <pic:cNvPr id="925" name="Shape 925"/>
                    <pic:cNvPicPr/>
                  </pic:nvPicPr>
                  <pic:blipFill>
                    <a:blip r:embed="rId679"/>
                    <a:stretch>
                      <a:fillRect/>
                    </a:stretch>
                  </pic:blipFill>
                  <pic:spPr>
                    <a:xfrm>
                      <a:off x="0" y="0"/>
                      <a:ext cx="542290" cy="542290"/>
                    </a:xfrm>
                    <a:prstGeom prst="rect">
                      <a:avLst/>
                    </a:prstGeom>
                  </pic:spPr>
                </pic:pic>
              </a:graphicData>
            </a:graphic>
          </wp:anchor>
        </w:drawing>
      </w:r>
      <w:r>
        <mc:AlternateContent>
          <mc:Choice Requires="wps">
            <w:drawing>
              <wp:anchor distT="0" distB="0" distL="0" distR="0" simplePos="0" relativeHeight="251661312" behindDoc="0" locked="0" layoutInCell="1" allowOverlap="1">
                <wp:simplePos x="0" y="0"/>
                <wp:positionH relativeFrom="page">
                  <wp:posOffset>4988560</wp:posOffset>
                </wp:positionH>
                <wp:positionV relativeFrom="paragraph">
                  <wp:posOffset>1130935</wp:posOffset>
                </wp:positionV>
                <wp:extent cx="717550" cy="130810"/>
                <wp:effectExtent l="0" t="0" r="0" b="0"/>
                <wp:wrapNone/>
                <wp:docPr id="927" name="Shape 927"/>
                <wp:cNvGraphicFramePr/>
                <a:graphic xmlns:a="http://schemas.openxmlformats.org/drawingml/2006/main">
                  <a:graphicData uri="http://schemas.microsoft.com/office/word/2010/wordprocessingShape">
                    <wps:wsp>
                      <wps:cNvSpPr txBox="1"/>
                      <wps:spPr>
                        <a:xfrm>
                          <a:off x="0" y="0"/>
                          <a:ext cx="717550" cy="130810"/>
                        </a:xfrm>
                        <a:prstGeom prst="rect">
                          <a:avLst/>
                        </a:prstGeom>
                        <a:noFill/>
                      </wps:spPr>
                      <wps:txbx>
                        <w:txbxContent>
                          <w:p w14:paraId="55C95321">
                            <w:pPr>
                              <w:pStyle w:val="37"/>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rPr>
                              <w:t>宁波大学法学院</w:t>
                            </w:r>
                          </w:p>
                        </w:txbxContent>
                      </wps:txbx>
                      <wps:bodyPr lIns="0" tIns="0" rIns="0" bIns="0">
                        <a:noAutofit/>
                      </wps:bodyPr>
                    </wps:wsp>
                  </a:graphicData>
                </a:graphic>
              </wp:anchor>
            </w:drawing>
          </mc:Choice>
          <mc:Fallback>
            <w:pict>
              <v:shape id="Shape 927" o:spid="_x0000_s1026" o:spt="202" type="#_x0000_t202" style="position:absolute;left:0pt;margin-left:392.8pt;margin-top:89.05pt;height:10.3pt;width:56.5pt;mso-position-horizontal-relative:page;z-index:251661312;mso-width-relative:page;mso-height-relative:page;" filled="f" stroked="f" coordsize="21600,21600" o:gfxdata="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1ZT392AAAAAsBAAAP&#10;AAAAAAAAAAEAIAAAACIAAABkcnMvZG93bnJldi54bWxQSwECFAAUAAAACACHTuJAr72HkaYBAABn&#10;AwAADgAAAAAAAAABACAAAAAnAQAAZHJzL2Uyb0RvYy54bWxQSwUGAAAAAAYABgBZAQAAPwUAAAAA&#10;">
                <v:fill on="f" focussize="0,0"/>
                <v:stroke on="f"/>
                <v:imagedata o:title=""/>
                <o:lock v:ext="edit" aspectratio="f"/>
                <v:textbox inset="0mm,0mm,0mm,0mm">
                  <w:txbxContent>
                    <w:p w14:paraId="55C95321">
                      <w:pPr>
                        <w:pStyle w:val="37"/>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rPr>
                        <w:t>宁波大学法学院</w:t>
                      </w:r>
                    </w:p>
                  </w:txbxContent>
                </v:textbox>
              </v:shape>
            </w:pict>
          </mc:Fallback>
        </mc:AlternateContent>
      </w:r>
    </w:p>
    <w:p w14:paraId="3CFC5FE7">
      <w:pPr>
        <w:pStyle w:val="17"/>
        <w:keepNext w:val="0"/>
        <w:keepLines w:val="0"/>
        <w:widowControl w:val="0"/>
        <w:shd w:val="clear" w:color="auto" w:fill="auto"/>
        <w:bidi w:val="0"/>
        <w:spacing w:before="0" w:after="400" w:line="317" w:lineRule="exact"/>
        <w:ind w:left="1020" w:right="0" w:firstLine="0"/>
        <w:jc w:val="both"/>
      </w:pPr>
      <w:r>
        <w:rPr>
          <w:color w:val="000000"/>
          <w:spacing w:val="0"/>
          <w:w w:val="100"/>
          <w:position w:val="0"/>
        </w:rPr>
        <w:t>黄健民与黄稼云担保物权纠纷案丨陕西省宝鸡市渭滨区人民法 院</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陕</w:t>
      </w:r>
      <w:r>
        <w:rPr>
          <w:rFonts w:ascii="Times New Roman" w:hAnsi="Times New Roman" w:eastAsia="Times New Roman" w:cs="Times New Roman"/>
          <w:color w:val="000000"/>
          <w:spacing w:val="0"/>
          <w:w w:val="100"/>
          <w:position w:val="0"/>
          <w:sz w:val="19"/>
          <w:szCs w:val="19"/>
        </w:rPr>
        <w:t>0302</w:t>
      </w:r>
      <w:r>
        <w:rPr>
          <w:color w:val="000000"/>
          <w:spacing w:val="0"/>
          <w:w w:val="100"/>
          <w:position w:val="0"/>
        </w:rPr>
        <w:t>民特</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号民事裁定书</w:t>
      </w:r>
    </w:p>
    <w:p w14:paraId="3C0CC4D6">
      <w:pPr>
        <w:pStyle w:val="17"/>
        <w:keepNext w:val="0"/>
        <w:keepLines w:val="0"/>
        <w:widowControl w:val="0"/>
        <w:shd w:val="clear" w:color="auto" w:fill="auto"/>
        <w:bidi w:val="0"/>
        <w:spacing w:before="0" w:after="1380" w:line="240" w:lineRule="auto"/>
        <w:ind w:left="0" w:right="0" w:firstLine="0"/>
        <w:jc w:val="right"/>
      </w:pPr>
      <w:r>
        <w:rPr>
          <w:b/>
          <w:bCs/>
          <w:color w:val="000000"/>
          <w:spacing w:val="0"/>
          <w:w w:val="100"/>
          <w:position w:val="0"/>
        </w:rPr>
        <w:t>吕双全</w:t>
      </w:r>
    </w:p>
    <w:p w14:paraId="48E24DDB">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3A6E1A82">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月，陕西省太白县农村信用合作联社(以下简称太白联社)与海立公司签订借 款合同，约定太白联社出借海立公司</w:t>
      </w:r>
      <w:r>
        <w:rPr>
          <w:rFonts w:ascii="Times New Roman" w:hAnsi="Times New Roman" w:eastAsia="Times New Roman" w:cs="Times New Roman"/>
          <w:color w:val="000000"/>
          <w:spacing w:val="0"/>
          <w:w w:val="100"/>
          <w:position w:val="0"/>
          <w:sz w:val="19"/>
          <w:szCs w:val="19"/>
        </w:rPr>
        <w:t>300</w:t>
      </w:r>
      <w:r>
        <w:rPr>
          <w:color w:val="000000"/>
          <w:spacing w:val="0"/>
          <w:w w:val="100"/>
          <w:position w:val="0"/>
        </w:rPr>
        <w:t>万元，黄稼云以其名下</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两处房屋为上述借款 本息提供抵押，并办理了抵押登记手续。</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月，长安银行中滩路支行与海立公司签 订借款合同，约定长安银行中滩路支行出借海立公司</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万元,黄稼云以上述</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房屋再次 提供抵押，并办理了抵押登记手续。后太白联社于</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 xml:space="preserve">月、长安银行中滩路支行于 </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月分别将上述借款债权及抵押权转让于龙腾公司。黄稼云作为抵押人，同意按照 原借款合同向龙腾公司承担还本付息义务。</w:t>
      </w:r>
    </w:p>
    <w:p w14:paraId="69E5AC24">
      <w:pPr>
        <w:pStyle w:val="17"/>
        <w:keepNext w:val="0"/>
        <w:keepLines w:val="0"/>
        <w:widowControl w:val="0"/>
        <w:shd w:val="clear" w:color="auto" w:fill="auto"/>
        <w:bidi w:val="0"/>
        <w:spacing w:before="0" w:after="360" w:line="342" w:lineRule="exact"/>
        <w:ind w:left="0" w:right="0" w:firstLine="420"/>
        <w:jc w:val="both"/>
      </w:pP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月，龙腾公司与黄健民、海立公司、黄稼云签订债权转让协议，将其享有的对 海立公司的债权及对黄稼云的抵押权一并转让给黄健民，并约定黄稼云于该协议生效之日 起</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日内向黄健民履行还款义务,否则黄健民有权申请实现抵押权,但未办理抵押权转移 登记。还款期限届至后，黄稼云未依约还款，黄健民向法院提出担保物权实现申请,请求裁 定拍卖或变卖被申请人黄稼云</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两处房产,并在债权范围内优先受偿。</w:t>
      </w:r>
    </w:p>
    <w:p w14:paraId="2C0F858E">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41DF1737">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抵押权转让发生效力。</w:t>
      </w:r>
    </w:p>
    <w:p w14:paraId="3F207B9A">
      <w:pPr>
        <w:pStyle w:val="17"/>
        <w:keepNext w:val="0"/>
        <w:keepLines w:val="0"/>
        <w:widowControl w:val="0"/>
        <w:shd w:val="clear" w:color="auto" w:fill="auto"/>
        <w:bidi w:val="0"/>
        <w:spacing w:before="0" w:after="220" w:line="339" w:lineRule="exact"/>
        <w:ind w:left="0" w:right="0" w:firstLine="420"/>
        <w:jc w:val="both"/>
        <w:sectPr>
          <w:footnotePr>
            <w:numFmt w:val="chicago"/>
          </w:footnotePr>
          <w:type w:val="continuous"/>
          <w:pgSz w:w="10099" w:h="14782"/>
          <w:pgMar w:top="1288" w:right="1082" w:bottom="1116" w:left="1015" w:header="860" w:footer="688" w:gutter="0"/>
          <w:cols w:space="720" w:num="1"/>
          <w:rtlGutter w:val="0"/>
          <w:docGrid w:linePitch="360" w:charSpace="0"/>
        </w:sectPr>
      </w:pPr>
      <w:r>
        <w:rPr>
          <w:color w:val="000000"/>
          <w:spacing w:val="0"/>
          <w:w w:val="100"/>
          <w:position w:val="0"/>
        </w:rPr>
        <w:t>本案所涉各方协议均系真实意思表示，不违反法律、行政法规等禁止性规定,应为有 效。长安银行中滩路支行、太白联社将债权及抵押权一并让与龙腾公司，龙腾公司又将上 述债权及抵押权一并转让给申请人黄健民，符合《物权法》第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条以及《合同法》第</w:t>
      </w:r>
      <w:r>
        <w:rPr>
          <w:rFonts w:ascii="Times New Roman" w:hAnsi="Times New Roman" w:eastAsia="Times New Roman" w:cs="Times New Roman"/>
          <w:color w:val="000000"/>
          <w:spacing w:val="0"/>
          <w:w w:val="100"/>
          <w:position w:val="0"/>
          <w:sz w:val="19"/>
          <w:szCs w:val="19"/>
        </w:rPr>
        <w:t>81</w:t>
      </w:r>
      <w:r>
        <w:rPr>
          <w:color w:val="000000"/>
          <w:spacing w:val="0"/>
          <w:w w:val="100"/>
          <w:position w:val="0"/>
        </w:rPr>
        <w:t>条 规定。黄稼云以其房屋提供抵押担保，并办理了抵押登记手续，抵押权自登记时设立。抵押 权转让时虽未办理转移登记，但按照抵押权随债权转让而转让的规定，债权受让人也可以 取得已经合法登记的抵押权，不因未办理转移登记而丧失抵押权。裁定准予拍卖变卖黄稼 云的抵押房产，并由黄健民在债权范围内优先受偿。</w:t>
      </w:r>
    </w:p>
    <w:p w14:paraId="03415AAB">
      <w:pPr>
        <w:pStyle w:val="11"/>
        <w:keepNext w:val="0"/>
        <w:keepLines w:val="0"/>
        <w:widowControl w:val="0"/>
        <w:shd w:val="clear" w:color="auto" w:fill="auto"/>
        <w:bidi w:val="0"/>
        <w:spacing w:before="0" w:after="120" w:line="342" w:lineRule="exact"/>
        <w:ind w:left="0" w:right="0" w:firstLine="0"/>
        <w:jc w:val="both"/>
      </w:pPr>
      <w:r>
        <w:rPr>
          <w:color w:val="000000"/>
          <w:spacing w:val="0"/>
          <w:w w:val="100"/>
          <w:position w:val="0"/>
        </w:rPr>
        <w:t>■评析</w:t>
      </w:r>
    </w:p>
    <w:p w14:paraId="63905700">
      <w:pPr>
        <w:pStyle w:val="17"/>
        <w:keepNext w:val="0"/>
        <w:keepLines w:val="0"/>
        <w:widowControl w:val="0"/>
        <w:shd w:val="clear" w:color="auto" w:fill="auto"/>
        <w:bidi w:val="0"/>
        <w:spacing w:before="0" w:after="12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本裁定的思路和意义</w:t>
      </w:r>
    </w:p>
    <w:p w14:paraId="201259A7">
      <w:pPr>
        <w:pStyle w:val="17"/>
        <w:keepNext w:val="0"/>
        <w:keepLines w:val="0"/>
        <w:widowControl w:val="0"/>
        <w:shd w:val="clear" w:color="auto" w:fill="auto"/>
        <w:bidi w:val="0"/>
        <w:spacing w:before="0" w:after="180" w:line="344" w:lineRule="exact"/>
        <w:ind w:left="0" w:right="0" w:firstLine="420"/>
        <w:jc w:val="both"/>
      </w:pPr>
      <w:r>
        <w:rPr>
          <w:color w:val="000000"/>
          <w:spacing w:val="0"/>
          <w:w w:val="100"/>
          <w:position w:val="0"/>
        </w:rPr>
        <w:t>本案中，不动产抵押权与债权一并转让,虽未办理抵押权转移登记，受让人仍得取得抵 押权。裁判要旨表明，抵押权随主债权转让属于法律规定的特殊物权转移方式，因而不需 要满足一般不动产抵押权设立时所要求的登记要件。虽然本案涉案标的为不动产，但由于 动产抵押权设立本来即不需要登记，故而该结论可推广至整个抵押权转让体系之上。本案 裁判认为债权转让后抵押权无须登记即可随之转让。在立法、司法解释未予明确的情况 下,本案裁判对不动产抵押权转让效力的确定具有重要意义。</w:t>
      </w:r>
    </w:p>
    <w:p w14:paraId="0AA876A1">
      <w:pPr>
        <w:pStyle w:val="17"/>
        <w:keepNext w:val="0"/>
        <w:keepLines w:val="0"/>
        <w:widowControl w:val="0"/>
        <w:shd w:val="clear" w:color="auto" w:fill="auto"/>
        <w:bidi w:val="0"/>
        <w:spacing w:before="0" w:after="12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抵押权转让规范及学理</w:t>
      </w:r>
    </w:p>
    <w:p w14:paraId="5F4B46A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原《物权法》第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条规定:“抵押权不得与债权分离而单独转让或者作为其他债权的 担保。债权转让的，担保该债权的抵押权一并转让，但法律另有规定或者当事人另有约定 的除外</w:t>
      </w:r>
      <w:r>
        <w:rPr>
          <w:color w:val="000000"/>
          <w:spacing w:val="0"/>
          <w:w w:val="100"/>
          <w:position w:val="0"/>
          <w:lang w:val="zh-CN" w:eastAsia="zh-CN" w:bidi="zh-CN"/>
        </w:rPr>
        <w:t>。”原</w:t>
      </w:r>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81</w:t>
      </w:r>
      <w:r>
        <w:rPr>
          <w:color w:val="000000"/>
          <w:spacing w:val="0"/>
          <w:w w:val="100"/>
          <w:position w:val="0"/>
        </w:rPr>
        <w:t>条规定:</w:t>
      </w:r>
      <w:r>
        <w:rPr>
          <w:color w:val="000000"/>
          <w:spacing w:val="0"/>
          <w:w w:val="100"/>
          <w:position w:val="0"/>
          <w:lang w:val="zh-CN" w:eastAsia="zh-CN" w:bidi="zh-CN"/>
        </w:rPr>
        <w:t>“债权</w:t>
      </w:r>
      <w:r>
        <w:rPr>
          <w:color w:val="000000"/>
          <w:spacing w:val="0"/>
          <w:w w:val="100"/>
          <w:position w:val="0"/>
        </w:rPr>
        <w:t>人转让权利的，受让人取得与债权有关的从权利， 但该从权利专属于债权人自身的除外</w:t>
      </w:r>
      <w:r>
        <w:rPr>
          <w:color w:val="000000"/>
          <w:spacing w:val="0"/>
          <w:w w:val="100"/>
          <w:position w:val="0"/>
          <w:lang w:val="zh-CN" w:eastAsia="zh-CN" w:bidi="zh-CN"/>
        </w:rPr>
        <w:t>。”上</w:t>
      </w:r>
      <w:r>
        <w:rPr>
          <w:color w:val="000000"/>
          <w:spacing w:val="0"/>
          <w:w w:val="100"/>
          <w:position w:val="0"/>
        </w:rPr>
        <w:t>述条文虽从宏观上规定了抵押权与债权一并转 让的规则，但并没有具体说明抵押权是否仍需要办理登记手续，因而留下了解释空间，导致 实务及学说产生了不同的意见。在司法解释中，最高人民法院对于受让人为金融资产管理 公司的情形做出了规范。</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年颁布的《关于审理涉及金融资产管理公司收购、管理、处置 国有银行不良贷款形成的资产的案件适用法律若干问题的规定》</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9"/>
          <w:szCs w:val="19"/>
        </w:rPr>
        <w:t>（2001）12</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 xml:space="preserve">9 </w:t>
      </w:r>
      <w:r>
        <w:rPr>
          <w:color w:val="000000"/>
          <w:spacing w:val="0"/>
          <w:w w:val="100"/>
          <w:position w:val="0"/>
        </w:rPr>
        <w:t>条规定:“金融资产管理公司受让有抵押担保的债权后，可以依法取得对债权的抵押权，原 抵押权登记继续有效</w:t>
      </w:r>
      <w:r>
        <w:rPr>
          <w:color w:val="000000"/>
          <w:spacing w:val="0"/>
          <w:w w:val="100"/>
          <w:position w:val="0"/>
          <w:lang w:val="zh-CN" w:eastAsia="zh-CN" w:bidi="zh-CN"/>
        </w:rPr>
        <w:t>。”然</w:t>
      </w:r>
      <w:r>
        <w:rPr>
          <w:color w:val="000000"/>
          <w:spacing w:val="0"/>
          <w:w w:val="100"/>
          <w:position w:val="0"/>
        </w:rPr>
        <w:t>而就在同年,国务院建设部修正的《城市房地产抵押管理办法》却 针对城市房地产做出了相反的规定，该办法第</w:t>
      </w:r>
      <w:r>
        <w:rPr>
          <w:rFonts w:ascii="Times New Roman" w:hAnsi="Times New Roman" w:eastAsia="Times New Roman" w:cs="Times New Roman"/>
          <w:color w:val="000000"/>
          <w:spacing w:val="0"/>
          <w:w w:val="100"/>
          <w:position w:val="0"/>
          <w:sz w:val="19"/>
          <w:szCs w:val="19"/>
        </w:rPr>
        <w:t>37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“抵押</w:t>
      </w:r>
      <w:r>
        <w:rPr>
          <w:color w:val="000000"/>
          <w:spacing w:val="0"/>
          <w:w w:val="100"/>
          <w:position w:val="0"/>
        </w:rPr>
        <w:t>权可以随债权转让。 抵押权转让时，应当签订抵押权转让合同，并办理抵押权变更登记。……”值得注意的是, 现今《民法典》第</w:t>
      </w:r>
      <w:r>
        <w:rPr>
          <w:rFonts w:ascii="Times New Roman" w:hAnsi="Times New Roman" w:eastAsia="Times New Roman" w:cs="Times New Roman"/>
          <w:color w:val="000000"/>
          <w:spacing w:val="0"/>
          <w:w w:val="100"/>
          <w:position w:val="0"/>
          <w:sz w:val="19"/>
          <w:szCs w:val="19"/>
        </w:rPr>
        <w:t>407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547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款除承继原《物权法》第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条与原《合同法》第</w:t>
      </w:r>
      <w:r>
        <w:rPr>
          <w:rFonts w:ascii="Times New Roman" w:hAnsi="Times New Roman" w:eastAsia="Times New Roman" w:cs="Times New Roman"/>
          <w:color w:val="000000"/>
          <w:spacing w:val="0"/>
          <w:w w:val="100"/>
          <w:position w:val="0"/>
          <w:sz w:val="19"/>
          <w:szCs w:val="19"/>
        </w:rPr>
        <w:t xml:space="preserve">81 </w:t>
      </w:r>
      <w:r>
        <w:rPr>
          <w:color w:val="000000"/>
          <w:spacing w:val="0"/>
          <w:w w:val="100"/>
          <w:position w:val="0"/>
        </w:rPr>
        <w:t>条外，还新增一款规制该问题。其第</w:t>
      </w:r>
      <w:r>
        <w:rPr>
          <w:rFonts w:ascii="Times New Roman" w:hAnsi="Times New Roman" w:eastAsia="Times New Roman" w:cs="Times New Roman"/>
          <w:color w:val="000000"/>
          <w:spacing w:val="0"/>
          <w:w w:val="100"/>
          <w:position w:val="0"/>
          <w:sz w:val="19"/>
          <w:szCs w:val="19"/>
        </w:rPr>
        <w:t>547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w:t>
      </w:r>
      <w:r>
        <w:rPr>
          <w:color w:val="000000"/>
          <w:spacing w:val="0"/>
          <w:w w:val="100"/>
          <w:position w:val="0"/>
          <w:lang w:val="zh-CN" w:eastAsia="zh-CN" w:bidi="zh-CN"/>
        </w:rPr>
        <w:t>“受让</w:t>
      </w:r>
      <w:r>
        <w:rPr>
          <w:color w:val="000000"/>
          <w:spacing w:val="0"/>
          <w:w w:val="100"/>
          <w:position w:val="0"/>
        </w:rPr>
        <w:t>人取得从权利不因该从权利 未办理转移登记手续或者未转移占有而受到影响</w:t>
      </w:r>
      <w:r>
        <w:rPr>
          <w:color w:val="000000"/>
          <w:spacing w:val="0"/>
          <w:w w:val="100"/>
          <w:position w:val="0"/>
          <w:lang w:val="zh-CN" w:eastAsia="zh-CN" w:bidi="zh-CN"/>
        </w:rPr>
        <w:t>。”具</w:t>
      </w:r>
      <w:r>
        <w:rPr>
          <w:color w:val="000000"/>
          <w:spacing w:val="0"/>
          <w:w w:val="100"/>
          <w:position w:val="0"/>
        </w:rPr>
        <w:t>体对抵押权转让来说，依据该款规 定,受让人取得抵押权不需要办理转移登记手续。</w:t>
      </w:r>
    </w:p>
    <w:p w14:paraId="1D651CA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在学说上，关于不动产抵押权转让未经登记是否发生转移效力，可以分为肯定说与否 定说两类。</w:t>
      </w:r>
    </w:p>
    <w:p w14:paraId="3803BF41">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肯定说认为，债权让与时，抵押权随同转移，无须登记即发生转移效力</w:t>
      </w:r>
      <w:r>
        <w:rPr>
          <w:color w:val="000000"/>
          <w:spacing w:val="0"/>
          <w:w w:val="100"/>
          <w:position w:val="0"/>
          <w:sz w:val="11"/>
          <w:szCs w:val="11"/>
        </w:rPr>
        <w:t>（王泽鉴:《民法物 权》，北京大学出版社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371</w:t>
      </w:r>
      <w:r>
        <w:rPr>
          <w:color w:val="000000"/>
          <w:spacing w:val="0"/>
          <w:w w:val="100"/>
          <w:position w:val="0"/>
          <w:sz w:val="11"/>
          <w:szCs w:val="11"/>
        </w:rPr>
        <w:t>页）。</w:t>
      </w:r>
      <w:r>
        <w:rPr>
          <w:color w:val="000000"/>
          <w:spacing w:val="0"/>
          <w:w w:val="100"/>
          <w:position w:val="0"/>
          <w:sz w:val="18"/>
          <w:szCs w:val="18"/>
        </w:rPr>
        <w:t>该说认为，只有作此解释，方不至于在债权让与后， 抵押权未办理移转登记前,造成无担保债权存在，有违于抵押权之从属性之情形</w:t>
      </w:r>
      <w:r>
        <w:rPr>
          <w:color w:val="000000"/>
          <w:spacing w:val="0"/>
          <w:w w:val="100"/>
          <w:position w:val="0"/>
          <w:sz w:val="11"/>
          <w:szCs w:val="11"/>
        </w:rPr>
        <w:t>［谢在全: 《民法物权论》（中册），中国政法大学出版社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717</w:t>
      </w:r>
      <w:r>
        <w:rPr>
          <w:color w:val="000000"/>
          <w:spacing w:val="0"/>
          <w:w w:val="100"/>
          <w:position w:val="0"/>
          <w:sz w:val="11"/>
          <w:szCs w:val="11"/>
        </w:rPr>
        <w:t>页］。</w:t>
      </w:r>
    </w:p>
    <w:p w14:paraId="51128035">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否定说认为，债权让与时,抵押权的一并转移无须征得抵押人的同意，但在不动产抵押 权的场合,需要办理抵押权的转移登记</w:t>
      </w:r>
      <w:r>
        <w:rPr>
          <w:color w:val="000000"/>
          <w:spacing w:val="0"/>
          <w:w w:val="100"/>
          <w:position w:val="0"/>
          <w:sz w:val="11"/>
          <w:szCs w:val="11"/>
        </w:rPr>
        <w:t>（史尚宽:《物权法论》，中国政法大学出版社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 xml:space="preserve">年版，第 </w:t>
      </w:r>
      <w:r>
        <w:rPr>
          <w:rFonts w:ascii="Times New Roman" w:hAnsi="Times New Roman" w:eastAsia="Times New Roman" w:cs="Times New Roman"/>
          <w:color w:val="000000"/>
          <w:spacing w:val="0"/>
          <w:w w:val="100"/>
          <w:position w:val="0"/>
          <w:sz w:val="17"/>
          <w:szCs w:val="17"/>
        </w:rPr>
        <w:t>308</w:t>
      </w:r>
      <w:r>
        <w:rPr>
          <w:color w:val="000000"/>
          <w:spacing w:val="0"/>
          <w:w w:val="100"/>
          <w:position w:val="0"/>
          <w:sz w:val="11"/>
          <w:szCs w:val="11"/>
        </w:rPr>
        <w:t>页）。</w:t>
      </w:r>
      <w:r>
        <w:rPr>
          <w:color w:val="000000"/>
          <w:spacing w:val="0"/>
          <w:w w:val="100"/>
          <w:position w:val="0"/>
          <w:sz w:val="18"/>
          <w:szCs w:val="18"/>
        </w:rPr>
        <w:t>该说多以《合同法》第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9"/>
          <w:szCs w:val="19"/>
        </w:rPr>
        <w:t>502</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款）为其法律依据</w:t>
      </w:r>
      <w:r>
        <w:rPr>
          <w:color w:val="000000"/>
          <w:spacing w:val="0"/>
          <w:w w:val="100"/>
          <w:position w:val="0"/>
          <w:sz w:val="11"/>
          <w:szCs w:val="11"/>
        </w:rPr>
        <w:t>（王利明、杨 立新、王轶、程啸:《民法学》，法律出版社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454</w:t>
      </w:r>
      <w:r>
        <w:rPr>
          <w:color w:val="000000"/>
          <w:spacing w:val="0"/>
          <w:w w:val="100"/>
          <w:position w:val="0"/>
          <w:sz w:val="11"/>
          <w:szCs w:val="11"/>
        </w:rPr>
        <w:t>页，程啸执笔）</w:t>
      </w:r>
      <w:r>
        <w:rPr>
          <w:color w:val="000000"/>
          <w:spacing w:val="0"/>
          <w:w w:val="100"/>
          <w:position w:val="0"/>
          <w:sz w:val="18"/>
          <w:szCs w:val="18"/>
        </w:rPr>
        <w:t>，该条规定</w:t>
      </w:r>
      <w:r>
        <w:rPr>
          <w:color w:val="000000"/>
          <w:spacing w:val="0"/>
          <w:w w:val="100"/>
          <w:position w:val="0"/>
          <w:sz w:val="18"/>
          <w:szCs w:val="18"/>
          <w:lang w:val="zh-CN" w:eastAsia="zh-CN" w:bidi="zh-CN"/>
        </w:rPr>
        <w:t>，“法</w:t>
      </w:r>
      <w:r>
        <w:rPr>
          <w:color w:val="000000"/>
          <w:spacing w:val="0"/>
          <w:w w:val="100"/>
          <w:position w:val="0"/>
          <w:sz w:val="18"/>
          <w:szCs w:val="18"/>
        </w:rPr>
        <w:t>律、行政法 规规定转让权利或者转移义务应当办理批准、登记等手续的，依照其规定”；或以国土资源 部（现为自然资源部）《不动产登记暂行条例实施细则》第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sz w:val="18"/>
          <w:szCs w:val="18"/>
        </w:rPr>
        <w:t>项为其法律依据</w:t>
      </w:r>
      <w:r>
        <w:rPr>
          <w:color w:val="000000"/>
          <w:spacing w:val="0"/>
          <w:w w:val="100"/>
          <w:position w:val="0"/>
          <w:sz w:val="11"/>
          <w:szCs w:val="11"/>
        </w:rPr>
        <w:t>［崔建 远:《物权法》（第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版），中国人民大学出版社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437</w:t>
      </w:r>
      <w:r>
        <w:rPr>
          <w:color w:val="000000"/>
          <w:spacing w:val="0"/>
          <w:w w:val="100"/>
          <w:position w:val="0"/>
          <w:sz w:val="11"/>
          <w:szCs w:val="11"/>
        </w:rPr>
        <w:t>页］</w:t>
      </w:r>
      <w:r>
        <w:rPr>
          <w:color w:val="000000"/>
          <w:spacing w:val="0"/>
          <w:w w:val="100"/>
          <w:position w:val="0"/>
          <w:sz w:val="18"/>
          <w:szCs w:val="18"/>
        </w:rPr>
        <w:t>，该条规定，</w:t>
      </w:r>
      <w:r>
        <w:rPr>
          <w:color w:val="000000"/>
          <w:spacing w:val="0"/>
          <w:w w:val="100"/>
          <w:position w:val="0"/>
          <w:sz w:val="18"/>
          <w:szCs w:val="18"/>
          <w:lang w:val="zh-CN" w:eastAsia="zh-CN" w:bidi="zh-CN"/>
        </w:rPr>
        <w:t>“因主</w:t>
      </w:r>
      <w:r>
        <w:rPr>
          <w:color w:val="000000"/>
          <w:spacing w:val="0"/>
          <w:w w:val="100"/>
          <w:position w:val="0"/>
          <w:sz w:val="18"/>
          <w:szCs w:val="18"/>
        </w:rPr>
        <w:t>债权转移引起 不动产抵押权转移的”</w:t>
      </w:r>
      <w:r>
        <w:rPr>
          <w:color w:val="000000"/>
          <w:spacing w:val="0"/>
          <w:w w:val="100"/>
          <w:position w:val="0"/>
          <w:sz w:val="18"/>
          <w:szCs w:val="18"/>
          <w:lang w:val="zh-CN" w:eastAsia="zh-CN" w:bidi="zh-CN"/>
        </w:rPr>
        <w:t>，“当</w:t>
      </w:r>
      <w:r>
        <w:rPr>
          <w:color w:val="000000"/>
          <w:spacing w:val="0"/>
          <w:w w:val="100"/>
          <w:position w:val="0"/>
          <w:sz w:val="18"/>
          <w:szCs w:val="18"/>
        </w:rPr>
        <w:t>事人可以向不动产登记机构申请转移登记”。如果以登记为对 抗要件的,则未办理变更登记的，善意第三人有权不承认该抵押权的转让</w:t>
      </w:r>
      <w:r>
        <w:rPr>
          <w:color w:val="000000"/>
          <w:spacing w:val="0"/>
          <w:w w:val="100"/>
          <w:position w:val="0"/>
          <w:sz w:val="11"/>
          <w:szCs w:val="11"/>
        </w:rPr>
        <w:t>（梁慧星、陈华彬： 《物权法》，法律出版社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288</w:t>
      </w:r>
      <w:r>
        <w:rPr>
          <w:color w:val="000000"/>
          <w:spacing w:val="0"/>
          <w:w w:val="100"/>
          <w:position w:val="0"/>
          <w:sz w:val="11"/>
          <w:szCs w:val="11"/>
        </w:rPr>
        <w:t>页）。</w:t>
      </w:r>
    </w:p>
    <w:p w14:paraId="063DC68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肯定说和否定说争议之焦点，即在于对原《物权法》第</w:t>
      </w:r>
      <w:r>
        <w:rPr>
          <w:rFonts w:ascii="Times New Roman" w:hAnsi="Times New Roman" w:eastAsia="Times New Roman" w:cs="Times New Roman"/>
          <w:color w:val="000000"/>
          <w:spacing w:val="0"/>
          <w:w w:val="100"/>
          <w:position w:val="0"/>
          <w:sz w:val="19"/>
          <w:szCs w:val="19"/>
        </w:rPr>
        <w:t>192</w:t>
      </w:r>
      <w:r>
        <w:rPr>
          <w:color w:val="000000"/>
          <w:spacing w:val="0"/>
          <w:w w:val="100"/>
          <w:position w:val="0"/>
        </w:rPr>
        <w:t>条及原《合同法》第</w:t>
      </w:r>
      <w:r>
        <w:rPr>
          <w:rFonts w:ascii="Times New Roman" w:hAnsi="Times New Roman" w:eastAsia="Times New Roman" w:cs="Times New Roman"/>
          <w:color w:val="000000"/>
          <w:spacing w:val="0"/>
          <w:w w:val="100"/>
          <w:position w:val="0"/>
          <w:sz w:val="19"/>
          <w:szCs w:val="19"/>
        </w:rPr>
        <w:t>81</w:t>
      </w:r>
      <w:r>
        <w:rPr>
          <w:color w:val="000000"/>
          <w:spacing w:val="0"/>
          <w:w w:val="100"/>
          <w:position w:val="0"/>
        </w:rPr>
        <w:t>条所 规定之“一并转让规则”的理解之上。肯定说将该规则作为法律规定的特别物权移转方式， 将该条文认定为原《物权法》第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209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款）规定之</w:t>
      </w:r>
      <w:r>
        <w:rPr>
          <w:color w:val="000000"/>
          <w:spacing w:val="0"/>
          <w:w w:val="100"/>
          <w:position w:val="0"/>
          <w:lang w:val="zh-CN" w:eastAsia="zh-CN" w:bidi="zh-CN"/>
        </w:rPr>
        <w:t>“法律</w:t>
      </w:r>
      <w:r>
        <w:rPr>
          <w:color w:val="000000"/>
          <w:spacing w:val="0"/>
          <w:w w:val="100"/>
          <w:position w:val="0"/>
        </w:rPr>
        <w:t>另有规 定”的情形;否定说将该规则仅作债权层面的理解，移转抵押权之债权依该规则发生效力， 但物权层面上的抵押权移转则适用上述第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款的一般规则。</w:t>
      </w:r>
    </w:p>
    <w:p w14:paraId="26DA3B4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结合理论体系构成及《民法典》的规定，肯定说更值得赞同，理由有如下几点：</w:t>
      </w:r>
    </w:p>
    <w:p w14:paraId="6F86C6F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第一,不动产抵押权未办理登记即可转让，是抵押权从属性的要求。抵押权以担保债 务之清偿为目的，其为主债权而存在，具有从属性。作为从属性的重要体现,抵押权在处分 上不得与其所担保之债权分离而单独让与。如果采否定说，则在债权已转让而未办理抵押 权登记之时，会岀现受让人享有债权却不享有抵押权的情形，违背抵押权的从属性。基于 抵押权从属性的要求，受让人受让债权却未办理抵押权登记情形下的处理办法或许有两 种:一种是认定债权不发生转让;另一种是认定抵押权亦有效转让。前者为德国法所采用。 在德国法下,一般债权的让与无需任何形式要件，但受抵押权担保之债权的让与则须以土 地登记法所规定的形式进行</w:t>
      </w:r>
      <w:r>
        <w:rPr>
          <w:color w:val="000000"/>
          <w:spacing w:val="0"/>
          <w:w w:val="100"/>
          <w:position w:val="0"/>
          <w:sz w:val="11"/>
          <w:szCs w:val="11"/>
        </w:rPr>
        <w:t xml:space="preserve">［鲍尔/施蒂尔纳：《德国物权法》（下册），申卫星、王洪亮译，法律出版社 </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89</w:t>
      </w:r>
      <w:r>
        <w:rPr>
          <w:color w:val="000000"/>
          <w:spacing w:val="0"/>
          <w:w w:val="100"/>
          <w:position w:val="0"/>
          <w:sz w:val="11"/>
          <w:szCs w:val="11"/>
        </w:rPr>
        <w:t>页］。</w:t>
      </w:r>
      <w:r>
        <w:rPr>
          <w:color w:val="000000"/>
          <w:spacing w:val="0"/>
          <w:w w:val="100"/>
          <w:position w:val="0"/>
        </w:rPr>
        <w:t>然而，我国债权转让规则并未设立此特殊规则，因而很难作类似解释。 因此，在我国法律体系下，认定抵押权亦有效转让的做法更符合实际。</w:t>
      </w:r>
    </w:p>
    <w:p w14:paraId="19B0827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 xml:space="preserve">第二，不动产抵押权未办理登记即可转让,亦可保证当事人之间的利益平衡。基于不 动产抵押权登记生效主义的规则，在债权转让之前，抵押权已经登记并产生合法效力，因此 即便不办理转移登记，也可保持物权公示状态,不损害当事人之外的善意第三人的合法权 </w:t>
      </w:r>
      <w:r>
        <w:rPr>
          <w:color w:val="000000"/>
          <w:spacing w:val="0"/>
          <w:w w:val="100"/>
          <w:position w:val="0"/>
          <w:sz w:val="11"/>
          <w:szCs w:val="11"/>
        </w:rPr>
        <w:t>益（袁辉根、王宝成：《受让抵押权不以办理转移登记为必要》，载《人民司法-案例》</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 xml:space="preserve">期）。 </w:t>
      </w:r>
      <w:r>
        <w:rPr>
          <w:color w:val="000000"/>
          <w:spacing w:val="0"/>
          <w:w w:val="100"/>
          <w:position w:val="0"/>
        </w:rPr>
        <w:t>对于抵押人而言,无论债权人如何变更，抵押人均应承担抵押责任，采肯定说并不会给抵押 人带来额外的不利益。反之，如果采否定说，在未办理移转登记之前，因受让人取得债权却 未取得抵押权，则抵押人无需承担抵押责任，反而会因此获得额外的利益。从平衡债权受 让人及抵押人利益的角度来看，采取肯定说更符合公平正义。</w:t>
      </w:r>
    </w:p>
    <w:p w14:paraId="7FA8378B">
      <w:pPr>
        <w:pStyle w:val="17"/>
        <w:keepNext w:val="0"/>
        <w:keepLines w:val="0"/>
        <w:widowControl w:val="0"/>
        <w:shd w:val="clear" w:color="auto" w:fill="auto"/>
        <w:bidi w:val="0"/>
        <w:spacing w:before="0" w:after="0" w:line="348" w:lineRule="exact"/>
        <w:ind w:left="0" w:right="0" w:firstLine="420"/>
        <w:jc w:val="both"/>
      </w:pPr>
      <w:r>
        <w:rPr>
          <w:color w:val="000000"/>
          <w:spacing w:val="0"/>
          <w:w w:val="100"/>
          <w:position w:val="0"/>
        </w:rPr>
        <w:t>第三，作为否定说法律依据的原《合同法》第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条，并未出现在《民法典》中；自然资源 部《不动产登记暂行条例实施细则》第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项所规定的内容,也仅是当事人</w:t>
      </w:r>
      <w:r>
        <w:rPr>
          <w:color w:val="000000"/>
          <w:spacing w:val="0"/>
          <w:w w:val="100"/>
          <w:position w:val="0"/>
          <w:lang w:val="zh-CN" w:eastAsia="zh-CN" w:bidi="zh-CN"/>
        </w:rPr>
        <w:t xml:space="preserve">“可以”申 </w:t>
      </w:r>
      <w:r>
        <w:rPr>
          <w:color w:val="000000"/>
          <w:spacing w:val="0"/>
          <w:w w:val="100"/>
          <w:position w:val="0"/>
        </w:rPr>
        <w:t xml:space="preserve">请转移登记，并未要求必须登记，因此否定说将丧失法律根基。更为重要的是，《民法典》第 </w:t>
      </w:r>
      <w:r>
        <w:rPr>
          <w:rFonts w:ascii="Times New Roman" w:hAnsi="Times New Roman" w:eastAsia="Times New Roman" w:cs="Times New Roman"/>
          <w:color w:val="000000"/>
          <w:spacing w:val="0"/>
          <w:w w:val="100"/>
          <w:position w:val="0"/>
          <w:sz w:val="19"/>
          <w:szCs w:val="19"/>
        </w:rPr>
        <w:t>547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款规定了从权利转让无需移转登记或占有，可以认为从正面承认了肯定说。</w:t>
      </w:r>
    </w:p>
    <w:p w14:paraId="7C6E3D62">
      <w:pPr>
        <w:pStyle w:val="17"/>
        <w:keepNext w:val="0"/>
        <w:keepLines w:val="0"/>
        <w:widowControl w:val="0"/>
        <w:shd w:val="clear" w:color="auto" w:fill="auto"/>
        <w:bidi w:val="0"/>
        <w:spacing w:before="0" w:after="280" w:line="348" w:lineRule="exact"/>
        <w:ind w:left="0" w:right="0" w:firstLine="420"/>
        <w:jc w:val="both"/>
      </w:pPr>
      <w:r>
        <w:rPr>
          <w:color w:val="000000"/>
          <w:spacing w:val="0"/>
          <w:w w:val="100"/>
          <w:position w:val="0"/>
        </w:rPr>
        <w:t>从肯定说出发，不动产抵押权随主债权一并转让之时，受让人无需办理转移登记即可 取得抵押权。值得注意的是，动产抵押权一并转让时效果的认定。无论是采肯定说还是否 定说,均承认受让人无需办理登记即可取得动产抵押权，但是否定说认为仍应符合动产抵 押权的一般规则，即未经登记，不得对抗善意第三人。如果从肯定说的视角岀发，因</w:t>
      </w:r>
      <w:r>
        <w:rPr>
          <w:color w:val="000000"/>
          <w:spacing w:val="0"/>
          <w:w w:val="100"/>
          <w:position w:val="0"/>
          <w:lang w:val="zh-CN" w:eastAsia="zh-CN" w:bidi="zh-CN"/>
        </w:rPr>
        <w:t xml:space="preserve">“一并 </w:t>
      </w:r>
      <w:r>
        <w:rPr>
          <w:color w:val="000000"/>
          <w:spacing w:val="0"/>
          <w:w w:val="100"/>
          <w:position w:val="0"/>
        </w:rPr>
        <w:t>转让规则</w:t>
      </w:r>
      <w:r>
        <w:rPr>
          <w:color w:val="000000"/>
          <w:spacing w:val="0"/>
          <w:w w:val="100"/>
          <w:position w:val="0"/>
          <w:lang w:val="zh-CN" w:eastAsia="zh-CN" w:bidi="zh-CN"/>
        </w:rPr>
        <w:t>”是法</w:t>
      </w:r>
      <w:r>
        <w:rPr>
          <w:color w:val="000000"/>
          <w:spacing w:val="0"/>
          <w:w w:val="100"/>
          <w:position w:val="0"/>
        </w:rPr>
        <w:t>律规定的特别物权转移方式，则受让人取得的亦应当是可对抗善意第三人 的完整的动产抵押权。</w:t>
      </w:r>
    </w:p>
    <w:p w14:paraId="5242B25B">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1554E32C">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在我国的司法实践中，法院判决态度依具体情形的不同而存在差异。如果债权受让人 为金融资产管理公司，则法院多依据《关于审理涉及金融资产管理公司收购、管理、处置国 有银行不良贷款形成的资产的案件适用法律若干问题的规定》第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条规定，认定未办理移 转登记也可以取得抵押权。例如，</w:t>
      </w:r>
      <w:r>
        <w:rPr>
          <w:color w:val="000000"/>
          <w:spacing w:val="0"/>
          <w:w w:val="100"/>
          <w:position w:val="0"/>
          <w:lang w:val="zh-CN" w:eastAsia="zh-CN" w:bidi="zh-CN"/>
        </w:rPr>
        <w:t>“李杰</w:t>
      </w:r>
      <w:r>
        <w:rPr>
          <w:color w:val="000000"/>
          <w:spacing w:val="0"/>
          <w:w w:val="100"/>
          <w:position w:val="0"/>
        </w:rPr>
        <w:t>与辽宁金鹏房屋开发有限公司金融不良债权追偿 纠纷案</w:t>
      </w:r>
      <w:r>
        <w:rPr>
          <w:color w:val="000000"/>
          <w:spacing w:val="0"/>
          <w:w w:val="100"/>
          <w:position w:val="0"/>
          <w:sz w:val="11"/>
          <w:szCs w:val="11"/>
          <w:lang w:val="zh-CN" w:eastAsia="zh-CN" w:bidi="zh-CN"/>
        </w:rPr>
        <w:t>”［最</w:t>
      </w:r>
      <w:r>
        <w:rPr>
          <w:color w:val="000000"/>
          <w:spacing w:val="0"/>
          <w:w w:val="100"/>
          <w:position w:val="0"/>
          <w:sz w:val="11"/>
          <w:szCs w:val="11"/>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民二终字第</w:t>
      </w:r>
      <w:r>
        <w:rPr>
          <w:rFonts w:ascii="Times New Roman" w:hAnsi="Times New Roman" w:eastAsia="Times New Roman" w:cs="Times New Roman"/>
          <w:color w:val="000000"/>
          <w:spacing w:val="0"/>
          <w:w w:val="100"/>
          <w:position w:val="0"/>
          <w:sz w:val="17"/>
          <w:szCs w:val="17"/>
        </w:rPr>
        <w:t>199</w:t>
      </w:r>
      <w:r>
        <w:rPr>
          <w:color w:val="000000"/>
          <w:spacing w:val="0"/>
          <w:w w:val="100"/>
          <w:position w:val="0"/>
          <w:sz w:val="11"/>
          <w:szCs w:val="11"/>
        </w:rPr>
        <w:t>号民事判决书，载《最高人民法院公报》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期］。如果债权受让人为非金融资产管理公司，则司法实践中存在着截然相反的两种意见。</w:t>
      </w:r>
    </w:p>
    <w:p w14:paraId="6DAC9DF6">
      <w:pPr>
        <w:pStyle w:val="17"/>
        <w:keepNext w:val="0"/>
        <w:keepLines w:val="0"/>
        <w:widowControl w:val="0"/>
        <w:shd w:val="clear" w:color="auto" w:fill="auto"/>
        <w:bidi w:val="0"/>
        <w:spacing w:before="0" w:after="0" w:line="339" w:lineRule="exact"/>
        <w:ind w:left="0" w:right="0" w:firstLine="420"/>
        <w:jc w:val="both"/>
        <w:rPr>
          <w:sz w:val="11"/>
          <w:szCs w:val="11"/>
        </w:rPr>
      </w:pPr>
      <w:r>
        <w:rPr>
          <w:color w:val="000000"/>
          <w:spacing w:val="0"/>
          <w:w w:val="100"/>
          <w:position w:val="0"/>
          <w:sz w:val="18"/>
          <w:szCs w:val="18"/>
        </w:rPr>
        <w:t>一种意见采肯定说的观点，认为一般主体作为债权受让人，未办理移转登记亦可以取 得抵押权。例如</w:t>
      </w:r>
      <w:r>
        <w:rPr>
          <w:color w:val="000000"/>
          <w:spacing w:val="0"/>
          <w:w w:val="100"/>
          <w:position w:val="0"/>
          <w:sz w:val="18"/>
          <w:szCs w:val="18"/>
          <w:lang w:val="zh-CN" w:eastAsia="zh-CN" w:bidi="zh-CN"/>
        </w:rPr>
        <w:t>，“湖</w:t>
      </w:r>
      <w:r>
        <w:rPr>
          <w:color w:val="000000"/>
          <w:spacing w:val="0"/>
          <w:w w:val="100"/>
          <w:position w:val="0"/>
          <w:sz w:val="18"/>
          <w:szCs w:val="18"/>
        </w:rPr>
        <w:t>南绿兴源糖业有限公司与丁兴耀等借款合同纠纷申请再审案</w:t>
      </w:r>
      <w:r>
        <w:rPr>
          <w:color w:val="000000"/>
          <w:spacing w:val="0"/>
          <w:w w:val="100"/>
          <w:position w:val="0"/>
          <w:sz w:val="11"/>
          <w:szCs w:val="11"/>
          <w:lang w:val="zh-CN" w:eastAsia="zh-CN" w:bidi="zh-CN"/>
        </w:rPr>
        <w:t>”［最</w:t>
      </w:r>
      <w:r>
        <w:rPr>
          <w:color w:val="000000"/>
          <w:spacing w:val="0"/>
          <w:w w:val="100"/>
          <w:position w:val="0"/>
          <w:sz w:val="11"/>
          <w:szCs w:val="11"/>
        </w:rPr>
        <w:t>高人 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2040</w:t>
      </w:r>
      <w:r>
        <w:rPr>
          <w:color w:val="000000"/>
          <w:spacing w:val="0"/>
          <w:w w:val="100"/>
          <w:position w:val="0"/>
          <w:sz w:val="11"/>
          <w:szCs w:val="11"/>
        </w:rPr>
        <w:t>号民事裁定书］</w:t>
      </w:r>
      <w:r>
        <w:rPr>
          <w:color w:val="000000"/>
          <w:spacing w:val="0"/>
          <w:w w:val="100"/>
          <w:position w:val="0"/>
          <w:sz w:val="18"/>
          <w:szCs w:val="18"/>
        </w:rPr>
        <w:t>，最高人民法院认为，原《物权法》第</w:t>
      </w:r>
      <w:r>
        <w:rPr>
          <w:rFonts w:ascii="Times New Roman" w:hAnsi="Times New Roman" w:eastAsia="Times New Roman" w:cs="Times New Roman"/>
          <w:color w:val="000000"/>
          <w:spacing w:val="0"/>
          <w:w w:val="100"/>
          <w:position w:val="0"/>
          <w:sz w:val="17"/>
          <w:szCs w:val="17"/>
        </w:rPr>
        <w:t>192</w:t>
      </w:r>
      <w:r>
        <w:rPr>
          <w:color w:val="000000"/>
          <w:spacing w:val="0"/>
          <w:w w:val="100"/>
          <w:position w:val="0"/>
          <w:sz w:val="18"/>
          <w:szCs w:val="18"/>
        </w:rPr>
        <w:t>条系关于 抵押权处分从属性的规定</w:t>
      </w:r>
      <w:r>
        <w:rPr>
          <w:color w:val="000000"/>
          <w:spacing w:val="0"/>
          <w:w w:val="100"/>
          <w:position w:val="0"/>
          <w:sz w:val="18"/>
          <w:szCs w:val="18"/>
          <w:lang w:val="zh-CN" w:eastAsia="zh-CN" w:bidi="zh-CN"/>
        </w:rPr>
        <w:t>，“债</w:t>
      </w:r>
      <w:r>
        <w:rPr>
          <w:color w:val="000000"/>
          <w:spacing w:val="0"/>
          <w:w w:val="100"/>
          <w:position w:val="0"/>
          <w:sz w:val="18"/>
          <w:szCs w:val="18"/>
        </w:rPr>
        <w:t>权受让人取得的抵押权系基于法律的明确规定，并非基于新 的抵押合同重新设定抵押权，故不因受让人未及时办理抵押权变更登记手续而消灭</w:t>
      </w:r>
      <w:r>
        <w:rPr>
          <w:color w:val="000000"/>
          <w:spacing w:val="0"/>
          <w:w w:val="100"/>
          <w:position w:val="0"/>
          <w:sz w:val="18"/>
          <w:szCs w:val="18"/>
          <w:lang w:val="zh-CN" w:eastAsia="zh-CN" w:bidi="zh-CN"/>
        </w:rPr>
        <w:t>”，同</w:t>
      </w:r>
      <w:r>
        <w:rPr>
          <w:color w:val="000000"/>
          <w:spacing w:val="0"/>
          <w:w w:val="100"/>
          <w:position w:val="0"/>
          <w:sz w:val="18"/>
          <w:szCs w:val="18"/>
        </w:rPr>
        <w:t>时 回避了关于《城市房地产抵押管理办法》第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sz w:val="18"/>
          <w:szCs w:val="18"/>
        </w:rPr>
        <w:t>条的讨论。在“高鸿宇等与四平市中兴房地 产开发公司等金融不良债权追偿纠纷上诉案”</w:t>
      </w:r>
      <w:r>
        <w:rPr>
          <w:color w:val="000000"/>
          <w:spacing w:val="0"/>
          <w:w w:val="100"/>
          <w:position w:val="0"/>
          <w:sz w:val="18"/>
          <w:szCs w:val="18"/>
          <w:lang w:val="en-US" w:eastAsia="en-US" w:bidi="en-US"/>
        </w:rPr>
        <w:t>［</w:t>
      </w:r>
      <w:r>
        <w:rPr>
          <w:color w:val="000000"/>
          <w:spacing w:val="0"/>
          <w:w w:val="100"/>
          <w:position w:val="0"/>
          <w:sz w:val="11"/>
          <w:szCs w:val="11"/>
        </w:rPr>
        <w:t>吉林省高级人民法院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吉民终第</w:t>
      </w:r>
      <w:r>
        <w:rPr>
          <w:rFonts w:ascii="Times New Roman" w:hAnsi="Times New Roman" w:eastAsia="Times New Roman" w:cs="Times New Roman"/>
          <w:color w:val="000000"/>
          <w:spacing w:val="0"/>
          <w:w w:val="100"/>
          <w:position w:val="0"/>
          <w:sz w:val="17"/>
          <w:szCs w:val="17"/>
        </w:rPr>
        <w:t>357</w:t>
      </w:r>
      <w:r>
        <w:rPr>
          <w:color w:val="000000"/>
          <w:spacing w:val="0"/>
          <w:w w:val="100"/>
          <w:position w:val="0"/>
          <w:sz w:val="11"/>
          <w:szCs w:val="11"/>
        </w:rPr>
        <w:t>号民事 判决书］</w:t>
      </w:r>
      <w:r>
        <w:rPr>
          <w:color w:val="000000"/>
          <w:spacing w:val="0"/>
          <w:w w:val="100"/>
          <w:position w:val="0"/>
          <w:sz w:val="18"/>
          <w:szCs w:val="18"/>
        </w:rPr>
        <w:t>中,一审法院认为</w:t>
      </w:r>
      <w:r>
        <w:rPr>
          <w:color w:val="000000"/>
          <w:spacing w:val="0"/>
          <w:w w:val="100"/>
          <w:position w:val="0"/>
          <w:sz w:val="18"/>
          <w:szCs w:val="18"/>
          <w:lang w:val="zh-CN" w:eastAsia="zh-CN" w:bidi="zh-CN"/>
        </w:rPr>
        <w:t>，“我</w:t>
      </w:r>
      <w:r>
        <w:rPr>
          <w:color w:val="000000"/>
          <w:spacing w:val="0"/>
          <w:w w:val="100"/>
          <w:position w:val="0"/>
          <w:sz w:val="18"/>
          <w:szCs w:val="18"/>
        </w:rPr>
        <w:t>国现行法律并无主债权转让需对相关担保债权进行变更登记 的规定，相关当事人是否办理变更登记应依自愿，不办理变更登记不影响从权利转让的效 力”，《城市房地产抵押管理办法》第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sz w:val="18"/>
          <w:szCs w:val="18"/>
        </w:rPr>
        <w:t>条“仅为管理性规范,并非效力性规范,且该规范为 部门规章，不能以该规章的规定作为否定抵押权随主债权转让的效力的依据”，二审法院维 持了原判。在实务中，也有法院认为原《物权法》第</w:t>
      </w:r>
      <w:r>
        <w:rPr>
          <w:rFonts w:ascii="Times New Roman" w:hAnsi="Times New Roman" w:eastAsia="Times New Roman" w:cs="Times New Roman"/>
          <w:color w:val="000000"/>
          <w:spacing w:val="0"/>
          <w:w w:val="100"/>
          <w:position w:val="0"/>
          <w:sz w:val="17"/>
          <w:szCs w:val="17"/>
        </w:rPr>
        <w:t>192</w:t>
      </w:r>
      <w:r>
        <w:rPr>
          <w:color w:val="000000"/>
          <w:spacing w:val="0"/>
          <w:w w:val="100"/>
          <w:position w:val="0"/>
          <w:sz w:val="18"/>
          <w:szCs w:val="18"/>
        </w:rPr>
        <w:t>条及原《合同法》第</w:t>
      </w:r>
      <w:r>
        <w:rPr>
          <w:rFonts w:ascii="Times New Roman" w:hAnsi="Times New Roman" w:eastAsia="Times New Roman" w:cs="Times New Roman"/>
          <w:color w:val="000000"/>
          <w:spacing w:val="0"/>
          <w:w w:val="100"/>
          <w:position w:val="0"/>
          <w:sz w:val="17"/>
          <w:szCs w:val="17"/>
        </w:rPr>
        <w:t>81</w:t>
      </w:r>
      <w:r>
        <w:rPr>
          <w:color w:val="000000"/>
          <w:spacing w:val="0"/>
          <w:w w:val="100"/>
          <w:position w:val="0"/>
          <w:sz w:val="18"/>
          <w:szCs w:val="18"/>
        </w:rPr>
        <w:t>条虽与《城市 房地产抵押管理办法》第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sz w:val="18"/>
          <w:szCs w:val="18"/>
        </w:rPr>
        <w:t xml:space="preserve">条冲突，但因法律的效力优于部门规章，应当予以优先适用［例 </w:t>
      </w:r>
      <w:r>
        <w:rPr>
          <w:color w:val="000000"/>
          <w:spacing w:val="0"/>
          <w:w w:val="100"/>
          <w:position w:val="0"/>
          <w:sz w:val="11"/>
          <w:szCs w:val="11"/>
        </w:rPr>
        <w:t>如</w:t>
      </w:r>
      <w:r>
        <w:rPr>
          <w:color w:val="000000"/>
          <w:spacing w:val="0"/>
          <w:w w:val="100"/>
          <w:position w:val="0"/>
          <w:sz w:val="11"/>
          <w:szCs w:val="11"/>
          <w:lang w:val="zh-CN" w:eastAsia="zh-CN" w:bidi="zh-CN"/>
        </w:rPr>
        <w:t>“肖建</w:t>
      </w:r>
      <w:r>
        <w:rPr>
          <w:color w:val="000000"/>
          <w:spacing w:val="0"/>
          <w:w w:val="100"/>
          <w:position w:val="0"/>
          <w:sz w:val="11"/>
          <w:szCs w:val="11"/>
        </w:rPr>
        <w:t>、井冈山市房地产综合开发公司民间借贷纠纷执行案</w:t>
      </w:r>
      <w:r>
        <w:rPr>
          <w:color w:val="000000"/>
          <w:spacing w:val="0"/>
          <w:w w:val="100"/>
          <w:position w:val="0"/>
          <w:sz w:val="11"/>
          <w:szCs w:val="11"/>
          <w:lang w:val="zh-CN" w:eastAsia="zh-CN" w:bidi="zh-CN"/>
        </w:rPr>
        <w:t>”，江</w:t>
      </w:r>
      <w:r>
        <w:rPr>
          <w:color w:val="000000"/>
          <w:spacing w:val="0"/>
          <w:w w:val="100"/>
          <w:position w:val="0"/>
          <w:sz w:val="11"/>
          <w:szCs w:val="11"/>
        </w:rPr>
        <w:t>西省高级人民法院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赣执复</w:t>
      </w:r>
      <w:r>
        <w:rPr>
          <w:rFonts w:ascii="Times New Roman" w:hAnsi="Times New Roman" w:eastAsia="Times New Roman" w:cs="Times New Roman"/>
          <w:color w:val="000000"/>
          <w:spacing w:val="0"/>
          <w:w w:val="100"/>
          <w:position w:val="0"/>
          <w:sz w:val="17"/>
          <w:szCs w:val="17"/>
        </w:rPr>
        <w:t xml:space="preserve">66 </w:t>
      </w:r>
      <w:r>
        <w:rPr>
          <w:color w:val="000000"/>
          <w:spacing w:val="0"/>
          <w:w w:val="100"/>
          <w:position w:val="0"/>
          <w:sz w:val="11"/>
          <w:szCs w:val="11"/>
        </w:rPr>
        <w:t>号执行裁定书］。</w:t>
      </w:r>
    </w:p>
    <w:p w14:paraId="1651D445">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另一种意见釆否定说的观点，认为一般主体作为债权受让人，未办理移转登记不能取 得抵押权。例如“肖峰等诉肖桂芳等执行异议纠纷案</w:t>
      </w:r>
      <w:r>
        <w:rPr>
          <w:color w:val="000000"/>
          <w:spacing w:val="0"/>
          <w:w w:val="100"/>
          <w:position w:val="0"/>
          <w:sz w:val="11"/>
          <w:szCs w:val="11"/>
          <w:lang w:val="zh-CN" w:eastAsia="zh-CN" w:bidi="zh-CN"/>
        </w:rPr>
        <w:t>”［湖</w:t>
      </w:r>
      <w:r>
        <w:rPr>
          <w:color w:val="000000"/>
          <w:spacing w:val="0"/>
          <w:w w:val="100"/>
          <w:position w:val="0"/>
          <w:sz w:val="11"/>
          <w:szCs w:val="11"/>
        </w:rPr>
        <w:t>南省永州市中级人民法院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 xml:space="preserve">湘 </w:t>
      </w:r>
      <w:r>
        <w:rPr>
          <w:rFonts w:ascii="Times New Roman" w:hAnsi="Times New Roman" w:eastAsia="Times New Roman" w:cs="Times New Roman"/>
          <w:color w:val="000000"/>
          <w:spacing w:val="0"/>
          <w:w w:val="100"/>
          <w:position w:val="0"/>
          <w:sz w:val="17"/>
          <w:szCs w:val="17"/>
        </w:rPr>
        <w:t>11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2785</w:t>
      </w:r>
      <w:r>
        <w:rPr>
          <w:color w:val="000000"/>
          <w:spacing w:val="0"/>
          <w:w w:val="100"/>
          <w:position w:val="0"/>
          <w:sz w:val="11"/>
          <w:szCs w:val="11"/>
        </w:rPr>
        <w:t>号民事判决书］</w:t>
      </w:r>
      <w:r>
        <w:rPr>
          <w:color w:val="000000"/>
          <w:spacing w:val="0"/>
          <w:w w:val="100"/>
          <w:position w:val="0"/>
        </w:rPr>
        <w:t>，法院依原《物权法》第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条规定，认为</w:t>
      </w:r>
      <w:r>
        <w:rPr>
          <w:color w:val="000000"/>
          <w:spacing w:val="0"/>
          <w:w w:val="100"/>
          <w:position w:val="0"/>
          <w:lang w:val="zh-CN" w:eastAsia="zh-CN" w:bidi="zh-CN"/>
        </w:rPr>
        <w:t>“债权</w:t>
      </w:r>
      <w:r>
        <w:rPr>
          <w:color w:val="000000"/>
          <w:spacing w:val="0"/>
          <w:w w:val="100"/>
          <w:position w:val="0"/>
        </w:rPr>
        <w:t>转让后，该房产抵押 权未办理相应的抵押权变更登记，应当认定抵押权变更未发生法律效力</w:t>
      </w:r>
      <w:r>
        <w:rPr>
          <w:color w:val="000000"/>
          <w:spacing w:val="0"/>
          <w:w w:val="100"/>
          <w:position w:val="0"/>
          <w:lang w:val="zh-CN" w:eastAsia="zh-CN" w:bidi="zh-CN"/>
        </w:rPr>
        <w:t>”，因</w:t>
      </w:r>
      <w:r>
        <w:rPr>
          <w:color w:val="000000"/>
          <w:spacing w:val="0"/>
          <w:w w:val="100"/>
          <w:position w:val="0"/>
        </w:rPr>
        <w:t>此抵押权人仍 系债权出让人。</w:t>
      </w:r>
    </w:p>
    <w:p w14:paraId="2E84ACEC">
      <w:pPr>
        <w:pStyle w:val="17"/>
        <w:keepNext w:val="0"/>
        <w:keepLines w:val="0"/>
        <w:widowControl w:val="0"/>
        <w:shd w:val="clear" w:color="auto" w:fill="auto"/>
        <w:bidi w:val="0"/>
        <w:spacing w:before="0" w:after="60" w:line="339" w:lineRule="exact"/>
        <w:ind w:left="0" w:right="0" w:firstLine="420"/>
        <w:jc w:val="both"/>
      </w:pPr>
      <w:r>
        <w:rPr>
          <w:color w:val="000000"/>
          <w:spacing w:val="0"/>
          <w:w w:val="100"/>
          <w:position w:val="0"/>
        </w:rPr>
        <w:t>在既往司法实践中，虽然裁判意见存在分歧，但就整体上而言，支持肯定说的判决为多 数。</w:t>
      </w:r>
    </w:p>
    <w:p w14:paraId="23618C3E">
      <w:pPr>
        <w:pStyle w:val="17"/>
        <w:keepNext w:val="0"/>
        <w:keepLines w:val="0"/>
        <w:widowControl w:val="0"/>
        <w:shd w:val="clear" w:color="auto" w:fill="auto"/>
        <w:bidi w:val="0"/>
        <w:spacing w:before="0" w:after="160" w:line="342" w:lineRule="exact"/>
        <w:ind w:left="0" w:right="0" w:firstLine="0"/>
        <w:jc w:val="left"/>
      </w:pPr>
      <w:r>
        <w:rPr>
          <w:color w:val="000000"/>
          <w:spacing w:val="0"/>
          <w:w w:val="100"/>
          <w:position w:val="0"/>
          <w:lang w:val="en-US" w:eastAsia="en-US" w:bidi="en-US"/>
        </w:rPr>
        <w:t>®</w:t>
      </w:r>
      <w:r>
        <w:rPr>
          <w:color w:val="000000"/>
          <w:spacing w:val="0"/>
          <w:w w:val="100"/>
          <w:position w:val="0"/>
        </w:rPr>
        <w:t>本裁定的参考意义及将来的课题</w:t>
      </w:r>
    </w:p>
    <w:p w14:paraId="44B14922">
      <w:pPr>
        <w:pStyle w:val="17"/>
        <w:keepNext w:val="0"/>
        <w:keepLines w:val="0"/>
        <w:widowControl w:val="0"/>
        <w:shd w:val="clear" w:color="auto" w:fill="auto"/>
        <w:bidi w:val="0"/>
        <w:spacing w:before="0" w:after="360" w:line="342" w:lineRule="exact"/>
        <w:ind w:left="0" w:right="0"/>
        <w:jc w:val="both"/>
      </w:pPr>
      <w:r>
        <w:rPr>
          <w:color w:val="000000"/>
          <w:spacing w:val="0"/>
          <w:w w:val="100"/>
          <w:position w:val="0"/>
        </w:rPr>
        <w:t>本案裁定中，法院表现出的立场维持了近年来形成的多数观点,形成了较为稳定的司 法态度,即不动产抵押权随主债权一并转让，未经登记也可发生转让效力。从学理上分析, 这也是尊重抵押权从属性的自然结果。在动产抵押权转让的效力上，因其设立不需要登 记，故而未经登记即可发生转让效力。然而关于动产抵押权转让之后,是否具有对抗效力， 已超出本案裁定的射程范围。从肯定说的思路出发，似乎可以认为可取得对抗善意第三人 的动产抵押权，已如上述。但具体到如何平衡善意第三人和抵押权人之间的利益，仍有待 进一步明确。</w:t>
      </w:r>
    </w:p>
    <w:p w14:paraId="2D69BFA4">
      <w:pPr>
        <w:pStyle w:val="17"/>
        <w:keepNext w:val="0"/>
        <w:keepLines w:val="0"/>
        <w:widowControl w:val="0"/>
        <w:shd w:val="clear" w:color="auto" w:fill="auto"/>
        <w:bidi w:val="0"/>
        <w:spacing w:before="0" w:after="40" w:line="342" w:lineRule="exact"/>
        <w:ind w:left="0" w:right="0" w:firstLine="0"/>
        <w:jc w:val="left"/>
      </w:pPr>
      <w:r>
        <w:rPr>
          <w:color w:val="000000"/>
          <w:spacing w:val="0"/>
          <w:w w:val="100"/>
          <w:position w:val="0"/>
        </w:rPr>
        <w:t>回参考文献</w:t>
      </w:r>
    </w:p>
    <w:p w14:paraId="1AFDC5A3">
      <w:pPr>
        <w:pStyle w:val="33"/>
        <w:keepNext w:val="0"/>
        <w:keepLines w:val="0"/>
        <w:widowControl w:val="0"/>
        <w:shd w:val="clear" w:color="auto" w:fill="auto"/>
        <w:bidi w:val="0"/>
        <w:spacing w:before="0" w:after="0" w:line="329" w:lineRule="exact"/>
        <w:ind w:left="0" w:right="0" w:firstLine="0"/>
        <w:jc w:val="left"/>
      </w:pPr>
      <w:r>
        <w:rPr>
          <w:color w:val="000000"/>
          <w:spacing w:val="0"/>
          <w:w w:val="100"/>
          <w:position w:val="0"/>
        </w:rPr>
        <w:t>王泽鉴:《民法物权》，北京大学出版社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163A8059">
      <w:pPr>
        <w:pStyle w:val="33"/>
        <w:keepNext w:val="0"/>
        <w:keepLines w:val="0"/>
        <w:widowControl w:val="0"/>
        <w:shd w:val="clear" w:color="auto" w:fill="auto"/>
        <w:bidi w:val="0"/>
        <w:spacing w:before="0" w:after="0" w:line="329" w:lineRule="exact"/>
        <w:ind w:left="0" w:right="0" w:firstLine="0"/>
        <w:jc w:val="left"/>
      </w:pPr>
      <w:r>
        <w:rPr>
          <w:color w:val="000000"/>
          <w:spacing w:val="0"/>
          <w:w w:val="100"/>
          <w:position w:val="0"/>
        </w:rPr>
        <w:t>谢在全:《民法物权论》（中册），中国政法大学出版社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7DA50452">
      <w:pPr>
        <w:pStyle w:val="33"/>
        <w:keepNext w:val="0"/>
        <w:keepLines w:val="0"/>
        <w:widowControl w:val="0"/>
        <w:shd w:val="clear" w:color="auto" w:fill="auto"/>
        <w:bidi w:val="0"/>
        <w:spacing w:before="0" w:after="0" w:line="329" w:lineRule="exact"/>
        <w:ind w:left="0" w:right="0" w:firstLine="0"/>
        <w:jc w:val="both"/>
      </w:pPr>
      <w:r>
        <w:rPr>
          <w:color w:val="000000"/>
          <w:spacing w:val="0"/>
          <w:w w:val="100"/>
          <w:position w:val="0"/>
        </w:rPr>
        <w:t>史尚宽:《物权法论》，中国政法大学出版社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15279664">
      <w:pPr>
        <w:pStyle w:val="33"/>
        <w:keepNext w:val="0"/>
        <w:keepLines w:val="0"/>
        <w:widowControl w:val="0"/>
        <w:shd w:val="clear" w:color="auto" w:fill="auto"/>
        <w:bidi w:val="0"/>
        <w:spacing w:before="0" w:after="0" w:line="329" w:lineRule="exact"/>
        <w:ind w:left="0" w:right="0" w:firstLine="0"/>
        <w:jc w:val="both"/>
      </w:pPr>
      <w:r>
        <w:rPr>
          <w:color w:val="000000"/>
          <w:spacing w:val="0"/>
          <w:w w:val="100"/>
          <w:position w:val="0"/>
        </w:rPr>
        <w:t>王利明、杨立新、王轶、程啸:《民法学》，法律出版社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7F72F0AB">
      <w:pPr>
        <w:pStyle w:val="33"/>
        <w:keepNext w:val="0"/>
        <w:keepLines w:val="0"/>
        <w:widowControl w:val="0"/>
        <w:shd w:val="clear" w:color="auto" w:fill="auto"/>
        <w:bidi w:val="0"/>
        <w:spacing w:before="0" w:after="0" w:line="329" w:lineRule="exact"/>
        <w:ind w:left="0" w:right="0" w:firstLine="0"/>
        <w:jc w:val="both"/>
      </w:pPr>
      <w:r>
        <w:rPr>
          <w:color w:val="000000"/>
          <w:spacing w:val="0"/>
          <w:w w:val="100"/>
          <w:position w:val="0"/>
        </w:rPr>
        <w:t>崔建远:《物权法》（第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938A8BE">
      <w:pPr>
        <w:pStyle w:val="33"/>
        <w:keepNext w:val="0"/>
        <w:keepLines w:val="0"/>
        <w:widowControl w:val="0"/>
        <w:shd w:val="clear" w:color="auto" w:fill="auto"/>
        <w:bidi w:val="0"/>
        <w:spacing w:before="0" w:after="0" w:line="329" w:lineRule="exact"/>
        <w:ind w:left="0" w:right="0" w:firstLine="0"/>
        <w:jc w:val="both"/>
      </w:pPr>
      <w:r>
        <w:rPr>
          <w:color w:val="000000"/>
          <w:spacing w:val="0"/>
          <w:w w:val="100"/>
          <w:position w:val="0"/>
        </w:rPr>
        <w:t>梁慧星、陈华彬:《物权法》，法律出版社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6FB39D70">
      <w:pPr>
        <w:pStyle w:val="33"/>
        <w:keepNext w:val="0"/>
        <w:keepLines w:val="0"/>
        <w:widowControl w:val="0"/>
        <w:shd w:val="clear" w:color="auto" w:fill="auto"/>
        <w:bidi w:val="0"/>
        <w:spacing w:before="0" w:after="160" w:line="329" w:lineRule="exact"/>
        <w:ind w:left="0" w:right="0" w:firstLine="0"/>
        <w:jc w:val="left"/>
        <w:sectPr>
          <w:headerReference r:id="rId400" w:type="default"/>
          <w:headerReference r:id="rId401" w:type="even"/>
          <w:footnotePr>
            <w:numFmt w:val="chicago"/>
          </w:footnotePr>
          <w:pgSz w:w="10099" w:h="14782"/>
          <w:pgMar w:top="1288" w:right="1082" w:bottom="1116" w:left="1015" w:header="0" w:footer="3" w:gutter="0"/>
          <w:pgNumType w:start="332"/>
          <w:cols w:space="720" w:num="1"/>
          <w:rtlGutter w:val="0"/>
          <w:docGrid w:linePitch="360" w:charSpace="0"/>
        </w:sectPr>
      </w:pPr>
      <w:r>
        <w:rPr>
          <w:color w:val="000000"/>
          <w:spacing w:val="0"/>
          <w:w w:val="100"/>
          <w:position w:val="0"/>
        </w:rPr>
        <w:t>［德］鲍尔/施蒂尔纳：《德国物权法》（下册），申卫星、王洪亮译，法律出版社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 袁辉根、王宝成：《受让抵押权不以办理转移登记为必要》，载《人民司法</w:t>
      </w:r>
      <w:r>
        <w:rPr>
          <w:color w:val="000000"/>
          <w:spacing w:val="0"/>
          <w:w w:val="100"/>
          <w:position w:val="0"/>
          <w:lang w:val="en-US" w:eastAsia="en-US" w:bidi="en-US"/>
        </w:rPr>
        <w:t>•</w:t>
      </w:r>
      <w:r>
        <w:rPr>
          <w:color w:val="000000"/>
          <w:spacing w:val="0"/>
          <w:w w:val="100"/>
          <w:position w:val="0"/>
        </w:rPr>
        <w:t>案例》</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794C1D72">
      <w:pPr>
        <w:widowControl w:val="0"/>
        <w:spacing w:line="1" w:lineRule="exact"/>
      </w:pPr>
      <w:r>
        <mc:AlternateContent>
          <mc:Choice Requires="wps">
            <w:drawing>
              <wp:anchor distT="0" distB="13970" distL="114300" distR="3102610" simplePos="0" relativeHeight="251660288" behindDoc="0" locked="0" layoutInCell="1" allowOverlap="1">
                <wp:simplePos x="0" y="0"/>
                <wp:positionH relativeFrom="page">
                  <wp:posOffset>873760</wp:posOffset>
                </wp:positionH>
                <wp:positionV relativeFrom="paragraph">
                  <wp:posOffset>12700</wp:posOffset>
                </wp:positionV>
                <wp:extent cx="448310" cy="304800"/>
                <wp:effectExtent l="0" t="0" r="0" b="0"/>
                <wp:wrapTopAndBottom/>
                <wp:docPr id="933" name="Shape 933"/>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5CF07C3C">
                            <w:pPr>
                              <w:pStyle w:val="27"/>
                              <w:keepNext/>
                              <w:keepLines/>
                              <w:widowControl w:val="0"/>
                              <w:shd w:val="clear" w:color="auto" w:fill="auto"/>
                              <w:bidi w:val="0"/>
                              <w:spacing w:before="0" w:after="0" w:line="240" w:lineRule="auto"/>
                              <w:ind w:left="0" w:right="0" w:firstLine="0"/>
                              <w:jc w:val="both"/>
                            </w:pPr>
                            <w:bookmarkStart w:id="510" w:name="bookmark412"/>
                            <w:bookmarkStart w:id="511" w:name="bookmark413"/>
                            <w:bookmarkStart w:id="512" w:name="bookmark414"/>
                            <w:r>
                              <w:rPr>
                                <w:rFonts w:ascii="Times New Roman" w:hAnsi="Times New Roman" w:eastAsia="Times New Roman" w:cs="Times New Roman"/>
                                <w:color w:val="000000"/>
                                <w:spacing w:val="0"/>
                                <w:w w:val="100"/>
                                <w:position w:val="0"/>
                              </w:rPr>
                              <w:t>068</w:t>
                            </w:r>
                            <w:bookmarkEnd w:id="510"/>
                            <w:bookmarkEnd w:id="511"/>
                            <w:bookmarkEnd w:id="512"/>
                          </w:p>
                        </w:txbxContent>
                      </wps:txbx>
                      <wps:bodyPr wrap="none" lIns="0" tIns="0" rIns="0" bIns="0">
                        <a:noAutofit/>
                      </wps:bodyPr>
                    </wps:wsp>
                  </a:graphicData>
                </a:graphic>
              </wp:anchor>
            </w:drawing>
          </mc:Choice>
          <mc:Fallback>
            <w:pict>
              <v:shape id="Shape 933" o:spid="_x0000_s1026" o:spt="202" type="#_x0000_t202" style="position:absolute;left:0pt;margin-left:68.8pt;margin-top:1pt;height:24pt;width:35.3pt;mso-position-horizontal-relative:page;mso-wrap-distance-bottom:1.1pt;mso-wrap-distance-top:0pt;mso-wrap-style:none;z-index:251660288;mso-width-relative:page;mso-height-relative:page;" filled="f" stroked="f" coordsize="21600,21600" o:gfxdata="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miodQAAAAI&#10;AQAADwAAAAAAAAABACAAAAAiAAAAZHJzL2Rvd25yZXYueG1sUEsBAhQAFAAAAAgAh07iQCpGDzSu&#10;AQAAcwMAAA4AAAAAAAAAAQAgAAAAIwEAAGRycy9lMm9Eb2MueG1sUEsFBgAAAAAGAAYAWQEAAEMF&#10;AAAAAA==&#10;">
                <v:fill on="f" focussize="0,0"/>
                <v:stroke on="f"/>
                <v:imagedata o:title=""/>
                <o:lock v:ext="edit" aspectratio="f"/>
                <v:textbox inset="0mm,0mm,0mm,0mm">
                  <w:txbxContent>
                    <w:p w14:paraId="5CF07C3C">
                      <w:pPr>
                        <w:pStyle w:val="27"/>
                        <w:keepNext/>
                        <w:keepLines/>
                        <w:widowControl w:val="0"/>
                        <w:shd w:val="clear" w:color="auto" w:fill="auto"/>
                        <w:bidi w:val="0"/>
                        <w:spacing w:before="0" w:after="0" w:line="240" w:lineRule="auto"/>
                        <w:ind w:left="0" w:right="0" w:firstLine="0"/>
                        <w:jc w:val="both"/>
                      </w:pPr>
                      <w:bookmarkStart w:id="510" w:name="bookmark412"/>
                      <w:bookmarkStart w:id="511" w:name="bookmark413"/>
                      <w:bookmarkStart w:id="512" w:name="bookmark414"/>
                      <w:r>
                        <w:rPr>
                          <w:rFonts w:ascii="Times New Roman" w:hAnsi="Times New Roman" w:eastAsia="Times New Roman" w:cs="Times New Roman"/>
                          <w:color w:val="000000"/>
                          <w:spacing w:val="0"/>
                          <w:w w:val="100"/>
                          <w:position w:val="0"/>
                        </w:rPr>
                        <w:t>068</w:t>
                      </w:r>
                      <w:bookmarkEnd w:id="510"/>
                      <w:bookmarkEnd w:id="511"/>
                      <w:bookmarkEnd w:id="512"/>
                    </w:p>
                  </w:txbxContent>
                </v:textbox>
                <w10:wrap type="topAndBottom"/>
              </v:shape>
            </w:pict>
          </mc:Fallback>
        </mc:AlternateContent>
      </w:r>
      <w:r>
        <mc:AlternateContent>
          <mc:Choice Requires="wps">
            <w:drawing>
              <wp:anchor distT="77470" distB="635" distL="701040" distR="114300" simplePos="0" relativeHeight="251660288" behindDoc="0" locked="0" layoutInCell="1" allowOverlap="1">
                <wp:simplePos x="0" y="0"/>
                <wp:positionH relativeFrom="page">
                  <wp:posOffset>1460500</wp:posOffset>
                </wp:positionH>
                <wp:positionV relativeFrom="paragraph">
                  <wp:posOffset>90170</wp:posOffset>
                </wp:positionV>
                <wp:extent cx="2849880" cy="240665"/>
                <wp:effectExtent l="0" t="0" r="0" b="0"/>
                <wp:wrapTopAndBottom/>
                <wp:docPr id="935" name="Shape 935"/>
                <wp:cNvGraphicFramePr/>
                <a:graphic xmlns:a="http://schemas.openxmlformats.org/drawingml/2006/main">
                  <a:graphicData uri="http://schemas.microsoft.com/office/word/2010/wordprocessingShape">
                    <wps:wsp>
                      <wps:cNvSpPr txBox="1"/>
                      <wps:spPr>
                        <a:xfrm>
                          <a:off x="0" y="0"/>
                          <a:ext cx="2849880" cy="240665"/>
                        </a:xfrm>
                        <a:prstGeom prst="rect">
                          <a:avLst/>
                        </a:prstGeom>
                        <a:noFill/>
                      </wps:spPr>
                      <wps:txbx>
                        <w:txbxContent>
                          <w:p w14:paraId="6656C6D7">
                            <w:pPr>
                              <w:pStyle w:val="15"/>
                              <w:keepNext/>
                              <w:keepLines/>
                              <w:widowControl w:val="0"/>
                              <w:shd w:val="clear" w:color="auto" w:fill="auto"/>
                              <w:bidi w:val="0"/>
                              <w:spacing w:before="0" w:after="0" w:line="240" w:lineRule="auto"/>
                              <w:ind w:left="0" w:right="0" w:firstLine="0"/>
                              <w:jc w:val="left"/>
                            </w:pPr>
                            <w:bookmarkStart w:id="513" w:name="bookmark415"/>
                            <w:bookmarkStart w:id="514" w:name="bookmark416"/>
                            <w:bookmarkStart w:id="515" w:name="bookmark417"/>
                            <w:r>
                              <w:rPr>
                                <w:color w:val="000000"/>
                                <w:spacing w:val="0"/>
                                <w:w w:val="100"/>
                                <w:position w:val="0"/>
                              </w:rPr>
                              <w:t>以物抵债（替代清偿）的规则建构</w:t>
                            </w:r>
                            <w:bookmarkEnd w:id="513"/>
                            <w:bookmarkEnd w:id="514"/>
                            <w:bookmarkEnd w:id="515"/>
                          </w:p>
                        </w:txbxContent>
                      </wps:txbx>
                      <wps:bodyPr wrap="none" lIns="0" tIns="0" rIns="0" bIns="0">
                        <a:noAutofit/>
                      </wps:bodyPr>
                    </wps:wsp>
                  </a:graphicData>
                </a:graphic>
              </wp:anchor>
            </w:drawing>
          </mc:Choice>
          <mc:Fallback>
            <w:pict>
              <v:shape id="Shape 935" o:spid="_x0000_s1026" o:spt="202" type="#_x0000_t202" style="position:absolute;left:0pt;margin-left:115pt;margin-top:7.1pt;height:18.95pt;width:224.4pt;mso-position-horizontal-relative:page;mso-wrap-distance-bottom:0.05pt;mso-wrap-distance-top:6.1pt;mso-wrap-style:none;z-index:251660288;mso-width-relative:page;mso-height-relative:page;" filled="f" stroked="f" coordsize="21600,21600" o:gfxdata="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10vBdYA&#10;AAAJAQAADwAAAAAAAAABACAAAAAiAAAAZHJzL2Rvd25yZXYueG1sUEsBAhQAFAAAAAgAh07iQP2K&#10;P4OvAQAAdAMAAA4AAAAAAAAAAQAgAAAAJQEAAGRycy9lMm9Eb2MueG1sUEsFBgAAAAAGAAYAWQEA&#10;AEYFAAAAAA==&#10;">
                <v:fill on="f" focussize="0,0"/>
                <v:stroke on="f"/>
                <v:imagedata o:title=""/>
                <o:lock v:ext="edit" aspectratio="f"/>
                <v:textbox inset="0mm,0mm,0mm,0mm">
                  <w:txbxContent>
                    <w:p w14:paraId="6656C6D7">
                      <w:pPr>
                        <w:pStyle w:val="15"/>
                        <w:keepNext/>
                        <w:keepLines/>
                        <w:widowControl w:val="0"/>
                        <w:shd w:val="clear" w:color="auto" w:fill="auto"/>
                        <w:bidi w:val="0"/>
                        <w:spacing w:before="0" w:after="0" w:line="240" w:lineRule="auto"/>
                        <w:ind w:left="0" w:right="0" w:firstLine="0"/>
                        <w:jc w:val="left"/>
                      </w:pPr>
                      <w:bookmarkStart w:id="513" w:name="bookmark415"/>
                      <w:bookmarkStart w:id="514" w:name="bookmark416"/>
                      <w:bookmarkStart w:id="515" w:name="bookmark417"/>
                      <w:r>
                        <w:rPr>
                          <w:color w:val="000000"/>
                          <w:spacing w:val="0"/>
                          <w:w w:val="100"/>
                          <w:position w:val="0"/>
                        </w:rPr>
                        <w:t>以物抵债（替代清偿）的规则建构</w:t>
                      </w:r>
                      <w:bookmarkEnd w:id="513"/>
                      <w:bookmarkEnd w:id="514"/>
                      <w:bookmarkEnd w:id="515"/>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5249545</wp:posOffset>
            </wp:positionH>
            <wp:positionV relativeFrom="paragraph">
              <wp:posOffset>214630</wp:posOffset>
            </wp:positionV>
            <wp:extent cx="615950" cy="621665"/>
            <wp:effectExtent l="0" t="0" r="6350" b="635"/>
            <wp:wrapSquare wrapText="left"/>
            <wp:docPr id="937" name="Shape 937"/>
            <wp:cNvGraphicFramePr/>
            <a:graphic xmlns:a="http://schemas.openxmlformats.org/drawingml/2006/main">
              <a:graphicData uri="http://schemas.openxmlformats.org/drawingml/2006/picture">
                <pic:pic xmlns:pic="http://schemas.openxmlformats.org/drawingml/2006/picture">
                  <pic:nvPicPr>
                    <pic:cNvPr id="937" name="Shape 937"/>
                    <pic:cNvPicPr/>
                  </pic:nvPicPr>
                  <pic:blipFill>
                    <a:blip r:embed="rId680"/>
                    <a:stretch>
                      <a:fillRect/>
                    </a:stretch>
                  </pic:blipFill>
                  <pic:spPr>
                    <a:xfrm>
                      <a:off x="0" y="0"/>
                      <a:ext cx="615950" cy="621665"/>
                    </a:xfrm>
                    <a:prstGeom prst="rect">
                      <a:avLst/>
                    </a:prstGeom>
                  </pic:spPr>
                </pic:pic>
              </a:graphicData>
            </a:graphic>
          </wp:anchor>
        </w:drawing>
      </w:r>
    </w:p>
    <w:p w14:paraId="26452441">
      <w:pPr>
        <w:pStyle w:val="17"/>
        <w:keepNext w:val="0"/>
        <w:keepLines w:val="0"/>
        <w:widowControl w:val="0"/>
        <w:shd w:val="clear" w:color="auto" w:fill="auto"/>
        <w:bidi w:val="0"/>
        <w:spacing w:before="0" w:after="420" w:line="312" w:lineRule="exact"/>
        <w:ind w:left="1000" w:right="0" w:firstLine="0"/>
        <w:jc w:val="both"/>
      </w:pPr>
      <w:r>
        <w:rPr>
          <w:color w:val="000000"/>
          <w:spacing w:val="0"/>
          <w:w w:val="100"/>
          <w:position w:val="0"/>
        </w:rPr>
        <w:t>通州建总集团有限公司与内蒙古兴华房地产有限责任公司建设工 程施工合同纠纷案丨《最高人民法院公报》</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期</w:t>
      </w:r>
    </w:p>
    <w:p w14:paraId="5056FD16">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 xml:space="preserve">肖 </w:t>
      </w:r>
      <w:r>
        <w:rPr>
          <w:color w:val="000000"/>
          <w:spacing w:val="0"/>
          <w:w w:val="100"/>
          <w:position w:val="0"/>
          <w:sz w:val="18"/>
          <w:szCs w:val="18"/>
        </w:rPr>
        <w:t xml:space="preserve">俊 </w:t>
      </w:r>
      <w:r>
        <w:rPr>
          <w:color w:val="000000"/>
          <w:spacing w:val="0"/>
          <w:w w:val="100"/>
          <w:position w:val="0"/>
        </w:rPr>
        <w:t>上海交通大学凯原法学院</w:t>
      </w:r>
    </w:p>
    <w:p w14:paraId="71AA8B5F">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DA2CDE7">
      <w:pPr>
        <w:pStyle w:val="17"/>
        <w:keepNext w:val="0"/>
        <w:keepLines w:val="0"/>
        <w:widowControl w:val="0"/>
        <w:shd w:val="clear" w:color="auto" w:fill="auto"/>
        <w:bidi w:val="0"/>
        <w:spacing w:before="0" w:after="0" w:line="341" w:lineRule="exact"/>
        <w:ind w:left="0" w:right="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日，内蒙古兴华房地产有限责任公司（以下简称兴华公司）与通州建总 集团有限公司（以下简称通州建总）签订《建设工程施工合同》，约定合同工期自</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7 </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日，合同价款暂定</w:t>
      </w:r>
      <w:r>
        <w:rPr>
          <w:rFonts w:ascii="Times New Roman" w:hAnsi="Times New Roman" w:eastAsia="Times New Roman" w:cs="Times New Roman"/>
          <w:color w:val="000000"/>
          <w:spacing w:val="0"/>
          <w:w w:val="100"/>
          <w:position w:val="0"/>
          <w:sz w:val="19"/>
          <w:szCs w:val="19"/>
        </w:rPr>
        <w:t>6000</w:t>
      </w:r>
      <w:r>
        <w:rPr>
          <w:color w:val="000000"/>
          <w:spacing w:val="0"/>
          <w:w w:val="100"/>
          <w:position w:val="0"/>
        </w:rPr>
        <w:t>万元。工程完工后,兴华公司投入使用， 但仅支付</w:t>
      </w:r>
      <w:r>
        <w:rPr>
          <w:rFonts w:ascii="Times New Roman" w:hAnsi="Times New Roman" w:eastAsia="Times New Roman" w:cs="Times New Roman"/>
          <w:color w:val="000000"/>
          <w:spacing w:val="0"/>
          <w:w w:val="100"/>
          <w:position w:val="0"/>
          <w:sz w:val="19"/>
          <w:szCs w:val="19"/>
        </w:rPr>
        <w:t>59</w:t>
      </w:r>
      <w:r>
        <w:rPr>
          <w:color w:val="000000"/>
          <w:spacing w:val="0"/>
          <w:w w:val="100"/>
          <w:position w:val="0"/>
        </w:rPr>
        <w:t>万余元工程款。</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日，兴华公司与通州建总签订《房屋抵顶工程 款协议书》（以下简称《抵顶协议》）,约定就乙方（通州建总）承揽甲方（兴华公司）的供水财 富大厦工程,协商以该楼盘</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座</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层房屋抵顶工程款</w:t>
      </w:r>
      <w:r>
        <w:rPr>
          <w:rFonts w:ascii="Times New Roman" w:hAnsi="Times New Roman" w:eastAsia="Times New Roman" w:cs="Times New Roman"/>
          <w:color w:val="000000"/>
          <w:spacing w:val="0"/>
          <w:w w:val="100"/>
          <w:position w:val="0"/>
          <w:sz w:val="19"/>
          <w:szCs w:val="19"/>
        </w:rPr>
        <w:t>1095</w:t>
      </w:r>
      <w:r>
        <w:rPr>
          <w:color w:val="000000"/>
          <w:spacing w:val="0"/>
          <w:w w:val="100"/>
          <w:position w:val="0"/>
        </w:rPr>
        <w:t>万元。</w:t>
      </w:r>
    </w:p>
    <w:p w14:paraId="1BA13E02">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债务人始终未履行《抵顶协议》，债权人诉至内蒙古自治区高级人民法院，请求兴华公 司给付工程欠款。一审法院判决:兴华公司应给付通州建总工程款</w:t>
      </w:r>
      <w:r>
        <w:rPr>
          <w:rFonts w:ascii="Times New Roman" w:hAnsi="Times New Roman" w:eastAsia="Times New Roman" w:cs="Times New Roman"/>
          <w:color w:val="000000"/>
          <w:spacing w:val="0"/>
          <w:w w:val="100"/>
          <w:position w:val="0"/>
          <w:sz w:val="19"/>
          <w:szCs w:val="19"/>
          <w:lang w:val="en-US" w:eastAsia="en-US" w:bidi="en-US"/>
        </w:rPr>
        <w:t>26,004,559.35</w:t>
      </w:r>
      <w:r>
        <w:rPr>
          <w:color w:val="000000"/>
          <w:spacing w:val="0"/>
          <w:w w:val="100"/>
          <w:position w:val="0"/>
        </w:rPr>
        <w:t>元及利 息。兴华公司不服前述判决，向最高人民法院上诉要求撤销一审判决第一项，并在工程款 中扣除抵顶工程款。</w:t>
      </w:r>
    </w:p>
    <w:p w14:paraId="36AD1D01">
      <w:pPr>
        <w:pStyle w:val="17"/>
        <w:keepNext w:val="0"/>
        <w:keepLines w:val="0"/>
        <w:widowControl w:val="0"/>
        <w:shd w:val="clear" w:color="auto" w:fill="auto"/>
        <w:bidi w:val="0"/>
        <w:spacing w:before="0" w:after="340" w:line="344" w:lineRule="exact"/>
        <w:ind w:left="0" w:right="0"/>
        <w:jc w:val="both"/>
      </w:pPr>
      <w:r>
        <w:rPr>
          <w:color w:val="000000"/>
          <w:spacing w:val="0"/>
          <w:w w:val="100"/>
          <w:position w:val="0"/>
        </w:rPr>
        <w:t>最高人民法院认为，抵顶工程款是否应计入已付工程款中属二审的审判焦点。自《抵 顶协议》签订至今已</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年多，兴华公司仍未向通州建总交付该协议书约定的房屋，通州建总 签订《抵顶协议》的目的无法实现。在该情况下，通州建总请求兴华公司直接给付工程欠 款，应予支持。</w:t>
      </w:r>
    </w:p>
    <w:p w14:paraId="51E712F6">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561DD6A3">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部分维持、部分改判。</w:t>
      </w:r>
    </w:p>
    <w:p w14:paraId="4F543417">
      <w:pPr>
        <w:pStyle w:val="17"/>
        <w:keepNext w:val="0"/>
        <w:keepLines w:val="0"/>
        <w:widowControl w:val="0"/>
        <w:numPr>
          <w:ilvl w:val="0"/>
          <w:numId w:val="25"/>
        </w:numPr>
        <w:shd w:val="clear" w:color="auto" w:fill="auto"/>
        <w:tabs>
          <w:tab w:val="left" w:pos="691"/>
        </w:tabs>
        <w:bidi w:val="0"/>
        <w:spacing w:before="0" w:after="0" w:line="344" w:lineRule="exact"/>
        <w:ind w:left="0" w:right="0"/>
        <w:jc w:val="both"/>
      </w:pPr>
      <w:bookmarkStart w:id="109" w:name="bookmark418"/>
      <w:bookmarkEnd w:id="109"/>
      <w:r>
        <w:rPr>
          <w:color w:val="000000"/>
          <w:spacing w:val="0"/>
          <w:w w:val="100"/>
          <w:position w:val="0"/>
        </w:rPr>
        <w:t>对以物抵债协议的效力、履行等问题的认定，应以尊重当事人的意思自治为基本原 则。除当事人有明确约定外，当事人于债务清偿期届满后签订的以物抵债协议，并不以债 权人现实地受领抵债物,或取得抵债物所有权为成立或生效要件。</w:t>
      </w:r>
    </w:p>
    <w:p w14:paraId="03680FFB">
      <w:pPr>
        <w:pStyle w:val="17"/>
        <w:keepNext w:val="0"/>
        <w:keepLines w:val="0"/>
        <w:widowControl w:val="0"/>
        <w:numPr>
          <w:ilvl w:val="0"/>
          <w:numId w:val="25"/>
        </w:numPr>
        <w:shd w:val="clear" w:color="auto" w:fill="auto"/>
        <w:tabs>
          <w:tab w:val="left" w:pos="691"/>
        </w:tabs>
        <w:bidi w:val="0"/>
        <w:spacing w:before="0" w:after="0" w:line="356" w:lineRule="exact"/>
        <w:ind w:left="0" w:right="0"/>
        <w:jc w:val="both"/>
      </w:pPr>
      <w:bookmarkStart w:id="110" w:name="bookmark419"/>
      <w:bookmarkEnd w:id="110"/>
      <w:r>
        <w:rPr>
          <w:color w:val="000000"/>
          <w:spacing w:val="0"/>
          <w:w w:val="100"/>
          <w:position w:val="0"/>
        </w:rPr>
        <w:t>当事人于债务清偿期届满后达成的以物抵债协议，可能构成债的更改，即成立新债 务，同时消灭旧债务;亦可能属于新债清偿，即成立新债务，与旧债务并存。基于保护债权的 理念,债的更改一般需有当事人明确消灭旧债的合意。</w:t>
      </w:r>
    </w:p>
    <w:p w14:paraId="6C499EB6">
      <w:pPr>
        <w:pStyle w:val="17"/>
        <w:keepNext w:val="0"/>
        <w:keepLines w:val="0"/>
        <w:widowControl w:val="0"/>
        <w:numPr>
          <w:ilvl w:val="0"/>
          <w:numId w:val="25"/>
        </w:numPr>
        <w:shd w:val="clear" w:color="auto" w:fill="auto"/>
        <w:tabs>
          <w:tab w:val="left" w:pos="693"/>
        </w:tabs>
        <w:bidi w:val="0"/>
        <w:spacing w:before="0" w:after="80" w:line="356" w:lineRule="exact"/>
        <w:ind w:left="0" w:right="0"/>
        <w:jc w:val="both"/>
        <w:sectPr>
          <w:headerReference r:id="rId402" w:type="default"/>
          <w:headerReference r:id="rId403" w:type="even"/>
          <w:footnotePr>
            <w:numFmt w:val="chicago"/>
          </w:footnotePr>
          <w:pgSz w:w="10099" w:h="14782"/>
          <w:pgMar w:top="1313" w:right="992" w:bottom="1088" w:left="1109" w:header="885" w:footer="660" w:gutter="0"/>
          <w:pgNumType w:start="352"/>
          <w:cols w:space="720" w:num="1"/>
          <w:rtlGutter w:val="0"/>
          <w:docGrid w:linePitch="360" w:charSpace="0"/>
        </w:sectPr>
      </w:pPr>
      <w:bookmarkStart w:id="111" w:name="bookmark420"/>
      <w:bookmarkEnd w:id="111"/>
      <w:r>
        <w:rPr>
          <w:color w:val="000000"/>
          <w:spacing w:val="0"/>
          <w:w w:val="100"/>
          <w:position w:val="0"/>
        </w:rPr>
        <w:t>在新债清偿的情形下，旧债务于新债务履行之前不消灭，旧债务和新债务处于衔接并</w:t>
      </w:r>
    </w:p>
    <w:p w14:paraId="1350C92B">
      <w:pPr>
        <w:pStyle w:val="17"/>
        <w:keepNext w:val="0"/>
        <w:keepLines w:val="0"/>
        <w:widowControl w:val="0"/>
        <w:shd w:val="clear" w:color="auto" w:fill="auto"/>
        <w:bidi w:val="0"/>
        <w:spacing w:before="0" w:after="0" w:line="344" w:lineRule="exact"/>
        <w:ind w:left="0" w:right="0" w:firstLine="0"/>
        <w:jc w:val="both"/>
      </w:pPr>
      <w:r>
        <w:rPr>
          <w:color w:val="000000"/>
          <w:spacing w:val="0"/>
          <w:w w:val="100"/>
          <w:position w:val="0"/>
        </w:rPr>
        <w:t>存的状态;在新债务合法有效并得以履行完毕后，因完成了债务清偿义务，旧债务才归于消 灭。</w:t>
      </w:r>
    </w:p>
    <w:p w14:paraId="653265F2">
      <w:pPr>
        <w:pStyle w:val="17"/>
        <w:keepNext w:val="0"/>
        <w:keepLines w:val="0"/>
        <w:widowControl w:val="0"/>
        <w:shd w:val="clear" w:color="auto" w:fill="auto"/>
        <w:bidi w:val="0"/>
        <w:spacing w:before="0" w:after="360" w:line="344" w:lineRule="exact"/>
        <w:ind w:left="0" w:right="0"/>
        <w:jc w:val="both"/>
      </w:pPr>
      <w:r>
        <w:rPr>
          <w:rFonts w:ascii="Times New Roman" w:hAnsi="Times New Roman" w:eastAsia="Times New Roman" w:cs="Times New Roman"/>
          <w:color w:val="000000"/>
          <w:spacing w:val="0"/>
          <w:w w:val="100"/>
          <w:position w:val="0"/>
          <w:sz w:val="19"/>
          <w:szCs w:val="19"/>
          <w:lang w:val="en-US" w:eastAsia="en-US" w:bidi="en-US"/>
        </w:rPr>
        <w:t>4.</w:t>
      </w:r>
      <w:r>
        <w:rPr>
          <w:color w:val="000000"/>
          <w:spacing w:val="0"/>
          <w:w w:val="100"/>
          <w:position w:val="0"/>
        </w:rPr>
        <w:t>若新债务届期不履行，以物抵债协议目的不能实现的，债权人有权请求债务人履行旧 债务，且该请求权的行使，并不以以物抵债协议无效、被撤销或者被解除为前提。</w:t>
      </w:r>
    </w:p>
    <w:p w14:paraId="7B01A00B">
      <w:pPr>
        <w:pStyle w:val="11"/>
        <w:keepNext w:val="0"/>
        <w:keepLines w:val="0"/>
        <w:widowControl w:val="0"/>
        <w:shd w:val="clear" w:color="auto" w:fill="auto"/>
        <w:bidi w:val="0"/>
        <w:spacing w:before="0" w:after="260" w:line="343" w:lineRule="exact"/>
        <w:ind w:left="0" w:right="0" w:firstLine="0"/>
        <w:jc w:val="both"/>
      </w:pPr>
      <w:r>
        <w:rPr>
          <w:color w:val="000000"/>
          <w:spacing w:val="0"/>
          <w:w w:val="100"/>
          <w:position w:val="0"/>
        </w:rPr>
        <w:t>■评析</w:t>
      </w:r>
    </w:p>
    <w:p w14:paraId="54CB2BE2">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6B4169F6">
      <w:pPr>
        <w:pStyle w:val="17"/>
        <w:keepNext w:val="0"/>
        <w:keepLines w:val="0"/>
        <w:widowControl w:val="0"/>
        <w:shd w:val="clear" w:color="auto" w:fill="auto"/>
        <w:bidi w:val="0"/>
        <w:spacing w:before="0" w:after="0" w:line="343" w:lineRule="exact"/>
        <w:ind w:left="0" w:right="0"/>
        <w:jc w:val="both"/>
        <w:rPr>
          <w:sz w:val="11"/>
          <w:szCs w:val="11"/>
        </w:rPr>
      </w:pPr>
      <w:r>
        <w:rPr>
          <w:color w:val="000000"/>
          <w:spacing w:val="0"/>
          <w:w w:val="100"/>
          <w:position w:val="0"/>
          <w:sz w:val="18"/>
          <w:szCs w:val="18"/>
        </w:rPr>
        <w:t>我国原《合同法》没有以他种给付完成替代清偿的规定，基于当事人</w:t>
      </w:r>
      <w:r>
        <w:rPr>
          <w:color w:val="000000"/>
          <w:spacing w:val="0"/>
          <w:w w:val="100"/>
          <w:position w:val="0"/>
          <w:sz w:val="18"/>
          <w:szCs w:val="18"/>
          <w:lang w:val="zh-CN" w:eastAsia="zh-CN" w:bidi="zh-CN"/>
        </w:rPr>
        <w:t>“抵</w:t>
      </w:r>
      <w:r>
        <w:rPr>
          <w:color w:val="000000"/>
          <w:spacing w:val="0"/>
          <w:w w:val="100"/>
          <w:position w:val="0"/>
          <w:sz w:val="18"/>
          <w:szCs w:val="18"/>
        </w:rPr>
        <w:t>偿欠款</w:t>
      </w:r>
      <w:r>
        <w:rPr>
          <w:color w:val="000000"/>
          <w:spacing w:val="0"/>
          <w:w w:val="100"/>
          <w:position w:val="0"/>
          <w:sz w:val="18"/>
          <w:szCs w:val="18"/>
          <w:lang w:val="zh-CN" w:eastAsia="zh-CN" w:bidi="zh-CN"/>
        </w:rPr>
        <w:t xml:space="preserve">”的意 </w:t>
      </w:r>
      <w:r>
        <w:rPr>
          <w:color w:val="000000"/>
          <w:spacing w:val="0"/>
          <w:w w:val="100"/>
          <w:position w:val="0"/>
          <w:sz w:val="18"/>
          <w:szCs w:val="18"/>
        </w:rPr>
        <w:t>思，将此类协议统称为</w:t>
      </w:r>
      <w:r>
        <w:rPr>
          <w:color w:val="000000"/>
          <w:spacing w:val="0"/>
          <w:w w:val="100"/>
          <w:position w:val="0"/>
          <w:sz w:val="18"/>
          <w:szCs w:val="18"/>
          <w:lang w:val="zh-CN" w:eastAsia="zh-CN" w:bidi="zh-CN"/>
        </w:rPr>
        <w:t>“以</w:t>
      </w:r>
      <w:r>
        <w:rPr>
          <w:color w:val="000000"/>
          <w:spacing w:val="0"/>
          <w:w w:val="100"/>
          <w:position w:val="0"/>
          <w:sz w:val="18"/>
          <w:szCs w:val="18"/>
        </w:rPr>
        <w:t>物抵债”。基于不同的交易类型和学说，法官对于此会作出不同 的判决</w:t>
      </w:r>
      <w:r>
        <w:rPr>
          <w:color w:val="000000"/>
          <w:spacing w:val="0"/>
          <w:w w:val="100"/>
          <w:position w:val="0"/>
          <w:sz w:val="18"/>
          <w:szCs w:val="18"/>
          <w:lang w:val="zh-CN" w:eastAsia="zh-CN" w:bidi="zh-CN"/>
        </w:rPr>
        <w:t>，“同</w:t>
      </w:r>
      <w:r>
        <w:rPr>
          <w:color w:val="000000"/>
          <w:spacing w:val="0"/>
          <w:w w:val="100"/>
          <w:position w:val="0"/>
          <w:sz w:val="18"/>
          <w:szCs w:val="18"/>
        </w:rPr>
        <w:t>案不同判”是此类案件中的典型难题［房</w:t>
      </w:r>
      <w:r>
        <w:rPr>
          <w:color w:val="000000"/>
          <w:spacing w:val="0"/>
          <w:w w:val="100"/>
          <w:position w:val="0"/>
          <w:sz w:val="11"/>
          <w:szCs w:val="11"/>
        </w:rPr>
        <w:t>绍坤、严聪:《以物抵债协议的法律适用与性 质判断——最高人民法院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484</w:t>
      </w:r>
      <w:r>
        <w:rPr>
          <w:color w:val="000000"/>
          <w:spacing w:val="0"/>
          <w:w w:val="100"/>
          <w:position w:val="0"/>
          <w:sz w:val="11"/>
          <w:szCs w:val="11"/>
        </w:rPr>
        <w:t>号判决评释》，载《求是学刊》</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p>
    <w:p w14:paraId="7642760E">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本判决虽然使用“新债清偿</w:t>
      </w:r>
      <w:r>
        <w:rPr>
          <w:color w:val="000000"/>
          <w:spacing w:val="0"/>
          <w:w w:val="100"/>
          <w:position w:val="0"/>
          <w:lang w:val="zh-CN" w:eastAsia="zh-CN" w:bidi="zh-CN"/>
        </w:rPr>
        <w:t>”这</w:t>
      </w:r>
      <w:r>
        <w:rPr>
          <w:color w:val="000000"/>
          <w:spacing w:val="0"/>
          <w:w w:val="100"/>
          <w:position w:val="0"/>
        </w:rPr>
        <w:t>一德国法上的术语,但没有就此陷入概念的抽象争论, 而是从意思表示和合同法的基本原理出发，对以物抵债最基本的问题进行分析:首先，当事 人缔结以物抵债合同的目的为何;其次，合意的性质是诺成还是实践;再次,达成以物抵债 协议后,新旧债间的给付顺序为何;最后，若债务人拒绝履行，原债关系是否恢复。</w:t>
      </w:r>
    </w:p>
    <w:p w14:paraId="0414141C">
      <w:pPr>
        <w:pStyle w:val="17"/>
        <w:keepNext w:val="0"/>
        <w:keepLines w:val="0"/>
        <w:widowControl w:val="0"/>
        <w:shd w:val="clear" w:color="auto" w:fill="auto"/>
        <w:bidi w:val="0"/>
        <w:spacing w:before="0" w:after="260" w:line="343" w:lineRule="exact"/>
        <w:ind w:left="0" w:right="0"/>
        <w:jc w:val="both"/>
      </w:pPr>
      <w:r>
        <w:rPr>
          <w:color w:val="000000"/>
          <w:spacing w:val="0"/>
          <w:w w:val="100"/>
          <w:position w:val="0"/>
        </w:rPr>
        <w:t>虽然近</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年来最高人民法院有不少关于“以物抵债</w:t>
      </w:r>
      <w:r>
        <w:rPr>
          <w:color w:val="000000"/>
          <w:spacing w:val="0"/>
          <w:w w:val="100"/>
          <w:position w:val="0"/>
          <w:lang w:val="zh-CN" w:eastAsia="zh-CN" w:bidi="zh-CN"/>
        </w:rPr>
        <w:t>”的判</w:t>
      </w:r>
      <w:r>
        <w:rPr>
          <w:color w:val="000000"/>
          <w:spacing w:val="0"/>
          <w:w w:val="100"/>
          <w:position w:val="0"/>
        </w:rPr>
        <w:t>决和审判意见，但均没有如 本案一般，从合同法的基础原理进行系统的梳理，因此本案对于争议巨大的以物抵债规则 的建构有着重要的作用。</w:t>
      </w:r>
    </w:p>
    <w:p w14:paraId="1E05DAF4">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替代清偿的规则与学理</w:t>
      </w:r>
    </w:p>
    <w:p w14:paraId="643CD0F7">
      <w:pPr>
        <w:pStyle w:val="17"/>
        <w:keepNext w:val="0"/>
        <w:keepLines w:val="0"/>
        <w:widowControl w:val="0"/>
        <w:numPr>
          <w:ilvl w:val="0"/>
          <w:numId w:val="26"/>
        </w:numPr>
        <w:shd w:val="clear" w:color="auto" w:fill="auto"/>
        <w:tabs>
          <w:tab w:val="left" w:pos="680"/>
        </w:tabs>
        <w:bidi w:val="0"/>
        <w:spacing w:before="0" w:after="0" w:line="340" w:lineRule="exact"/>
        <w:ind w:left="0" w:right="0"/>
        <w:jc w:val="both"/>
        <w:rPr>
          <w:sz w:val="11"/>
          <w:szCs w:val="11"/>
        </w:rPr>
      </w:pPr>
      <w:bookmarkStart w:id="112" w:name="bookmark421"/>
      <w:bookmarkEnd w:id="112"/>
      <w:r>
        <w:rPr>
          <w:color w:val="000000"/>
          <w:spacing w:val="0"/>
          <w:w w:val="100"/>
          <w:position w:val="0"/>
          <w:sz w:val="18"/>
          <w:szCs w:val="18"/>
        </w:rPr>
        <w:t>以物抵债的定义与功能。本判决认为</w:t>
      </w:r>
      <w:r>
        <w:rPr>
          <w:color w:val="000000"/>
          <w:spacing w:val="0"/>
          <w:w w:val="100"/>
          <w:position w:val="0"/>
          <w:sz w:val="18"/>
          <w:szCs w:val="18"/>
          <w:lang w:val="zh-CN" w:eastAsia="zh-CN" w:bidi="zh-CN"/>
        </w:rPr>
        <w:t>“以</w:t>
      </w:r>
      <w:r>
        <w:rPr>
          <w:color w:val="000000"/>
          <w:spacing w:val="0"/>
          <w:w w:val="100"/>
          <w:position w:val="0"/>
          <w:sz w:val="18"/>
          <w:szCs w:val="18"/>
        </w:rPr>
        <w:t>物抵债系债务清偿方式之一，是当事人之 间对于如何清偿债务的安排</w:t>
      </w:r>
      <w:r>
        <w:rPr>
          <w:color w:val="000000"/>
          <w:spacing w:val="0"/>
          <w:w w:val="100"/>
          <w:position w:val="0"/>
          <w:sz w:val="18"/>
          <w:szCs w:val="18"/>
          <w:lang w:val="zh-CN" w:eastAsia="zh-CN" w:bidi="zh-CN"/>
        </w:rPr>
        <w:t>”，明</w:t>
      </w:r>
      <w:r>
        <w:rPr>
          <w:color w:val="000000"/>
          <w:spacing w:val="0"/>
          <w:w w:val="100"/>
          <w:position w:val="0"/>
          <w:sz w:val="18"/>
          <w:szCs w:val="18"/>
        </w:rPr>
        <w:t>确地把</w:t>
      </w:r>
      <w:r>
        <w:rPr>
          <w:color w:val="000000"/>
          <w:spacing w:val="0"/>
          <w:w w:val="100"/>
          <w:position w:val="0"/>
          <w:sz w:val="18"/>
          <w:szCs w:val="18"/>
          <w:lang w:val="zh-CN" w:eastAsia="zh-CN" w:bidi="zh-CN"/>
        </w:rPr>
        <w:t>“以</w:t>
      </w:r>
      <w:r>
        <w:rPr>
          <w:color w:val="000000"/>
          <w:spacing w:val="0"/>
          <w:w w:val="100"/>
          <w:position w:val="0"/>
          <w:sz w:val="18"/>
          <w:szCs w:val="18"/>
        </w:rPr>
        <w:t>物抵债</w:t>
      </w:r>
      <w:r>
        <w:rPr>
          <w:color w:val="000000"/>
          <w:spacing w:val="0"/>
          <w:w w:val="100"/>
          <w:position w:val="0"/>
          <w:sz w:val="18"/>
          <w:szCs w:val="18"/>
          <w:lang w:val="zh-CN" w:eastAsia="zh-CN" w:bidi="zh-CN"/>
        </w:rPr>
        <w:t>”界定</w:t>
      </w:r>
      <w:r>
        <w:rPr>
          <w:color w:val="000000"/>
          <w:spacing w:val="0"/>
          <w:w w:val="100"/>
          <w:position w:val="0"/>
          <w:sz w:val="18"/>
          <w:szCs w:val="18"/>
        </w:rPr>
        <w:t>为一种债的消灭方式，属于原《合 同法》第六章</w:t>
      </w:r>
      <w:r>
        <w:rPr>
          <w:color w:val="000000"/>
          <w:spacing w:val="0"/>
          <w:w w:val="100"/>
          <w:position w:val="0"/>
          <w:sz w:val="18"/>
          <w:szCs w:val="18"/>
          <w:lang w:val="zh-CN" w:eastAsia="zh-CN" w:bidi="zh-CN"/>
        </w:rPr>
        <w:t>“合</w:t>
      </w:r>
      <w:r>
        <w:rPr>
          <w:color w:val="000000"/>
          <w:spacing w:val="0"/>
          <w:w w:val="100"/>
          <w:position w:val="0"/>
          <w:sz w:val="18"/>
          <w:szCs w:val="18"/>
        </w:rPr>
        <w:t>同的权利义务终止</w:t>
      </w:r>
      <w:r>
        <w:rPr>
          <w:color w:val="000000"/>
          <w:spacing w:val="0"/>
          <w:w w:val="100"/>
          <w:position w:val="0"/>
          <w:sz w:val="18"/>
          <w:szCs w:val="18"/>
          <w:lang w:val="zh-CN" w:eastAsia="zh-CN" w:bidi="zh-CN"/>
        </w:rPr>
        <w:t>”的一</w:t>
      </w:r>
      <w:r>
        <w:rPr>
          <w:color w:val="000000"/>
          <w:spacing w:val="0"/>
          <w:w w:val="100"/>
          <w:position w:val="0"/>
          <w:sz w:val="18"/>
          <w:szCs w:val="18"/>
        </w:rPr>
        <w:t>部分。由此，以物抵债不再是内容多样的日常用 语，也不会与担保合同混淆，它的性质是</w:t>
      </w:r>
      <w:r>
        <w:rPr>
          <w:color w:val="000000"/>
          <w:spacing w:val="0"/>
          <w:w w:val="100"/>
          <w:position w:val="0"/>
          <w:sz w:val="18"/>
          <w:szCs w:val="18"/>
          <w:lang w:val="zh-CN" w:eastAsia="zh-CN" w:bidi="zh-CN"/>
        </w:rPr>
        <w:t>“清</w:t>
      </w:r>
      <w:r>
        <w:rPr>
          <w:color w:val="000000"/>
          <w:spacing w:val="0"/>
          <w:w w:val="100"/>
          <w:position w:val="0"/>
          <w:sz w:val="18"/>
          <w:szCs w:val="18"/>
        </w:rPr>
        <w:t>偿合同</w:t>
      </w:r>
      <w:r>
        <w:rPr>
          <w:color w:val="000000"/>
          <w:spacing w:val="0"/>
          <w:w w:val="100"/>
          <w:position w:val="0"/>
          <w:sz w:val="18"/>
          <w:szCs w:val="18"/>
          <w:lang w:val="zh-CN" w:eastAsia="zh-CN" w:bidi="zh-CN"/>
        </w:rPr>
        <w:t>”，即</w:t>
      </w:r>
      <w:r>
        <w:rPr>
          <w:color w:val="000000"/>
          <w:spacing w:val="0"/>
          <w:w w:val="100"/>
          <w:position w:val="0"/>
          <w:sz w:val="18"/>
          <w:szCs w:val="18"/>
        </w:rPr>
        <w:t>债权人同意债务人以他种给付替代 原给付，以消灭原债为目的的合同，它给予债务人替代给付的权利和义务</w:t>
      </w:r>
      <w:r>
        <w:rPr>
          <w:color w:val="000000"/>
          <w:spacing w:val="0"/>
          <w:w w:val="100"/>
          <w:position w:val="0"/>
          <w:sz w:val="11"/>
          <w:szCs w:val="11"/>
        </w:rPr>
        <w:t>（肖俊:《代物清偿中 的合意基础与清偿效果研究》，载《中外法学》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p>
    <w:p w14:paraId="66F4F3B6">
      <w:pPr>
        <w:pStyle w:val="17"/>
        <w:keepNext w:val="0"/>
        <w:keepLines w:val="0"/>
        <w:widowControl w:val="0"/>
        <w:shd w:val="clear" w:color="auto" w:fill="auto"/>
        <w:bidi w:val="0"/>
        <w:spacing w:before="0" w:after="0" w:line="345" w:lineRule="exact"/>
        <w:ind w:left="0" w:right="0"/>
        <w:jc w:val="both"/>
      </w:pPr>
      <w:r>
        <w:rPr>
          <w:color w:val="000000"/>
          <w:spacing w:val="0"/>
          <w:w w:val="100"/>
          <w:position w:val="0"/>
        </w:rPr>
        <w:t>本判决认为此种替代清偿合同系诺成合同，在此之前，司法实践中一直存在以物抵债 属于要物合同的观点，但本判决基于意思自治的原理，明确将之排除,并主张以物抵债的诺 成性，提出“当事人于债务清偿期届满后签订的以物抵债协议,并不以债权人现实地受领抵 债物,或取得抵债物所有权、使用权等财产权利为成立或生效要件”。</w:t>
      </w:r>
    </w:p>
    <w:p w14:paraId="564F2596">
      <w:pPr>
        <w:pStyle w:val="17"/>
        <w:keepNext w:val="0"/>
        <w:keepLines w:val="0"/>
        <w:widowControl w:val="0"/>
        <w:numPr>
          <w:ilvl w:val="0"/>
          <w:numId w:val="26"/>
        </w:numPr>
        <w:shd w:val="clear" w:color="auto" w:fill="auto"/>
        <w:tabs>
          <w:tab w:val="left" w:pos="678"/>
        </w:tabs>
        <w:bidi w:val="0"/>
        <w:spacing w:before="0" w:after="0" w:line="345" w:lineRule="exact"/>
        <w:ind w:left="0" w:right="0"/>
        <w:jc w:val="both"/>
      </w:pPr>
      <w:bookmarkStart w:id="113" w:name="bookmark422"/>
      <w:bookmarkEnd w:id="113"/>
      <w:r>
        <w:rPr>
          <w:color w:val="000000"/>
          <w:spacing w:val="0"/>
          <w:w w:val="100"/>
          <w:position w:val="0"/>
        </w:rPr>
        <w:t>以物抵债与近似现象的区分。在日常语言中，以物抵债是一个宽泛的概念，因此在法 律适用中，首先需要分析当事人的意图。本案判决提出</w:t>
      </w:r>
      <w:r>
        <w:rPr>
          <w:color w:val="000000"/>
          <w:spacing w:val="0"/>
          <w:w w:val="100"/>
          <w:position w:val="0"/>
          <w:lang w:val="zh-CN" w:eastAsia="zh-CN" w:bidi="zh-CN"/>
        </w:rPr>
        <w:t>，“当</w:t>
      </w:r>
      <w:r>
        <w:rPr>
          <w:color w:val="000000"/>
          <w:spacing w:val="0"/>
          <w:w w:val="100"/>
          <w:position w:val="0"/>
        </w:rPr>
        <w:t>事人于债务清偿期届满后达成 的以物抵债协议，可能构成债的更改……基于保护债权的理念，债的更改一般需有当事人 明确消灭旧债的合意”。这一观点与《民法典》第</w:t>
      </w:r>
      <w:r>
        <w:rPr>
          <w:rFonts w:ascii="Times New Roman" w:hAnsi="Times New Roman" w:eastAsia="Times New Roman" w:cs="Times New Roman"/>
          <w:color w:val="000000"/>
          <w:spacing w:val="0"/>
          <w:w w:val="100"/>
          <w:position w:val="0"/>
          <w:sz w:val="19"/>
          <w:szCs w:val="19"/>
        </w:rPr>
        <w:t>544</w:t>
      </w:r>
      <w:r>
        <w:rPr>
          <w:color w:val="000000"/>
          <w:spacing w:val="0"/>
          <w:w w:val="100"/>
          <w:position w:val="0"/>
        </w:rPr>
        <w:t>条规定的债的变更中的意思表示规则 相符，如果当事人存在明确的变更债务意图，则构成债的变更,否则应推定为原债未发生改 变。显然，此时不再适用替代清偿协议的规则。</w:t>
      </w:r>
    </w:p>
    <w:p w14:paraId="100D9E37">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与变更的目的相区分的,是替代清偿的以物抵债协议,本判决使用</w:t>
      </w:r>
      <w:r>
        <w:rPr>
          <w:color w:val="000000"/>
          <w:spacing w:val="0"/>
          <w:w w:val="100"/>
          <w:position w:val="0"/>
          <w:lang w:val="zh-CN" w:eastAsia="zh-CN" w:bidi="zh-CN"/>
        </w:rPr>
        <w:t>“新债</w:t>
      </w:r>
      <w:r>
        <w:rPr>
          <w:color w:val="000000"/>
          <w:spacing w:val="0"/>
          <w:w w:val="100"/>
          <w:position w:val="0"/>
        </w:rPr>
        <w:t>清偿”这个术 语进行指称。从上下文的语境看，其与大陆法系的</w:t>
      </w:r>
      <w:r>
        <w:rPr>
          <w:color w:val="000000"/>
          <w:spacing w:val="0"/>
          <w:w w:val="100"/>
          <w:position w:val="0"/>
          <w:lang w:val="zh-CN" w:eastAsia="zh-CN" w:bidi="zh-CN"/>
        </w:rPr>
        <w:t>“新债</w:t>
      </w:r>
      <w:r>
        <w:rPr>
          <w:color w:val="000000"/>
          <w:spacing w:val="0"/>
          <w:w w:val="100"/>
          <w:position w:val="0"/>
        </w:rPr>
        <w:t>清偿”制度并非完全吻合。德国法 的新债清偿（“为清偿而给付”）是“债权人应该尝试由为清偿目的而交付于自己的标的物获 得清偿”</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梅迪库斯:《德国债法总论》，杜景林等译，法律出版社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196</w:t>
      </w:r>
      <w:r>
        <w:rPr>
          <w:color w:val="000000"/>
          <w:spacing w:val="0"/>
          <w:w w:val="100"/>
          <w:position w:val="0"/>
          <w:sz w:val="11"/>
          <w:szCs w:val="11"/>
        </w:rPr>
        <w:t>页）。</w:t>
      </w:r>
      <w:r>
        <w:rPr>
          <w:color w:val="000000"/>
          <w:spacing w:val="0"/>
          <w:w w:val="100"/>
          <w:position w:val="0"/>
        </w:rPr>
        <w:t>换言之， 首先是物被交付给债权人,随后债权人将之变价,通过变价所得清偿原债，债权人不仅有主 张抵债物的权利,也负有就他种给付的变价权能及变价义务</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罗歇尔德斯:《德国债法总 论》（第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sz w:val="11"/>
          <w:szCs w:val="11"/>
        </w:rPr>
        <w:t>版），沈小军、张金海译，中国人民大学出版社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143</w:t>
      </w:r>
      <w:r>
        <w:rPr>
          <w:color w:val="000000"/>
          <w:spacing w:val="0"/>
          <w:w w:val="100"/>
          <w:position w:val="0"/>
          <w:sz w:val="11"/>
          <w:szCs w:val="11"/>
        </w:rPr>
        <w:t>页）。</w:t>
      </w:r>
      <w:r>
        <w:rPr>
          <w:color w:val="000000"/>
          <w:spacing w:val="0"/>
          <w:w w:val="100"/>
          <w:position w:val="0"/>
        </w:rPr>
        <w:t>我国以物抵债规则并 没有要求债权人对抵债物变价和清算</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年最高人民法院《关于当前商事审判工作中的 若干具体问题》（以下简称《商事审判问题》）提出，以物抵债约定系事后达成，所以不会对债 务人造成不公平,故无需履行上述程序，债权人可以就抵债物直接受偿。这种立场也更符 合我国的交易习惯，债务人在不能履行原债的情况下，通过以物抵债协议获得了替代给付 的权利，也没有遭受暴利盘剥的道德风险，因此，不应增加债权人负担,要求其管理和清算， 更不应要求债权人承担由于变价义务所生的损害赔偿责任。</w:t>
      </w:r>
    </w:p>
    <w:p w14:paraId="4F3A3AB5">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从上下文的语境看，本案所使用的“新债清偿</w:t>
      </w:r>
      <w:r>
        <w:rPr>
          <w:color w:val="000000"/>
          <w:spacing w:val="0"/>
          <w:w w:val="100"/>
          <w:position w:val="0"/>
          <w:lang w:val="zh-CN" w:eastAsia="zh-CN" w:bidi="zh-CN"/>
        </w:rPr>
        <w:t>”一词</w:t>
      </w:r>
      <w:r>
        <w:rPr>
          <w:color w:val="000000"/>
          <w:spacing w:val="0"/>
          <w:w w:val="100"/>
          <w:position w:val="0"/>
        </w:rPr>
        <w:t>只是用来表示以实现替代清偿功能 的以物抵债协议，它可以通过合同法的一般原理进行分析，无须引入德国法的规定。</w:t>
      </w:r>
    </w:p>
    <w:p w14:paraId="06BCA017">
      <w:pPr>
        <w:pStyle w:val="17"/>
        <w:keepNext w:val="0"/>
        <w:keepLines w:val="0"/>
        <w:widowControl w:val="0"/>
        <w:numPr>
          <w:ilvl w:val="0"/>
          <w:numId w:val="26"/>
        </w:numPr>
        <w:shd w:val="clear" w:color="auto" w:fill="auto"/>
        <w:tabs>
          <w:tab w:val="left" w:pos="678"/>
        </w:tabs>
        <w:bidi w:val="0"/>
        <w:spacing w:before="0" w:after="0" w:line="344" w:lineRule="exact"/>
        <w:ind w:left="0" w:right="0" w:firstLine="420"/>
        <w:jc w:val="both"/>
      </w:pPr>
      <w:bookmarkStart w:id="114" w:name="bookmark423"/>
      <w:bookmarkEnd w:id="114"/>
      <w:r>
        <w:rPr>
          <w:color w:val="000000"/>
          <w:spacing w:val="0"/>
          <w:w w:val="100"/>
          <w:position w:val="0"/>
        </w:rPr>
        <w:t>以物抵债协议中的新旧给付关系。在以物抵债协议达成后，对于双方之间新旧债务 的关系，本判决认为:</w:t>
      </w:r>
      <w:r>
        <w:rPr>
          <w:color w:val="000000"/>
          <w:spacing w:val="0"/>
          <w:w w:val="100"/>
          <w:position w:val="0"/>
          <w:lang w:val="zh-CN" w:eastAsia="zh-CN" w:bidi="zh-CN"/>
        </w:rPr>
        <w:t>“新旧</w:t>
      </w:r>
      <w:r>
        <w:rPr>
          <w:color w:val="000000"/>
          <w:spacing w:val="0"/>
          <w:w w:val="100"/>
          <w:position w:val="0"/>
        </w:rPr>
        <w:t>债务处于衔接并存的状态,在新债务合法有效并得以履行完毕 后，因完成了债务清偿义务，旧债务才归于消灭</w:t>
      </w:r>
      <w:r>
        <w:rPr>
          <w:color w:val="000000"/>
          <w:spacing w:val="0"/>
          <w:w w:val="100"/>
          <w:position w:val="0"/>
          <w:lang w:val="zh-CN" w:eastAsia="zh-CN" w:bidi="zh-CN"/>
        </w:rPr>
        <w:t>。”这</w:t>
      </w:r>
      <w:r>
        <w:rPr>
          <w:color w:val="000000"/>
          <w:spacing w:val="0"/>
          <w:w w:val="100"/>
          <w:position w:val="0"/>
        </w:rPr>
        <w:t>一分析体现了以物抵债协议的结构特 征，它作为一个独立的合同，既没有介入也没有改变原债关系,这使得债权人和债务人之间 同时存在新旧两种异质的给付内容。由此，在以物抵债协议达成后,债权人可以直接主张 抵债物，在替代给付完成前，原债的拘束力将继续存在。</w:t>
      </w:r>
    </w:p>
    <w:p w14:paraId="710CB1FB">
      <w:pPr>
        <w:pStyle w:val="17"/>
        <w:keepNext w:val="0"/>
        <w:keepLines w:val="0"/>
        <w:widowControl w:val="0"/>
        <w:numPr>
          <w:ilvl w:val="0"/>
          <w:numId w:val="26"/>
        </w:numPr>
        <w:shd w:val="clear" w:color="auto" w:fill="auto"/>
        <w:tabs>
          <w:tab w:val="left" w:pos="678"/>
        </w:tabs>
        <w:bidi w:val="0"/>
        <w:spacing w:before="0" w:after="280" w:line="344" w:lineRule="exact"/>
        <w:ind w:left="0" w:right="0" w:firstLine="420"/>
        <w:jc w:val="both"/>
      </w:pPr>
      <w:bookmarkStart w:id="115" w:name="bookmark424"/>
      <w:bookmarkEnd w:id="115"/>
      <w:r>
        <w:rPr>
          <w:color w:val="000000"/>
          <w:spacing w:val="0"/>
          <w:w w:val="100"/>
          <w:position w:val="0"/>
        </w:rPr>
        <w:t>以物抵债目的不达时,原债请求权的回复。本判决提出：</w:t>
      </w:r>
      <w:r>
        <w:rPr>
          <w:color w:val="000000"/>
          <w:spacing w:val="0"/>
          <w:w w:val="100"/>
          <w:position w:val="0"/>
          <w:lang w:val="zh-CN" w:eastAsia="zh-CN" w:bidi="zh-CN"/>
        </w:rPr>
        <w:t>“若</w:t>
      </w:r>
      <w:r>
        <w:rPr>
          <w:color w:val="000000"/>
          <w:spacing w:val="0"/>
          <w:w w:val="100"/>
          <w:position w:val="0"/>
        </w:rPr>
        <w:t>新债务届期不履行，以 物抵债协议目的不能实现的，债权人有权请求债务人履行旧债务,且该请求权的行使,并不 以以物抵债协议无效、被撤销或者被解除为前提</w:t>
      </w:r>
      <w:r>
        <w:rPr>
          <w:color w:val="000000"/>
          <w:spacing w:val="0"/>
          <w:w w:val="100"/>
          <w:position w:val="0"/>
          <w:lang w:val="zh-CN" w:eastAsia="zh-CN" w:bidi="zh-CN"/>
        </w:rPr>
        <w:t>。”以</w:t>
      </w:r>
      <w:r>
        <w:rPr>
          <w:color w:val="000000"/>
          <w:spacing w:val="0"/>
          <w:w w:val="100"/>
          <w:position w:val="0"/>
        </w:rPr>
        <w:t>物抵债不是选择之债，选定之后变成 单一之债,合同目的是清偿原债，替代物瑕疵不能产生原债清偿的效果，原债就不会消灭。 因此如果替代清偿的目的不能实现的，不需要主张协议无效或解除协议，债权人可直接主 张原债给付请求权,这正是清偿合同效力的体现。</w:t>
      </w:r>
    </w:p>
    <w:p w14:paraId="1C8DAF9B">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3139BD8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在本判决之前，最高人民法院在以物抵债的功能界定、合意效力和新旧履行顺序上都 有不同的立场。</w:t>
      </w:r>
    </w:p>
    <w:p w14:paraId="439A3C11">
      <w:pPr>
        <w:pStyle w:val="17"/>
        <w:keepNext w:val="0"/>
        <w:keepLines w:val="0"/>
        <w:widowControl w:val="0"/>
        <w:numPr>
          <w:ilvl w:val="0"/>
          <w:numId w:val="27"/>
        </w:numPr>
        <w:shd w:val="clear" w:color="auto" w:fill="auto"/>
        <w:bidi w:val="0"/>
        <w:spacing w:before="0" w:after="0" w:line="343" w:lineRule="exact"/>
        <w:ind w:left="0" w:right="0" w:firstLine="420"/>
        <w:jc w:val="both"/>
        <w:rPr>
          <w:sz w:val="11"/>
          <w:szCs w:val="11"/>
        </w:rPr>
      </w:pPr>
      <w:bookmarkStart w:id="116" w:name="bookmark425"/>
      <w:bookmarkEnd w:id="116"/>
      <w:r>
        <w:rPr>
          <w:color w:val="000000"/>
          <w:spacing w:val="0"/>
          <w:w w:val="100"/>
          <w:position w:val="0"/>
          <w:sz w:val="18"/>
          <w:szCs w:val="18"/>
        </w:rPr>
        <w:t>以物抵债协议的要物性问题。</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8"/>
          <w:szCs w:val="18"/>
        </w:rPr>
        <w:t>年《最高人民法院公报》刊载的</w:t>
      </w:r>
      <w:r>
        <w:rPr>
          <w:color w:val="000000"/>
          <w:spacing w:val="0"/>
          <w:w w:val="100"/>
          <w:position w:val="0"/>
          <w:sz w:val="18"/>
          <w:szCs w:val="18"/>
          <w:lang w:val="zh-CN" w:eastAsia="zh-CN" w:bidi="zh-CN"/>
        </w:rPr>
        <w:t>“成</w:t>
      </w:r>
      <w:r>
        <w:rPr>
          <w:color w:val="000000"/>
          <w:spacing w:val="0"/>
          <w:w w:val="100"/>
          <w:position w:val="0"/>
          <w:sz w:val="18"/>
          <w:szCs w:val="18"/>
        </w:rPr>
        <w:t xml:space="preserve">都市国土资源 局武侯分局与招商（蛇口 ）成都房地产开发有限责任公司、成都港招实业开发有限责任公 司、海南民丰科技实业开发总公司债权人代位权纠纷案” </w:t>
      </w:r>
      <w:r>
        <w:rPr>
          <w:rFonts w:ascii="Times New Roman" w:hAnsi="Times New Roman" w:eastAsia="Times New Roman" w:cs="Times New Roman"/>
          <w:color w:val="000000"/>
          <w:spacing w:val="0"/>
          <w:w w:val="100"/>
          <w:position w:val="0"/>
          <w:sz w:val="17"/>
          <w:szCs w:val="17"/>
          <w:lang w:val="en-US" w:eastAsia="en-US" w:bidi="en-US"/>
        </w:rPr>
        <w:t>［（2011</w:t>
      </w:r>
      <w:r>
        <w:rPr>
          <w:color w:val="000000"/>
          <w:spacing w:val="0"/>
          <w:w w:val="100"/>
          <w:position w:val="0"/>
          <w:sz w:val="11"/>
          <w:szCs w:val="11"/>
        </w:rPr>
        <w:t>）最高法民提字第</w:t>
      </w:r>
      <w:r>
        <w:rPr>
          <w:rFonts w:ascii="Times New Roman" w:hAnsi="Times New Roman" w:eastAsia="Times New Roman" w:cs="Times New Roman"/>
          <w:color w:val="000000"/>
          <w:spacing w:val="0"/>
          <w:w w:val="100"/>
          <w:position w:val="0"/>
          <w:sz w:val="17"/>
          <w:szCs w:val="17"/>
        </w:rPr>
        <w:t>210</w:t>
      </w:r>
      <w:r>
        <w:rPr>
          <w:color w:val="000000"/>
          <w:spacing w:val="0"/>
          <w:w w:val="100"/>
          <w:position w:val="0"/>
          <w:sz w:val="11"/>
          <w:szCs w:val="11"/>
        </w:rPr>
        <w:t>号民事判 决书，载《最高人民法院公</w:t>
      </w:r>
      <w:r>
        <w:rPr>
          <w:rFonts w:ascii="Times New Roman" w:hAnsi="Times New Roman" w:eastAsia="Times New Roman" w:cs="Times New Roman"/>
          <w:color w:val="000000"/>
          <w:spacing w:val="0"/>
          <w:w w:val="100"/>
          <w:position w:val="0"/>
          <w:sz w:val="17"/>
          <w:szCs w:val="17"/>
        </w:rPr>
        <w:t>&lt;&gt;2012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sz w:val="18"/>
          <w:szCs w:val="18"/>
        </w:rPr>
        <w:t>在裁判摘要中提出</w:t>
      </w:r>
      <w:r>
        <w:rPr>
          <w:color w:val="000000"/>
          <w:spacing w:val="0"/>
          <w:w w:val="100"/>
          <w:position w:val="0"/>
          <w:sz w:val="18"/>
          <w:szCs w:val="18"/>
          <w:lang w:val="zh-CN" w:eastAsia="zh-CN" w:bidi="zh-CN"/>
        </w:rPr>
        <w:t>，“债</w:t>
      </w:r>
      <w:r>
        <w:rPr>
          <w:color w:val="000000"/>
          <w:spacing w:val="0"/>
          <w:w w:val="100"/>
          <w:position w:val="0"/>
          <w:sz w:val="18"/>
          <w:szCs w:val="18"/>
        </w:rPr>
        <w:t xml:space="preserve">务人与次债务人约定以代 </w:t>
      </w:r>
      <w:r>
        <w:rPr>
          <w:rStyle w:val="32"/>
          <w:b w:val="0"/>
          <w:bCs w:val="0"/>
          <w:i w:val="0"/>
          <w:iCs w:val="0"/>
          <w:smallCaps w:val="0"/>
          <w:strike w:val="0"/>
          <w:sz w:val="18"/>
          <w:szCs w:val="18"/>
        </w:rPr>
        <w:t>物清偿方式清偿债务的，因代物清偿协议系实践性合同，故若次债务人未实际履行代物清 偿协议则次债务人与债务人之间的原金钱债务并未消灭”。由此径将以物抵债协议等同于 要物合同，引发学界争议</w:t>
      </w:r>
      <w:r>
        <w:rPr>
          <w:rStyle w:val="32"/>
          <w:b w:val="0"/>
          <w:bCs w:val="0"/>
          <w:i w:val="0"/>
          <w:iCs w:val="0"/>
          <w:smallCaps w:val="0"/>
          <w:strike w:val="0"/>
        </w:rPr>
        <w:t>［周江洪:《债权人代位权与未现实受领之</w:t>
      </w:r>
      <w:r>
        <w:rPr>
          <w:rStyle w:val="32"/>
          <w:b w:val="0"/>
          <w:bCs w:val="0"/>
          <w:i w:val="0"/>
          <w:iCs w:val="0"/>
          <w:smallCaps w:val="0"/>
          <w:strike w:val="0"/>
          <w:lang w:val="zh-CN" w:eastAsia="zh-CN" w:bidi="zh-CN"/>
        </w:rPr>
        <w:t>“代物</w:t>
      </w:r>
      <w:r>
        <w:rPr>
          <w:rStyle w:val="32"/>
          <w:b w:val="0"/>
          <w:bCs w:val="0"/>
          <w:i w:val="0"/>
          <w:iCs w:val="0"/>
          <w:smallCaps w:val="0"/>
          <w:strike w:val="0"/>
        </w:rPr>
        <w:t>清偿”——</w:t>
      </w:r>
      <w:r>
        <w:rPr>
          <w:rStyle w:val="32"/>
          <w:b w:val="0"/>
          <w:bCs w:val="0"/>
          <w:i w:val="0"/>
          <w:iCs w:val="0"/>
          <w:smallCaps w:val="0"/>
          <w:strike w:val="0"/>
          <w:lang w:val="zh-CN" w:eastAsia="zh-CN" w:bidi="zh-CN"/>
        </w:rPr>
        <w:t>“武</w:t>
      </w:r>
      <w:r>
        <w:rPr>
          <w:rStyle w:val="32"/>
          <w:b w:val="0"/>
          <w:bCs w:val="0"/>
          <w:i w:val="0"/>
          <w:iCs w:val="0"/>
          <w:smallCaps w:val="0"/>
          <w:strike w:val="0"/>
        </w:rPr>
        <w:t>侯国土局与 招商局公司、成都港招公司、海南民丰公司债权人代位权纠纷案”评释》，载《交大法学》</w:t>
      </w:r>
      <w:r>
        <w:rPr>
          <w:rStyle w:val="32"/>
          <w:rFonts w:ascii="Times New Roman" w:hAnsi="Times New Roman" w:eastAsia="Times New Roman" w:cs="Times New Roman"/>
          <w:b w:val="0"/>
          <w:bCs w:val="0"/>
          <w:i w:val="0"/>
          <w:iCs w:val="0"/>
          <w:smallCaps w:val="0"/>
          <w:strike w:val="0"/>
          <w:sz w:val="17"/>
          <w:szCs w:val="17"/>
        </w:rPr>
        <w:t>2013</w:t>
      </w:r>
      <w:r>
        <w:rPr>
          <w:rStyle w:val="32"/>
          <w:b w:val="0"/>
          <w:bCs w:val="0"/>
          <w:i w:val="0"/>
          <w:iCs w:val="0"/>
          <w:smallCaps w:val="0"/>
          <w:strike w:val="0"/>
        </w:rPr>
        <w:t>年第</w:t>
      </w:r>
      <w:r>
        <w:rPr>
          <w:rStyle w:val="32"/>
          <w:rFonts w:ascii="Times New Roman" w:hAnsi="Times New Roman" w:eastAsia="Times New Roman" w:cs="Times New Roman"/>
          <w:b w:val="0"/>
          <w:bCs w:val="0"/>
          <w:i w:val="0"/>
          <w:iCs w:val="0"/>
          <w:smallCaps w:val="0"/>
          <w:strike w:val="0"/>
          <w:sz w:val="17"/>
          <w:szCs w:val="17"/>
        </w:rPr>
        <w:t>1</w:t>
      </w:r>
      <w:r>
        <w:rPr>
          <w:rStyle w:val="32"/>
          <w:b w:val="0"/>
          <w:bCs w:val="0"/>
          <w:i w:val="0"/>
          <w:iCs w:val="0"/>
          <w:smallCaps w:val="0"/>
          <w:strike w:val="0"/>
        </w:rPr>
        <w:t>期； 其木提:《代物清偿协议的效力——最高人民法院</w:t>
      </w:r>
      <w:r>
        <w:rPr>
          <w:rStyle w:val="32"/>
          <w:b w:val="0"/>
          <w:bCs w:val="0"/>
          <w:i w:val="0"/>
          <w:iCs w:val="0"/>
          <w:smallCaps w:val="0"/>
          <w:strike w:val="0"/>
          <w:sz w:val="17"/>
          <w:szCs w:val="17"/>
        </w:rPr>
        <w:t>（</w:t>
      </w:r>
      <w:r>
        <w:rPr>
          <w:rStyle w:val="32"/>
          <w:rFonts w:ascii="Times New Roman" w:hAnsi="Times New Roman" w:eastAsia="Times New Roman" w:cs="Times New Roman"/>
          <w:b w:val="0"/>
          <w:bCs w:val="0"/>
          <w:i w:val="0"/>
          <w:iCs w:val="0"/>
          <w:smallCaps w:val="0"/>
          <w:strike w:val="0"/>
          <w:sz w:val="17"/>
          <w:szCs w:val="17"/>
        </w:rPr>
        <w:t>2011）</w:t>
      </w:r>
      <w:r>
        <w:rPr>
          <w:rStyle w:val="32"/>
          <w:b w:val="0"/>
          <w:bCs w:val="0"/>
          <w:i w:val="0"/>
          <w:iCs w:val="0"/>
          <w:smallCaps w:val="0"/>
          <w:strike w:val="0"/>
        </w:rPr>
        <w:t>民提字第</w:t>
      </w:r>
      <w:r>
        <w:rPr>
          <w:rStyle w:val="32"/>
          <w:rFonts w:ascii="Times New Roman" w:hAnsi="Times New Roman" w:eastAsia="Times New Roman" w:cs="Times New Roman"/>
          <w:b w:val="0"/>
          <w:bCs w:val="0"/>
          <w:i w:val="0"/>
          <w:iCs w:val="0"/>
          <w:smallCaps w:val="0"/>
          <w:strike w:val="0"/>
          <w:sz w:val="17"/>
          <w:szCs w:val="17"/>
        </w:rPr>
        <w:t>210</w:t>
      </w:r>
      <w:r>
        <w:rPr>
          <w:rStyle w:val="32"/>
          <w:b w:val="0"/>
          <w:bCs w:val="0"/>
          <w:i w:val="0"/>
          <w:iCs w:val="0"/>
          <w:smallCaps w:val="0"/>
          <w:strike w:val="0"/>
        </w:rPr>
        <w:t>号民事判决评释》，载《交大法 学》</w:t>
      </w:r>
      <w:r>
        <w:rPr>
          <w:rStyle w:val="32"/>
          <w:rFonts w:ascii="Times New Roman" w:hAnsi="Times New Roman" w:eastAsia="Times New Roman" w:cs="Times New Roman"/>
          <w:b w:val="0"/>
          <w:bCs w:val="0"/>
          <w:i w:val="0"/>
          <w:iCs w:val="0"/>
          <w:smallCaps w:val="0"/>
          <w:strike w:val="0"/>
          <w:sz w:val="17"/>
          <w:szCs w:val="17"/>
        </w:rPr>
        <w:t>2013</w:t>
      </w:r>
      <w:r>
        <w:rPr>
          <w:rStyle w:val="32"/>
          <w:b w:val="0"/>
          <w:bCs w:val="0"/>
          <w:i w:val="0"/>
          <w:iCs w:val="0"/>
          <w:smallCaps w:val="0"/>
          <w:strike w:val="0"/>
        </w:rPr>
        <w:t>年第</w:t>
      </w:r>
      <w:r>
        <w:rPr>
          <w:rStyle w:val="32"/>
          <w:rFonts w:ascii="Times New Roman" w:hAnsi="Times New Roman" w:eastAsia="Times New Roman" w:cs="Times New Roman"/>
          <w:b w:val="0"/>
          <w:bCs w:val="0"/>
          <w:i w:val="0"/>
          <w:iCs w:val="0"/>
          <w:smallCaps w:val="0"/>
          <w:strike w:val="0"/>
          <w:sz w:val="17"/>
          <w:szCs w:val="17"/>
        </w:rPr>
        <w:t>3</w:t>
      </w:r>
      <w:r>
        <w:rPr>
          <w:rStyle w:val="32"/>
          <w:b w:val="0"/>
          <w:bCs w:val="0"/>
          <w:i w:val="0"/>
          <w:iCs w:val="0"/>
          <w:smallCaps w:val="0"/>
          <w:strike w:val="0"/>
        </w:rPr>
        <w:t>期］。</w:t>
      </w:r>
    </w:p>
    <w:p w14:paraId="46C4F793">
      <w:pPr>
        <w:pStyle w:val="17"/>
        <w:keepNext w:val="0"/>
        <w:keepLines w:val="0"/>
        <w:widowControl w:val="0"/>
        <w:numPr>
          <w:ilvl w:val="0"/>
          <w:numId w:val="27"/>
        </w:numPr>
        <w:shd w:val="clear" w:color="auto" w:fill="auto"/>
        <w:tabs>
          <w:tab w:val="left" w:pos="675"/>
        </w:tabs>
        <w:bidi w:val="0"/>
        <w:spacing w:before="0" w:after="0" w:line="345" w:lineRule="exact"/>
        <w:ind w:left="0" w:right="0"/>
        <w:jc w:val="both"/>
        <w:rPr>
          <w:sz w:val="11"/>
          <w:szCs w:val="11"/>
        </w:rPr>
      </w:pPr>
      <w:bookmarkStart w:id="117" w:name="bookmark426"/>
      <w:bookmarkEnd w:id="117"/>
      <w:r>
        <w:rPr>
          <w:color w:val="000000"/>
          <w:spacing w:val="0"/>
          <w:w w:val="100"/>
          <w:position w:val="0"/>
          <w:sz w:val="18"/>
          <w:szCs w:val="18"/>
        </w:rPr>
        <w:t>以物抵债的功能。</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sz w:val="18"/>
          <w:szCs w:val="18"/>
        </w:rPr>
        <w:t>年《最高人民法院公报》刊载的</w:t>
      </w:r>
      <w:r>
        <w:rPr>
          <w:color w:val="000000"/>
          <w:spacing w:val="0"/>
          <w:w w:val="100"/>
          <w:position w:val="0"/>
          <w:sz w:val="18"/>
          <w:szCs w:val="18"/>
          <w:lang w:val="zh-CN" w:eastAsia="zh-CN" w:bidi="zh-CN"/>
        </w:rPr>
        <w:t>“朱</w:t>
      </w:r>
      <w:r>
        <w:rPr>
          <w:color w:val="000000"/>
          <w:spacing w:val="0"/>
          <w:w w:val="100"/>
          <w:position w:val="0"/>
          <w:sz w:val="18"/>
          <w:szCs w:val="18"/>
        </w:rPr>
        <w:t>俊芳与山西嘉和泰房地产 开发有限公司商品房买卖合同纠纷案”</w:t>
      </w:r>
      <w:r>
        <w:rPr>
          <w:color w:val="000000"/>
          <w:spacing w:val="0"/>
          <w:w w:val="100"/>
          <w:position w:val="0"/>
          <w:sz w:val="11"/>
          <w:szCs w:val="11"/>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民提字第</w:t>
      </w:r>
      <w:r>
        <w:rPr>
          <w:rFonts w:ascii="Times New Roman" w:hAnsi="Times New Roman" w:eastAsia="Times New Roman" w:cs="Times New Roman"/>
          <w:color w:val="000000"/>
          <w:spacing w:val="0"/>
          <w:w w:val="100"/>
          <w:position w:val="0"/>
          <w:sz w:val="17"/>
          <w:szCs w:val="17"/>
        </w:rPr>
        <w:t>344</w:t>
      </w:r>
      <w:r>
        <w:rPr>
          <w:color w:val="000000"/>
          <w:spacing w:val="0"/>
          <w:w w:val="100"/>
          <w:position w:val="0"/>
          <w:sz w:val="11"/>
          <w:szCs w:val="11"/>
        </w:rPr>
        <w:t>号民事判决书，载《最 高人民法院公报》</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sz w:val="11"/>
          <w:szCs w:val="11"/>
        </w:rPr>
        <w:t>期）</w:t>
      </w:r>
      <w:r>
        <w:rPr>
          <w:color w:val="000000"/>
          <w:spacing w:val="0"/>
          <w:w w:val="100"/>
          <w:position w:val="0"/>
          <w:sz w:val="18"/>
          <w:szCs w:val="18"/>
        </w:rPr>
        <w:t>在判决摘要中提出</w:t>
      </w:r>
      <w:r>
        <w:rPr>
          <w:color w:val="000000"/>
          <w:spacing w:val="0"/>
          <w:w w:val="100"/>
          <w:position w:val="0"/>
          <w:sz w:val="18"/>
          <w:szCs w:val="18"/>
          <w:lang w:val="zh-CN" w:eastAsia="zh-CN" w:bidi="zh-CN"/>
        </w:rPr>
        <w:t>，“借</w:t>
      </w:r>
      <w:r>
        <w:rPr>
          <w:color w:val="000000"/>
          <w:spacing w:val="0"/>
          <w:w w:val="100"/>
          <w:position w:val="0"/>
          <w:sz w:val="18"/>
          <w:szCs w:val="18"/>
        </w:rPr>
        <w:t>款到期，借款人不能偿还借款。对方 当事人可要求并通过履行《商品房买卖合同》取得房屋所有权</w:t>
      </w:r>
      <w:r>
        <w:rPr>
          <w:color w:val="000000"/>
          <w:spacing w:val="0"/>
          <w:w w:val="100"/>
          <w:position w:val="0"/>
          <w:sz w:val="18"/>
          <w:szCs w:val="18"/>
          <w:lang w:val="zh-CN" w:eastAsia="zh-CN" w:bidi="zh-CN"/>
        </w:rPr>
        <w:t>”，由</w:t>
      </w:r>
      <w:r>
        <w:rPr>
          <w:color w:val="000000"/>
          <w:spacing w:val="0"/>
          <w:w w:val="100"/>
          <w:position w:val="0"/>
          <w:sz w:val="18"/>
          <w:szCs w:val="18"/>
        </w:rPr>
        <w:t>此为了融资需求,最高人 民法院允许将以物抵债的效力从债的消灭扩张到担保领域</w:t>
      </w:r>
      <w:r>
        <w:rPr>
          <w:color w:val="000000"/>
          <w:spacing w:val="0"/>
          <w:w w:val="100"/>
          <w:position w:val="0"/>
          <w:sz w:val="11"/>
          <w:szCs w:val="11"/>
        </w:rPr>
        <w:t>（陆青:《以房抵债协议的法理分析》， 载《法学研究》</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p>
    <w:p w14:paraId="267F688E">
      <w:pPr>
        <w:pStyle w:val="17"/>
        <w:keepNext w:val="0"/>
        <w:keepLines w:val="0"/>
        <w:widowControl w:val="0"/>
        <w:numPr>
          <w:ilvl w:val="0"/>
          <w:numId w:val="27"/>
        </w:numPr>
        <w:shd w:val="clear" w:color="auto" w:fill="auto"/>
        <w:tabs>
          <w:tab w:val="left" w:pos="682"/>
        </w:tabs>
        <w:bidi w:val="0"/>
        <w:spacing w:before="0" w:after="0" w:line="345" w:lineRule="exact"/>
        <w:ind w:left="0" w:right="0"/>
        <w:jc w:val="both"/>
      </w:pPr>
      <w:bookmarkStart w:id="118" w:name="bookmark427"/>
      <w:bookmarkEnd w:id="118"/>
      <w:r>
        <w:rPr>
          <w:color w:val="000000"/>
          <w:spacing w:val="0"/>
          <w:w w:val="100"/>
          <w:position w:val="0"/>
        </w:rPr>
        <w:t>以物抵债协议的履行顺序。《最高人民法院关于商事审判工作中的若干具体问题》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项规定</w:t>
      </w:r>
      <w:r>
        <w:rPr>
          <w:color w:val="000000"/>
          <w:spacing w:val="0"/>
          <w:w w:val="100"/>
          <w:position w:val="0"/>
          <w:lang w:val="zh-CN" w:eastAsia="zh-CN" w:bidi="zh-CN"/>
        </w:rPr>
        <w:t>，“如</w:t>
      </w:r>
      <w:r>
        <w:rPr>
          <w:color w:val="000000"/>
          <w:spacing w:val="0"/>
          <w:w w:val="100"/>
          <w:position w:val="0"/>
        </w:rPr>
        <w:t>果此时抵债物尚未交付给债权人，债务人反悔但未能提供证 据证明有能力继续履行原债务，债权人请求债务人履行以物抵债约定的，应予支持</w:t>
      </w:r>
      <w:r>
        <w:rPr>
          <w:color w:val="000000"/>
          <w:spacing w:val="0"/>
          <w:w w:val="100"/>
          <w:position w:val="0"/>
          <w:lang w:val="zh-CN" w:eastAsia="zh-CN" w:bidi="zh-CN"/>
        </w:rPr>
        <w:t>”，由</w:t>
      </w:r>
      <w:r>
        <w:rPr>
          <w:color w:val="000000"/>
          <w:spacing w:val="0"/>
          <w:w w:val="100"/>
          <w:position w:val="0"/>
        </w:rPr>
        <w:t>此， 债权人只能要求先履行原债，只有在原债陷入给付不能时，才能要求履行替代给付。</w:t>
      </w:r>
    </w:p>
    <w:p w14:paraId="1A3DDB54">
      <w:pPr>
        <w:pStyle w:val="17"/>
        <w:keepNext w:val="0"/>
        <w:keepLines w:val="0"/>
        <w:widowControl w:val="0"/>
        <w:shd w:val="clear" w:color="auto" w:fill="auto"/>
        <w:bidi w:val="0"/>
        <w:spacing w:before="0" w:after="160" w:line="345" w:lineRule="exact"/>
        <w:ind w:left="0" w:right="0"/>
        <w:jc w:val="both"/>
      </w:pPr>
      <w:r>
        <w:rPr>
          <w:color w:val="000000"/>
          <w:spacing w:val="0"/>
          <w:w w:val="100"/>
          <w:position w:val="0"/>
        </w:rPr>
        <w:t>综上所述，本判决的立场与以往的判决不同，它基于意思自治和合同法的一般原理，对 以物抵债规则进行了体系性的重构，排除了要物合同的阻碍,确认了以物抵债的规范内涵 及新旧债务的给付顺序。</w:t>
      </w:r>
    </w:p>
    <w:p w14:paraId="3974B884">
      <w:pPr>
        <w:pStyle w:val="17"/>
        <w:keepNext w:val="0"/>
        <w:keepLines w:val="0"/>
        <w:widowControl w:val="0"/>
        <w:shd w:val="clear" w:color="auto" w:fill="auto"/>
        <w:bidi w:val="0"/>
        <w:spacing w:before="0" w:after="160" w:line="344"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0F8F8BB1">
      <w:pPr>
        <w:pStyle w:val="17"/>
        <w:keepNext w:val="0"/>
        <w:keepLines w:val="0"/>
        <w:widowControl w:val="0"/>
        <w:shd w:val="clear" w:color="auto" w:fill="auto"/>
        <w:bidi w:val="0"/>
        <w:spacing w:before="0" w:after="0" w:line="344" w:lineRule="exact"/>
        <w:ind w:left="0" w:right="0"/>
        <w:jc w:val="both"/>
      </w:pP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月最高人民法院发布了《全菌诵民高薰丽工作会议纪要》（以下简称 《九民纪要》），其第</w:t>
      </w:r>
      <w:r>
        <w:rPr>
          <w:rFonts w:ascii="Times New Roman" w:hAnsi="Times New Roman" w:eastAsia="Times New Roman" w:cs="Times New Roman"/>
          <w:color w:val="000000"/>
          <w:spacing w:val="0"/>
          <w:w w:val="100"/>
          <w:position w:val="0"/>
          <w:sz w:val="19"/>
          <w:szCs w:val="19"/>
        </w:rPr>
        <w:t>44</w:t>
      </w:r>
      <w:r>
        <w:rPr>
          <w:color w:val="000000"/>
          <w:spacing w:val="0"/>
          <w:w w:val="100"/>
          <w:position w:val="0"/>
        </w:rPr>
        <w:t>条规定履行期届满后的以物抵债协议是诺成性的，并且债权人可以 直接主张履行，这意味着只有以</w:t>
      </w:r>
      <w:r>
        <w:rPr>
          <w:color w:val="000000"/>
          <w:spacing w:val="0"/>
          <w:w w:val="100"/>
          <w:position w:val="0"/>
          <w:lang w:val="zh-CN" w:eastAsia="zh-CN" w:bidi="zh-CN"/>
        </w:rPr>
        <w:t>“替</w:t>
      </w:r>
      <w:r>
        <w:rPr>
          <w:color w:val="000000"/>
          <w:spacing w:val="0"/>
          <w:w w:val="100"/>
          <w:position w:val="0"/>
        </w:rPr>
        <w:t>代清偿</w:t>
      </w:r>
      <w:r>
        <w:rPr>
          <w:color w:val="000000"/>
          <w:spacing w:val="0"/>
          <w:w w:val="100"/>
          <w:position w:val="0"/>
          <w:lang w:val="zh-CN" w:eastAsia="zh-CN" w:bidi="zh-CN"/>
        </w:rPr>
        <w:t>”为功</w:t>
      </w:r>
      <w:r>
        <w:rPr>
          <w:color w:val="000000"/>
          <w:spacing w:val="0"/>
          <w:w w:val="100"/>
          <w:position w:val="0"/>
        </w:rPr>
        <w:t>能的以物抵债，才是诺成性的并且直接产 生拘束力，这正是本判决立场的体现。但是与本判决相比，《九民纪要》在规则建构的体系 性和科学性上没有更进一步发展，却显得更为保守。将来的课题可以集中在两个方面：</w:t>
      </w:r>
    </w:p>
    <w:p w14:paraId="55AFFC97">
      <w:pPr>
        <w:pStyle w:val="17"/>
        <w:keepNext w:val="0"/>
        <w:keepLines w:val="0"/>
        <w:widowControl w:val="0"/>
        <w:numPr>
          <w:ilvl w:val="0"/>
          <w:numId w:val="28"/>
        </w:numPr>
        <w:shd w:val="clear" w:color="auto" w:fill="auto"/>
        <w:bidi w:val="0"/>
        <w:spacing w:before="0" w:after="0" w:line="344" w:lineRule="exact"/>
        <w:ind w:left="0" w:right="0"/>
        <w:jc w:val="both"/>
      </w:pPr>
      <w:bookmarkStart w:id="119" w:name="bookmark428"/>
      <w:bookmarkEnd w:id="119"/>
      <w:r>
        <w:rPr>
          <w:color w:val="000000"/>
          <w:spacing w:val="0"/>
          <w:w w:val="100"/>
          <w:position w:val="0"/>
        </w:rPr>
        <w:t>以物抵债的概念统一。《九民纪要》第</w:t>
      </w:r>
      <w:r>
        <w:rPr>
          <w:rFonts w:ascii="Times New Roman" w:hAnsi="Times New Roman" w:eastAsia="Times New Roman" w:cs="Times New Roman"/>
          <w:color w:val="000000"/>
          <w:spacing w:val="0"/>
          <w:w w:val="100"/>
          <w:position w:val="0"/>
          <w:sz w:val="19"/>
          <w:szCs w:val="19"/>
        </w:rPr>
        <w:t>44</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条以“履行期届满前</w:t>
      </w:r>
      <w:r>
        <w:rPr>
          <w:color w:val="000000"/>
          <w:spacing w:val="0"/>
          <w:w w:val="100"/>
          <w:position w:val="0"/>
          <w:lang w:val="zh-CN" w:eastAsia="zh-CN" w:bidi="zh-CN"/>
        </w:rPr>
        <w:t>”“履</w:t>
      </w:r>
      <w:r>
        <w:rPr>
          <w:color w:val="000000"/>
          <w:spacing w:val="0"/>
          <w:w w:val="100"/>
          <w:position w:val="0"/>
        </w:rPr>
        <w:t>行期届 满后”</w:t>
      </w:r>
      <w:r>
        <w:rPr>
          <w:color w:val="000000"/>
          <w:spacing w:val="0"/>
          <w:w w:val="100"/>
          <w:position w:val="0"/>
          <w:lang w:val="zh-CN" w:eastAsia="zh-CN" w:bidi="zh-CN"/>
        </w:rPr>
        <w:t>“诉讼</w:t>
      </w:r>
      <w:r>
        <w:rPr>
          <w:color w:val="000000"/>
          <w:spacing w:val="0"/>
          <w:w w:val="100"/>
          <w:position w:val="0"/>
        </w:rPr>
        <w:t>中</w:t>
      </w:r>
      <w:r>
        <w:rPr>
          <w:color w:val="000000"/>
          <w:spacing w:val="0"/>
          <w:w w:val="100"/>
          <w:position w:val="0"/>
          <w:lang w:val="zh-CN" w:eastAsia="zh-CN" w:bidi="zh-CN"/>
        </w:rPr>
        <w:t>”为线</w:t>
      </w:r>
      <w:r>
        <w:rPr>
          <w:color w:val="000000"/>
          <w:spacing w:val="0"/>
          <w:w w:val="100"/>
          <w:position w:val="0"/>
        </w:rPr>
        <w:t>索区分了以物抵债的类型,这显然破坏了以物抵债的同一性。既然以 物抵债的功能已经被定为</w:t>
      </w:r>
      <w:r>
        <w:rPr>
          <w:color w:val="000000"/>
          <w:spacing w:val="0"/>
          <w:w w:val="100"/>
          <w:position w:val="0"/>
          <w:lang w:val="zh-CN" w:eastAsia="zh-CN" w:bidi="zh-CN"/>
        </w:rPr>
        <w:t>“替</w:t>
      </w:r>
      <w:r>
        <w:rPr>
          <w:color w:val="000000"/>
          <w:spacing w:val="0"/>
          <w:w w:val="100"/>
          <w:position w:val="0"/>
        </w:rPr>
        <w:t>代清偿</w:t>
      </w:r>
      <w:r>
        <w:rPr>
          <w:color w:val="000000"/>
          <w:spacing w:val="0"/>
          <w:w w:val="100"/>
          <w:position w:val="0"/>
          <w:lang w:val="zh-CN" w:eastAsia="zh-CN" w:bidi="zh-CN"/>
        </w:rPr>
        <w:t>”，那</w:t>
      </w:r>
      <w:r>
        <w:rPr>
          <w:color w:val="000000"/>
          <w:spacing w:val="0"/>
          <w:w w:val="100"/>
          <w:position w:val="0"/>
        </w:rPr>
        <w:t>么最重要的则是判定合同的主给付义务是否为替 代给付，而非是协议达成的时间，事实上,《九民纪要》规定的</w:t>
      </w:r>
      <w:r>
        <w:rPr>
          <w:color w:val="000000"/>
          <w:spacing w:val="0"/>
          <w:w w:val="100"/>
          <w:position w:val="0"/>
          <w:lang w:val="zh-CN" w:eastAsia="zh-CN" w:bidi="zh-CN"/>
        </w:rPr>
        <w:t>“履行</w:t>
      </w:r>
      <w:r>
        <w:rPr>
          <w:color w:val="000000"/>
          <w:spacing w:val="0"/>
          <w:w w:val="100"/>
          <w:position w:val="0"/>
        </w:rPr>
        <w:t>期届满前的以物抵债</w:t>
      </w:r>
      <w:r>
        <w:rPr>
          <w:color w:val="000000"/>
          <w:spacing w:val="0"/>
          <w:w w:val="100"/>
          <w:position w:val="0"/>
          <w:lang w:val="zh-CN" w:eastAsia="zh-CN" w:bidi="zh-CN"/>
        </w:rPr>
        <w:t>”和 “诉讼</w:t>
      </w:r>
      <w:r>
        <w:rPr>
          <w:color w:val="000000"/>
          <w:spacing w:val="0"/>
          <w:w w:val="100"/>
          <w:position w:val="0"/>
        </w:rPr>
        <w:t>中的以物抵债</w:t>
      </w:r>
      <w:r>
        <w:rPr>
          <w:color w:val="000000"/>
          <w:spacing w:val="0"/>
          <w:w w:val="100"/>
          <w:position w:val="0"/>
          <w:lang w:val="zh-CN" w:eastAsia="zh-CN" w:bidi="zh-CN"/>
        </w:rPr>
        <w:t>”分</w:t>
      </w:r>
      <w:r>
        <w:rPr>
          <w:color w:val="000000"/>
          <w:spacing w:val="0"/>
          <w:w w:val="100"/>
          <w:position w:val="0"/>
        </w:rPr>
        <w:t>别属于担保合同及和解合同，都不是规范意义上以</w:t>
      </w:r>
      <w:r>
        <w:rPr>
          <w:color w:val="000000"/>
          <w:spacing w:val="0"/>
          <w:w w:val="100"/>
          <w:position w:val="0"/>
          <w:lang w:val="zh-CN" w:eastAsia="zh-CN" w:bidi="zh-CN"/>
        </w:rPr>
        <w:t>“替</w:t>
      </w:r>
      <w:r>
        <w:rPr>
          <w:color w:val="000000"/>
          <w:spacing w:val="0"/>
          <w:w w:val="100"/>
          <w:position w:val="0"/>
        </w:rPr>
        <w:t>代清偿</w:t>
      </w:r>
      <w:r>
        <w:rPr>
          <w:color w:val="000000"/>
          <w:spacing w:val="0"/>
          <w:w w:val="100"/>
          <w:position w:val="0"/>
          <w:lang w:val="zh-CN" w:eastAsia="zh-CN" w:bidi="zh-CN"/>
        </w:rPr>
        <w:t xml:space="preserve">”为目 </w:t>
      </w:r>
      <w:r>
        <w:rPr>
          <w:color w:val="000000"/>
          <w:spacing w:val="0"/>
          <w:w w:val="100"/>
          <w:position w:val="0"/>
        </w:rPr>
        <w:t>的的以物抵债协议。</w:t>
      </w:r>
    </w:p>
    <w:p w14:paraId="6F5A4F38">
      <w:pPr>
        <w:pStyle w:val="17"/>
        <w:keepNext w:val="0"/>
        <w:keepLines w:val="0"/>
        <w:widowControl w:val="0"/>
        <w:shd w:val="clear" w:color="auto" w:fill="auto"/>
        <w:bidi w:val="0"/>
        <w:spacing w:before="0" w:after="0" w:line="344" w:lineRule="exact"/>
        <w:ind w:left="0" w:right="0"/>
        <w:jc w:val="both"/>
      </w:pPr>
      <w:r>
        <w:rPr>
          <w:color w:val="000000"/>
          <w:spacing w:val="0"/>
          <w:w w:val="100"/>
          <w:position w:val="0"/>
          <w:lang w:val="zh-CN" w:eastAsia="zh-CN" w:bidi="zh-CN"/>
        </w:rPr>
        <w:t>“履行</w:t>
      </w:r>
      <w:r>
        <w:rPr>
          <w:color w:val="000000"/>
          <w:spacing w:val="0"/>
          <w:w w:val="100"/>
          <w:position w:val="0"/>
        </w:rPr>
        <w:t xml:space="preserve">期届满前后”只是一个用来区分以物抵债和担保合同的参照点，两者的差别不在 约定的时间节点，而是主给付义务:在担保合同中，两个债务关系不是新旧而是主从，担保 责任的履行取决于主债务是否履行，只有主债务不履行的情况下才履行从债务。近似的 </w:t>
      </w:r>
      <w:r>
        <w:rPr>
          <w:color w:val="000000"/>
          <w:spacing w:val="0"/>
          <w:w w:val="100"/>
          <w:position w:val="0"/>
          <w:lang w:val="zh-CN" w:eastAsia="zh-CN" w:bidi="zh-CN"/>
        </w:rPr>
        <w:t>“诉讼</w:t>
      </w:r>
      <w:r>
        <w:rPr>
          <w:color w:val="000000"/>
          <w:spacing w:val="0"/>
          <w:w w:val="100"/>
          <w:position w:val="0"/>
        </w:rPr>
        <w:t>中的以物抵债</w:t>
      </w:r>
      <w:r>
        <w:rPr>
          <w:color w:val="000000"/>
          <w:spacing w:val="0"/>
          <w:w w:val="100"/>
          <w:position w:val="0"/>
          <w:lang w:val="zh-CN" w:eastAsia="zh-CN" w:bidi="zh-CN"/>
        </w:rPr>
        <w:t>”也</w:t>
      </w:r>
      <w:r>
        <w:rPr>
          <w:color w:val="000000"/>
          <w:spacing w:val="0"/>
          <w:w w:val="100"/>
          <w:position w:val="0"/>
        </w:rPr>
        <w:t>存在同样问题，以物抵债的前提是存在一个确定的原债关系，但诉 讼中的以物抵债，原债关系尚陷争讼,没有确定的原债自然谈不上替代给付关系，此时形成 的是和解合同，双方目的不是替代清偿而是避免诉讼</w:t>
      </w:r>
      <w:r>
        <w:rPr>
          <w:color w:val="000000"/>
          <w:spacing w:val="0"/>
          <w:w w:val="100"/>
          <w:position w:val="0"/>
          <w:sz w:val="11"/>
          <w:szCs w:val="11"/>
        </w:rPr>
        <w:t>（肖俊:《和解合同的私法传统与规范适 用》，载《现代法学》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r>
        <w:rPr>
          <w:color w:val="000000"/>
          <w:spacing w:val="0"/>
          <w:w w:val="100"/>
          <w:position w:val="0"/>
        </w:rPr>
        <w:t>由此，只有通过本判决确定的</w:t>
      </w:r>
      <w:r>
        <w:rPr>
          <w:color w:val="000000"/>
          <w:spacing w:val="0"/>
          <w:w w:val="100"/>
          <w:position w:val="0"/>
          <w:lang w:val="zh-CN" w:eastAsia="zh-CN" w:bidi="zh-CN"/>
        </w:rPr>
        <w:t>“替</w:t>
      </w:r>
      <w:r>
        <w:rPr>
          <w:color w:val="000000"/>
          <w:spacing w:val="0"/>
          <w:w w:val="100"/>
          <w:position w:val="0"/>
        </w:rPr>
        <w:t>代清偿</w:t>
      </w:r>
      <w:r>
        <w:rPr>
          <w:color w:val="000000"/>
          <w:spacing w:val="0"/>
          <w:w w:val="100"/>
          <w:position w:val="0"/>
          <w:lang w:val="zh-CN" w:eastAsia="zh-CN" w:bidi="zh-CN"/>
        </w:rPr>
        <w:t>”功</w:t>
      </w:r>
      <w:r>
        <w:rPr>
          <w:color w:val="000000"/>
          <w:spacing w:val="0"/>
          <w:w w:val="100"/>
          <w:position w:val="0"/>
        </w:rPr>
        <w:t>能才能作为统 一以物抵债类型和概念的基础。</w:t>
      </w:r>
    </w:p>
    <w:p w14:paraId="50C9B8A7">
      <w:pPr>
        <w:pStyle w:val="17"/>
        <w:keepNext w:val="0"/>
        <w:keepLines w:val="0"/>
        <w:widowControl w:val="0"/>
        <w:numPr>
          <w:ilvl w:val="0"/>
          <w:numId w:val="28"/>
        </w:numPr>
        <w:shd w:val="clear" w:color="auto" w:fill="auto"/>
        <w:bidi w:val="0"/>
        <w:spacing w:before="0" w:after="0" w:line="340" w:lineRule="exact"/>
        <w:ind w:left="0" w:right="0"/>
        <w:jc w:val="both"/>
      </w:pPr>
      <w:bookmarkStart w:id="120" w:name="bookmark429"/>
      <w:bookmarkEnd w:id="120"/>
      <w:r>
        <w:rPr>
          <w:color w:val="000000"/>
          <w:spacing w:val="0"/>
          <w:w w:val="100"/>
          <w:position w:val="0"/>
        </w:rPr>
        <w:t>以物抵债中的履行障碍问题和原给付请求权的回复。原《合同法》和《九民纪要》没 有规定以物抵债协议的瑕疵担保责任,从学理上看，对此可以适用买卖合同中的瑕疵担保 责任。但在何种情况下债权人可以主张回复原债请求权仍然有待研究。在罗马法中，对于 替代清偿的瑕疵，不采买卖合同的瑕疵担保责任，只要债权人没有获得满足就可以重新请 求原债给付。在现代民法中，《德国民法典》采取先按照替代给付承担瑕疵担保责任的做法 （第</w:t>
      </w:r>
      <w:r>
        <w:rPr>
          <w:rFonts w:ascii="Times New Roman" w:hAnsi="Times New Roman" w:eastAsia="Times New Roman" w:cs="Times New Roman"/>
          <w:color w:val="000000"/>
          <w:spacing w:val="0"/>
          <w:w w:val="100"/>
          <w:position w:val="0"/>
          <w:sz w:val="19"/>
          <w:szCs w:val="19"/>
        </w:rPr>
        <w:t>365</w:t>
      </w:r>
      <w:r>
        <w:rPr>
          <w:color w:val="000000"/>
          <w:spacing w:val="0"/>
          <w:w w:val="100"/>
          <w:position w:val="0"/>
        </w:rPr>
        <w:t>条），只有在瑕疵程度严重的情况下，才允许通过解除替代给付关系回复到原债关 系;《意大利民法典》则选取了两者并存的径路（第</w:t>
      </w:r>
      <w:r>
        <w:rPr>
          <w:rFonts w:ascii="Times New Roman" w:hAnsi="Times New Roman" w:eastAsia="Times New Roman" w:cs="Times New Roman"/>
          <w:color w:val="000000"/>
          <w:spacing w:val="0"/>
          <w:w w:val="100"/>
          <w:position w:val="0"/>
          <w:sz w:val="19"/>
          <w:szCs w:val="19"/>
        </w:rPr>
        <w:t>1197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款），当事人可以选择替代给 付的瑕疵担保责任或回复到原债关系。</w:t>
      </w:r>
    </w:p>
    <w:p w14:paraId="736B9E32">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从本判决看，最高人民法院的态度是可以不经解除直接申请回复到原债关系。虽然没 有直接讨论履行瑕疵问题，但本判决提出,若清偿目的不能实现，债权人有权请求债务人履 行旧债务，无须解除以物抵债协议。因此,在替代给付存在轻微瑕疵的情况下，债权人不能 主张回复原债请求权，但若瑕疵的严重程度使清偿目的无法实现，则债权人可不解除以物 抵债协议直接主张原债给付。</w:t>
      </w:r>
    </w:p>
    <w:p w14:paraId="16175A87">
      <w:pPr>
        <w:pStyle w:val="11"/>
        <w:keepNext w:val="0"/>
        <w:keepLines w:val="0"/>
        <w:widowControl w:val="0"/>
        <w:shd w:val="clear" w:color="auto" w:fill="auto"/>
        <w:bidi w:val="0"/>
        <w:spacing w:before="0" w:after="60" w:line="340" w:lineRule="exact"/>
        <w:ind w:left="0" w:right="0" w:firstLine="0"/>
        <w:jc w:val="left"/>
      </w:pPr>
      <w:r>
        <w:rPr>
          <w:color w:val="000000"/>
          <w:spacing w:val="0"/>
          <w:w w:val="100"/>
          <w:position w:val="0"/>
        </w:rPr>
        <w:t>回参考文献</w:t>
      </w:r>
    </w:p>
    <w:p w14:paraId="46F01989">
      <w:pPr>
        <w:pStyle w:val="33"/>
        <w:keepNext w:val="0"/>
        <w:keepLines w:val="0"/>
        <w:widowControl w:val="0"/>
        <w:shd w:val="clear" w:color="auto" w:fill="auto"/>
        <w:bidi w:val="0"/>
        <w:spacing w:before="0" w:after="0" w:line="307" w:lineRule="exact"/>
        <w:ind w:left="180" w:right="0" w:hanging="180"/>
        <w:jc w:val="both"/>
      </w:pPr>
      <w:r>
        <w:rPr>
          <w:color w:val="000000"/>
          <w:spacing w:val="0"/>
          <w:w w:val="100"/>
          <w:position w:val="0"/>
        </w:rPr>
        <w:t>房绍坤、严聪:《以物抵债协议的法律适用与性质判断</w:t>
      </w:r>
      <w:r>
        <w:rPr>
          <w:color w:val="000000"/>
          <w:spacing w:val="0"/>
          <w:w w:val="100"/>
          <w:position w:val="0"/>
          <w:lang w:val="en-US" w:eastAsia="en-US" w:bidi="en-US"/>
        </w:rPr>
        <w:t>一一</w:t>
      </w:r>
      <w:r>
        <w:rPr>
          <w:color w:val="000000"/>
          <w:spacing w:val="0"/>
          <w:w w:val="100"/>
          <w:position w:val="0"/>
        </w:rPr>
        <w:t>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484</w:t>
      </w:r>
      <w:r>
        <w:rPr>
          <w:color w:val="000000"/>
          <w:spacing w:val="0"/>
          <w:w w:val="100"/>
          <w:position w:val="0"/>
        </w:rPr>
        <w:t>号判决 评释》，载《求是学刊》</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9B08DF0">
      <w:pPr>
        <w:pStyle w:val="33"/>
        <w:keepNext w:val="0"/>
        <w:keepLines w:val="0"/>
        <w:widowControl w:val="0"/>
        <w:shd w:val="clear" w:color="auto" w:fill="auto"/>
        <w:bidi w:val="0"/>
        <w:spacing w:before="0" w:after="0" w:line="307" w:lineRule="exact"/>
        <w:ind w:left="0" w:right="0" w:firstLine="0"/>
        <w:jc w:val="both"/>
      </w:pPr>
      <w:r>
        <w:rPr>
          <w:color w:val="000000"/>
          <w:spacing w:val="0"/>
          <w:w w:val="100"/>
          <w:position w:val="0"/>
        </w:rPr>
        <w:t>肖俊:《代物清偿中的合意基础与清偿效果研究》，载《中外法学》</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4046EF5">
      <w:pPr>
        <w:pStyle w:val="33"/>
        <w:keepNext w:val="0"/>
        <w:keepLines w:val="0"/>
        <w:widowControl w:val="0"/>
        <w:shd w:val="clear" w:color="auto" w:fill="auto"/>
        <w:bidi w:val="0"/>
        <w:spacing w:before="0" w:after="0" w:line="317" w:lineRule="exact"/>
        <w:ind w:left="0" w:right="0" w:firstLine="0"/>
        <w:jc w:val="both"/>
      </w:pPr>
      <w:r>
        <w:rPr>
          <w:color w:val="000000"/>
          <w:spacing w:val="0"/>
          <w:w w:val="100"/>
          <w:position w:val="0"/>
        </w:rPr>
        <w:t>［德］梅迪库斯:《德国债法总论》，杜景林等译，法律出版社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398E2C3B">
      <w:pPr>
        <w:pStyle w:val="33"/>
        <w:keepNext w:val="0"/>
        <w:keepLines w:val="0"/>
        <w:widowControl w:val="0"/>
        <w:shd w:val="clear" w:color="auto" w:fill="auto"/>
        <w:bidi w:val="0"/>
        <w:spacing w:before="0" w:after="60" w:line="317" w:lineRule="exact"/>
        <w:ind w:left="0" w:right="0" w:firstLine="0"/>
        <w:jc w:val="both"/>
        <w:sectPr>
          <w:headerReference r:id="rId404" w:type="default"/>
          <w:headerReference r:id="rId405" w:type="even"/>
          <w:footnotePr>
            <w:numFmt w:val="chicago"/>
          </w:footnotePr>
          <w:pgSz w:w="10099" w:h="14782"/>
          <w:pgMar w:top="1313" w:right="992" w:bottom="1088" w:left="1109" w:header="0" w:footer="3" w:gutter="0"/>
          <w:pgNumType w:start="337"/>
          <w:cols w:space="720" w:num="1"/>
          <w:rtlGutter w:val="0"/>
          <w:docGrid w:linePitch="360" w:charSpace="0"/>
        </w:sectPr>
      </w:pPr>
      <w:r>
        <w:rPr>
          <w:color w:val="000000"/>
          <w:spacing w:val="0"/>
          <w:w w:val="100"/>
          <w:position w:val="0"/>
        </w:rPr>
        <w:t>［德］罗歇尔德斯:《德国债法总论》（第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版），沈小军、张金海译，中国人民大学出版社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 肖俊:《和解合同的私法传统与规范适用》，载《现代法学》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0B2DD258">
      <w:pPr>
        <w:widowControl w:val="0"/>
        <w:spacing w:line="134" w:lineRule="exact"/>
        <w:rPr>
          <w:sz w:val="11"/>
          <w:szCs w:val="11"/>
        </w:rPr>
      </w:pPr>
    </w:p>
    <w:p w14:paraId="5B08391D">
      <w:pPr>
        <w:widowControl w:val="0"/>
        <w:spacing w:line="1" w:lineRule="exact"/>
        <w:sectPr>
          <w:headerReference r:id="rId406" w:type="default"/>
          <w:headerReference r:id="rId407" w:type="even"/>
          <w:footnotePr>
            <w:numFmt w:val="chicago"/>
          </w:footnotePr>
          <w:pgSz w:w="10099" w:h="14782"/>
          <w:pgMar w:top="1328" w:right="1088" w:bottom="1076" w:left="1010" w:header="0" w:footer="3" w:gutter="0"/>
          <w:pgNumType w:start="357"/>
          <w:cols w:space="720" w:num="1"/>
          <w:rtlGutter w:val="0"/>
          <w:docGrid w:linePitch="360" w:charSpace="0"/>
        </w:sectPr>
      </w:pPr>
    </w:p>
    <w:p w14:paraId="6DA51049">
      <w:pPr>
        <w:widowControl w:val="0"/>
        <w:spacing w:line="1" w:lineRule="exact"/>
      </w:pPr>
      <w:r>
        <mc:AlternateContent>
          <mc:Choice Requires="wps">
            <w:drawing>
              <wp:anchor distT="0" distB="31115" distL="0" distR="0" simplePos="0" relativeHeight="251660288" behindDoc="0" locked="0" layoutInCell="1" allowOverlap="1">
                <wp:simplePos x="0" y="0"/>
                <wp:positionH relativeFrom="page">
                  <wp:posOffset>700405</wp:posOffset>
                </wp:positionH>
                <wp:positionV relativeFrom="paragraph">
                  <wp:posOffset>0</wp:posOffset>
                </wp:positionV>
                <wp:extent cx="448310" cy="304800"/>
                <wp:effectExtent l="0" t="0" r="0" b="0"/>
                <wp:wrapTopAndBottom/>
                <wp:docPr id="943" name="Shape 943"/>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0A2D5478">
                            <w:pPr>
                              <w:pStyle w:val="27"/>
                              <w:keepNext/>
                              <w:keepLines/>
                              <w:widowControl w:val="0"/>
                              <w:shd w:val="clear" w:color="auto" w:fill="auto"/>
                              <w:bidi w:val="0"/>
                              <w:spacing w:before="0" w:after="0" w:line="240" w:lineRule="auto"/>
                              <w:ind w:left="0" w:right="0" w:firstLine="0"/>
                              <w:jc w:val="left"/>
                            </w:pPr>
                            <w:bookmarkStart w:id="516" w:name="bookmark432"/>
                            <w:bookmarkStart w:id="517" w:name="bookmark431"/>
                            <w:bookmarkStart w:id="518" w:name="bookmark430"/>
                            <w:r>
                              <w:rPr>
                                <w:rFonts w:ascii="Times New Roman" w:hAnsi="Times New Roman" w:eastAsia="Times New Roman" w:cs="Times New Roman"/>
                                <w:color w:val="000000"/>
                                <w:spacing w:val="0"/>
                                <w:w w:val="100"/>
                                <w:position w:val="0"/>
                              </w:rPr>
                              <w:t>069</w:t>
                            </w:r>
                            <w:bookmarkEnd w:id="516"/>
                            <w:bookmarkEnd w:id="517"/>
                            <w:bookmarkEnd w:id="518"/>
                          </w:p>
                        </w:txbxContent>
                      </wps:txbx>
                      <wps:bodyPr wrap="none" lIns="0" tIns="0" rIns="0" bIns="0">
                        <a:noAutofit/>
                      </wps:bodyPr>
                    </wps:wsp>
                  </a:graphicData>
                </a:graphic>
              </wp:anchor>
            </w:drawing>
          </mc:Choice>
          <mc:Fallback>
            <w:pict>
              <v:shape id="Shape 943" o:spid="_x0000_s1026" o:spt="202" type="#_x0000_t202" style="position:absolute;left:0pt;margin-left:55.15pt;margin-top:0pt;height:24pt;width:35.3pt;mso-position-horizontal-relative:page;mso-wrap-distance-bottom:2.45pt;mso-wrap-distance-top:0pt;mso-wrap-style:none;z-index:251660288;mso-width-relative:page;mso-height-relative:page;" filled="f" stroked="f" coordsize="21600,21600" o:gfxdata="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JLrBDvSAAAABwEA&#10;AA8AAAAAAAAAAQAgAAAAIgAAAGRycy9kb3ducmV2LnhtbFBLAQIUABQAAAAIAIdO4kAYTylirgEA&#10;AHMDAAAOAAAAAAAAAAEAIAAAACEBAABkcnMvZTJvRG9jLnhtbFBLBQYAAAAABgAGAFkBAABBBQAA&#10;AAA=&#10;">
                <v:fill on="f" focussize="0,0"/>
                <v:stroke on="f"/>
                <v:imagedata o:title=""/>
                <o:lock v:ext="edit" aspectratio="f"/>
                <v:textbox inset="0mm,0mm,0mm,0mm">
                  <w:txbxContent>
                    <w:p w14:paraId="0A2D5478">
                      <w:pPr>
                        <w:pStyle w:val="27"/>
                        <w:keepNext/>
                        <w:keepLines/>
                        <w:widowControl w:val="0"/>
                        <w:shd w:val="clear" w:color="auto" w:fill="auto"/>
                        <w:bidi w:val="0"/>
                        <w:spacing w:before="0" w:after="0" w:line="240" w:lineRule="auto"/>
                        <w:ind w:left="0" w:right="0" w:firstLine="0"/>
                        <w:jc w:val="left"/>
                      </w:pPr>
                      <w:bookmarkStart w:id="516" w:name="bookmark432"/>
                      <w:bookmarkStart w:id="517" w:name="bookmark431"/>
                      <w:bookmarkStart w:id="518" w:name="bookmark430"/>
                      <w:r>
                        <w:rPr>
                          <w:rFonts w:ascii="Times New Roman" w:hAnsi="Times New Roman" w:eastAsia="Times New Roman" w:cs="Times New Roman"/>
                          <w:color w:val="000000"/>
                          <w:spacing w:val="0"/>
                          <w:w w:val="100"/>
                          <w:position w:val="0"/>
                        </w:rPr>
                        <w:t>069</w:t>
                      </w:r>
                      <w:bookmarkEnd w:id="516"/>
                      <w:bookmarkEnd w:id="517"/>
                      <w:bookmarkEnd w:id="518"/>
                    </w:p>
                  </w:txbxContent>
                </v:textbox>
                <w10:wrap type="topAndBottom"/>
              </v:shape>
            </w:pict>
          </mc:Fallback>
        </mc:AlternateContent>
      </w:r>
      <w:r>
        <mc:AlternateContent>
          <mc:Choice Requires="wps">
            <w:drawing>
              <wp:anchor distT="86995" distB="12700" distL="0" distR="0" simplePos="0" relativeHeight="251660288" behindDoc="0" locked="0" layoutInCell="1" allowOverlap="1">
                <wp:simplePos x="0" y="0"/>
                <wp:positionH relativeFrom="page">
                  <wp:posOffset>1279525</wp:posOffset>
                </wp:positionH>
                <wp:positionV relativeFrom="paragraph">
                  <wp:posOffset>86995</wp:posOffset>
                </wp:positionV>
                <wp:extent cx="3634740" cy="236220"/>
                <wp:effectExtent l="0" t="0" r="0" b="0"/>
                <wp:wrapTopAndBottom/>
                <wp:docPr id="945" name="Shape 945"/>
                <wp:cNvGraphicFramePr/>
                <a:graphic xmlns:a="http://schemas.openxmlformats.org/drawingml/2006/main">
                  <a:graphicData uri="http://schemas.microsoft.com/office/word/2010/wordprocessingShape">
                    <wps:wsp>
                      <wps:cNvSpPr txBox="1"/>
                      <wps:spPr>
                        <a:xfrm>
                          <a:off x="0" y="0"/>
                          <a:ext cx="3634740" cy="236220"/>
                        </a:xfrm>
                        <a:prstGeom prst="rect">
                          <a:avLst/>
                        </a:prstGeom>
                        <a:noFill/>
                      </wps:spPr>
                      <wps:txbx>
                        <w:txbxContent>
                          <w:p w14:paraId="01F7CF2D">
                            <w:pPr>
                              <w:pStyle w:val="15"/>
                              <w:keepNext/>
                              <w:keepLines/>
                              <w:widowControl w:val="0"/>
                              <w:shd w:val="clear" w:color="auto" w:fill="auto"/>
                              <w:bidi w:val="0"/>
                              <w:spacing w:before="0" w:after="0" w:line="240" w:lineRule="auto"/>
                              <w:ind w:left="0" w:right="0" w:firstLine="0"/>
                              <w:jc w:val="left"/>
                            </w:pPr>
                            <w:bookmarkStart w:id="519" w:name="bookmark433"/>
                            <w:bookmarkStart w:id="520" w:name="bookmark435"/>
                            <w:bookmarkStart w:id="521" w:name="bookmark434"/>
                            <w:r>
                              <w:rPr>
                                <w:color w:val="000000"/>
                                <w:spacing w:val="0"/>
                                <w:w w:val="100"/>
                                <w:position w:val="0"/>
                              </w:rPr>
                              <w:t>非金钱合同债务履行费用</w:t>
                            </w:r>
                            <w:r>
                              <w:rPr>
                                <w:color w:val="000000"/>
                                <w:spacing w:val="0"/>
                                <w:w w:val="100"/>
                                <w:position w:val="0"/>
                                <w:lang w:val="zh-CN" w:eastAsia="zh-CN" w:bidi="zh-CN"/>
                              </w:rPr>
                              <w:t>“过高”与</w:t>
                            </w:r>
                            <w:r>
                              <w:rPr>
                                <w:color w:val="000000"/>
                                <w:spacing w:val="0"/>
                                <w:w w:val="100"/>
                                <w:position w:val="0"/>
                              </w:rPr>
                              <w:t>违约</w:t>
                            </w:r>
                            <w:bookmarkEnd w:id="519"/>
                            <w:bookmarkEnd w:id="520"/>
                            <w:bookmarkEnd w:id="521"/>
                          </w:p>
                        </w:txbxContent>
                      </wps:txbx>
                      <wps:bodyPr wrap="none" lIns="0" tIns="0" rIns="0" bIns="0">
                        <a:noAutofit/>
                      </wps:bodyPr>
                    </wps:wsp>
                  </a:graphicData>
                </a:graphic>
              </wp:anchor>
            </w:drawing>
          </mc:Choice>
          <mc:Fallback>
            <w:pict>
              <v:shape id="Shape 945" o:spid="_x0000_s1026" o:spt="202" type="#_x0000_t202" style="position:absolute;left:0pt;margin-left:100.75pt;margin-top:6.85pt;height:18.6pt;width:286.2pt;mso-position-horizontal-relative:page;mso-wrap-distance-bottom:1pt;mso-wrap-distance-top:6.85pt;mso-wrap-style:none;z-index:251660288;mso-width-relative:page;mso-height-relative:page;" filled="f" stroked="f" coordsize="21600,21600" o:gfxdata="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6Zi6PX&#10;AAAACQEAAA8AAAAAAAAAAQAgAAAAIgAAAGRycy9kb3ducmV2LnhtbFBLAQIUABQAAAAIAIdO4kAC&#10;/k14rwEAAHQDAAAOAAAAAAAAAAEAIAAAACYBAABkcnMvZTJvRG9jLnhtbFBLBQYAAAAABgAGAFkB&#10;AABHBQAAAAA=&#10;">
                <v:fill on="f" focussize="0,0"/>
                <v:stroke on="f"/>
                <v:imagedata o:title=""/>
                <o:lock v:ext="edit" aspectratio="f"/>
                <v:textbox inset="0mm,0mm,0mm,0mm">
                  <w:txbxContent>
                    <w:p w14:paraId="01F7CF2D">
                      <w:pPr>
                        <w:pStyle w:val="15"/>
                        <w:keepNext/>
                        <w:keepLines/>
                        <w:widowControl w:val="0"/>
                        <w:shd w:val="clear" w:color="auto" w:fill="auto"/>
                        <w:bidi w:val="0"/>
                        <w:spacing w:before="0" w:after="0" w:line="240" w:lineRule="auto"/>
                        <w:ind w:left="0" w:right="0" w:firstLine="0"/>
                        <w:jc w:val="left"/>
                      </w:pPr>
                      <w:bookmarkStart w:id="519" w:name="bookmark433"/>
                      <w:bookmarkStart w:id="520" w:name="bookmark435"/>
                      <w:bookmarkStart w:id="521" w:name="bookmark434"/>
                      <w:r>
                        <w:rPr>
                          <w:color w:val="000000"/>
                          <w:spacing w:val="0"/>
                          <w:w w:val="100"/>
                          <w:position w:val="0"/>
                        </w:rPr>
                        <w:t>非金钱合同债务履行费用</w:t>
                      </w:r>
                      <w:r>
                        <w:rPr>
                          <w:color w:val="000000"/>
                          <w:spacing w:val="0"/>
                          <w:w w:val="100"/>
                          <w:position w:val="0"/>
                          <w:lang w:val="zh-CN" w:eastAsia="zh-CN" w:bidi="zh-CN"/>
                        </w:rPr>
                        <w:t>“过高”与</w:t>
                      </w:r>
                      <w:r>
                        <w:rPr>
                          <w:color w:val="000000"/>
                          <w:spacing w:val="0"/>
                          <w:w w:val="100"/>
                          <w:position w:val="0"/>
                        </w:rPr>
                        <w:t>违约</w:t>
                      </w:r>
                      <w:bookmarkEnd w:id="519"/>
                      <w:bookmarkEnd w:id="520"/>
                      <w:bookmarkEnd w:id="521"/>
                    </w:p>
                  </w:txbxContent>
                </v:textbox>
                <w10:wrap type="topAndBottom"/>
              </v:shape>
            </w:pict>
          </mc:Fallback>
        </mc:AlternateContent>
      </w:r>
    </w:p>
    <w:p w14:paraId="77929579">
      <w:pPr>
        <w:pStyle w:val="15"/>
        <w:keepNext/>
        <w:keepLines/>
        <w:widowControl w:val="0"/>
        <w:shd w:val="clear" w:color="auto" w:fill="auto"/>
        <w:bidi w:val="0"/>
        <w:spacing w:before="0" w:after="80" w:line="240" w:lineRule="auto"/>
        <w:ind w:left="0" w:right="0" w:firstLine="980"/>
        <w:jc w:val="left"/>
      </w:pPr>
      <w:r>
        <w:drawing>
          <wp:anchor distT="0" distB="0" distL="114300" distR="114300" simplePos="0" relativeHeight="251660288" behindDoc="0" locked="0" layoutInCell="1" allowOverlap="1">
            <wp:simplePos x="0" y="0"/>
            <wp:positionH relativeFrom="page">
              <wp:posOffset>5074285</wp:posOffset>
            </wp:positionH>
            <wp:positionV relativeFrom="paragraph">
              <wp:posOffset>50800</wp:posOffset>
            </wp:positionV>
            <wp:extent cx="621665" cy="615950"/>
            <wp:effectExtent l="0" t="0" r="635" b="6350"/>
            <wp:wrapSquare wrapText="left"/>
            <wp:docPr id="947" name="Shape 947"/>
            <wp:cNvGraphicFramePr/>
            <a:graphic xmlns:a="http://schemas.openxmlformats.org/drawingml/2006/main">
              <a:graphicData uri="http://schemas.openxmlformats.org/drawingml/2006/picture">
                <pic:pic xmlns:pic="http://schemas.openxmlformats.org/drawingml/2006/picture">
                  <pic:nvPicPr>
                    <pic:cNvPr id="947" name="Shape 947"/>
                    <pic:cNvPicPr/>
                  </pic:nvPicPr>
                  <pic:blipFill>
                    <a:blip r:embed="rId681"/>
                    <a:stretch>
                      <a:fillRect/>
                    </a:stretch>
                  </pic:blipFill>
                  <pic:spPr>
                    <a:xfrm>
                      <a:off x="0" y="0"/>
                      <a:ext cx="621665" cy="615950"/>
                    </a:xfrm>
                    <a:prstGeom prst="rect">
                      <a:avLst/>
                    </a:prstGeom>
                  </pic:spPr>
                </pic:pic>
              </a:graphicData>
            </a:graphic>
          </wp:anchor>
        </w:drawing>
      </w:r>
      <w:bookmarkStart w:id="121" w:name="bookmark436"/>
      <w:bookmarkStart w:id="122" w:name="bookmark437"/>
      <w:bookmarkStart w:id="123" w:name="bookmark438"/>
      <w:r>
        <w:rPr>
          <w:color w:val="000000"/>
          <w:spacing w:val="0"/>
          <w:w w:val="100"/>
          <w:position w:val="0"/>
        </w:rPr>
        <w:t>方解除</w:t>
      </w:r>
      <w:bookmarkEnd w:id="121"/>
      <w:bookmarkEnd w:id="122"/>
      <w:bookmarkEnd w:id="123"/>
    </w:p>
    <w:p w14:paraId="6D1EB3CB">
      <w:pPr>
        <w:pStyle w:val="17"/>
        <w:keepNext w:val="0"/>
        <w:keepLines w:val="0"/>
        <w:widowControl w:val="0"/>
        <w:shd w:val="clear" w:color="auto" w:fill="auto"/>
        <w:bidi w:val="0"/>
        <w:spacing w:before="0" w:after="80" w:line="240" w:lineRule="auto"/>
        <w:ind w:left="0" w:right="0" w:firstLine="980"/>
        <w:jc w:val="left"/>
      </w:pPr>
      <w:r>
        <w:rPr>
          <w:color w:val="000000"/>
          <w:spacing w:val="0"/>
          <w:w w:val="100"/>
          <w:position w:val="0"/>
        </w:rPr>
        <w:t>新宇公司诉冯玉梅商铺买卖合同纠纷案丨《最高人民法院公报》</w:t>
      </w:r>
    </w:p>
    <w:p w14:paraId="0ADD8F4C">
      <w:pPr>
        <w:pStyle w:val="21"/>
        <w:keepNext w:val="0"/>
        <w:keepLines w:val="0"/>
        <w:widowControl w:val="0"/>
        <w:shd w:val="clear" w:color="auto" w:fill="auto"/>
        <w:bidi w:val="0"/>
        <w:spacing w:before="0" w:after="420" w:line="240" w:lineRule="auto"/>
        <w:ind w:left="0" w:right="0" w:firstLine="980"/>
        <w:jc w:val="left"/>
        <w:rPr>
          <w:sz w:val="18"/>
          <w:szCs w:val="18"/>
        </w:rPr>
      </w:pPr>
      <w:r>
        <w:rPr>
          <w:rFonts w:ascii="Times New Roman" w:hAnsi="Times New Roman" w:eastAsia="Times New Roman" w:cs="Times New Roman"/>
          <w:color w:val="000000"/>
          <w:spacing w:val="0"/>
          <w:w w:val="100"/>
          <w:position w:val="0"/>
          <w:sz w:val="19"/>
          <w:szCs w:val="19"/>
        </w:rPr>
        <w:t>2006</w:t>
      </w:r>
      <w:r>
        <w:rPr>
          <w:rFonts w:ascii="宋体" w:hAnsi="宋体" w:eastAsia="宋体" w:cs="宋体"/>
          <w:color w:val="000000"/>
          <w:spacing w:val="0"/>
          <w:w w:val="100"/>
          <w:position w:val="0"/>
          <w:sz w:val="18"/>
          <w:szCs w:val="18"/>
        </w:rPr>
        <w:t>年第</w:t>
      </w:r>
      <w:r>
        <w:rPr>
          <w:rFonts w:ascii="Times New Roman" w:hAnsi="Times New Roman" w:eastAsia="Times New Roman" w:cs="Times New Roman"/>
          <w:color w:val="000000"/>
          <w:spacing w:val="0"/>
          <w:w w:val="100"/>
          <w:position w:val="0"/>
          <w:sz w:val="19"/>
          <w:szCs w:val="19"/>
        </w:rPr>
        <w:t>6</w:t>
      </w:r>
      <w:r>
        <w:rPr>
          <w:rFonts w:ascii="宋体" w:hAnsi="宋体" w:eastAsia="宋体" w:cs="宋体"/>
          <w:color w:val="000000"/>
          <w:spacing w:val="0"/>
          <w:w w:val="100"/>
          <w:position w:val="0"/>
          <w:sz w:val="18"/>
          <w:szCs w:val="18"/>
        </w:rPr>
        <w:t>期</w:t>
      </w:r>
    </w:p>
    <w:p w14:paraId="4FEC4407">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谢鸿飞</w:t>
      </w:r>
      <w:r>
        <w:rPr>
          <w:color w:val="000000"/>
          <w:spacing w:val="0"/>
          <w:w w:val="100"/>
          <w:position w:val="0"/>
        </w:rPr>
        <w:t>中国社会科学院法学研究所</w:t>
      </w:r>
    </w:p>
    <w:p w14:paraId="25FF779F">
      <w:pPr>
        <w:pStyle w:val="11"/>
        <w:keepNext w:val="0"/>
        <w:keepLines w:val="0"/>
        <w:widowControl w:val="0"/>
        <w:shd w:val="clear" w:color="auto" w:fill="auto"/>
        <w:bidi w:val="0"/>
        <w:spacing w:before="0" w:after="80" w:line="345"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1CEB0FA9">
      <w:pPr>
        <w:pStyle w:val="17"/>
        <w:keepNext w:val="0"/>
        <w:keepLines w:val="0"/>
        <w:widowControl w:val="0"/>
        <w:shd w:val="clear" w:color="auto" w:fill="auto"/>
        <w:bidi w:val="0"/>
        <w:spacing w:before="0" w:after="0" w:line="345" w:lineRule="exact"/>
        <w:ind w:left="0" w:right="0" w:firstLine="420"/>
        <w:jc w:val="both"/>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日，新宇公司与被告冯玉梅签订了一份商铺买卖合同，约定新宇公司 向冯玉梅出售时代广场第二层编号为</w:t>
      </w:r>
      <w:r>
        <w:rPr>
          <w:rFonts w:ascii="Times New Roman" w:hAnsi="Times New Roman" w:eastAsia="Times New Roman" w:cs="Times New Roman"/>
          <w:color w:val="000000"/>
          <w:spacing w:val="0"/>
          <w:w w:val="100"/>
          <w:position w:val="0"/>
          <w:sz w:val="19"/>
          <w:szCs w:val="19"/>
          <w:lang w:val="en-US" w:eastAsia="en-US" w:bidi="en-US"/>
        </w:rPr>
        <w:t>2B050</w:t>
      </w:r>
      <w:r>
        <w:rPr>
          <w:color w:val="000000"/>
          <w:spacing w:val="0"/>
          <w:w w:val="100"/>
          <w:position w:val="0"/>
        </w:rPr>
        <w:t>的商铺，建筑面积</w:t>
      </w:r>
      <w:r>
        <w:rPr>
          <w:rFonts w:ascii="Times New Roman" w:hAnsi="Times New Roman" w:eastAsia="Times New Roman" w:cs="Times New Roman"/>
          <w:color w:val="000000"/>
          <w:spacing w:val="0"/>
          <w:w w:val="100"/>
          <w:position w:val="0"/>
          <w:sz w:val="19"/>
          <w:szCs w:val="19"/>
          <w:lang w:val="en-US" w:eastAsia="en-US" w:bidi="en-US"/>
        </w:rPr>
        <w:t>22.</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 xml:space="preserve">平方米，每平方米售价 </w:t>
      </w:r>
      <w:r>
        <w:rPr>
          <w:rFonts w:ascii="Times New Roman" w:hAnsi="Times New Roman" w:eastAsia="Times New Roman" w:cs="Times New Roman"/>
          <w:color w:val="000000"/>
          <w:spacing w:val="0"/>
          <w:w w:val="100"/>
          <w:position w:val="0"/>
          <w:sz w:val="19"/>
          <w:szCs w:val="19"/>
        </w:rPr>
        <w:t xml:space="preserve">16, </w:t>
      </w:r>
      <w:r>
        <w:rPr>
          <w:rFonts w:ascii="Times New Roman" w:hAnsi="Times New Roman" w:eastAsia="Times New Roman" w:cs="Times New Roman"/>
          <w:color w:val="000000"/>
          <w:spacing w:val="0"/>
          <w:w w:val="100"/>
          <w:position w:val="0"/>
          <w:sz w:val="19"/>
          <w:szCs w:val="19"/>
          <w:lang w:val="en-US" w:eastAsia="en-US" w:bidi="en-US"/>
        </w:rPr>
        <w:t>363.73</w:t>
      </w:r>
      <w:r>
        <w:rPr>
          <w:color w:val="000000"/>
          <w:spacing w:val="0"/>
          <w:w w:val="100"/>
          <w:position w:val="0"/>
        </w:rPr>
        <w:t>元,总价款</w:t>
      </w:r>
      <w:r>
        <w:rPr>
          <w:rFonts w:ascii="Times New Roman" w:hAnsi="Times New Roman" w:eastAsia="Times New Roman" w:cs="Times New Roman"/>
          <w:color w:val="000000"/>
          <w:spacing w:val="0"/>
          <w:w w:val="100"/>
          <w:position w:val="0"/>
          <w:sz w:val="19"/>
          <w:szCs w:val="19"/>
        </w:rPr>
        <w:t>368, 184</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日前交付，交付后三个月内双方共同办理商铺权 属过户手续。</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日，该合同在南京市房地产市场管理处登记。合同签订后， 冯玉梅按约支付了全部价款。</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日，新宇公司将</w:t>
      </w:r>
      <w:r>
        <w:rPr>
          <w:rFonts w:ascii="Times New Roman" w:hAnsi="Times New Roman" w:eastAsia="Times New Roman" w:cs="Times New Roman"/>
          <w:color w:val="000000"/>
          <w:spacing w:val="0"/>
          <w:w w:val="100"/>
          <w:position w:val="0"/>
          <w:sz w:val="19"/>
          <w:szCs w:val="19"/>
          <w:lang w:val="en-US" w:eastAsia="en-US" w:bidi="en-US"/>
        </w:rPr>
        <w:t>2B050</w:t>
      </w:r>
      <w:r>
        <w:rPr>
          <w:color w:val="000000"/>
          <w:spacing w:val="0"/>
          <w:w w:val="100"/>
          <w:position w:val="0"/>
        </w:rPr>
        <w:t>号商铺交付冯玉梅使 用,但一直未办理产权过户手续。</w:t>
      </w:r>
    </w:p>
    <w:p w14:paraId="1AFC037E">
      <w:pPr>
        <w:pStyle w:val="17"/>
        <w:keepNext w:val="0"/>
        <w:keepLines w:val="0"/>
        <w:widowControl w:val="0"/>
        <w:shd w:val="clear" w:color="auto" w:fill="auto"/>
        <w:bidi w:val="0"/>
        <w:spacing w:before="0" w:after="360" w:line="345" w:lineRule="exact"/>
        <w:ind w:left="0" w:right="0" w:firstLine="420"/>
        <w:jc w:val="both"/>
      </w:pP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年，原告新宇公司将时代广场内的自有建筑面积租赁给嘉和公司经营。</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6 </w:t>
      </w:r>
      <w:r>
        <w:rPr>
          <w:color w:val="000000"/>
          <w:spacing w:val="0"/>
          <w:w w:val="100"/>
          <w:position w:val="0"/>
        </w:rPr>
        <w:t>月，嘉和公司因经营不善停业。同年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月，购物中心又在时代广场原址开业。</w:t>
      </w:r>
      <w:r>
        <w:rPr>
          <w:rFonts w:ascii="Times New Roman" w:hAnsi="Times New Roman" w:eastAsia="Times New Roman" w:cs="Times New Roman"/>
          <w:color w:val="000000"/>
          <w:spacing w:val="0"/>
          <w:w w:val="100"/>
          <w:position w:val="0"/>
          <w:sz w:val="19"/>
          <w:szCs w:val="19"/>
        </w:rPr>
        <w:t>2002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月，购物中心也停业。小业主因两次停业无法正常经营，部分小业主遂与嘉和公司的债权 人集体上访,要求退房或偿还债务。在此期间,新宇公司的股东也两次变更，新股东为了重 新开业，拟对时代广场重新规划布局,为此与大部分小业主陆续解除了商铺买卖合同,并开 始在时代广场内施工。冯玉梅与另一户邵姓业主购买了约</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平方米的商铺，虽其商铺无法 经营，但坚持不退商铺,导致新宇公司不能继续施工</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万平方米建筑闲置。新宇公司遂起 诉冯玉梅,依情势变更为由,请求法院判令解除双方签订的商铺买卖合同。</w:t>
      </w:r>
    </w:p>
    <w:p w14:paraId="4D32A09B">
      <w:pPr>
        <w:pStyle w:val="11"/>
        <w:keepNext w:val="0"/>
        <w:keepLines w:val="0"/>
        <w:widowControl w:val="0"/>
        <w:shd w:val="clear" w:color="auto" w:fill="auto"/>
        <w:bidi w:val="0"/>
        <w:spacing w:before="0" w:after="80" w:line="345"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298D914A">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南京市玄武区人民法院一审依据《合同法》第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条规定的公平原则和第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条规定的诚 实信用原则，判决解除商铺买卖合同，冯玉梅返还商铺,新宇公司向冯玉梅返还价款、商铺 增值额</w:t>
      </w:r>
      <w:r>
        <w:rPr>
          <w:rFonts w:ascii="Times New Roman" w:hAnsi="Times New Roman" w:eastAsia="Times New Roman" w:cs="Times New Roman"/>
          <w:color w:val="000000"/>
          <w:spacing w:val="0"/>
          <w:w w:val="100"/>
          <w:position w:val="0"/>
          <w:sz w:val="19"/>
          <w:szCs w:val="19"/>
        </w:rPr>
        <w:t>163,516</w:t>
      </w:r>
      <w:r>
        <w:rPr>
          <w:color w:val="000000"/>
          <w:spacing w:val="0"/>
          <w:w w:val="100"/>
          <w:position w:val="0"/>
        </w:rPr>
        <w:t>元,支付违约金及其他经济损失</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万元。南京市中级人民法院除将违约金 及其他经济损失增至</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万元之外，其他判决内容维持了一审判决。</w:t>
      </w:r>
    </w:p>
    <w:p w14:paraId="3D6969FC">
      <w:pPr>
        <w:pStyle w:val="17"/>
        <w:keepNext w:val="0"/>
        <w:keepLines w:val="0"/>
        <w:widowControl w:val="0"/>
        <w:shd w:val="clear" w:color="auto" w:fill="auto"/>
        <w:bidi w:val="0"/>
        <w:spacing w:before="0" w:after="360" w:line="344" w:lineRule="exact"/>
        <w:ind w:left="0" w:right="0" w:firstLine="420"/>
        <w:jc w:val="both"/>
        <w:sectPr>
          <w:footnotePr>
            <w:numFmt w:val="chicago"/>
          </w:footnotePr>
          <w:type w:val="continuous"/>
          <w:pgSz w:w="10099" w:h="14782"/>
          <w:pgMar w:top="1328" w:right="1088" w:bottom="1076" w:left="1010" w:header="900" w:footer="648" w:gutter="0"/>
          <w:cols w:space="720" w:num="1"/>
          <w:rtlGutter w:val="0"/>
          <w:docGrid w:linePitch="360" w:charSpace="0"/>
        </w:sectPr>
      </w:pPr>
      <w:r>
        <w:rPr>
          <w:color w:val="000000"/>
          <w:spacing w:val="0"/>
          <w:w w:val="100"/>
          <w:position w:val="0"/>
        </w:rPr>
        <w:t>南京市中级人民法院的裁判要旨是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根据《合同法》第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 xml:space="preserve">条的规定,有违约行为的 一方当事人请求解除合同,没有违约行为的另一方当事人要求继续履行合同，当违约方继 续履约所需的财力、物力超过合同双方基于合同履行所能获得的利益，合同已不具备继续 </w:t>
      </w:r>
    </w:p>
    <w:p w14:paraId="7F690C56">
      <w:pPr>
        <w:pStyle w:val="17"/>
        <w:keepNext w:val="0"/>
        <w:keepLines w:val="0"/>
        <w:widowControl w:val="0"/>
        <w:shd w:val="clear" w:color="auto" w:fill="auto"/>
        <w:bidi w:val="0"/>
        <w:spacing w:before="0" w:after="360" w:line="344" w:lineRule="exact"/>
        <w:ind w:left="0" w:right="0" w:firstLine="0"/>
        <w:jc w:val="both"/>
      </w:pPr>
      <w:r>
        <w:rPr>
          <w:color w:val="000000"/>
          <w:spacing w:val="0"/>
          <w:w w:val="100"/>
          <w:position w:val="0"/>
        </w:rPr>
        <w:t>履行的条件时，为平衡双方当事人的利益，可以允许违约方解除合同，但必须由违约方向对 方承担赔偿责任，以保证对方当事人的现实既得利益不因合同解除而减少。</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在以分割 商铺为标的物的买卖合同中，买方对商铺享有的权利，不同于独立商铺。为保证物业整体 功能的发挥，买方行使的权利必须受到其他商铺业主整体意志的限制。</w:t>
      </w:r>
    </w:p>
    <w:p w14:paraId="607703D2">
      <w:pPr>
        <w:pStyle w:val="11"/>
        <w:keepNext w:val="0"/>
        <w:keepLines w:val="0"/>
        <w:widowControl w:val="0"/>
        <w:shd w:val="clear" w:color="auto" w:fill="auto"/>
        <w:bidi w:val="0"/>
        <w:spacing w:before="0" w:after="260" w:line="344" w:lineRule="exact"/>
        <w:ind w:left="0" w:right="0" w:firstLine="0"/>
        <w:jc w:val="both"/>
      </w:pPr>
      <w:r>
        <w:rPr>
          <w:color w:val="000000"/>
          <w:spacing w:val="0"/>
          <w:w w:val="100"/>
          <w:position w:val="0"/>
        </w:rPr>
        <w:t>■评析</w:t>
      </w:r>
    </w:p>
    <w:p w14:paraId="6B642FDF">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6DB4F80A">
      <w:pPr>
        <w:pStyle w:val="17"/>
        <w:keepNext w:val="0"/>
        <w:keepLines w:val="0"/>
        <w:widowControl w:val="0"/>
        <w:shd w:val="clear" w:color="auto" w:fill="auto"/>
        <w:bidi w:val="0"/>
        <w:spacing w:before="0" w:after="260" w:line="346" w:lineRule="exact"/>
        <w:ind w:left="0" w:right="0" w:firstLine="420"/>
        <w:jc w:val="both"/>
      </w:pPr>
      <w:r>
        <w:rPr>
          <w:color w:val="000000"/>
          <w:spacing w:val="0"/>
          <w:w w:val="100"/>
          <w:position w:val="0"/>
        </w:rPr>
        <w:t>本案判决之所以为理论界和实务界热议，一是因为它阐释了认定原《合同法》第</w:t>
      </w:r>
      <w:r>
        <w:rPr>
          <w:rFonts w:ascii="Times New Roman" w:hAnsi="Times New Roman" w:eastAsia="Times New Roman" w:cs="Times New Roman"/>
          <w:color w:val="000000"/>
          <w:spacing w:val="0"/>
          <w:w w:val="100"/>
          <w:position w:val="0"/>
          <w:sz w:val="19"/>
          <w:szCs w:val="19"/>
          <w:lang w:val="en-US" w:eastAsia="en-US" w:bidi="en-US"/>
        </w:rPr>
        <w:t>no</w:t>
      </w:r>
      <w:r>
        <w:rPr>
          <w:color w:val="000000"/>
          <w:spacing w:val="0"/>
          <w:w w:val="100"/>
          <w:position w:val="0"/>
        </w:rPr>
        <w:t>条 有关债务人履行费用过高的标准，即以违约方履行的成本超过</w:t>
      </w:r>
      <w:r>
        <w:rPr>
          <w:color w:val="000000"/>
          <w:spacing w:val="0"/>
          <w:w w:val="100"/>
          <w:position w:val="0"/>
          <w:lang w:val="zh-CN" w:eastAsia="zh-CN" w:bidi="zh-CN"/>
        </w:rPr>
        <w:t>“合同</w:t>
      </w:r>
      <w:r>
        <w:rPr>
          <w:color w:val="000000"/>
          <w:spacing w:val="0"/>
          <w:w w:val="100"/>
          <w:position w:val="0"/>
        </w:rPr>
        <w:t>双方基于合同履行所 能获得的利益</w:t>
      </w:r>
      <w:r>
        <w:rPr>
          <w:color w:val="000000"/>
          <w:spacing w:val="0"/>
          <w:w w:val="100"/>
          <w:position w:val="0"/>
          <w:lang w:val="zh-CN" w:eastAsia="zh-CN" w:bidi="zh-CN"/>
        </w:rPr>
        <w:t>”为</w:t>
      </w:r>
      <w:r>
        <w:rPr>
          <w:color w:val="000000"/>
          <w:spacing w:val="0"/>
          <w:w w:val="100"/>
          <w:position w:val="0"/>
        </w:rPr>
        <w:t>标准;二是它扩充了原《合同法》第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条的法律效果，第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条并未规定 在排除履行请求权时，合同双方尤其是违约方可否请求解除合同，本案判决则予以肯定。 本案例后被纳入《最高人民法院公报》。在民法典编纂和《全国法院民商事审判工作会议纪 要》（以下简称《九民纪要》）制定期间，有关违约方解除的议论大多都会追溯本案。</w:t>
      </w:r>
    </w:p>
    <w:p w14:paraId="72D7366C">
      <w:pPr>
        <w:pStyle w:val="17"/>
        <w:keepNext w:val="0"/>
        <w:keepLines w:val="0"/>
        <w:widowControl w:val="0"/>
        <w:shd w:val="clear" w:color="auto" w:fill="auto"/>
        <w:bidi w:val="0"/>
        <w:spacing w:before="0" w:after="14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非金钱债务履行费用过高与违约方解除的学理</w:t>
      </w:r>
    </w:p>
    <w:p w14:paraId="06A61BDB">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.履行费用过高的认定标准</w:t>
      </w:r>
    </w:p>
    <w:p w14:paraId="142ACC57">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项规定，不履行非金钱债务或者履行非金钱债务不符合约 定，但履行费用过高的，债权人不能请求实际履行。本条规范的正当理据阐释主要有两种 思路:一是将其归于契约自由或私法自治。在合同未约定或未明确约定时,债务人在缔约 时不可能愿意承担过高的履行费用，因此，豁免其实际履行义务符合其自由意志，债权人在 缔约时亦不会苛责债务人此时依然如约履行。二是诉诸公平原则或诚实信用原则。这又 细分为两种路径:</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从当事人双方关系考量,即双方权利与义务的均衡关系或等值性在履 行过程中被严重破坏;</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从整个社会福利考量，即实际履行将导致社会资源的减损或浪 费,故应被排除。本规范作为缺省的法律规范，适用前提是当事人未约定或未明确约定,且 双方对合同是否纳入这一风险分配存在争议。故笼统地说，其实质是立法者对当事人真实 意思的模拟,可诉诸契约自由或私法自治获得正当性。尽管如此，本条规范的模拟结果显 然是从债务人侧观察得到的，并未充分考虑债权人的意志，其正当性还需诉诸第二种路径 协力，方可彻底证成。</w:t>
      </w:r>
    </w:p>
    <w:p w14:paraId="60B1091B">
      <w:pPr>
        <w:pStyle w:val="17"/>
        <w:keepNext w:val="0"/>
        <w:keepLines w:val="0"/>
        <w:widowControl w:val="0"/>
        <w:shd w:val="clear" w:color="auto" w:fill="auto"/>
        <w:bidi w:val="0"/>
        <w:spacing w:before="0" w:after="0" w:line="344" w:lineRule="exact"/>
        <w:ind w:left="0" w:right="0" w:firstLine="420"/>
        <w:jc w:val="both"/>
        <w:rPr>
          <w:sz w:val="11"/>
          <w:szCs w:val="11"/>
        </w:rPr>
      </w:pPr>
      <w:r>
        <w:rPr>
          <w:color w:val="000000"/>
          <w:spacing w:val="0"/>
          <w:w w:val="100"/>
          <w:position w:val="0"/>
          <w:sz w:val="18"/>
          <w:szCs w:val="18"/>
        </w:rPr>
        <w:t>对在何种情形构成“履行费用过高</w:t>
      </w:r>
      <w:r>
        <w:rPr>
          <w:color w:val="000000"/>
          <w:spacing w:val="0"/>
          <w:w w:val="100"/>
          <w:position w:val="0"/>
          <w:sz w:val="18"/>
          <w:szCs w:val="18"/>
          <w:lang w:val="zh-CN" w:eastAsia="zh-CN" w:bidi="zh-CN"/>
        </w:rPr>
        <w:t>”，学</w:t>
      </w:r>
      <w:r>
        <w:rPr>
          <w:color w:val="000000"/>
          <w:spacing w:val="0"/>
          <w:w w:val="100"/>
          <w:position w:val="0"/>
          <w:sz w:val="18"/>
          <w:szCs w:val="18"/>
        </w:rPr>
        <w:t>界通说是采经济理性标准。相对抽象的判断标 准是</w:t>
      </w:r>
      <w:r>
        <w:rPr>
          <w:color w:val="000000"/>
          <w:spacing w:val="0"/>
          <w:w w:val="100"/>
          <w:position w:val="0"/>
          <w:sz w:val="18"/>
          <w:szCs w:val="18"/>
          <w:lang w:val="zh-CN" w:eastAsia="zh-CN" w:bidi="zh-CN"/>
        </w:rPr>
        <w:t>“履行</w:t>
      </w:r>
      <w:r>
        <w:rPr>
          <w:color w:val="000000"/>
          <w:spacing w:val="0"/>
          <w:w w:val="100"/>
          <w:position w:val="0"/>
          <w:sz w:val="18"/>
          <w:szCs w:val="18"/>
        </w:rPr>
        <w:t>费用与债务人给付利益之间严重不成比例,有违诚实信用原则</w:t>
      </w:r>
      <w:r>
        <w:rPr>
          <w:color w:val="000000"/>
          <w:spacing w:val="0"/>
          <w:w w:val="100"/>
          <w:position w:val="0"/>
          <w:sz w:val="11"/>
          <w:szCs w:val="11"/>
          <w:lang w:val="zh-CN" w:eastAsia="zh-CN" w:bidi="zh-CN"/>
        </w:rPr>
        <w:t>”（王</w:t>
      </w:r>
      <w:r>
        <w:rPr>
          <w:color w:val="000000"/>
          <w:spacing w:val="0"/>
          <w:w w:val="100"/>
          <w:position w:val="0"/>
          <w:sz w:val="11"/>
          <w:szCs w:val="11"/>
        </w:rPr>
        <w:t>洪亮:《强制履 行请求权的性质及其行使》，载《法学》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sz w:val="18"/>
          <w:szCs w:val="18"/>
        </w:rPr>
        <w:t>相对具体的标准是对比履行费用与其他 补救履行所需费用以及债权人通过继续履行所获得的利益</w:t>
      </w:r>
      <w:r>
        <w:rPr>
          <w:color w:val="000000"/>
          <w:spacing w:val="0"/>
          <w:w w:val="100"/>
          <w:position w:val="0"/>
          <w:sz w:val="11"/>
          <w:szCs w:val="11"/>
        </w:rPr>
        <w:t xml:space="preserve">（韩世远:《合同法总论》，法律出版社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610</w:t>
      </w:r>
      <w:r>
        <w:rPr>
          <w:color w:val="000000"/>
          <w:spacing w:val="0"/>
          <w:w w:val="100"/>
          <w:position w:val="0"/>
          <w:sz w:val="11"/>
          <w:szCs w:val="11"/>
        </w:rPr>
        <w:t>页）；</w:t>
      </w:r>
      <w:r>
        <w:rPr>
          <w:color w:val="000000"/>
          <w:spacing w:val="0"/>
          <w:w w:val="100"/>
          <w:position w:val="0"/>
          <w:sz w:val="18"/>
          <w:szCs w:val="18"/>
        </w:rPr>
        <w:t xml:space="preserve">或采用两个更细致的标准:数量大小标准，即通过考虑经济不合理性、 履行时间长度和履约程序烦琐程度等合理确定一个数值标准,若债务人履行费用超过该数 值,则构成履行费用过高;相对比例标准,即以债务人履行费用超过债权人履行利益的一定 </w:t>
      </w:r>
      <w:r>
        <w:rPr>
          <w:rStyle w:val="32"/>
          <w:b w:val="0"/>
          <w:bCs w:val="0"/>
          <w:i w:val="0"/>
          <w:iCs w:val="0"/>
          <w:smallCaps w:val="0"/>
          <w:strike w:val="0"/>
          <w:sz w:val="18"/>
          <w:szCs w:val="18"/>
        </w:rPr>
        <w:t>比例为标准，若履行费用超过该比例测构成履行费用过高</w:t>
      </w:r>
      <w:r>
        <w:rPr>
          <w:rStyle w:val="32"/>
          <w:b w:val="0"/>
          <w:bCs w:val="0"/>
          <w:i w:val="0"/>
          <w:iCs w:val="0"/>
          <w:smallCaps w:val="0"/>
          <w:strike w:val="0"/>
        </w:rPr>
        <w:t>（张兰兰:《履行费用过高规则的动态 适用一对〈合同法〉第</w:t>
      </w:r>
      <w:r>
        <w:rPr>
          <w:rStyle w:val="32"/>
          <w:rFonts w:ascii="Times New Roman" w:hAnsi="Times New Roman" w:eastAsia="Times New Roman" w:cs="Times New Roman"/>
          <w:b w:val="0"/>
          <w:bCs w:val="0"/>
          <w:i w:val="0"/>
          <w:iCs w:val="0"/>
          <w:smallCaps w:val="0"/>
          <w:strike w:val="0"/>
          <w:sz w:val="17"/>
          <w:szCs w:val="17"/>
        </w:rPr>
        <w:t>110</w:t>
      </w:r>
      <w:r>
        <w:rPr>
          <w:rStyle w:val="32"/>
          <w:b w:val="0"/>
          <w:bCs w:val="0"/>
          <w:i w:val="0"/>
          <w:iCs w:val="0"/>
          <w:smallCaps w:val="0"/>
          <w:strike w:val="0"/>
        </w:rPr>
        <w:t>条第</w:t>
      </w:r>
      <w:r>
        <w:rPr>
          <w:rStyle w:val="32"/>
          <w:rFonts w:ascii="Times New Roman" w:hAnsi="Times New Roman" w:eastAsia="Times New Roman" w:cs="Times New Roman"/>
          <w:b w:val="0"/>
          <w:bCs w:val="0"/>
          <w:i w:val="0"/>
          <w:iCs w:val="0"/>
          <w:smallCaps w:val="0"/>
          <w:strike w:val="0"/>
          <w:sz w:val="17"/>
          <w:szCs w:val="17"/>
        </w:rPr>
        <w:t>2</w:t>
      </w:r>
      <w:r>
        <w:rPr>
          <w:rStyle w:val="32"/>
          <w:b w:val="0"/>
          <w:bCs w:val="0"/>
          <w:i w:val="0"/>
          <w:iCs w:val="0"/>
          <w:smallCaps w:val="0"/>
          <w:strike w:val="0"/>
        </w:rPr>
        <w:t>项第</w:t>
      </w:r>
      <w:r>
        <w:rPr>
          <w:rStyle w:val="32"/>
          <w:rFonts w:ascii="Times New Roman" w:hAnsi="Times New Roman" w:eastAsia="Times New Roman" w:cs="Times New Roman"/>
          <w:b w:val="0"/>
          <w:bCs w:val="0"/>
          <w:i w:val="0"/>
          <w:iCs w:val="0"/>
          <w:smallCaps w:val="0"/>
          <w:strike w:val="0"/>
          <w:sz w:val="17"/>
          <w:szCs w:val="17"/>
        </w:rPr>
        <w:t>2</w:t>
      </w:r>
      <w:r>
        <w:rPr>
          <w:rStyle w:val="32"/>
          <w:b w:val="0"/>
          <w:bCs w:val="0"/>
          <w:i w:val="0"/>
          <w:iCs w:val="0"/>
          <w:smallCaps w:val="0"/>
          <w:strike w:val="0"/>
        </w:rPr>
        <w:t>种情形的具体化》，载《华东政法大学学报》</w:t>
      </w:r>
      <w:r>
        <w:rPr>
          <w:rStyle w:val="32"/>
          <w:rFonts w:ascii="Times New Roman" w:hAnsi="Times New Roman" w:eastAsia="Times New Roman" w:cs="Times New Roman"/>
          <w:b w:val="0"/>
          <w:bCs w:val="0"/>
          <w:i w:val="0"/>
          <w:iCs w:val="0"/>
          <w:smallCaps w:val="0"/>
          <w:strike w:val="0"/>
          <w:sz w:val="17"/>
          <w:szCs w:val="17"/>
        </w:rPr>
        <w:t>2020</w:t>
      </w:r>
      <w:r>
        <w:rPr>
          <w:rStyle w:val="32"/>
          <w:b w:val="0"/>
          <w:bCs w:val="0"/>
          <w:i w:val="0"/>
          <w:iCs w:val="0"/>
          <w:smallCaps w:val="0"/>
          <w:strike w:val="0"/>
        </w:rPr>
        <w:t>年第</w:t>
      </w:r>
      <w:r>
        <w:rPr>
          <w:rStyle w:val="32"/>
          <w:rFonts w:ascii="Times New Roman" w:hAnsi="Times New Roman" w:eastAsia="Times New Roman" w:cs="Times New Roman"/>
          <w:b w:val="0"/>
          <w:bCs w:val="0"/>
          <w:i w:val="0"/>
          <w:iCs w:val="0"/>
          <w:smallCaps w:val="0"/>
          <w:strike w:val="0"/>
          <w:sz w:val="17"/>
          <w:szCs w:val="17"/>
        </w:rPr>
        <w:t>1</w:t>
      </w:r>
      <w:r>
        <w:rPr>
          <w:rStyle w:val="32"/>
          <w:b w:val="0"/>
          <w:bCs w:val="0"/>
          <w:i w:val="0"/>
          <w:iCs w:val="0"/>
          <w:smallCaps w:val="0"/>
          <w:strike w:val="0"/>
        </w:rPr>
        <w:t>期）。</w:t>
      </w:r>
    </w:p>
    <w:p w14:paraId="37255965">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对履行费用过高的认定，可采用的法律手段无非是比较债权人和债务人在正常情形和 履行费用增加时的成本与收益。首先,评定两种情形下债务人的履行费用和债权人的收 益;其次，纵向对比债务人的履行费用增加情况;最后,横向对比债务人的履行费用与债权 人的履行利益之间的比例关系或数量关系。若债务人的履行费用显著增加,但债权人的履 行利益并未相应增加，可认定为</w:t>
      </w:r>
      <w:r>
        <w:rPr>
          <w:color w:val="000000"/>
          <w:spacing w:val="0"/>
          <w:w w:val="100"/>
          <w:position w:val="0"/>
          <w:lang w:val="zh-CN" w:eastAsia="zh-CN" w:bidi="zh-CN"/>
        </w:rPr>
        <w:t>“履行</w:t>
      </w:r>
      <w:r>
        <w:rPr>
          <w:color w:val="000000"/>
          <w:spacing w:val="0"/>
          <w:w w:val="100"/>
          <w:position w:val="0"/>
        </w:rPr>
        <w:t>费用过高”。当然，若出现本案判决所称的债务人履 行费用将超过</w:t>
      </w:r>
      <w:r>
        <w:rPr>
          <w:color w:val="000000"/>
          <w:spacing w:val="0"/>
          <w:w w:val="100"/>
          <w:position w:val="0"/>
          <w:lang w:val="zh-CN" w:eastAsia="zh-CN" w:bidi="zh-CN"/>
        </w:rPr>
        <w:t>“合同</w:t>
      </w:r>
      <w:r>
        <w:rPr>
          <w:color w:val="000000"/>
          <w:spacing w:val="0"/>
          <w:w w:val="100"/>
          <w:position w:val="0"/>
        </w:rPr>
        <w:t>双方基于合同履行所能获得的利益</w:t>
      </w:r>
      <w:r>
        <w:rPr>
          <w:color w:val="000000"/>
          <w:spacing w:val="0"/>
          <w:w w:val="100"/>
          <w:position w:val="0"/>
          <w:lang w:val="zh-CN" w:eastAsia="zh-CN" w:bidi="zh-CN"/>
        </w:rPr>
        <w:t>”时</w:t>
      </w:r>
      <w:r>
        <w:rPr>
          <w:color w:val="000000"/>
          <w:spacing w:val="0"/>
          <w:w w:val="100"/>
          <w:position w:val="0"/>
        </w:rPr>
        <w:t>，更可认定为</w:t>
      </w:r>
      <w:r>
        <w:rPr>
          <w:color w:val="000000"/>
          <w:spacing w:val="0"/>
          <w:w w:val="100"/>
          <w:position w:val="0"/>
          <w:lang w:val="zh-CN" w:eastAsia="zh-CN" w:bidi="zh-CN"/>
        </w:rPr>
        <w:t>“过</w:t>
      </w:r>
      <w:r>
        <w:rPr>
          <w:color w:val="000000"/>
          <w:spacing w:val="0"/>
          <w:w w:val="100"/>
          <w:position w:val="0"/>
        </w:rPr>
        <w:t>高”。</w:t>
      </w:r>
    </w:p>
    <w:p w14:paraId="0D7CC2E7">
      <w:pPr>
        <w:pStyle w:val="17"/>
        <w:keepNext w:val="0"/>
        <w:keepLines w:val="0"/>
        <w:widowControl w:val="0"/>
        <w:shd w:val="clear" w:color="auto" w:fill="auto"/>
        <w:bidi w:val="0"/>
        <w:spacing w:before="0" w:after="120" w:line="343" w:lineRule="exact"/>
        <w:ind w:left="0" w:right="0"/>
        <w:jc w:val="both"/>
      </w:pPr>
      <w:r>
        <w:rPr>
          <w:color w:val="000000"/>
          <w:spacing w:val="0"/>
          <w:w w:val="100"/>
          <w:position w:val="0"/>
        </w:rPr>
        <w:t>履行费用过高与情势变更可能发生竞合。依据最高人民法院《关于适用〈中华人民共 和国合同法〉若干问题的解释（二）》［法释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条，在缔约时的客观情势发生 变化时，当事人可以请求变更和解除合同。在因客观原因导致履行费用过高，且使双方之 间的给付出现严重不均衡或</w:t>
      </w:r>
      <w:r>
        <w:rPr>
          <w:color w:val="000000"/>
          <w:spacing w:val="0"/>
          <w:w w:val="100"/>
          <w:position w:val="0"/>
          <w:lang w:val="zh-CN" w:eastAsia="zh-CN" w:bidi="zh-CN"/>
        </w:rPr>
        <w:t>“等值”障</w:t>
      </w:r>
      <w:r>
        <w:rPr>
          <w:color w:val="000000"/>
          <w:spacing w:val="0"/>
          <w:w w:val="100"/>
          <w:position w:val="0"/>
        </w:rPr>
        <w:t>碍时,可能构成情势变更。故在本案中，原告起诉时 即以情势变更为由请求解除合同。但履行费用过高规则与情势变更的构成要件存在诸多 重要差异，如前者可由债务人主观原因造成，如本案中新宇公司变更经营计划，后者则仅限 于当事人缔约时无法预见的客观情势变更;两者的法律效果也多有不同，如前者直接排除 实际履行,后者则可在变更合同后实际履行。从整体上看，前者的构成要件不如后者严格， 后果的法律效力则更为缓和。可见，在履行费用过高同时构成情势变更时,适用情势变更 也能平衡双方利益。但在诉讼中，这往往取决于原告的选择。</w:t>
      </w:r>
    </w:p>
    <w:p w14:paraId="42FF8E88">
      <w:pPr>
        <w:pStyle w:val="17"/>
        <w:keepNext w:val="0"/>
        <w:keepLines w:val="0"/>
        <w:widowControl w:val="0"/>
        <w:shd w:val="clear" w:color="auto" w:fill="auto"/>
        <w:bidi w:val="0"/>
        <w:spacing w:before="0" w:after="0" w:line="377" w:lineRule="auto"/>
        <w:ind w:left="0" w:right="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履行费用过高时违约方的解除权</w:t>
      </w:r>
    </w:p>
    <w:p w14:paraId="78DEB59A">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在履行费用过高时，债权人或债务人能否解除合同，原《合同法》并无明文规定。在经 济学上，当债务人履行费用显著增加，但债权人的履行利益维持不变或增加甚微时,双方若 能达成解除合同的合意,无疑构成帕累托最优。问题在于，此时若债权人不同意解除，应债 务人请求，司法权可否启动并判断合同可否解除？在本案中，因调解不成，二审法院才维持 一审法院解除合同的判决项，其核心理由是，即使新宇公司履约，冯玉梅也无法实现其经营 目的。从法经济学角度看，在帕累托最优无法达致时，法院应当事人的请求,可以运用卡尔 多-希克斯标准判断能否解约，而无论请求人为合同哪一方当事人。在本案中，新宇公司 将从解除合同中获利，冯玉梅可能受损（准确地说,其法律上的利益并未受损），但合同解除 提升了整个社会的福利,只要新宇公司对冯玉梅进行了补偿（承担违约责任），卡尔多-希 克斯标准就可以实现，即社会整体的收益大于损失。因此，本案判决结果值得肯定。</w:t>
      </w:r>
    </w:p>
    <w:p w14:paraId="4FAF8C1B">
      <w:pPr>
        <w:pStyle w:val="17"/>
        <w:keepNext w:val="0"/>
        <w:keepLines w:val="0"/>
        <w:widowControl w:val="0"/>
        <w:shd w:val="clear" w:color="auto" w:fill="auto"/>
        <w:bidi w:val="0"/>
        <w:spacing w:before="0" w:after="280" w:line="343" w:lineRule="exact"/>
        <w:ind w:left="0" w:right="0"/>
        <w:jc w:val="both"/>
      </w:pPr>
      <w:r>
        <w:rPr>
          <w:color w:val="000000"/>
          <w:spacing w:val="0"/>
          <w:w w:val="100"/>
          <w:position w:val="0"/>
        </w:rPr>
        <w:t>然而，在大陆法系国家，依卡尔多-希克斯标准作为合同解除的标准将遭遇重大的法 伦理质疑。债为法锁、合同拘束力和合同忠实义务等固有观念，均使合同难以解除。一个显 例是，直到</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世纪，自然法理论才承认基于债务不履行发展的一般解除权。在这种法律背 景中，违约方解除几乎未见于大陆法系诸国民法典中。但当履行费用过高构成履行经济上 的“不能履行</w:t>
      </w:r>
      <w:r>
        <w:rPr>
          <w:color w:val="000000"/>
          <w:spacing w:val="0"/>
          <w:w w:val="100"/>
          <w:position w:val="0"/>
          <w:lang w:val="zh-CN" w:eastAsia="zh-CN" w:bidi="zh-CN"/>
        </w:rPr>
        <w:t>”时,</w:t>
      </w:r>
      <w:r>
        <w:rPr>
          <w:color w:val="000000"/>
          <w:spacing w:val="0"/>
          <w:w w:val="100"/>
          <w:position w:val="0"/>
        </w:rPr>
        <w:t>大陆法系民法通常都规定债务人的给付义务消灭，一定程度上起到了合 同解除的效果。我国当时的法律并不认可违约方的解除权:《合同法》第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 xml:space="preserve">条（《民法典》第 </w:t>
      </w:r>
      <w:r>
        <w:rPr>
          <w:rFonts w:ascii="Times New Roman" w:hAnsi="Times New Roman" w:eastAsia="Times New Roman" w:cs="Times New Roman"/>
          <w:color w:val="000000"/>
          <w:spacing w:val="0"/>
          <w:w w:val="100"/>
          <w:position w:val="0"/>
          <w:sz w:val="19"/>
          <w:szCs w:val="19"/>
        </w:rPr>
        <w:t>563</w:t>
      </w:r>
      <w:r>
        <w:rPr>
          <w:color w:val="000000"/>
          <w:spacing w:val="0"/>
          <w:w w:val="100"/>
          <w:position w:val="0"/>
        </w:rPr>
        <w:t>条）规定的解除权人仅限于债权人，并不包括违约方（债务人）；其第</w:t>
      </w:r>
      <w:r>
        <w:rPr>
          <w:rFonts w:ascii="Times New Roman" w:hAnsi="Times New Roman" w:eastAsia="Times New Roman" w:cs="Times New Roman"/>
          <w:color w:val="000000"/>
          <w:spacing w:val="0"/>
          <w:w w:val="100"/>
          <w:position w:val="0"/>
          <w:sz w:val="19"/>
          <w:szCs w:val="19"/>
          <w:lang w:val="en-US" w:eastAsia="en-US" w:bidi="en-US"/>
        </w:rPr>
        <w:t>H0</w:t>
      </w:r>
      <w:r>
        <w:rPr>
          <w:color w:val="000000"/>
          <w:spacing w:val="0"/>
          <w:w w:val="100"/>
          <w:position w:val="0"/>
        </w:rPr>
        <w:t>条亦未明确排 除履行请求权后，合同当事人能否请求解除合同。</w:t>
      </w:r>
    </w:p>
    <w:p w14:paraId="114C4B68">
      <w:pPr>
        <w:pStyle w:val="17"/>
        <w:keepNext w:val="0"/>
        <w:keepLines w:val="0"/>
        <w:widowControl w:val="0"/>
        <w:shd w:val="clear" w:color="auto" w:fill="auto"/>
        <w:bidi w:val="0"/>
        <w:spacing w:before="0" w:after="120" w:line="42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履行费用过高与违约方解除的司法实践状况</w:t>
      </w:r>
    </w:p>
    <w:p w14:paraId="2B104664">
      <w:pPr>
        <w:pStyle w:val="17"/>
        <w:keepNext w:val="0"/>
        <w:keepLines w:val="0"/>
        <w:widowControl w:val="0"/>
        <w:shd w:val="clear" w:color="auto" w:fill="auto"/>
        <w:bidi w:val="0"/>
        <w:spacing w:before="0" w:after="0" w:line="377" w:lineRule="auto"/>
        <w:ind w:left="0" w:right="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.履行费用过高的认定标准</w:t>
      </w:r>
    </w:p>
    <w:p w14:paraId="681D6101">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对何时构成非金钱债务的履行费用过高，裁判实践基本上都采取了成本一收益标准, 不过表述略有差异。如</w:t>
      </w:r>
      <w:r>
        <w:rPr>
          <w:color w:val="000000"/>
          <w:spacing w:val="0"/>
          <w:w w:val="100"/>
          <w:position w:val="0"/>
          <w:lang w:val="zh-CN" w:eastAsia="zh-CN" w:bidi="zh-CN"/>
        </w:rPr>
        <w:t>“精华</w:t>
      </w:r>
      <w:r>
        <w:rPr>
          <w:color w:val="000000"/>
          <w:spacing w:val="0"/>
          <w:w w:val="100"/>
          <w:position w:val="0"/>
        </w:rPr>
        <w:t>制药集团南通有限公司与普莱克斯（上海）工业气体有限公司 买卖合同纠纷案</w:t>
      </w:r>
      <w:r>
        <w:rPr>
          <w:color w:val="000000"/>
          <w:spacing w:val="0"/>
          <w:w w:val="100"/>
          <w:position w:val="0"/>
          <w:sz w:val="11"/>
          <w:szCs w:val="11"/>
          <w:lang w:val="zh-CN" w:eastAsia="zh-CN" w:bidi="zh-CN"/>
        </w:rPr>
        <w:t>”［江</w:t>
      </w:r>
      <w:r>
        <w:rPr>
          <w:color w:val="000000"/>
          <w:spacing w:val="0"/>
          <w:w w:val="100"/>
          <w:position w:val="0"/>
          <w:sz w:val="11"/>
          <w:szCs w:val="11"/>
        </w:rPr>
        <w:t>苏省如东县人民法院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苏</w:t>
      </w:r>
      <w:r>
        <w:rPr>
          <w:rFonts w:ascii="Times New Roman" w:hAnsi="Times New Roman" w:eastAsia="Times New Roman" w:cs="Times New Roman"/>
          <w:color w:val="000000"/>
          <w:spacing w:val="0"/>
          <w:w w:val="100"/>
          <w:position w:val="0"/>
          <w:sz w:val="17"/>
          <w:szCs w:val="17"/>
        </w:rPr>
        <w:t>0623</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1117</w:t>
      </w:r>
      <w:r>
        <w:rPr>
          <w:color w:val="000000"/>
          <w:spacing w:val="0"/>
          <w:w w:val="100"/>
          <w:position w:val="0"/>
          <w:sz w:val="11"/>
          <w:szCs w:val="11"/>
        </w:rPr>
        <w:t>号民事判决书］</w:t>
      </w:r>
      <w:r>
        <w:rPr>
          <w:color w:val="000000"/>
          <w:spacing w:val="0"/>
          <w:w w:val="100"/>
          <w:position w:val="0"/>
        </w:rPr>
        <w:t>的标准与新宇 公司案类似，即</w:t>
      </w:r>
      <w:r>
        <w:rPr>
          <w:color w:val="000000"/>
          <w:spacing w:val="0"/>
          <w:w w:val="100"/>
          <w:position w:val="0"/>
          <w:lang w:val="zh-CN" w:eastAsia="zh-CN" w:bidi="zh-CN"/>
        </w:rPr>
        <w:t>“继</w:t>
      </w:r>
      <w:r>
        <w:rPr>
          <w:color w:val="000000"/>
          <w:spacing w:val="0"/>
          <w:w w:val="100"/>
          <w:position w:val="0"/>
        </w:rPr>
        <w:t>续履行合同的成本超过了合同当事人所获得的利益”。这种比较债务人 的违约成本和债权人的履行利益的方法容易操作，故在实践中非常流行。但因两者量化非 常困难，故裁判文书通常只直接作出认定结论,并不进行数字对比。</w:t>
      </w:r>
    </w:p>
    <w:p w14:paraId="69090327">
      <w:pPr>
        <w:pStyle w:val="17"/>
        <w:keepNext w:val="0"/>
        <w:keepLines w:val="0"/>
        <w:widowControl w:val="0"/>
        <w:shd w:val="clear" w:color="auto" w:fill="auto"/>
        <w:bidi w:val="0"/>
        <w:spacing w:before="0" w:after="120" w:line="342" w:lineRule="exact"/>
        <w:ind w:left="0" w:right="0"/>
        <w:jc w:val="both"/>
      </w:pPr>
      <w:r>
        <w:rPr>
          <w:color w:val="000000"/>
          <w:spacing w:val="0"/>
          <w:w w:val="100"/>
          <w:position w:val="0"/>
        </w:rPr>
        <w:t>裁判实践采纳的标准有两个值得注意的面向。一是超出双方在合同中的经济利益，考 虑更多因素，如第三人利益、社会稳定等。在</w:t>
      </w:r>
      <w:r>
        <w:rPr>
          <w:color w:val="000000"/>
          <w:spacing w:val="0"/>
          <w:w w:val="100"/>
          <w:position w:val="0"/>
          <w:lang w:val="zh-CN" w:eastAsia="zh-CN" w:bidi="zh-CN"/>
        </w:rPr>
        <w:t>“周云</w:t>
      </w:r>
      <w:r>
        <w:rPr>
          <w:color w:val="000000"/>
          <w:spacing w:val="0"/>
          <w:w w:val="100"/>
          <w:position w:val="0"/>
        </w:rPr>
        <w:t>、辉县市涌金城商贸有限责任公司与杨 瑞池租赁合同纠纷案</w:t>
      </w:r>
      <w:r>
        <w:rPr>
          <w:color w:val="000000"/>
          <w:spacing w:val="0"/>
          <w:w w:val="100"/>
          <w:position w:val="0"/>
          <w:sz w:val="11"/>
          <w:szCs w:val="11"/>
          <w:lang w:val="zh-CN" w:eastAsia="zh-CN" w:bidi="zh-CN"/>
        </w:rPr>
        <w:t>”［河</w:t>
      </w:r>
      <w:r>
        <w:rPr>
          <w:color w:val="000000"/>
          <w:spacing w:val="0"/>
          <w:w w:val="100"/>
          <w:position w:val="0"/>
          <w:sz w:val="11"/>
          <w:szCs w:val="11"/>
        </w:rPr>
        <w:t>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豫法民提字第</w:t>
      </w:r>
      <w:r>
        <w:rPr>
          <w:rFonts w:ascii="Times New Roman" w:hAnsi="Times New Roman" w:eastAsia="Times New Roman" w:cs="Times New Roman"/>
          <w:color w:val="000000"/>
          <w:spacing w:val="0"/>
          <w:w w:val="100"/>
          <w:position w:val="0"/>
          <w:sz w:val="17"/>
          <w:szCs w:val="17"/>
        </w:rPr>
        <w:t>344</w:t>
      </w:r>
      <w:r>
        <w:rPr>
          <w:color w:val="000000"/>
          <w:spacing w:val="0"/>
          <w:w w:val="100"/>
          <w:position w:val="0"/>
          <w:sz w:val="11"/>
          <w:szCs w:val="11"/>
        </w:rPr>
        <w:t>号民事判决书］</w:t>
      </w:r>
      <w:r>
        <w:rPr>
          <w:color w:val="000000"/>
          <w:spacing w:val="0"/>
          <w:w w:val="100"/>
          <w:position w:val="0"/>
        </w:rPr>
        <w:t>中，因案涉 合同项下的商铺已出租给他人,他人已使用该商铺用于经营，河南省高级人民法院认为，若 继续履行本案合同势必导致案外租赁合同的终止，引起新的纠纷和损失，故以履行费用过 高认定涉案合同不适于继续履行。这也形成了原《合同法》第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 xml:space="preserve">条规定的履行费用过高 与法律上或事实上不能履行的竞合关系。二是将其扩大至履行金钱义务的费用过高。在 </w:t>
      </w:r>
      <w:r>
        <w:rPr>
          <w:color w:val="000000"/>
          <w:spacing w:val="0"/>
          <w:w w:val="100"/>
          <w:position w:val="0"/>
          <w:lang w:val="zh-CN" w:eastAsia="zh-CN" w:bidi="zh-CN"/>
        </w:rPr>
        <w:t>“王华</w:t>
      </w:r>
      <w:r>
        <w:rPr>
          <w:color w:val="000000"/>
          <w:spacing w:val="0"/>
          <w:w w:val="100"/>
          <w:position w:val="0"/>
        </w:rPr>
        <w:t>与安徽海葵餐饮管理有限责任公司特许经营合同纠纷案</w:t>
      </w:r>
      <w:r>
        <w:rPr>
          <w:color w:val="000000"/>
          <w:spacing w:val="0"/>
          <w:w w:val="100"/>
          <w:position w:val="0"/>
          <w:sz w:val="11"/>
          <w:szCs w:val="11"/>
          <w:lang w:val="zh-CN" w:eastAsia="zh-CN" w:bidi="zh-CN"/>
        </w:rPr>
        <w:t>”［安</w:t>
      </w:r>
      <w:r>
        <w:rPr>
          <w:color w:val="000000"/>
          <w:spacing w:val="0"/>
          <w:w w:val="100"/>
          <w:position w:val="0"/>
          <w:sz w:val="11"/>
          <w:szCs w:val="11"/>
        </w:rPr>
        <w:t>徽省合肥市中级人民法院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）合民三终字第</w:t>
      </w:r>
      <w:r>
        <w:rPr>
          <w:rFonts w:ascii="Times New Roman" w:hAnsi="Times New Roman" w:eastAsia="Times New Roman" w:cs="Times New Roman"/>
          <w:color w:val="000000"/>
          <w:spacing w:val="0"/>
          <w:w w:val="100"/>
          <w:position w:val="0"/>
          <w:sz w:val="17"/>
          <w:szCs w:val="17"/>
        </w:rPr>
        <w:t>00070</w:t>
      </w:r>
      <w:r>
        <w:rPr>
          <w:color w:val="000000"/>
          <w:spacing w:val="0"/>
          <w:w w:val="100"/>
          <w:position w:val="0"/>
          <w:sz w:val="11"/>
          <w:szCs w:val="11"/>
        </w:rPr>
        <w:t>号民事判决书］中</w:t>
      </w:r>
      <w:r>
        <w:rPr>
          <w:color w:val="000000"/>
          <w:spacing w:val="0"/>
          <w:w w:val="100"/>
          <w:position w:val="0"/>
        </w:rPr>
        <w:t>，法院认为，原告此前在履行特许经营合同的过程 中损失已较大，作为经济能力有限的自然人，其重新开店继续履行涉案合同的能力受到严 重限制，故不支持继续履行。</w:t>
      </w:r>
    </w:p>
    <w:p w14:paraId="24016ED5">
      <w:pPr>
        <w:pStyle w:val="17"/>
        <w:keepNext w:val="0"/>
        <w:keepLines w:val="0"/>
        <w:widowControl w:val="0"/>
        <w:shd w:val="clear" w:color="auto" w:fill="auto"/>
        <w:bidi w:val="0"/>
        <w:spacing w:before="0" w:after="0" w:line="377" w:lineRule="auto"/>
        <w:ind w:left="0" w:right="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.违约方解除的司法裁判</w:t>
      </w:r>
    </w:p>
    <w:p w14:paraId="284EE54E">
      <w:pPr>
        <w:pStyle w:val="17"/>
        <w:keepNext w:val="0"/>
        <w:keepLines w:val="0"/>
        <w:widowControl w:val="0"/>
        <w:shd w:val="clear" w:color="auto" w:fill="auto"/>
        <w:bidi w:val="0"/>
        <w:spacing w:before="0" w:after="280" w:line="342" w:lineRule="exact"/>
        <w:ind w:left="0" w:right="0"/>
        <w:jc w:val="both"/>
      </w:pPr>
      <w:r>
        <w:rPr>
          <w:color w:val="000000"/>
          <w:spacing w:val="0"/>
          <w:w w:val="100"/>
          <w:position w:val="0"/>
        </w:rPr>
        <w:t>在《最高人民法院公报》刊载</w:t>
      </w:r>
      <w:r>
        <w:rPr>
          <w:color w:val="000000"/>
          <w:spacing w:val="0"/>
          <w:w w:val="100"/>
          <w:position w:val="0"/>
          <w:lang w:val="zh-CN" w:eastAsia="zh-CN" w:bidi="zh-CN"/>
        </w:rPr>
        <w:t>“新宇</w:t>
      </w:r>
      <w:r>
        <w:rPr>
          <w:color w:val="000000"/>
          <w:spacing w:val="0"/>
          <w:w w:val="100"/>
          <w:position w:val="0"/>
        </w:rPr>
        <w:t>公司案</w:t>
      </w:r>
      <w:r>
        <w:rPr>
          <w:color w:val="000000"/>
          <w:spacing w:val="0"/>
          <w:w w:val="100"/>
          <w:position w:val="0"/>
          <w:lang w:val="zh-CN" w:eastAsia="zh-CN" w:bidi="zh-CN"/>
        </w:rPr>
        <w:t>”后</w:t>
      </w:r>
      <w:r>
        <w:rPr>
          <w:color w:val="000000"/>
          <w:spacing w:val="0"/>
          <w:w w:val="100"/>
          <w:position w:val="0"/>
        </w:rPr>
        <w:t>，一些法院认可该案的裁判标准,尤其是 在商品房买卖合同、房屋租赁合同履行过程中出现</w:t>
      </w:r>
      <w:r>
        <w:rPr>
          <w:color w:val="000000"/>
          <w:spacing w:val="0"/>
          <w:w w:val="100"/>
          <w:position w:val="0"/>
          <w:lang w:val="zh-CN" w:eastAsia="zh-CN" w:bidi="zh-CN"/>
        </w:rPr>
        <w:t>“合</w:t>
      </w:r>
      <w:r>
        <w:rPr>
          <w:color w:val="000000"/>
          <w:spacing w:val="0"/>
          <w:w w:val="100"/>
          <w:position w:val="0"/>
        </w:rPr>
        <w:t>同僵局</w:t>
      </w:r>
      <w:r>
        <w:rPr>
          <w:color w:val="000000"/>
          <w:spacing w:val="0"/>
          <w:w w:val="100"/>
          <w:position w:val="0"/>
          <w:lang w:val="zh-CN" w:eastAsia="zh-CN" w:bidi="zh-CN"/>
        </w:rPr>
        <w:t>”时。</w:t>
      </w:r>
      <w:r>
        <w:rPr>
          <w:color w:val="000000"/>
          <w:spacing w:val="0"/>
          <w:w w:val="100"/>
          <w:position w:val="0"/>
        </w:rPr>
        <w:t>如在</w:t>
      </w:r>
      <w:r>
        <w:rPr>
          <w:color w:val="000000"/>
          <w:spacing w:val="0"/>
          <w:w w:val="100"/>
          <w:position w:val="0"/>
          <w:lang w:val="zh-CN" w:eastAsia="zh-CN" w:bidi="zh-CN"/>
        </w:rPr>
        <w:t>“张</w:t>
      </w:r>
      <w:r>
        <w:rPr>
          <w:color w:val="000000"/>
          <w:spacing w:val="0"/>
          <w:w w:val="100"/>
          <w:position w:val="0"/>
        </w:rPr>
        <w:t>春艳与唐慧房 屋租赁合同纠纷案</w:t>
      </w:r>
      <w:r>
        <w:rPr>
          <w:color w:val="000000"/>
          <w:spacing w:val="0"/>
          <w:w w:val="100"/>
          <w:position w:val="0"/>
          <w:sz w:val="11"/>
          <w:szCs w:val="11"/>
          <w:lang w:val="zh-CN" w:eastAsia="zh-CN" w:bidi="zh-CN"/>
        </w:rPr>
        <w:t>”［浙</w:t>
      </w:r>
      <w:r>
        <w:rPr>
          <w:color w:val="000000"/>
          <w:spacing w:val="0"/>
          <w:w w:val="100"/>
          <w:position w:val="0"/>
          <w:sz w:val="11"/>
          <w:szCs w:val="11"/>
        </w:rPr>
        <w:t>江省绍兴市中级人民法院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06</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1265</w:t>
      </w:r>
      <w:r>
        <w:rPr>
          <w:color w:val="000000"/>
          <w:spacing w:val="0"/>
          <w:w w:val="100"/>
          <w:position w:val="0"/>
          <w:sz w:val="11"/>
          <w:szCs w:val="11"/>
        </w:rPr>
        <w:t>号民事判决书］</w:t>
      </w:r>
      <w:r>
        <w:rPr>
          <w:color w:val="000000"/>
          <w:spacing w:val="0"/>
          <w:w w:val="100"/>
          <w:position w:val="0"/>
        </w:rPr>
        <w:t>中，双方签 订了租期</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年的《租赁合同》，原告将房屋用于开水果店，但生意一直不好，数月后已无力继 续经营。在双方合意解除失败后，原告起诉请求法院解除合同。一审法院驳回诉讼请求，二 审法院认为原告亏损严重，无法继续履行合同，依据原《合同法》第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条判决合同解除。 但也有很多判决不承认违约方解除，其理由大多是法无明文规定。</w:t>
      </w:r>
      <w:r>
        <w:rPr>
          <w:color w:val="000000"/>
          <w:spacing w:val="0"/>
          <w:w w:val="100"/>
          <w:position w:val="0"/>
          <w:lang w:val="zh-CN" w:eastAsia="zh-CN" w:bidi="zh-CN"/>
        </w:rPr>
        <w:t>“蚌</w:t>
      </w:r>
      <w:r>
        <w:rPr>
          <w:color w:val="000000"/>
          <w:spacing w:val="0"/>
          <w:w w:val="100"/>
          <w:position w:val="0"/>
        </w:rPr>
        <w:t>埠宝龙置业有限公 司与安徽雅豪工贸有限责任公司房屋租赁合同纠纷案”</w:t>
      </w:r>
      <w:r>
        <w:rPr>
          <w:color w:val="000000"/>
          <w:spacing w:val="0"/>
          <w:w w:val="100"/>
          <w:position w:val="0"/>
          <w:sz w:val="11"/>
          <w:szCs w:val="11"/>
        </w:rPr>
        <w:t>［安徽省高级人民法院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皖民四终 字第</w:t>
      </w:r>
      <w:r>
        <w:rPr>
          <w:rFonts w:ascii="Times New Roman" w:hAnsi="Times New Roman" w:eastAsia="Times New Roman" w:cs="Times New Roman"/>
          <w:color w:val="000000"/>
          <w:spacing w:val="0"/>
          <w:w w:val="100"/>
          <w:position w:val="0"/>
          <w:sz w:val="17"/>
          <w:szCs w:val="17"/>
        </w:rPr>
        <w:t>00340</w:t>
      </w:r>
      <w:r>
        <w:rPr>
          <w:color w:val="000000"/>
          <w:spacing w:val="0"/>
          <w:w w:val="100"/>
          <w:position w:val="0"/>
          <w:sz w:val="11"/>
          <w:szCs w:val="11"/>
        </w:rPr>
        <w:t>号民事判决书］</w:t>
      </w:r>
      <w:r>
        <w:rPr>
          <w:color w:val="000000"/>
          <w:spacing w:val="0"/>
          <w:w w:val="100"/>
          <w:position w:val="0"/>
        </w:rPr>
        <w:t>明确指出，</w:t>
      </w:r>
      <w:r>
        <w:rPr>
          <w:color w:val="000000"/>
          <w:spacing w:val="0"/>
          <w:w w:val="100"/>
          <w:position w:val="0"/>
          <w:lang w:val="zh-CN" w:eastAsia="zh-CN" w:bidi="zh-CN"/>
        </w:rPr>
        <w:t>“目前</w:t>
      </w:r>
      <w:r>
        <w:rPr>
          <w:color w:val="000000"/>
          <w:spacing w:val="0"/>
          <w:w w:val="100"/>
          <w:position w:val="0"/>
        </w:rPr>
        <w:t>我国法律明文规定和司法解释条款对能否支持违 约方行使法定解除权，尚无明确表述与明确规定</w:t>
      </w:r>
      <w:r>
        <w:rPr>
          <w:color w:val="000000"/>
          <w:spacing w:val="0"/>
          <w:w w:val="100"/>
          <w:position w:val="0"/>
          <w:lang w:val="zh-CN" w:eastAsia="zh-CN" w:bidi="zh-CN"/>
        </w:rPr>
        <w:t>”，故</w:t>
      </w:r>
      <w:r>
        <w:rPr>
          <w:color w:val="000000"/>
          <w:spacing w:val="0"/>
          <w:w w:val="100"/>
          <w:position w:val="0"/>
        </w:rPr>
        <w:t>不支持违约方解除合同。</w:t>
      </w:r>
    </w:p>
    <w:p w14:paraId="43E6E654">
      <w:pPr>
        <w:pStyle w:val="17"/>
        <w:keepNext w:val="0"/>
        <w:keepLines w:val="0"/>
        <w:widowControl w:val="0"/>
        <w:shd w:val="clear" w:color="auto" w:fill="auto"/>
        <w:bidi w:val="0"/>
        <w:spacing w:before="0" w:after="0" w:line="42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2DAD9115">
      <w:pPr>
        <w:pStyle w:val="17"/>
        <w:keepNext w:val="0"/>
        <w:keepLines w:val="0"/>
        <w:widowControl w:val="0"/>
        <w:shd w:val="clear" w:color="auto" w:fill="auto"/>
        <w:bidi w:val="0"/>
        <w:spacing w:before="0" w:after="0" w:line="348" w:lineRule="exact"/>
        <w:ind w:left="0" w:right="0"/>
        <w:jc w:val="both"/>
        <w:sectPr>
          <w:headerReference r:id="rId408" w:type="default"/>
          <w:headerReference r:id="rId409" w:type="even"/>
          <w:footnotePr>
            <w:numFmt w:val="chicago"/>
          </w:footnotePr>
          <w:pgSz w:w="10099" w:h="14782"/>
          <w:pgMar w:top="1328" w:right="1088" w:bottom="1076" w:left="1010" w:header="0" w:footer="3" w:gutter="0"/>
          <w:pgNumType w:start="342"/>
          <w:cols w:space="720" w:num="1"/>
          <w:rtlGutter w:val="0"/>
          <w:docGrid w:linePitch="360" w:charSpace="0"/>
        </w:sectPr>
      </w:pPr>
      <w:r>
        <w:rPr>
          <w:color w:val="000000"/>
          <w:spacing w:val="0"/>
          <w:w w:val="100"/>
          <w:position w:val="0"/>
        </w:rPr>
        <w:t>本案最典型的意义在于提出了</w:t>
      </w:r>
      <w:r>
        <w:rPr>
          <w:color w:val="000000"/>
          <w:spacing w:val="0"/>
          <w:w w:val="100"/>
          <w:position w:val="0"/>
          <w:lang w:val="zh-CN" w:eastAsia="zh-CN" w:bidi="zh-CN"/>
        </w:rPr>
        <w:t>“当出</w:t>
      </w:r>
      <w:r>
        <w:rPr>
          <w:color w:val="000000"/>
          <w:spacing w:val="0"/>
          <w:w w:val="100"/>
          <w:position w:val="0"/>
        </w:rPr>
        <w:t>现合同僵局时，违约方能否诉请法院解除合同</w:t>
      </w:r>
      <w:r>
        <w:rPr>
          <w:color w:val="000000"/>
          <w:spacing w:val="0"/>
          <w:w w:val="100"/>
          <w:position w:val="0"/>
          <w:lang w:val="zh-CN" w:eastAsia="zh-CN" w:bidi="zh-CN"/>
        </w:rPr>
        <w:t xml:space="preserve">”这 </w:t>
      </w:r>
      <w:r>
        <w:rPr>
          <w:color w:val="000000"/>
          <w:spacing w:val="0"/>
          <w:w w:val="100"/>
          <w:position w:val="0"/>
        </w:rPr>
        <w:t xml:space="preserve">一问题。基于如下重要原因，我国法律还无法全面和彻底破解这一问题:一是履行不能制 </w:t>
      </w:r>
    </w:p>
    <w:p w14:paraId="7E2348E0">
      <w:pPr>
        <w:pStyle w:val="17"/>
        <w:keepNext w:val="0"/>
        <w:keepLines w:val="0"/>
        <w:widowControl w:val="0"/>
        <w:shd w:val="clear" w:color="auto" w:fill="auto"/>
        <w:bidi w:val="0"/>
        <w:spacing w:before="0" w:after="0" w:line="348" w:lineRule="exact"/>
        <w:ind w:left="0" w:right="0" w:firstLine="0"/>
        <w:jc w:val="both"/>
      </w:pPr>
      <w:r>
        <w:rPr>
          <w:color w:val="000000"/>
          <w:spacing w:val="0"/>
          <w:w w:val="100"/>
          <w:position w:val="0"/>
        </w:rPr>
        <w:t>度不完整;二是不承认法律行为的主观基础变更（障碍），只承认客观情势变更;三是不承认 金钱债务的履行不能;四是缺乏对长期合同的法定调整机制。</w:t>
      </w:r>
    </w:p>
    <w:p w14:paraId="26F1F285">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年公布的《民法典合同编（草案）》第</w:t>
      </w:r>
      <w:r>
        <w:rPr>
          <w:rFonts w:ascii="Times New Roman" w:hAnsi="Times New Roman" w:eastAsia="Times New Roman" w:cs="Times New Roman"/>
          <w:color w:val="000000"/>
          <w:spacing w:val="0"/>
          <w:w w:val="100"/>
          <w:position w:val="0"/>
          <w:sz w:val="19"/>
          <w:szCs w:val="19"/>
        </w:rPr>
        <w:t>353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款首次赋予了违约方解除权。 《九民纪要》第</w:t>
      </w:r>
      <w:r>
        <w:rPr>
          <w:rFonts w:ascii="Times New Roman" w:hAnsi="Times New Roman" w:eastAsia="Times New Roman" w:cs="Times New Roman"/>
          <w:color w:val="000000"/>
          <w:spacing w:val="0"/>
          <w:w w:val="100"/>
          <w:position w:val="0"/>
          <w:sz w:val="19"/>
          <w:szCs w:val="19"/>
        </w:rPr>
        <w:t>48</w:t>
      </w:r>
      <w:r>
        <w:rPr>
          <w:color w:val="000000"/>
          <w:spacing w:val="0"/>
          <w:w w:val="100"/>
          <w:position w:val="0"/>
        </w:rPr>
        <w:t>条亦规定违约方可诉请解除合同,但设定了较为严格的条件。因争议过 大，</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 xml:space="preserve">月的《民法典草案》删除了违约方解除条款。为解决这一问题，《民法典》第 </w:t>
      </w:r>
      <w:r>
        <w:rPr>
          <w:rFonts w:ascii="Times New Roman" w:hAnsi="Times New Roman" w:eastAsia="Times New Roman" w:cs="Times New Roman"/>
          <w:color w:val="000000"/>
          <w:spacing w:val="0"/>
          <w:w w:val="100"/>
          <w:position w:val="0"/>
          <w:sz w:val="19"/>
          <w:szCs w:val="19"/>
        </w:rPr>
        <w:t>580</w:t>
      </w:r>
      <w:r>
        <w:rPr>
          <w:color w:val="000000"/>
          <w:spacing w:val="0"/>
          <w:w w:val="100"/>
          <w:position w:val="0"/>
        </w:rPr>
        <w:t>条（相当于原《合同法》第</w:t>
      </w:r>
      <w:r>
        <w:rPr>
          <w:rFonts w:ascii="Times New Roman" w:hAnsi="Times New Roman" w:eastAsia="Times New Roman" w:cs="Times New Roman"/>
          <w:color w:val="000000"/>
          <w:spacing w:val="0"/>
          <w:w w:val="100"/>
          <w:position w:val="0"/>
          <w:sz w:val="19"/>
          <w:szCs w:val="19"/>
        </w:rPr>
        <w:t>110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款规定，在非金钱债务履行不能，致使不能实现合 同目的的，人民法院或者仲裁机构可以根据当事人的请求终止合同权利义务关系,但是不 影响违约责任的承担。这在一定程度上破解了部分合同僵局问题，但其全面破解还需要学 界和实务界的协力。</w:t>
      </w:r>
    </w:p>
    <w:p w14:paraId="3DE883AB">
      <w:pPr>
        <w:pStyle w:val="11"/>
        <w:keepNext w:val="0"/>
        <w:keepLines w:val="0"/>
        <w:widowControl w:val="0"/>
        <w:shd w:val="clear" w:color="auto" w:fill="auto"/>
        <w:bidi w:val="0"/>
        <w:spacing w:before="0" w:after="60" w:line="344" w:lineRule="exact"/>
        <w:ind w:left="0" w:right="0" w:firstLine="0"/>
        <w:jc w:val="both"/>
      </w:pPr>
      <w:r>
        <w:rPr>
          <w:color w:val="000000"/>
          <w:spacing w:val="0"/>
          <w:w w:val="100"/>
          <w:position w:val="0"/>
        </w:rPr>
        <w:t>回参考文献</w:t>
      </w:r>
    </w:p>
    <w:p w14:paraId="6980C6D4">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韩世远:《合同法总论》，法律出版社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19AE1288">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崔建远：《合同法总论》，中国人民大学出版社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5C198C8">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朱广新：《合同法总论》，中国人民大学出版社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6E74141">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王洪亮：《强制履行请求权的性质及其行使》，载《法学》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CA23D33">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孙良国：《违约方的合同解除权及其界限》，载《当代法学》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9121977">
      <w:pPr>
        <w:pStyle w:val="33"/>
        <w:keepNext w:val="0"/>
        <w:keepLines w:val="0"/>
        <w:widowControl w:val="0"/>
        <w:shd w:val="clear" w:color="auto" w:fill="auto"/>
        <w:bidi w:val="0"/>
        <w:spacing w:before="0" w:after="0" w:line="312" w:lineRule="exact"/>
        <w:ind w:left="220" w:right="0" w:hanging="220"/>
        <w:jc w:val="both"/>
      </w:pPr>
      <w:r>
        <w:rPr>
          <w:color w:val="000000"/>
          <w:spacing w:val="0"/>
          <w:w w:val="100"/>
          <w:position w:val="0"/>
        </w:rPr>
        <w:t>刘洋:《“履行费用过高</w:t>
      </w:r>
      <w:r>
        <w:rPr>
          <w:color w:val="000000"/>
          <w:spacing w:val="0"/>
          <w:w w:val="100"/>
          <w:position w:val="0"/>
          <w:lang w:val="zh-CN" w:eastAsia="zh-CN" w:bidi="zh-CN"/>
        </w:rPr>
        <w:t>”作</w:t>
      </w:r>
      <w:r>
        <w:rPr>
          <w:color w:val="000000"/>
          <w:spacing w:val="0"/>
          <w:w w:val="100"/>
          <w:position w:val="0"/>
        </w:rPr>
        <w:t>为排除履行请求权的界限——“新宇公司诉冯玉梅商'铺买'卖合同纠纷案”评 析》，载《政治与法律》</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FE9AF2B">
      <w:pPr>
        <w:pStyle w:val="33"/>
        <w:keepNext w:val="0"/>
        <w:keepLines w:val="0"/>
        <w:widowControl w:val="0"/>
        <w:shd w:val="clear" w:color="auto" w:fill="auto"/>
        <w:bidi w:val="0"/>
        <w:spacing w:before="0" w:after="0" w:line="312" w:lineRule="exact"/>
        <w:ind w:left="220" w:right="0" w:hanging="220"/>
        <w:jc w:val="both"/>
      </w:pPr>
      <w:r>
        <w:rPr>
          <w:color w:val="000000"/>
          <w:spacing w:val="0"/>
          <w:w w:val="100"/>
          <w:position w:val="0"/>
        </w:rPr>
        <w:t>王利明：《论合同僵局中违约方申请解约》，载《法学评论》</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B2F86B2">
      <w:pPr>
        <w:pStyle w:val="33"/>
        <w:keepNext w:val="0"/>
        <w:keepLines w:val="0"/>
        <w:widowControl w:val="0"/>
        <w:shd w:val="clear" w:color="auto" w:fill="auto"/>
        <w:bidi w:val="0"/>
        <w:spacing w:before="0" w:after="0" w:line="312" w:lineRule="exact"/>
        <w:ind w:left="220" w:right="0" w:hanging="220"/>
        <w:jc w:val="both"/>
        <w:sectPr>
          <w:headerReference r:id="rId410" w:type="default"/>
          <w:headerReference r:id="rId411" w:type="even"/>
          <w:footnotePr>
            <w:numFmt w:val="chicago"/>
          </w:footnotePr>
          <w:pgSz w:w="10099" w:h="14782"/>
          <w:pgMar w:top="1328" w:right="1088" w:bottom="1076" w:left="1010" w:header="0" w:footer="648" w:gutter="0"/>
          <w:pgNumType w:start="361"/>
          <w:cols w:space="720" w:num="1"/>
          <w:rtlGutter w:val="0"/>
          <w:docGrid w:linePitch="360" w:charSpace="0"/>
        </w:sectPr>
      </w:pPr>
      <w:r>
        <w:rPr>
          <w:color w:val="000000"/>
          <w:spacing w:val="0"/>
          <w:w w:val="100"/>
          <w:position w:val="0"/>
        </w:rPr>
        <w:t>张兰兰：《履行费用过高规则的动态适用一对〈合同法〉第</w:t>
      </w:r>
      <w:r>
        <w:rPr>
          <w:rFonts w:ascii="Times New Roman" w:hAnsi="Times New Roman" w:eastAsia="Times New Roman" w:cs="Times New Roman"/>
          <w:color w:val="000000"/>
          <w:spacing w:val="0"/>
          <w:w w:val="100"/>
          <w:position w:val="0"/>
          <w:sz w:val="17"/>
          <w:szCs w:val="17"/>
        </w:rPr>
        <w:t>110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项第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种情形的具体化》，载《华 东政法大学学报》</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7EB034DB">
      <w:pPr>
        <w:widowControl w:val="0"/>
        <w:spacing w:line="7" w:lineRule="exact"/>
        <w:rPr>
          <w:sz w:val="2"/>
          <w:szCs w:val="2"/>
        </w:rPr>
      </w:pPr>
    </w:p>
    <w:p w14:paraId="485A4309">
      <w:pPr>
        <w:widowControl w:val="0"/>
        <w:spacing w:line="1" w:lineRule="exact"/>
        <w:sectPr>
          <w:headerReference r:id="rId412" w:type="default"/>
          <w:headerReference r:id="rId413" w:type="even"/>
          <w:footnotePr>
            <w:numFmt w:val="chicago"/>
          </w:footnotePr>
          <w:pgSz w:w="10099" w:h="14782"/>
          <w:pgMar w:top="1281" w:right="989" w:bottom="1117" w:left="1109" w:header="0" w:footer="3" w:gutter="0"/>
          <w:cols w:space="720" w:num="1"/>
          <w:rtlGutter w:val="0"/>
          <w:docGrid w:linePitch="360" w:charSpace="0"/>
        </w:sectPr>
      </w:pPr>
    </w:p>
    <w:p w14:paraId="08F00C1A">
      <w:pPr>
        <w:widowControl w:val="0"/>
        <w:spacing w:line="1" w:lineRule="exact"/>
      </w:pPr>
      <w:r>
        <w:drawing>
          <wp:anchor distT="0" distB="0" distL="0" distR="0" simplePos="0" relativeHeight="251660288" behindDoc="0" locked="0" layoutInCell="1" allowOverlap="1">
            <wp:simplePos x="0" y="0"/>
            <wp:positionH relativeFrom="page">
              <wp:posOffset>733425</wp:posOffset>
            </wp:positionH>
            <wp:positionV relativeFrom="paragraph">
              <wp:posOffset>0</wp:posOffset>
            </wp:positionV>
            <wp:extent cx="481330" cy="408305"/>
            <wp:effectExtent l="0" t="0" r="1270" b="10795"/>
            <wp:wrapTopAndBottom/>
            <wp:docPr id="957" name="Shape 957"/>
            <wp:cNvGraphicFramePr/>
            <a:graphic xmlns:a="http://schemas.openxmlformats.org/drawingml/2006/main">
              <a:graphicData uri="http://schemas.openxmlformats.org/drawingml/2006/picture">
                <pic:pic xmlns:pic="http://schemas.openxmlformats.org/drawingml/2006/picture">
                  <pic:nvPicPr>
                    <pic:cNvPr id="957" name="Shape 957"/>
                    <pic:cNvPicPr/>
                  </pic:nvPicPr>
                  <pic:blipFill>
                    <a:blip r:embed="rId682"/>
                    <a:stretch>
                      <a:fillRect/>
                    </a:stretch>
                  </pic:blipFill>
                  <pic:spPr>
                    <a:xfrm>
                      <a:off x="0" y="0"/>
                      <a:ext cx="481330" cy="408305"/>
                    </a:xfrm>
                    <a:prstGeom prst="rect">
                      <a:avLst/>
                    </a:prstGeom>
                  </pic:spPr>
                </pic:pic>
              </a:graphicData>
            </a:graphic>
          </wp:anchor>
        </w:drawing>
      </w:r>
      <w:r>
        <mc:AlternateContent>
          <mc:Choice Requires="wps">
            <w:drawing>
              <wp:anchor distT="128270" distB="43815" distL="0" distR="0" simplePos="0" relativeHeight="251660288" behindDoc="0" locked="0" layoutInCell="1" allowOverlap="1">
                <wp:simplePos x="0" y="0"/>
                <wp:positionH relativeFrom="page">
                  <wp:posOffset>1346200</wp:posOffset>
                </wp:positionH>
                <wp:positionV relativeFrom="paragraph">
                  <wp:posOffset>128270</wp:posOffset>
                </wp:positionV>
                <wp:extent cx="2018030" cy="236220"/>
                <wp:effectExtent l="0" t="0" r="0" b="0"/>
                <wp:wrapTopAndBottom/>
                <wp:docPr id="959" name="Shape 959"/>
                <wp:cNvGraphicFramePr/>
                <a:graphic xmlns:a="http://schemas.openxmlformats.org/drawingml/2006/main">
                  <a:graphicData uri="http://schemas.microsoft.com/office/word/2010/wordprocessingShape">
                    <wps:wsp>
                      <wps:cNvSpPr txBox="1"/>
                      <wps:spPr>
                        <a:xfrm>
                          <a:off x="0" y="0"/>
                          <a:ext cx="2018030" cy="236220"/>
                        </a:xfrm>
                        <a:prstGeom prst="rect">
                          <a:avLst/>
                        </a:prstGeom>
                        <a:noFill/>
                      </wps:spPr>
                      <wps:txbx>
                        <w:txbxContent>
                          <w:p w14:paraId="49ADCD56">
                            <w:pPr>
                              <w:pStyle w:val="15"/>
                              <w:keepNext/>
                              <w:keepLines/>
                              <w:widowControl w:val="0"/>
                              <w:shd w:val="clear" w:color="auto" w:fill="auto"/>
                              <w:bidi w:val="0"/>
                              <w:spacing w:before="0" w:after="0" w:line="240" w:lineRule="auto"/>
                              <w:ind w:left="0" w:right="0" w:firstLine="0"/>
                              <w:jc w:val="left"/>
                            </w:pPr>
                            <w:bookmarkStart w:id="522" w:name="bookmark439"/>
                            <w:bookmarkStart w:id="523" w:name="bookmark440"/>
                            <w:bookmarkStart w:id="524" w:name="bookmark441"/>
                            <w:r>
                              <w:rPr>
                                <w:color w:val="000000"/>
                                <w:spacing w:val="0"/>
                                <w:w w:val="100"/>
                                <w:position w:val="0"/>
                              </w:rPr>
                              <w:t>合同解除权与解除异议</w:t>
                            </w:r>
                            <w:bookmarkEnd w:id="522"/>
                            <w:bookmarkEnd w:id="523"/>
                            <w:bookmarkEnd w:id="524"/>
                          </w:p>
                        </w:txbxContent>
                      </wps:txbx>
                      <wps:bodyPr wrap="none" lIns="0" tIns="0" rIns="0" bIns="0">
                        <a:noAutofit/>
                      </wps:bodyPr>
                    </wps:wsp>
                  </a:graphicData>
                </a:graphic>
              </wp:anchor>
            </w:drawing>
          </mc:Choice>
          <mc:Fallback>
            <w:pict>
              <v:shape id="Shape 959" o:spid="_x0000_s1026" o:spt="202" type="#_x0000_t202" style="position:absolute;left:0pt;margin-left:106pt;margin-top:10.1pt;height:18.6pt;width:158.9pt;mso-position-horizontal-relative:page;mso-wrap-distance-bottom:3.45pt;mso-wrap-distance-top:10.1pt;mso-wrap-style:none;z-index:251660288;mso-width-relative:page;mso-height-relative:page;" filled="f" stroked="f" coordsize="21600,21600" o:gfxdata="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tVCch1gAA&#10;AAkBAAAPAAAAAAAAAAEAIAAAACIAAABkcnMvZG93bnJldi54bWxQSwECFAAUAAAACACHTuJATjgO&#10;PK4BAAB0AwAADgAAAAAAAAABACAAAAAlAQAAZHJzL2Uyb0RvYy54bWxQSwUGAAAAAAYABgBZAQAA&#10;RQUAAAAA&#10;">
                <v:fill on="f" focussize="0,0"/>
                <v:stroke on="f"/>
                <v:imagedata o:title=""/>
                <o:lock v:ext="edit" aspectratio="f"/>
                <v:textbox inset="0mm,0mm,0mm,0mm">
                  <w:txbxContent>
                    <w:p w14:paraId="49ADCD56">
                      <w:pPr>
                        <w:pStyle w:val="15"/>
                        <w:keepNext/>
                        <w:keepLines/>
                        <w:widowControl w:val="0"/>
                        <w:shd w:val="clear" w:color="auto" w:fill="auto"/>
                        <w:bidi w:val="0"/>
                        <w:spacing w:before="0" w:after="0" w:line="240" w:lineRule="auto"/>
                        <w:ind w:left="0" w:right="0" w:firstLine="0"/>
                        <w:jc w:val="left"/>
                      </w:pPr>
                      <w:bookmarkStart w:id="522" w:name="bookmark439"/>
                      <w:bookmarkStart w:id="523" w:name="bookmark440"/>
                      <w:bookmarkStart w:id="524" w:name="bookmark441"/>
                      <w:r>
                        <w:rPr>
                          <w:color w:val="000000"/>
                          <w:spacing w:val="0"/>
                          <w:w w:val="100"/>
                          <w:position w:val="0"/>
                        </w:rPr>
                        <w:t>合同解除权与解除异议</w:t>
                      </w:r>
                      <w:bookmarkEnd w:id="522"/>
                      <w:bookmarkEnd w:id="523"/>
                      <w:bookmarkEnd w:id="524"/>
                    </w:p>
                  </w:txbxContent>
                </v:textbox>
                <w10:wrap type="topAndBottom"/>
              </v:shape>
            </w:pict>
          </mc:Fallback>
        </mc:AlternateContent>
      </w:r>
    </w:p>
    <w:p w14:paraId="69F08B75">
      <w:pPr>
        <w:pStyle w:val="17"/>
        <w:keepNext w:val="0"/>
        <w:keepLines w:val="0"/>
        <w:widowControl w:val="0"/>
        <w:shd w:val="clear" w:color="auto" w:fill="auto"/>
        <w:bidi w:val="0"/>
        <w:spacing w:before="0" w:after="400" w:line="342" w:lineRule="exact"/>
        <w:ind w:left="1000" w:right="0" w:firstLine="20"/>
        <w:jc w:val="both"/>
      </w:pPr>
      <w:r>
        <w:drawing>
          <wp:anchor distT="0" distB="0" distL="114300" distR="114300" simplePos="0" relativeHeight="251660288" behindDoc="0" locked="0" layoutInCell="1" allowOverlap="1">
            <wp:simplePos x="0" y="0"/>
            <wp:positionH relativeFrom="page">
              <wp:posOffset>5247640</wp:posOffset>
            </wp:positionH>
            <wp:positionV relativeFrom="paragraph">
              <wp:posOffset>101600</wp:posOffset>
            </wp:positionV>
            <wp:extent cx="475615" cy="548640"/>
            <wp:effectExtent l="0" t="0" r="6985" b="10160"/>
            <wp:wrapSquare wrapText="left"/>
            <wp:docPr id="961" name="Shape 961"/>
            <wp:cNvGraphicFramePr/>
            <a:graphic xmlns:a="http://schemas.openxmlformats.org/drawingml/2006/main">
              <a:graphicData uri="http://schemas.openxmlformats.org/drawingml/2006/picture">
                <pic:pic xmlns:pic="http://schemas.openxmlformats.org/drawingml/2006/picture">
                  <pic:nvPicPr>
                    <pic:cNvPr id="961" name="Shape 961"/>
                    <pic:cNvPicPr/>
                  </pic:nvPicPr>
                  <pic:blipFill>
                    <a:blip r:embed="rId683"/>
                    <a:stretch>
                      <a:fillRect/>
                    </a:stretch>
                  </pic:blipFill>
                  <pic:spPr>
                    <a:xfrm>
                      <a:off x="0" y="0"/>
                      <a:ext cx="475615" cy="548640"/>
                    </a:xfrm>
                    <a:prstGeom prst="rect">
                      <a:avLst/>
                    </a:prstGeom>
                  </pic:spPr>
                </pic:pic>
              </a:graphicData>
            </a:graphic>
          </wp:anchor>
        </w:drawing>
      </w:r>
      <w:r>
        <w:rPr>
          <w:color w:val="000000"/>
          <w:spacing w:val="0"/>
          <w:w w:val="100"/>
          <w:position w:val="0"/>
        </w:rPr>
        <w:t>四川省聚丰房地产开发有限责任公司与达州广播电视大学合资、合 作开发房地产合同纠纷案丨最高人民法院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民一终字第</w:t>
      </w:r>
      <w:r>
        <w:rPr>
          <w:rFonts w:ascii="Times New Roman" w:hAnsi="Times New Roman" w:eastAsia="Times New Roman" w:cs="Times New Roman"/>
          <w:color w:val="000000"/>
          <w:spacing w:val="0"/>
          <w:w w:val="100"/>
          <w:position w:val="0"/>
          <w:sz w:val="19"/>
          <w:szCs w:val="19"/>
        </w:rPr>
        <w:t xml:space="preserve">18 </w:t>
      </w:r>
      <w:r>
        <w:rPr>
          <w:color w:val="000000"/>
          <w:spacing w:val="0"/>
          <w:w w:val="100"/>
          <w:position w:val="0"/>
        </w:rPr>
        <w:t>号民事判决书</w:t>
      </w:r>
    </w:p>
    <w:p w14:paraId="7310C9C1">
      <w:pPr>
        <w:pStyle w:val="33"/>
        <w:keepNext w:val="0"/>
        <w:keepLines w:val="0"/>
        <w:widowControl w:val="0"/>
        <w:shd w:val="clear" w:color="auto" w:fill="auto"/>
        <w:bidi w:val="0"/>
        <w:spacing w:before="0" w:after="1440" w:line="240" w:lineRule="auto"/>
        <w:ind w:left="0" w:right="0" w:firstLine="0"/>
        <w:jc w:val="right"/>
      </w:pPr>
      <w:r>
        <w:rPr>
          <w:color w:val="000000"/>
          <w:spacing w:val="0"/>
          <w:w w:val="100"/>
          <w:position w:val="0"/>
        </w:rPr>
        <w:t>弓长双*艮北京大学法学院</w:t>
      </w:r>
    </w:p>
    <w:p w14:paraId="799CDC94">
      <w:pPr>
        <w:pStyle w:val="11"/>
        <w:keepNext w:val="0"/>
        <w:keepLines w:val="0"/>
        <w:widowControl w:val="0"/>
        <w:shd w:val="clear" w:color="auto" w:fill="auto"/>
        <w:bidi w:val="0"/>
        <w:spacing w:before="0" w:after="10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C959B24">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日，达州广播电视大学（以下简称电大财校）与四川省聚丰房地产开发 有限责任公司（以下简称聚丰公司）签订《合作开发协议书》（以下简称《协议》），约定电大 财校以达州市政府批准的《校园总体规划调整方案》及学校临街开发的出让土地使用权作 为投资，聚丰公司以现金全额投资并独立开发建设房地产项目;电大财校有权利按约定获 取开发效益，且不承担项目开发建设风险;电大财校在聚丰公司付清首付款后</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日内办理 土地使用权过户手续;聚丰公司若未按照约定按期兑现电大财校利益，则视为违约，电大财 校可解除合同。</w:t>
      </w:r>
    </w:p>
    <w:p w14:paraId="5B875D3C">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日，电大财校向聚丰公司发出</w:t>
      </w:r>
      <w:r>
        <w:rPr>
          <w:color w:val="000000"/>
          <w:spacing w:val="0"/>
          <w:w w:val="100"/>
          <w:position w:val="0"/>
          <w:lang w:val="zh-CN" w:eastAsia="zh-CN" w:bidi="zh-CN"/>
        </w:rPr>
        <w:t>“达电</w:t>
      </w:r>
      <w:r>
        <w:rPr>
          <w:color w:val="000000"/>
          <w:spacing w:val="0"/>
          <w:w w:val="100"/>
          <w:position w:val="0"/>
        </w:rPr>
        <w:t>大财校函（</w:t>
      </w:r>
      <w:r>
        <w:rPr>
          <w:rFonts w:ascii="Times New Roman" w:hAnsi="Times New Roman" w:eastAsia="Times New Roman" w:cs="Times New Roman"/>
          <w:color w:val="000000"/>
          <w:spacing w:val="0"/>
          <w:w w:val="100"/>
          <w:position w:val="0"/>
          <w:sz w:val="19"/>
          <w:szCs w:val="19"/>
        </w:rPr>
        <w:t>2010）3</w:t>
      </w:r>
      <w:r>
        <w:rPr>
          <w:color w:val="000000"/>
          <w:spacing w:val="0"/>
          <w:w w:val="100"/>
          <w:position w:val="0"/>
        </w:rPr>
        <w:t>号</w:t>
      </w:r>
      <w:r>
        <w:rPr>
          <w:color w:val="000000"/>
          <w:spacing w:val="0"/>
          <w:w w:val="100"/>
          <w:position w:val="0"/>
          <w:lang w:val="zh-CN" w:eastAsia="zh-CN" w:bidi="zh-CN"/>
        </w:rPr>
        <w:t>”《解</w:t>
      </w:r>
      <w:r>
        <w:rPr>
          <w:color w:val="000000"/>
          <w:spacing w:val="0"/>
          <w:w w:val="100"/>
          <w:position w:val="0"/>
        </w:rPr>
        <w:t xml:space="preserve">除函》，以 </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日达州市政府召开专题会议，决定对学校临街出让土地实行阳光操作，以招 拍挂方式公开进行交易，导致其已无法履行《协议》为由，提出解除《协议》的主张。对此，聚 丰公司未在三个月内予以回应。后</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日，达州市政府在《达州日报》刊登《关 于注销土地使用证的公告》，决定注销前述案涉土地的土地使用证,公告该土地使用证作 废。后聚丰公司于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日起诉电大财校违约，请求判令电大财校立即全面履行 《协议》，并承担诉讼费用。在一审诉讼期间，电大财校于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日再次向聚丰公司 发出《解除通知》。</w:t>
      </w:r>
    </w:p>
    <w:p w14:paraId="5648B1CA">
      <w:pPr>
        <w:pStyle w:val="11"/>
        <w:keepNext w:val="0"/>
        <w:keepLines w:val="0"/>
        <w:widowControl w:val="0"/>
        <w:shd w:val="clear" w:color="auto" w:fill="auto"/>
        <w:bidi w:val="0"/>
        <w:spacing w:before="0" w:after="10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1D39B7E7">
      <w:pPr>
        <w:pStyle w:val="17"/>
        <w:keepNext w:val="0"/>
        <w:keepLines w:val="0"/>
        <w:widowControl w:val="0"/>
        <w:shd w:val="clear" w:color="auto" w:fill="auto"/>
        <w:bidi w:val="0"/>
        <w:spacing w:before="0" w:after="380" w:line="343" w:lineRule="exact"/>
        <w:ind w:left="0" w:right="0" w:firstLine="420"/>
        <w:jc w:val="both"/>
        <w:sectPr>
          <w:footnotePr>
            <w:numFmt w:val="chicago"/>
          </w:footnotePr>
          <w:type w:val="continuous"/>
          <w:pgSz w:w="10099" w:h="14782"/>
          <w:pgMar w:top="1281" w:right="989" w:bottom="1117" w:left="1109" w:header="853" w:footer="689" w:gutter="0"/>
          <w:cols w:space="720" w:num="1"/>
          <w:rtlGutter w:val="0"/>
          <w:docGrid w:linePitch="360" w:charSpace="0"/>
        </w:sectPr>
      </w:pPr>
      <w:r>
        <w:rPr>
          <w:color w:val="000000"/>
          <w:spacing w:val="0"/>
          <w:w w:val="100"/>
          <w:position w:val="0"/>
        </w:rPr>
        <w:t>根据原《物权法》的规定，不动产物权应当依不动产登记簿的内容确定,不动产权属证 书只是权利人享有该不动产物权的证明。行政机关注销国有土地使用证但并未注销土地 登记的，国有土地的使用权人仍然是土地登记档案中记载的权利人。国有土地使用权转让 法律关系中的转让人以国有土地使用证被注销、其不再享有土地使用权为由主张解除合同 的,人民法院不应支持。</w:t>
      </w:r>
    </w:p>
    <w:p w14:paraId="4C84E858">
      <w:pPr>
        <w:pStyle w:val="11"/>
        <w:keepNext w:val="0"/>
        <w:keepLines w:val="0"/>
        <w:widowControl w:val="0"/>
        <w:shd w:val="clear" w:color="auto" w:fill="auto"/>
        <w:bidi w:val="0"/>
        <w:spacing w:before="0" w:after="140" w:line="343" w:lineRule="exact"/>
        <w:ind w:left="0" w:right="0" w:firstLine="0"/>
        <w:jc w:val="both"/>
      </w:pPr>
      <w:r>
        <w:rPr>
          <w:color w:val="000000"/>
          <w:spacing w:val="0"/>
          <w:w w:val="100"/>
          <w:position w:val="0"/>
        </w:rPr>
        <w:t>■评析</w:t>
      </w:r>
    </w:p>
    <w:p w14:paraId="03D64B13">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4646ECEE">
      <w:pPr>
        <w:pStyle w:val="17"/>
        <w:keepNext w:val="0"/>
        <w:keepLines w:val="0"/>
        <w:widowControl w:val="0"/>
        <w:shd w:val="clear" w:color="auto" w:fill="auto"/>
        <w:bidi w:val="0"/>
        <w:spacing w:before="0" w:after="0" w:line="345" w:lineRule="exact"/>
        <w:ind w:left="0" w:right="0"/>
        <w:jc w:val="both"/>
      </w:pPr>
      <w:r>
        <w:rPr>
          <w:color w:val="000000"/>
          <w:spacing w:val="0"/>
          <w:w w:val="100"/>
          <w:position w:val="0"/>
        </w:rPr>
        <w:t>总结本案,值得关注的理论问题有两点:（</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）合同一方能否以行政机关之决定导致其无 法履行合同为由，主张解除合同？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合同一方书面提出解除合同后,合同相对人未在三个 月内提出异议，是否发生合同解除的效力？</w:t>
      </w:r>
    </w:p>
    <w:p w14:paraId="475D6A6C">
      <w:pPr>
        <w:pStyle w:val="17"/>
        <w:keepNext w:val="0"/>
        <w:keepLines w:val="0"/>
        <w:widowControl w:val="0"/>
        <w:shd w:val="clear" w:color="auto" w:fill="auto"/>
        <w:bidi w:val="0"/>
        <w:spacing w:before="0" w:after="140" w:line="345" w:lineRule="exact"/>
        <w:ind w:left="0" w:right="0"/>
        <w:jc w:val="both"/>
      </w:pPr>
      <w:r>
        <w:rPr>
          <w:color w:val="000000"/>
          <w:spacing w:val="0"/>
          <w:w w:val="100"/>
          <w:position w:val="0"/>
        </w:rPr>
        <w:t>最高人民法院（以下简称最高院）就本案在公报中所提炼的</w:t>
      </w:r>
      <w:r>
        <w:rPr>
          <w:color w:val="000000"/>
          <w:spacing w:val="0"/>
          <w:w w:val="100"/>
          <w:position w:val="0"/>
          <w:lang w:val="zh-CN" w:eastAsia="zh-CN" w:bidi="zh-CN"/>
        </w:rPr>
        <w:t>“裁</w:t>
      </w:r>
      <w:r>
        <w:rPr>
          <w:color w:val="000000"/>
          <w:spacing w:val="0"/>
          <w:w w:val="100"/>
          <w:position w:val="0"/>
        </w:rPr>
        <w:t>判摘要</w:t>
      </w:r>
      <w:r>
        <w:rPr>
          <w:color w:val="000000"/>
          <w:spacing w:val="0"/>
          <w:w w:val="100"/>
          <w:position w:val="0"/>
          <w:lang w:val="zh-CN" w:eastAsia="zh-CN" w:bidi="zh-CN"/>
        </w:rPr>
        <w:t>”（上</w:t>
      </w:r>
      <w:r>
        <w:rPr>
          <w:color w:val="000000"/>
          <w:spacing w:val="0"/>
          <w:w w:val="100"/>
          <w:position w:val="0"/>
        </w:rPr>
        <w:t>述“裁判要 旨”），仅针对前一问题（本案三个争点中的第三个争点）。后一问题略隐于其第二个争点之 中，但更富理论评析价值。就该问题,一审法院认为，聚丰公司在《解除函》到达之日起三个 月内并未向人民法院或者仲裁机构确认能否解除合同，则《解除函》到达聚丰公司时就已发 生法律效力。但最高院纠正此看法，认为在合同一方意图解除合同,但既不符合约定解除 的条件，又不具备法定解除的权利时，不适用原《合同法》第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 xml:space="preserve">565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款）与最高人民法院《关于适用〈中华人民共和国合同法〉若干问题的解释（二）》</w:t>
      </w:r>
      <w:r>
        <w:rPr>
          <w:color w:val="000000"/>
          <w:spacing w:val="0"/>
          <w:w w:val="100"/>
          <w:position w:val="0"/>
          <w:lang w:val="en-US" w:eastAsia="en-US" w:bidi="en-US"/>
        </w:rPr>
        <w:t>［</w:t>
      </w:r>
      <w:r>
        <w:rPr>
          <w:color w:val="000000"/>
          <w:spacing w:val="0"/>
          <w:w w:val="100"/>
          <w:position w:val="0"/>
        </w:rPr>
        <w:t>法 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号］（以下简称《合同法司法解释二》）第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条关于解除异议的规定。最高院的 这一裁判思路，对现行法关于合同解除以及解除异议相关规定的理解，具有相当的理论澄 清价值。</w:t>
      </w:r>
    </w:p>
    <w:p w14:paraId="0FE0D671">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合同解除异议的规范及学理</w:t>
      </w:r>
    </w:p>
    <w:p w14:paraId="1E693ECC">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合同解除权,无论是约定解除权还是法定解除权，在法律性质上均为形成权，且依学理 与现行法，其行使不以诉的方式为必要。如此一来，在一方以非诉方式来解除合同时，似乎 存在</w:t>
      </w:r>
      <w:r>
        <w:rPr>
          <w:color w:val="000000"/>
          <w:spacing w:val="0"/>
          <w:w w:val="100"/>
          <w:position w:val="0"/>
          <w:lang w:val="zh-CN" w:eastAsia="zh-CN" w:bidi="zh-CN"/>
        </w:rPr>
        <w:t>“漏洞”：</w:t>
      </w:r>
      <w:r>
        <w:rPr>
          <w:color w:val="000000"/>
          <w:spacing w:val="0"/>
          <w:w w:val="100"/>
          <w:position w:val="0"/>
        </w:rPr>
        <w:t xml:space="preserve">如果对方同样以非诉方式提出异议，那么合同到底是已解除，还是未解除呢？ </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年原《合同法》第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句似意图补漏，规定对方可以通过</w:t>
      </w:r>
      <w:r>
        <w:rPr>
          <w:color w:val="000000"/>
          <w:spacing w:val="0"/>
          <w:w w:val="100"/>
          <w:position w:val="0"/>
          <w:lang w:val="zh-CN" w:eastAsia="zh-CN" w:bidi="zh-CN"/>
        </w:rPr>
        <w:t>“请</w:t>
      </w:r>
      <w:r>
        <w:rPr>
          <w:color w:val="000000"/>
          <w:spacing w:val="0"/>
          <w:w w:val="100"/>
          <w:position w:val="0"/>
        </w:rPr>
        <w:t>求人民法院或 者仲裁机构确认解除合同的效力</w:t>
      </w:r>
      <w:r>
        <w:rPr>
          <w:color w:val="000000"/>
          <w:spacing w:val="0"/>
          <w:w w:val="100"/>
          <w:position w:val="0"/>
          <w:lang w:val="zh-CN" w:eastAsia="zh-CN" w:bidi="zh-CN"/>
        </w:rPr>
        <w:t>”的方</w:t>
      </w:r>
      <w:r>
        <w:rPr>
          <w:color w:val="000000"/>
          <w:spacing w:val="0"/>
          <w:w w:val="100"/>
          <w:position w:val="0"/>
        </w:rPr>
        <w:t xml:space="preserve">式来提出异议。但该句规定不仅未堵住漏洞（非诉 方式的异议到底产生什么效力），还带出新疑问，即对方诉讼（包括仲裁）方式的异议，应在 何时提起呢？ </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年之后的《合同法司法解释二》，又不得不以第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 xml:space="preserve">条来修补原《合同法》的 </w:t>
      </w:r>
      <w:r>
        <w:rPr>
          <w:color w:val="000000"/>
          <w:spacing w:val="0"/>
          <w:w w:val="100"/>
          <w:position w:val="0"/>
          <w:lang w:val="zh-CN" w:eastAsia="zh-CN" w:bidi="zh-CN"/>
        </w:rPr>
        <w:t>“漏洞”，规</w:t>
      </w:r>
      <w:r>
        <w:rPr>
          <w:color w:val="000000"/>
          <w:spacing w:val="0"/>
          <w:w w:val="100"/>
          <w:position w:val="0"/>
        </w:rPr>
        <w:t>定解除异议的行使期限与逾期效果。</w:t>
      </w:r>
    </w:p>
    <w:p w14:paraId="21EBA1F8">
      <w:pPr>
        <w:pStyle w:val="17"/>
        <w:keepNext w:val="0"/>
        <w:keepLines w:val="0"/>
        <w:widowControl w:val="0"/>
        <w:shd w:val="clear" w:color="auto" w:fill="auto"/>
        <w:bidi w:val="0"/>
        <w:spacing w:before="0" w:after="0" w:line="343" w:lineRule="exact"/>
        <w:ind w:left="0" w:right="0"/>
        <w:jc w:val="both"/>
        <w:rPr>
          <w:sz w:val="11"/>
          <w:szCs w:val="11"/>
        </w:rPr>
      </w:pPr>
      <w:r>
        <w:rPr>
          <w:color w:val="000000"/>
          <w:spacing w:val="0"/>
          <w:w w:val="100"/>
          <w:position w:val="0"/>
          <w:sz w:val="18"/>
          <w:szCs w:val="18"/>
        </w:rPr>
        <w:t>在理论上肯定原《合同法》及《合同法司法解释二》上述规定的学者，认为倘若解约方在 异议期间内没有起诉行使异议权,无论解约方是否享有解除权，合同都在解除通知到达时 解除</w:t>
      </w:r>
      <w:r>
        <w:rPr>
          <w:color w:val="000000"/>
          <w:spacing w:val="0"/>
          <w:w w:val="100"/>
          <w:position w:val="0"/>
          <w:sz w:val="11"/>
          <w:szCs w:val="11"/>
        </w:rPr>
        <w:t>［沈德咏等主编：《最高人民法院关于合同法司法解释（二）理解与适用》，人民法院出版社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 版，第</w:t>
      </w:r>
      <w:r>
        <w:rPr>
          <w:rFonts w:ascii="Times New Roman" w:hAnsi="Times New Roman" w:eastAsia="Times New Roman" w:cs="Times New Roman"/>
          <w:color w:val="000000"/>
          <w:spacing w:val="0"/>
          <w:w w:val="100"/>
          <w:position w:val="0"/>
          <w:sz w:val="17"/>
          <w:szCs w:val="17"/>
        </w:rPr>
        <w:t>176</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177</w:t>
      </w:r>
      <w:r>
        <w:rPr>
          <w:color w:val="000000"/>
          <w:spacing w:val="0"/>
          <w:w w:val="100"/>
          <w:position w:val="0"/>
          <w:sz w:val="11"/>
          <w:szCs w:val="11"/>
        </w:rPr>
        <w:t>页］;</w:t>
      </w:r>
      <w:r>
        <w:rPr>
          <w:color w:val="000000"/>
          <w:spacing w:val="0"/>
          <w:w w:val="100"/>
          <w:position w:val="0"/>
          <w:sz w:val="18"/>
          <w:szCs w:val="18"/>
        </w:rPr>
        <w:t>在相对人未在约定或法定的异议期间内提出异议之情形，法院仅需对此 做形式审查,即一旦发现存在逾期的情形,即可驳回相对人的异议，而不必就解除权是否成 立做实体审查</w:t>
      </w:r>
      <w:r>
        <w:rPr>
          <w:color w:val="000000"/>
          <w:spacing w:val="0"/>
          <w:w w:val="100"/>
          <w:position w:val="0"/>
          <w:sz w:val="11"/>
          <w:szCs w:val="11"/>
        </w:rPr>
        <w:t>（王利明：《合同编解除制度的完善》，载《法学杂志》</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8"/>
          <w:szCs w:val="18"/>
        </w:rPr>
        <w:t>期）；在相对人提出继 续履行合同的诉讼中，法院应驳回其请求，但可以向其进行释明，由被解除方自主决定是否 变更相关的诉讼请求</w:t>
      </w:r>
      <w:r>
        <w:rPr>
          <w:color w:val="000000"/>
          <w:spacing w:val="0"/>
          <w:w w:val="100"/>
          <w:position w:val="0"/>
          <w:sz w:val="11"/>
          <w:szCs w:val="11"/>
        </w:rPr>
        <w:t>（师安宁:《合同解除与</w:t>
      </w:r>
      <w:r>
        <w:rPr>
          <w:color w:val="000000"/>
          <w:spacing w:val="0"/>
          <w:w w:val="100"/>
          <w:position w:val="0"/>
          <w:sz w:val="11"/>
          <w:szCs w:val="11"/>
          <w:lang w:val="zh-CN" w:eastAsia="zh-CN" w:bidi="zh-CN"/>
        </w:rPr>
        <w:t>“异议</w:t>
      </w:r>
      <w:r>
        <w:rPr>
          <w:color w:val="000000"/>
          <w:spacing w:val="0"/>
          <w:w w:val="100"/>
          <w:position w:val="0"/>
          <w:sz w:val="11"/>
          <w:szCs w:val="11"/>
        </w:rPr>
        <w:t>之诉”制度》，载《人民法院报》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rPr>
        <w:t xml:space="preserve">19 0, </w:t>
      </w:r>
      <w:r>
        <w:rPr>
          <w:color w:val="000000"/>
          <w:spacing w:val="0"/>
          <w:w w:val="100"/>
          <w:position w:val="0"/>
          <w:sz w:val="11"/>
          <w:szCs w:val="11"/>
        </w:rPr>
        <w:t>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sz w:val="11"/>
          <w:szCs w:val="11"/>
        </w:rPr>
        <w:t>版）</w:t>
      </w:r>
      <w:r>
        <w:rPr>
          <w:color w:val="000000"/>
          <w:spacing w:val="0"/>
          <w:w w:val="100"/>
          <w:position w:val="0"/>
          <w:sz w:val="18"/>
          <w:szCs w:val="18"/>
        </w:rPr>
        <w:t>。但也有不少学者对合同解除异议制度提出根本性质疑，认为我国合同解除异议制 度存在错误,其根源在于立法者将其单纯作为形成权而非形成诉权进行对待，并建议废除 或限制适用《合同法司法解释二》第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条的规定</w:t>
      </w:r>
      <w:r>
        <w:rPr>
          <w:color w:val="000000"/>
          <w:spacing w:val="0"/>
          <w:w w:val="100"/>
          <w:position w:val="0"/>
          <w:sz w:val="11"/>
          <w:szCs w:val="11"/>
        </w:rPr>
        <w:t>［汤文平:《论合同解除、债权抵销之异议—— 〈合同法解释（二）〉第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1"/>
          <w:szCs w:val="11"/>
        </w:rPr>
        <w:t>条评注》，载《东方法学》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r>
        <w:rPr>
          <w:color w:val="000000"/>
          <w:spacing w:val="0"/>
          <w:w w:val="100"/>
          <w:position w:val="0"/>
          <w:sz w:val="18"/>
          <w:szCs w:val="18"/>
        </w:rPr>
        <w:t>或认为，尽管第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条的初衷在 于从速确定合同解除的效力，尽早稳定合同关系，但在价值层面却存在许多起草者始料未 及的负面影响，如诱发机会解约（无论是否明知自己缺乏解除权，都在投机心理的驱使下更 有动力发岀解约通知）、徒增自治成本、破坏交易预期、导致司法误判、救济降级等弊病，故 在适用《合同法司法解释二》第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条时，应当对解除权存在与否进行实质审查，从而彻底架 空和虚置这一在价值和逻辑上有诸多舛误的规定</w:t>
      </w:r>
      <w:r>
        <w:rPr>
          <w:color w:val="000000"/>
          <w:spacing w:val="0"/>
          <w:w w:val="100"/>
          <w:position w:val="0"/>
          <w:sz w:val="11"/>
          <w:szCs w:val="11"/>
        </w:rPr>
        <w:t>（贺剑：《合同解除异议制度研究》，载《中外法 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p>
    <w:p w14:paraId="6ABBF7D6">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最高院在本案中，虽未表达出对原《合同法》合同解除异议制度,乃至对《合同法司法解 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条的质疑，但在结果上对第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条的适用予以限制，因此在立场上更近于上述后 一派的学术观点。申言之,按诸第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条的文义,在约定的异议期限或（近乎）法定的三个月 期限届至后相对方才提出异议的，则无论解约方的解除权是否合法成立，均发生合同解除 的效果。而在本案中，最高院在审查电大财校的解除主张既不符合约定亦不符合法定条件 后，径直认为对其不适用原《合同法》第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款与《合同法司法解释二》第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条的规 定。但是，为何在合同解除权不成立时不适用关于解除异议的规定,最高院并未给出任何 说理。</w:t>
      </w:r>
    </w:p>
    <w:p w14:paraId="1A20FEA0">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7FCA1C3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在本公报案例公布之前，司法实践中关于《合同法司法解释二》第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条的理解差异，主 要体现于其适用范围或前提，即是否要审查解约方提出的合同解除权，是否符合约定或法 定的行使条件。</w:t>
      </w:r>
    </w:p>
    <w:p w14:paraId="0EE1E47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不对解约方的解除权进行审查而直接适用《合同法司法解释二》第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条的判决，如</w:t>
      </w:r>
      <w:r>
        <w:rPr>
          <w:color w:val="000000"/>
          <w:spacing w:val="0"/>
          <w:w w:val="100"/>
          <w:position w:val="0"/>
          <w:lang w:val="zh-CN" w:eastAsia="zh-CN" w:bidi="zh-CN"/>
        </w:rPr>
        <w:t xml:space="preserve">“上 </w:t>
      </w:r>
      <w:r>
        <w:rPr>
          <w:color w:val="000000"/>
          <w:spacing w:val="0"/>
          <w:w w:val="100"/>
          <w:position w:val="0"/>
        </w:rPr>
        <w:t>海中船重工万邦航运有限公司诉上海中化思多而特船务有限公司定期租船合同案”</w:t>
      </w:r>
      <w:r>
        <w:rPr>
          <w:color w:val="000000"/>
          <w:spacing w:val="0"/>
          <w:w w:val="100"/>
          <w:position w:val="0"/>
          <w:lang w:val="en-US" w:eastAsia="en-US" w:bidi="en-US"/>
        </w:rPr>
        <w:t>［</w:t>
      </w:r>
      <w:r>
        <w:rPr>
          <w:color w:val="000000"/>
          <w:spacing w:val="0"/>
          <w:w w:val="100"/>
          <w:position w:val="0"/>
          <w:sz w:val="11"/>
          <w:szCs w:val="11"/>
        </w:rPr>
        <w:t>上海市 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沪高民四（海）终字第</w:t>
      </w:r>
      <w:r>
        <w:rPr>
          <w:rFonts w:ascii="Times New Roman" w:hAnsi="Times New Roman" w:eastAsia="Times New Roman" w:cs="Times New Roman"/>
          <w:color w:val="000000"/>
          <w:spacing w:val="0"/>
          <w:w w:val="100"/>
          <w:position w:val="0"/>
          <w:sz w:val="17"/>
          <w:szCs w:val="17"/>
        </w:rPr>
        <w:t>153</w:t>
      </w:r>
      <w:r>
        <w:rPr>
          <w:color w:val="000000"/>
          <w:spacing w:val="0"/>
          <w:w w:val="100"/>
          <w:position w:val="0"/>
          <w:sz w:val="11"/>
          <w:szCs w:val="11"/>
        </w:rPr>
        <w:t>号民事判决书］。</w:t>
      </w:r>
      <w:r>
        <w:rPr>
          <w:color w:val="000000"/>
          <w:spacing w:val="0"/>
          <w:w w:val="100"/>
          <w:position w:val="0"/>
        </w:rPr>
        <w:t>在此案中，上海市高级人民法院 并未审查解约方的解除权成立与否，而直接认为</w:t>
      </w:r>
      <w:r>
        <w:rPr>
          <w:color w:val="000000"/>
          <w:spacing w:val="0"/>
          <w:w w:val="100"/>
          <w:position w:val="0"/>
          <w:lang w:val="zh-CN" w:eastAsia="zh-CN" w:bidi="zh-CN"/>
        </w:rPr>
        <w:t>“无论</w:t>
      </w:r>
      <w:r>
        <w:rPr>
          <w:color w:val="000000"/>
          <w:spacing w:val="0"/>
          <w:w w:val="100"/>
          <w:position w:val="0"/>
        </w:rPr>
        <w:t>自解除合同通知到达日还是自该轮 实际交还日起算，万邦航运就合同解除异议提起的诉讼均超过了法定除斥期间，故应确定 涉案定期租船合同事实上已被有效解除”。另在</w:t>
      </w:r>
      <w:r>
        <w:rPr>
          <w:color w:val="000000"/>
          <w:spacing w:val="0"/>
          <w:w w:val="100"/>
          <w:position w:val="0"/>
          <w:lang w:val="zh-CN" w:eastAsia="zh-CN" w:bidi="zh-CN"/>
        </w:rPr>
        <w:t>“重庆</w:t>
      </w:r>
      <w:r>
        <w:rPr>
          <w:color w:val="000000"/>
          <w:spacing w:val="0"/>
          <w:w w:val="100"/>
          <w:position w:val="0"/>
        </w:rPr>
        <w:t>泰雷商贸有限责任公司与重庆佳路 机电有限公司合同纠纷上诉案”</w:t>
      </w:r>
      <w:r>
        <w:rPr>
          <w:color w:val="000000"/>
          <w:spacing w:val="0"/>
          <w:w w:val="100"/>
          <w:position w:val="0"/>
          <w:sz w:val="11"/>
          <w:szCs w:val="11"/>
        </w:rPr>
        <w:t>［重庆市第一中级人民法院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渝一中法民终字第</w:t>
      </w:r>
      <w:r>
        <w:rPr>
          <w:rFonts w:ascii="Times New Roman" w:hAnsi="Times New Roman" w:eastAsia="Times New Roman" w:cs="Times New Roman"/>
          <w:color w:val="000000"/>
          <w:spacing w:val="0"/>
          <w:w w:val="100"/>
          <w:position w:val="0"/>
          <w:sz w:val="17"/>
          <w:szCs w:val="17"/>
        </w:rPr>
        <w:t>00946</w:t>
      </w:r>
      <w:r>
        <w:rPr>
          <w:color w:val="000000"/>
          <w:spacing w:val="0"/>
          <w:w w:val="100"/>
          <w:position w:val="0"/>
          <w:sz w:val="11"/>
          <w:szCs w:val="11"/>
        </w:rPr>
        <w:t>号民事 判决书，载《人民司法</w:t>
      </w:r>
      <w:r>
        <w:rPr>
          <w:color w:val="000000"/>
          <w:spacing w:val="0"/>
          <w:w w:val="100"/>
          <w:position w:val="0"/>
          <w:sz w:val="11"/>
          <w:szCs w:val="11"/>
          <w:lang w:val="en-US" w:eastAsia="en-US" w:bidi="en-US"/>
        </w:rPr>
        <w:t>•</w:t>
      </w:r>
      <w:r>
        <w:rPr>
          <w:color w:val="000000"/>
          <w:spacing w:val="0"/>
          <w:w w:val="100"/>
          <w:position w:val="0"/>
          <w:sz w:val="11"/>
          <w:szCs w:val="11"/>
        </w:rPr>
        <w:t>案例》</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1"/>
          <w:szCs w:val="11"/>
        </w:rPr>
        <w:t>期］</w:t>
      </w:r>
      <w:r>
        <w:rPr>
          <w:color w:val="000000"/>
          <w:spacing w:val="0"/>
          <w:w w:val="100"/>
          <w:position w:val="0"/>
        </w:rPr>
        <w:t>中，重庆市一中院的裁判要旨基本类似。</w:t>
      </w:r>
    </w:p>
    <w:p w14:paraId="6ABB2C3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相比较而言,对解除权成立与否进行审查，或肯定该审查之必要的判决,在数量上相对 居多。在地方法院判决中，如</w:t>
      </w:r>
      <w:r>
        <w:rPr>
          <w:color w:val="000000"/>
          <w:spacing w:val="0"/>
          <w:w w:val="100"/>
          <w:position w:val="0"/>
          <w:lang w:val="zh-CN" w:eastAsia="zh-CN" w:bidi="zh-CN"/>
        </w:rPr>
        <w:t>“中</w:t>
      </w:r>
      <w:r>
        <w:rPr>
          <w:color w:val="000000"/>
          <w:spacing w:val="0"/>
          <w:w w:val="100"/>
          <w:position w:val="0"/>
        </w:rPr>
        <w:t>国建设银行股份有限公司北京市分行与北京亿方物业管 理有限责任公司物业服务合同纠纷上诉案</w:t>
      </w:r>
      <w:r>
        <w:rPr>
          <w:color w:val="000000"/>
          <w:spacing w:val="0"/>
          <w:w w:val="100"/>
          <w:position w:val="0"/>
          <w:sz w:val="11"/>
          <w:szCs w:val="11"/>
          <w:lang w:val="zh-CN" w:eastAsia="zh-CN" w:bidi="zh-CN"/>
        </w:rPr>
        <w:t>”［北</w:t>
      </w:r>
      <w:r>
        <w:rPr>
          <w:color w:val="000000"/>
          <w:spacing w:val="0"/>
          <w:w w:val="100"/>
          <w:position w:val="0"/>
          <w:sz w:val="11"/>
          <w:szCs w:val="11"/>
        </w:rPr>
        <w:t>京市第一中级人民法院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 xml:space="preserve">）—中民终字第 </w:t>
      </w:r>
      <w:r>
        <w:rPr>
          <w:rFonts w:ascii="Times New Roman" w:hAnsi="Times New Roman" w:eastAsia="Times New Roman" w:cs="Times New Roman"/>
          <w:color w:val="000000"/>
          <w:spacing w:val="0"/>
          <w:w w:val="100"/>
          <w:position w:val="0"/>
          <w:sz w:val="17"/>
          <w:szCs w:val="17"/>
        </w:rPr>
        <w:t>19000</w:t>
      </w:r>
      <w:r>
        <w:rPr>
          <w:color w:val="000000"/>
          <w:spacing w:val="0"/>
          <w:w w:val="100"/>
          <w:position w:val="0"/>
          <w:sz w:val="11"/>
          <w:szCs w:val="11"/>
        </w:rPr>
        <w:t>号民事判决书］,</w:t>
      </w:r>
      <w:r>
        <w:rPr>
          <w:color w:val="000000"/>
          <w:spacing w:val="0"/>
          <w:w w:val="100"/>
          <w:position w:val="0"/>
        </w:rPr>
        <w:t xml:space="preserve">北京市第一中级人民法院在确认建行北京分行既未按照约定行使约定 解除权，也未按照法定条件行使法定解除权后，遂认为该案不符合《合同法司法解释二》第 </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条之规定。而在</w:t>
      </w:r>
      <w:r>
        <w:rPr>
          <w:color w:val="000000"/>
          <w:spacing w:val="0"/>
          <w:w w:val="100"/>
          <w:position w:val="0"/>
          <w:lang w:val="zh-CN" w:eastAsia="zh-CN" w:bidi="zh-CN"/>
        </w:rPr>
        <w:t>“杨</w:t>
      </w:r>
      <w:r>
        <w:rPr>
          <w:color w:val="000000"/>
          <w:spacing w:val="0"/>
          <w:w w:val="100"/>
          <w:position w:val="0"/>
        </w:rPr>
        <w:t>光启诉翁元麟、温露西解除合同行为无效请求判令其继续履行房地 产转让合同纠纷案”</w:t>
      </w:r>
      <w:r>
        <w:rPr>
          <w:color w:val="000000"/>
          <w:spacing w:val="0"/>
          <w:w w:val="100"/>
          <w:position w:val="0"/>
          <w:sz w:val="11"/>
          <w:szCs w:val="11"/>
        </w:rPr>
        <w:t>［江苏省高级人民法院</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苏民终字第</w:t>
      </w:r>
      <w:r>
        <w:rPr>
          <w:rFonts w:ascii="Times New Roman" w:hAnsi="Times New Roman" w:eastAsia="Times New Roman" w:cs="Times New Roman"/>
          <w:color w:val="000000"/>
          <w:spacing w:val="0"/>
          <w:w w:val="100"/>
          <w:position w:val="0"/>
          <w:sz w:val="17"/>
          <w:szCs w:val="17"/>
        </w:rPr>
        <w:t>0025</w:t>
      </w:r>
      <w:r>
        <w:rPr>
          <w:color w:val="000000"/>
          <w:spacing w:val="0"/>
          <w:w w:val="100"/>
          <w:position w:val="0"/>
          <w:sz w:val="11"/>
          <w:szCs w:val="11"/>
        </w:rPr>
        <w:t>号民事判决书］</w:t>
      </w:r>
      <w:r>
        <w:rPr>
          <w:color w:val="000000"/>
          <w:spacing w:val="0"/>
          <w:w w:val="100"/>
          <w:position w:val="0"/>
        </w:rPr>
        <w:t>中，江苏省高级 人民法院更是明确认为，根据《合同法司法解释二》第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条的规定，合同解除“必须具备约 定解除或法定解除的条件。如前所述，本案合同虽订有解除条款，但并未出现法定解除或 约定解除的客观事由，故其单方实施的解除行为应属无效”。</w:t>
      </w:r>
    </w:p>
    <w:p w14:paraId="5EE36C9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 xml:space="preserve">最高院在本案中所持的立场，在此之前也已有多次呈现。如在“中国石油集团测井有 限公司与西安挚信房地产开发有限责任公司项目联建合同纠纷上诉案”［最高人民法院 </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108</w:t>
      </w:r>
      <w:r>
        <w:rPr>
          <w:color w:val="000000"/>
          <w:spacing w:val="0"/>
          <w:w w:val="100"/>
          <w:position w:val="0"/>
        </w:rPr>
        <w:t>号民事判决书，载《人民司法•案例》</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22</w:t>
      </w:r>
      <w:r>
        <w:rPr>
          <w:color w:val="000000"/>
          <w:spacing w:val="0"/>
          <w:w w:val="100"/>
          <w:position w:val="0"/>
        </w:rPr>
        <w:t>期］中，最高院对三个月异 议期间的适用予以限制，认定合同解除的条件并未成就;不过该案判决时,《合同法司法解 释二》刚刚出台，为避免新规对当事人实体权利的影响，最高院不适用第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条有基于“法不 溯及既往”的考虑。而在另一最高院公报案例“深圳富山宝实业有限公司与深圳市福星股 份合作公司、深圳市宝安区福永物业发展总公司、深圳市金安城投资发展有限公司等合作 开发房地产合同纠纷案</w:t>
      </w:r>
      <w:r>
        <w:rPr>
          <w:color w:val="000000"/>
          <w:spacing w:val="0"/>
          <w:w w:val="100"/>
          <w:position w:val="0"/>
          <w:lang w:val="en-US" w:eastAsia="en-US" w:bidi="en-US"/>
        </w:rPr>
        <w:t>"</w:t>
      </w:r>
      <w:r>
        <w:rPr>
          <w:color w:val="000000"/>
          <w:spacing w:val="0"/>
          <w:w w:val="100"/>
          <w:position w:val="0"/>
        </w:rPr>
        <w:t>［最高人民法院(</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)民一终字第</w:t>
      </w:r>
      <w:r>
        <w:rPr>
          <w:rFonts w:ascii="Times New Roman" w:hAnsi="Times New Roman" w:eastAsia="Times New Roman" w:cs="Times New Roman"/>
          <w:color w:val="000000"/>
          <w:spacing w:val="0"/>
          <w:w w:val="100"/>
          <w:position w:val="0"/>
          <w:sz w:val="17"/>
          <w:szCs w:val="17"/>
        </w:rPr>
        <w:t>45</w:t>
      </w:r>
      <w:r>
        <w:rPr>
          <w:color w:val="000000"/>
          <w:spacing w:val="0"/>
          <w:w w:val="100"/>
          <w:position w:val="0"/>
        </w:rPr>
        <w:t>号民事判决书，载《最高人民法院公 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期(总第</w:t>
      </w:r>
      <w:r>
        <w:rPr>
          <w:rFonts w:ascii="Times New Roman" w:hAnsi="Times New Roman" w:eastAsia="Times New Roman" w:cs="Times New Roman"/>
          <w:color w:val="000000"/>
          <w:spacing w:val="0"/>
          <w:w w:val="100"/>
          <w:position w:val="0"/>
          <w:sz w:val="17"/>
          <w:szCs w:val="17"/>
        </w:rPr>
        <w:t>175</w:t>
      </w:r>
      <w:r>
        <w:rPr>
          <w:color w:val="000000"/>
          <w:spacing w:val="0"/>
          <w:w w:val="100"/>
          <w:position w:val="0"/>
        </w:rPr>
        <w:t>期)］中，最高院在判断合同是否解除时,首先进行了实质判断，在 肯定</w:t>
      </w:r>
      <w:r>
        <w:rPr>
          <w:color w:val="000000"/>
          <w:spacing w:val="0"/>
          <w:w w:val="100"/>
          <w:position w:val="0"/>
          <w:lang w:val="zh-CN" w:eastAsia="zh-CN" w:bidi="zh-CN"/>
        </w:rPr>
        <w:t>“合同</w:t>
      </w:r>
      <w:r>
        <w:rPr>
          <w:color w:val="000000"/>
          <w:spacing w:val="0"/>
          <w:w w:val="100"/>
          <w:position w:val="0"/>
        </w:rPr>
        <w:t>一方当事人构成根本违约时，守约的一方当事人享有法定解除权</w:t>
      </w:r>
      <w:r>
        <w:rPr>
          <w:color w:val="000000"/>
          <w:spacing w:val="0"/>
          <w:w w:val="100"/>
          <w:position w:val="0"/>
          <w:lang w:val="zh-CN" w:eastAsia="zh-CN" w:bidi="zh-CN"/>
        </w:rPr>
        <w:t>”后,</w:t>
      </w:r>
      <w:r>
        <w:rPr>
          <w:color w:val="000000"/>
          <w:spacing w:val="0"/>
          <w:w w:val="100"/>
          <w:position w:val="0"/>
        </w:rPr>
        <w:t>才认定“当 事人没有约定合同解除异议期间，在解除通知送达之日起三个月以后才向人民法院起诉 的,人民法院不予支持”。而在本案之后，如“广州气体厂有限公司等诉广州市润力房地产 开发有限公司房屋买卖合同纠纷再审案”［最高人民法院(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最高法民申</w:t>
      </w:r>
      <w:r>
        <w:rPr>
          <w:rFonts w:ascii="Times New Roman" w:hAnsi="Times New Roman" w:eastAsia="Times New Roman" w:cs="Times New Roman"/>
          <w:color w:val="000000"/>
          <w:spacing w:val="0"/>
          <w:w w:val="100"/>
          <w:position w:val="0"/>
          <w:sz w:val="17"/>
          <w:szCs w:val="17"/>
        </w:rPr>
        <w:t>3375</w:t>
      </w:r>
      <w:r>
        <w:rPr>
          <w:color w:val="000000"/>
          <w:spacing w:val="0"/>
          <w:w w:val="100"/>
          <w:position w:val="0"/>
        </w:rPr>
        <w:t>号民事裁定 书</w:t>
      </w:r>
      <w:r>
        <w:rPr>
          <w:color w:val="000000"/>
          <w:spacing w:val="0"/>
          <w:w w:val="100"/>
          <w:position w:val="0"/>
          <w:lang w:val="en-US" w:eastAsia="en-US" w:bidi="en-US"/>
        </w:rPr>
        <w:t>］,</w:t>
      </w:r>
      <w:r>
        <w:rPr>
          <w:color w:val="000000"/>
          <w:spacing w:val="0"/>
          <w:w w:val="100"/>
          <w:position w:val="0"/>
        </w:rPr>
        <w:t>最高院将《合同法司法解释二》第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条与原《合同法》第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款结合考察,更是明 确提出了“气体厂公司根据合同法第九十六条规定通知润力公司解除合同的，必须具备合 同法第九十三条或者第九十四条规定的条件”的观点。</w:t>
      </w:r>
    </w:p>
    <w:p w14:paraId="0B612B97">
      <w:pPr>
        <w:pStyle w:val="17"/>
        <w:keepNext w:val="0"/>
        <w:keepLines w:val="0"/>
        <w:widowControl w:val="0"/>
        <w:shd w:val="clear" w:color="auto" w:fill="auto"/>
        <w:bidi w:val="0"/>
        <w:spacing w:before="0" w:after="160" w:line="344" w:lineRule="exact"/>
        <w:ind w:left="0" w:right="0" w:firstLine="420"/>
        <w:jc w:val="both"/>
      </w:pPr>
      <w:r>
        <w:rPr>
          <w:color w:val="000000"/>
          <w:spacing w:val="0"/>
          <w:w w:val="100"/>
          <w:position w:val="0"/>
        </w:rPr>
        <w:t>此外还需指出的是,最高院在本案判决之后不久，还专门作出“对《关于适用〈中华人民 共和国合同法〉若干问题的解释(二)》第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条理解与适用的请示的答复</w:t>
      </w:r>
      <w:r>
        <w:rPr>
          <w:color w:val="000000"/>
          <w:spacing w:val="0"/>
          <w:w w:val="100"/>
          <w:position w:val="0"/>
          <w:lang w:val="zh-CN" w:eastAsia="zh-CN" w:bidi="zh-CN"/>
        </w:rPr>
        <w:t>”，要</w:t>
      </w:r>
      <w:r>
        <w:rPr>
          <w:color w:val="000000"/>
          <w:spacing w:val="0"/>
          <w:w w:val="100"/>
          <w:position w:val="0"/>
        </w:rPr>
        <w:t>求通知解除合 同须以具备法定或约定解除权为前提，重申了本案观点。该答复亦为后来的部分裁判所援 引［如湖南省高级人民法院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湘民申</w:t>
      </w:r>
      <w:r>
        <w:rPr>
          <w:rFonts w:ascii="Times New Roman" w:hAnsi="Times New Roman" w:eastAsia="Times New Roman" w:cs="Times New Roman"/>
          <w:color w:val="000000"/>
          <w:spacing w:val="0"/>
          <w:w w:val="100"/>
          <w:position w:val="0"/>
          <w:sz w:val="17"/>
          <w:szCs w:val="17"/>
        </w:rPr>
        <w:t>2268</w:t>
      </w:r>
      <w:r>
        <w:rPr>
          <w:color w:val="000000"/>
          <w:spacing w:val="0"/>
          <w:w w:val="100"/>
          <w:position w:val="0"/>
        </w:rPr>
        <w:t>号民事判决书、福建省高级人民法院</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rPr>
        <w:t>闽民终</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号民事判决书、最高人民法院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最高法民终</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心号民事判决书等］。因此， 总体来说，本案判决只是最高院就《合同法司法解释二》第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条采</w:t>
      </w:r>
      <w:r>
        <w:rPr>
          <w:color w:val="000000"/>
          <w:spacing w:val="0"/>
          <w:w w:val="100"/>
          <w:position w:val="0"/>
          <w:lang w:val="zh-CN" w:eastAsia="zh-CN" w:bidi="zh-CN"/>
        </w:rPr>
        <w:t>“限</w:t>
      </w:r>
      <w:r>
        <w:rPr>
          <w:color w:val="000000"/>
          <w:spacing w:val="0"/>
          <w:w w:val="100"/>
          <w:position w:val="0"/>
        </w:rPr>
        <w:t>制适用”立场得以形 成之过程中的一个判决，尚称不上关键性判</w:t>
      </w:r>
    </w:p>
    <w:p w14:paraId="5862F63D">
      <w:pPr>
        <w:pStyle w:val="17"/>
        <w:keepNext w:val="0"/>
        <w:keepLines w:val="0"/>
        <w:widowControl w:val="0"/>
        <w:shd w:val="clear" w:color="auto" w:fill="auto"/>
        <w:bidi w:val="0"/>
        <w:spacing w:before="0" w:after="160" w:line="344" w:lineRule="exact"/>
        <w:ind w:left="0" w:right="0" w:firstLine="0"/>
        <w:jc w:val="both"/>
      </w:pPr>
      <w:r>
        <w:rPr>
          <w:color w:val="000000"/>
          <w:spacing w:val="0"/>
          <w:w w:val="100"/>
          <w:position w:val="0"/>
        </w:rPr>
        <w:t>固本判决的参考意义及将来的课题</w:t>
      </w:r>
    </w:p>
    <w:p w14:paraId="2F6EC14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就此须提及如下两点：</w:t>
      </w:r>
    </w:p>
    <w:p w14:paraId="0A8C2616">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第一，本案后又因电大财校的申请进入再审程序。最高院在其再审裁定书［最高人民法 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56</w:t>
      </w:r>
      <w:r>
        <w:rPr>
          <w:color w:val="000000"/>
          <w:spacing w:val="0"/>
          <w:w w:val="100"/>
          <w:position w:val="0"/>
        </w:rPr>
        <w:t>号民事裁定书］中，维持其原有结论，仅在说理上添加“即使聚丰公司在一 审期间没有以达州电大(电大财校)的解除理由不符合解除条件为由提出抗辩，但其诉讼请 求是确认《合作开发协议书》并继续履行，实际上包含了达州电大解除理由不成立的意思”。</w:t>
      </w:r>
    </w:p>
    <w:p w14:paraId="39568C34">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殊不知，这一画蛇添足式的说理添加，恰恰暴露了最高院的立场</w:t>
      </w:r>
      <w:r>
        <w:rPr>
          <w:color w:val="000000"/>
          <w:spacing w:val="0"/>
          <w:w w:val="100"/>
          <w:position w:val="0"/>
          <w:lang w:val="en-US" w:eastAsia="en-US" w:bidi="en-US"/>
        </w:rPr>
        <w:t>-一</w:t>
      </w:r>
      <w:r>
        <w:rPr>
          <w:color w:val="000000"/>
          <w:spacing w:val="0"/>
          <w:w w:val="100"/>
          <w:position w:val="0"/>
        </w:rPr>
        <w:t>更确切地说:针对 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条仅主张限制其适用范围的理论主张一在其逻辑上的不自洽:一旦解除异议制度在 适用范围上仅限于解除权合法成立之情形，则解除异议对合同相对方来说,也就丧失了任 何意义。这是因为,在解约方通知解除时，合同相对方在此时尽管无法知道或判断解约方 的解除权是否真的合法成立，但在结果上无非两种，即要么成立，要么不成立:在解约方解 除权合法成立的情形，相对方即便是提起异议,也无法阻却合法有效之解除权行使后所产 生的法律效果;而在解除权并未合法成立的情形，既然异议制度对此情形不适用，那么相对 方即便未提起异议（如本案聚丰公司之所为），也不会对其产生不利益的后果。要么是提了 异议也没用,要么是不提异议也没关系。在此结果引导下，相对方所选择的行为模式必然 是:无论解约方的解除权是否合法成立,均不提出异议。</w:t>
      </w:r>
    </w:p>
    <w:p w14:paraId="42E04712">
      <w:pPr>
        <w:pStyle w:val="17"/>
        <w:keepNext w:val="0"/>
        <w:keepLines w:val="0"/>
        <w:widowControl w:val="0"/>
        <w:shd w:val="clear" w:color="auto" w:fill="auto"/>
        <w:bidi w:val="0"/>
        <w:spacing w:before="0" w:after="0" w:line="349" w:lineRule="exact"/>
        <w:ind w:left="0" w:right="0" w:firstLine="420"/>
        <w:jc w:val="both"/>
        <w:rPr>
          <w:sz w:val="22"/>
          <w:szCs w:val="22"/>
        </w:rPr>
      </w:pPr>
      <w:r>
        <w:rPr>
          <w:color w:val="000000"/>
          <w:spacing w:val="0"/>
          <w:w w:val="100"/>
          <w:position w:val="0"/>
          <w:sz w:val="18"/>
          <w:szCs w:val="18"/>
        </w:rPr>
        <w:t>原《合同法》第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句之合同解除异议制度，看似专为合同相对方的利益所 设置，但在最高院本案的裁判立场下，已看不出相对方有任何能受惠于该制度之处了。而 《民法典》第</w:t>
      </w:r>
      <w:r>
        <w:rPr>
          <w:rFonts w:ascii="Times New Roman" w:hAnsi="Times New Roman" w:eastAsia="Times New Roman" w:cs="Times New Roman"/>
          <w:color w:val="000000"/>
          <w:spacing w:val="0"/>
          <w:w w:val="100"/>
          <w:position w:val="0"/>
          <w:sz w:val="19"/>
          <w:szCs w:val="19"/>
        </w:rPr>
        <w:t>565</w:t>
      </w:r>
      <w:r>
        <w:rPr>
          <w:color w:val="000000"/>
          <w:spacing w:val="0"/>
          <w:w w:val="100"/>
          <w:position w:val="0"/>
          <w:sz w:val="18"/>
          <w:szCs w:val="18"/>
        </w:rPr>
        <w:t>条针对解除异议制度的表述虽有变化</w:t>
      </w:r>
      <w:r>
        <w:rPr>
          <w:color w:val="000000"/>
          <w:spacing w:val="0"/>
          <w:w w:val="100"/>
          <w:position w:val="0"/>
          <w:sz w:val="18"/>
          <w:szCs w:val="18"/>
          <w:lang w:val="zh-CN" w:eastAsia="zh-CN" w:bidi="zh-CN"/>
        </w:rPr>
        <w:t>（“对</w:t>
      </w:r>
      <w:r>
        <w:rPr>
          <w:color w:val="000000"/>
          <w:spacing w:val="0"/>
          <w:w w:val="100"/>
          <w:position w:val="0"/>
          <w:sz w:val="18"/>
          <w:szCs w:val="18"/>
        </w:rPr>
        <w:t>方对解除合同有异议的,任何一 方当事人均可以请求人民法院或者仲裁机构确认解除行为的效力”），但并未改变解除异议 制度本身。因此,针对合同解除异议制度以及《合同法司法解释二》第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sz w:val="18"/>
          <w:szCs w:val="18"/>
        </w:rPr>
        <w:t>条,在理论上的彻 底反思，仍有待继续</w:t>
      </w:r>
      <w:r>
        <w:rPr>
          <w:color w:val="454148"/>
          <w:spacing w:val="0"/>
          <w:w w:val="100"/>
          <w:position w:val="0"/>
          <w:sz w:val="22"/>
          <w:szCs w:val="22"/>
        </w:rPr>
        <w:t>。丈川</w:t>
      </w:r>
      <w:r>
        <w:rPr>
          <w:rFonts w:ascii="Times New Roman" w:hAnsi="Times New Roman" w:eastAsia="Times New Roman" w:cs="Times New Roman"/>
          <w:color w:val="454148"/>
          <w:spacing w:val="0"/>
          <w:w w:val="100"/>
          <w:position w:val="0"/>
          <w:sz w:val="19"/>
          <w:szCs w:val="19"/>
          <w:lang w:val="en-US" w:eastAsia="en-US" w:bidi="en-US"/>
        </w:rPr>
        <w:t>docsriver.comASt</w:t>
      </w:r>
      <w:r>
        <w:rPr>
          <w:color w:val="454148"/>
          <w:spacing w:val="0"/>
          <w:w w:val="100"/>
          <w:position w:val="0"/>
          <w:sz w:val="22"/>
          <w:szCs w:val="22"/>
        </w:rPr>
        <w:t>商家巨力袋鼠合作店</w:t>
      </w:r>
    </w:p>
    <w:p w14:paraId="649E00A9">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第二,本案电大财校提出解除合同的理由，在于因当地市政府的行为，导致其可能无法 履行《协议》，亦即其将来存在违约的可能。由此也提出一个学理问题，即违约方能否享有 合同解除权？尽管该问题在本案中未列入法院的审查中，但考虑到</w:t>
      </w:r>
      <w:r>
        <w:rPr>
          <w:color w:val="000000"/>
          <w:spacing w:val="0"/>
          <w:w w:val="100"/>
          <w:position w:val="0"/>
          <w:lang w:val="zh-CN" w:eastAsia="zh-CN" w:bidi="zh-CN"/>
        </w:rPr>
        <w:t>“违</w:t>
      </w:r>
      <w:r>
        <w:rPr>
          <w:color w:val="000000"/>
          <w:spacing w:val="0"/>
          <w:w w:val="100"/>
          <w:position w:val="0"/>
        </w:rPr>
        <w:t>约方之合同解除权” 目前正是学理讨论的热点</w:t>
      </w:r>
      <w:r>
        <w:rPr>
          <w:color w:val="000000"/>
          <w:spacing w:val="0"/>
          <w:w w:val="100"/>
          <w:position w:val="0"/>
          <w:sz w:val="11"/>
          <w:szCs w:val="11"/>
        </w:rPr>
        <w:t>（关于违约方解除权问题，参见本判例百选第</w:t>
      </w:r>
      <w:r>
        <w:rPr>
          <w:rFonts w:ascii="Times New Roman" w:hAnsi="Times New Roman" w:eastAsia="Times New Roman" w:cs="Times New Roman"/>
          <w:color w:val="000000"/>
          <w:spacing w:val="0"/>
          <w:w w:val="100"/>
          <w:position w:val="0"/>
          <w:sz w:val="17"/>
          <w:szCs w:val="17"/>
        </w:rPr>
        <w:t>68</w:t>
      </w:r>
      <w:r>
        <w:rPr>
          <w:color w:val="000000"/>
          <w:spacing w:val="0"/>
          <w:w w:val="100"/>
          <w:position w:val="0"/>
          <w:sz w:val="11"/>
          <w:szCs w:val="11"/>
        </w:rPr>
        <w:t>号案例），</w:t>
      </w:r>
      <w:r>
        <w:rPr>
          <w:color w:val="000000"/>
          <w:spacing w:val="0"/>
          <w:w w:val="100"/>
          <w:position w:val="0"/>
        </w:rPr>
        <w:t>甚至有将其纳 入法典的主张,则在此不妨提出，以便为后续学理讨论积累资料。</w:t>
      </w:r>
    </w:p>
    <w:p w14:paraId="0B389943">
      <w:pPr>
        <w:pStyle w:val="11"/>
        <w:keepNext w:val="0"/>
        <w:keepLines w:val="0"/>
        <w:widowControl w:val="0"/>
        <w:shd w:val="clear" w:color="auto" w:fill="auto"/>
        <w:bidi w:val="0"/>
        <w:spacing w:before="0" w:after="60"/>
        <w:ind w:left="0" w:right="0" w:firstLine="0"/>
        <w:jc w:val="both"/>
      </w:pPr>
      <w:r>
        <w:rPr>
          <w:color w:val="000000"/>
          <w:spacing w:val="0"/>
          <w:w w:val="100"/>
          <w:position w:val="0"/>
        </w:rPr>
        <w:t>回参考文献</w:t>
      </w:r>
    </w:p>
    <w:p w14:paraId="4A5DC384">
      <w:pPr>
        <w:pStyle w:val="33"/>
        <w:keepNext w:val="0"/>
        <w:keepLines w:val="0"/>
        <w:widowControl w:val="0"/>
        <w:shd w:val="clear" w:color="auto" w:fill="auto"/>
        <w:bidi w:val="0"/>
        <w:spacing w:before="0" w:after="0" w:line="319" w:lineRule="exact"/>
        <w:ind w:left="180" w:right="0" w:hanging="180"/>
        <w:jc w:val="both"/>
      </w:pPr>
      <w:r>
        <w:rPr>
          <w:color w:val="000000"/>
          <w:spacing w:val="0"/>
          <w:w w:val="100"/>
          <w:position w:val="0"/>
        </w:rPr>
        <w:t>沈德咏等主编:《最高人民法院关于合同法司法解释（二）理解与适用》，人民法院出版社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5E83E238">
      <w:pPr>
        <w:pStyle w:val="33"/>
        <w:keepNext w:val="0"/>
        <w:keepLines w:val="0"/>
        <w:widowControl w:val="0"/>
        <w:shd w:val="clear" w:color="auto" w:fill="auto"/>
        <w:bidi w:val="0"/>
        <w:spacing w:before="0" w:after="0" w:line="319" w:lineRule="exact"/>
        <w:ind w:left="180" w:right="0" w:hanging="180"/>
        <w:jc w:val="both"/>
      </w:pPr>
      <w:r>
        <w:rPr>
          <w:color w:val="000000"/>
          <w:spacing w:val="0"/>
          <w:w w:val="100"/>
          <w:position w:val="0"/>
        </w:rPr>
        <w:t>王利明：《合同编解除制度的完善》，载《法学杂志》</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08FE321D">
      <w:pPr>
        <w:pStyle w:val="33"/>
        <w:keepNext w:val="0"/>
        <w:keepLines w:val="0"/>
        <w:widowControl w:val="0"/>
        <w:shd w:val="clear" w:color="auto" w:fill="auto"/>
        <w:bidi w:val="0"/>
        <w:spacing w:before="0" w:after="0" w:line="319" w:lineRule="exact"/>
        <w:ind w:left="180" w:right="0" w:hanging="180"/>
        <w:jc w:val="both"/>
      </w:pPr>
      <w:r>
        <w:rPr>
          <w:color w:val="000000"/>
          <w:spacing w:val="0"/>
          <w:w w:val="100"/>
          <w:position w:val="0"/>
        </w:rPr>
        <w:t>师安宁：《合同解除与</w:t>
      </w:r>
      <w:r>
        <w:rPr>
          <w:color w:val="000000"/>
          <w:spacing w:val="0"/>
          <w:w w:val="100"/>
          <w:position w:val="0"/>
          <w:lang w:val="zh-CN" w:eastAsia="zh-CN" w:bidi="zh-CN"/>
        </w:rPr>
        <w:t>“异议</w:t>
      </w:r>
      <w:r>
        <w:rPr>
          <w:color w:val="000000"/>
          <w:spacing w:val="0"/>
          <w:w w:val="100"/>
          <w:position w:val="0"/>
        </w:rPr>
        <w:t>之诉”制度》，载《人民法院报》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日，第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版。</w:t>
      </w:r>
    </w:p>
    <w:p w14:paraId="079E4F12">
      <w:pPr>
        <w:pStyle w:val="33"/>
        <w:keepNext w:val="0"/>
        <w:keepLines w:val="0"/>
        <w:widowControl w:val="0"/>
        <w:shd w:val="clear" w:color="auto" w:fill="auto"/>
        <w:bidi w:val="0"/>
        <w:spacing w:before="0" w:after="0" w:line="319" w:lineRule="exact"/>
        <w:ind w:left="180" w:right="0" w:hanging="180"/>
        <w:jc w:val="both"/>
      </w:pPr>
      <w:r>
        <w:rPr>
          <w:color w:val="000000"/>
          <w:spacing w:val="0"/>
          <w:w w:val="100"/>
          <w:position w:val="0"/>
        </w:rPr>
        <w:t>汤文平:《论合同解除、债权抵销之异议——〈合同法解释（二）〉第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条评注》，载《东方法学》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 xml:space="preserve">年第 </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FF36525">
      <w:pPr>
        <w:pStyle w:val="33"/>
        <w:keepNext w:val="0"/>
        <w:keepLines w:val="0"/>
        <w:widowControl w:val="0"/>
        <w:shd w:val="clear" w:color="auto" w:fill="auto"/>
        <w:bidi w:val="0"/>
        <w:spacing w:before="0" w:after="200" w:line="319" w:lineRule="exact"/>
        <w:ind w:left="180" w:right="0" w:hanging="180"/>
        <w:jc w:val="both"/>
        <w:sectPr>
          <w:headerReference r:id="rId414" w:type="default"/>
          <w:headerReference r:id="rId415" w:type="even"/>
          <w:footnotePr>
            <w:numFmt w:val="chicago"/>
          </w:footnotePr>
          <w:pgSz w:w="10099" w:h="14782"/>
          <w:pgMar w:top="1281" w:right="989" w:bottom="1117" w:left="1109" w:header="0" w:footer="3" w:gutter="0"/>
          <w:pgNumType w:start="347"/>
          <w:cols w:space="720" w:num="1"/>
          <w:rtlGutter w:val="0"/>
          <w:docGrid w:linePitch="360" w:charSpace="0"/>
        </w:sectPr>
      </w:pPr>
      <w:r>
        <w:rPr>
          <w:color w:val="000000"/>
          <w:spacing w:val="0"/>
          <w:w w:val="100"/>
          <w:position w:val="0"/>
        </w:rPr>
        <w:t>贺剑：《合同解除异议制度研究》，载《中外法学》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F7AFAAC">
      <w:pPr>
        <w:widowControl w:val="0"/>
        <w:spacing w:line="49" w:lineRule="exact"/>
        <w:rPr>
          <w:sz w:val="4"/>
          <w:szCs w:val="4"/>
        </w:rPr>
      </w:pPr>
    </w:p>
    <w:p w14:paraId="65AF33C2">
      <w:pPr>
        <w:widowControl w:val="0"/>
        <w:spacing w:line="1" w:lineRule="exact"/>
        <w:sectPr>
          <w:headerReference r:id="rId416" w:type="default"/>
          <w:headerReference r:id="rId417" w:type="even"/>
          <w:footnotePr>
            <w:numFmt w:val="chicago"/>
          </w:footnotePr>
          <w:pgSz w:w="10099" w:h="14782"/>
          <w:pgMar w:top="1243" w:right="1075" w:bottom="1150" w:left="1022" w:header="0" w:footer="3" w:gutter="0"/>
          <w:pgNumType w:start="367"/>
          <w:cols w:space="720" w:num="1"/>
          <w:rtlGutter w:val="0"/>
          <w:docGrid w:linePitch="360" w:charSpace="0"/>
        </w:sectPr>
      </w:pPr>
    </w:p>
    <w:p w14:paraId="13131C70">
      <w:pPr>
        <w:widowControl w:val="0"/>
        <w:spacing w:line="1" w:lineRule="exact"/>
      </w:pPr>
      <w:r>
        <mc:AlternateContent>
          <mc:Choice Requires="wps">
            <w:drawing>
              <wp:anchor distT="0" distB="21590" distL="0" distR="0" simplePos="0" relativeHeight="251660288" behindDoc="0" locked="0" layoutInCell="1" allowOverlap="1">
                <wp:simplePos x="0" y="0"/>
                <wp:positionH relativeFrom="page">
                  <wp:posOffset>709930</wp:posOffset>
                </wp:positionH>
                <wp:positionV relativeFrom="paragraph">
                  <wp:posOffset>0</wp:posOffset>
                </wp:positionV>
                <wp:extent cx="412750" cy="304800"/>
                <wp:effectExtent l="0" t="0" r="0" b="0"/>
                <wp:wrapTopAndBottom/>
                <wp:docPr id="967" name="Shape 967"/>
                <wp:cNvGraphicFramePr/>
                <a:graphic xmlns:a="http://schemas.openxmlformats.org/drawingml/2006/main">
                  <a:graphicData uri="http://schemas.microsoft.com/office/word/2010/wordprocessingShape">
                    <wps:wsp>
                      <wps:cNvSpPr txBox="1"/>
                      <wps:spPr>
                        <a:xfrm>
                          <a:off x="0" y="0"/>
                          <a:ext cx="412750" cy="304800"/>
                        </a:xfrm>
                        <a:prstGeom prst="rect">
                          <a:avLst/>
                        </a:prstGeom>
                        <a:noFill/>
                      </wps:spPr>
                      <wps:txbx>
                        <w:txbxContent>
                          <w:p w14:paraId="76A58E23">
                            <w:pPr>
                              <w:pStyle w:val="27"/>
                              <w:keepNext/>
                              <w:keepLines/>
                              <w:widowControl w:val="0"/>
                              <w:shd w:val="clear" w:color="auto" w:fill="auto"/>
                              <w:bidi w:val="0"/>
                              <w:spacing w:before="0" w:after="0" w:line="240" w:lineRule="auto"/>
                              <w:ind w:left="0" w:right="0" w:firstLine="0"/>
                              <w:jc w:val="both"/>
                            </w:pPr>
                            <w:bookmarkStart w:id="525" w:name="bookmark444"/>
                            <w:bookmarkStart w:id="526" w:name="bookmark442"/>
                            <w:bookmarkStart w:id="527" w:name="bookmark443"/>
                            <w:r>
                              <w:rPr>
                                <w:rFonts w:ascii="Times New Roman" w:hAnsi="Times New Roman" w:eastAsia="Times New Roman" w:cs="Times New Roman"/>
                                <w:color w:val="000000"/>
                                <w:spacing w:val="0"/>
                                <w:w w:val="100"/>
                                <w:position w:val="0"/>
                              </w:rPr>
                              <w:t>071</w:t>
                            </w:r>
                            <w:bookmarkEnd w:id="525"/>
                            <w:bookmarkEnd w:id="526"/>
                            <w:bookmarkEnd w:id="527"/>
                          </w:p>
                        </w:txbxContent>
                      </wps:txbx>
                      <wps:bodyPr wrap="none" lIns="0" tIns="0" rIns="0" bIns="0">
                        <a:noAutofit/>
                      </wps:bodyPr>
                    </wps:wsp>
                  </a:graphicData>
                </a:graphic>
              </wp:anchor>
            </w:drawing>
          </mc:Choice>
          <mc:Fallback>
            <w:pict>
              <v:shape id="Shape 967" o:spid="_x0000_s1026" o:spt="202" type="#_x0000_t202" style="position:absolute;left:0pt;margin-left:55.9pt;margin-top:0pt;height:24pt;width:32.5pt;mso-position-horizontal-relative:page;mso-wrap-distance-bottom:1.7pt;mso-wrap-distance-top:0pt;mso-wrap-style:none;z-index:251660288;mso-width-relative:page;mso-height-relative:page;" filled="f" stroked="f" coordsize="21600,21600" o:gfxdata="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9ez160gAAAAcB&#10;AAAPAAAAAAAAAAEAIAAAACIAAABkcnMvZG93bnJldi54bWxQSwECFAAUAAAACACHTuJApFk7uK8B&#10;AABzAwAADgAAAAAAAAABACAAAAAhAQAAZHJzL2Uyb0RvYy54bWxQSwUGAAAAAAYABgBZAQAAQgUA&#10;AAAA&#10;">
                <v:fill on="f" focussize="0,0"/>
                <v:stroke on="f"/>
                <v:imagedata o:title=""/>
                <o:lock v:ext="edit" aspectratio="f"/>
                <v:textbox inset="0mm,0mm,0mm,0mm">
                  <w:txbxContent>
                    <w:p w14:paraId="76A58E23">
                      <w:pPr>
                        <w:pStyle w:val="27"/>
                        <w:keepNext/>
                        <w:keepLines/>
                        <w:widowControl w:val="0"/>
                        <w:shd w:val="clear" w:color="auto" w:fill="auto"/>
                        <w:bidi w:val="0"/>
                        <w:spacing w:before="0" w:after="0" w:line="240" w:lineRule="auto"/>
                        <w:ind w:left="0" w:right="0" w:firstLine="0"/>
                        <w:jc w:val="both"/>
                      </w:pPr>
                      <w:bookmarkStart w:id="525" w:name="bookmark444"/>
                      <w:bookmarkStart w:id="526" w:name="bookmark442"/>
                      <w:bookmarkStart w:id="527" w:name="bookmark443"/>
                      <w:r>
                        <w:rPr>
                          <w:rFonts w:ascii="Times New Roman" w:hAnsi="Times New Roman" w:eastAsia="Times New Roman" w:cs="Times New Roman"/>
                          <w:color w:val="000000"/>
                          <w:spacing w:val="0"/>
                          <w:w w:val="100"/>
                          <w:position w:val="0"/>
                        </w:rPr>
                        <w:t>071</w:t>
                      </w:r>
                      <w:bookmarkEnd w:id="525"/>
                      <w:bookmarkEnd w:id="526"/>
                      <w:bookmarkEnd w:id="527"/>
                    </w:p>
                  </w:txbxContent>
                </v:textbox>
                <w10:wrap type="topAndBottom"/>
              </v:shape>
            </w:pict>
          </mc:Fallback>
        </mc:AlternateContent>
      </w:r>
      <w:r>
        <mc:AlternateContent>
          <mc:Choice Requires="wps">
            <w:drawing>
              <wp:anchor distT="90170" distB="0" distL="0" distR="0" simplePos="0" relativeHeight="251660288" behindDoc="0" locked="0" layoutInCell="1" allowOverlap="1">
                <wp:simplePos x="0" y="0"/>
                <wp:positionH relativeFrom="page">
                  <wp:posOffset>1285875</wp:posOffset>
                </wp:positionH>
                <wp:positionV relativeFrom="paragraph">
                  <wp:posOffset>90170</wp:posOffset>
                </wp:positionV>
                <wp:extent cx="2523490" cy="236220"/>
                <wp:effectExtent l="0" t="0" r="0" b="0"/>
                <wp:wrapTopAndBottom/>
                <wp:docPr id="969" name="Shape 969"/>
                <wp:cNvGraphicFramePr/>
                <a:graphic xmlns:a="http://schemas.openxmlformats.org/drawingml/2006/main">
                  <a:graphicData uri="http://schemas.microsoft.com/office/word/2010/wordprocessingShape">
                    <wps:wsp>
                      <wps:cNvSpPr txBox="1"/>
                      <wps:spPr>
                        <a:xfrm>
                          <a:off x="0" y="0"/>
                          <a:ext cx="2523490" cy="236220"/>
                        </a:xfrm>
                        <a:prstGeom prst="rect">
                          <a:avLst/>
                        </a:prstGeom>
                        <a:noFill/>
                      </wps:spPr>
                      <wps:txbx>
                        <w:txbxContent>
                          <w:p w14:paraId="3CDEF523">
                            <w:pPr>
                              <w:pStyle w:val="15"/>
                              <w:keepNext/>
                              <w:keepLines/>
                              <w:widowControl w:val="0"/>
                              <w:shd w:val="clear" w:color="auto" w:fill="auto"/>
                              <w:bidi w:val="0"/>
                              <w:spacing w:before="0" w:after="0" w:line="240" w:lineRule="auto"/>
                              <w:ind w:left="0" w:right="0" w:firstLine="0"/>
                              <w:jc w:val="left"/>
                            </w:pPr>
                            <w:bookmarkStart w:id="528" w:name="bookmark447"/>
                            <w:bookmarkStart w:id="529" w:name="bookmark446"/>
                            <w:bookmarkStart w:id="530" w:name="bookmark445"/>
                            <w:r>
                              <w:rPr>
                                <w:color w:val="000000"/>
                                <w:spacing w:val="0"/>
                                <w:w w:val="100"/>
                                <w:position w:val="0"/>
                              </w:rPr>
                              <w:t>瑕疵补正请求权:修理与更换</w:t>
                            </w:r>
                            <w:bookmarkEnd w:id="528"/>
                            <w:bookmarkEnd w:id="529"/>
                            <w:bookmarkEnd w:id="530"/>
                          </w:p>
                        </w:txbxContent>
                      </wps:txbx>
                      <wps:bodyPr wrap="none" lIns="0" tIns="0" rIns="0" bIns="0">
                        <a:noAutofit/>
                      </wps:bodyPr>
                    </wps:wsp>
                  </a:graphicData>
                </a:graphic>
              </wp:anchor>
            </w:drawing>
          </mc:Choice>
          <mc:Fallback>
            <w:pict>
              <v:shape id="Shape 969" o:spid="_x0000_s1026" o:spt="202" type="#_x0000_t202" style="position:absolute;left:0pt;margin-left:101.25pt;margin-top:7.1pt;height:18.6pt;width:198.7pt;mso-position-horizontal-relative:page;mso-wrap-distance-bottom:0pt;mso-wrap-distance-top:7.1pt;mso-wrap-style:none;z-index:251660288;mso-width-relative:page;mso-height-relative:page;" filled="f" stroked="f" coordsize="21600,21600" o:gfxdata="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mimHtYA&#10;AAAJAQAADwAAAAAAAAABACAAAAAiAAAAZHJzL2Rvd25yZXYueG1sUEsBAhQAFAAAAAgAh07iQLmr&#10;wqKvAQAAdAMAAA4AAAAAAAAAAQAgAAAAJQEAAGRycy9lMm9Eb2MueG1sUEsFBgAAAAAGAAYAWQEA&#10;AEYFAAAAAA==&#10;">
                <v:fill on="f" focussize="0,0"/>
                <v:stroke on="f"/>
                <v:imagedata o:title=""/>
                <o:lock v:ext="edit" aspectratio="f"/>
                <v:textbox inset="0mm,0mm,0mm,0mm">
                  <w:txbxContent>
                    <w:p w14:paraId="3CDEF523">
                      <w:pPr>
                        <w:pStyle w:val="15"/>
                        <w:keepNext/>
                        <w:keepLines/>
                        <w:widowControl w:val="0"/>
                        <w:shd w:val="clear" w:color="auto" w:fill="auto"/>
                        <w:bidi w:val="0"/>
                        <w:spacing w:before="0" w:after="0" w:line="240" w:lineRule="auto"/>
                        <w:ind w:left="0" w:right="0" w:firstLine="0"/>
                        <w:jc w:val="left"/>
                      </w:pPr>
                      <w:bookmarkStart w:id="528" w:name="bookmark447"/>
                      <w:bookmarkStart w:id="529" w:name="bookmark446"/>
                      <w:bookmarkStart w:id="530" w:name="bookmark445"/>
                      <w:r>
                        <w:rPr>
                          <w:color w:val="000000"/>
                          <w:spacing w:val="0"/>
                          <w:w w:val="100"/>
                          <w:position w:val="0"/>
                        </w:rPr>
                        <w:t>瑕疵补正请求权:修理与更换</w:t>
                      </w:r>
                      <w:bookmarkEnd w:id="528"/>
                      <w:bookmarkEnd w:id="529"/>
                      <w:bookmarkEnd w:id="530"/>
                    </w:p>
                  </w:txbxContent>
                </v:textbox>
                <w10:wrap type="topAndBottom"/>
              </v:shape>
            </w:pict>
          </mc:Fallback>
        </mc:AlternateContent>
      </w:r>
    </w:p>
    <w:p w14:paraId="19B7166F">
      <w:pPr>
        <w:pStyle w:val="17"/>
        <w:keepNext w:val="0"/>
        <w:keepLines w:val="0"/>
        <w:widowControl w:val="0"/>
        <w:shd w:val="clear" w:color="auto" w:fill="auto"/>
        <w:bidi w:val="0"/>
        <w:spacing w:before="0" w:after="420" w:line="338" w:lineRule="exact"/>
        <w:ind w:left="1000" w:right="0" w:firstLine="0"/>
        <w:jc w:val="both"/>
      </w:pPr>
      <w:r>
        <w:drawing>
          <wp:anchor distT="0" distB="0" distL="114300" distR="114300" simplePos="0" relativeHeight="251660288" behindDoc="0" locked="0" layoutInCell="1" allowOverlap="1">
            <wp:simplePos x="0" y="0"/>
            <wp:positionH relativeFrom="page">
              <wp:posOffset>5083810</wp:posOffset>
            </wp:positionH>
            <wp:positionV relativeFrom="paragraph">
              <wp:posOffset>76200</wp:posOffset>
            </wp:positionV>
            <wp:extent cx="615950" cy="615950"/>
            <wp:effectExtent l="0" t="0" r="6350" b="6350"/>
            <wp:wrapSquare wrapText="left"/>
            <wp:docPr id="971" name="Shape 971"/>
            <wp:cNvGraphicFramePr/>
            <a:graphic xmlns:a="http://schemas.openxmlformats.org/drawingml/2006/main">
              <a:graphicData uri="http://schemas.openxmlformats.org/drawingml/2006/picture">
                <pic:pic xmlns:pic="http://schemas.openxmlformats.org/drawingml/2006/picture">
                  <pic:nvPicPr>
                    <pic:cNvPr id="971" name="Shape 971"/>
                    <pic:cNvPicPr/>
                  </pic:nvPicPr>
                  <pic:blipFill>
                    <a:blip r:embed="rId684"/>
                    <a:stretch>
                      <a:fillRect/>
                    </a:stretch>
                  </pic:blipFill>
                  <pic:spPr>
                    <a:xfrm>
                      <a:off x="0" y="0"/>
                      <a:ext cx="615950" cy="615950"/>
                    </a:xfrm>
                    <a:prstGeom prst="rect">
                      <a:avLst/>
                    </a:prstGeom>
                  </pic:spPr>
                </pic:pic>
              </a:graphicData>
            </a:graphic>
          </wp:anchor>
        </w:drawing>
      </w:r>
      <w:r>
        <w:rPr>
          <w:color w:val="000000"/>
          <w:spacing w:val="0"/>
          <w:w w:val="100"/>
          <w:position w:val="0"/>
        </w:rPr>
        <w:t>任才生诉宜兴市广海元汽车销售公司因汽车质量问题要求更换纠 纷案丨江苏省宜兴市人民法院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宜民初字第</w:t>
      </w:r>
      <w:r>
        <w:rPr>
          <w:rFonts w:ascii="Times New Roman" w:hAnsi="Times New Roman" w:eastAsia="Times New Roman" w:cs="Times New Roman"/>
          <w:color w:val="000000"/>
          <w:spacing w:val="0"/>
          <w:w w:val="100"/>
          <w:position w:val="0"/>
          <w:sz w:val="19"/>
          <w:szCs w:val="19"/>
        </w:rPr>
        <w:t>2540</w:t>
      </w:r>
      <w:r>
        <w:rPr>
          <w:color w:val="000000"/>
          <w:spacing w:val="0"/>
          <w:w w:val="100"/>
          <w:position w:val="0"/>
        </w:rPr>
        <w:t>号民事判 决书</w:t>
      </w:r>
    </w:p>
    <w:p w14:paraId="319B7EBE">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夏静宜 扬</w:t>
      </w:r>
      <w:r>
        <w:rPr>
          <w:color w:val="000000"/>
          <w:spacing w:val="0"/>
          <w:w w:val="100"/>
          <w:position w:val="0"/>
        </w:rPr>
        <w:t>州大学法学院</w:t>
      </w:r>
    </w:p>
    <w:p w14:paraId="503F5D56">
      <w:pPr>
        <w:pStyle w:val="11"/>
        <w:keepNext w:val="0"/>
        <w:keepLines w:val="0"/>
        <w:widowControl w:val="0"/>
        <w:shd w:val="clear" w:color="auto" w:fill="auto"/>
        <w:bidi w:val="0"/>
        <w:spacing w:before="0" w:after="60" w:line="346"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DBA429D">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日，原告</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从被告</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公司处购得一汽大众</w:t>
      </w:r>
      <w:r>
        <w:rPr>
          <w:rFonts w:ascii="Times New Roman" w:hAnsi="Times New Roman" w:eastAsia="Times New Roman" w:cs="Times New Roman"/>
          <w:color w:val="000000"/>
          <w:spacing w:val="0"/>
          <w:w w:val="100"/>
          <w:position w:val="0"/>
          <w:sz w:val="19"/>
          <w:szCs w:val="19"/>
          <w:lang w:val="en-US" w:eastAsia="en-US" w:bidi="en-US"/>
        </w:rPr>
        <w:t>1.8T</w:t>
      </w:r>
      <w:r>
        <w:rPr>
          <w:color w:val="000000"/>
          <w:spacing w:val="0"/>
          <w:w w:val="100"/>
          <w:position w:val="0"/>
        </w:rPr>
        <w:t>迈腾自动舒适型轿车 一辆，价格为</w:t>
      </w:r>
      <w:r>
        <w:rPr>
          <w:rFonts w:ascii="Times New Roman" w:hAnsi="Times New Roman" w:eastAsia="Times New Roman" w:cs="Times New Roman"/>
          <w:color w:val="000000"/>
          <w:spacing w:val="0"/>
          <w:w w:val="100"/>
          <w:position w:val="0"/>
          <w:sz w:val="19"/>
          <w:szCs w:val="19"/>
        </w:rPr>
        <w:t>210, 800</w:t>
      </w:r>
      <w:r>
        <w:rPr>
          <w:color w:val="000000"/>
          <w:spacing w:val="0"/>
          <w:w w:val="100"/>
          <w:position w:val="0"/>
        </w:rPr>
        <w:t>元。购车后不久,该车即出现启动熄火故障。</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 司为该车更换了离合器变速箱。</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日，该车在行驶途中出现显示挡位闪跳、车 辆无动力的现象,</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再次将该车送</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公司修理。</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公司检查后确认，该车存在滑阀箱故障， 决定更换变速箱总成。</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18 </w:t>
      </w:r>
      <w:r>
        <w:rPr>
          <w:rFonts w:ascii="Times New Roman" w:hAnsi="Times New Roman" w:eastAsia="Times New Roman" w:cs="Times New Roman"/>
          <w:color w:val="000000"/>
          <w:spacing w:val="0"/>
          <w:w w:val="100"/>
          <w:position w:val="0"/>
          <w:sz w:val="19"/>
          <w:szCs w:val="19"/>
          <w:lang w:val="en-US" w:eastAsia="en-US" w:bidi="en-US"/>
        </w:rPr>
        <w:t>H,R</w:t>
      </w:r>
      <w:r>
        <w:rPr>
          <w:color w:val="000000"/>
          <w:spacing w:val="0"/>
          <w:w w:val="100"/>
          <w:position w:val="0"/>
        </w:rPr>
        <w:t>向无锡市宜兴工商行政管理局消费者保护科 投诉。</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日，在宜兴工商行政管理局</w:t>
      </w:r>
      <w:r>
        <w:rPr>
          <w:rFonts w:ascii="Times New Roman" w:hAnsi="Times New Roman" w:eastAsia="Times New Roman" w:cs="Times New Roman"/>
          <w:color w:val="000000"/>
          <w:spacing w:val="0"/>
          <w:w w:val="100"/>
          <w:position w:val="0"/>
          <w:sz w:val="19"/>
          <w:szCs w:val="19"/>
        </w:rPr>
        <w:t>12315</w:t>
      </w:r>
      <w:r>
        <w:rPr>
          <w:color w:val="000000"/>
          <w:spacing w:val="0"/>
          <w:w w:val="100"/>
          <w:position w:val="0"/>
        </w:rPr>
        <w:t>投诉台主持之下,</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与</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公司达 成消费者申诉案件调解协议。双方约定，由</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公司为</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更换变速箱总成，并提供两次免费 保养（价值约</w:t>
      </w:r>
      <w:r>
        <w:rPr>
          <w:rFonts w:ascii="Times New Roman" w:hAnsi="Times New Roman" w:eastAsia="Times New Roman" w:cs="Times New Roman"/>
          <w:color w:val="000000"/>
          <w:spacing w:val="0"/>
          <w:w w:val="100"/>
          <w:position w:val="0"/>
          <w:sz w:val="19"/>
          <w:szCs w:val="19"/>
        </w:rPr>
        <w:t>1800</w:t>
      </w:r>
      <w:r>
        <w:rPr>
          <w:color w:val="000000"/>
          <w:spacing w:val="0"/>
          <w:w w:val="100"/>
          <w:position w:val="0"/>
        </w:rPr>
        <w:t>元）；更换总成后，车辆须经宜兴市车辆检测中心作整车检测。</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 xml:space="preserve">11 </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公司更换变速箱总成后，该车在试车途中再次出现同一故障,</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公司确认为滑阀 箱与车辆不适配所致。</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公司更换滑阀箱。</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14 </w:t>
      </w:r>
      <w:r>
        <w:rPr>
          <w:rFonts w:ascii="Times New Roman" w:hAnsi="Times New Roman" w:eastAsia="Times New Roman" w:cs="Times New Roman"/>
          <w:color w:val="000000"/>
          <w:spacing w:val="0"/>
          <w:w w:val="100"/>
          <w:position w:val="0"/>
          <w:sz w:val="19"/>
          <w:szCs w:val="19"/>
          <w:lang w:val="en-US" w:eastAsia="en-US" w:bidi="en-US"/>
        </w:rPr>
        <w:t>0,G</w:t>
      </w:r>
      <w:r>
        <w:rPr>
          <w:color w:val="000000"/>
          <w:spacing w:val="0"/>
          <w:w w:val="100"/>
          <w:position w:val="0"/>
        </w:rPr>
        <w:t>公 司将该车送交宜兴市宏达汽车综合性能检测有限公司检测，检测结果为合格。同日，</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 书面通知</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提车。</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收到通知后未提车，向法院提起诉讼,请求更换同款轿车。</w:t>
      </w:r>
    </w:p>
    <w:p w14:paraId="54E51A2D">
      <w:pPr>
        <w:pStyle w:val="17"/>
        <w:keepNext w:val="0"/>
        <w:keepLines w:val="0"/>
        <w:widowControl w:val="0"/>
        <w:shd w:val="clear" w:color="auto" w:fill="auto"/>
        <w:bidi w:val="0"/>
        <w:spacing w:before="0" w:after="360" w:line="350" w:lineRule="exact"/>
        <w:ind w:left="0" w:right="0" w:firstLine="420"/>
        <w:jc w:val="both"/>
      </w:pPr>
      <w:r>
        <w:rPr>
          <w:color w:val="000000"/>
          <w:spacing w:val="0"/>
          <w:w w:val="100"/>
          <w:position w:val="0"/>
        </w:rPr>
        <w:t>审理中,</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公司称</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所购</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款轿车已停产，相似车型为</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款</w:t>
      </w:r>
      <w:r>
        <w:rPr>
          <w:rFonts w:ascii="Times New Roman" w:hAnsi="Times New Roman" w:eastAsia="Times New Roman" w:cs="Times New Roman"/>
          <w:color w:val="000000"/>
          <w:spacing w:val="0"/>
          <w:w w:val="100"/>
          <w:position w:val="0"/>
          <w:sz w:val="19"/>
          <w:szCs w:val="19"/>
          <w:lang w:val="en-US" w:eastAsia="en-US" w:bidi="en-US"/>
        </w:rPr>
        <w:t>1.8T</w:t>
      </w:r>
      <w:r>
        <w:rPr>
          <w:color w:val="000000"/>
          <w:spacing w:val="0"/>
          <w:w w:val="100"/>
          <w:position w:val="0"/>
        </w:rPr>
        <w:t>迈腾自动舒适 型轿车，价格为</w:t>
      </w:r>
      <w:r>
        <w:rPr>
          <w:rFonts w:ascii="Times New Roman" w:hAnsi="Times New Roman" w:eastAsia="Times New Roman" w:cs="Times New Roman"/>
          <w:color w:val="000000"/>
          <w:spacing w:val="0"/>
          <w:w w:val="100"/>
          <w:position w:val="0"/>
          <w:sz w:val="19"/>
          <w:szCs w:val="19"/>
        </w:rPr>
        <w:t>209, 800</w:t>
      </w:r>
      <w:r>
        <w:rPr>
          <w:color w:val="000000"/>
          <w:spacing w:val="0"/>
          <w:w w:val="100"/>
          <w:position w:val="0"/>
        </w:rPr>
        <w:t>元。对此,</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表示愿意更换现有车型。</w:t>
      </w:r>
    </w:p>
    <w:p w14:paraId="3E9DF517">
      <w:pPr>
        <w:pStyle w:val="11"/>
        <w:keepNext w:val="0"/>
        <w:keepLines w:val="0"/>
        <w:widowControl w:val="0"/>
        <w:shd w:val="clear" w:color="auto" w:fill="auto"/>
        <w:bidi w:val="0"/>
        <w:spacing w:before="0" w:after="6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A58D00F">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支持原告</w:t>
      </w:r>
      <w:r>
        <w:rPr>
          <w:rFonts w:ascii="Times New Roman" w:hAnsi="Times New Roman" w:eastAsia="Times New Roman" w:cs="Times New Roman"/>
          <w:b/>
          <w:bCs/>
          <w:color w:val="000000"/>
          <w:spacing w:val="0"/>
          <w:w w:val="100"/>
          <w:position w:val="0"/>
          <w:sz w:val="19"/>
          <w:szCs w:val="19"/>
          <w:lang w:val="en-US" w:eastAsia="en-US" w:bidi="en-US"/>
        </w:rPr>
        <w:t>R</w:t>
      </w:r>
      <w:r>
        <w:rPr>
          <w:color w:val="000000"/>
          <w:spacing w:val="0"/>
          <w:w w:val="100"/>
          <w:position w:val="0"/>
        </w:rPr>
        <w:t>的更换请求。</w:t>
      </w:r>
    </w:p>
    <w:p w14:paraId="1806D3B1">
      <w:pPr>
        <w:pStyle w:val="17"/>
        <w:keepNext w:val="0"/>
        <w:keepLines w:val="0"/>
        <w:widowControl w:val="0"/>
        <w:shd w:val="clear" w:color="auto" w:fill="auto"/>
        <w:bidi w:val="0"/>
        <w:spacing w:before="0" w:after="60" w:line="348" w:lineRule="exact"/>
        <w:ind w:left="0" w:right="0" w:firstLine="420"/>
        <w:jc w:val="both"/>
      </w:pPr>
      <w:r>
        <w:rPr>
          <w:color w:val="000000"/>
          <w:spacing w:val="0"/>
          <w:w w:val="100"/>
          <w:position w:val="0"/>
        </w:rPr>
        <w:t>原告</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从被告</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公司购买轿车，双方之间成立买卖合同关系，双方应当依照合同约定 履行义务。</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公司交付的机动车存在质量问题，不符合合同约定,依据原《合同法》规定 （《民法典》第</w:t>
      </w:r>
      <w:r>
        <w:rPr>
          <w:rFonts w:ascii="Times New Roman" w:hAnsi="Times New Roman" w:eastAsia="Times New Roman" w:cs="Times New Roman"/>
          <w:color w:val="000000"/>
          <w:spacing w:val="0"/>
          <w:w w:val="100"/>
          <w:position w:val="0"/>
          <w:sz w:val="19"/>
          <w:szCs w:val="19"/>
        </w:rPr>
        <w:t>582</w:t>
      </w:r>
      <w:r>
        <w:rPr>
          <w:color w:val="000000"/>
          <w:spacing w:val="0"/>
          <w:w w:val="100"/>
          <w:position w:val="0"/>
        </w:rPr>
        <w:t>条），</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lang w:val="zh-CN" w:eastAsia="zh-CN" w:bidi="zh-CN"/>
        </w:rPr>
        <w:t>“可以</w:t>
      </w:r>
      <w:r>
        <w:rPr>
          <w:color w:val="000000"/>
          <w:spacing w:val="0"/>
          <w:w w:val="100"/>
          <w:position w:val="0"/>
        </w:rPr>
        <w:t>合理选择要求对方承担修理、更换、重作、退货、减少价款或 报酬等违约责任”。</w:t>
      </w:r>
    </w:p>
    <w:p w14:paraId="5922BEF2">
      <w:pPr>
        <w:pStyle w:val="17"/>
        <w:keepNext w:val="0"/>
        <w:keepLines w:val="0"/>
        <w:widowControl w:val="0"/>
        <w:shd w:val="clear" w:color="auto" w:fill="auto"/>
        <w:bidi w:val="0"/>
        <w:spacing w:before="0" w:after="0" w:line="305" w:lineRule="exact"/>
        <w:ind w:left="0" w:right="0" w:firstLine="420"/>
        <w:jc w:val="both"/>
        <w:sectPr>
          <w:footnotePr>
            <w:numFmt w:val="chicago"/>
          </w:footnotePr>
          <w:type w:val="continuous"/>
          <w:pgSz w:w="10099" w:h="14782"/>
          <w:pgMar w:top="1243" w:right="1075" w:bottom="1150" w:left="1022" w:header="815" w:footer="722" w:gutter="0"/>
          <w:cols w:space="720" w:num="1"/>
          <w:rtlGutter w:val="0"/>
          <w:docGrid w:linePitch="360" w:charSpace="0"/>
        </w:sectPr>
      </w:pPr>
      <w:r>
        <w:rPr>
          <w:color w:val="000000"/>
          <w:spacing w:val="0"/>
          <w:w w:val="100"/>
          <w:position w:val="0"/>
        </w:rPr>
        <w:t>当事人订立合同的目的是实现各自的期望。本案中，原告</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 xml:space="preserve">购买轿车的目的是充当交 通工具，便于生活工作，而在其购车不到两年的时间内，该车多次出现变速箱质量问题，历 </w:t>
      </w:r>
    </w:p>
    <w:p w14:paraId="3ADFFBA5">
      <w:pPr>
        <w:pStyle w:val="17"/>
        <w:keepNext w:val="0"/>
        <w:keepLines w:val="0"/>
        <w:widowControl w:val="0"/>
        <w:shd w:val="clear" w:color="auto" w:fill="auto"/>
        <w:bidi w:val="0"/>
        <w:spacing w:before="0" w:after="0" w:line="305" w:lineRule="exact"/>
        <w:ind w:left="0" w:right="0" w:firstLine="0"/>
        <w:jc w:val="both"/>
      </w:pPr>
      <w:r>
        <w:rPr>
          <w:color w:val="000000"/>
          <w:spacing w:val="0"/>
          <w:w w:val="100"/>
          <w:position w:val="0"/>
        </w:rPr>
        <w:t>经多次修理仍故障不断。此种情形，对于</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而言，仅凭修理（更换部件）已无法实现合同目 的。此外,变速箱是机动车最重要的部件之一，变速箱反复出现问题,说明车辆存在安全隐 患。</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为实现合同目的以及消除自身、他人之安全隐患，主张更换车辆的要求于法有据。</w:t>
      </w:r>
    </w:p>
    <w:p w14:paraId="63ED7BD8">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虽然原被告双方曾就纠纷解决达成调解协议,但被告</w:t>
      </w:r>
      <w:r>
        <w:rPr>
          <w:rFonts w:ascii="Times New Roman" w:hAnsi="Times New Roman" w:eastAsia="Times New Roman" w:cs="Times New Roman"/>
          <w:color w:val="000000"/>
          <w:spacing w:val="0"/>
          <w:w w:val="100"/>
          <w:position w:val="0"/>
          <w:sz w:val="19"/>
          <w:szCs w:val="19"/>
          <w:lang w:val="en-US" w:eastAsia="en-US" w:bidi="en-US"/>
        </w:rPr>
        <w:t>G</w:t>
      </w:r>
      <w:r>
        <w:rPr>
          <w:color w:val="000000"/>
          <w:spacing w:val="0"/>
          <w:w w:val="100"/>
          <w:position w:val="0"/>
        </w:rPr>
        <w:t>公司未能履行调解协议约定的 义务。签订调解协议的目的是恢复车辆的使用性能,实现原告</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的购车目的，而安全驾驶 是</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购买车辆最基本的要求。修理过程的状况显示，仅凭修理（更换部件）难以确保驾车安 全。因此，调解协议不能对抗</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的更换请求。</w:t>
      </w:r>
    </w:p>
    <w:p w14:paraId="138E71B1">
      <w:pPr>
        <w:pStyle w:val="11"/>
        <w:keepNext w:val="0"/>
        <w:keepLines w:val="0"/>
        <w:widowControl w:val="0"/>
        <w:shd w:val="clear" w:color="auto" w:fill="auto"/>
        <w:bidi w:val="0"/>
        <w:spacing w:before="0" w:after="260" w:line="342" w:lineRule="exact"/>
        <w:ind w:left="0" w:right="0" w:firstLine="0"/>
        <w:jc w:val="left"/>
      </w:pPr>
      <w:r>
        <w:rPr>
          <w:color w:val="000000"/>
          <w:spacing w:val="0"/>
          <w:w w:val="100"/>
          <w:position w:val="0"/>
        </w:rPr>
        <w:t>■评析</w:t>
      </w:r>
    </w:p>
    <w:p w14:paraId="33FCA809">
      <w:pPr>
        <w:pStyle w:val="17"/>
        <w:keepNext w:val="0"/>
        <w:keepLines w:val="0"/>
        <w:widowControl w:val="0"/>
        <w:shd w:val="clear" w:color="auto" w:fill="auto"/>
        <w:bidi w:val="0"/>
        <w:spacing w:before="0" w:after="0" w:line="42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本判决的思路和意义</w:t>
      </w:r>
    </w:p>
    <w:p w14:paraId="4902191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本案中，原告</w:t>
      </w:r>
      <w:r>
        <w:rPr>
          <w:rFonts w:ascii="Times New Roman" w:hAnsi="Times New Roman" w:eastAsia="Times New Roman" w:cs="Times New Roman"/>
          <w:color w:val="000000"/>
          <w:spacing w:val="0"/>
          <w:w w:val="100"/>
          <w:position w:val="0"/>
          <w:sz w:val="19"/>
          <w:szCs w:val="19"/>
          <w:lang w:val="en-US" w:eastAsia="en-US" w:bidi="en-US"/>
        </w:rPr>
        <w:t>R</w:t>
      </w:r>
      <w:r>
        <w:rPr>
          <w:color w:val="000000"/>
          <w:spacing w:val="0"/>
          <w:w w:val="100"/>
          <w:position w:val="0"/>
        </w:rPr>
        <w:t>拒绝接受历经多次修理的轿车，主张更换同款轿车，其主张最终获得了 法院的支持。裁判要旨明确了标的物存在质量瑕疵的情形，买受人得合理选择主张修理请 求权或者更换请求权;肯定了在修理无法实现合同目的的前提下，买受人得主张更换请求 权;进而认为，买受人在先前选择修理，而出卖人未能通过修理恢复标的物性能、实现合同 目的情形下，买受人得变更选择，主张更换请求权。</w:t>
      </w:r>
    </w:p>
    <w:p w14:paraId="5F153D50">
      <w:pPr>
        <w:pStyle w:val="17"/>
        <w:keepNext w:val="0"/>
        <w:keepLines w:val="0"/>
        <w:widowControl w:val="0"/>
        <w:shd w:val="clear" w:color="auto" w:fill="auto"/>
        <w:bidi w:val="0"/>
        <w:spacing w:before="0" w:after="260" w:line="342" w:lineRule="exact"/>
        <w:ind w:left="0" w:right="0" w:firstLine="420"/>
        <w:jc w:val="both"/>
      </w:pPr>
      <w:r>
        <w:rPr>
          <w:color w:val="000000"/>
          <w:spacing w:val="0"/>
          <w:w w:val="100"/>
          <w:position w:val="0"/>
        </w:rPr>
        <w:t>作为江苏省高院的参阅案例，本案在明确肯定买受人享有变更选择权以及强调</w:t>
      </w:r>
      <w:r>
        <w:rPr>
          <w:color w:val="000000"/>
          <w:spacing w:val="0"/>
          <w:w w:val="100"/>
          <w:position w:val="0"/>
          <w:lang w:val="zh-CN" w:eastAsia="zh-CN" w:bidi="zh-CN"/>
        </w:rPr>
        <w:t xml:space="preserve">“合同 </w:t>
      </w:r>
      <w:r>
        <w:rPr>
          <w:color w:val="000000"/>
          <w:spacing w:val="0"/>
          <w:w w:val="100"/>
          <w:position w:val="0"/>
        </w:rPr>
        <w:t>目的</w:t>
      </w:r>
      <w:r>
        <w:rPr>
          <w:color w:val="000000"/>
          <w:spacing w:val="0"/>
          <w:w w:val="100"/>
          <w:position w:val="0"/>
          <w:lang w:val="zh-CN" w:eastAsia="zh-CN" w:bidi="zh-CN"/>
        </w:rPr>
        <w:t>”是</w:t>
      </w:r>
      <w:r>
        <w:rPr>
          <w:color w:val="000000"/>
          <w:spacing w:val="0"/>
          <w:w w:val="100"/>
          <w:position w:val="0"/>
        </w:rPr>
        <w:t>判断买受人选择是否</w:t>
      </w:r>
      <w:r>
        <w:rPr>
          <w:color w:val="000000"/>
          <w:spacing w:val="0"/>
          <w:w w:val="100"/>
          <w:position w:val="0"/>
          <w:lang w:val="zh-CN" w:eastAsia="zh-CN" w:bidi="zh-CN"/>
        </w:rPr>
        <w:t>“合理”的重</w:t>
      </w:r>
      <w:r>
        <w:rPr>
          <w:color w:val="000000"/>
          <w:spacing w:val="0"/>
          <w:w w:val="100"/>
          <w:position w:val="0"/>
        </w:rPr>
        <w:t>要依据方面,具有参考借鉴意义。</w:t>
      </w:r>
    </w:p>
    <w:p w14:paraId="026CE546">
      <w:pPr>
        <w:pStyle w:val="17"/>
        <w:keepNext w:val="0"/>
        <w:keepLines w:val="0"/>
        <w:widowControl w:val="0"/>
        <w:shd w:val="clear" w:color="auto" w:fill="auto"/>
        <w:bidi w:val="0"/>
        <w:spacing w:before="0" w:after="140" w:line="42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瑕疵补正请求权的规范与学理</w:t>
      </w:r>
    </w:p>
    <w:p w14:paraId="3C45262F">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.修理与更换的关系</w:t>
      </w:r>
    </w:p>
    <w:p w14:paraId="70A6C088">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作为瑕疵补正请求权的具体形态，修理与更换之间是否存在适用上的先后顺序，在我 国法律上并不明确。依据原《合同法》第</w:t>
      </w:r>
      <w:r>
        <w:rPr>
          <w:rFonts w:ascii="Times New Roman" w:hAnsi="Times New Roman" w:eastAsia="Times New Roman" w:cs="Times New Roman"/>
          <w:color w:val="000000"/>
          <w:spacing w:val="0"/>
          <w:w w:val="100"/>
          <w:position w:val="0"/>
          <w:sz w:val="19"/>
          <w:szCs w:val="19"/>
          <w:lang w:val="en-US" w:eastAsia="en-US" w:bidi="en-US"/>
        </w:rPr>
        <w:t>ill</w:t>
      </w:r>
      <w:r>
        <w:rPr>
          <w:color w:val="000000"/>
          <w:spacing w:val="0"/>
          <w:w w:val="100"/>
          <w:position w:val="0"/>
          <w:sz w:val="18"/>
          <w:szCs w:val="18"/>
        </w:rPr>
        <w:t>条的规定，就修理与更换,买受人享有选择权, 但须受到</w:t>
      </w:r>
      <w:r>
        <w:rPr>
          <w:color w:val="000000"/>
          <w:spacing w:val="0"/>
          <w:w w:val="100"/>
          <w:position w:val="0"/>
          <w:sz w:val="18"/>
          <w:szCs w:val="18"/>
          <w:lang w:val="zh-CN" w:eastAsia="zh-CN" w:bidi="zh-CN"/>
        </w:rPr>
        <w:t>“合理</w:t>
      </w:r>
      <w:r>
        <w:rPr>
          <w:color w:val="000000"/>
          <w:spacing w:val="0"/>
          <w:w w:val="100"/>
          <w:position w:val="0"/>
          <w:sz w:val="18"/>
          <w:szCs w:val="18"/>
        </w:rPr>
        <w:t xml:space="preserve">性”的制约。关于合理性的解释,学界存在不同观点。比如,有观点通过对 </w:t>
      </w:r>
      <w:r>
        <w:rPr>
          <w:color w:val="000000"/>
          <w:spacing w:val="0"/>
          <w:w w:val="100"/>
          <w:position w:val="0"/>
          <w:sz w:val="18"/>
          <w:szCs w:val="18"/>
          <w:lang w:val="zh-CN" w:eastAsia="zh-CN" w:bidi="zh-CN"/>
        </w:rPr>
        <w:t>“更换”的含</w:t>
      </w:r>
      <w:r>
        <w:rPr>
          <w:color w:val="000000"/>
          <w:spacing w:val="0"/>
          <w:w w:val="100"/>
          <w:position w:val="0"/>
          <w:sz w:val="18"/>
          <w:szCs w:val="18"/>
        </w:rPr>
        <w:t>义作限缩理解，将其理解为</w:t>
      </w:r>
      <w:r>
        <w:rPr>
          <w:color w:val="000000"/>
          <w:spacing w:val="0"/>
          <w:w w:val="100"/>
          <w:position w:val="0"/>
          <w:sz w:val="18"/>
          <w:szCs w:val="18"/>
          <w:lang w:val="zh-CN" w:eastAsia="zh-CN" w:bidi="zh-CN"/>
        </w:rPr>
        <w:t>“无修</w:t>
      </w:r>
      <w:r>
        <w:rPr>
          <w:color w:val="000000"/>
          <w:spacing w:val="0"/>
          <w:w w:val="100"/>
          <w:position w:val="0"/>
          <w:sz w:val="18"/>
          <w:szCs w:val="18"/>
        </w:rPr>
        <w:t>理可能,或修理所需费用过高，或所耗时间过 长，债务人交付同种类同质量同数量的标的物的补救措施</w:t>
      </w:r>
      <w:r>
        <w:rPr>
          <w:color w:val="000000"/>
          <w:spacing w:val="0"/>
          <w:w w:val="100"/>
          <w:position w:val="0"/>
          <w:sz w:val="18"/>
          <w:szCs w:val="18"/>
          <w:lang w:val="zh-CN" w:eastAsia="zh-CN" w:bidi="zh-CN"/>
        </w:rPr>
        <w:t>”的</w:t>
      </w:r>
      <w:r>
        <w:rPr>
          <w:color w:val="000000"/>
          <w:spacing w:val="0"/>
          <w:w w:val="100"/>
          <w:position w:val="0"/>
          <w:sz w:val="18"/>
          <w:szCs w:val="18"/>
        </w:rPr>
        <w:t>方式，实质上肯定了修理优先 规则</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767</w:t>
      </w:r>
      <w:r>
        <w:rPr>
          <w:color w:val="000000"/>
          <w:spacing w:val="0"/>
          <w:w w:val="100"/>
          <w:position w:val="0"/>
          <w:sz w:val="11"/>
          <w:szCs w:val="11"/>
        </w:rPr>
        <w:t>页］。</w:t>
      </w:r>
      <w:r>
        <w:rPr>
          <w:color w:val="000000"/>
          <w:spacing w:val="0"/>
          <w:w w:val="100"/>
          <w:position w:val="0"/>
          <w:sz w:val="18"/>
          <w:szCs w:val="18"/>
        </w:rPr>
        <w:t>也有观点认为，应当借 鉴《联合国国际货物销售合同公约》</w:t>
      </w:r>
      <w:r>
        <w:rPr>
          <w:rFonts w:ascii="Times New Roman" w:hAnsi="Times New Roman" w:eastAsia="Times New Roman" w:cs="Times New Roman"/>
          <w:color w:val="000000"/>
          <w:spacing w:val="0"/>
          <w:w w:val="100"/>
          <w:position w:val="0"/>
          <w:sz w:val="19"/>
          <w:szCs w:val="19"/>
          <w:lang w:val="en-US" w:eastAsia="en-US" w:bidi="en-US"/>
        </w:rPr>
        <w:t>（CISG）</w:t>
      </w:r>
      <w:r>
        <w:rPr>
          <w:color w:val="000000"/>
          <w:spacing w:val="0"/>
          <w:w w:val="100"/>
          <w:position w:val="0"/>
          <w:sz w:val="18"/>
          <w:szCs w:val="18"/>
        </w:rPr>
        <w:t>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sz w:val="18"/>
          <w:szCs w:val="18"/>
        </w:rPr>
        <w:t>条的规定，以根本违约为买受人行使更换 请求权的实质要件</w:t>
      </w:r>
      <w:r>
        <w:rPr>
          <w:color w:val="000000"/>
          <w:spacing w:val="0"/>
          <w:w w:val="100"/>
          <w:position w:val="0"/>
          <w:sz w:val="11"/>
          <w:szCs w:val="11"/>
        </w:rPr>
        <w:t>［朱广新:《合同法总则研究》（下册），中国人民大学出版社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679</w:t>
      </w:r>
      <w:r>
        <w:rPr>
          <w:color w:val="000000"/>
          <w:spacing w:val="0"/>
          <w:w w:val="100"/>
          <w:position w:val="0"/>
          <w:sz w:val="11"/>
          <w:szCs w:val="11"/>
        </w:rPr>
        <w:t xml:space="preserve">页］, </w:t>
      </w:r>
      <w:r>
        <w:rPr>
          <w:color w:val="000000"/>
          <w:spacing w:val="0"/>
          <w:w w:val="100"/>
          <w:position w:val="0"/>
          <w:sz w:val="18"/>
          <w:szCs w:val="18"/>
        </w:rPr>
        <w:t>从而在多数情形中否定了买受人选择更换请求权的可能。与之相对，有观点指出，修理优 先规则导致买受人选择权落空，并非理想的规范模式,应当在原则认可买受人自由选择权 的基础上，通过赋予出卖人费用过巨抗辩权的方式，实现对买受人选择权的制约</w:t>
      </w:r>
      <w:r>
        <w:rPr>
          <w:color w:val="000000"/>
          <w:spacing w:val="0"/>
          <w:w w:val="100"/>
          <w:position w:val="0"/>
          <w:sz w:val="11"/>
          <w:szCs w:val="11"/>
        </w:rPr>
        <w:t>（缪宇:《论 买卖合同中的修理、更换》，载《清华法学》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sz w:val="18"/>
          <w:szCs w:val="18"/>
        </w:rPr>
        <w:t>此外，另有观点从立法论的角度批判 买受人选择权模式本身，主张应当将选择权分配给出卖人</w:t>
      </w:r>
      <w:r>
        <w:rPr>
          <w:color w:val="000000"/>
          <w:spacing w:val="0"/>
          <w:w w:val="100"/>
          <w:position w:val="0"/>
          <w:sz w:val="11"/>
          <w:szCs w:val="11"/>
        </w:rPr>
        <w:t>［杜景林:《我国合同法买受人再履行 请求权的不足与完善》，载《法律科学》（西北政法大学学报</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p>
    <w:p w14:paraId="5D1D9440">
      <w:pPr>
        <w:pStyle w:val="33"/>
        <w:keepNext w:val="0"/>
        <w:keepLines w:val="0"/>
        <w:widowControl w:val="0"/>
        <w:shd w:val="clear" w:color="auto" w:fill="auto"/>
        <w:bidi w:val="0"/>
        <w:spacing w:before="0" w:after="0" w:line="342" w:lineRule="exact"/>
        <w:ind w:left="0" w:right="0" w:firstLine="420"/>
        <w:jc w:val="both"/>
        <w:sectPr>
          <w:headerReference r:id="rId418" w:type="default"/>
          <w:headerReference r:id="rId419" w:type="even"/>
          <w:footnotePr>
            <w:numFmt w:val="chicago"/>
          </w:footnotePr>
          <w:pgSz w:w="10099" w:h="14782"/>
          <w:pgMar w:top="1243" w:right="1075" w:bottom="1150" w:left="1022" w:header="0" w:footer="722" w:gutter="0"/>
          <w:pgNumType w:start="352"/>
          <w:cols w:space="720" w:num="1"/>
          <w:rtlGutter w:val="0"/>
          <w:docGrid w:linePitch="360" w:charSpace="0"/>
        </w:sectPr>
      </w:pPr>
      <w:r>
        <w:rPr>
          <w:color w:val="000000"/>
          <w:spacing w:val="0"/>
          <w:w w:val="100"/>
          <w:position w:val="0"/>
          <w:sz w:val="18"/>
          <w:szCs w:val="18"/>
        </w:rPr>
        <w:t>我国消费者法领域的“三包</w:t>
      </w:r>
      <w:r>
        <w:rPr>
          <w:color w:val="000000"/>
          <w:spacing w:val="0"/>
          <w:w w:val="100"/>
          <w:position w:val="0"/>
          <w:sz w:val="18"/>
          <w:szCs w:val="18"/>
          <w:lang w:val="zh-CN" w:eastAsia="zh-CN" w:bidi="zh-CN"/>
        </w:rPr>
        <w:t>”规</w:t>
      </w:r>
      <w:r>
        <w:rPr>
          <w:color w:val="000000"/>
          <w:spacing w:val="0"/>
          <w:w w:val="100"/>
          <w:position w:val="0"/>
          <w:sz w:val="18"/>
          <w:szCs w:val="18"/>
        </w:rPr>
        <w:t>定</w:t>
      </w:r>
      <w:r>
        <w:rPr>
          <w:color w:val="000000"/>
          <w:spacing w:val="0"/>
          <w:w w:val="100"/>
          <w:position w:val="0"/>
        </w:rPr>
        <w:t>［《部分商品修理更换退货责任规定</w:t>
      </w:r>
      <w:r>
        <w:rPr>
          <w:rFonts w:ascii="Times New Roman" w:hAnsi="Times New Roman" w:eastAsia="Times New Roman" w:cs="Times New Roman"/>
          <w:color w:val="000000"/>
          <w:spacing w:val="0"/>
          <w:w w:val="100"/>
          <w:position w:val="0"/>
          <w:sz w:val="17"/>
          <w:szCs w:val="17"/>
        </w:rPr>
        <w:t>＞（1995）4</w:t>
      </w:r>
      <w:r>
        <w:rPr>
          <w:color w:val="000000"/>
          <w:spacing w:val="0"/>
          <w:w w:val="100"/>
          <w:position w:val="0"/>
        </w:rPr>
        <w:t xml:space="preserve">农业机械产 </w:t>
      </w:r>
    </w:p>
    <w:p w14:paraId="0590D1FD">
      <w:pPr>
        <w:pStyle w:val="33"/>
        <w:keepNext w:val="0"/>
        <w:keepLines w:val="0"/>
        <w:widowControl w:val="0"/>
        <w:shd w:val="clear" w:color="auto" w:fill="auto"/>
        <w:bidi w:val="0"/>
        <w:spacing w:before="0" w:after="0" w:line="342" w:lineRule="exact"/>
        <w:ind w:left="0" w:right="0" w:firstLine="0"/>
        <w:jc w:val="both"/>
      </w:pPr>
      <w:r>
        <w:rPr>
          <w:rStyle w:val="16"/>
          <w:b w:val="0"/>
          <w:bCs w:val="0"/>
          <w:i w:val="0"/>
          <w:iCs w:val="0"/>
          <w:smallCaps w:val="0"/>
          <w:strike w:val="0"/>
          <w:sz w:val="11"/>
          <w:szCs w:val="11"/>
        </w:rPr>
        <w:t>品修理、更换、退货责任规定</w:t>
      </w:r>
      <w:r>
        <w:rPr>
          <w:rStyle w:val="16"/>
          <w:rFonts w:ascii="Times New Roman" w:hAnsi="Times New Roman" w:eastAsia="Times New Roman" w:cs="Times New Roman"/>
          <w:b w:val="0"/>
          <w:bCs w:val="0"/>
          <w:i w:val="0"/>
          <w:iCs w:val="0"/>
          <w:smallCaps w:val="0"/>
          <w:strike w:val="0"/>
          <w:sz w:val="17"/>
          <w:szCs w:val="17"/>
        </w:rPr>
        <w:t>＞（1998/2010）</w:t>
      </w:r>
      <w:r>
        <w:rPr>
          <w:rStyle w:val="16"/>
          <w:b w:val="0"/>
          <w:bCs w:val="0"/>
          <w:i w:val="0"/>
          <w:iCs w:val="0"/>
          <w:smallCaps w:val="0"/>
          <w:strike w:val="0"/>
          <w:sz w:val="17"/>
          <w:szCs w:val="17"/>
        </w:rPr>
        <w:t>；</w:t>
      </w:r>
      <w:r>
        <w:rPr>
          <w:rStyle w:val="16"/>
          <w:b w:val="0"/>
          <w:bCs w:val="0"/>
          <w:i w:val="0"/>
          <w:iCs w:val="0"/>
          <w:smallCaps w:val="0"/>
          <w:strike w:val="0"/>
          <w:sz w:val="11"/>
          <w:szCs w:val="11"/>
        </w:rPr>
        <w:t>《固定电话机商品修理更换退货责任规定》（</w:t>
      </w:r>
      <w:r>
        <w:rPr>
          <w:rStyle w:val="16"/>
          <w:rFonts w:ascii="Times New Roman" w:hAnsi="Times New Roman" w:eastAsia="Times New Roman" w:cs="Times New Roman"/>
          <w:b w:val="0"/>
          <w:bCs w:val="0"/>
          <w:i w:val="0"/>
          <w:iCs w:val="0"/>
          <w:smallCaps w:val="0"/>
          <w:strike w:val="0"/>
          <w:sz w:val="17"/>
          <w:szCs w:val="17"/>
        </w:rPr>
        <w:t>2001）</w:t>
      </w:r>
      <w:r>
        <w:rPr>
          <w:rStyle w:val="16"/>
          <w:b w:val="0"/>
          <w:bCs w:val="0"/>
          <w:i w:val="0"/>
          <w:iCs w:val="0"/>
          <w:smallCaps w:val="0"/>
          <w:strike w:val="0"/>
          <w:sz w:val="17"/>
          <w:szCs w:val="17"/>
        </w:rPr>
        <w:t>；</w:t>
      </w:r>
      <w:r>
        <w:rPr>
          <w:rStyle w:val="16"/>
          <w:b w:val="0"/>
          <w:bCs w:val="0"/>
          <w:i w:val="0"/>
          <w:iCs w:val="0"/>
          <w:smallCaps w:val="0"/>
          <w:strike w:val="0"/>
          <w:sz w:val="11"/>
          <w:szCs w:val="11"/>
        </w:rPr>
        <w:t>《移动 电话机商品修理更换退货责任规定》（</w:t>
      </w:r>
      <w:r>
        <w:rPr>
          <w:rStyle w:val="16"/>
          <w:rFonts w:ascii="Times New Roman" w:hAnsi="Times New Roman" w:eastAsia="Times New Roman" w:cs="Times New Roman"/>
          <w:b w:val="0"/>
          <w:bCs w:val="0"/>
          <w:i w:val="0"/>
          <w:iCs w:val="0"/>
          <w:smallCaps w:val="0"/>
          <w:strike w:val="0"/>
          <w:sz w:val="17"/>
          <w:szCs w:val="17"/>
        </w:rPr>
        <w:t>2001）</w:t>
      </w:r>
      <w:r>
        <w:rPr>
          <w:rStyle w:val="16"/>
          <w:b w:val="0"/>
          <w:bCs w:val="0"/>
          <w:i w:val="0"/>
          <w:iCs w:val="0"/>
          <w:smallCaps w:val="0"/>
          <w:strike w:val="0"/>
          <w:sz w:val="17"/>
          <w:szCs w:val="17"/>
        </w:rPr>
        <w:t>；</w:t>
      </w:r>
      <w:r>
        <w:rPr>
          <w:rStyle w:val="16"/>
          <w:b w:val="0"/>
          <w:bCs w:val="0"/>
          <w:i w:val="0"/>
          <w:iCs w:val="0"/>
          <w:smallCaps w:val="0"/>
          <w:strike w:val="0"/>
          <w:sz w:val="11"/>
          <w:szCs w:val="11"/>
        </w:rPr>
        <w:t>《家用视听商品修理更换退货责任规定</w:t>
      </w:r>
      <w:r>
        <w:rPr>
          <w:rStyle w:val="16"/>
          <w:rFonts w:ascii="Times New Roman" w:hAnsi="Times New Roman" w:eastAsia="Times New Roman" w:cs="Times New Roman"/>
          <w:b w:val="0"/>
          <w:bCs w:val="0"/>
          <w:i w:val="0"/>
          <w:iCs w:val="0"/>
          <w:smallCaps w:val="0"/>
          <w:strike w:val="0"/>
          <w:sz w:val="17"/>
          <w:szCs w:val="17"/>
        </w:rPr>
        <w:t>＞（2002）</w:t>
      </w:r>
      <w:r>
        <w:rPr>
          <w:rStyle w:val="16"/>
          <w:b w:val="0"/>
          <w:bCs w:val="0"/>
          <w:i w:val="0"/>
          <w:iCs w:val="0"/>
          <w:smallCaps w:val="0"/>
          <w:strike w:val="0"/>
          <w:sz w:val="17"/>
          <w:szCs w:val="17"/>
        </w:rPr>
        <w:t>；</w:t>
      </w:r>
      <w:r>
        <w:rPr>
          <w:rStyle w:val="16"/>
          <w:b w:val="0"/>
          <w:bCs w:val="0"/>
          <w:i w:val="0"/>
          <w:iCs w:val="0"/>
          <w:smallCaps w:val="0"/>
          <w:strike w:val="0"/>
          <w:sz w:val="11"/>
          <w:szCs w:val="11"/>
        </w:rPr>
        <w:t>《微型计 算机商品修理更换退货责任规定</w:t>
      </w:r>
      <w:r>
        <w:rPr>
          <w:rStyle w:val="16"/>
          <w:rFonts w:ascii="Times New Roman" w:hAnsi="Times New Roman" w:eastAsia="Times New Roman" w:cs="Times New Roman"/>
          <w:b w:val="0"/>
          <w:bCs w:val="0"/>
          <w:i w:val="0"/>
          <w:iCs w:val="0"/>
          <w:smallCaps w:val="0"/>
          <w:strike w:val="0"/>
          <w:sz w:val="17"/>
          <w:szCs w:val="17"/>
        </w:rPr>
        <w:t>＞（2002）</w:t>
      </w:r>
      <w:r>
        <w:rPr>
          <w:rStyle w:val="16"/>
          <w:b w:val="0"/>
          <w:bCs w:val="0"/>
          <w:i w:val="0"/>
          <w:iCs w:val="0"/>
          <w:smallCaps w:val="0"/>
          <w:strike w:val="0"/>
          <w:sz w:val="17"/>
          <w:szCs w:val="17"/>
        </w:rPr>
        <w:t>；</w:t>
      </w:r>
      <w:r>
        <w:rPr>
          <w:rStyle w:val="16"/>
          <w:b w:val="0"/>
          <w:bCs w:val="0"/>
          <w:i w:val="0"/>
          <w:iCs w:val="0"/>
          <w:smallCaps w:val="0"/>
          <w:strike w:val="0"/>
          <w:sz w:val="11"/>
          <w:szCs w:val="11"/>
        </w:rPr>
        <w:t>《家用汽车产品修理、更换、退货责任规定</w:t>
      </w:r>
      <w:r>
        <w:rPr>
          <w:rStyle w:val="16"/>
          <w:rFonts w:ascii="Times New Roman" w:hAnsi="Times New Roman" w:eastAsia="Times New Roman" w:cs="Times New Roman"/>
          <w:b w:val="0"/>
          <w:bCs w:val="0"/>
          <w:i w:val="0"/>
          <w:iCs w:val="0"/>
          <w:smallCaps w:val="0"/>
          <w:strike w:val="0"/>
          <w:sz w:val="17"/>
          <w:szCs w:val="17"/>
          <w:lang w:val="en-US" w:eastAsia="en-US" w:bidi="en-US"/>
        </w:rPr>
        <w:t>）（2012）］</w:t>
      </w:r>
      <w:r>
        <w:rPr>
          <w:rStyle w:val="16"/>
          <w:b w:val="0"/>
          <w:bCs w:val="0"/>
          <w:i w:val="0"/>
          <w:iCs w:val="0"/>
          <w:smallCaps w:val="0"/>
          <w:strike w:val="0"/>
        </w:rPr>
        <w:t>可能与 原《合同法》第</w:t>
      </w:r>
      <w:r>
        <w:rPr>
          <w:rStyle w:val="16"/>
          <w:rFonts w:ascii="Times New Roman" w:hAnsi="Times New Roman" w:eastAsia="Times New Roman" w:cs="Times New Roman"/>
          <w:b w:val="0"/>
          <w:bCs w:val="0"/>
          <w:i w:val="0"/>
          <w:iCs w:val="0"/>
          <w:smallCaps w:val="0"/>
          <w:strike w:val="0"/>
          <w:sz w:val="17"/>
          <w:szCs w:val="17"/>
        </w:rPr>
        <w:t>111</w:t>
      </w:r>
      <w:r>
        <w:rPr>
          <w:rStyle w:val="16"/>
          <w:b w:val="0"/>
          <w:bCs w:val="0"/>
          <w:i w:val="0"/>
          <w:iCs w:val="0"/>
          <w:smallCaps w:val="0"/>
          <w:strike w:val="0"/>
        </w:rPr>
        <w:t>条发生竞合。此种</w:t>
      </w:r>
      <w:r>
        <w:rPr>
          <w:rStyle w:val="16"/>
          <w:b w:val="0"/>
          <w:bCs w:val="0"/>
          <w:i w:val="0"/>
          <w:iCs w:val="0"/>
          <w:smallCaps w:val="0"/>
          <w:strike w:val="0"/>
          <w:lang w:val="zh-CN" w:eastAsia="zh-CN" w:bidi="zh-CN"/>
        </w:rPr>
        <w:t>“三包”规</w:t>
      </w:r>
      <w:r>
        <w:rPr>
          <w:rStyle w:val="16"/>
          <w:b w:val="0"/>
          <w:bCs w:val="0"/>
          <w:i w:val="0"/>
          <w:iCs w:val="0"/>
          <w:smallCaps w:val="0"/>
          <w:strike w:val="0"/>
        </w:rPr>
        <w:t>定通常包括以下内容:在购买商品</w:t>
      </w:r>
      <w:r>
        <w:rPr>
          <w:rStyle w:val="16"/>
          <w:rFonts w:ascii="Times New Roman" w:hAnsi="Times New Roman" w:eastAsia="Times New Roman" w:cs="Times New Roman"/>
          <w:b w:val="0"/>
          <w:bCs w:val="0"/>
          <w:i w:val="0"/>
          <w:iCs w:val="0"/>
          <w:smallCaps w:val="0"/>
          <w:strike w:val="0"/>
          <w:sz w:val="17"/>
          <w:szCs w:val="17"/>
        </w:rPr>
        <w:t>7</w:t>
      </w:r>
      <w:r>
        <w:rPr>
          <w:rStyle w:val="16"/>
          <w:b w:val="0"/>
          <w:bCs w:val="0"/>
          <w:i w:val="0"/>
          <w:iCs w:val="0"/>
          <w:smallCaps w:val="0"/>
          <w:strike w:val="0"/>
        </w:rPr>
        <w:t>日之 内，消费者得自由选择退货、更换或修理;在购买商品</w:t>
      </w:r>
      <w:r>
        <w:rPr>
          <w:rStyle w:val="16"/>
          <w:rFonts w:ascii="Times New Roman" w:hAnsi="Times New Roman" w:eastAsia="Times New Roman" w:cs="Times New Roman"/>
          <w:b w:val="0"/>
          <w:bCs w:val="0"/>
          <w:i w:val="0"/>
          <w:iCs w:val="0"/>
          <w:smallCaps w:val="0"/>
          <w:strike w:val="0"/>
          <w:sz w:val="17"/>
          <w:szCs w:val="17"/>
        </w:rPr>
        <w:t>8</w:t>
      </w:r>
      <w:r>
        <w:rPr>
          <w:rStyle w:val="16"/>
          <w:b w:val="0"/>
          <w:bCs w:val="0"/>
          <w:i w:val="0"/>
          <w:iCs w:val="0"/>
          <w:smallCaps w:val="0"/>
          <w:strike w:val="0"/>
          <w:sz w:val="17"/>
          <w:szCs w:val="17"/>
        </w:rPr>
        <w:t>〜</w:t>
      </w:r>
      <w:r>
        <w:rPr>
          <w:rStyle w:val="16"/>
          <w:rFonts w:ascii="Times New Roman" w:hAnsi="Times New Roman" w:eastAsia="Times New Roman" w:cs="Times New Roman"/>
          <w:b w:val="0"/>
          <w:bCs w:val="0"/>
          <w:i w:val="0"/>
          <w:iCs w:val="0"/>
          <w:smallCaps w:val="0"/>
          <w:strike w:val="0"/>
          <w:sz w:val="17"/>
          <w:szCs w:val="17"/>
        </w:rPr>
        <w:t>15</w:t>
      </w:r>
      <w:r>
        <w:rPr>
          <w:rStyle w:val="16"/>
          <w:b w:val="0"/>
          <w:bCs w:val="0"/>
          <w:i w:val="0"/>
          <w:iCs w:val="0"/>
          <w:smallCaps w:val="0"/>
          <w:strike w:val="0"/>
        </w:rPr>
        <w:t>日之内，消费者得选择更换或修 理;在</w:t>
      </w:r>
      <w:r>
        <w:rPr>
          <w:rStyle w:val="16"/>
          <w:b w:val="0"/>
          <w:bCs w:val="0"/>
          <w:i w:val="0"/>
          <w:iCs w:val="0"/>
          <w:smallCaps w:val="0"/>
          <w:strike w:val="0"/>
          <w:lang w:val="zh-CN" w:eastAsia="zh-CN" w:bidi="zh-CN"/>
        </w:rPr>
        <w:t>“三包”有</w:t>
      </w:r>
      <w:r>
        <w:rPr>
          <w:rStyle w:val="16"/>
          <w:b w:val="0"/>
          <w:bCs w:val="0"/>
          <w:i w:val="0"/>
          <w:iCs w:val="0"/>
          <w:smallCaps w:val="0"/>
          <w:strike w:val="0"/>
        </w:rPr>
        <w:t>效期内，对于修理两次仍不能正常使用的商品，消费者得主张更换;无法更 换的，得主张退货。由此可知,在修理与更换的关系问题上,“三包</w:t>
      </w:r>
      <w:r>
        <w:rPr>
          <w:rStyle w:val="16"/>
          <w:b w:val="0"/>
          <w:bCs w:val="0"/>
          <w:i w:val="0"/>
          <w:iCs w:val="0"/>
          <w:smallCaps w:val="0"/>
          <w:strike w:val="0"/>
          <w:lang w:val="zh-CN" w:eastAsia="zh-CN" w:bidi="zh-CN"/>
        </w:rPr>
        <w:t>”规</w:t>
      </w:r>
      <w:r>
        <w:rPr>
          <w:rStyle w:val="16"/>
          <w:b w:val="0"/>
          <w:bCs w:val="0"/>
          <w:i w:val="0"/>
          <w:iCs w:val="0"/>
          <w:smallCaps w:val="0"/>
          <w:strike w:val="0"/>
        </w:rPr>
        <w:t>定确立了修理优先规 则。对此,学说多持批判立场,认为此种规定不当限制了买受人的选择权</w:t>
      </w:r>
      <w:r>
        <w:rPr>
          <w:rStyle w:val="16"/>
          <w:b w:val="0"/>
          <w:bCs w:val="0"/>
          <w:i w:val="0"/>
          <w:iCs w:val="0"/>
          <w:smallCaps w:val="0"/>
          <w:strike w:val="0"/>
          <w:sz w:val="11"/>
          <w:szCs w:val="11"/>
        </w:rPr>
        <w:t>［钟瑞华:《中国</w:t>
      </w:r>
      <w:r>
        <w:rPr>
          <w:rStyle w:val="16"/>
          <w:b w:val="0"/>
          <w:bCs w:val="0"/>
          <w:i w:val="0"/>
          <w:iCs w:val="0"/>
          <w:smallCaps w:val="0"/>
          <w:strike w:val="0"/>
          <w:sz w:val="11"/>
          <w:szCs w:val="11"/>
          <w:lang w:val="zh-CN" w:eastAsia="zh-CN" w:bidi="zh-CN"/>
        </w:rPr>
        <w:t xml:space="preserve">“三 </w:t>
      </w:r>
      <w:r>
        <w:rPr>
          <w:rStyle w:val="16"/>
          <w:b w:val="0"/>
          <w:bCs w:val="0"/>
          <w:i w:val="0"/>
          <w:iCs w:val="0"/>
          <w:smallCaps w:val="0"/>
          <w:strike w:val="0"/>
          <w:sz w:val="11"/>
          <w:szCs w:val="11"/>
        </w:rPr>
        <w:t>包”制度总检讨》，载《清华法学》</w:t>
      </w:r>
      <w:r>
        <w:rPr>
          <w:rStyle w:val="16"/>
          <w:rFonts w:ascii="Times New Roman" w:hAnsi="Times New Roman" w:eastAsia="Times New Roman" w:cs="Times New Roman"/>
          <w:b w:val="0"/>
          <w:bCs w:val="0"/>
          <w:i w:val="0"/>
          <w:iCs w:val="0"/>
          <w:smallCaps w:val="0"/>
          <w:strike w:val="0"/>
          <w:sz w:val="17"/>
          <w:szCs w:val="17"/>
        </w:rPr>
        <w:t>2005</w:t>
      </w:r>
      <w:r>
        <w:rPr>
          <w:rStyle w:val="16"/>
          <w:b w:val="0"/>
          <w:bCs w:val="0"/>
          <w:i w:val="0"/>
          <w:iCs w:val="0"/>
          <w:smallCaps w:val="0"/>
          <w:strike w:val="0"/>
          <w:sz w:val="11"/>
          <w:szCs w:val="11"/>
        </w:rPr>
        <w:t>年第</w:t>
      </w:r>
      <w:r>
        <w:rPr>
          <w:rStyle w:val="16"/>
          <w:rFonts w:ascii="Times New Roman" w:hAnsi="Times New Roman" w:eastAsia="Times New Roman" w:cs="Times New Roman"/>
          <w:b w:val="0"/>
          <w:bCs w:val="0"/>
          <w:i w:val="0"/>
          <w:iCs w:val="0"/>
          <w:smallCaps w:val="0"/>
          <w:strike w:val="0"/>
          <w:sz w:val="17"/>
          <w:szCs w:val="17"/>
        </w:rPr>
        <w:t>2</w:t>
      </w:r>
      <w:r>
        <w:rPr>
          <w:rStyle w:val="16"/>
          <w:b w:val="0"/>
          <w:bCs w:val="0"/>
          <w:i w:val="0"/>
          <w:iCs w:val="0"/>
          <w:smallCaps w:val="0"/>
          <w:strike w:val="0"/>
          <w:sz w:val="11"/>
          <w:szCs w:val="11"/>
        </w:rPr>
        <w:t>辑（总第</w:t>
      </w:r>
      <w:r>
        <w:rPr>
          <w:rStyle w:val="16"/>
          <w:rFonts w:ascii="Times New Roman" w:hAnsi="Times New Roman" w:eastAsia="Times New Roman" w:cs="Times New Roman"/>
          <w:b w:val="0"/>
          <w:bCs w:val="0"/>
          <w:i w:val="0"/>
          <w:iCs w:val="0"/>
          <w:smallCaps w:val="0"/>
          <w:strike w:val="0"/>
          <w:sz w:val="17"/>
          <w:szCs w:val="17"/>
        </w:rPr>
        <w:t>6</w:t>
      </w:r>
      <w:r>
        <w:rPr>
          <w:rStyle w:val="16"/>
          <w:b w:val="0"/>
          <w:bCs w:val="0"/>
          <w:i w:val="0"/>
          <w:iCs w:val="0"/>
          <w:smallCaps w:val="0"/>
          <w:strike w:val="0"/>
          <w:sz w:val="11"/>
          <w:szCs w:val="11"/>
        </w:rPr>
        <w:t>辑）］,</w:t>
      </w:r>
      <w:r>
        <w:rPr>
          <w:rStyle w:val="16"/>
          <w:b w:val="0"/>
          <w:bCs w:val="0"/>
          <w:i w:val="0"/>
          <w:iCs w:val="0"/>
          <w:smallCaps w:val="0"/>
          <w:strike w:val="0"/>
        </w:rPr>
        <w:t>其制度初衷是避免反复更换给出卖 人造成过重负担，而事实上，在某些情况下这些规则却并非有利于出卖人（缪</w:t>
      </w:r>
      <w:r>
        <w:rPr>
          <w:rStyle w:val="16"/>
          <w:b w:val="0"/>
          <w:bCs w:val="0"/>
          <w:i w:val="0"/>
          <w:iCs w:val="0"/>
          <w:smallCaps w:val="0"/>
          <w:strike w:val="0"/>
          <w:sz w:val="11"/>
          <w:szCs w:val="11"/>
        </w:rPr>
        <w:t>宇:《论买卖合同 中的修理、更换》，载《清华法学》</w:t>
      </w:r>
      <w:r>
        <w:rPr>
          <w:rStyle w:val="16"/>
          <w:rFonts w:ascii="Times New Roman" w:hAnsi="Times New Roman" w:eastAsia="Times New Roman" w:cs="Times New Roman"/>
          <w:b w:val="0"/>
          <w:bCs w:val="0"/>
          <w:i w:val="0"/>
          <w:iCs w:val="0"/>
          <w:smallCaps w:val="0"/>
          <w:strike w:val="0"/>
          <w:sz w:val="17"/>
          <w:szCs w:val="17"/>
        </w:rPr>
        <w:t>2016</w:t>
      </w:r>
      <w:r>
        <w:rPr>
          <w:rStyle w:val="16"/>
          <w:b w:val="0"/>
          <w:bCs w:val="0"/>
          <w:i w:val="0"/>
          <w:iCs w:val="0"/>
          <w:smallCaps w:val="0"/>
          <w:strike w:val="0"/>
          <w:sz w:val="11"/>
          <w:szCs w:val="11"/>
        </w:rPr>
        <w:t>年第</w:t>
      </w:r>
      <w:r>
        <w:rPr>
          <w:rStyle w:val="16"/>
          <w:rFonts w:ascii="Times New Roman" w:hAnsi="Times New Roman" w:eastAsia="Times New Roman" w:cs="Times New Roman"/>
          <w:b w:val="0"/>
          <w:bCs w:val="0"/>
          <w:i w:val="0"/>
          <w:iCs w:val="0"/>
          <w:smallCaps w:val="0"/>
          <w:strike w:val="0"/>
          <w:sz w:val="17"/>
          <w:szCs w:val="17"/>
        </w:rPr>
        <w:t>4</w:t>
      </w:r>
      <w:r>
        <w:rPr>
          <w:rStyle w:val="16"/>
          <w:b w:val="0"/>
          <w:bCs w:val="0"/>
          <w:i w:val="0"/>
          <w:iCs w:val="0"/>
          <w:smallCaps w:val="0"/>
          <w:strike w:val="0"/>
          <w:sz w:val="11"/>
          <w:szCs w:val="11"/>
        </w:rPr>
        <w:t>期）。</w:t>
      </w:r>
    </w:p>
    <w:p w14:paraId="30C302C3">
      <w:pPr>
        <w:pStyle w:val="17"/>
        <w:keepNext w:val="0"/>
        <w:keepLines w:val="0"/>
        <w:widowControl w:val="0"/>
        <w:shd w:val="clear" w:color="auto" w:fill="auto"/>
        <w:bidi w:val="0"/>
        <w:spacing w:before="0" w:after="120" w:line="342" w:lineRule="exact"/>
        <w:ind w:left="0" w:right="0"/>
        <w:jc w:val="both"/>
      </w:pPr>
      <w:r>
        <w:rPr>
          <w:color w:val="000000"/>
          <w:spacing w:val="0"/>
          <w:w w:val="100"/>
          <w:position w:val="0"/>
        </w:rPr>
        <w:t>关于修理请求权与更换请求权的关系，在比较法上，存在以下三种立法模式。一是通 过对更换请求权课以严苛要件（根本违约）的方式，实质上肯定了修理优先规则，即前述《联 合国国际货物销售合同公约》（</w:t>
      </w:r>
      <w:r>
        <w:rPr>
          <w:rFonts w:ascii="Times New Roman" w:hAnsi="Times New Roman" w:eastAsia="Times New Roman" w:cs="Times New Roman"/>
          <w:color w:val="000000"/>
          <w:spacing w:val="0"/>
          <w:w w:val="100"/>
          <w:position w:val="0"/>
          <w:sz w:val="17"/>
          <w:szCs w:val="17"/>
          <w:lang w:val="en-US" w:eastAsia="en-US" w:bidi="en-US"/>
        </w:rPr>
        <w:t>CISG）</w:t>
      </w:r>
      <w:r>
        <w:rPr>
          <w:color w:val="000000"/>
          <w:spacing w:val="0"/>
          <w:w w:val="100"/>
          <w:position w:val="0"/>
        </w:rPr>
        <w:t>的立场。二是原则上肯定买受人得自由选择，通过赋 予出卖人费用过巨抗辩权（《德国民法典》第</w:t>
      </w:r>
      <w:r>
        <w:rPr>
          <w:rFonts w:ascii="Times New Roman" w:hAnsi="Times New Roman" w:eastAsia="Times New Roman" w:cs="Times New Roman"/>
          <w:color w:val="000000"/>
          <w:spacing w:val="0"/>
          <w:w w:val="100"/>
          <w:position w:val="0"/>
          <w:sz w:val="17"/>
          <w:szCs w:val="17"/>
        </w:rPr>
        <w:t>439</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款）或者认可出卖人实施他种补正 （《日本民法典》第</w:t>
      </w:r>
      <w:r>
        <w:rPr>
          <w:rFonts w:ascii="Times New Roman" w:hAnsi="Times New Roman" w:eastAsia="Times New Roman" w:cs="Times New Roman"/>
          <w:color w:val="000000"/>
          <w:spacing w:val="0"/>
          <w:w w:val="100"/>
          <w:position w:val="0"/>
          <w:sz w:val="17"/>
          <w:szCs w:val="17"/>
        </w:rPr>
        <w:t>562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句）的方式，制约买受人的选择权，避免出卖人就补正 履行负担过重。三是肯定买受人得自由选择，未设特别限制（《国际商事合同通则》第</w:t>
      </w:r>
      <w:r>
        <w:rPr>
          <w:rFonts w:ascii="Times New Roman" w:hAnsi="Times New Roman" w:eastAsia="Times New Roman" w:cs="Times New Roman"/>
          <w:color w:val="000000"/>
          <w:spacing w:val="0"/>
          <w:w w:val="100"/>
          <w:position w:val="0"/>
          <w:sz w:val="17"/>
          <w:szCs w:val="17"/>
          <w:lang w:val="en-US" w:eastAsia="en-US" w:bidi="en-US"/>
        </w:rPr>
        <w:t xml:space="preserve">7.2.3 </w:t>
      </w:r>
      <w:r>
        <w:rPr>
          <w:color w:val="000000"/>
          <w:spacing w:val="0"/>
          <w:w w:val="100"/>
          <w:position w:val="0"/>
        </w:rPr>
        <w:t>条）。其中,第二种立法模式能够兼顾保护买受人的履行利益与出卖人的补正利益（避免承 受过重的补正负担），买受人选择权的制约规则明确具体、可操作性强，是较为理想的规范 模式。</w:t>
      </w:r>
    </w:p>
    <w:p w14:paraId="69EC5E0D">
      <w:pPr>
        <w:pStyle w:val="17"/>
        <w:keepNext w:val="0"/>
        <w:keepLines w:val="0"/>
        <w:widowControl w:val="0"/>
        <w:shd w:val="clear" w:color="auto" w:fill="auto"/>
        <w:bidi w:val="0"/>
        <w:spacing w:before="0" w:after="0" w:line="420" w:lineRule="auto"/>
        <w:ind w:left="0" w:right="0"/>
        <w:jc w:val="both"/>
      </w:pPr>
      <w:r>
        <w:rPr>
          <w:rFonts w:ascii="Times New Roman" w:hAnsi="Times New Roman" w:eastAsia="Times New Roman" w:cs="Times New Roman"/>
          <w:color w:val="000000"/>
          <w:spacing w:val="0"/>
          <w:w w:val="100"/>
          <w:position w:val="0"/>
          <w:sz w:val="17"/>
          <w:szCs w:val="17"/>
          <w:lang w:val="en-US" w:eastAsia="en-US" w:bidi="en-US"/>
        </w:rPr>
        <w:t>2.</w:t>
      </w:r>
      <w:r>
        <w:rPr>
          <w:color w:val="000000"/>
          <w:spacing w:val="0"/>
          <w:w w:val="100"/>
          <w:position w:val="0"/>
        </w:rPr>
        <w:t>买受人变更选择之权利</w:t>
      </w:r>
    </w:p>
    <w:p w14:paraId="65ACFD1E">
      <w:pPr>
        <w:pStyle w:val="17"/>
        <w:keepNext w:val="0"/>
        <w:keepLines w:val="0"/>
        <w:widowControl w:val="0"/>
        <w:shd w:val="clear" w:color="auto" w:fill="auto"/>
        <w:bidi w:val="0"/>
        <w:spacing w:before="0" w:after="300" w:line="342" w:lineRule="exact"/>
        <w:ind w:left="0" w:right="0"/>
        <w:jc w:val="both"/>
        <w:sectPr>
          <w:headerReference r:id="rId420" w:type="default"/>
          <w:headerReference r:id="rId421" w:type="even"/>
          <w:footnotePr>
            <w:numFmt w:val="chicago"/>
          </w:footnotePr>
          <w:pgSz w:w="10099" w:h="14782"/>
          <w:pgMar w:top="1243" w:right="1075" w:bottom="1150" w:left="1022" w:header="0" w:footer="722" w:gutter="0"/>
          <w:pgNumType w:start="369"/>
          <w:cols w:space="720" w:num="1"/>
          <w:rtlGutter w:val="0"/>
          <w:docGrid w:linePitch="360" w:charSpace="0"/>
        </w:sectPr>
      </w:pPr>
      <w:r>
        <w:rPr>
          <w:color w:val="000000"/>
          <w:spacing w:val="0"/>
          <w:w w:val="100"/>
          <w:position w:val="0"/>
        </w:rPr>
        <w:t>在修理请求权与更换请求权之间,买受人作岀选择之后，能否变更选择,主张他种补正 请求权，依据原《合同法》第</w:t>
      </w:r>
      <w:r>
        <w:rPr>
          <w:rFonts w:ascii="Times New Roman" w:hAnsi="Times New Roman" w:eastAsia="Times New Roman" w:cs="Times New Roman"/>
          <w:color w:val="000000"/>
          <w:spacing w:val="0"/>
          <w:w w:val="100"/>
          <w:position w:val="0"/>
          <w:sz w:val="17"/>
          <w:szCs w:val="17"/>
          <w:lang w:val="en-US" w:eastAsia="en-US" w:bidi="en-US"/>
        </w:rPr>
        <w:t>1H</w:t>
      </w:r>
      <w:r>
        <w:rPr>
          <w:color w:val="000000"/>
          <w:spacing w:val="0"/>
          <w:w w:val="100"/>
          <w:position w:val="0"/>
        </w:rPr>
        <w:t>条的规定，并不明确。这一问题与原《合同法》第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条的 性质论问题相交织，对此，学界存在以下三种不同观点。第一种观点将原《合同法》第</w:t>
      </w:r>
      <w:r>
        <w:rPr>
          <w:rFonts w:ascii="Times New Roman" w:hAnsi="Times New Roman" w:eastAsia="Times New Roman" w:cs="Times New Roman"/>
          <w:color w:val="000000"/>
          <w:spacing w:val="0"/>
          <w:w w:val="100"/>
          <w:position w:val="0"/>
          <w:sz w:val="17"/>
          <w:szCs w:val="17"/>
        </w:rPr>
        <w:t xml:space="preserve">111 </w:t>
      </w:r>
      <w:r>
        <w:rPr>
          <w:color w:val="000000"/>
          <w:spacing w:val="0"/>
          <w:w w:val="100"/>
          <w:position w:val="0"/>
        </w:rPr>
        <w:t>条理解为一种法定的选择之债。依据选择之债的相关理论，在包括修理与更换在内的各种 救济方式之间，买受人一旦作出选择,选择之债即转化为单一之债，债的内容确定,不得再 作变更</w:t>
      </w:r>
      <w:r>
        <w:rPr>
          <w:color w:val="000000"/>
          <w:spacing w:val="0"/>
          <w:w w:val="100"/>
          <w:position w:val="0"/>
          <w:sz w:val="11"/>
          <w:szCs w:val="11"/>
        </w:rPr>
        <w:t>（隋彭生：《合同法要义》，中国人民大学出版社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241</w:t>
      </w:r>
      <w:r>
        <w:rPr>
          <w:color w:val="000000"/>
          <w:spacing w:val="0"/>
          <w:w w:val="100"/>
          <w:position w:val="0"/>
          <w:sz w:val="11"/>
          <w:szCs w:val="11"/>
        </w:rPr>
        <w:t>页；崔建远:《债法总论》，法律 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30</w:t>
      </w:r>
      <w:r>
        <w:rPr>
          <w:color w:val="000000"/>
          <w:spacing w:val="0"/>
          <w:w w:val="100"/>
          <w:position w:val="0"/>
          <w:sz w:val="11"/>
          <w:szCs w:val="11"/>
        </w:rPr>
        <w:t>页；韩世远:《减价责任的逻辑构成》，载《清华法学</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期；周友军:《论 出卖人的物的瑕疵担保责任》，载《法学论坛》</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 xml:space="preserve">第二种观点则主张，原《合同法》第 </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条规定的各种救济方式之间并非选择之债的关系，而是选择竞合的关系。依据选择竞 合的相关理论,买受人享有数项请求权，只是数项请求权的法效果不能同时发生，买受人选 择某项补正请求权,而该种补正方式无法实现履行利益时,可重新选择他种补正请求权，唯 此种买受人变更选择之权利须受诚信原则的制约</w:t>
      </w:r>
      <w:r>
        <w:rPr>
          <w:color w:val="000000"/>
          <w:spacing w:val="0"/>
          <w:w w:val="100"/>
          <w:position w:val="0"/>
          <w:sz w:val="11"/>
          <w:szCs w:val="11"/>
        </w:rPr>
        <w:t>［杜景林:《我国合同法买受人再履行请求权的 不足与完善》，载《法律科学》（西北政法大学学报</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期；殷安军：《论违约救济方式选择后的 可变更性》，载《华东政法大学学报》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期；金晶：《合同法第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sz w:val="11"/>
          <w:szCs w:val="11"/>
        </w:rPr>
        <w:t>条（质量不符合约定之违约责 任）评注》，载《法学家》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r>
        <w:rPr>
          <w:color w:val="000000"/>
          <w:spacing w:val="0"/>
          <w:w w:val="100"/>
          <w:position w:val="0"/>
        </w:rPr>
        <w:t>第三种观点试图对原《合同法》第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 xml:space="preserve">条的性质论问题 </w:t>
      </w:r>
    </w:p>
    <w:p w14:paraId="5BF1C75E">
      <w:pPr>
        <w:pStyle w:val="17"/>
        <w:keepNext w:val="0"/>
        <w:keepLines w:val="0"/>
        <w:widowControl w:val="0"/>
        <w:shd w:val="clear" w:color="auto" w:fill="auto"/>
        <w:bidi w:val="0"/>
        <w:spacing w:before="0" w:after="300" w:line="342" w:lineRule="exact"/>
        <w:ind w:left="0" w:right="0" w:firstLine="0"/>
        <w:jc w:val="both"/>
        <w:rPr>
          <w:sz w:val="11"/>
          <w:szCs w:val="11"/>
        </w:rPr>
      </w:pPr>
      <w:r>
        <w:rPr>
          <w:color w:val="000000"/>
          <w:spacing w:val="0"/>
          <w:w w:val="100"/>
          <w:position w:val="0"/>
          <w:sz w:val="18"/>
          <w:szCs w:val="18"/>
        </w:rPr>
        <w:t>与买受人是否享有选择变更权问题作切割，一方面坚持原《合同法》第</w:t>
      </w:r>
      <w:r>
        <w:rPr>
          <w:rFonts w:ascii="Times New Roman" w:hAnsi="Times New Roman" w:eastAsia="Times New Roman" w:cs="Times New Roman"/>
          <w:color w:val="000000"/>
          <w:spacing w:val="0"/>
          <w:w w:val="100"/>
          <w:position w:val="0"/>
          <w:sz w:val="17"/>
          <w:szCs w:val="17"/>
          <w:lang w:val="en-US" w:eastAsia="en-US" w:bidi="en-US"/>
        </w:rPr>
        <w:t>Hl</w:t>
      </w:r>
      <w:r>
        <w:rPr>
          <w:color w:val="000000"/>
          <w:spacing w:val="0"/>
          <w:w w:val="100"/>
          <w:position w:val="0"/>
          <w:sz w:val="18"/>
          <w:szCs w:val="18"/>
        </w:rPr>
        <w:t>条选择之债的性 质,另一方面，在满足特定条件的前提下肯定买受人变更选择之权利</w:t>
      </w:r>
      <w:r>
        <w:rPr>
          <w:color w:val="000000"/>
          <w:spacing w:val="0"/>
          <w:w w:val="100"/>
          <w:position w:val="0"/>
          <w:sz w:val="11"/>
          <w:szCs w:val="11"/>
        </w:rPr>
        <w:t>（贺栩栩:《论买卖合同法 中继续履行规则的完善》，载《政治与法律》</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sz w:val="11"/>
          <w:szCs w:val="11"/>
        </w:rPr>
        <w:t>期）。</w:t>
      </w:r>
    </w:p>
    <w:p w14:paraId="67FC5109">
      <w:pPr>
        <w:pStyle w:val="17"/>
        <w:keepNext w:val="0"/>
        <w:keepLines w:val="0"/>
        <w:widowControl w:val="0"/>
        <w:shd w:val="clear" w:color="auto" w:fill="auto"/>
        <w:bidi w:val="0"/>
        <w:spacing w:before="0" w:after="160" w:line="37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279CE827">
      <w:pPr>
        <w:pStyle w:val="17"/>
        <w:keepNext w:val="0"/>
        <w:keepLines w:val="0"/>
        <w:widowControl w:val="0"/>
        <w:numPr>
          <w:ilvl w:val="0"/>
          <w:numId w:val="29"/>
        </w:numPr>
        <w:shd w:val="clear" w:color="auto" w:fill="auto"/>
        <w:tabs>
          <w:tab w:val="left" w:pos="687"/>
        </w:tabs>
        <w:bidi w:val="0"/>
        <w:spacing w:before="0" w:after="0" w:line="372" w:lineRule="auto"/>
        <w:ind w:left="0" w:right="0" w:firstLine="420"/>
        <w:jc w:val="both"/>
      </w:pPr>
      <w:bookmarkStart w:id="124" w:name="bookmark448"/>
      <w:bookmarkEnd w:id="124"/>
      <w:r>
        <w:rPr>
          <w:color w:val="000000"/>
          <w:spacing w:val="0"/>
          <w:w w:val="100"/>
          <w:position w:val="0"/>
        </w:rPr>
        <w:t>修理与更换的关系</w:t>
      </w:r>
    </w:p>
    <w:p w14:paraId="6F860387">
      <w:pPr>
        <w:pStyle w:val="17"/>
        <w:keepNext w:val="0"/>
        <w:keepLines w:val="0"/>
        <w:widowControl w:val="0"/>
        <w:shd w:val="clear" w:color="auto" w:fill="auto"/>
        <w:bidi w:val="0"/>
        <w:spacing w:before="0" w:after="160" w:line="339" w:lineRule="exact"/>
        <w:ind w:left="0" w:right="0" w:firstLine="420"/>
        <w:jc w:val="both"/>
        <w:rPr>
          <w:sz w:val="11"/>
          <w:szCs w:val="11"/>
        </w:rPr>
      </w:pPr>
      <w:r>
        <w:rPr>
          <w:color w:val="000000"/>
          <w:spacing w:val="0"/>
          <w:w w:val="100"/>
          <w:position w:val="0"/>
          <w:sz w:val="18"/>
          <w:szCs w:val="18"/>
        </w:rPr>
        <w:t>由于受学说以及</w:t>
      </w:r>
      <w:r>
        <w:rPr>
          <w:color w:val="000000"/>
          <w:spacing w:val="0"/>
          <w:w w:val="100"/>
          <w:position w:val="0"/>
          <w:sz w:val="18"/>
          <w:szCs w:val="18"/>
          <w:lang w:val="zh-CN" w:eastAsia="zh-CN" w:bidi="zh-CN"/>
        </w:rPr>
        <w:t>“三包”规</w:t>
      </w:r>
      <w:r>
        <w:rPr>
          <w:color w:val="000000"/>
          <w:spacing w:val="0"/>
          <w:w w:val="100"/>
          <w:position w:val="0"/>
          <w:sz w:val="18"/>
          <w:szCs w:val="18"/>
        </w:rPr>
        <w:t>定的影响,我国司法实践在修理与更换的关系问题上，总体 倾向于采纳修理优先规则。具体而言，标的物属于</w:t>
      </w:r>
      <w:r>
        <w:rPr>
          <w:color w:val="000000"/>
          <w:spacing w:val="0"/>
          <w:w w:val="100"/>
          <w:position w:val="0"/>
          <w:sz w:val="18"/>
          <w:szCs w:val="18"/>
          <w:lang w:val="zh-CN" w:eastAsia="zh-CN" w:bidi="zh-CN"/>
        </w:rPr>
        <w:t>“三包”规定</w:t>
      </w:r>
      <w:r>
        <w:rPr>
          <w:color w:val="000000"/>
          <w:spacing w:val="0"/>
          <w:w w:val="100"/>
          <w:position w:val="0"/>
          <w:sz w:val="18"/>
          <w:szCs w:val="18"/>
        </w:rPr>
        <w:t>的范围——比如，标的物为 家用电器、录音机、电视机、钟表、电话、电脑的情形，绝大多数法院通常直接适用</w:t>
      </w:r>
      <w:r>
        <w:rPr>
          <w:color w:val="000000"/>
          <w:spacing w:val="0"/>
          <w:w w:val="100"/>
          <w:position w:val="0"/>
          <w:sz w:val="18"/>
          <w:szCs w:val="18"/>
          <w:lang w:val="zh-CN" w:eastAsia="zh-CN" w:bidi="zh-CN"/>
        </w:rPr>
        <w:t xml:space="preserve">“三包”规 </w:t>
      </w:r>
      <w:r>
        <w:rPr>
          <w:color w:val="000000"/>
          <w:spacing w:val="0"/>
          <w:w w:val="100"/>
          <w:position w:val="0"/>
          <w:sz w:val="18"/>
          <w:szCs w:val="18"/>
        </w:rPr>
        <w:t>定,特别是两次修理仍不能正常使用方可更换或退货之规则</w:t>
      </w:r>
      <w:r>
        <w:rPr>
          <w:color w:val="000000"/>
          <w:spacing w:val="0"/>
          <w:w w:val="100"/>
          <w:position w:val="0"/>
          <w:sz w:val="11"/>
          <w:szCs w:val="11"/>
        </w:rPr>
        <w:t xml:space="preserve">［参见海南省第一中级人民法院 </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海南民二终字第</w:t>
      </w:r>
      <w:r>
        <w:rPr>
          <w:rFonts w:ascii="Times New Roman" w:hAnsi="Times New Roman" w:eastAsia="Times New Roman" w:cs="Times New Roman"/>
          <w:color w:val="000000"/>
          <w:spacing w:val="0"/>
          <w:w w:val="100"/>
          <w:position w:val="0"/>
          <w:sz w:val="17"/>
          <w:szCs w:val="17"/>
        </w:rPr>
        <w:t>265</w:t>
      </w:r>
      <w:r>
        <w:rPr>
          <w:color w:val="000000"/>
          <w:spacing w:val="0"/>
          <w:w w:val="100"/>
          <w:position w:val="0"/>
          <w:sz w:val="11"/>
          <w:szCs w:val="11"/>
        </w:rPr>
        <w:t>号民事判决书；上海市第二中级人民法院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 xml:space="preserve">沪二中民一（民）终字第 </w:t>
      </w:r>
      <w:r>
        <w:rPr>
          <w:rFonts w:ascii="Times New Roman" w:hAnsi="Times New Roman" w:eastAsia="Times New Roman" w:cs="Times New Roman"/>
          <w:color w:val="000000"/>
          <w:spacing w:val="0"/>
          <w:w w:val="100"/>
          <w:position w:val="0"/>
          <w:sz w:val="17"/>
          <w:szCs w:val="17"/>
        </w:rPr>
        <w:t>1615</w:t>
      </w:r>
      <w:r>
        <w:rPr>
          <w:color w:val="000000"/>
          <w:spacing w:val="0"/>
          <w:w w:val="100"/>
          <w:position w:val="0"/>
          <w:sz w:val="11"/>
          <w:szCs w:val="11"/>
        </w:rPr>
        <w:t>号民事判决书；杭州市中级人民法院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浙杭商终字第</w:t>
      </w:r>
      <w:r>
        <w:rPr>
          <w:rFonts w:ascii="Times New Roman" w:hAnsi="Times New Roman" w:eastAsia="Times New Roman" w:cs="Times New Roman"/>
          <w:color w:val="000000"/>
          <w:spacing w:val="0"/>
          <w:w w:val="100"/>
          <w:position w:val="0"/>
          <w:sz w:val="17"/>
          <w:szCs w:val="17"/>
        </w:rPr>
        <w:t>1261</w:t>
      </w:r>
      <w:r>
        <w:rPr>
          <w:color w:val="000000"/>
          <w:spacing w:val="0"/>
          <w:w w:val="100"/>
          <w:position w:val="0"/>
          <w:sz w:val="11"/>
          <w:szCs w:val="11"/>
        </w:rPr>
        <w:t>号民事判决书；深圳市中级人民法 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深中法民终字第</w:t>
      </w:r>
      <w:r>
        <w:rPr>
          <w:rFonts w:ascii="Times New Roman" w:hAnsi="Times New Roman" w:eastAsia="Times New Roman" w:cs="Times New Roman"/>
          <w:color w:val="000000"/>
          <w:spacing w:val="0"/>
          <w:w w:val="100"/>
          <w:position w:val="0"/>
          <w:sz w:val="17"/>
          <w:szCs w:val="17"/>
        </w:rPr>
        <w:t>899</w:t>
      </w:r>
      <w:r>
        <w:rPr>
          <w:color w:val="000000"/>
          <w:spacing w:val="0"/>
          <w:w w:val="100"/>
          <w:position w:val="0"/>
          <w:sz w:val="11"/>
          <w:szCs w:val="11"/>
        </w:rPr>
        <w:t>号民事判决书］。</w:t>
      </w:r>
      <w:r>
        <w:rPr>
          <w:color w:val="000000"/>
          <w:spacing w:val="0"/>
          <w:w w:val="100"/>
          <w:position w:val="0"/>
          <w:sz w:val="18"/>
          <w:szCs w:val="18"/>
        </w:rPr>
        <w:t>标的物不属于</w:t>
      </w:r>
      <w:r>
        <w:rPr>
          <w:color w:val="000000"/>
          <w:spacing w:val="0"/>
          <w:w w:val="100"/>
          <w:position w:val="0"/>
          <w:sz w:val="18"/>
          <w:szCs w:val="18"/>
          <w:lang w:val="zh-CN" w:eastAsia="zh-CN" w:bidi="zh-CN"/>
        </w:rPr>
        <w:t>“三包”规定</w:t>
      </w:r>
      <w:r>
        <w:rPr>
          <w:color w:val="000000"/>
          <w:spacing w:val="0"/>
          <w:w w:val="100"/>
          <w:position w:val="0"/>
          <w:sz w:val="18"/>
          <w:szCs w:val="18"/>
        </w:rPr>
        <w:t>范围的情形，多数法 院通过对买受人</w:t>
      </w:r>
      <w:r>
        <w:rPr>
          <w:color w:val="000000"/>
          <w:spacing w:val="0"/>
          <w:w w:val="100"/>
          <w:position w:val="0"/>
          <w:sz w:val="18"/>
          <w:szCs w:val="18"/>
          <w:lang w:val="zh-CN" w:eastAsia="zh-CN" w:bidi="zh-CN"/>
        </w:rPr>
        <w:t>“合理</w:t>
      </w:r>
      <w:r>
        <w:rPr>
          <w:color w:val="000000"/>
          <w:spacing w:val="0"/>
          <w:w w:val="100"/>
          <w:position w:val="0"/>
          <w:sz w:val="18"/>
          <w:szCs w:val="18"/>
        </w:rPr>
        <w:t>选择”的解释，实质上仍采纳修理优先规则。这一点，在标的物价值 较高——如房屋、车辆、大型器械——的情形体现得尤为明显</w:t>
      </w:r>
      <w:r>
        <w:rPr>
          <w:color w:val="000000"/>
          <w:spacing w:val="0"/>
          <w:w w:val="100"/>
          <w:position w:val="0"/>
          <w:sz w:val="11"/>
          <w:szCs w:val="11"/>
        </w:rPr>
        <w:t xml:space="preserve">［参见河南省高级人民法院 </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sz w:val="11"/>
          <w:szCs w:val="11"/>
        </w:rPr>
        <w:t>豫法民二终字第</w:t>
      </w:r>
      <w:r>
        <w:rPr>
          <w:rFonts w:ascii="Times New Roman" w:hAnsi="Times New Roman" w:eastAsia="Times New Roman" w:cs="Times New Roman"/>
          <w:color w:val="000000"/>
          <w:spacing w:val="0"/>
          <w:w w:val="100"/>
          <w:position w:val="0"/>
          <w:sz w:val="17"/>
          <w:szCs w:val="17"/>
        </w:rPr>
        <w:t>159</w:t>
      </w:r>
      <w:r>
        <w:rPr>
          <w:color w:val="000000"/>
          <w:spacing w:val="0"/>
          <w:w w:val="100"/>
          <w:position w:val="0"/>
          <w:sz w:val="11"/>
          <w:szCs w:val="11"/>
        </w:rPr>
        <w:t>号民事判决书；宁波市江北区人民法院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甬北商初字第</w:t>
      </w:r>
      <w:r>
        <w:rPr>
          <w:rFonts w:ascii="Times New Roman" w:hAnsi="Times New Roman" w:eastAsia="Times New Roman" w:cs="Times New Roman"/>
          <w:color w:val="000000"/>
          <w:spacing w:val="0"/>
          <w:w w:val="100"/>
          <w:position w:val="0"/>
          <w:sz w:val="17"/>
          <w:szCs w:val="17"/>
        </w:rPr>
        <w:t>1060</w:t>
      </w:r>
      <w:r>
        <w:rPr>
          <w:color w:val="000000"/>
          <w:spacing w:val="0"/>
          <w:w w:val="100"/>
          <w:position w:val="0"/>
          <w:sz w:val="11"/>
          <w:szCs w:val="11"/>
        </w:rPr>
        <w:t>号民事 判决书；莱芜市中级人民法院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莱中商终字第</w:t>
      </w:r>
      <w:r>
        <w:rPr>
          <w:rFonts w:ascii="Times New Roman" w:hAnsi="Times New Roman" w:eastAsia="Times New Roman" w:cs="Times New Roman"/>
          <w:color w:val="000000"/>
          <w:spacing w:val="0"/>
          <w:w w:val="100"/>
          <w:position w:val="0"/>
          <w:sz w:val="17"/>
          <w:szCs w:val="17"/>
        </w:rPr>
        <w:t>46</w:t>
      </w:r>
      <w:r>
        <w:rPr>
          <w:color w:val="000000"/>
          <w:spacing w:val="0"/>
          <w:w w:val="100"/>
          <w:position w:val="0"/>
          <w:sz w:val="11"/>
          <w:szCs w:val="11"/>
        </w:rPr>
        <w:t>号民事判决书；渓阳市人民法院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漂商初字 第</w:t>
      </w:r>
      <w:r>
        <w:rPr>
          <w:rFonts w:ascii="Times New Roman" w:hAnsi="Times New Roman" w:eastAsia="Times New Roman" w:cs="Times New Roman"/>
          <w:color w:val="000000"/>
          <w:spacing w:val="0"/>
          <w:w w:val="100"/>
          <w:position w:val="0"/>
          <w:sz w:val="17"/>
          <w:szCs w:val="17"/>
        </w:rPr>
        <w:t>00082</w:t>
      </w:r>
      <w:r>
        <w:rPr>
          <w:color w:val="000000"/>
          <w:spacing w:val="0"/>
          <w:w w:val="100"/>
          <w:position w:val="0"/>
          <w:sz w:val="11"/>
          <w:szCs w:val="11"/>
        </w:rPr>
        <w:t>号民事判决书］。</w:t>
      </w:r>
      <w:r>
        <w:rPr>
          <w:color w:val="000000"/>
          <w:spacing w:val="0"/>
          <w:w w:val="100"/>
          <w:position w:val="0"/>
          <w:sz w:val="18"/>
          <w:szCs w:val="18"/>
        </w:rPr>
        <w:t>只有在极少数情形，通常是在标的物价值不高的案件之中，法院例 外地肯定买受人得在修理与更换之间作自由选择</w:t>
      </w:r>
      <w:r>
        <w:rPr>
          <w:color w:val="000000"/>
          <w:spacing w:val="0"/>
          <w:w w:val="100"/>
          <w:position w:val="0"/>
          <w:sz w:val="11"/>
          <w:szCs w:val="11"/>
        </w:rPr>
        <w:t>［嘉兴市中级人民法院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浙嘉商终字第</w:t>
      </w:r>
      <w:r>
        <w:rPr>
          <w:rFonts w:ascii="Times New Roman" w:hAnsi="Times New Roman" w:eastAsia="Times New Roman" w:cs="Times New Roman"/>
          <w:color w:val="000000"/>
          <w:spacing w:val="0"/>
          <w:w w:val="100"/>
          <w:position w:val="0"/>
          <w:sz w:val="17"/>
          <w:szCs w:val="17"/>
        </w:rPr>
        <w:t xml:space="preserve">85 </w:t>
      </w:r>
      <w:r>
        <w:rPr>
          <w:color w:val="000000"/>
          <w:spacing w:val="0"/>
          <w:w w:val="100"/>
          <w:position w:val="0"/>
          <w:sz w:val="11"/>
          <w:szCs w:val="11"/>
        </w:rPr>
        <w:t>号民事判决书；沈阳市中级人民法院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沈中民三终字第</w:t>
      </w:r>
      <w:r>
        <w:rPr>
          <w:rFonts w:ascii="Times New Roman" w:hAnsi="Times New Roman" w:eastAsia="Times New Roman" w:cs="Times New Roman"/>
          <w:color w:val="000000"/>
          <w:spacing w:val="0"/>
          <w:w w:val="100"/>
          <w:position w:val="0"/>
          <w:sz w:val="17"/>
          <w:szCs w:val="17"/>
        </w:rPr>
        <w:t>00861</w:t>
      </w:r>
      <w:r>
        <w:rPr>
          <w:color w:val="000000"/>
          <w:spacing w:val="0"/>
          <w:w w:val="100"/>
          <w:position w:val="0"/>
          <w:sz w:val="11"/>
          <w:szCs w:val="11"/>
        </w:rPr>
        <w:t>号民事判决书］。</w:t>
      </w:r>
    </w:p>
    <w:p w14:paraId="3A9D4548">
      <w:pPr>
        <w:pStyle w:val="17"/>
        <w:keepNext w:val="0"/>
        <w:keepLines w:val="0"/>
        <w:widowControl w:val="0"/>
        <w:numPr>
          <w:ilvl w:val="0"/>
          <w:numId w:val="29"/>
        </w:numPr>
        <w:shd w:val="clear" w:color="auto" w:fill="auto"/>
        <w:tabs>
          <w:tab w:val="left" w:pos="702"/>
        </w:tabs>
        <w:bidi w:val="0"/>
        <w:spacing w:before="0" w:after="0" w:line="372" w:lineRule="auto"/>
        <w:ind w:left="0" w:right="0" w:firstLine="420"/>
        <w:jc w:val="both"/>
      </w:pPr>
      <w:bookmarkStart w:id="125" w:name="bookmark449"/>
      <w:bookmarkEnd w:id="125"/>
      <w:r>
        <w:rPr>
          <w:color w:val="000000"/>
          <w:spacing w:val="0"/>
          <w:w w:val="100"/>
          <w:position w:val="0"/>
        </w:rPr>
        <w:t>买受人变更选择之权利</w:t>
      </w:r>
    </w:p>
    <w:p w14:paraId="0A1895CC">
      <w:pPr>
        <w:pStyle w:val="17"/>
        <w:keepNext w:val="0"/>
        <w:keepLines w:val="0"/>
        <w:widowControl w:val="0"/>
        <w:shd w:val="clear" w:color="auto" w:fill="auto"/>
        <w:bidi w:val="0"/>
        <w:spacing w:before="0" w:after="160" w:line="338" w:lineRule="exact"/>
        <w:ind w:left="0" w:right="0" w:firstLine="420"/>
        <w:jc w:val="both"/>
        <w:rPr>
          <w:sz w:val="11"/>
          <w:szCs w:val="11"/>
        </w:rPr>
      </w:pPr>
      <w:r>
        <w:rPr>
          <w:color w:val="000000"/>
          <w:spacing w:val="0"/>
          <w:w w:val="100"/>
          <w:position w:val="0"/>
          <w:sz w:val="18"/>
          <w:szCs w:val="18"/>
        </w:rPr>
        <w:t>关于买受人能否变更选择，主张他种补正请求权之问题,我国司法实践的态度并不明 朗。如前项所述，由于受学说及</w:t>
      </w:r>
      <w:r>
        <w:rPr>
          <w:color w:val="000000"/>
          <w:spacing w:val="0"/>
          <w:w w:val="100"/>
          <w:position w:val="0"/>
          <w:sz w:val="18"/>
          <w:szCs w:val="18"/>
          <w:lang w:val="zh-CN" w:eastAsia="zh-CN" w:bidi="zh-CN"/>
        </w:rPr>
        <w:t>“三包”规定</w:t>
      </w:r>
      <w:r>
        <w:rPr>
          <w:color w:val="000000"/>
          <w:spacing w:val="0"/>
          <w:w w:val="100"/>
          <w:position w:val="0"/>
          <w:sz w:val="18"/>
          <w:szCs w:val="18"/>
        </w:rPr>
        <w:t>的影响，多数法院倾向于认同修理与更换之间 存在适用上的先后顺序,即修理优先，两次（或多次）修理仍不能正常使用方可更换。因此, 买受人的选择权被压缩在极其狭窄的空间之中，在多数情形,买受人实质上丧失了在修理 与更换之间作选择的权利，因此，也就无所谓变更选择之权利。硬要说</w:t>
      </w:r>
      <w:r>
        <w:rPr>
          <w:color w:val="000000"/>
          <w:spacing w:val="0"/>
          <w:w w:val="100"/>
          <w:position w:val="0"/>
          <w:sz w:val="18"/>
          <w:szCs w:val="18"/>
          <w:lang w:val="zh-CN" w:eastAsia="zh-CN" w:bidi="zh-CN"/>
        </w:rPr>
        <w:t>“变</w:t>
      </w:r>
      <w:r>
        <w:rPr>
          <w:color w:val="000000"/>
          <w:spacing w:val="0"/>
          <w:w w:val="100"/>
          <w:position w:val="0"/>
          <w:sz w:val="18"/>
          <w:szCs w:val="18"/>
        </w:rPr>
        <w:t>更选择</w:t>
      </w:r>
      <w:r>
        <w:rPr>
          <w:color w:val="000000"/>
          <w:spacing w:val="0"/>
          <w:w w:val="100"/>
          <w:position w:val="0"/>
          <w:sz w:val="18"/>
          <w:szCs w:val="18"/>
          <w:lang w:val="zh-CN" w:eastAsia="zh-CN" w:bidi="zh-CN"/>
        </w:rPr>
        <w:t>”，不</w:t>
      </w:r>
      <w:r>
        <w:rPr>
          <w:color w:val="000000"/>
          <w:spacing w:val="0"/>
          <w:w w:val="100"/>
          <w:position w:val="0"/>
          <w:sz w:val="18"/>
          <w:szCs w:val="18"/>
        </w:rPr>
        <w:t>过是 无法修理或多次修理仍无法正常使用时，二次适用更换这一补正形态的必然结果</w:t>
      </w:r>
      <w:r>
        <w:rPr>
          <w:color w:val="000000"/>
          <w:spacing w:val="0"/>
          <w:w w:val="100"/>
          <w:position w:val="0"/>
          <w:sz w:val="11"/>
          <w:szCs w:val="11"/>
        </w:rPr>
        <w:t>［上海市奉 贤区人民法院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奉民二（商）初字第</w:t>
      </w:r>
      <w:r>
        <w:rPr>
          <w:rFonts w:ascii="Times New Roman" w:hAnsi="Times New Roman" w:eastAsia="Times New Roman" w:cs="Times New Roman"/>
          <w:color w:val="000000"/>
          <w:spacing w:val="0"/>
          <w:w w:val="100"/>
          <w:position w:val="0"/>
          <w:sz w:val="17"/>
          <w:szCs w:val="17"/>
        </w:rPr>
        <w:t>1447</w:t>
      </w:r>
      <w:r>
        <w:rPr>
          <w:color w:val="000000"/>
          <w:spacing w:val="0"/>
          <w:w w:val="100"/>
          <w:position w:val="0"/>
          <w:sz w:val="11"/>
          <w:szCs w:val="11"/>
        </w:rPr>
        <w:t>号民事判决书；宁波市江北区人民法院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甬北商初 字第</w:t>
      </w:r>
      <w:r>
        <w:rPr>
          <w:rFonts w:ascii="Times New Roman" w:hAnsi="Times New Roman" w:eastAsia="Times New Roman" w:cs="Times New Roman"/>
          <w:color w:val="000000"/>
          <w:spacing w:val="0"/>
          <w:w w:val="100"/>
          <w:position w:val="0"/>
          <w:sz w:val="17"/>
          <w:szCs w:val="17"/>
        </w:rPr>
        <w:t>1060</w:t>
      </w:r>
      <w:r>
        <w:rPr>
          <w:color w:val="000000"/>
          <w:spacing w:val="0"/>
          <w:w w:val="100"/>
          <w:position w:val="0"/>
          <w:sz w:val="11"/>
          <w:szCs w:val="11"/>
        </w:rPr>
        <w:t>号民事判决书；渓阳市人民法院（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渓商初字第</w:t>
      </w:r>
      <w:r>
        <w:rPr>
          <w:rFonts w:ascii="Times New Roman" w:hAnsi="Times New Roman" w:eastAsia="Times New Roman" w:cs="Times New Roman"/>
          <w:color w:val="000000"/>
          <w:spacing w:val="0"/>
          <w:w w:val="100"/>
          <w:position w:val="0"/>
          <w:sz w:val="17"/>
          <w:szCs w:val="17"/>
        </w:rPr>
        <w:t>00082</w:t>
      </w:r>
      <w:r>
        <w:rPr>
          <w:color w:val="000000"/>
          <w:spacing w:val="0"/>
          <w:w w:val="100"/>
          <w:position w:val="0"/>
          <w:sz w:val="11"/>
          <w:szCs w:val="11"/>
        </w:rPr>
        <w:t>号民事判决书］。</w:t>
      </w:r>
    </w:p>
    <w:p w14:paraId="7D1A1356">
      <w:pPr>
        <w:pStyle w:val="17"/>
        <w:keepNext w:val="0"/>
        <w:keepLines w:val="0"/>
        <w:widowControl w:val="0"/>
        <w:shd w:val="clear" w:color="auto" w:fill="auto"/>
        <w:bidi w:val="0"/>
        <w:spacing w:before="0" w:after="160" w:line="338"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65746116">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关于修理与更换的关系，本判决并未贯彻既往司法实践的逻辑，即采纳修理优先，无法 修理或者多次修理仍不能正常使用时方可变更之规则，而是将“合同目的</w:t>
      </w:r>
      <w:r>
        <w:rPr>
          <w:color w:val="000000"/>
          <w:spacing w:val="0"/>
          <w:w w:val="100"/>
          <w:position w:val="0"/>
          <w:lang w:val="zh-CN" w:eastAsia="zh-CN" w:bidi="zh-CN"/>
        </w:rPr>
        <w:t>”作</w:t>
      </w:r>
      <w:r>
        <w:rPr>
          <w:color w:val="000000"/>
          <w:spacing w:val="0"/>
          <w:w w:val="100"/>
          <w:position w:val="0"/>
        </w:rPr>
        <w:t>为买受人选择 更换请求权是否</w:t>
      </w:r>
      <w:r>
        <w:rPr>
          <w:color w:val="000000"/>
          <w:spacing w:val="0"/>
          <w:w w:val="100"/>
          <w:position w:val="0"/>
          <w:lang w:val="zh-CN" w:eastAsia="zh-CN" w:bidi="zh-CN"/>
        </w:rPr>
        <w:t>“合理”的判</w:t>
      </w:r>
      <w:r>
        <w:rPr>
          <w:color w:val="000000"/>
          <w:spacing w:val="0"/>
          <w:w w:val="100"/>
          <w:position w:val="0"/>
        </w:rPr>
        <w:t>断标准，在一定程度上拓宽了买受人自由选择的空间，实现了 买受人与出卖人利益的兼顾保护。另外,本判决明确了买受人在一定条件下可不受先前选 择的拘束，重新主张他种补正请求权，针对学说上关于买受人是否享有变更选择权的理论 争议,表明了司法实务界的态度。虽然《民法典》第</w:t>
      </w:r>
      <w:r>
        <w:rPr>
          <w:rFonts w:ascii="Times New Roman" w:hAnsi="Times New Roman" w:eastAsia="Times New Roman" w:cs="Times New Roman"/>
          <w:color w:val="000000"/>
          <w:spacing w:val="0"/>
          <w:w w:val="100"/>
          <w:position w:val="0"/>
          <w:sz w:val="19"/>
          <w:szCs w:val="19"/>
        </w:rPr>
        <w:t>582</w:t>
      </w:r>
      <w:r>
        <w:rPr>
          <w:color w:val="000000"/>
          <w:spacing w:val="0"/>
          <w:w w:val="100"/>
          <w:position w:val="0"/>
        </w:rPr>
        <w:t>条较之原《合同法》第</w:t>
      </w:r>
      <w:r>
        <w:rPr>
          <w:rFonts w:ascii="Times New Roman" w:hAnsi="Times New Roman" w:eastAsia="Times New Roman" w:cs="Times New Roman"/>
          <w:color w:val="000000"/>
          <w:spacing w:val="0"/>
          <w:w w:val="100"/>
          <w:position w:val="0"/>
          <w:sz w:val="19"/>
          <w:szCs w:val="19"/>
        </w:rPr>
        <w:t>111</w:t>
      </w:r>
      <w:r>
        <w:rPr>
          <w:color w:val="000000"/>
          <w:spacing w:val="0"/>
          <w:w w:val="100"/>
          <w:position w:val="0"/>
        </w:rPr>
        <w:t>条，将</w:t>
      </w:r>
      <w:r>
        <w:rPr>
          <w:color w:val="000000"/>
          <w:spacing w:val="0"/>
          <w:w w:val="100"/>
          <w:position w:val="0"/>
          <w:lang w:val="zh-CN" w:eastAsia="zh-CN" w:bidi="zh-CN"/>
        </w:rPr>
        <w:t xml:space="preserve">“更 </w:t>
      </w:r>
      <w:r>
        <w:rPr>
          <w:color w:val="000000"/>
          <w:spacing w:val="0"/>
          <w:w w:val="100"/>
          <w:position w:val="0"/>
        </w:rPr>
        <w:t>换”与</w:t>
      </w:r>
      <w:r>
        <w:rPr>
          <w:color w:val="000000"/>
          <w:spacing w:val="0"/>
          <w:w w:val="100"/>
          <w:position w:val="0"/>
          <w:lang w:val="zh-CN" w:eastAsia="zh-CN" w:bidi="zh-CN"/>
        </w:rPr>
        <w:t>“重作”在列</w:t>
      </w:r>
      <w:r>
        <w:rPr>
          <w:color w:val="000000"/>
          <w:spacing w:val="0"/>
          <w:w w:val="100"/>
          <w:position w:val="0"/>
        </w:rPr>
        <w:t>举顺序上做了调整,但并没有作出实质性改变。因此，本案对于今后的参 考意义仍然值得重视。</w:t>
      </w:r>
    </w:p>
    <w:p w14:paraId="53A5DD1E">
      <w:pPr>
        <w:pStyle w:val="17"/>
        <w:keepNext w:val="0"/>
        <w:keepLines w:val="0"/>
        <w:widowControl w:val="0"/>
        <w:shd w:val="clear" w:color="auto" w:fill="auto"/>
        <w:bidi w:val="0"/>
        <w:spacing w:before="0" w:after="360" w:line="346" w:lineRule="exact"/>
        <w:ind w:left="0" w:right="0"/>
        <w:jc w:val="both"/>
      </w:pPr>
      <w:r>
        <w:rPr>
          <w:color w:val="000000"/>
          <w:spacing w:val="0"/>
          <w:w w:val="100"/>
          <w:position w:val="0"/>
        </w:rPr>
        <w:t>不过,值得注意的是，本判决是在《家用汽车产品修理、更换、退货责任规定</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实 施前作出的，彼时，家用汽车尚未纳入</w:t>
      </w:r>
      <w:r>
        <w:rPr>
          <w:color w:val="000000"/>
          <w:spacing w:val="0"/>
          <w:w w:val="100"/>
          <w:position w:val="0"/>
          <w:lang w:val="zh-CN" w:eastAsia="zh-CN" w:bidi="zh-CN"/>
        </w:rPr>
        <w:t>“三包”规定</w:t>
      </w:r>
      <w:r>
        <w:rPr>
          <w:color w:val="000000"/>
          <w:spacing w:val="0"/>
          <w:w w:val="100"/>
          <w:position w:val="0"/>
        </w:rPr>
        <w:t>的范围，因此，本判决得以摆脱</w:t>
      </w:r>
      <w:r>
        <w:rPr>
          <w:color w:val="000000"/>
          <w:spacing w:val="0"/>
          <w:w w:val="100"/>
          <w:position w:val="0"/>
          <w:lang w:val="zh-CN" w:eastAsia="zh-CN" w:bidi="zh-CN"/>
        </w:rPr>
        <w:t xml:space="preserve">“三包”规 </w:t>
      </w:r>
      <w:r>
        <w:rPr>
          <w:color w:val="000000"/>
          <w:spacing w:val="0"/>
          <w:w w:val="100"/>
          <w:position w:val="0"/>
        </w:rPr>
        <w:t>定的束缚,基于原《合同法》的规定,形成上述观点。家用汽车</w:t>
      </w:r>
      <w:r>
        <w:rPr>
          <w:color w:val="000000"/>
          <w:spacing w:val="0"/>
          <w:w w:val="100"/>
          <w:position w:val="0"/>
          <w:lang w:val="zh-CN" w:eastAsia="zh-CN" w:bidi="zh-CN"/>
        </w:rPr>
        <w:t>“三包”规定</w:t>
      </w:r>
      <w:r>
        <w:rPr>
          <w:color w:val="000000"/>
          <w:spacing w:val="0"/>
          <w:w w:val="100"/>
          <w:position w:val="0"/>
        </w:rPr>
        <w:t>实施后,本判决所 提示的思路和观点能否获得延续乃至发展，有待进一步考察予以明确。</w:t>
      </w:r>
    </w:p>
    <w:p w14:paraId="7DC24A48">
      <w:pPr>
        <w:pStyle w:val="11"/>
        <w:keepNext w:val="0"/>
        <w:keepLines w:val="0"/>
        <w:widowControl w:val="0"/>
        <w:shd w:val="clear" w:color="auto" w:fill="auto"/>
        <w:bidi w:val="0"/>
        <w:spacing w:before="0" w:after="60" w:line="346" w:lineRule="exact"/>
        <w:ind w:left="0" w:right="0" w:firstLine="0"/>
        <w:jc w:val="left"/>
      </w:pPr>
      <w:r>
        <w:rPr>
          <w:color w:val="000000"/>
          <w:spacing w:val="0"/>
          <w:w w:val="100"/>
          <w:position w:val="0"/>
        </w:rPr>
        <w:t>回参考文献</w:t>
      </w:r>
    </w:p>
    <w:p w14:paraId="38F7BB97">
      <w:pPr>
        <w:pStyle w:val="33"/>
        <w:keepNext w:val="0"/>
        <w:keepLines w:val="0"/>
        <w:widowControl w:val="0"/>
        <w:shd w:val="clear" w:color="auto" w:fill="auto"/>
        <w:bidi w:val="0"/>
        <w:spacing w:before="0" w:after="0" w:line="317" w:lineRule="exact"/>
        <w:ind w:left="0" w:right="0" w:firstLine="0"/>
        <w:jc w:val="left"/>
      </w:pPr>
      <w:r>
        <w:rPr>
          <w:color w:val="000000"/>
          <w:spacing w:val="0"/>
          <w:w w:val="100"/>
          <w:position w:val="0"/>
        </w:rPr>
        <w:t>缪宇：《论买卖合同中的修理、更换》，载《清华法学》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400FA635">
      <w:pPr>
        <w:pStyle w:val="33"/>
        <w:keepNext w:val="0"/>
        <w:keepLines w:val="0"/>
        <w:widowControl w:val="0"/>
        <w:shd w:val="clear" w:color="auto" w:fill="auto"/>
        <w:bidi w:val="0"/>
        <w:spacing w:before="0" w:after="0" w:line="317" w:lineRule="exact"/>
        <w:ind w:left="0" w:right="0" w:firstLine="0"/>
        <w:jc w:val="left"/>
        <w:sectPr>
          <w:headerReference r:id="rId424" w:type="first"/>
          <w:headerReference r:id="rId422" w:type="default"/>
          <w:headerReference r:id="rId423" w:type="even"/>
          <w:footnotePr>
            <w:numFmt w:val="chicago"/>
          </w:footnotePr>
          <w:pgSz w:w="10099" w:h="14782"/>
          <w:pgMar w:top="1243" w:right="1075" w:bottom="1150" w:left="1022" w:header="0" w:footer="3" w:gutter="0"/>
          <w:pgNumType w:start="354"/>
          <w:cols w:space="720" w:num="1"/>
          <w:titlePg/>
          <w:rtlGutter w:val="0"/>
          <w:docGrid w:linePitch="360" w:charSpace="0"/>
        </w:sectPr>
      </w:pPr>
      <w:r>
        <w:rPr>
          <w:color w:val="000000"/>
          <w:spacing w:val="0"/>
          <w:w w:val="100"/>
          <w:position w:val="0"/>
        </w:rPr>
        <w:t>金晶：《合同法第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rPr>
        <w:t>条（质量不符合约定之违约责任）评注》，载《法学家》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3456D8E">
      <w:pPr>
        <w:widowControl w:val="0"/>
        <w:spacing w:line="79" w:lineRule="exact"/>
        <w:rPr>
          <w:sz w:val="6"/>
          <w:szCs w:val="6"/>
        </w:rPr>
      </w:pPr>
    </w:p>
    <w:p w14:paraId="528C35A8">
      <w:pPr>
        <w:widowControl w:val="0"/>
        <w:spacing w:line="1" w:lineRule="exact"/>
        <w:sectPr>
          <w:headerReference r:id="rId425" w:type="default"/>
          <w:headerReference r:id="rId426" w:type="even"/>
          <w:footnotePr>
            <w:numFmt w:val="chicago"/>
          </w:footnotePr>
          <w:pgSz w:w="10099" w:h="14782"/>
          <w:pgMar w:top="1271" w:right="1002" w:bottom="1128" w:left="1100" w:header="0" w:footer="3" w:gutter="0"/>
          <w:pgNumType w:start="372"/>
          <w:cols w:space="720" w:num="1"/>
          <w:rtlGutter w:val="0"/>
          <w:docGrid w:linePitch="360" w:charSpace="0"/>
        </w:sectPr>
      </w:pPr>
    </w:p>
    <w:p w14:paraId="6BE64657">
      <w:pPr>
        <w:widowControl w:val="0"/>
        <w:spacing w:line="1" w:lineRule="exact"/>
      </w:pPr>
      <w:r>
        <mc:AlternateContent>
          <mc:Choice Requires="wps">
            <w:drawing>
              <wp:anchor distT="0" distB="7620" distL="0" distR="0" simplePos="0" relativeHeight="251660288" behindDoc="0" locked="0" layoutInCell="1" allowOverlap="1">
                <wp:simplePos x="0" y="0"/>
                <wp:positionH relativeFrom="page">
                  <wp:posOffset>756920</wp:posOffset>
                </wp:positionH>
                <wp:positionV relativeFrom="paragraph">
                  <wp:posOffset>0</wp:posOffset>
                </wp:positionV>
                <wp:extent cx="446405" cy="304800"/>
                <wp:effectExtent l="0" t="0" r="0" b="0"/>
                <wp:wrapTopAndBottom/>
                <wp:docPr id="987" name="Shape 987"/>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0CA40AD6">
                            <w:pPr>
                              <w:pStyle w:val="27"/>
                              <w:keepNext/>
                              <w:keepLines/>
                              <w:widowControl w:val="0"/>
                              <w:shd w:val="clear" w:color="auto" w:fill="auto"/>
                              <w:bidi w:val="0"/>
                              <w:spacing w:before="0" w:after="0" w:line="240" w:lineRule="auto"/>
                              <w:ind w:left="0" w:right="0" w:firstLine="0"/>
                              <w:jc w:val="both"/>
                            </w:pPr>
                            <w:bookmarkStart w:id="531" w:name="bookmark452"/>
                            <w:bookmarkStart w:id="532" w:name="bookmark451"/>
                            <w:bookmarkStart w:id="533" w:name="bookmark450"/>
                            <w:r>
                              <w:rPr>
                                <w:rFonts w:ascii="Times New Roman" w:hAnsi="Times New Roman" w:eastAsia="Times New Roman" w:cs="Times New Roman"/>
                                <w:color w:val="000000"/>
                                <w:spacing w:val="0"/>
                                <w:w w:val="100"/>
                                <w:position w:val="0"/>
                                <w:lang w:val="zh-TW" w:eastAsia="zh-TW" w:bidi="zh-TW"/>
                              </w:rPr>
                              <w:t>072</w:t>
                            </w:r>
                            <w:bookmarkEnd w:id="531"/>
                            <w:bookmarkEnd w:id="532"/>
                            <w:bookmarkEnd w:id="533"/>
                          </w:p>
                        </w:txbxContent>
                      </wps:txbx>
                      <wps:bodyPr wrap="none" lIns="0" tIns="0" rIns="0" bIns="0">
                        <a:noAutofit/>
                      </wps:bodyPr>
                    </wps:wsp>
                  </a:graphicData>
                </a:graphic>
              </wp:anchor>
            </w:drawing>
          </mc:Choice>
          <mc:Fallback>
            <w:pict>
              <v:shape id="Shape 987" o:spid="_x0000_s1026" o:spt="202" type="#_x0000_t202" style="position:absolute;left:0pt;margin-left:59.6pt;margin-top:0pt;height:24pt;width:35.15pt;mso-position-horizontal-relative:page;mso-wrap-distance-bottom:0.6pt;mso-wrap-distance-top:0pt;mso-wrap-style:none;z-index:251660288;mso-width-relative:page;mso-height-relative:page;" filled="f" stroked="f" coordsize="21600,21600" o:gfxdata="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poz7J9MAAAAH&#10;AQAADwAAAAAAAAABACAAAAAiAAAAZHJzL2Rvd25yZXYueG1sUEsBAhQAFAAAAAgAh07iQCUDWGav&#10;AQAAcwMAAA4AAAAAAAAAAQAgAAAAIgEAAGRycy9lMm9Eb2MueG1sUEsFBgAAAAAGAAYAWQEAAEMF&#10;AAAAAA==&#10;">
                <v:fill on="f" focussize="0,0"/>
                <v:stroke on="f"/>
                <v:imagedata o:title=""/>
                <o:lock v:ext="edit" aspectratio="f"/>
                <v:textbox inset="0mm,0mm,0mm,0mm">
                  <w:txbxContent>
                    <w:p w14:paraId="0CA40AD6">
                      <w:pPr>
                        <w:pStyle w:val="27"/>
                        <w:keepNext/>
                        <w:keepLines/>
                        <w:widowControl w:val="0"/>
                        <w:shd w:val="clear" w:color="auto" w:fill="auto"/>
                        <w:bidi w:val="0"/>
                        <w:spacing w:before="0" w:after="0" w:line="240" w:lineRule="auto"/>
                        <w:ind w:left="0" w:right="0" w:firstLine="0"/>
                        <w:jc w:val="both"/>
                      </w:pPr>
                      <w:bookmarkStart w:id="531" w:name="bookmark452"/>
                      <w:bookmarkStart w:id="532" w:name="bookmark451"/>
                      <w:bookmarkStart w:id="533" w:name="bookmark450"/>
                      <w:r>
                        <w:rPr>
                          <w:rFonts w:ascii="Times New Roman" w:hAnsi="Times New Roman" w:eastAsia="Times New Roman" w:cs="Times New Roman"/>
                          <w:color w:val="000000"/>
                          <w:spacing w:val="0"/>
                          <w:w w:val="100"/>
                          <w:position w:val="0"/>
                          <w:lang w:val="zh-TW" w:eastAsia="zh-TW" w:bidi="zh-TW"/>
                        </w:rPr>
                        <w:t>072</w:t>
                      </w:r>
                      <w:bookmarkEnd w:id="531"/>
                      <w:bookmarkEnd w:id="532"/>
                      <w:bookmarkEnd w:id="533"/>
                    </w:p>
                  </w:txbxContent>
                </v:textbox>
                <w10:wrap type="topAndBottom"/>
              </v:shape>
            </w:pict>
          </mc:Fallback>
        </mc:AlternateContent>
      </w:r>
      <w:r>
        <mc:AlternateContent>
          <mc:Choice Requires="wps">
            <w:drawing>
              <wp:anchor distT="80645" distB="0" distL="0" distR="0" simplePos="0" relativeHeight="251660288" behindDoc="0" locked="0" layoutInCell="1" allowOverlap="1">
                <wp:simplePos x="0" y="0"/>
                <wp:positionH relativeFrom="page">
                  <wp:posOffset>1336040</wp:posOffset>
                </wp:positionH>
                <wp:positionV relativeFrom="paragraph">
                  <wp:posOffset>80645</wp:posOffset>
                </wp:positionV>
                <wp:extent cx="3021965" cy="231775"/>
                <wp:effectExtent l="0" t="0" r="0" b="0"/>
                <wp:wrapTopAndBottom/>
                <wp:docPr id="989" name="Shape 989"/>
                <wp:cNvGraphicFramePr/>
                <a:graphic xmlns:a="http://schemas.openxmlformats.org/drawingml/2006/main">
                  <a:graphicData uri="http://schemas.microsoft.com/office/word/2010/wordprocessingShape">
                    <wps:wsp>
                      <wps:cNvSpPr txBox="1"/>
                      <wps:spPr>
                        <a:xfrm>
                          <a:off x="0" y="0"/>
                          <a:ext cx="3021965" cy="231775"/>
                        </a:xfrm>
                        <a:prstGeom prst="rect">
                          <a:avLst/>
                        </a:prstGeom>
                        <a:noFill/>
                      </wps:spPr>
                      <wps:txbx>
                        <w:txbxContent>
                          <w:p w14:paraId="00BC6CE2">
                            <w:pPr>
                              <w:pStyle w:val="15"/>
                              <w:keepNext/>
                              <w:keepLines/>
                              <w:widowControl w:val="0"/>
                              <w:shd w:val="clear" w:color="auto" w:fill="auto"/>
                              <w:bidi w:val="0"/>
                              <w:spacing w:before="0" w:after="0" w:line="240" w:lineRule="auto"/>
                              <w:ind w:left="0" w:right="0" w:firstLine="0"/>
                              <w:jc w:val="left"/>
                            </w:pPr>
                            <w:bookmarkStart w:id="534" w:name="bookmark454"/>
                            <w:bookmarkStart w:id="535" w:name="bookmark455"/>
                            <w:bookmarkStart w:id="536" w:name="bookmark453"/>
                            <w:r>
                              <w:rPr>
                                <w:color w:val="000000"/>
                                <w:spacing w:val="0"/>
                                <w:w w:val="100"/>
                                <w:position w:val="0"/>
                              </w:rPr>
                              <w:t>隐藏在银行卡盗刷纠纷背后的法理</w:t>
                            </w:r>
                            <w:bookmarkEnd w:id="534"/>
                            <w:bookmarkEnd w:id="535"/>
                            <w:bookmarkEnd w:id="536"/>
                          </w:p>
                        </w:txbxContent>
                      </wps:txbx>
                      <wps:bodyPr wrap="none" lIns="0" tIns="0" rIns="0" bIns="0">
                        <a:noAutofit/>
                      </wps:bodyPr>
                    </wps:wsp>
                  </a:graphicData>
                </a:graphic>
              </wp:anchor>
            </w:drawing>
          </mc:Choice>
          <mc:Fallback>
            <w:pict>
              <v:shape id="Shape 989" o:spid="_x0000_s1026" o:spt="202" type="#_x0000_t202" style="position:absolute;left:0pt;margin-left:105.2pt;margin-top:6.35pt;height:18.25pt;width:237.95pt;mso-position-horizontal-relative:page;mso-wrap-distance-bottom:0pt;mso-wrap-distance-top:6.35pt;mso-wrap-style:none;z-index:251660288;mso-width-relative:page;mso-height-relative:page;" filled="f" stroked="f" coordsize="21600,21600" o:gfxdata="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w2v2DW&#10;AAAACQEAAA8AAAAAAAAAAQAgAAAAIgAAAGRycy9kb3ducmV2LnhtbFBLAQIUABQAAAAIAIdO4kCs&#10;vMQvsAEAAHQDAAAOAAAAAAAAAAEAIAAAACUBAABkcnMvZTJvRG9jLnhtbFBLBQYAAAAABgAGAFkB&#10;AABHBQAAAAA=&#10;">
                <v:fill on="f" focussize="0,0"/>
                <v:stroke on="f"/>
                <v:imagedata o:title=""/>
                <o:lock v:ext="edit" aspectratio="f"/>
                <v:textbox inset="0mm,0mm,0mm,0mm">
                  <w:txbxContent>
                    <w:p w14:paraId="00BC6CE2">
                      <w:pPr>
                        <w:pStyle w:val="15"/>
                        <w:keepNext/>
                        <w:keepLines/>
                        <w:widowControl w:val="0"/>
                        <w:shd w:val="clear" w:color="auto" w:fill="auto"/>
                        <w:bidi w:val="0"/>
                        <w:spacing w:before="0" w:after="0" w:line="240" w:lineRule="auto"/>
                        <w:ind w:left="0" w:right="0" w:firstLine="0"/>
                        <w:jc w:val="left"/>
                      </w:pPr>
                      <w:bookmarkStart w:id="534" w:name="bookmark454"/>
                      <w:bookmarkStart w:id="535" w:name="bookmark455"/>
                      <w:bookmarkStart w:id="536" w:name="bookmark453"/>
                      <w:r>
                        <w:rPr>
                          <w:color w:val="000000"/>
                          <w:spacing w:val="0"/>
                          <w:w w:val="100"/>
                          <w:position w:val="0"/>
                        </w:rPr>
                        <w:t>隐藏在银行卡盗刷纠纷背后的法理</w:t>
                      </w:r>
                      <w:bookmarkEnd w:id="534"/>
                      <w:bookmarkEnd w:id="535"/>
                      <w:bookmarkEnd w:id="536"/>
                    </w:p>
                  </w:txbxContent>
                </v:textbox>
                <w10:wrap type="topAndBottom"/>
              </v:shape>
            </w:pict>
          </mc:Fallback>
        </mc:AlternateContent>
      </w:r>
    </w:p>
    <w:p w14:paraId="6C18E81F">
      <w:pPr>
        <w:pStyle w:val="17"/>
        <w:keepNext w:val="0"/>
        <w:keepLines w:val="0"/>
        <w:widowControl w:val="0"/>
        <w:shd w:val="clear" w:color="auto" w:fill="auto"/>
        <w:bidi w:val="0"/>
        <w:spacing w:before="0" w:after="340" w:line="319" w:lineRule="exact"/>
        <w:ind w:left="1080" w:right="0" w:hanging="80"/>
        <w:jc w:val="both"/>
      </w:pPr>
      <w:r>
        <w:rPr>
          <w:color w:val="000000"/>
          <w:spacing w:val="0"/>
          <w:w w:val="100"/>
          <w:position w:val="0"/>
        </w:rPr>
        <w:t>宋鹏诉中国工商银行股份有限公司南京新门口支行借记卡纠纷案</w:t>
      </w:r>
      <w:r>
        <w:rPr>
          <w:color w:val="000000"/>
          <w:spacing w:val="0"/>
          <w:w w:val="100"/>
          <w:position w:val="0"/>
          <w:lang w:val="zh-CN" w:eastAsia="zh-CN" w:bidi="zh-CN"/>
        </w:rPr>
        <w:t xml:space="preserve">| </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《最高人民法院公报》</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期</w:t>
      </w:r>
    </w:p>
    <w:p w14:paraId="2E12C8A3">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解亘</w:t>
      </w:r>
      <w:r>
        <w:rPr>
          <w:color w:val="000000"/>
          <w:spacing w:val="0"/>
          <w:w w:val="100"/>
          <w:position w:val="0"/>
        </w:rPr>
        <w:t>南京大学法学院</w:t>
      </w:r>
    </w:p>
    <w:p w14:paraId="4D8EA485">
      <w:pPr>
        <w:pStyle w:val="11"/>
        <w:keepNext w:val="0"/>
        <w:keepLines w:val="0"/>
        <w:widowControl w:val="0"/>
        <w:shd w:val="clear" w:color="auto" w:fill="auto"/>
        <w:bidi w:val="0"/>
        <w:spacing w:before="0" w:after="60" w:line="345"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1E7C4A2F">
      <w:pPr>
        <w:pStyle w:val="17"/>
        <w:keepNext w:val="0"/>
        <w:keepLines w:val="0"/>
        <w:widowControl w:val="0"/>
        <w:shd w:val="clear" w:color="auto" w:fill="auto"/>
        <w:bidi w:val="0"/>
        <w:spacing w:before="0" w:after="0" w:line="345" w:lineRule="exact"/>
        <w:ind w:left="0" w:right="0" w:firstLine="42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月，原告宋某在被告工行新门口支行办理了借记卡（牡丹灵通卡）一张。</w:t>
      </w:r>
      <w:r>
        <w:rPr>
          <w:rFonts w:ascii="Times New Roman" w:hAnsi="Times New Roman" w:eastAsia="Times New Roman" w:cs="Times New Roman"/>
          <w:color w:val="000000"/>
          <w:spacing w:val="0"/>
          <w:w w:val="100"/>
          <w:position w:val="0"/>
          <w:sz w:val="19"/>
          <w:szCs w:val="19"/>
        </w:rPr>
        <w:t xml:space="preserve">2015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日凌晨，宋某持有的工行借记卡内资金在驻马店市一农村信用社自动取款机上被 取款</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次，金额合计</w:t>
      </w:r>
      <w:r>
        <w:rPr>
          <w:rFonts w:ascii="Times New Roman" w:hAnsi="Times New Roman" w:eastAsia="Times New Roman" w:cs="Times New Roman"/>
          <w:color w:val="000000"/>
          <w:spacing w:val="0"/>
          <w:w w:val="100"/>
          <w:position w:val="0"/>
          <w:sz w:val="19"/>
          <w:szCs w:val="19"/>
        </w:rPr>
        <w:t>14, 094</w:t>
      </w:r>
      <w:r>
        <w:rPr>
          <w:color w:val="000000"/>
          <w:spacing w:val="0"/>
          <w:w w:val="100"/>
          <w:position w:val="0"/>
        </w:rPr>
        <w:t>元（含手续费</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元）。宋某系现役军人，其所在部队证明，在银 行卡被刷卡取款的时间段内宋某并未外出。宋某以开户行未履行安全保障义务为由提起 诉讼,要求被告承担违约责任。</w:t>
      </w:r>
    </w:p>
    <w:p w14:paraId="7B3CD59D">
      <w:pPr>
        <w:pStyle w:val="17"/>
        <w:keepNext w:val="0"/>
        <w:keepLines w:val="0"/>
        <w:widowControl w:val="0"/>
        <w:shd w:val="clear" w:color="auto" w:fill="auto"/>
        <w:bidi w:val="0"/>
        <w:spacing w:before="0" w:after="340" w:line="347" w:lineRule="exact"/>
        <w:ind w:left="0" w:right="0" w:firstLine="420"/>
        <w:jc w:val="both"/>
      </w:pPr>
      <w:r>
        <w:rPr>
          <w:color w:val="000000"/>
          <w:spacing w:val="0"/>
          <w:w w:val="100"/>
          <w:position w:val="0"/>
        </w:rPr>
        <w:t>《中国工商银行借记卡章程》第</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条规定:</w:t>
      </w:r>
      <w:r>
        <w:rPr>
          <w:color w:val="000000"/>
          <w:spacing w:val="0"/>
          <w:w w:val="100"/>
          <w:position w:val="0"/>
          <w:lang w:val="zh-CN" w:eastAsia="zh-CN" w:bidi="zh-CN"/>
        </w:rPr>
        <w:t>“申请</w:t>
      </w:r>
      <w:r>
        <w:rPr>
          <w:color w:val="000000"/>
          <w:spacing w:val="0"/>
          <w:w w:val="100"/>
          <w:position w:val="0"/>
        </w:rPr>
        <w:t>借记卡必须设定密码。持卡人使用借 记卡办理消费结算、取款、转账汇款等业务须凭密码进行（芯片卡电子现金除外）。凡使用 密码进行的交易,发卡银行均视为持卡人本人所为。依据密码等电子信息办理的各类交易 所产生的电子信息记录均为该项交易的有效凭据。持卡人须妥善保管借记卡和密码。因 持卡人保管不当而造成的损失，发卡银行不承担责任。</w:t>
      </w:r>
      <w:r>
        <w:rPr>
          <w:color w:val="000000"/>
          <w:spacing w:val="0"/>
          <w:w w:val="100"/>
          <w:position w:val="0"/>
          <w:lang w:val="zh-CN" w:eastAsia="zh-CN" w:bidi="zh-CN"/>
        </w:rPr>
        <w:t>……</w:t>
      </w:r>
      <w:r>
        <w:rPr>
          <w:color w:val="000000"/>
          <w:spacing w:val="0"/>
          <w:w w:val="100"/>
          <w:position w:val="0"/>
        </w:rPr>
        <w:t>”</w:t>
      </w:r>
    </w:p>
    <w:p w14:paraId="114DEC48">
      <w:pPr>
        <w:pStyle w:val="11"/>
        <w:keepNext w:val="0"/>
        <w:keepLines w:val="0"/>
        <w:widowControl w:val="0"/>
        <w:shd w:val="clear" w:color="auto" w:fill="auto"/>
        <w:bidi w:val="0"/>
        <w:spacing w:before="0" w:after="60" w:line="345"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2E11F986">
      <w:pPr>
        <w:pStyle w:val="17"/>
        <w:keepNext w:val="0"/>
        <w:keepLines w:val="0"/>
        <w:widowControl w:val="0"/>
        <w:shd w:val="clear" w:color="auto" w:fill="auto"/>
        <w:bidi w:val="0"/>
        <w:spacing w:before="0" w:after="60" w:line="329" w:lineRule="exact"/>
        <w:ind w:left="0" w:right="0" w:firstLine="420"/>
        <w:jc w:val="both"/>
      </w:pPr>
      <w:r>
        <w:rPr>
          <w:color w:val="000000"/>
          <w:spacing w:val="0"/>
          <w:w w:val="100"/>
          <w:position w:val="0"/>
        </w:rPr>
        <w:t>银行负有保障储户存款安全的义务，应努力提高并改进银行卡防伪技术，最大限度防 止储户银行卡被盗刷。</w:t>
      </w:r>
    </w:p>
    <w:p w14:paraId="534631B7">
      <w:pPr>
        <w:pStyle w:val="17"/>
        <w:keepNext w:val="0"/>
        <w:keepLines w:val="0"/>
        <w:widowControl w:val="0"/>
        <w:shd w:val="clear" w:color="auto" w:fill="auto"/>
        <w:bidi w:val="0"/>
        <w:spacing w:before="0" w:after="0" w:line="300" w:lineRule="exact"/>
        <w:ind w:left="0" w:right="0" w:firstLine="420"/>
        <w:jc w:val="both"/>
      </w:pPr>
      <w:r>
        <w:rPr>
          <w:color w:val="000000"/>
          <w:spacing w:val="0"/>
          <w:w w:val="100"/>
          <w:position w:val="0"/>
        </w:rPr>
        <w:t>借记卡章程关于“凡使用密码进行的交易,发卡银行均视为持卡人本人所为”的规定, 仅适用于真实的借记卡交易，并不适用于伪卡交易,银行不能据此免责。</w:t>
      </w:r>
    </w:p>
    <w:p w14:paraId="524EA7CE">
      <w:pPr>
        <w:pStyle w:val="17"/>
        <w:keepNext w:val="0"/>
        <w:keepLines w:val="0"/>
        <w:widowControl w:val="0"/>
        <w:shd w:val="clear" w:color="auto" w:fill="auto"/>
        <w:bidi w:val="0"/>
        <w:spacing w:before="0" w:after="340" w:line="341" w:lineRule="exact"/>
        <w:ind w:left="0" w:right="0" w:firstLine="420"/>
        <w:jc w:val="both"/>
      </w:pPr>
      <w:r>
        <w:rPr>
          <w:color w:val="000000"/>
          <w:spacing w:val="0"/>
          <w:w w:val="100"/>
          <w:position w:val="0"/>
        </w:rPr>
        <w:t>在无任何证据证明持卡人自行泄露银行卡密码的情况下，不应判令持卡人承担部分损 失,从而减轻银行的赔偿责任。</w:t>
      </w:r>
    </w:p>
    <w:p w14:paraId="19B4098F">
      <w:pPr>
        <w:pStyle w:val="11"/>
        <w:keepNext w:val="0"/>
        <w:keepLines w:val="0"/>
        <w:widowControl w:val="0"/>
        <w:shd w:val="clear" w:color="auto" w:fill="auto"/>
        <w:bidi w:val="0"/>
        <w:spacing w:before="0" w:after="60" w:line="345" w:lineRule="exact"/>
        <w:ind w:left="0" w:right="0" w:firstLine="0"/>
        <w:jc w:val="both"/>
      </w:pPr>
      <w:r>
        <w:rPr>
          <w:color w:val="000000"/>
          <w:spacing w:val="0"/>
          <w:w w:val="100"/>
          <w:position w:val="0"/>
        </w:rPr>
        <w:t>■评析</w:t>
      </w:r>
    </w:p>
    <w:p w14:paraId="30674BB0">
      <w:pPr>
        <w:pStyle w:val="17"/>
        <w:keepNext w:val="0"/>
        <w:keepLines w:val="0"/>
        <w:widowControl w:val="0"/>
        <w:shd w:val="clear" w:color="auto" w:fill="auto"/>
        <w:bidi w:val="0"/>
        <w:spacing w:before="0" w:after="60" w:line="345"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452D8997">
      <w:pPr>
        <w:pStyle w:val="17"/>
        <w:keepNext w:val="0"/>
        <w:keepLines w:val="0"/>
        <w:widowControl w:val="0"/>
        <w:shd w:val="clear" w:color="auto" w:fill="auto"/>
        <w:bidi w:val="0"/>
        <w:spacing w:before="0" w:after="0" w:line="348" w:lineRule="exact"/>
        <w:ind w:left="0" w:right="0" w:firstLine="420"/>
        <w:jc w:val="both"/>
        <w:sectPr>
          <w:footnotePr>
            <w:numFmt w:val="chicago"/>
          </w:footnotePr>
          <w:type w:val="continuous"/>
          <w:pgSz w:w="10099" w:h="14782"/>
          <w:pgMar w:top="1271" w:right="1002" w:bottom="1128" w:left="1100" w:header="843" w:footer="700" w:gutter="0"/>
          <w:cols w:space="720" w:num="1"/>
          <w:rtlGutter w:val="0"/>
          <w:docGrid w:linePitch="360" w:charSpace="0"/>
        </w:sectPr>
      </w:pPr>
      <w:r>
        <w:rPr>
          <w:color w:val="000000"/>
          <w:spacing w:val="0"/>
          <w:w w:val="100"/>
          <w:position w:val="0"/>
        </w:rPr>
        <w:t>围绕银行卡被盗刷的纠纷，《最高人民法院公报》曾在</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期发布过公报案 例——王永胜诉中国银行股份有限公司南京河西支行储蓄存款合同纠纷案。虽然未明言, 在该案中最高人民法院通过修正判例理由的方式实际上确立了此类纠纷按照向无受领权 </w:t>
      </w:r>
    </w:p>
    <w:p w14:paraId="5DBDAB9D">
      <w:pPr>
        <w:pStyle w:val="17"/>
        <w:keepNext w:val="0"/>
        <w:keepLines w:val="0"/>
        <w:widowControl w:val="0"/>
        <w:shd w:val="clear" w:color="auto" w:fill="auto"/>
        <w:bidi w:val="0"/>
        <w:spacing w:before="0" w:after="0" w:line="348" w:lineRule="exact"/>
        <w:ind w:left="0" w:right="0" w:firstLine="0"/>
        <w:jc w:val="both"/>
      </w:pPr>
      <w:r>
        <w:rPr>
          <w:color w:val="000000"/>
          <w:spacing w:val="0"/>
          <w:w w:val="100"/>
          <w:position w:val="0"/>
        </w:rPr>
        <w:t>限之第三人清偿之理论构成来应对的立场,即运用债法总则层面的清偿理论来解决此种纷 争。</w:t>
      </w:r>
    </w:p>
    <w:p w14:paraId="179FAEE6">
      <w:pPr>
        <w:pStyle w:val="17"/>
        <w:keepNext w:val="0"/>
        <w:keepLines w:val="0"/>
        <w:widowControl w:val="0"/>
        <w:shd w:val="clear" w:color="auto" w:fill="auto"/>
        <w:bidi w:val="0"/>
        <w:spacing w:before="0" w:after="280" w:line="345" w:lineRule="exact"/>
        <w:ind w:left="0" w:right="0" w:firstLine="420"/>
        <w:jc w:val="both"/>
      </w:pPr>
      <w:r>
        <w:rPr>
          <w:color w:val="000000"/>
          <w:spacing w:val="0"/>
          <w:w w:val="100"/>
          <w:position w:val="0"/>
        </w:rPr>
        <w:t>然而，本判决却改变了这一思路，重新退回到下级法院普遍釆用的违约构成，即下沉到 合同法的层面来应对。此外，本案通过推定储户没有自行泄露银行卡密码的方式,将举证 负担分配给了银行。</w:t>
      </w:r>
    </w:p>
    <w:p w14:paraId="791B58C8">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银行卡被盗刷纠纷中隐藏的学理</w:t>
      </w:r>
    </w:p>
    <w:p w14:paraId="3B981EF4">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银行与储户之间的关系具有二重性。</w:t>
      </w:r>
    </w:p>
    <w:p w14:paraId="3F579BC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首先,银行与储户之间的关系是抽象意义上的债权债务关系。之所以人们会觉得存在 银行的钱就是自己</w:t>
      </w:r>
      <w:r>
        <w:rPr>
          <w:color w:val="000000"/>
          <w:spacing w:val="0"/>
          <w:w w:val="100"/>
          <w:position w:val="0"/>
          <w:lang w:val="zh-CN" w:eastAsia="zh-CN" w:bidi="zh-CN"/>
        </w:rPr>
        <w:t>“所有”的</w:t>
      </w:r>
      <w:r>
        <w:rPr>
          <w:color w:val="000000"/>
          <w:spacing w:val="0"/>
          <w:w w:val="100"/>
          <w:position w:val="0"/>
        </w:rPr>
        <w:t>财产，是因为银行良好的信用——体现为见索即付的义务和能 力——所造成的错觉。由于货币作为一般等价物的特殊属性，通说认为，金钱的占有人即 为所有人。当储户将一定数量的货币交付给银行的那一瞬间，这些货币的所有权已经发生 转移。储户真正关心的,是在自己需要时银行能否及时充分地偿还本息。储户并不在意自 己交付的货币原物能否被返还。当储户请求时，银行只需要支付等额的金钱便不构成违 约。可见,两者之间无非债权债务关系，并不存在基于保管合同的物权关系。既然两者之间 不存在物权关系,银行对于储户的存款自然不存在所谓的安全保障义务。</w:t>
      </w:r>
    </w:p>
    <w:p w14:paraId="35C09C2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银行与储户之间的关系，与通常的债权债务关系并无明显的差异。既然如此,在解决 两者之间的纷争时没有理由不遵从债法的规则和法理。盗刷银行卡的行为,在债法的话语 体系中，其实就是作为债务人的银行向没有受领权限的第三人（盗刷者）所作的一次清偿。 既然受领人没有权限，那么，该清偿行为原则上不会导致作为债权人之储户对银行的债权 受到任何的影响。或许正因如此，最高人民法院在</w:t>
      </w:r>
      <w:r>
        <w:rPr>
          <w:color w:val="000000"/>
          <w:spacing w:val="0"/>
          <w:w w:val="100"/>
          <w:position w:val="0"/>
          <w:lang w:val="zh-CN" w:eastAsia="zh-CN" w:bidi="zh-CN"/>
        </w:rPr>
        <w:t>“王</w:t>
      </w:r>
      <w:r>
        <w:rPr>
          <w:color w:val="000000"/>
          <w:spacing w:val="0"/>
          <w:w w:val="100"/>
          <w:position w:val="0"/>
        </w:rPr>
        <w:t>永胜诉中国银行股份有限公司南京 河西支行储蓄存款合同纠纷案</w:t>
      </w:r>
      <w:r>
        <w:rPr>
          <w:color w:val="000000"/>
          <w:spacing w:val="0"/>
          <w:w w:val="100"/>
          <w:position w:val="0"/>
          <w:lang w:val="zh-CN" w:eastAsia="zh-CN" w:bidi="zh-CN"/>
        </w:rPr>
        <w:t>”中将</w:t>
      </w:r>
      <w:r>
        <w:rPr>
          <w:color w:val="000000"/>
          <w:spacing w:val="0"/>
          <w:w w:val="100"/>
          <w:position w:val="0"/>
        </w:rPr>
        <w:t>裁判理由修正为“原被告的债权债务关系仍然存在”。 但如果这样的清偿一律不影响原有的债权债务关系，难免会在受领人具有债权人外观的情 形</w:t>
      </w:r>
      <w:r>
        <w:rPr>
          <w:color w:val="000000"/>
          <w:spacing w:val="0"/>
          <w:w w:val="100"/>
          <w:position w:val="0"/>
          <w:lang w:val="en-US" w:eastAsia="en-US" w:bidi="en-US"/>
        </w:rPr>
        <w:t>一一</w:t>
      </w:r>
      <w:r>
        <w:rPr>
          <w:color w:val="000000"/>
          <w:spacing w:val="0"/>
          <w:w w:val="100"/>
          <w:position w:val="0"/>
        </w:rPr>
        <w:t xml:space="preserve">盗刷银行卡的情形最为典型，损害了债务人的合理信赖。为此，在比较法上有所谓 </w:t>
      </w:r>
      <w:r>
        <w:rPr>
          <w:color w:val="000000"/>
          <w:spacing w:val="0"/>
          <w:w w:val="100"/>
          <w:position w:val="0"/>
          <w:lang w:val="zh-CN" w:eastAsia="zh-CN" w:bidi="zh-CN"/>
        </w:rPr>
        <w:t>“向</w:t>
      </w:r>
      <w:r>
        <w:rPr>
          <w:color w:val="000000"/>
          <w:spacing w:val="0"/>
          <w:w w:val="100"/>
          <w:position w:val="0"/>
        </w:rPr>
        <w:t>债权准占有人清偿”的制度</w:t>
      </w:r>
      <w:r>
        <w:rPr>
          <w:color w:val="000000"/>
          <w:spacing w:val="0"/>
          <w:w w:val="100"/>
          <w:position w:val="0"/>
          <w:sz w:val="11"/>
          <w:szCs w:val="11"/>
        </w:rPr>
        <w:t>（《法国民法典》第</w:t>
      </w:r>
      <w:r>
        <w:rPr>
          <w:rFonts w:ascii="Times New Roman" w:hAnsi="Times New Roman" w:eastAsia="Times New Roman" w:cs="Times New Roman"/>
          <w:color w:val="000000"/>
          <w:spacing w:val="0"/>
          <w:w w:val="100"/>
          <w:position w:val="0"/>
          <w:sz w:val="17"/>
          <w:szCs w:val="17"/>
        </w:rPr>
        <w:t>1240</w:t>
      </w:r>
      <w:r>
        <w:rPr>
          <w:color w:val="000000"/>
          <w:spacing w:val="0"/>
          <w:w w:val="100"/>
          <w:position w:val="0"/>
          <w:sz w:val="11"/>
          <w:szCs w:val="11"/>
        </w:rPr>
        <w:t>条、《日本民法典》第</w:t>
      </w:r>
      <w:r>
        <w:rPr>
          <w:rFonts w:ascii="Times New Roman" w:hAnsi="Times New Roman" w:eastAsia="Times New Roman" w:cs="Times New Roman"/>
          <w:color w:val="000000"/>
          <w:spacing w:val="0"/>
          <w:w w:val="100"/>
          <w:position w:val="0"/>
          <w:sz w:val="17"/>
          <w:szCs w:val="17"/>
        </w:rPr>
        <w:t>478</w:t>
      </w:r>
      <w:r>
        <w:rPr>
          <w:color w:val="000000"/>
          <w:spacing w:val="0"/>
          <w:w w:val="100"/>
          <w:position w:val="0"/>
          <w:sz w:val="11"/>
          <w:szCs w:val="11"/>
        </w:rPr>
        <w:t xml:space="preserve">条、我国台湾地区 </w:t>
      </w:r>
      <w:r>
        <w:rPr>
          <w:color w:val="000000"/>
          <w:spacing w:val="0"/>
          <w:w w:val="100"/>
          <w:position w:val="0"/>
          <w:sz w:val="11"/>
          <w:szCs w:val="11"/>
          <w:lang w:val="zh-CN" w:eastAsia="zh-CN" w:bidi="zh-CN"/>
        </w:rPr>
        <w:t>“民法”第</w:t>
      </w:r>
      <w:r>
        <w:rPr>
          <w:rFonts w:ascii="Times New Roman" w:hAnsi="Times New Roman" w:eastAsia="Times New Roman" w:cs="Times New Roman"/>
          <w:color w:val="000000"/>
          <w:spacing w:val="0"/>
          <w:w w:val="100"/>
          <w:position w:val="0"/>
          <w:sz w:val="17"/>
          <w:szCs w:val="17"/>
        </w:rPr>
        <w:t>310</w:t>
      </w:r>
      <w:r>
        <w:rPr>
          <w:color w:val="000000"/>
          <w:spacing w:val="0"/>
          <w:w w:val="100"/>
          <w:position w:val="0"/>
          <w:sz w:val="11"/>
          <w:szCs w:val="11"/>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款）</w:t>
      </w:r>
      <w:r>
        <w:rPr>
          <w:color w:val="000000"/>
          <w:spacing w:val="0"/>
          <w:w w:val="100"/>
          <w:position w:val="0"/>
        </w:rPr>
        <w:t>，即债务人向具有债权人外观之人（称为</w:t>
      </w:r>
      <w:r>
        <w:rPr>
          <w:color w:val="000000"/>
          <w:spacing w:val="0"/>
          <w:w w:val="100"/>
          <w:position w:val="0"/>
          <w:lang w:val="zh-CN" w:eastAsia="zh-CN" w:bidi="zh-CN"/>
        </w:rPr>
        <w:t>“债权</w:t>
      </w:r>
      <w:r>
        <w:rPr>
          <w:color w:val="000000"/>
          <w:spacing w:val="0"/>
          <w:w w:val="100"/>
          <w:position w:val="0"/>
        </w:rPr>
        <w:t>准占有人”）的清偿会 导致原有的债权在清偿范围内归于消灭。</w:t>
      </w:r>
    </w:p>
    <w:p w14:paraId="65E5372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要构成向债权准占有人的清偿，至少需要受领人具有债权人的外观或者拥有受领权限 的外观，债务人善意无过失地相信受领人拥有受领权限。此外，围绕是否还需要债权人具 有归责事由，则存在不同的立场。这不禁会让人联想到表见代理制度中的根本分歧——是 否需要本人的归责事由。实际上，这一制度与表见代理制度的背后，有共同的理论基 础——表见法理。</w:t>
      </w:r>
    </w:p>
    <w:p w14:paraId="0AF425D0">
      <w:pPr>
        <w:pStyle w:val="17"/>
        <w:keepNext w:val="0"/>
        <w:keepLines w:val="0"/>
        <w:widowControl w:val="0"/>
        <w:shd w:val="clear" w:color="auto" w:fill="auto"/>
        <w:tabs>
          <w:tab w:val="left" w:leader="hyphen" w:pos="2431"/>
        </w:tabs>
        <w:bidi w:val="0"/>
        <w:spacing w:before="0" w:after="0" w:line="342" w:lineRule="exact"/>
        <w:ind w:left="0" w:right="0" w:firstLine="420"/>
        <w:jc w:val="both"/>
      </w:pPr>
      <w:r>
        <w:rPr>
          <w:color w:val="000000"/>
          <w:spacing w:val="0"/>
          <w:w w:val="100"/>
          <w:position w:val="0"/>
        </w:rPr>
        <w:t>如果按照向无受领权限者清偿的构成来看待银行卡的盗刷，那么在银行与储户的纠纷 中,最终的法律效果只能是全有或全无，即要么不影响原有的债权债务，要么因构成向债权 准占有人的清偿导致储户对银行的债权消灭。完全不存在由银行与储户分担损失——储 户的存款债权部分消灭</w:t>
      </w:r>
      <w:r>
        <w:rPr>
          <w:color w:val="000000"/>
          <w:spacing w:val="0"/>
          <w:w w:val="100"/>
          <w:position w:val="0"/>
        </w:rPr>
        <w:tab/>
      </w:r>
      <w:r>
        <w:rPr>
          <w:color w:val="000000"/>
          <w:spacing w:val="0"/>
          <w:w w:val="100"/>
          <w:position w:val="0"/>
        </w:rPr>
        <w:t>的余地。</w:t>
      </w:r>
    </w:p>
    <w:p w14:paraId="3C8E47F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诉讼活动只要围绕上述要件展开即可。其中，债务人的善意无过失要件，几乎是恒定 满足的。这是因为,</w:t>
      </w:r>
      <w:r>
        <w:rPr>
          <w:rFonts w:ascii="Times New Roman" w:hAnsi="Times New Roman" w:eastAsia="Times New Roman" w:cs="Times New Roman"/>
          <w:color w:val="000000"/>
          <w:spacing w:val="0"/>
          <w:w w:val="100"/>
          <w:position w:val="0"/>
          <w:sz w:val="19"/>
          <w:szCs w:val="19"/>
          <w:lang w:val="en-US" w:eastAsia="en-US" w:bidi="en-US"/>
        </w:rPr>
        <w:t>ATM</w:t>
      </w:r>
      <w:r>
        <w:rPr>
          <w:color w:val="000000"/>
          <w:spacing w:val="0"/>
          <w:w w:val="100"/>
          <w:position w:val="0"/>
        </w:rPr>
        <w:t>具有极高的可靠性，能够准确比对出卡中的识别信息以及刷卡人 输入的密码与储户预留的信息是否相符。本案的裁判要旨将盗刷卡的真伪当作判断银行 是否承担责任的关键，就意味着最高人民法院认为,</w:t>
      </w:r>
      <w:r>
        <w:rPr>
          <w:rFonts w:ascii="Times New Roman" w:hAnsi="Times New Roman" w:eastAsia="Times New Roman" w:cs="Times New Roman"/>
          <w:color w:val="000000"/>
          <w:spacing w:val="0"/>
          <w:w w:val="100"/>
          <w:position w:val="0"/>
          <w:sz w:val="19"/>
          <w:szCs w:val="19"/>
          <w:lang w:val="en-US" w:eastAsia="en-US" w:bidi="en-US"/>
        </w:rPr>
        <w:t>ATM</w:t>
      </w:r>
      <w:r>
        <w:rPr>
          <w:color w:val="000000"/>
          <w:spacing w:val="0"/>
          <w:w w:val="100"/>
          <w:position w:val="0"/>
        </w:rPr>
        <w:t>能够识别而且也应当识别银行卡 的真伪。然而,这样的认知完全脱离了现实，不符合交易惯例。在当今的世界，恐怕没有任 何一台</w:t>
      </w:r>
      <w:r>
        <w:rPr>
          <w:rFonts w:ascii="Times New Roman" w:hAnsi="Times New Roman" w:eastAsia="Times New Roman" w:cs="Times New Roman"/>
          <w:color w:val="000000"/>
          <w:spacing w:val="0"/>
          <w:w w:val="100"/>
          <w:position w:val="0"/>
          <w:sz w:val="19"/>
          <w:szCs w:val="19"/>
          <w:lang w:val="en-US" w:eastAsia="en-US" w:bidi="en-US"/>
        </w:rPr>
        <w:t>ATM</w:t>
      </w:r>
      <w:r>
        <w:rPr>
          <w:color w:val="000000"/>
          <w:spacing w:val="0"/>
          <w:w w:val="100"/>
          <w:position w:val="0"/>
        </w:rPr>
        <w:t>同时具备超级质谱仪的功能，能够在极短的时间内分析出银行卡的化学成分。 因此，本案裁判要旨中,将借记卡章程中的格式条款——</w:t>
      </w:r>
      <w:r>
        <w:rPr>
          <w:color w:val="000000"/>
          <w:spacing w:val="0"/>
          <w:w w:val="100"/>
          <w:position w:val="0"/>
          <w:lang w:val="zh-CN" w:eastAsia="zh-CN" w:bidi="zh-CN"/>
        </w:rPr>
        <w:t>“凡使</w:t>
      </w:r>
      <w:r>
        <w:rPr>
          <w:color w:val="000000"/>
          <w:spacing w:val="0"/>
          <w:w w:val="100"/>
          <w:position w:val="0"/>
        </w:rPr>
        <w:t>用密码进行的交易，发卡银 行均视为持卡人本人所为”</w:t>
      </w:r>
      <w:r>
        <w:rPr>
          <w:color w:val="000000"/>
          <w:spacing w:val="0"/>
          <w:w w:val="100"/>
          <w:position w:val="0"/>
          <w:lang w:val="en-US" w:eastAsia="en-US" w:bidi="en-US"/>
        </w:rPr>
        <w:t>一一</w:t>
      </w:r>
      <w:r>
        <w:rPr>
          <w:color w:val="000000"/>
          <w:spacing w:val="0"/>
          <w:w w:val="100"/>
          <w:position w:val="0"/>
        </w:rPr>
        <w:t>判定为部分无效,使其仅适用于真实的借记卡交易的立场, 不具有妥当性。</w:t>
      </w:r>
    </w:p>
    <w:p w14:paraId="2E19733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尽管在银行卡被盗刷的纠纷中，银行清偿时几乎始终满足善意无过失的要件,但在实 际的诉讼中,却会看到当事人围绕着银行是否在其他环节存在不当的举措展开攻防，法院 在事实认定和判决理由的部分也会着力阐述这一点。照理，在向无受领权限清偿的理论构 成中，在判断债务人的主观状态时,只需要判断其在清偿的那一瞬间是否善意无过失，债务 人在其他环节的主观状态并非要件。合理的解释是，债务人在其他环节的不当举措，是用 来判断债权人是否存在归责事由的间接事实。如果债务人在其他环节的举措明显不当，就 意味着是由于债务人的原因导致了第三人具备债权人的外观,债权人并不存在归责事由。 司法实践中的这些做法恰恰说明，向债权准占有人清偿制度和表见代理制度的要件中应当 包含债权人或者本人的归责事由。</w:t>
      </w:r>
    </w:p>
    <w:p w14:paraId="4E9A440E">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银行与储户之间的关系还具有另一层属性，即在储蓄合同中所展现出来的合同关系属 性。储蓄合同导致了两者之间的关系不同于抽象的债权债务关系。由于金融法规的存在, 银行在储蓄合同所负担的债务内容中，除了负担约定利息、管理账户（对于活期户而言, 每一次的存入原本应该看作一个独立的法律行为，照理应该成立多笔债权。但事实却是, 存入的款项会与之前的存款余额合并，变更为一笔全新的债权）等义务外，还需要在一定程 度上关照债权人的上述利益。在抽象的债权债务关系中，债务人无需关照债权人的资金乃 至人身安全，但由于储蓄合同的存在，银行却承接了这样的附随义务。需要注意的是，银行 所负担的这些保护义务，是典型的手段债务，而非结果债务。换言之，银行只需要付出合理 的注意即可,并不担保储户资金乃至人身的绝对安全。因此，当银行违反了这些附随义务 时,会构成违约。在违约救济中，法律效果将不再全有或全无,而是可以按照比例令双方分 担损失。</w:t>
      </w:r>
    </w:p>
    <w:p w14:paraId="70F5130C">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对于储户而言,理想的诉讼策略，应当首选确认之诉,请求法院确认其对银行的债权依 然如数存在。如果储户提起违约或者侵权之诉,就意味着储户从一开始就已经自认其对银 行的债权消灭了，因为无论是违约责任还是侵权责任，均以损失的存在为前提。从逻辑上 看，既然储户的存款债权消灭，说明盗刷事件满足了向债权准占有人清偿的全部要件，其中 自然也包括储户的归责事由。既然储户也存在归责事由，那么，在接下来的违约或者侵权 诉讼中，储户势必不能获得全额的赔偿。</w:t>
      </w:r>
    </w:p>
    <w:p w14:paraId="2CB0389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但在现实的诉讼中,无论是储户还是法院，均会先入为主地认为储户一方存在损失，以 此作为出发点再考虑损失是否应当转嫁以及转嫁多少给银行。如果债务人不是银行，在债 务人错向第三人清偿的情形，恐怕没有人会在第一时刻认为债权人一方发生了损失。为什 么当债务人是银行的情形，人们会普遍产生这样的认知呢？这显然是因为人们将银行账簿 的记录绝对化了。首先，不同于票据,银行账簿并不具有财产权利与凭证（账簿）合二为一 的属性。其次，账户余额来自银行账簿,而银行账簿是作为债务人之银行单方面记录其对 储户之债务变化的记账簿,与通常之债务人记账本并无本质的差异。只不过，由于储户与 银行之间缔结的结算账户合同往往会赋予银行单方面贷记（增加存款数额的记账）的形成 权,使贷记具有了抽象债务允诺的效果</w:t>
      </w:r>
      <w:r>
        <w:rPr>
          <w:color w:val="000000"/>
          <w:spacing w:val="0"/>
          <w:w w:val="100"/>
          <w:position w:val="0"/>
          <w:sz w:val="11"/>
          <w:szCs w:val="11"/>
        </w:rPr>
        <w:t>（凌超羿:《错误转账的类案分析</w:t>
      </w:r>
      <w:r>
        <w:rPr>
          <w:color w:val="000000"/>
          <w:spacing w:val="0"/>
          <w:w w:val="100"/>
          <w:position w:val="0"/>
          <w:sz w:val="11"/>
          <w:szCs w:val="11"/>
          <w:lang w:val="en-US" w:eastAsia="en-US" w:bidi="en-US"/>
        </w:rPr>
        <w:t>一-</w:t>
      </w:r>
      <w:r>
        <w:rPr>
          <w:color w:val="000000"/>
          <w:spacing w:val="0"/>
          <w:w w:val="100"/>
          <w:position w:val="0"/>
          <w:sz w:val="11"/>
          <w:szCs w:val="11"/>
        </w:rPr>
        <w:t>以银行结算合同之理 论为基础》，华东政法大学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年硕士学位论文）。</w:t>
      </w:r>
      <w:r>
        <w:rPr>
          <w:color w:val="000000"/>
          <w:spacing w:val="0"/>
          <w:w w:val="100"/>
          <w:position w:val="0"/>
        </w:rPr>
        <w:t>换言之，仅在贷记这一点上，银行账簿不同于 通常的债务人记账本。因借记导致银行账簿上所记录存款余额的减少，其实并不必然反映 债权债务的真实情况，债权数额可以被修正。</w:t>
      </w:r>
    </w:p>
    <w:p w14:paraId="5587D890">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如果生效判决认定银行卡的盗刷构成向债权准占有人的清偿，这时储户才有必要另行 提起违约之诉。当然，这样操作就需要两次诉讼，非常不经济。最好的应对方法是,在提起 确认之诉时,附加一个预备的诉请——违约或者侵权的损害赔偿之诉。如此便可在一个诉 讼中彻底解决纷争。但遗憾的是，目前的司法实践普遍不允许诉的预备合并。这一症结，只 有通过民事诉讼法立法上的突破才能最终克服。</w:t>
      </w:r>
    </w:p>
    <w:p w14:paraId="25F9A3E2">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即便在向无受领权限之第三人清偿的构成之下，银行也一定会利用储蓄合同关系中的 免责条款作为抗辩,就如本案中的那样。对此，需要通过《民法典》第</w:t>
      </w:r>
      <w:r>
        <w:rPr>
          <w:rFonts w:ascii="Times New Roman" w:hAnsi="Times New Roman" w:eastAsia="Times New Roman" w:cs="Times New Roman"/>
          <w:color w:val="000000"/>
          <w:spacing w:val="0"/>
          <w:w w:val="100"/>
          <w:position w:val="0"/>
          <w:sz w:val="19"/>
          <w:szCs w:val="19"/>
        </w:rPr>
        <w:t>497</w:t>
      </w:r>
      <w:r>
        <w:rPr>
          <w:color w:val="000000"/>
          <w:spacing w:val="0"/>
          <w:w w:val="100"/>
          <w:position w:val="0"/>
        </w:rPr>
        <w:t>条应对。这样的 免责条款在效果上极大地降低了向债权准占有人清偿的门槛，应当认定为部分无效。</w:t>
      </w:r>
    </w:p>
    <w:p w14:paraId="5793318D">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0B991A2E">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在本判决之前的银行账户资金被盗取的纠纷中,最高人民法院的态度经历了反复。</w:t>
      </w:r>
    </w:p>
    <w:p w14:paraId="36B0F44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 xml:space="preserve">最高人民法院就冒领存款问题的表态，最早可以追溯到最高人民法院《关于银行工作 人员未按规定办理储户挂失造成储户损失银行是否担任民事责任的批复》［法（民）复 </w:t>
      </w:r>
      <w:r>
        <w:rPr>
          <w:rFonts w:ascii="Times New Roman" w:hAnsi="Times New Roman" w:eastAsia="Times New Roman" w:cs="Times New Roman"/>
          <w:color w:val="000000"/>
          <w:spacing w:val="0"/>
          <w:w w:val="100"/>
          <w:position w:val="0"/>
          <w:sz w:val="19"/>
          <w:szCs w:val="19"/>
        </w:rPr>
        <w:t>（1990）13</w:t>
      </w:r>
      <w:r>
        <w:rPr>
          <w:color w:val="000000"/>
          <w:spacing w:val="0"/>
          <w:w w:val="100"/>
          <w:position w:val="0"/>
        </w:rPr>
        <w:t>号］。在此批复中最高人民法院并未阐明自己所依据的法律构成,只是笼统地答 复:“根据中国人民银行关于储蓄存单（折）挂失的有关规定和《民法通则》第七十五条、第一 百零六条的规定,徐水县工商银行金融服务所对由此造成的经济损失应依法承担民事责 任</w:t>
      </w:r>
      <w:r>
        <w:rPr>
          <w:color w:val="000000"/>
          <w:spacing w:val="0"/>
          <w:w w:val="100"/>
          <w:position w:val="0"/>
          <w:lang w:val="zh-CN" w:eastAsia="zh-CN" w:bidi="zh-CN"/>
        </w:rPr>
        <w:t>。”原</w:t>
      </w:r>
      <w:r>
        <w:rPr>
          <w:color w:val="000000"/>
          <w:spacing w:val="0"/>
          <w:w w:val="100"/>
          <w:position w:val="0"/>
        </w:rPr>
        <w:t>《民法通则》第</w:t>
      </w:r>
      <w:r>
        <w:rPr>
          <w:rFonts w:ascii="Times New Roman" w:hAnsi="Times New Roman" w:eastAsia="Times New Roman" w:cs="Times New Roman"/>
          <w:color w:val="000000"/>
          <w:spacing w:val="0"/>
          <w:w w:val="100"/>
          <w:position w:val="0"/>
          <w:sz w:val="19"/>
          <w:szCs w:val="19"/>
        </w:rPr>
        <w:t>106</w:t>
      </w:r>
      <w:r>
        <w:rPr>
          <w:color w:val="000000"/>
          <w:spacing w:val="0"/>
          <w:w w:val="100"/>
          <w:position w:val="0"/>
        </w:rPr>
        <w:t>条有两款,分别规定了违约责任和侵权责任。</w:t>
      </w:r>
    </w:p>
    <w:p w14:paraId="01F3640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在之后的</w:t>
      </w:r>
      <w:r>
        <w:rPr>
          <w:color w:val="000000"/>
          <w:spacing w:val="0"/>
          <w:w w:val="100"/>
          <w:position w:val="0"/>
          <w:lang w:val="zh-CN" w:eastAsia="zh-CN" w:bidi="zh-CN"/>
        </w:rPr>
        <w:t>“周福</w:t>
      </w:r>
      <w:r>
        <w:rPr>
          <w:color w:val="000000"/>
          <w:spacing w:val="0"/>
          <w:w w:val="100"/>
          <w:position w:val="0"/>
        </w:rPr>
        <w:t>君诉徐水县工商银行挂失存款被冒领赔偿损失案</w:t>
      </w:r>
      <w:r>
        <w:rPr>
          <w:color w:val="000000"/>
          <w:spacing w:val="0"/>
          <w:w w:val="100"/>
          <w:position w:val="0"/>
          <w:sz w:val="11"/>
          <w:szCs w:val="11"/>
          <w:lang w:val="zh-CN" w:eastAsia="zh-CN" w:bidi="zh-CN"/>
        </w:rPr>
        <w:t>”（载</w:t>
      </w:r>
      <w:r>
        <w:rPr>
          <w:color w:val="000000"/>
          <w:spacing w:val="0"/>
          <w:w w:val="100"/>
          <w:position w:val="0"/>
          <w:sz w:val="11"/>
          <w:szCs w:val="11"/>
        </w:rPr>
        <w:t>《最高人民法院公 报》</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和“顾骏诉上海交行储蓄合同纠纷案</w:t>
      </w:r>
      <w:r>
        <w:rPr>
          <w:color w:val="000000"/>
          <w:spacing w:val="0"/>
          <w:w w:val="100"/>
          <w:position w:val="0"/>
          <w:sz w:val="11"/>
          <w:szCs w:val="11"/>
          <w:lang w:val="zh-CN" w:eastAsia="zh-CN" w:bidi="zh-CN"/>
        </w:rPr>
        <w:t>”（载</w:t>
      </w:r>
      <w:r>
        <w:rPr>
          <w:color w:val="000000"/>
          <w:spacing w:val="0"/>
          <w:w w:val="100"/>
          <w:position w:val="0"/>
          <w:sz w:val="11"/>
          <w:szCs w:val="11"/>
        </w:rPr>
        <w:t>《最高人民法院公报》</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sz w:val="11"/>
          <w:szCs w:val="11"/>
        </w:rPr>
        <w:t>期）</w:t>
      </w:r>
      <w:r>
        <w:rPr>
          <w:color w:val="000000"/>
          <w:spacing w:val="0"/>
          <w:w w:val="100"/>
          <w:position w:val="0"/>
        </w:rPr>
        <w:t>中，最高人民法院对违约构成表示了支持。而在其间的</w:t>
      </w:r>
      <w:r>
        <w:rPr>
          <w:color w:val="000000"/>
          <w:spacing w:val="0"/>
          <w:w w:val="100"/>
          <w:position w:val="0"/>
          <w:lang w:val="zh-CN" w:eastAsia="zh-CN" w:bidi="zh-CN"/>
        </w:rPr>
        <w:t>“聂</w:t>
      </w:r>
      <w:r>
        <w:rPr>
          <w:color w:val="000000"/>
          <w:spacing w:val="0"/>
          <w:w w:val="100"/>
          <w:position w:val="0"/>
        </w:rPr>
        <w:t>晓斌诉宾阳工行存款合同纠 纷案”的再审</w:t>
      </w:r>
      <w:r>
        <w:rPr>
          <w:color w:val="000000"/>
          <w:spacing w:val="0"/>
          <w:w w:val="100"/>
          <w:position w:val="0"/>
          <w:sz w:val="11"/>
          <w:szCs w:val="11"/>
        </w:rPr>
        <w:t>［最高人民法院</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sz w:val="11"/>
          <w:szCs w:val="11"/>
        </w:rPr>
        <w:t>民一提字第</w:t>
      </w:r>
      <w:r>
        <w:rPr>
          <w:rFonts w:ascii="Times New Roman" w:hAnsi="Times New Roman" w:eastAsia="Times New Roman" w:cs="Times New Roman"/>
          <w:color w:val="000000"/>
          <w:spacing w:val="0"/>
          <w:w w:val="100"/>
          <w:position w:val="0"/>
          <w:sz w:val="17"/>
          <w:szCs w:val="17"/>
        </w:rPr>
        <w:t>0003</w:t>
      </w:r>
      <w:r>
        <w:rPr>
          <w:color w:val="000000"/>
          <w:spacing w:val="0"/>
          <w:w w:val="100"/>
          <w:position w:val="0"/>
          <w:sz w:val="11"/>
          <w:szCs w:val="11"/>
        </w:rPr>
        <w:t>号民事判决书］</w:t>
      </w:r>
      <w:r>
        <w:rPr>
          <w:color w:val="000000"/>
          <w:spacing w:val="0"/>
          <w:w w:val="100"/>
          <w:position w:val="0"/>
        </w:rPr>
        <w:t>中最高人民法院的立场再次 回到模糊状态。</w:t>
      </w:r>
    </w:p>
    <w:p w14:paraId="71D02914">
      <w:pPr>
        <w:pStyle w:val="17"/>
        <w:keepNext w:val="0"/>
        <w:keepLines w:val="0"/>
        <w:widowControl w:val="0"/>
        <w:shd w:val="clear" w:color="auto" w:fill="auto"/>
        <w:bidi w:val="0"/>
        <w:spacing w:before="0" w:after="160" w:line="342" w:lineRule="exact"/>
        <w:ind w:left="0" w:right="0" w:firstLine="420"/>
        <w:jc w:val="both"/>
      </w:pPr>
      <w:r>
        <w:rPr>
          <w:color w:val="000000"/>
          <w:spacing w:val="0"/>
          <w:w w:val="100"/>
          <w:position w:val="0"/>
        </w:rPr>
        <w:t>直到前述之</w:t>
      </w:r>
      <w:r>
        <w:rPr>
          <w:color w:val="000000"/>
          <w:spacing w:val="0"/>
          <w:w w:val="100"/>
          <w:position w:val="0"/>
          <w:lang w:val="zh-CN" w:eastAsia="zh-CN" w:bidi="zh-CN"/>
        </w:rPr>
        <w:t>“王永</w:t>
      </w:r>
      <w:r>
        <w:rPr>
          <w:color w:val="000000"/>
          <w:spacing w:val="0"/>
          <w:w w:val="100"/>
          <w:position w:val="0"/>
        </w:rPr>
        <w:t>胜诉中国银行股份有限公司南京河西支行储蓄存款合同纠纷案</w:t>
      </w:r>
      <w:r>
        <w:rPr>
          <w:color w:val="000000"/>
          <w:spacing w:val="0"/>
          <w:w w:val="100"/>
          <w:position w:val="0"/>
          <w:lang w:val="zh-CN" w:eastAsia="zh-CN" w:bidi="zh-CN"/>
        </w:rPr>
        <w:t xml:space="preserve">”，最 </w:t>
      </w:r>
      <w:r>
        <w:rPr>
          <w:color w:val="000000"/>
          <w:spacing w:val="0"/>
          <w:w w:val="100"/>
          <w:position w:val="0"/>
        </w:rPr>
        <w:t>高人民法院才第一次采取了向无受领权限之第三人清偿的理论构成。然而,从本案判决被 《最高人民法院公报》刊载就不难看出，在银行卡被盗刷纠纷的处理上，最高人民法院始终 没有达到理论上的自觉，没有意识到其对</w:t>
      </w:r>
      <w:r>
        <w:rPr>
          <w:color w:val="000000"/>
          <w:spacing w:val="0"/>
          <w:w w:val="100"/>
          <w:position w:val="0"/>
          <w:lang w:val="zh-CN" w:eastAsia="zh-CN" w:bidi="zh-CN"/>
        </w:rPr>
        <w:t>“王永</w:t>
      </w:r>
      <w:r>
        <w:rPr>
          <w:color w:val="000000"/>
          <w:spacing w:val="0"/>
          <w:w w:val="100"/>
          <w:position w:val="0"/>
        </w:rPr>
        <w:t>胜诉中国银行股份有限公司南京河西支行 储蓄存款合同纠纷案</w:t>
      </w:r>
      <w:r>
        <w:rPr>
          <w:color w:val="000000"/>
          <w:spacing w:val="0"/>
          <w:w w:val="100"/>
          <w:position w:val="0"/>
          <w:lang w:val="zh-CN" w:eastAsia="zh-CN" w:bidi="zh-CN"/>
        </w:rPr>
        <w:t>”裁</w:t>
      </w:r>
      <w:r>
        <w:rPr>
          <w:color w:val="000000"/>
          <w:spacing w:val="0"/>
          <w:w w:val="100"/>
          <w:position w:val="0"/>
        </w:rPr>
        <w:t>判理由的修正，具有怎样的价值。</w:t>
      </w:r>
    </w:p>
    <w:p w14:paraId="7AA4953E">
      <w:pPr>
        <w:pStyle w:val="17"/>
        <w:keepNext w:val="0"/>
        <w:keepLines w:val="0"/>
        <w:widowControl w:val="0"/>
        <w:shd w:val="clear" w:color="auto" w:fill="auto"/>
        <w:bidi w:val="0"/>
        <w:spacing w:before="0" w:after="160" w:line="340"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6776A853">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在本文看来,本判决以卡的真伪作为基准的立场，对银行提出了完全不合理的期待，完 全背离了交易世界的常识。</w:t>
      </w:r>
    </w:p>
    <w:p w14:paraId="3336CAED">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在银行卡盗刷的纠纷中，真正的难题并不在于采取何种理论构成，而在于如何分配举 证负担。在这类纠纷中，最为关键的是,作为债权人的储户对于银行卡和密码信息的泄露 是否存在归责事由。真卡不离身，并不意味着储户就当然没有任何的归责事由。从常识上 判断,如果是银行的安全系统出现了问题，账户资金的受损一定不会仅限于个别的储户。 所以，因储户自身的原因，例如手机、电脑中木马、病毒等，而导致信息泄露，恐怕才是银行卡 盗刷案件中的大概率事件。如此说来,似乎应当将不存在归责事由的举证负担分配给储 户，由其来证明实际上是由于银行的原因导致了其账号和密码信息的泄露。然而,让储户 证明银行的信息系统存在技术缺陷，对于储户来说其难度可想而知。但反之，若令银行来 证明储户存在归责事由，例如其手机、电脑感染过木马、病毒，同样也是过分沉重的负担。如 何合理地分配举证负担，已经超出了法律论的范畴，需要高度的政策判断。</w:t>
      </w:r>
    </w:p>
    <w:p w14:paraId="39215A46">
      <w:pPr>
        <w:pStyle w:val="11"/>
        <w:keepNext w:val="0"/>
        <w:keepLines w:val="0"/>
        <w:widowControl w:val="0"/>
        <w:shd w:val="clear" w:color="auto" w:fill="auto"/>
        <w:bidi w:val="0"/>
        <w:spacing w:before="0" w:after="0" w:line="340" w:lineRule="exact"/>
        <w:ind w:left="0" w:right="0" w:firstLine="0"/>
        <w:jc w:val="both"/>
      </w:pPr>
      <w:r>
        <w:rPr>
          <w:color w:val="000000"/>
          <w:spacing w:val="0"/>
          <w:w w:val="100"/>
          <w:position w:val="0"/>
        </w:rPr>
        <w:t>回参考文献</w:t>
      </w:r>
    </w:p>
    <w:p w14:paraId="75DE847C">
      <w:pPr>
        <w:pStyle w:val="33"/>
        <w:keepNext w:val="0"/>
        <w:keepLines w:val="0"/>
        <w:widowControl w:val="0"/>
        <w:shd w:val="clear" w:color="auto" w:fill="auto"/>
        <w:bidi w:val="0"/>
        <w:spacing w:before="0" w:after="0" w:line="326" w:lineRule="exact"/>
        <w:ind w:left="0" w:right="0" w:firstLine="0"/>
        <w:jc w:val="left"/>
      </w:pPr>
      <w:r>
        <w:rPr>
          <w:color w:val="000000"/>
          <w:spacing w:val="0"/>
          <w:w w:val="100"/>
          <w:position w:val="0"/>
        </w:rPr>
        <w:t>其木提:《论债务人对债权准占有人清偿的效力》，载《法学》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15FD7BF7">
      <w:pPr>
        <w:pStyle w:val="33"/>
        <w:keepNext w:val="0"/>
        <w:keepLines w:val="0"/>
        <w:widowControl w:val="0"/>
        <w:shd w:val="clear" w:color="auto" w:fill="auto"/>
        <w:bidi w:val="0"/>
        <w:spacing w:before="0" w:after="0" w:line="295" w:lineRule="exact"/>
        <w:ind w:left="180" w:right="0" w:hanging="180"/>
        <w:jc w:val="both"/>
      </w:pPr>
      <w:r>
        <w:rPr>
          <w:color w:val="000000"/>
          <w:spacing w:val="0"/>
          <w:w w:val="100"/>
          <w:position w:val="0"/>
        </w:rPr>
        <w:t>解亘:《冒领存款纠纷背后的法理一王永胜诉中国银行南京河西支行储蓄存款合同纠纷案评析》，载 《浙江社会科学》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69CA04CC">
      <w:pPr>
        <w:pStyle w:val="33"/>
        <w:keepNext w:val="0"/>
        <w:keepLines w:val="0"/>
        <w:widowControl w:val="0"/>
        <w:shd w:val="clear" w:color="auto" w:fill="auto"/>
        <w:bidi w:val="0"/>
        <w:spacing w:before="0" w:after="0" w:line="326" w:lineRule="exact"/>
        <w:ind w:left="0" w:right="0" w:firstLine="0"/>
        <w:jc w:val="left"/>
      </w:pPr>
      <w:r>
        <w:rPr>
          <w:color w:val="000000"/>
          <w:spacing w:val="0"/>
          <w:w w:val="100"/>
          <w:position w:val="0"/>
        </w:rPr>
        <w:t>李建星、施越:《电子支付中的四方关系及其规范架构》，载《浙江社会科学》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4D8B2BA8">
      <w:pPr>
        <w:pStyle w:val="33"/>
        <w:keepNext w:val="0"/>
        <w:keepLines w:val="0"/>
        <w:widowControl w:val="0"/>
        <w:shd w:val="clear" w:color="auto" w:fill="auto"/>
        <w:bidi w:val="0"/>
        <w:spacing w:before="0" w:after="160" w:line="326" w:lineRule="exact"/>
        <w:ind w:left="180" w:right="0" w:hanging="180"/>
        <w:jc w:val="both"/>
        <w:sectPr>
          <w:headerReference r:id="rId427" w:type="default"/>
          <w:headerReference r:id="rId428" w:type="even"/>
          <w:footnotePr>
            <w:numFmt w:val="chicago"/>
          </w:footnotePr>
          <w:pgSz w:w="10099" w:h="14782"/>
          <w:pgMar w:top="1271" w:right="1002" w:bottom="1128" w:left="1100" w:header="0" w:footer="3" w:gutter="0"/>
          <w:pgNumType w:start="357"/>
          <w:cols w:space="720" w:num="1"/>
          <w:rtlGutter w:val="0"/>
          <w:docGrid w:linePitch="360" w:charSpace="0"/>
        </w:sectPr>
      </w:pPr>
      <w:r>
        <w:rPr>
          <w:color w:val="000000"/>
          <w:spacing w:val="0"/>
          <w:w w:val="100"/>
          <w:position w:val="0"/>
        </w:rPr>
        <w:t>凌超羿:《错误转账的类案分析——以银行结算合同之理论为基础》,华东政法大学</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年硕士学位论 文。</w:t>
      </w:r>
    </w:p>
    <w:p w14:paraId="7B5FA824">
      <w:pPr>
        <w:widowControl w:val="0"/>
        <w:spacing w:line="11" w:lineRule="exact"/>
        <w:rPr>
          <w:sz w:val="2"/>
          <w:szCs w:val="2"/>
        </w:rPr>
      </w:pPr>
    </w:p>
    <w:p w14:paraId="4E3A9292">
      <w:pPr>
        <w:widowControl w:val="0"/>
        <w:spacing w:line="1" w:lineRule="exact"/>
        <w:sectPr>
          <w:headerReference r:id="rId429" w:type="default"/>
          <w:headerReference r:id="rId430" w:type="even"/>
          <w:footnotePr>
            <w:numFmt w:val="chicago"/>
          </w:footnotePr>
          <w:pgSz w:w="10099" w:h="14782"/>
          <w:pgMar w:top="1258" w:right="1081" w:bottom="1115" w:left="1016" w:header="0" w:footer="3" w:gutter="0"/>
          <w:pgNumType w:start="377"/>
          <w:cols w:space="720" w:num="1"/>
          <w:rtlGutter w:val="0"/>
          <w:docGrid w:linePitch="360" w:charSpace="0"/>
        </w:sectPr>
      </w:pPr>
    </w:p>
    <w:p w14:paraId="4979076F">
      <w:pPr>
        <w:pStyle w:val="15"/>
        <w:keepNext/>
        <w:keepLines/>
        <w:widowControl w:val="0"/>
        <w:shd w:val="clear" w:color="auto" w:fill="auto"/>
        <w:bidi w:val="0"/>
        <w:spacing w:before="0" w:after="0" w:line="502" w:lineRule="exact"/>
        <w:ind w:left="1020" w:right="0" w:hanging="1020"/>
        <w:jc w:val="left"/>
      </w:pPr>
      <w:r>
        <mc:AlternateContent>
          <mc:Choice Requires="wps">
            <w:drawing>
              <wp:anchor distT="0" distB="0" distL="114300" distR="114300" simplePos="0" relativeHeight="251660288" behindDoc="0" locked="0" layoutInCell="1" allowOverlap="1">
                <wp:simplePos x="0" y="0"/>
                <wp:positionH relativeFrom="page">
                  <wp:posOffset>715645</wp:posOffset>
                </wp:positionH>
                <wp:positionV relativeFrom="paragraph">
                  <wp:posOffset>12700</wp:posOffset>
                </wp:positionV>
                <wp:extent cx="449580" cy="304800"/>
                <wp:effectExtent l="0" t="0" r="0" b="0"/>
                <wp:wrapSquare wrapText="right"/>
                <wp:docPr id="995" name="Shape 995"/>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F1DB7E1">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073</w:t>
                            </w:r>
                          </w:p>
                        </w:txbxContent>
                      </wps:txbx>
                      <wps:bodyPr wrap="none" lIns="0" tIns="0" rIns="0" bIns="0">
                        <a:noAutofit/>
                      </wps:bodyPr>
                    </wps:wsp>
                  </a:graphicData>
                </a:graphic>
              </wp:anchor>
            </w:drawing>
          </mc:Choice>
          <mc:Fallback>
            <w:pict>
              <v:shape id="Shape 995" o:spid="_x0000_s1026" o:spt="202" type="#_x0000_t202" style="position:absolute;left:0pt;margin-left:56.35pt;margin-top:1pt;height:24pt;width:35.4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VJvc/UAAAA&#10;CAEAAA8AAAAAAAAAAQAgAAAAIgAAAGRycy9kb3ducmV2LnhtbFBLAQIUABQAAAAIAIdO4kBBrL+9&#10;rwEAAHMDAAAOAAAAAAAAAAEAIAAAACMBAABkcnMvZTJvRG9jLnhtbFBLBQYAAAAABgAGAFkBAABE&#10;BQAAAAA=&#10;">
                <v:fill on="f" focussize="0,0"/>
                <v:stroke on="f"/>
                <v:imagedata o:title=""/>
                <o:lock v:ext="edit" aspectratio="f"/>
                <v:textbox inset="0mm,0mm,0mm,0mm">
                  <w:txbxContent>
                    <w:p w14:paraId="7F1DB7E1">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073</w:t>
                      </w:r>
                    </w:p>
                  </w:txbxContent>
                </v:textbox>
                <w10:wrap type="square" side="right"/>
              </v:shape>
            </w:pict>
          </mc:Fallback>
        </mc:AlternateContent>
      </w:r>
      <w:r>
        <w:drawing>
          <wp:anchor distT="0" distB="0" distL="114300" distR="114300" simplePos="0" relativeHeight="251660288" behindDoc="0" locked="0" layoutInCell="1" allowOverlap="1">
            <wp:simplePos x="0" y="0"/>
            <wp:positionH relativeFrom="page">
              <wp:posOffset>5089525</wp:posOffset>
            </wp:positionH>
            <wp:positionV relativeFrom="paragraph">
              <wp:posOffset>457200</wp:posOffset>
            </wp:positionV>
            <wp:extent cx="615950" cy="621665"/>
            <wp:effectExtent l="0" t="0" r="6350" b="635"/>
            <wp:wrapSquare wrapText="left"/>
            <wp:docPr id="997" name="Shape 997"/>
            <wp:cNvGraphicFramePr/>
            <a:graphic xmlns:a="http://schemas.openxmlformats.org/drawingml/2006/main">
              <a:graphicData uri="http://schemas.openxmlformats.org/drawingml/2006/picture">
                <pic:pic xmlns:pic="http://schemas.openxmlformats.org/drawingml/2006/picture">
                  <pic:nvPicPr>
                    <pic:cNvPr id="997" name="Shape 997"/>
                    <pic:cNvPicPr/>
                  </pic:nvPicPr>
                  <pic:blipFill>
                    <a:blip r:embed="rId685"/>
                    <a:stretch>
                      <a:fillRect/>
                    </a:stretch>
                  </pic:blipFill>
                  <pic:spPr>
                    <a:xfrm>
                      <a:off x="0" y="0"/>
                      <a:ext cx="615950" cy="621665"/>
                    </a:xfrm>
                    <a:prstGeom prst="rect">
                      <a:avLst/>
                    </a:prstGeom>
                  </pic:spPr>
                </pic:pic>
              </a:graphicData>
            </a:graphic>
          </wp:anchor>
        </w:drawing>
      </w:r>
      <w:bookmarkStart w:id="126" w:name="bookmark456"/>
      <w:bookmarkStart w:id="127" w:name="bookmark457"/>
      <w:bookmarkStart w:id="128" w:name="bookmark458"/>
      <w:r>
        <w:rPr>
          <w:color w:val="000000"/>
          <w:spacing w:val="0"/>
          <w:w w:val="100"/>
          <w:position w:val="0"/>
        </w:rPr>
        <w:t>预期违约情形</w:t>
      </w:r>
      <w:r>
        <w:rPr>
          <w:color w:val="000000"/>
          <w:spacing w:val="0"/>
          <w:w w:val="100"/>
          <w:position w:val="0"/>
          <w:lang w:val="zh-CN" w:eastAsia="zh-CN" w:bidi="zh-CN"/>
        </w:rPr>
        <w:t>“以自</w:t>
      </w:r>
      <w:r>
        <w:rPr>
          <w:color w:val="000000"/>
          <w:spacing w:val="0"/>
          <w:w w:val="100"/>
          <w:position w:val="0"/>
        </w:rPr>
        <w:t>己的行为表明不履行 合同义务”的认定</w:t>
      </w:r>
      <w:bookmarkEnd w:id="126"/>
      <w:bookmarkEnd w:id="127"/>
      <w:bookmarkEnd w:id="128"/>
    </w:p>
    <w:p w14:paraId="0964CFA8">
      <w:pPr>
        <w:pStyle w:val="17"/>
        <w:keepNext w:val="0"/>
        <w:keepLines w:val="0"/>
        <w:widowControl w:val="0"/>
        <w:shd w:val="clear" w:color="auto" w:fill="auto"/>
        <w:bidi w:val="0"/>
        <w:spacing w:before="0" w:after="420" w:line="324" w:lineRule="exact"/>
        <w:ind w:left="1020" w:right="0" w:firstLine="0"/>
        <w:jc w:val="both"/>
      </w:pPr>
      <w:r>
        <w:rPr>
          <w:color w:val="000000"/>
          <w:spacing w:val="0"/>
          <w:w w:val="100"/>
          <w:position w:val="0"/>
        </w:rPr>
        <w:t>开封东京空分集团有限公司、白银有色集团股份有限公司买卖合同 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最高法民终</w:t>
      </w:r>
      <w:r>
        <w:rPr>
          <w:rFonts w:ascii="Times New Roman" w:hAnsi="Times New Roman" w:eastAsia="Times New Roman" w:cs="Times New Roman"/>
          <w:color w:val="000000"/>
          <w:spacing w:val="0"/>
          <w:w w:val="100"/>
          <w:position w:val="0"/>
          <w:sz w:val="19"/>
          <w:szCs w:val="19"/>
        </w:rPr>
        <w:t>377</w:t>
      </w:r>
      <w:r>
        <w:rPr>
          <w:color w:val="000000"/>
          <w:spacing w:val="0"/>
          <w:w w:val="100"/>
          <w:position w:val="0"/>
        </w:rPr>
        <w:t>号民事判决书</w:t>
      </w:r>
    </w:p>
    <w:p w14:paraId="400EF747">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陈韵希</w:t>
      </w:r>
      <w:r>
        <w:rPr>
          <w:color w:val="000000"/>
          <w:spacing w:val="0"/>
          <w:w w:val="100"/>
          <w:position w:val="0"/>
        </w:rPr>
        <w:t>上海交通大学凯原法学院</w:t>
      </w:r>
    </w:p>
    <w:p w14:paraId="7068CE29">
      <w:pPr>
        <w:pStyle w:val="11"/>
        <w:keepNext w:val="0"/>
        <w:keepLines w:val="0"/>
        <w:widowControl w:val="0"/>
        <w:shd w:val="clear" w:color="auto" w:fill="auto"/>
        <w:bidi w:val="0"/>
        <w:spacing w:before="0" w:after="100" w:line="344"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7F938D04">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月，原告白银公司因提升改造铜冶炼技术所需,与被告开封东京公司分别签 订了关于</w:t>
      </w:r>
      <w:r>
        <w:rPr>
          <w:rFonts w:ascii="Times New Roman" w:hAnsi="Times New Roman" w:eastAsia="Times New Roman" w:cs="Times New Roman"/>
          <w:color w:val="000000"/>
          <w:spacing w:val="0"/>
          <w:w w:val="100"/>
          <w:position w:val="0"/>
          <w:sz w:val="19"/>
          <w:szCs w:val="19"/>
          <w:lang w:val="en-US" w:eastAsia="en-US" w:bidi="en-US"/>
        </w:rPr>
        <w:t>20000Nm3/h</w:t>
      </w:r>
      <w:r>
        <w:rPr>
          <w:color w:val="000000"/>
          <w:spacing w:val="0"/>
          <w:w w:val="100"/>
          <w:position w:val="0"/>
        </w:rPr>
        <w:t xml:space="preserve">制氧站空分系统采购及安装的技术协议和订货合同，合同总价款 </w:t>
      </w:r>
      <w:r>
        <w:rPr>
          <w:rFonts w:ascii="Times New Roman" w:hAnsi="Times New Roman" w:eastAsia="Times New Roman" w:cs="Times New Roman"/>
          <w:color w:val="000000"/>
          <w:spacing w:val="0"/>
          <w:w w:val="100"/>
          <w:position w:val="0"/>
          <w:sz w:val="19"/>
          <w:szCs w:val="19"/>
        </w:rPr>
        <w:t>7420</w:t>
      </w:r>
      <w:r>
        <w:rPr>
          <w:color w:val="000000"/>
          <w:spacing w:val="0"/>
          <w:w w:val="100"/>
          <w:position w:val="0"/>
        </w:rPr>
        <w:t>万元。合同约定开封东京公司于合同生效后</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个月内将第一批货物运输至项目现场， </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个月内全部履行完毕，且应根据白银公司的施工进度安排交货时间，并根据白银公司通 知到现场安装和调试。关于付款，合同约定白银公司支付预付款</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、发货款</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 xml:space="preserve">、验收款 </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、质保金</w:t>
      </w:r>
      <w:r>
        <w:rPr>
          <w:rFonts w:ascii="Times New Roman" w:hAnsi="Times New Roman" w:eastAsia="Times New Roman" w:cs="Times New Roman"/>
          <w:color w:val="000000"/>
          <w:spacing w:val="0"/>
          <w:w w:val="100"/>
          <w:position w:val="0"/>
          <w:sz w:val="19"/>
          <w:szCs w:val="19"/>
        </w:rPr>
        <w:t xml:space="preserve">10% </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白银公司按约支付了预付款</w:t>
      </w:r>
      <w:r>
        <w:rPr>
          <w:rFonts w:ascii="Times New Roman" w:hAnsi="Times New Roman" w:eastAsia="Times New Roman" w:cs="Times New Roman"/>
          <w:color w:val="000000"/>
          <w:spacing w:val="0"/>
          <w:w w:val="100"/>
          <w:position w:val="0"/>
          <w:sz w:val="19"/>
          <w:szCs w:val="19"/>
        </w:rPr>
        <w:t>2226</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年期间，白银公司两次通 知开封东京公司暂缓加工，后者未提出异议。</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日，白银公司通知开封东京公 司按原合同继续执行，将设备调试完成、出氧时间定为复工后</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年之内。然而开封东京公司 复函表示，因合同经历两次暂缓履行，期间国内经济形势发生较大变化，目前融资贷款困 难，建议变更付款方式，即再支付合同价</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 xml:space="preserve">的预付款,同时将发货款与验收款的支付时间 提前,遭到白银公司拒绝。后白银公司委托律师前往开封东京公司进行调查，调查结果显 示后者不具备履行能力。白银公司遂通知开封东京公司中止履行合同，要求后者限期提供 能够履行合同的书面证据，并提供相应担保。由于开封东京公司在期限内未能提供，且仍 要求白银公司增加预付款，白银公司随后通知开封东京公司解除订货合同，并要求退还 </w:t>
      </w:r>
      <w:r>
        <w:rPr>
          <w:rFonts w:ascii="Times New Roman" w:hAnsi="Times New Roman" w:eastAsia="Times New Roman" w:cs="Times New Roman"/>
          <w:color w:val="000000"/>
          <w:spacing w:val="0"/>
          <w:w w:val="100"/>
          <w:position w:val="0"/>
          <w:sz w:val="19"/>
          <w:szCs w:val="19"/>
        </w:rPr>
        <w:t>2226</w:t>
      </w:r>
      <w:r>
        <w:rPr>
          <w:color w:val="000000"/>
          <w:spacing w:val="0"/>
          <w:w w:val="100"/>
          <w:position w:val="0"/>
        </w:rPr>
        <w:t>万元预付款，开封东京公司表示拒绝。双方协商不成，白银公司遂提起诉讼，请求法院 判令解除订货合同以及开封东京公司返还预付款等。</w:t>
      </w:r>
    </w:p>
    <w:p w14:paraId="1E5C459D">
      <w:pPr>
        <w:pStyle w:val="11"/>
        <w:keepNext w:val="0"/>
        <w:keepLines w:val="0"/>
        <w:widowControl w:val="0"/>
        <w:shd w:val="clear" w:color="auto" w:fill="auto"/>
        <w:bidi w:val="0"/>
        <w:spacing w:before="0" w:after="100" w:line="344"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2B1E7260">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部分维持、部分变更。</w:t>
      </w:r>
    </w:p>
    <w:p w14:paraId="01EA2363">
      <w:pPr>
        <w:pStyle w:val="17"/>
        <w:keepNext w:val="0"/>
        <w:keepLines w:val="0"/>
        <w:widowControl w:val="0"/>
        <w:shd w:val="clear" w:color="auto" w:fill="auto"/>
        <w:bidi w:val="0"/>
        <w:spacing w:before="0" w:after="360" w:line="346" w:lineRule="exact"/>
        <w:ind w:left="0" w:right="0" w:firstLine="420"/>
        <w:jc w:val="both"/>
        <w:sectPr>
          <w:footnotePr>
            <w:numFmt w:val="chicago"/>
          </w:footnotePr>
          <w:type w:val="continuous"/>
          <w:pgSz w:w="10099" w:h="14782"/>
          <w:pgMar w:top="1258" w:right="1081" w:bottom="1115" w:left="1016" w:header="830" w:footer="687" w:gutter="0"/>
          <w:cols w:space="720" w:num="1"/>
          <w:rtlGutter w:val="0"/>
          <w:docGrid w:linePitch="360" w:charSpace="0"/>
        </w:sectPr>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563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“有下</w:t>
      </w:r>
      <w:r>
        <w:rPr>
          <w:color w:val="000000"/>
          <w:spacing w:val="0"/>
          <w:w w:val="100"/>
          <w:position w:val="0"/>
        </w:rPr>
        <w:t>列情形之一的，当事人可 以解除合同：</w:t>
      </w:r>
      <w:r>
        <w:rPr>
          <w:color w:val="000000"/>
          <w:spacing w:val="0"/>
          <w:w w:val="100"/>
          <w:position w:val="0"/>
          <w:lang w:val="zh-CN" w:eastAsia="zh-CN" w:bidi="zh-CN"/>
        </w:rPr>
        <w:t>……</w:t>
      </w:r>
      <w:r>
        <w:rPr>
          <w:color w:val="000000"/>
          <w:spacing w:val="0"/>
          <w:w w:val="100"/>
          <w:position w:val="0"/>
        </w:rPr>
        <w:t>（二）在履行期限届满之前，当事人一方明确表示或者以自己的行为表明 不履行主要债务……</w:t>
      </w:r>
      <w:r>
        <w:rPr>
          <w:color w:val="000000"/>
          <w:spacing w:val="0"/>
          <w:w w:val="100"/>
          <w:position w:val="0"/>
          <w:lang w:val="zh-CN" w:eastAsia="zh-CN" w:bidi="zh-CN"/>
        </w:rPr>
        <w:t>”基</w:t>
      </w:r>
      <w:r>
        <w:rPr>
          <w:color w:val="000000"/>
          <w:spacing w:val="0"/>
          <w:w w:val="100"/>
          <w:position w:val="0"/>
        </w:rPr>
        <w:t xml:space="preserve">于被告因融资困难而要求原告支付额外预付款，以及原告派员调 查证明被告无履行能力的事实，原告有权要求被告提供相应的履约担保，在被告未提供担 </w:t>
      </w:r>
    </w:p>
    <w:p w14:paraId="39769FE7">
      <w:pPr>
        <w:pStyle w:val="17"/>
        <w:keepNext w:val="0"/>
        <w:keepLines w:val="0"/>
        <w:widowControl w:val="0"/>
        <w:shd w:val="clear" w:color="auto" w:fill="auto"/>
        <w:bidi w:val="0"/>
        <w:spacing w:before="0" w:after="360" w:line="346" w:lineRule="exact"/>
        <w:ind w:left="0" w:right="0" w:firstLine="0"/>
        <w:jc w:val="both"/>
      </w:pPr>
      <w:r>
        <w:rPr>
          <w:color w:val="000000"/>
          <w:spacing w:val="0"/>
          <w:w w:val="100"/>
          <w:position w:val="0"/>
        </w:rPr>
        <w:t>保的情况下，原告有权以预期违约为由解除合同。</w:t>
      </w:r>
    </w:p>
    <w:p w14:paraId="738001F4">
      <w:pPr>
        <w:pStyle w:val="11"/>
        <w:keepNext w:val="0"/>
        <w:keepLines w:val="0"/>
        <w:widowControl w:val="0"/>
        <w:shd w:val="clear" w:color="auto" w:fill="auto"/>
        <w:bidi w:val="0"/>
        <w:spacing w:before="0" w:after="260" w:line="343" w:lineRule="exact"/>
        <w:ind w:left="0" w:right="0" w:firstLine="0"/>
        <w:jc w:val="left"/>
      </w:pPr>
      <w:r>
        <w:rPr>
          <w:color w:val="000000"/>
          <w:spacing w:val="0"/>
          <w:w w:val="100"/>
          <w:position w:val="0"/>
        </w:rPr>
        <w:t>■评析</w:t>
      </w:r>
    </w:p>
    <w:p w14:paraId="2A83BFC2">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53967959">
      <w:pPr>
        <w:pStyle w:val="17"/>
        <w:keepNext w:val="0"/>
        <w:keepLines w:val="0"/>
        <w:widowControl w:val="0"/>
        <w:shd w:val="clear" w:color="auto" w:fill="auto"/>
        <w:bidi w:val="0"/>
        <w:spacing w:before="0" w:after="260" w:line="349" w:lineRule="exact"/>
        <w:ind w:left="0" w:right="0" w:firstLine="420"/>
        <w:jc w:val="both"/>
      </w:pPr>
      <w:r>
        <w:rPr>
          <w:color w:val="000000"/>
          <w:spacing w:val="0"/>
          <w:w w:val="100"/>
          <w:position w:val="0"/>
        </w:rPr>
        <w:t>本案一审判决判令订货合同解除,但其理由为:被告至原告起诉前，一直未向原告发出 合同约定的任何设备，其不履行合同的行为已构成现实违约，故根据原《合同法》第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 xml:space="preserve">条第 </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项“当事人一方迟延履行债务或者有其他违约行为致使不能实现合同目的”的规定，原告 有权解除订货合同。最高人民法院二审判决则认定，被告的行为构成预期违约，原告取得 解除权的法律依据应当是第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项有关预期违约的规定,故一审法院适用法律错误。 二审判决的意义在于，将“债务人欠缺履行能力+不提供担保”这一类似于原《合同法》第 </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条不安抗辩权规定的情形,认定为预期违约的一种类型，这对于预期违约规则的理解和 适用具有指导意义。</w:t>
      </w:r>
    </w:p>
    <w:p w14:paraId="18C93EB3">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预期违约的规范和学理</w:t>
      </w:r>
    </w:p>
    <w:p w14:paraId="73D9651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但凡包含履行期的双务合同，在履行期到来之前，都存在债务人不履约风险以及债权 人的风险防范问题。许多国家和地区的民事法律都赋予债权人一定的救济手段，使其在债 务人不履约风险增大到一定程度时，能及时采取措施避免损失并追究对方的违约责任。在 我国的法律体系中，也有应对不履约风险的制度安排，这就是《合同法》中的预期违约制度 （《民法典》第</w:t>
      </w:r>
      <w:r>
        <w:rPr>
          <w:rFonts w:ascii="Times New Roman" w:hAnsi="Times New Roman" w:eastAsia="Times New Roman" w:cs="Times New Roman"/>
          <w:color w:val="000000"/>
          <w:spacing w:val="0"/>
          <w:w w:val="100"/>
          <w:position w:val="0"/>
          <w:sz w:val="19"/>
          <w:szCs w:val="19"/>
        </w:rPr>
        <w:t>578</w:t>
      </w:r>
      <w:r>
        <w:rPr>
          <w:color w:val="000000"/>
          <w:spacing w:val="0"/>
          <w:w w:val="100"/>
          <w:position w:val="0"/>
        </w:rPr>
        <w:t>条）和不安抗辩权制度（《民法典》第</w:t>
      </w:r>
      <w:r>
        <w:rPr>
          <w:rFonts w:ascii="Times New Roman" w:hAnsi="Times New Roman" w:eastAsia="Times New Roman" w:cs="Times New Roman"/>
          <w:color w:val="000000"/>
          <w:spacing w:val="0"/>
          <w:w w:val="100"/>
          <w:position w:val="0"/>
          <w:sz w:val="19"/>
          <w:szCs w:val="19"/>
          <w:lang w:val="en-US" w:eastAsia="en-US" w:bidi="en-US"/>
        </w:rPr>
        <w:t>527.528</w:t>
      </w:r>
      <w:r>
        <w:rPr>
          <w:color w:val="000000"/>
          <w:spacing w:val="0"/>
          <w:w w:val="100"/>
          <w:position w:val="0"/>
        </w:rPr>
        <w:t>条）</w:t>
      </w:r>
      <w:r>
        <w:rPr>
          <w:i/>
          <w:iCs/>
          <w:color w:val="000000"/>
          <w:spacing w:val="0"/>
          <w:w w:val="100"/>
          <w:position w:val="0"/>
          <w:sz w:val="22"/>
          <w:szCs w:val="22"/>
        </w:rPr>
        <w:t>。</w:t>
      </w:r>
      <w:r>
        <w:rPr>
          <w:color w:val="000000"/>
          <w:spacing w:val="0"/>
          <w:w w:val="100"/>
          <w:position w:val="0"/>
        </w:rPr>
        <w:t>根据前者规定，在履 行期限届满之前,当事人一方明确表示（又称</w:t>
      </w:r>
      <w:r>
        <w:rPr>
          <w:color w:val="000000"/>
          <w:spacing w:val="0"/>
          <w:w w:val="100"/>
          <w:position w:val="0"/>
          <w:lang w:val="zh-CN" w:eastAsia="zh-CN" w:bidi="zh-CN"/>
        </w:rPr>
        <w:t>“明</w:t>
      </w:r>
      <w:r>
        <w:rPr>
          <w:color w:val="000000"/>
          <w:spacing w:val="0"/>
          <w:w w:val="100"/>
          <w:position w:val="0"/>
        </w:rPr>
        <w:t>示毁约”）或者以自己的行为表明不履行合 同义务（又称</w:t>
      </w:r>
      <w:r>
        <w:rPr>
          <w:color w:val="000000"/>
          <w:spacing w:val="0"/>
          <w:w w:val="100"/>
          <w:position w:val="0"/>
          <w:lang w:val="zh-CN" w:eastAsia="zh-CN" w:bidi="zh-CN"/>
        </w:rPr>
        <w:t>“默</w:t>
      </w:r>
      <w:r>
        <w:rPr>
          <w:color w:val="000000"/>
          <w:spacing w:val="0"/>
          <w:w w:val="100"/>
          <w:position w:val="0"/>
        </w:rPr>
        <w:t>示毁约”）时，另一方当事人可以立即解除合同并追究对方的违约责任。根 据后者规定，在双务合同中的后履行方丧失或可能丧失履行能力的情况下，先履行方可以 中止履行，但在中止履行后必须及时通知对方;若后履行方没有在合理期限内恢复履行能 力并且没有提供适当的担保，则先履行方有权解除合同。</w:t>
      </w:r>
    </w:p>
    <w:p w14:paraId="014E851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对比预期违约和不安抗辩权，主要有以下区别:首先,从适用条件看,预期违约和不安 抗辩权的适用范围主要以不履约风险激增的原因为区分标准。原《合同法》第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 和第</w:t>
      </w:r>
      <w:r>
        <w:rPr>
          <w:rFonts w:ascii="Times New Roman" w:hAnsi="Times New Roman" w:eastAsia="Times New Roman" w:cs="Times New Roman"/>
          <w:color w:val="000000"/>
          <w:spacing w:val="0"/>
          <w:w w:val="100"/>
          <w:position w:val="0"/>
          <w:sz w:val="19"/>
          <w:szCs w:val="19"/>
        </w:rPr>
        <w:t>108</w:t>
      </w:r>
      <w:r>
        <w:rPr>
          <w:color w:val="000000"/>
          <w:spacing w:val="0"/>
          <w:w w:val="100"/>
          <w:position w:val="0"/>
        </w:rPr>
        <w:t>条所规定的适用情形多被解释为</w:t>
      </w:r>
      <w:r>
        <w:rPr>
          <w:color w:val="000000"/>
          <w:spacing w:val="0"/>
          <w:w w:val="100"/>
          <w:position w:val="0"/>
          <w:lang w:val="zh-CN" w:eastAsia="zh-CN" w:bidi="zh-CN"/>
        </w:rPr>
        <w:t>“拒</w:t>
      </w:r>
      <w:r>
        <w:rPr>
          <w:color w:val="000000"/>
          <w:spacing w:val="0"/>
          <w:w w:val="100"/>
          <w:position w:val="0"/>
        </w:rPr>
        <w:t>绝履行</w:t>
      </w:r>
      <w:r>
        <w:rPr>
          <w:color w:val="000000"/>
          <w:spacing w:val="0"/>
          <w:w w:val="100"/>
          <w:position w:val="0"/>
          <w:vertAlign w:val="superscript"/>
          <w:lang w:val="en-US" w:eastAsia="en-US" w:bidi="en-US"/>
        </w:rPr>
        <w:t>n</w:t>
      </w:r>
      <w:r>
        <w:rPr>
          <w:color w:val="000000"/>
          <w:spacing w:val="0"/>
          <w:w w:val="100"/>
          <w:position w:val="0"/>
          <w:lang w:val="en-US" w:eastAsia="en-US" w:bidi="en-US"/>
        </w:rPr>
        <w:t xml:space="preserve"> </w:t>
      </w:r>
      <w:r>
        <w:rPr>
          <w:color w:val="000000"/>
          <w:spacing w:val="0"/>
          <w:w w:val="100"/>
          <w:position w:val="0"/>
        </w:rPr>
        <w:t>（</w:t>
      </w:r>
      <w:r>
        <w:rPr>
          <w:rFonts w:ascii="Times New Roman" w:hAnsi="Times New Roman" w:eastAsia="Times New Roman" w:cs="Times New Roman"/>
          <w:color w:val="000000"/>
          <w:spacing w:val="0"/>
          <w:w w:val="100"/>
          <w:position w:val="0"/>
          <w:sz w:val="19"/>
          <w:szCs w:val="19"/>
          <w:lang w:val="en-US" w:eastAsia="en-US" w:bidi="en-US"/>
        </w:rPr>
        <w:t>anticipatory repudiation）</w:t>
      </w:r>
      <w:r>
        <w:rPr>
          <w:color w:val="000000"/>
          <w:spacing w:val="0"/>
          <w:w w:val="100"/>
          <w:position w:val="0"/>
        </w:rPr>
        <w:t>，主要针对 的是债务人欠缺履行意愿的情形。而第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条明确规定其适用于债务人欠缺履行能力的情 形。不过学术界也有观点主张，将制度所应对的将来不履行的确定性程度作为区分标准, 即以预期违约应对确定不履行的情形，以不安抗辩权应对不履行尚不确定的情形。其次, 从法律效果来看，预期违约规定的是一种无须催告的径直性解除机制。之所以不需要催 告，是因为债务人既然明确表示不愿再履行合同，也就没有必要给予其回心转意的机会。 而不安抗辩权规定的是一种渐进性解除机制，即中止履行权人要解除合同，必须经过</w:t>
      </w:r>
      <w:r>
        <w:rPr>
          <w:color w:val="000000"/>
          <w:spacing w:val="0"/>
          <w:w w:val="100"/>
          <w:position w:val="0"/>
          <w:lang w:val="zh-CN" w:eastAsia="zh-CN" w:bidi="zh-CN"/>
        </w:rPr>
        <w:t xml:space="preserve">“通知 </w:t>
      </w:r>
      <w:r>
        <w:rPr>
          <w:color w:val="000000"/>
          <w:spacing w:val="0"/>
          <w:w w:val="100"/>
          <w:position w:val="0"/>
        </w:rPr>
        <w:t>+不提供担保</w:t>
      </w:r>
      <w:r>
        <w:rPr>
          <w:color w:val="000000"/>
          <w:spacing w:val="0"/>
          <w:w w:val="100"/>
          <w:position w:val="0"/>
          <w:lang w:val="zh-CN" w:eastAsia="zh-CN" w:bidi="zh-CN"/>
        </w:rPr>
        <w:t>”这</w:t>
      </w:r>
      <w:r>
        <w:rPr>
          <w:color w:val="000000"/>
          <w:spacing w:val="0"/>
          <w:w w:val="100"/>
          <w:position w:val="0"/>
        </w:rPr>
        <w:t>一类似于催告的前置程序。这是因为，履行能力的欠缺一般出于客观原 因，主观上债务人可能有继续履行之意愿，事实上也有恢复履行能力的可能，故应当给予债 务人消除不履约风险并维系交易关系的机会，而不宜允许债权人立即解除合同关系。</w:t>
      </w:r>
    </w:p>
    <w:p w14:paraId="3AFD464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尽管预期违约和不安抗辩权有上述区分，但是学术界的主流观点认为,这两个制度之 间存在衔接关系，即所谓第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项中“以自己的行为表明不履行主要债务</w:t>
      </w:r>
      <w:r>
        <w:rPr>
          <w:color w:val="000000"/>
          <w:spacing w:val="0"/>
          <w:w w:val="100"/>
          <w:position w:val="0"/>
          <w:lang w:val="zh-CN" w:eastAsia="zh-CN" w:bidi="zh-CN"/>
        </w:rPr>
        <w:t>”，指</w:t>
      </w:r>
      <w:r>
        <w:rPr>
          <w:color w:val="000000"/>
          <w:spacing w:val="0"/>
          <w:w w:val="100"/>
          <w:position w:val="0"/>
        </w:rPr>
        <w:t>的就是 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条规定的“债务人欠缺履行能力+不提供担保</w:t>
      </w:r>
      <w:r>
        <w:rPr>
          <w:color w:val="000000"/>
          <w:spacing w:val="0"/>
          <w:w w:val="100"/>
          <w:position w:val="0"/>
          <w:lang w:val="zh-CN" w:eastAsia="zh-CN" w:bidi="zh-CN"/>
        </w:rPr>
        <w:t>”的</w:t>
      </w:r>
      <w:r>
        <w:rPr>
          <w:color w:val="000000"/>
          <w:spacing w:val="0"/>
          <w:w w:val="100"/>
          <w:position w:val="0"/>
        </w:rPr>
        <w:t>情形。这应当说是对拒绝履行概念 的一种扩张性解释,因为严格意义上的拒绝履行，原本是指债务人以明确且肯定的形式表 明自己将不再继续履行合同，以及通过自发且积极的行为使得合同履行不再可能（如卖方 把特定的合同标的物出售给第三方）这两种行为类型，而不包括“债务人欠缺履行能力+不 提供担保”的情形。依据这一“衔接论</w:t>
      </w:r>
      <w:r>
        <w:rPr>
          <w:color w:val="000000"/>
          <w:spacing w:val="0"/>
          <w:w w:val="100"/>
          <w:position w:val="0"/>
          <w:lang w:val="zh-CN" w:eastAsia="zh-CN" w:bidi="zh-CN"/>
        </w:rPr>
        <w:t>”，结</w:t>
      </w:r>
      <w:r>
        <w:rPr>
          <w:color w:val="000000"/>
          <w:spacing w:val="0"/>
          <w:w w:val="100"/>
          <w:position w:val="0"/>
        </w:rPr>
        <w:t>论便是，预期违约不仅适用于债务人欠缺履行意 愿，也适用于债务人欠缺履行能力的情形。</w:t>
      </w:r>
    </w:p>
    <w:p w14:paraId="388D74E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然而,无论是依据第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条还是依据第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项，最终结果都一样，即债权人均可获 得解除权。既然如此，为何还要将预期违约和不安抗辩权相衔接？或者说，为何有必要扩张 解释</w:t>
      </w:r>
      <w:r>
        <w:rPr>
          <w:color w:val="000000"/>
          <w:spacing w:val="0"/>
          <w:w w:val="100"/>
          <w:position w:val="0"/>
          <w:lang w:val="zh-CN" w:eastAsia="zh-CN" w:bidi="zh-CN"/>
        </w:rPr>
        <w:t>“以自</w:t>
      </w:r>
      <w:r>
        <w:rPr>
          <w:color w:val="000000"/>
          <w:spacing w:val="0"/>
          <w:w w:val="100"/>
          <w:position w:val="0"/>
        </w:rPr>
        <w:t>己的行为表明不履行合同义务”？这是因为，第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条仅规定了解除，未规定损害 赔偿，因而债权人根据该条规定解除合同后，缺乏直接的法律依据来解决履行期前的损失 清算问题，如果能使第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条和预期违约衔接,就能使债权人援引第</w:t>
      </w:r>
      <w:r>
        <w:rPr>
          <w:rFonts w:ascii="Times New Roman" w:hAnsi="Times New Roman" w:eastAsia="Times New Roman" w:cs="Times New Roman"/>
          <w:color w:val="000000"/>
          <w:spacing w:val="0"/>
          <w:w w:val="100"/>
          <w:position w:val="0"/>
          <w:sz w:val="19"/>
          <w:szCs w:val="19"/>
        </w:rPr>
        <w:t>108</w:t>
      </w:r>
      <w:r>
        <w:rPr>
          <w:color w:val="000000"/>
          <w:spacing w:val="0"/>
          <w:w w:val="100"/>
          <w:position w:val="0"/>
        </w:rPr>
        <w:t>条追究对方的违约 责任。针对这一问题，《民法典》对不安抗辩权的规定进行了修改，其第</w:t>
      </w:r>
      <w:r>
        <w:rPr>
          <w:rFonts w:ascii="Times New Roman" w:hAnsi="Times New Roman" w:eastAsia="Times New Roman" w:cs="Times New Roman"/>
          <w:color w:val="000000"/>
          <w:spacing w:val="0"/>
          <w:w w:val="100"/>
          <w:position w:val="0"/>
          <w:sz w:val="19"/>
          <w:szCs w:val="19"/>
        </w:rPr>
        <w:t>528</w:t>
      </w:r>
      <w:r>
        <w:rPr>
          <w:color w:val="000000"/>
          <w:spacing w:val="0"/>
          <w:w w:val="100"/>
          <w:position w:val="0"/>
        </w:rPr>
        <w:t>条规定，先履行 方中止履行后，对方在合理期限内未恢复履行能力或提供适当担保,将被视为以自己的行 为表明不履行主要债务,此时中止履行的一方可以解除合同并可以请求对方承担违约责 任。这就为中止履行权人解除合同后进行损失清算提供了直接法律依据。</w:t>
      </w:r>
    </w:p>
    <w:p w14:paraId="05DD969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除此之外，对扩张解释</w:t>
      </w:r>
      <w:r>
        <w:rPr>
          <w:color w:val="000000"/>
          <w:spacing w:val="0"/>
          <w:w w:val="100"/>
          <w:position w:val="0"/>
          <w:lang w:val="zh-CN" w:eastAsia="zh-CN" w:bidi="zh-CN"/>
        </w:rPr>
        <w:t>“以自</w:t>
      </w:r>
      <w:r>
        <w:rPr>
          <w:color w:val="000000"/>
          <w:spacing w:val="0"/>
          <w:w w:val="100"/>
          <w:position w:val="0"/>
        </w:rPr>
        <w:t>己的行为表明不履行合同义务”的意义还可做进一步挖 掘。不安抗辩权制度规定的渐进性解除机制以中止履行为起点，要求债权人负有先履行义 务,这就使后履行方或同时履行方在对方欠缺履行能力时,无法发动该解除机制。然而，当 合同履行无望，合同关系的维系失去意义时，提前解除合同可使债权人避免因继续投入而 蒙受进一步的损失，并尽快寻求其他交易机会，这种期前解除的意义,没有理由因履行期的 先后关系而遭到否定。即使债权人无需先行履行，也应当在其合同利益受到重大威胁时， 允许其在与债务人协商未果后提前终结病态合同关系。通过扩张预期违约的适用范围，使 “以自己的行为表明不履行合同义务</w:t>
      </w:r>
      <w:r>
        <w:rPr>
          <w:color w:val="000000"/>
          <w:spacing w:val="0"/>
          <w:w w:val="100"/>
          <w:position w:val="0"/>
          <w:lang w:val="zh-CN" w:eastAsia="zh-CN" w:bidi="zh-CN"/>
        </w:rPr>
        <w:t>”灵活</w:t>
      </w:r>
      <w:r>
        <w:rPr>
          <w:color w:val="000000"/>
          <w:spacing w:val="0"/>
          <w:w w:val="100"/>
          <w:position w:val="0"/>
        </w:rPr>
        <w:t>适用于任何“债务人缺乏履行能力+不提供担 保”的情形，可以实现上述救济机制，从而弥补不履约救济风险制度的缺陷。</w:t>
      </w:r>
    </w:p>
    <w:p w14:paraId="4A6D414B">
      <w:pPr>
        <w:pStyle w:val="17"/>
        <w:keepNext w:val="0"/>
        <w:keepLines w:val="0"/>
        <w:widowControl w:val="0"/>
        <w:shd w:val="clear" w:color="auto" w:fill="auto"/>
        <w:bidi w:val="0"/>
        <w:spacing w:before="0" w:after="300" w:line="343" w:lineRule="exact"/>
        <w:ind w:left="0" w:right="0" w:firstLine="420"/>
        <w:jc w:val="both"/>
      </w:pPr>
      <w:r>
        <w:rPr>
          <w:color w:val="000000"/>
          <w:spacing w:val="0"/>
          <w:w w:val="100"/>
          <w:position w:val="0"/>
        </w:rPr>
        <w:t>以此来看本案判决，其正是采取了这一方法。从原被告的纠纷经过看，存在</w:t>
      </w:r>
      <w:r>
        <w:rPr>
          <w:color w:val="000000"/>
          <w:spacing w:val="0"/>
          <w:w w:val="100"/>
          <w:position w:val="0"/>
          <w:lang w:val="zh-CN" w:eastAsia="zh-CN" w:bidi="zh-CN"/>
        </w:rPr>
        <w:t>“债</w:t>
      </w:r>
      <w:r>
        <w:rPr>
          <w:color w:val="000000"/>
          <w:spacing w:val="0"/>
          <w:w w:val="100"/>
          <w:position w:val="0"/>
        </w:rPr>
        <w:t>务人缺 乏履行能力+不提供担保</w:t>
      </w:r>
      <w:r>
        <w:rPr>
          <w:color w:val="000000"/>
          <w:spacing w:val="0"/>
          <w:w w:val="100"/>
          <w:position w:val="0"/>
          <w:lang w:val="zh-CN" w:eastAsia="zh-CN" w:bidi="zh-CN"/>
        </w:rPr>
        <w:t>”的</w:t>
      </w:r>
      <w:r>
        <w:rPr>
          <w:color w:val="000000"/>
          <w:spacing w:val="0"/>
          <w:w w:val="100"/>
          <w:position w:val="0"/>
        </w:rPr>
        <w:t>事实，似乎可依据第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条进行处理。但一审、二审法院均没 有把不安抗辩权制度作为依据,原因恐怕在于，原告的付款义务并非完全先于被告的义务, 其预付款部分也已经履行完毕,因此严格来说，并不完全符合第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条所要求的</w:t>
      </w:r>
      <w:r>
        <w:rPr>
          <w:color w:val="000000"/>
          <w:spacing w:val="0"/>
          <w:w w:val="100"/>
          <w:position w:val="0"/>
          <w:lang w:val="zh-CN" w:eastAsia="zh-CN" w:bidi="zh-CN"/>
        </w:rPr>
        <w:t>“先履</w:t>
      </w:r>
      <w:r>
        <w:rPr>
          <w:color w:val="000000"/>
          <w:spacing w:val="0"/>
          <w:w w:val="100"/>
          <w:position w:val="0"/>
        </w:rPr>
        <w:t>行”条 件。或许因为如此，一审法院将原告的解除权依据归结于被告的现实违约。不过一审法院 的认定也存在问题，因为从本案的事实来看,原告推迟了被告的履行期限，在原告发出解除 通知的时点，被告的合同义务实际上尚未届期，故而难以认定其存在现实违约，其行为触发 的应是不履约风险救济机制。二审法院的处理方式则是，进一步扩张解释“以自己的行为 表明不履行合同义务</w:t>
      </w:r>
      <w:r>
        <w:rPr>
          <w:color w:val="000000"/>
          <w:spacing w:val="0"/>
          <w:w w:val="100"/>
          <w:position w:val="0"/>
          <w:lang w:val="zh-CN" w:eastAsia="zh-CN" w:bidi="zh-CN"/>
        </w:rPr>
        <w:t>”，使</w:t>
      </w:r>
      <w:r>
        <w:rPr>
          <w:color w:val="000000"/>
          <w:spacing w:val="0"/>
          <w:w w:val="100"/>
          <w:position w:val="0"/>
        </w:rPr>
        <w:t>其能够适用于一切债务人欠缺履行能力的情形,并使第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款同时容纳径直性解除和渐进性解除两套救济机制。</w:t>
      </w:r>
    </w:p>
    <w:p w14:paraId="2B04067A">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3871814B">
      <w:pPr>
        <w:pStyle w:val="17"/>
        <w:keepNext w:val="0"/>
        <w:keepLines w:val="0"/>
        <w:widowControl w:val="0"/>
        <w:shd w:val="clear" w:color="auto" w:fill="auto"/>
        <w:bidi w:val="0"/>
        <w:spacing w:before="0" w:after="180" w:line="341" w:lineRule="exact"/>
        <w:ind w:left="0" w:right="0" w:firstLine="420"/>
        <w:jc w:val="both"/>
        <w:rPr>
          <w:sz w:val="11"/>
          <w:szCs w:val="11"/>
        </w:rPr>
      </w:pPr>
      <w:r>
        <w:rPr>
          <w:color w:val="000000"/>
          <w:spacing w:val="0"/>
          <w:w w:val="100"/>
          <w:position w:val="0"/>
          <w:sz w:val="18"/>
          <w:szCs w:val="18"/>
        </w:rPr>
        <w:t>上述处理方式在司法实务界也得到了较广泛的采纳，因此本案判决具有一定的代表 性。例如，在</w:t>
      </w:r>
      <w:r>
        <w:rPr>
          <w:color w:val="000000"/>
          <w:spacing w:val="0"/>
          <w:w w:val="100"/>
          <w:position w:val="0"/>
          <w:sz w:val="18"/>
          <w:szCs w:val="18"/>
          <w:lang w:val="zh-CN" w:eastAsia="zh-CN" w:bidi="zh-CN"/>
        </w:rPr>
        <w:t>“杭州</w:t>
      </w:r>
      <w:r>
        <w:rPr>
          <w:color w:val="000000"/>
          <w:spacing w:val="0"/>
          <w:w w:val="100"/>
          <w:position w:val="0"/>
          <w:sz w:val="18"/>
          <w:szCs w:val="18"/>
        </w:rPr>
        <w:t xml:space="preserve">微电机厂诉上海威群空调设备有限公司购销合同债务转让案” </w:t>
      </w:r>
      <w:r>
        <w:rPr>
          <w:color w:val="000000"/>
          <w:spacing w:val="0"/>
          <w:w w:val="100"/>
          <w:position w:val="0"/>
          <w:sz w:val="18"/>
          <w:szCs w:val="18"/>
          <w:lang w:val="en-US" w:eastAsia="en-US" w:bidi="en-US"/>
        </w:rPr>
        <w:t>［</w:t>
      </w:r>
      <w:r>
        <w:rPr>
          <w:rFonts w:ascii="Times New Roman" w:hAnsi="Times New Roman" w:eastAsia="Times New Roman" w:cs="Times New Roman"/>
          <w:color w:val="000000"/>
          <w:spacing w:val="0"/>
          <w:w w:val="100"/>
          <w:position w:val="0"/>
          <w:sz w:val="19"/>
          <w:szCs w:val="19"/>
        </w:rPr>
        <w:t xml:space="preserve">(1999) </w:t>
      </w:r>
      <w:r>
        <w:rPr>
          <w:color w:val="000000"/>
          <w:spacing w:val="0"/>
          <w:w w:val="100"/>
          <w:position w:val="0"/>
          <w:sz w:val="18"/>
          <w:szCs w:val="18"/>
        </w:rPr>
        <w:t>金经初字第</w:t>
      </w:r>
      <w:r>
        <w:rPr>
          <w:rFonts w:ascii="Times New Roman" w:hAnsi="Times New Roman" w:eastAsia="Times New Roman" w:cs="Times New Roman"/>
          <w:color w:val="000000"/>
          <w:spacing w:val="0"/>
          <w:w w:val="100"/>
          <w:position w:val="0"/>
          <w:sz w:val="19"/>
          <w:szCs w:val="19"/>
        </w:rPr>
        <w:t>909</w:t>
      </w:r>
      <w:r>
        <w:rPr>
          <w:color w:val="000000"/>
          <w:spacing w:val="0"/>
          <w:w w:val="100"/>
          <w:position w:val="0"/>
          <w:sz w:val="18"/>
          <w:szCs w:val="18"/>
        </w:rPr>
        <w:t>号］、</w:t>
      </w:r>
      <w:r>
        <w:rPr>
          <w:color w:val="000000"/>
          <w:spacing w:val="0"/>
          <w:w w:val="100"/>
          <w:position w:val="0"/>
          <w:sz w:val="18"/>
          <w:szCs w:val="18"/>
          <w:lang w:val="zh-CN" w:eastAsia="zh-CN" w:bidi="zh-CN"/>
        </w:rPr>
        <w:t>“上海</w:t>
      </w:r>
      <w:r>
        <w:rPr>
          <w:color w:val="000000"/>
          <w:spacing w:val="0"/>
          <w:w w:val="100"/>
          <w:position w:val="0"/>
          <w:sz w:val="18"/>
          <w:szCs w:val="18"/>
        </w:rPr>
        <w:t>鑫波贸易有限公司与上海泰琪高强水泥制品厂买卖合同纠纷上 诉案</w:t>
      </w:r>
      <w:r>
        <w:rPr>
          <w:rFonts w:ascii="Times New Roman" w:hAnsi="Times New Roman" w:eastAsia="Times New Roman" w:cs="Times New Roman"/>
          <w:color w:val="000000"/>
          <w:spacing w:val="0"/>
          <w:w w:val="100"/>
          <w:position w:val="0"/>
          <w:sz w:val="19"/>
          <w:szCs w:val="19"/>
          <w:lang w:val="en-US" w:eastAsia="en-US" w:bidi="en-US"/>
        </w:rPr>
        <w:t>”［(2002)</w:t>
      </w:r>
      <w:r>
        <w:rPr>
          <w:color w:val="000000"/>
          <w:spacing w:val="0"/>
          <w:w w:val="100"/>
          <w:position w:val="0"/>
          <w:sz w:val="18"/>
          <w:szCs w:val="18"/>
        </w:rPr>
        <w:t>沪二中民四(商)终字第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sz w:val="18"/>
          <w:szCs w:val="18"/>
        </w:rPr>
        <w:t>号］、</w:t>
      </w:r>
      <w:r>
        <w:rPr>
          <w:color w:val="000000"/>
          <w:spacing w:val="0"/>
          <w:w w:val="100"/>
          <w:position w:val="0"/>
          <w:sz w:val="18"/>
          <w:szCs w:val="18"/>
          <w:lang w:val="zh-CN" w:eastAsia="zh-CN" w:bidi="zh-CN"/>
        </w:rPr>
        <w:t>“史宇</w:t>
      </w:r>
      <w:r>
        <w:rPr>
          <w:color w:val="000000"/>
          <w:spacing w:val="0"/>
          <w:w w:val="100"/>
          <w:position w:val="0"/>
          <w:sz w:val="18"/>
          <w:szCs w:val="18"/>
        </w:rPr>
        <w:t xml:space="preserve">峰与何杰林民间借贷纠纷上诉案” </w:t>
      </w:r>
      <w:r>
        <w:rPr>
          <w:rFonts w:ascii="Times New Roman" w:hAnsi="Times New Roman" w:eastAsia="Times New Roman" w:cs="Times New Roman"/>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sz w:val="18"/>
          <w:szCs w:val="18"/>
        </w:rPr>
        <w:t>穗中法民一终字第</w:t>
      </w:r>
      <w:r>
        <w:rPr>
          <w:rFonts w:ascii="Times New Roman" w:hAnsi="Times New Roman" w:eastAsia="Times New Roman" w:cs="Times New Roman"/>
          <w:color w:val="000000"/>
          <w:spacing w:val="0"/>
          <w:w w:val="100"/>
          <w:position w:val="0"/>
          <w:sz w:val="19"/>
          <w:szCs w:val="19"/>
        </w:rPr>
        <w:t>2830</w:t>
      </w:r>
      <w:r>
        <w:rPr>
          <w:color w:val="000000"/>
          <w:spacing w:val="0"/>
          <w:w w:val="100"/>
          <w:position w:val="0"/>
          <w:sz w:val="18"/>
          <w:szCs w:val="18"/>
        </w:rPr>
        <w:t>号］</w:t>
      </w:r>
      <w:r>
        <w:rPr>
          <w:color w:val="000000"/>
          <w:spacing w:val="0"/>
          <w:w w:val="100"/>
          <w:position w:val="0"/>
          <w:sz w:val="18"/>
          <w:szCs w:val="18"/>
          <w:lang w:val="zh-CN" w:eastAsia="zh-CN" w:bidi="zh-CN"/>
        </w:rPr>
        <w:t>、“花</w:t>
      </w:r>
      <w:r>
        <w:rPr>
          <w:color w:val="000000"/>
          <w:spacing w:val="0"/>
          <w:w w:val="100"/>
          <w:position w:val="0"/>
          <w:sz w:val="18"/>
          <w:szCs w:val="18"/>
        </w:rPr>
        <w:t>旗银行(中国)有限公司诉樱达生活电器(中山) 有限公司合同纠纷案</w:t>
      </w:r>
      <w:r>
        <w:rPr>
          <w:rFonts w:ascii="Times New Roman" w:hAnsi="Times New Roman" w:eastAsia="Times New Roman" w:cs="Times New Roman"/>
          <w:color w:val="000000"/>
          <w:spacing w:val="0"/>
          <w:w w:val="100"/>
          <w:position w:val="0"/>
          <w:sz w:val="19"/>
          <w:szCs w:val="19"/>
          <w:lang w:val="en-US" w:eastAsia="en-US" w:bidi="en-US"/>
        </w:rPr>
        <w:t>”［(2014)</w:t>
      </w:r>
      <w:r>
        <w:rPr>
          <w:color w:val="000000"/>
          <w:spacing w:val="0"/>
          <w:w w:val="100"/>
          <w:position w:val="0"/>
          <w:sz w:val="18"/>
          <w:szCs w:val="18"/>
        </w:rPr>
        <w:t>浦民六(商)初字第</w:t>
      </w:r>
      <w:r>
        <w:rPr>
          <w:rFonts w:ascii="Times New Roman" w:hAnsi="Times New Roman" w:eastAsia="Times New Roman" w:cs="Times New Roman"/>
          <w:color w:val="000000"/>
          <w:spacing w:val="0"/>
          <w:w w:val="100"/>
          <w:position w:val="0"/>
          <w:sz w:val="19"/>
          <w:szCs w:val="19"/>
          <w:lang w:val="en-US" w:eastAsia="en-US" w:bidi="en-US"/>
        </w:rPr>
        <w:t>S3800</w:t>
      </w:r>
      <w:r>
        <w:rPr>
          <w:color w:val="000000"/>
          <w:spacing w:val="0"/>
          <w:w w:val="100"/>
          <w:position w:val="0"/>
          <w:sz w:val="18"/>
          <w:szCs w:val="18"/>
        </w:rPr>
        <w:t>号］</w:t>
      </w:r>
      <w:r>
        <w:rPr>
          <w:color w:val="000000"/>
          <w:spacing w:val="0"/>
          <w:w w:val="100"/>
          <w:position w:val="0"/>
          <w:sz w:val="18"/>
          <w:szCs w:val="18"/>
          <w:lang w:val="zh-CN" w:eastAsia="zh-CN" w:bidi="zh-CN"/>
        </w:rPr>
        <w:t>、“王</w:t>
      </w:r>
      <w:r>
        <w:rPr>
          <w:color w:val="000000"/>
          <w:spacing w:val="0"/>
          <w:w w:val="100"/>
          <w:position w:val="0"/>
          <w:sz w:val="18"/>
          <w:szCs w:val="18"/>
        </w:rPr>
        <w:t xml:space="preserve">玮、惠州市康之源医药有 限公司股权转让纠纷案” </w:t>
      </w:r>
      <w:r>
        <w:rPr>
          <w:rFonts w:ascii="Times New Roman" w:hAnsi="Times New Roman" w:eastAsia="Times New Roman" w:cs="Times New Roman"/>
          <w:color w:val="000000"/>
          <w:spacing w:val="0"/>
          <w:w w:val="100"/>
          <w:position w:val="0"/>
          <w:sz w:val="19"/>
          <w:szCs w:val="19"/>
          <w:lang w:val="en-US" w:eastAsia="en-US" w:bidi="en-US"/>
        </w:rPr>
        <w:t>［(2018)</w:t>
      </w:r>
      <w:r>
        <w:rPr>
          <w:color w:val="000000"/>
          <w:spacing w:val="0"/>
          <w:w w:val="100"/>
          <w:position w:val="0"/>
          <w:sz w:val="18"/>
          <w:szCs w:val="18"/>
        </w:rPr>
        <w:t>粤</w:t>
      </w:r>
      <w:r>
        <w:rPr>
          <w:rFonts w:ascii="Times New Roman" w:hAnsi="Times New Roman" w:eastAsia="Times New Roman" w:cs="Times New Roman"/>
          <w:color w:val="000000"/>
          <w:spacing w:val="0"/>
          <w:w w:val="100"/>
          <w:position w:val="0"/>
          <w:sz w:val="19"/>
          <w:szCs w:val="19"/>
        </w:rPr>
        <w:t>13</w:t>
      </w:r>
      <w:r>
        <w:rPr>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5233</w:t>
      </w:r>
      <w:r>
        <w:rPr>
          <w:color w:val="000000"/>
          <w:spacing w:val="0"/>
          <w:w w:val="100"/>
          <w:position w:val="0"/>
          <w:sz w:val="18"/>
          <w:szCs w:val="18"/>
        </w:rPr>
        <w:t>号］等案中，法院均认为，所谓</w:t>
      </w:r>
      <w:r>
        <w:rPr>
          <w:color w:val="000000"/>
          <w:spacing w:val="0"/>
          <w:w w:val="100"/>
          <w:position w:val="0"/>
          <w:sz w:val="18"/>
          <w:szCs w:val="18"/>
          <w:lang w:val="zh-CN" w:eastAsia="zh-CN" w:bidi="zh-CN"/>
        </w:rPr>
        <w:t>“以</w:t>
      </w:r>
      <w:r>
        <w:rPr>
          <w:color w:val="000000"/>
          <w:spacing w:val="0"/>
          <w:w w:val="100"/>
          <w:position w:val="0"/>
          <w:sz w:val="18"/>
          <w:szCs w:val="18"/>
        </w:rPr>
        <w:t>自己的 行为表明不履行合同义务</w:t>
      </w:r>
      <w:r>
        <w:rPr>
          <w:color w:val="000000"/>
          <w:spacing w:val="0"/>
          <w:w w:val="100"/>
          <w:position w:val="0"/>
          <w:sz w:val="18"/>
          <w:szCs w:val="18"/>
          <w:lang w:val="zh-CN" w:eastAsia="zh-CN" w:bidi="zh-CN"/>
        </w:rPr>
        <w:t>”的判</w:t>
      </w:r>
      <w:r>
        <w:rPr>
          <w:color w:val="000000"/>
          <w:spacing w:val="0"/>
          <w:w w:val="100"/>
          <w:position w:val="0"/>
          <w:sz w:val="18"/>
          <w:szCs w:val="18"/>
        </w:rPr>
        <w:t>断标准应比照不安抗辩权。即其应具备以下条件：(</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8"/>
          <w:szCs w:val="18"/>
        </w:rPr>
        <w:t>一方 预见另一方在履期限到来时，将不履行或不能履行合同</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sz w:val="18"/>
          <w:szCs w:val="18"/>
        </w:rPr>
        <w:t xml:space="preserve">一方的预见有确切的证据； </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被要求提供履行保证的一方不能在合理期间内提供充分的保证。采取这种判断标准的 理由是:</w:t>
      </w:r>
      <w:r>
        <w:rPr>
          <w:color w:val="000000"/>
          <w:spacing w:val="0"/>
          <w:w w:val="100"/>
          <w:position w:val="0"/>
          <w:sz w:val="18"/>
          <w:szCs w:val="18"/>
          <w:lang w:val="zh-CN" w:eastAsia="zh-CN" w:bidi="zh-CN"/>
        </w:rPr>
        <w:t>“默示</w:t>
      </w:r>
      <w:r>
        <w:rPr>
          <w:color w:val="000000"/>
          <w:spacing w:val="0"/>
          <w:w w:val="100"/>
          <w:position w:val="0"/>
          <w:sz w:val="18"/>
          <w:szCs w:val="18"/>
        </w:rPr>
        <w:t>毁约是指合同履行期限到来之前,一方当事人有确凿的证据证明另一方当事 人在履行期限到来时，将不履行合同，且另一方当事人又不愿提供必要的履行担保的行为。 由于一方对另一方在合同期限到来时不能履行合同的预见具有强烈的主观性，为使这种预 见具有客观性，就必须借助于一定的客观标准来判断是否构成默示毁约，否则就会出现主 观臆断的默示毁约，所以，即使一方当事人理由十分充足、证据十分确凿，也不能立即宣告 对方构成违约，并获得法律的救济，而应当通知对方，要求对方提供充分的履行担保，对方 在合理期限内未提供担保的，才可认定对方构成违约。</w:t>
      </w:r>
      <w:r>
        <w:rPr>
          <w:color w:val="000000"/>
          <w:spacing w:val="0"/>
          <w:w w:val="100"/>
          <w:position w:val="0"/>
          <w:sz w:val="11"/>
          <w:szCs w:val="11"/>
          <w:lang w:val="zh-CN" w:eastAsia="zh-CN" w:bidi="zh-CN"/>
        </w:rPr>
        <w:t>”(参</w:t>
      </w:r>
      <w:r>
        <w:rPr>
          <w:color w:val="000000"/>
          <w:spacing w:val="0"/>
          <w:w w:val="100"/>
          <w:position w:val="0"/>
          <w:sz w:val="11"/>
          <w:szCs w:val="11"/>
        </w:rPr>
        <w:t>见上海鑫流贸易有限公司与上海泰 琪高强水泥制品厂买卖合同纠纷上诉案</w:t>
      </w:r>
      <w:r>
        <w:rPr>
          <w:rFonts w:ascii="Times New Roman" w:hAnsi="Times New Roman" w:eastAsia="Times New Roman" w:cs="Times New Roman"/>
          <w:color w:val="000000"/>
          <w:spacing w:val="0"/>
          <w:w w:val="100"/>
          <w:position w:val="0"/>
          <w:sz w:val="19"/>
          <w:szCs w:val="19"/>
          <w:lang w:val="en-US" w:eastAsia="en-US" w:bidi="en-US"/>
        </w:rPr>
        <w:t>［(2002)</w:t>
      </w:r>
      <w:r>
        <w:rPr>
          <w:color w:val="000000"/>
          <w:spacing w:val="0"/>
          <w:w w:val="100"/>
          <w:position w:val="0"/>
          <w:sz w:val="11"/>
          <w:szCs w:val="11"/>
        </w:rPr>
        <w:t>沪二中民四(商)终字第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sz w:val="11"/>
          <w:szCs w:val="11"/>
        </w:rPr>
        <w:t>号］)</w:t>
      </w:r>
    </w:p>
    <w:p w14:paraId="76689543">
      <w:pPr>
        <w:pStyle w:val="17"/>
        <w:keepNext w:val="0"/>
        <w:keepLines w:val="0"/>
        <w:widowControl w:val="0"/>
        <w:shd w:val="clear" w:color="auto" w:fill="auto"/>
        <w:bidi w:val="0"/>
        <w:spacing w:before="0" w:after="180" w:line="341" w:lineRule="exact"/>
        <w:ind w:left="0" w:right="0" w:firstLine="0"/>
        <w:jc w:val="both"/>
      </w:pPr>
      <w:r>
        <w:rPr>
          <w:color w:val="000000"/>
          <w:spacing w:val="0"/>
          <w:w w:val="100"/>
          <w:position w:val="0"/>
          <w:lang w:val="en-US" w:eastAsia="en-US" w:bidi="en-US"/>
        </w:rPr>
        <w:t>®</w:t>
      </w:r>
      <w:r>
        <w:rPr>
          <w:color w:val="000000"/>
          <w:spacing w:val="0"/>
          <w:w w:val="100"/>
          <w:position w:val="0"/>
        </w:rPr>
        <w:t>将来的课题</w:t>
      </w:r>
    </w:p>
    <w:p w14:paraId="4C7C880E">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以本案判决为代表，司法实务界倾向于将“以自己的行为表明不履行合同义务”扩张至 债务人欠缺履行能力的情形,并认为</w:t>
      </w:r>
      <w:r>
        <w:rPr>
          <w:color w:val="000000"/>
          <w:spacing w:val="0"/>
          <w:w w:val="100"/>
          <w:position w:val="0"/>
          <w:lang w:val="zh-CN" w:eastAsia="zh-CN" w:bidi="zh-CN"/>
        </w:rPr>
        <w:t>，“通</w:t>
      </w:r>
      <w:r>
        <w:rPr>
          <w:color w:val="000000"/>
          <w:spacing w:val="0"/>
          <w:w w:val="100"/>
          <w:position w:val="0"/>
        </w:rPr>
        <w:t>知+不提供担保</w:t>
      </w:r>
      <w:r>
        <w:rPr>
          <w:color w:val="000000"/>
          <w:spacing w:val="0"/>
          <w:w w:val="100"/>
          <w:position w:val="0"/>
          <w:lang w:val="zh-CN" w:eastAsia="zh-CN" w:bidi="zh-CN"/>
        </w:rPr>
        <w:t>”是</w:t>
      </w:r>
      <w:r>
        <w:rPr>
          <w:color w:val="000000"/>
          <w:spacing w:val="0"/>
          <w:w w:val="100"/>
          <w:position w:val="0"/>
        </w:rPr>
        <w:t>判断债权人能否以默示毁约 为由取得解除权的重要依据。这种处理方式使得渐进性解除机制的适用不再拘泥于</w:t>
      </w:r>
      <w:r>
        <w:rPr>
          <w:color w:val="000000"/>
          <w:spacing w:val="0"/>
          <w:w w:val="100"/>
          <w:position w:val="0"/>
          <w:lang w:val="zh-CN" w:eastAsia="zh-CN" w:bidi="zh-CN"/>
        </w:rPr>
        <w:t xml:space="preserve">“先履 </w:t>
      </w:r>
      <w:r>
        <w:rPr>
          <w:color w:val="000000"/>
          <w:spacing w:val="0"/>
          <w:w w:val="100"/>
          <w:position w:val="0"/>
        </w:rPr>
        <w:t>行</w:t>
      </w:r>
      <w:r>
        <w:rPr>
          <w:color w:val="000000"/>
          <w:spacing w:val="0"/>
          <w:w w:val="100"/>
          <w:position w:val="0"/>
          <w:lang w:val="zh-CN" w:eastAsia="zh-CN" w:bidi="zh-CN"/>
        </w:rPr>
        <w:t>”条件</w:t>
      </w:r>
      <w:r>
        <w:rPr>
          <w:color w:val="000000"/>
          <w:spacing w:val="0"/>
          <w:w w:val="100"/>
          <w:position w:val="0"/>
        </w:rPr>
        <w:t>，能使法律制度更好地应对不履约风险纠纷，但也模糊了预期违约和不安抗辩权之 间的界限,使得径直性和渐进性两套解除机制出现交叠,故仍然存在问题。更为理想的法 律解释方案或许是，根据解除机制的特点,对预期违约和不安抗辩权的适用范围予以区分, 从而使各种类型的不履约风险纠纷都能得到妥善处理。具体而言,预期违约制度由于允许 债权人不经催告直接终结合同关系，即不再给予债务人消除不履约风险以维系合同关系的 机会，就宜适用于可以明确预见债务人将不履行合同的情形，这种情形的典型即是严格意 义上的拒绝履行。与此相对，鉴于不安抗辩权制度釆取的是一套渐进性的解除机制，其设 置</w:t>
      </w:r>
      <w:r>
        <w:rPr>
          <w:color w:val="000000"/>
          <w:spacing w:val="0"/>
          <w:w w:val="100"/>
          <w:position w:val="0"/>
          <w:lang w:val="zh-CN" w:eastAsia="zh-CN" w:bidi="zh-CN"/>
        </w:rPr>
        <w:t>“通知</w:t>
      </w:r>
      <w:r>
        <w:rPr>
          <w:color w:val="000000"/>
          <w:spacing w:val="0"/>
          <w:w w:val="100"/>
          <w:position w:val="0"/>
        </w:rPr>
        <w:t>+不提供担保”程序的合理性，主要在于给予债务人消除不履约风险以及债权人确 认情况的机会，所以其应适用于债务人是否履行尚不确定的情形。而为了使其有更广泛的 适用性，应当缓和</w:t>
      </w:r>
      <w:r>
        <w:rPr>
          <w:color w:val="000000"/>
          <w:spacing w:val="0"/>
          <w:w w:val="100"/>
          <w:position w:val="0"/>
          <w:lang w:val="zh-CN" w:eastAsia="zh-CN" w:bidi="zh-CN"/>
        </w:rPr>
        <w:t>“先</w:t>
      </w:r>
      <w:r>
        <w:rPr>
          <w:color w:val="000000"/>
          <w:spacing w:val="0"/>
          <w:w w:val="100"/>
          <w:position w:val="0"/>
        </w:rPr>
        <w:t>履行”要件。概言之，对于预期违约和不安抗辩权之适用范围的区分, 应以将来不履行的确定性程度为标准。如此，关于</w:t>
      </w:r>
      <w:r>
        <w:rPr>
          <w:color w:val="000000"/>
          <w:spacing w:val="0"/>
          <w:w w:val="100"/>
          <w:position w:val="0"/>
          <w:lang w:val="zh-CN" w:eastAsia="zh-CN" w:bidi="zh-CN"/>
        </w:rPr>
        <w:t>“以自</w:t>
      </w:r>
      <w:r>
        <w:rPr>
          <w:color w:val="000000"/>
          <w:spacing w:val="0"/>
          <w:w w:val="100"/>
          <w:position w:val="0"/>
        </w:rPr>
        <w:t>己的行为表明不履行合同义务”的 解释，就应当回归至严格意义上的拒绝履行，即仅指债务人以自发且积极的行为导致自身 丧失履行能力的情形。至于类似本案的纠纷，则可通过不安抗辩权制度来处理。这些问题, 可在将来不履约风险救济制度的解释适用中予以进一步探讨。</w:t>
      </w:r>
    </w:p>
    <w:p w14:paraId="3A0CBB94">
      <w:pPr>
        <w:pStyle w:val="11"/>
        <w:keepNext w:val="0"/>
        <w:keepLines w:val="0"/>
        <w:widowControl w:val="0"/>
        <w:shd w:val="clear" w:color="auto" w:fill="auto"/>
        <w:bidi w:val="0"/>
        <w:spacing w:before="0" w:after="60" w:line="342" w:lineRule="exact"/>
        <w:ind w:left="0" w:right="0" w:firstLine="0"/>
        <w:jc w:val="both"/>
      </w:pPr>
      <w:r>
        <w:rPr>
          <w:color w:val="000000"/>
          <w:spacing w:val="0"/>
          <w:w w:val="100"/>
          <w:position w:val="0"/>
        </w:rPr>
        <w:t>回参考文献</w:t>
      </w:r>
    </w:p>
    <w:p w14:paraId="2B017A38">
      <w:pPr>
        <w:pStyle w:val="33"/>
        <w:keepNext w:val="0"/>
        <w:keepLines w:val="0"/>
        <w:widowControl w:val="0"/>
        <w:shd w:val="clear" w:color="auto" w:fill="auto"/>
        <w:bidi w:val="0"/>
        <w:spacing w:before="0" w:after="0" w:line="302" w:lineRule="exact"/>
        <w:ind w:left="0" w:right="0" w:firstLine="0"/>
        <w:jc w:val="both"/>
      </w:pPr>
      <w:r>
        <w:rPr>
          <w:color w:val="000000"/>
          <w:spacing w:val="0"/>
          <w:w w:val="100"/>
          <w:position w:val="0"/>
        </w:rPr>
        <w:t>葛云松:《预期违约规则研究——兼论不安抗辩权》，中国政法大学出版社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53C08F26">
      <w:pPr>
        <w:pStyle w:val="33"/>
        <w:keepNext w:val="0"/>
        <w:keepLines w:val="0"/>
        <w:widowControl w:val="0"/>
        <w:shd w:val="clear" w:color="auto" w:fill="auto"/>
        <w:bidi w:val="0"/>
        <w:spacing w:before="0" w:after="0" w:line="302" w:lineRule="exact"/>
        <w:ind w:left="0" w:right="0" w:firstLine="0"/>
        <w:jc w:val="both"/>
      </w:pPr>
      <w:r>
        <w:rPr>
          <w:color w:val="000000"/>
          <w:spacing w:val="0"/>
          <w:w w:val="100"/>
          <w:position w:val="0"/>
        </w:rPr>
        <w:t>王利明：《预期违约与不安抗辩权》，载《华东政法大学学报》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0E40A483">
      <w:pPr>
        <w:pStyle w:val="33"/>
        <w:keepNext w:val="0"/>
        <w:keepLines w:val="0"/>
        <w:widowControl w:val="0"/>
        <w:shd w:val="clear" w:color="auto" w:fill="auto"/>
        <w:bidi w:val="0"/>
        <w:spacing w:before="0" w:after="0" w:line="302" w:lineRule="exact"/>
        <w:ind w:left="200" w:right="0" w:hanging="200"/>
        <w:jc w:val="both"/>
      </w:pPr>
      <w:r>
        <w:rPr>
          <w:color w:val="000000"/>
          <w:spacing w:val="0"/>
          <w:w w:val="100"/>
          <w:position w:val="0"/>
        </w:rPr>
        <w:t>陈韵希:《合同预期不履行的救济及其法理基础</w:t>
      </w:r>
      <w:r>
        <w:rPr>
          <w:color w:val="000000"/>
          <w:spacing w:val="0"/>
          <w:w w:val="100"/>
          <w:position w:val="0"/>
          <w:lang w:val="en-US" w:eastAsia="en-US" w:bidi="en-US"/>
        </w:rPr>
        <w:t>一一</w:t>
      </w:r>
      <w:r>
        <w:rPr>
          <w:color w:val="000000"/>
          <w:spacing w:val="0"/>
          <w:w w:val="100"/>
          <w:position w:val="0"/>
        </w:rPr>
        <w:t>再论〈合同法〉不安抗辩权和预期违约的界分》，载 《比较法研究》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641031E9">
      <w:pPr>
        <w:pStyle w:val="33"/>
        <w:keepNext w:val="0"/>
        <w:keepLines w:val="0"/>
        <w:widowControl w:val="0"/>
        <w:shd w:val="clear" w:color="auto" w:fill="auto"/>
        <w:bidi w:val="0"/>
        <w:spacing w:before="0" w:after="0" w:line="302" w:lineRule="exact"/>
        <w:ind w:left="0" w:right="0" w:firstLine="0"/>
        <w:jc w:val="both"/>
      </w:pPr>
      <w:r>
        <w:rPr>
          <w:color w:val="000000"/>
          <w:spacing w:val="0"/>
          <w:w w:val="100"/>
          <w:position w:val="0"/>
        </w:rPr>
        <w:t>李建星:《不安抗辩权与预期违约的完全区分论》，载《政治与法律》</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w:t>
      </w:r>
    </w:p>
    <w:p w14:paraId="2065CEEE">
      <w:pPr>
        <w:pStyle w:val="33"/>
        <w:keepNext w:val="0"/>
        <w:keepLines w:val="0"/>
        <w:widowControl w:val="0"/>
        <w:shd w:val="clear" w:color="auto" w:fill="auto"/>
        <w:bidi w:val="0"/>
        <w:spacing w:before="0" w:after="60" w:line="302" w:lineRule="exact"/>
        <w:ind w:left="0" w:right="0" w:firstLine="0"/>
        <w:jc w:val="both"/>
        <w:sectPr>
          <w:headerReference r:id="rId431" w:type="default"/>
          <w:headerReference r:id="rId432" w:type="even"/>
          <w:footnotePr>
            <w:numFmt w:val="chicago"/>
          </w:footnotePr>
          <w:pgSz w:w="10099" w:h="14782"/>
          <w:pgMar w:top="1258" w:right="1081" w:bottom="1115" w:left="1016" w:header="0" w:footer="3" w:gutter="0"/>
          <w:pgNumType w:start="362"/>
          <w:cols w:space="720" w:num="1"/>
          <w:rtlGutter w:val="0"/>
          <w:docGrid w:linePitch="360" w:charSpace="0"/>
        </w:sectPr>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1ADFC759">
      <w:pPr>
        <w:widowControl w:val="0"/>
        <w:spacing w:line="144" w:lineRule="exact"/>
        <w:rPr>
          <w:sz w:val="12"/>
          <w:szCs w:val="12"/>
        </w:rPr>
      </w:pPr>
    </w:p>
    <w:p w14:paraId="26B44BF9">
      <w:pPr>
        <w:widowControl w:val="0"/>
        <w:spacing w:line="1" w:lineRule="exact"/>
        <w:sectPr>
          <w:headerReference r:id="rId435" w:type="first"/>
          <w:headerReference r:id="rId433" w:type="default"/>
          <w:headerReference r:id="rId434" w:type="even"/>
          <w:footnotePr>
            <w:numFmt w:val="chicago"/>
          </w:footnotePr>
          <w:pgSz w:w="10099" w:h="14782"/>
          <w:pgMar w:top="1317" w:right="958" w:bottom="1095" w:left="1047" w:header="0" w:footer="3" w:gutter="0"/>
          <w:pgNumType w:start="382"/>
          <w:cols w:space="720" w:num="1"/>
          <w:titlePg/>
          <w:rtlGutter w:val="0"/>
          <w:docGrid w:linePitch="360" w:charSpace="0"/>
        </w:sectPr>
      </w:pPr>
    </w:p>
    <w:p w14:paraId="75473EF8">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797560</wp:posOffset>
                </wp:positionH>
                <wp:positionV relativeFrom="paragraph">
                  <wp:posOffset>12700</wp:posOffset>
                </wp:positionV>
                <wp:extent cx="449580" cy="304800"/>
                <wp:effectExtent l="0" t="0" r="0" b="0"/>
                <wp:wrapSquare wrapText="right"/>
                <wp:docPr id="1007" name="Shape 100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4394E979">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074</w:t>
                            </w:r>
                          </w:p>
                        </w:txbxContent>
                      </wps:txbx>
                      <wps:bodyPr wrap="none" lIns="0" tIns="0" rIns="0" bIns="0">
                        <a:noAutofit/>
                      </wps:bodyPr>
                    </wps:wsp>
                  </a:graphicData>
                </a:graphic>
              </wp:anchor>
            </w:drawing>
          </mc:Choice>
          <mc:Fallback>
            <w:pict>
              <v:shape id="Shape 1007" o:spid="_x0000_s1026" o:spt="202" type="#_x0000_t202" style="position:absolute;left:0pt;margin-left:62.8pt;margin-top:1pt;height:24pt;width:35.4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mjVGvVAAAA&#10;CAEAAA8AAAAAAAAAAQAgAAAAIgAAAGRycy9kb3ducmV2LnhtbFBLAQIUABQAAAAIAIdO4kBKlF72&#10;rgEAAHUDAAAOAAAAAAAAAAEAIAAAACQBAABkcnMvZTJvRG9jLnhtbFBLBQYAAAAABgAGAFkBAABE&#10;BQAAAAA=&#10;">
                <v:fill on="f" focussize="0,0"/>
                <v:stroke on="f"/>
                <v:imagedata o:title=""/>
                <o:lock v:ext="edit" aspectratio="f"/>
                <v:textbox inset="0mm,0mm,0mm,0mm">
                  <w:txbxContent>
                    <w:p w14:paraId="4394E979">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074</w:t>
                      </w:r>
                    </w:p>
                  </w:txbxContent>
                </v:textbox>
                <w10:wrap type="square" side="right"/>
              </v:shape>
            </w:pict>
          </mc:Fallback>
        </mc:AlternateContent>
      </w:r>
      <w:r>
        <w:drawing>
          <wp:anchor distT="0" distB="0" distL="114300" distR="114300" simplePos="0" relativeHeight="251660288" behindDoc="0" locked="0" layoutInCell="1" allowOverlap="1">
            <wp:simplePos x="0" y="0"/>
            <wp:positionH relativeFrom="page">
              <wp:posOffset>5168900</wp:posOffset>
            </wp:positionH>
            <wp:positionV relativeFrom="paragraph">
              <wp:posOffset>220980</wp:posOffset>
            </wp:positionV>
            <wp:extent cx="615950" cy="621665"/>
            <wp:effectExtent l="0" t="0" r="6350" b="635"/>
            <wp:wrapSquare wrapText="left"/>
            <wp:docPr id="1009" name="Shape 1009"/>
            <wp:cNvGraphicFramePr/>
            <a:graphic xmlns:a="http://schemas.openxmlformats.org/drawingml/2006/main">
              <a:graphicData uri="http://schemas.openxmlformats.org/drawingml/2006/picture">
                <pic:pic xmlns:pic="http://schemas.openxmlformats.org/drawingml/2006/picture">
                  <pic:nvPicPr>
                    <pic:cNvPr id="1009" name="Shape 1009"/>
                    <pic:cNvPicPr/>
                  </pic:nvPicPr>
                  <pic:blipFill>
                    <a:blip r:embed="rId686"/>
                    <a:stretch>
                      <a:fillRect/>
                    </a:stretch>
                  </pic:blipFill>
                  <pic:spPr>
                    <a:xfrm>
                      <a:off x="0" y="0"/>
                      <a:ext cx="615950" cy="621665"/>
                    </a:xfrm>
                    <a:prstGeom prst="rect">
                      <a:avLst/>
                    </a:prstGeom>
                  </pic:spPr>
                </pic:pic>
              </a:graphicData>
            </a:graphic>
          </wp:anchor>
        </w:drawing>
      </w:r>
    </w:p>
    <w:p w14:paraId="4D371EE9">
      <w:pPr>
        <w:pStyle w:val="15"/>
        <w:keepNext/>
        <w:keepLines/>
        <w:widowControl w:val="0"/>
        <w:shd w:val="clear" w:color="auto" w:fill="auto"/>
        <w:bidi w:val="0"/>
        <w:spacing w:before="0" w:after="220" w:line="240" w:lineRule="auto"/>
        <w:ind w:left="0" w:right="0" w:firstLine="0"/>
        <w:jc w:val="left"/>
      </w:pPr>
      <w:bookmarkStart w:id="129" w:name="bookmark462"/>
      <w:bookmarkStart w:id="130" w:name="bookmark463"/>
      <w:bookmarkStart w:id="131" w:name="bookmark464"/>
      <w:r>
        <w:rPr>
          <w:color w:val="000000"/>
          <w:spacing w:val="0"/>
          <w:w w:val="100"/>
          <w:position w:val="0"/>
        </w:rPr>
        <w:t>违反竞业禁止、保密义务与违约金酌减</w:t>
      </w:r>
      <w:bookmarkEnd w:id="129"/>
      <w:bookmarkEnd w:id="130"/>
      <w:bookmarkEnd w:id="131"/>
    </w:p>
    <w:p w14:paraId="32CDC154">
      <w:pPr>
        <w:pStyle w:val="17"/>
        <w:keepNext w:val="0"/>
        <w:keepLines w:val="0"/>
        <w:widowControl w:val="0"/>
        <w:shd w:val="clear" w:color="auto" w:fill="auto"/>
        <w:bidi w:val="0"/>
        <w:spacing w:before="0" w:after="80" w:line="240" w:lineRule="auto"/>
        <w:ind w:left="0" w:right="0" w:firstLine="1000"/>
        <w:jc w:val="left"/>
      </w:pPr>
      <w:r>
        <w:rPr>
          <w:color w:val="000000"/>
          <w:spacing w:val="0"/>
          <w:w w:val="100"/>
          <w:position w:val="0"/>
        </w:rPr>
        <w:t>马海力、王巍与楼世良、楼利波、庄子粲股权转让纠纷案丨浙江省</w:t>
      </w:r>
    </w:p>
    <w:p w14:paraId="286765D3">
      <w:pPr>
        <w:pStyle w:val="17"/>
        <w:keepNext w:val="0"/>
        <w:keepLines w:val="0"/>
        <w:widowControl w:val="0"/>
        <w:shd w:val="clear" w:color="auto" w:fill="auto"/>
        <w:bidi w:val="0"/>
        <w:spacing w:before="0" w:after="380" w:line="240" w:lineRule="auto"/>
        <w:ind w:left="0" w:right="0" w:firstLine="1000"/>
        <w:jc w:val="both"/>
      </w:pPr>
      <w:r>
        <w:rPr>
          <w:color w:val="000000"/>
          <w:spacing w:val="0"/>
          <w:w w:val="100"/>
          <w:position w:val="0"/>
        </w:rPr>
        <w:t>宁波市中级人民法院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浙甬商终字第</w:t>
      </w:r>
      <w:r>
        <w:rPr>
          <w:rFonts w:ascii="Times New Roman" w:hAnsi="Times New Roman" w:eastAsia="Times New Roman" w:cs="Times New Roman"/>
          <w:color w:val="000000"/>
          <w:spacing w:val="0"/>
          <w:w w:val="100"/>
          <w:position w:val="0"/>
          <w:sz w:val="19"/>
          <w:szCs w:val="19"/>
        </w:rPr>
        <w:t>948</w:t>
      </w:r>
      <w:r>
        <w:rPr>
          <w:color w:val="000000"/>
          <w:spacing w:val="0"/>
          <w:w w:val="100"/>
          <w:position w:val="0"/>
        </w:rPr>
        <w:t>号民事判决书</w:t>
      </w:r>
    </w:p>
    <w:p w14:paraId="5D1FF8AD">
      <w:pPr>
        <w:pStyle w:val="33"/>
        <w:keepNext w:val="0"/>
        <w:keepLines w:val="0"/>
        <w:widowControl w:val="0"/>
        <w:shd w:val="clear" w:color="auto" w:fill="auto"/>
        <w:bidi w:val="0"/>
        <w:spacing w:before="0" w:after="1400" w:line="240" w:lineRule="auto"/>
        <w:ind w:left="0" w:right="0" w:firstLine="0"/>
        <w:jc w:val="right"/>
      </w:pPr>
      <w:r>
        <w:rPr>
          <w:b/>
          <w:bCs/>
          <w:color w:val="000000"/>
          <w:spacing w:val="0"/>
          <w:w w:val="100"/>
          <w:position w:val="0"/>
          <w:sz w:val="18"/>
          <w:szCs w:val="18"/>
        </w:rPr>
        <w:t>姚明斌</w:t>
      </w:r>
      <w:r>
        <w:rPr>
          <w:color w:val="000000"/>
          <w:spacing w:val="0"/>
          <w:w w:val="100"/>
          <w:position w:val="0"/>
        </w:rPr>
        <w:t>华东政法大学法律学院</w:t>
      </w:r>
    </w:p>
    <w:p w14:paraId="51F2BFAC">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D8A9B5D">
      <w:pPr>
        <w:pStyle w:val="17"/>
        <w:keepNext w:val="0"/>
        <w:keepLines w:val="0"/>
        <w:widowControl w:val="0"/>
        <w:shd w:val="clear" w:color="auto" w:fill="auto"/>
        <w:bidi w:val="0"/>
        <w:spacing w:before="0" w:after="0" w:line="338" w:lineRule="exact"/>
        <w:ind w:left="0" w:right="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日，宁波金禾电子信息有限公司（以下简称金禾公司）全体股东（包括一 审被告马海力、王巍）将全部股权以</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万元的价格转让给一审原告楼世良、楼利波、庄子 粲。股权转让协议中特别约定:</w:t>
      </w:r>
      <w:r>
        <w:rPr>
          <w:color w:val="000000"/>
          <w:spacing w:val="0"/>
          <w:w w:val="100"/>
          <w:position w:val="0"/>
          <w:lang w:val="zh-CN" w:eastAsia="zh-CN" w:bidi="zh-CN"/>
        </w:rPr>
        <w:t>“转</w:t>
      </w:r>
      <w:r>
        <w:rPr>
          <w:color w:val="000000"/>
          <w:spacing w:val="0"/>
          <w:w w:val="100"/>
          <w:position w:val="0"/>
        </w:rPr>
        <w:t>让方及其亲属、亲戚、亲朋好友在今后五年内不从事、不 参与防伪税控主机共享设备的生产、销售、服务维修，不从事、不参与同税务有关联性的任 何（业务）研发、生产、销售和服务维修。转让方对自己作为公司股东期间接触、知悉的有关 金禾公司的任何客户资源、商业信息、业务渠道、商业秘密等事项承担严格的保密义务，如 违约，转让方承担违约责任,以股权转让价人民币</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万元的双倍金额作为违约金支付给受 让方</w:t>
      </w:r>
      <w:r>
        <w:rPr>
          <w:color w:val="000000"/>
          <w:spacing w:val="0"/>
          <w:w w:val="100"/>
          <w:position w:val="0"/>
          <w:lang w:val="zh-CN" w:eastAsia="zh-CN" w:bidi="zh-CN"/>
        </w:rPr>
        <w:t>。”协</w:t>
      </w:r>
      <w:r>
        <w:rPr>
          <w:color w:val="000000"/>
          <w:spacing w:val="0"/>
          <w:w w:val="100"/>
          <w:position w:val="0"/>
        </w:rPr>
        <w:t>议经各方依约履行后，金禾公司由三原告进行经营。</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日，被告王巍 承诺若在</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年内从事与公司相关的业务或为他人窃取、刺探、收买或违规提供公司秘密，则 赔偿金禾公司</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w:t>
      </w:r>
    </w:p>
    <w:p w14:paraId="4234F41F">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在转让金禾公司股权后,被告王巍又想将股权买回。岀于减少金禾公司业务量，让三 原告感到办公司困难的目的，王巍指使案外人以原金禾公司在江苏的业务为基础成立了宁 翔公司，由王巍提供软件技术指导，被告马海力则协助开拓宁波市场，将原金禾公司客户挖 给宁翔公司。马海力到多家属于金禾公司客户的税务师事务所，以宁翔公司的名义提供软 件升级维护服务、签订合同、开具发票，并称金禾公司已是空壳。此外,王巍还让两名从金禾 公司辞职的业务员到宁翔公司上班，从事计算机维修工作。</w:t>
      </w:r>
    </w:p>
    <w:p w14:paraId="28F0BA33">
      <w:pPr>
        <w:pStyle w:val="17"/>
        <w:keepNext w:val="0"/>
        <w:keepLines w:val="0"/>
        <w:widowControl w:val="0"/>
        <w:shd w:val="clear" w:color="auto" w:fill="auto"/>
        <w:bidi w:val="0"/>
        <w:spacing w:before="0" w:after="160" w:line="338" w:lineRule="exact"/>
        <w:ind w:left="0" w:right="0"/>
        <w:jc w:val="both"/>
      </w:pPr>
      <w:r>
        <w:rPr>
          <w:color w:val="000000"/>
          <w:spacing w:val="0"/>
          <w:w w:val="100"/>
          <w:position w:val="0"/>
        </w:rPr>
        <w:t>楼世良等三原告以马海力、王巍违约为由起诉索赔，又称考虑到二被告的承受能力，请 求法院判令二人共同支付违约金</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万元。一审法院认定二被告构成违约,但认为约定的 违约金高达</w:t>
      </w:r>
      <w:r>
        <w:rPr>
          <w:rFonts w:ascii="Times New Roman" w:hAnsi="Times New Roman" w:eastAsia="Times New Roman" w:cs="Times New Roman"/>
          <w:color w:val="000000"/>
          <w:spacing w:val="0"/>
          <w:w w:val="100"/>
          <w:position w:val="0"/>
          <w:sz w:val="19"/>
          <w:szCs w:val="19"/>
        </w:rPr>
        <w:t>1600</w:t>
      </w:r>
      <w:r>
        <w:rPr>
          <w:color w:val="000000"/>
          <w:spacing w:val="0"/>
          <w:w w:val="100"/>
          <w:position w:val="0"/>
        </w:rPr>
        <w:t>万元，即便原告已自行减少为</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w:t>
      </w:r>
      <w:r>
        <w:rPr>
          <w:color w:val="000000"/>
          <w:spacing w:val="0"/>
          <w:w w:val="100"/>
          <w:position w:val="0"/>
          <w:lang w:val="zh-CN" w:eastAsia="zh-CN" w:bidi="zh-CN"/>
        </w:rPr>
        <w:t>，“普</w:t>
      </w:r>
      <w:r>
        <w:rPr>
          <w:color w:val="000000"/>
          <w:spacing w:val="0"/>
          <w:w w:val="100"/>
          <w:position w:val="0"/>
        </w:rPr>
        <w:t>通自然人一般仍难以承受，从 常理来看确实偏高，应予调整”</w:t>
      </w:r>
      <w:r>
        <w:rPr>
          <w:color w:val="000000"/>
          <w:spacing w:val="0"/>
          <w:w w:val="100"/>
          <w:position w:val="0"/>
          <w:sz w:val="11"/>
          <w:szCs w:val="11"/>
        </w:rPr>
        <w:t>［本案一审判决参见浙江省宁波市镇海区人民法院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sz w:val="11"/>
          <w:szCs w:val="11"/>
        </w:rPr>
        <w:t>甬镇民二 初字第</w:t>
      </w:r>
      <w:r>
        <w:rPr>
          <w:rFonts w:ascii="Times New Roman" w:hAnsi="Times New Roman" w:eastAsia="Times New Roman" w:cs="Times New Roman"/>
          <w:color w:val="000000"/>
          <w:spacing w:val="0"/>
          <w:w w:val="100"/>
          <w:position w:val="0"/>
          <w:sz w:val="19"/>
          <w:szCs w:val="19"/>
        </w:rPr>
        <w:t>958</w:t>
      </w:r>
      <w:r>
        <w:rPr>
          <w:color w:val="000000"/>
          <w:spacing w:val="0"/>
          <w:w w:val="100"/>
          <w:position w:val="0"/>
          <w:sz w:val="11"/>
          <w:szCs w:val="11"/>
        </w:rPr>
        <w:t>号民事判决书］。</w:t>
      </w:r>
      <w:r>
        <w:rPr>
          <w:color w:val="000000"/>
          <w:spacing w:val="0"/>
          <w:w w:val="100"/>
          <w:position w:val="0"/>
        </w:rPr>
        <w:t>在原告损失的具体金额难以确定的情况下，一审法院综合考虑被 告王巍曾承诺赔偿</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万元之事实,二被告的过错程度以及三原告的预期利益等因素，判决 二被告共同支付违约金</w:t>
      </w:r>
      <w:r>
        <w:rPr>
          <w:rFonts w:ascii="Times New Roman" w:hAnsi="Times New Roman" w:eastAsia="Times New Roman" w:cs="Times New Roman"/>
          <w:color w:val="000000"/>
          <w:spacing w:val="0"/>
          <w:w w:val="100"/>
          <w:position w:val="0"/>
          <w:sz w:val="19"/>
          <w:szCs w:val="19"/>
        </w:rPr>
        <w:t>250</w:t>
      </w:r>
      <w:r>
        <w:rPr>
          <w:color w:val="000000"/>
          <w:spacing w:val="0"/>
          <w:w w:val="100"/>
          <w:position w:val="0"/>
        </w:rPr>
        <w:t>万元。二被告提起上诉。</w:t>
      </w:r>
    </w:p>
    <w:p w14:paraId="56274A5E">
      <w:pPr>
        <w:pStyle w:val="11"/>
        <w:keepNext w:val="0"/>
        <w:keepLines w:val="0"/>
        <w:widowControl w:val="0"/>
        <w:shd w:val="clear" w:color="auto" w:fill="auto"/>
        <w:bidi w:val="0"/>
        <w:spacing w:before="0" w:after="100" w:line="342" w:lineRule="exact"/>
        <w:ind w:left="0" w:right="0" w:firstLine="0"/>
        <w:jc w:val="left"/>
      </w:pPr>
      <w:r>
        <w:rPr>
          <w:color w:val="000000"/>
          <w:spacing w:val="0"/>
          <w:w w:val="100"/>
          <w:position w:val="0"/>
        </w:rPr>
        <w:t>■判决要旨</w:t>
      </w:r>
    </w:p>
    <w:p w14:paraId="34A9A863">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驳回上诉，维持原判。</w:t>
      </w:r>
    </w:p>
    <w:p w14:paraId="7672F141">
      <w:pPr>
        <w:pStyle w:val="17"/>
        <w:keepNext w:val="0"/>
        <w:keepLines w:val="0"/>
        <w:widowControl w:val="0"/>
        <w:shd w:val="clear" w:color="auto" w:fill="auto"/>
        <w:bidi w:val="0"/>
        <w:spacing w:before="0" w:after="340" w:line="341" w:lineRule="exact"/>
        <w:ind w:left="0" w:right="0" w:firstLine="420"/>
        <w:jc w:val="both"/>
      </w:pPr>
      <w:r>
        <w:rPr>
          <w:color w:val="000000"/>
          <w:spacing w:val="0"/>
          <w:w w:val="100"/>
          <w:position w:val="0"/>
        </w:rPr>
        <w:t>本判决中,二审法院酌减违约金时所考虑的因素包括</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事先约定了高额的违约金， 表明当事人基于意思自治赋予了该违约金以明显的惩罚性质</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被告王巍曾出具过违约 即赔偿</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万元的承诺书</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二被告违约恶意明显，三原告则对违约并无过错</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股权转 让协议约定的竞业禁止义务、保密义务期限为</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年，而二被告从该义务期间伊始即行违约之 事</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金禾公司是以知识产权和技术服务为核心资产的科技型公司，争议违约金针对的是 较为特别的竞业禁止义务和保密义务</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违约金针对的竞业禁止、保密义务与公司股权转 让交易密切相关，该义务的履行直接影响公司的成长性、预期利益和内在价值，是新股东受 让股权的重要基础。</w:t>
      </w:r>
    </w:p>
    <w:p w14:paraId="5E310D25">
      <w:pPr>
        <w:pStyle w:val="17"/>
        <w:keepNext w:val="0"/>
        <w:keepLines w:val="0"/>
        <w:widowControl w:val="0"/>
        <w:shd w:val="clear" w:color="auto" w:fill="auto"/>
        <w:bidi w:val="0"/>
        <w:spacing w:before="0" w:after="100" w:line="342" w:lineRule="exact"/>
        <w:ind w:left="0" w:right="0" w:firstLine="0"/>
        <w:jc w:val="left"/>
      </w:pPr>
      <w:r>
        <w:rPr>
          <w:color w:val="000000"/>
          <w:spacing w:val="0"/>
          <w:w w:val="100"/>
          <w:position w:val="0"/>
        </w:rPr>
        <w:t>■评析</w:t>
      </w:r>
    </w:p>
    <w:p w14:paraId="29705100">
      <w:pPr>
        <w:pStyle w:val="17"/>
        <w:keepNext w:val="0"/>
        <w:keepLines w:val="0"/>
        <w:widowControl w:val="0"/>
        <w:shd w:val="clear" w:color="auto" w:fill="auto"/>
        <w:bidi w:val="0"/>
        <w:spacing w:before="0" w:after="100" w:line="342" w:lineRule="exact"/>
        <w:ind w:left="0" w:right="0" w:firstLine="0"/>
        <w:jc w:val="left"/>
      </w:pPr>
      <w:r>
        <w:rPr>
          <w:color w:val="000000"/>
          <w:spacing w:val="0"/>
          <w:w w:val="100"/>
          <w:position w:val="0"/>
        </w:rPr>
        <w:t>①本判决的思路和意义</w:t>
      </w:r>
    </w:p>
    <w:p w14:paraId="5E8580A4">
      <w:pPr>
        <w:pStyle w:val="17"/>
        <w:keepNext w:val="0"/>
        <w:keepLines w:val="0"/>
        <w:widowControl w:val="0"/>
        <w:shd w:val="clear" w:color="auto" w:fill="auto"/>
        <w:bidi w:val="0"/>
        <w:spacing w:before="0" w:after="0" w:line="342" w:lineRule="exact"/>
        <w:ind w:left="0" w:right="0" w:firstLine="420"/>
        <w:jc w:val="left"/>
      </w:pPr>
      <w:r>
        <w:rPr>
          <w:color w:val="000000"/>
          <w:spacing w:val="0"/>
          <w:w w:val="100"/>
          <w:position w:val="0"/>
        </w:rPr>
        <w:t>在违约金酌减问题上，二审法院综合考量了当事人的自治意图、双方当事人对于违约 的过错、被告违约的时间程度、本案违约所涉义务的特殊意义、违约金约定与股权转让及其 预期利益之间的重要关联等因素。</w:t>
      </w:r>
    </w:p>
    <w:p w14:paraId="6F69E563">
      <w:pPr>
        <w:pStyle w:val="17"/>
        <w:keepNext w:val="0"/>
        <w:keepLines w:val="0"/>
        <w:widowControl w:val="0"/>
        <w:shd w:val="clear" w:color="auto" w:fill="auto"/>
        <w:bidi w:val="0"/>
        <w:spacing w:before="0" w:after="0" w:line="342" w:lineRule="exact"/>
        <w:ind w:left="0" w:right="0" w:firstLine="420"/>
        <w:jc w:val="left"/>
      </w:pPr>
      <w:r>
        <w:rPr>
          <w:color w:val="000000"/>
          <w:spacing w:val="0"/>
          <w:w w:val="100"/>
          <w:position w:val="0"/>
        </w:rPr>
        <w:t>本案判决的典型意义体现在三个方面：</w:t>
      </w:r>
    </w:p>
    <w:p w14:paraId="6D76D359">
      <w:pPr>
        <w:pStyle w:val="17"/>
        <w:keepNext w:val="0"/>
        <w:keepLines w:val="0"/>
        <w:widowControl w:val="0"/>
        <w:shd w:val="clear" w:color="auto" w:fill="auto"/>
        <w:bidi w:val="0"/>
        <w:spacing w:before="0" w:after="0" w:line="342" w:lineRule="exact"/>
        <w:ind w:left="0" w:right="0" w:firstLine="420"/>
        <w:jc w:val="left"/>
        <w:rPr>
          <w:sz w:val="19"/>
          <w:szCs w:val="19"/>
        </w:rPr>
      </w:pPr>
      <w:r>
        <w:rPr>
          <w:color w:val="000000"/>
          <w:spacing w:val="0"/>
          <w:w w:val="100"/>
          <w:position w:val="0"/>
          <w:sz w:val="18"/>
          <w:szCs w:val="18"/>
        </w:rPr>
        <w:t>第一，该判决通过较为详细的说理,完整地呈现了酌减违约金时二审法院所参考衡量 的要点</w:t>
      </w:r>
      <w:r>
        <w:rPr>
          <w:rFonts w:ascii="Times New Roman" w:hAnsi="Times New Roman" w:eastAsia="Times New Roman" w:cs="Times New Roman"/>
          <w:color w:val="000000"/>
          <w:spacing w:val="0"/>
          <w:w w:val="100"/>
          <w:position w:val="0"/>
          <w:sz w:val="19"/>
          <w:szCs w:val="19"/>
          <w:lang w:val="en-US" w:eastAsia="en-US" w:bidi="en-US"/>
        </w:rPr>
        <w:t>O</w:t>
      </w:r>
    </w:p>
    <w:p w14:paraId="17EB3FE5">
      <w:pPr>
        <w:pStyle w:val="17"/>
        <w:keepNext w:val="0"/>
        <w:keepLines w:val="0"/>
        <w:widowControl w:val="0"/>
        <w:shd w:val="clear" w:color="auto" w:fill="auto"/>
        <w:bidi w:val="0"/>
        <w:spacing w:before="0" w:after="0" w:line="342" w:lineRule="exact"/>
        <w:ind w:left="0" w:right="0" w:firstLine="420"/>
        <w:jc w:val="left"/>
      </w:pPr>
      <w:r>
        <w:rPr>
          <w:color w:val="000000"/>
          <w:spacing w:val="0"/>
          <w:w w:val="100"/>
          <w:position w:val="0"/>
        </w:rPr>
        <w:t>第二，该判决虽形成于最高人民法院《关于适用〈中华人民共和国合同法〉若干问题的 解释（二）》［法释</w:t>
      </w:r>
      <w:r>
        <w:rPr>
          <w:rFonts w:ascii="Times New Roman" w:hAnsi="Times New Roman" w:eastAsia="Times New Roman" w:cs="Times New Roman"/>
          <w:color w:val="000000"/>
          <w:spacing w:val="0"/>
          <w:w w:val="100"/>
          <w:position w:val="0"/>
          <w:sz w:val="19"/>
          <w:szCs w:val="19"/>
        </w:rPr>
        <w:t>（2009）5</w:t>
      </w:r>
      <w:r>
        <w:rPr>
          <w:color w:val="000000"/>
          <w:spacing w:val="0"/>
          <w:w w:val="100"/>
          <w:position w:val="0"/>
        </w:rPr>
        <w:t>号］（以下简称《合同法司法解释二》）施行伊始，但对其第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款所规定的裁量因素作了相当全面的处理。</w:t>
      </w:r>
    </w:p>
    <w:p w14:paraId="7D1A24BB">
      <w:pPr>
        <w:pStyle w:val="17"/>
        <w:keepNext w:val="0"/>
        <w:keepLines w:val="0"/>
        <w:widowControl w:val="0"/>
        <w:shd w:val="clear" w:color="auto" w:fill="auto"/>
        <w:bidi w:val="0"/>
        <w:spacing w:before="0" w:after="160" w:line="342" w:lineRule="exact"/>
        <w:ind w:left="0" w:right="0" w:firstLine="420"/>
        <w:jc w:val="left"/>
      </w:pPr>
      <w:r>
        <w:rPr>
          <w:color w:val="000000"/>
          <w:spacing w:val="0"/>
          <w:w w:val="100"/>
          <w:position w:val="0"/>
        </w:rPr>
        <w:t>第三，尤具意义的是,该判决确认了当事人的自治意图对于违约金酌减应有所影响。 一方面，从</w:t>
      </w:r>
      <w:r>
        <w:rPr>
          <w:rFonts w:ascii="Times New Roman" w:hAnsi="Times New Roman" w:eastAsia="Times New Roman" w:cs="Times New Roman"/>
          <w:color w:val="000000"/>
          <w:spacing w:val="0"/>
          <w:w w:val="100"/>
          <w:position w:val="0"/>
          <w:sz w:val="19"/>
          <w:szCs w:val="19"/>
        </w:rPr>
        <w:t>1600</w:t>
      </w:r>
      <w:r>
        <w:rPr>
          <w:color w:val="000000"/>
          <w:spacing w:val="0"/>
          <w:w w:val="100"/>
          <w:position w:val="0"/>
        </w:rPr>
        <w:t>万元违约金的高额度，认定当事人约定违约金并非完全意在预估违约损害， 而是赋予了违约金“明显的惩罚性质”；另一方面，科技型公司核心资产的特殊性与违约金 所涉竞业禁止、保密义务的特殊性，亦足以印证前述判断,并说明本案竞业禁止、保密义务 能否获得履行直接影响了缔约时守约方是否订立合同，受让股权。此一思路，是以合同条 款的内容、合同义务的特点和交易个案的情况为基础,厘定合同真意，并以尊重自治为导 向，确定酌减结论。</w:t>
      </w:r>
    </w:p>
    <w:p w14:paraId="7885DCED">
      <w:pPr>
        <w:pStyle w:val="17"/>
        <w:keepNext w:val="0"/>
        <w:keepLines w:val="0"/>
        <w:widowControl w:val="0"/>
        <w:shd w:val="clear" w:color="auto" w:fill="auto"/>
        <w:bidi w:val="0"/>
        <w:spacing w:before="0" w:after="100" w:line="342" w:lineRule="exact"/>
        <w:ind w:left="0" w:right="0" w:firstLine="0"/>
        <w:jc w:val="left"/>
      </w:pPr>
      <w:r>
        <w:rPr>
          <w:color w:val="000000"/>
          <w:spacing w:val="0"/>
          <w:w w:val="100"/>
          <w:position w:val="0"/>
        </w:rPr>
        <w:t>匡违约金酌减的规范及学理</w:t>
      </w:r>
    </w:p>
    <w:p w14:paraId="6E4FAA5E">
      <w:pPr>
        <w:pStyle w:val="17"/>
        <w:keepNext w:val="0"/>
        <w:keepLines w:val="0"/>
        <w:widowControl w:val="0"/>
        <w:shd w:val="clear" w:color="auto" w:fill="auto"/>
        <w:bidi w:val="0"/>
        <w:spacing w:before="0" w:after="0" w:line="350" w:lineRule="exact"/>
        <w:ind w:left="0" w:right="0" w:firstLine="420"/>
        <w:jc w:val="both"/>
        <w:sectPr>
          <w:footnotePr>
            <w:numFmt w:val="chicago"/>
          </w:footnotePr>
          <w:type w:val="continuous"/>
          <w:pgSz w:w="10099" w:h="14782"/>
          <w:pgMar w:top="1317" w:right="958" w:bottom="1095" w:left="1047" w:header="0" w:footer="3" w:gutter="0"/>
          <w:cols w:space="720" w:num="1"/>
          <w:rtlGutter w:val="0"/>
          <w:docGrid w:linePitch="360" w:charSpace="0"/>
        </w:sectPr>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114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款规定违约方可以申请法院或仲裁机构酌减过分高于违约 损害的违约金。《民法典》第</w:t>
      </w:r>
      <w:r>
        <w:rPr>
          <w:rFonts w:ascii="Times New Roman" w:hAnsi="Times New Roman" w:eastAsia="Times New Roman" w:cs="Times New Roman"/>
          <w:color w:val="000000"/>
          <w:spacing w:val="0"/>
          <w:w w:val="100"/>
          <w:position w:val="0"/>
          <w:sz w:val="19"/>
          <w:szCs w:val="19"/>
        </w:rPr>
        <w:t>585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款延续了这一规则。《合同法司法解释二》第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款进一步规定，酌减时应以实际损失为基础，综合衡量</w:t>
      </w:r>
      <w:r>
        <w:rPr>
          <w:color w:val="000000"/>
          <w:spacing w:val="0"/>
          <w:w w:val="100"/>
          <w:position w:val="0"/>
          <w:lang w:val="zh-CN" w:eastAsia="zh-CN" w:bidi="zh-CN"/>
        </w:rPr>
        <w:t>“合</w:t>
      </w:r>
      <w:r>
        <w:rPr>
          <w:color w:val="000000"/>
          <w:spacing w:val="0"/>
          <w:w w:val="100"/>
          <w:position w:val="0"/>
        </w:rPr>
        <w:t>同的履行情况、当事人的过 错程度以及预期利益</w:t>
      </w:r>
      <w:r>
        <w:rPr>
          <w:color w:val="000000"/>
          <w:spacing w:val="0"/>
          <w:w w:val="100"/>
          <w:position w:val="0"/>
          <w:lang w:val="zh-CN" w:eastAsia="zh-CN" w:bidi="zh-CN"/>
        </w:rPr>
        <w:t>”等</w:t>
      </w:r>
      <w:r>
        <w:rPr>
          <w:color w:val="000000"/>
          <w:spacing w:val="0"/>
          <w:w w:val="100"/>
          <w:position w:val="0"/>
        </w:rPr>
        <w:t xml:space="preserve">因素，根据公平原则、诚实信用原则确定是否酌减、酌减多少。而 </w:t>
      </w:r>
    </w:p>
    <w:p w14:paraId="470E3BDB">
      <w:pPr>
        <w:pStyle w:val="17"/>
        <w:keepNext w:val="0"/>
        <w:keepLines w:val="0"/>
        <w:widowControl w:val="0"/>
        <w:shd w:val="clear" w:color="auto" w:fill="auto"/>
        <w:bidi w:val="0"/>
        <w:spacing w:before="0" w:after="0" w:line="350" w:lineRule="exact"/>
        <w:ind w:left="0" w:right="0" w:firstLine="0"/>
        <w:jc w:val="both"/>
      </w:pPr>
      <w:r>
        <w:rPr>
          <w:color w:val="000000"/>
          <w:spacing w:val="0"/>
          <w:w w:val="100"/>
          <w:position w:val="0"/>
        </w:rPr>
        <w:t>且原则上,超出违约损害</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的违约金可以认定为原《合同法》第</w:t>
      </w:r>
      <w:r>
        <w:rPr>
          <w:rFonts w:ascii="Times New Roman" w:hAnsi="Times New Roman" w:eastAsia="Times New Roman" w:cs="Times New Roman"/>
          <w:color w:val="000000"/>
          <w:spacing w:val="0"/>
          <w:w w:val="100"/>
          <w:position w:val="0"/>
          <w:sz w:val="19"/>
          <w:szCs w:val="19"/>
        </w:rPr>
        <w:t>114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款的过高情形 （《合同法司法解释二》第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w:t>
      </w:r>
    </w:p>
    <w:p w14:paraId="0CC6F25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对于约定违约金,学理上较为主流的意见认为，若无特别的约定,违约金构成损害赔偿 总额的预定,主要发挥补偿损害的功能;当事人可以另行约定带有</w:t>
      </w:r>
      <w:r>
        <w:rPr>
          <w:color w:val="000000"/>
          <w:spacing w:val="0"/>
          <w:w w:val="100"/>
          <w:position w:val="0"/>
          <w:lang w:val="zh-CN" w:eastAsia="zh-CN" w:bidi="zh-CN"/>
        </w:rPr>
        <w:t>“惩罚”属</w:t>
      </w:r>
      <w:r>
        <w:rPr>
          <w:color w:val="000000"/>
          <w:spacing w:val="0"/>
          <w:w w:val="100"/>
          <w:position w:val="0"/>
        </w:rPr>
        <w:t>性的违约金;有 观点进一步认为这种惩罚性表现为与既有法定违约赔偿的叠加关系,且不适用司法酌减规 则。亦有另外的见解认为,无论违约金具体类型为何，司法酌减规则均有适用的空间。</w:t>
      </w:r>
    </w:p>
    <w:p w14:paraId="52B75606">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近来则有观点主张，违约金兼具担保履约的压力功能和填补损害的补偿功能,二者均 有当事人之合意作为基础，从兼顾自治与公平的角度，应当在司法酌减时考虑当事人配置 违约金具体功能权重的意思。强调重视违约金的压力功能，还应将其区别于违约金的</w:t>
      </w:r>
      <w:r>
        <w:rPr>
          <w:color w:val="000000"/>
          <w:spacing w:val="0"/>
          <w:w w:val="100"/>
          <w:position w:val="0"/>
          <w:lang w:val="zh-CN" w:eastAsia="zh-CN" w:bidi="zh-CN"/>
        </w:rPr>
        <w:t xml:space="preserve">“惩 </w:t>
      </w:r>
      <w:r>
        <w:rPr>
          <w:color w:val="000000"/>
          <w:spacing w:val="0"/>
          <w:w w:val="100"/>
          <w:position w:val="0"/>
        </w:rPr>
        <w:t>罚性”。理解违约金的</w:t>
      </w:r>
      <w:r>
        <w:rPr>
          <w:color w:val="000000"/>
          <w:spacing w:val="0"/>
          <w:w w:val="100"/>
          <w:position w:val="0"/>
          <w:lang w:val="zh-CN" w:eastAsia="zh-CN" w:bidi="zh-CN"/>
        </w:rPr>
        <w:t>“惩</w:t>
      </w:r>
      <w:r>
        <w:rPr>
          <w:color w:val="000000"/>
          <w:spacing w:val="0"/>
          <w:w w:val="100"/>
          <w:position w:val="0"/>
        </w:rPr>
        <w:t>罚性</w:t>
      </w:r>
      <w:r>
        <w:rPr>
          <w:color w:val="000000"/>
          <w:spacing w:val="0"/>
          <w:w w:val="100"/>
          <w:position w:val="0"/>
          <w:lang w:val="zh-CN" w:eastAsia="zh-CN" w:bidi="zh-CN"/>
        </w:rPr>
        <w:t>”，若</w:t>
      </w:r>
      <w:r>
        <w:rPr>
          <w:color w:val="000000"/>
          <w:spacing w:val="0"/>
          <w:w w:val="100"/>
          <w:position w:val="0"/>
        </w:rPr>
        <w:t>是以缔约时为准,指向的是当事人事先的设计（如与法 定违约赔偿的叠加关系），虽然符合尊重自治的立场，但仅是揭示了最极端的约定安排;若 是以违约损害发生时为准，则只是对约定金额与实际损害大小关系的事后描述，并无规范 适用的指导意义。</w:t>
      </w:r>
    </w:p>
    <w:p w14:paraId="216998B7">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既往司法实践状况</w:t>
      </w:r>
    </w:p>
    <w:p w14:paraId="28EE72D0">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我国司法实践长期以来遵行的是</w:t>
      </w:r>
      <w:r>
        <w:rPr>
          <w:color w:val="000000"/>
          <w:spacing w:val="0"/>
          <w:w w:val="100"/>
          <w:position w:val="0"/>
          <w:lang w:val="zh-CN" w:eastAsia="zh-CN" w:bidi="zh-CN"/>
        </w:rPr>
        <w:t>“补</w:t>
      </w:r>
      <w:r>
        <w:rPr>
          <w:color w:val="000000"/>
          <w:spacing w:val="0"/>
          <w:w w:val="100"/>
          <w:position w:val="0"/>
        </w:rPr>
        <w:t>偿为主、惩罚为辅</w:t>
      </w:r>
      <w:r>
        <w:rPr>
          <w:color w:val="000000"/>
          <w:spacing w:val="0"/>
          <w:w w:val="100"/>
          <w:position w:val="0"/>
          <w:lang w:val="zh-CN" w:eastAsia="zh-CN" w:bidi="zh-CN"/>
        </w:rPr>
        <w:t>”的违</w:t>
      </w:r>
      <w:r>
        <w:rPr>
          <w:color w:val="000000"/>
          <w:spacing w:val="0"/>
          <w:w w:val="100"/>
          <w:position w:val="0"/>
        </w:rPr>
        <w:t>约金规制思路，且对</w:t>
      </w:r>
      <w:r>
        <w:rPr>
          <w:color w:val="000000"/>
          <w:spacing w:val="0"/>
          <w:w w:val="100"/>
          <w:position w:val="0"/>
          <w:lang w:val="zh-CN" w:eastAsia="zh-CN" w:bidi="zh-CN"/>
        </w:rPr>
        <w:t xml:space="preserve">“惩罚 </w:t>
      </w:r>
      <w:r>
        <w:rPr>
          <w:color w:val="000000"/>
          <w:spacing w:val="0"/>
          <w:w w:val="100"/>
          <w:position w:val="0"/>
        </w:rPr>
        <w:t>性</w:t>
      </w:r>
      <w:r>
        <w:rPr>
          <w:color w:val="000000"/>
          <w:spacing w:val="0"/>
          <w:w w:val="100"/>
          <w:position w:val="0"/>
          <w:lang w:val="zh-CN" w:eastAsia="zh-CN" w:bidi="zh-CN"/>
        </w:rPr>
        <w:t>”的理</w:t>
      </w:r>
      <w:r>
        <w:rPr>
          <w:color w:val="000000"/>
          <w:spacing w:val="0"/>
          <w:w w:val="100"/>
          <w:position w:val="0"/>
        </w:rPr>
        <w:t>解主要定位于与实际损害大小关系的事实描述。此一思路之下，即便当事人基于 个案交易的需要约定了较高额度的违约金，通常也会被酌减至实际损害的幅度。加之裁判 实践对可赔损害的认定普遍偏保守，违约金最终还是会从当事人约定的轨道被拉回到法定 违约赔偿的标准。作为合同工具的违约金，非但未能济法定违约赔偿规则确定性不足之 处，反而因司法酌减而被法定赔偿规则所</w:t>
      </w:r>
      <w:r>
        <w:rPr>
          <w:color w:val="000000"/>
          <w:spacing w:val="0"/>
          <w:w w:val="100"/>
          <w:position w:val="0"/>
          <w:lang w:val="zh-CN" w:eastAsia="zh-CN" w:bidi="zh-CN"/>
        </w:rPr>
        <w:t>“策</w:t>
      </w:r>
      <w:r>
        <w:rPr>
          <w:color w:val="000000"/>
          <w:spacing w:val="0"/>
          <w:w w:val="100"/>
          <w:position w:val="0"/>
        </w:rPr>
        <w:t>反”。</w:t>
      </w:r>
    </w:p>
    <w:p w14:paraId="3C9C29FD">
      <w:pPr>
        <w:pStyle w:val="17"/>
        <w:keepNext w:val="0"/>
        <w:keepLines w:val="0"/>
        <w:widowControl w:val="0"/>
        <w:shd w:val="clear" w:color="auto" w:fill="auto"/>
        <w:bidi w:val="0"/>
        <w:spacing w:before="0" w:after="0" w:line="342" w:lineRule="exact"/>
        <w:ind w:left="0" w:right="0" w:firstLine="42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年《合同法司法解释二》施行后，第</w:t>
      </w:r>
      <w:r>
        <w:rPr>
          <w:rFonts w:ascii="Times New Roman" w:hAnsi="Times New Roman" w:eastAsia="Times New Roman" w:cs="Times New Roman"/>
          <w:color w:val="000000"/>
          <w:spacing w:val="0"/>
          <w:w w:val="100"/>
          <w:position w:val="0"/>
          <w:sz w:val="19"/>
          <w:szCs w:val="19"/>
        </w:rPr>
        <w:t>29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款规定的</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标准”还引发了相当 程度的机械适用。虽然最高人民法院曾一度通过公报案例指出</w:t>
      </w:r>
      <w:r>
        <w:rPr>
          <w:color w:val="000000"/>
          <w:spacing w:val="0"/>
          <w:w w:val="100"/>
          <w:position w:val="0"/>
          <w:lang w:val="zh-CN" w:eastAsia="zh-CN" w:bidi="zh-CN"/>
        </w:rPr>
        <w:t>，“既</w:t>
      </w:r>
      <w:r>
        <w:rPr>
          <w:color w:val="000000"/>
          <w:spacing w:val="0"/>
          <w:w w:val="100"/>
          <w:position w:val="0"/>
        </w:rPr>
        <w:t>不能机械地将’当事人 约定的违约金超过造成损失的百分之三十'的情形一概认定为合同法第一百一十四条第二 款规定的</w:t>
      </w:r>
      <w:r>
        <w:rPr>
          <w:color w:val="000000"/>
          <w:spacing w:val="0"/>
          <w:w w:val="100"/>
          <w:position w:val="0"/>
          <w:lang w:val="en-US" w:eastAsia="en-US" w:bidi="en-US"/>
        </w:rPr>
        <w:t>'</w:t>
      </w:r>
      <w:r>
        <w:rPr>
          <w:color w:val="000000"/>
          <w:spacing w:val="0"/>
          <w:w w:val="100"/>
          <w:position w:val="0"/>
        </w:rPr>
        <w:t>过分高于造成的损失</w:t>
      </w:r>
      <w:r>
        <w:rPr>
          <w:color w:val="000000"/>
          <w:spacing w:val="0"/>
          <w:w w:val="100"/>
          <w:position w:val="0"/>
          <w:lang w:val="en-US" w:eastAsia="en-US" w:bidi="en-US"/>
        </w:rPr>
        <w:t>’</w:t>
      </w:r>
      <w:r>
        <w:rPr>
          <w:color w:val="000000"/>
          <w:spacing w:val="0"/>
          <w:w w:val="100"/>
          <w:position w:val="0"/>
        </w:rPr>
        <w:t>，也不能在依法</w:t>
      </w:r>
      <w:r>
        <w:rPr>
          <w:color w:val="000000"/>
          <w:spacing w:val="0"/>
          <w:w w:val="100"/>
          <w:position w:val="0"/>
          <w:lang w:val="en-US" w:eastAsia="en-US" w:bidi="en-US"/>
        </w:rPr>
        <w:t>’</w:t>
      </w:r>
      <w:r>
        <w:rPr>
          <w:color w:val="000000"/>
          <w:spacing w:val="0"/>
          <w:w w:val="100"/>
          <w:position w:val="0"/>
        </w:rPr>
        <w:t>适当减少违约金</w:t>
      </w:r>
      <w:r>
        <w:rPr>
          <w:color w:val="000000"/>
          <w:spacing w:val="0"/>
          <w:w w:val="100"/>
          <w:position w:val="0"/>
          <w:lang w:val="en-US" w:eastAsia="en-US" w:bidi="en-US"/>
        </w:rPr>
        <w:t>’</w:t>
      </w:r>
      <w:r>
        <w:rPr>
          <w:color w:val="000000"/>
          <w:spacing w:val="0"/>
          <w:w w:val="100"/>
          <w:position w:val="0"/>
        </w:rPr>
        <w:t>数额时，机械地将违约 金数额减少至实际损失的百分之一百三十</w:t>
      </w:r>
      <w:r>
        <w:rPr>
          <w:color w:val="000000"/>
          <w:spacing w:val="0"/>
          <w:w w:val="100"/>
          <w:position w:val="0"/>
          <w:lang w:val="zh-CN" w:eastAsia="zh-CN" w:bidi="zh-CN"/>
        </w:rPr>
        <w:t>”，强</w:t>
      </w:r>
      <w:r>
        <w:rPr>
          <w:color w:val="000000"/>
          <w:spacing w:val="0"/>
          <w:w w:val="100"/>
          <w:position w:val="0"/>
        </w:rPr>
        <w:t>调“’百分之三十'并不是一成不变的固定标 准……（也）不是人民法院适当减少违约金的标准”</w:t>
      </w:r>
      <w:r>
        <w:rPr>
          <w:color w:val="000000"/>
          <w:spacing w:val="0"/>
          <w:w w:val="100"/>
          <w:position w:val="0"/>
          <w:sz w:val="11"/>
          <w:szCs w:val="11"/>
          <w:lang w:val="zh-CN" w:eastAsia="zh-CN" w:bidi="zh-CN"/>
        </w:rPr>
        <w:t>［“韶</w:t>
      </w:r>
      <w:r>
        <w:rPr>
          <w:color w:val="000000"/>
          <w:spacing w:val="0"/>
          <w:w w:val="100"/>
          <w:position w:val="0"/>
          <w:sz w:val="11"/>
          <w:szCs w:val="11"/>
        </w:rPr>
        <w:t>关市汇丰华南创展企业有限公司与广东 省环境工程装备总公司广东省环境保护工程研究设计院合同纠纷案</w:t>
      </w:r>
      <w:r>
        <w:rPr>
          <w:color w:val="000000"/>
          <w:spacing w:val="0"/>
          <w:w w:val="100"/>
          <w:position w:val="0"/>
          <w:sz w:val="11"/>
          <w:szCs w:val="11"/>
          <w:lang w:val="zh-CN" w:eastAsia="zh-CN" w:bidi="zh-CN"/>
        </w:rPr>
        <w:t>”，最</w:t>
      </w:r>
      <w:r>
        <w:rPr>
          <w:color w:val="000000"/>
          <w:spacing w:val="0"/>
          <w:w w:val="100"/>
          <w:position w:val="0"/>
          <w:sz w:val="11"/>
          <w:szCs w:val="11"/>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民再申字 第</w:t>
      </w:r>
      <w:r>
        <w:rPr>
          <w:rFonts w:ascii="Times New Roman" w:hAnsi="Times New Roman" w:eastAsia="Times New Roman" w:cs="Times New Roman"/>
          <w:color w:val="000000"/>
          <w:spacing w:val="0"/>
          <w:w w:val="100"/>
          <w:position w:val="0"/>
          <w:sz w:val="17"/>
          <w:szCs w:val="17"/>
        </w:rPr>
        <w:t>84</w:t>
      </w:r>
      <w:r>
        <w:rPr>
          <w:color w:val="000000"/>
          <w:spacing w:val="0"/>
          <w:w w:val="100"/>
          <w:position w:val="0"/>
          <w:sz w:val="11"/>
          <w:szCs w:val="11"/>
        </w:rPr>
        <w:t>号民事裁定，载《最高人民法院公报》</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sz w:val="11"/>
          <w:szCs w:val="11"/>
        </w:rPr>
        <w:t>期］</w:t>
      </w:r>
      <w:r>
        <w:rPr>
          <w:color w:val="000000"/>
          <w:spacing w:val="0"/>
          <w:w w:val="100"/>
          <w:position w:val="0"/>
        </w:rPr>
        <w:t>，但裁判实践中以数字规则替代具体说 理的做法仍然普遍存在,法定违约赔偿对约定违约金的</w:t>
      </w:r>
      <w:r>
        <w:rPr>
          <w:color w:val="000000"/>
          <w:spacing w:val="0"/>
          <w:w w:val="100"/>
          <w:position w:val="0"/>
          <w:lang w:val="zh-CN" w:eastAsia="zh-CN" w:bidi="zh-CN"/>
        </w:rPr>
        <w:t>“反噬”还</w:t>
      </w:r>
      <w:r>
        <w:rPr>
          <w:color w:val="000000"/>
          <w:spacing w:val="0"/>
          <w:w w:val="100"/>
          <w:position w:val="0"/>
        </w:rPr>
        <w:t>在继续。</w:t>
      </w:r>
    </w:p>
    <w:p w14:paraId="2133F08F">
      <w:pPr>
        <w:pStyle w:val="17"/>
        <w:keepNext w:val="0"/>
        <w:keepLines w:val="0"/>
        <w:widowControl w:val="0"/>
        <w:shd w:val="clear" w:color="auto" w:fill="auto"/>
        <w:bidi w:val="0"/>
        <w:spacing w:before="0" w:after="140" w:line="342" w:lineRule="exact"/>
        <w:ind w:left="0" w:right="0" w:firstLine="420"/>
        <w:jc w:val="both"/>
        <w:rPr>
          <w:sz w:val="11"/>
          <w:szCs w:val="11"/>
        </w:rPr>
      </w:pPr>
      <w:r>
        <w:rPr>
          <w:color w:val="000000"/>
          <w:spacing w:val="0"/>
          <w:w w:val="100"/>
          <w:position w:val="0"/>
          <w:sz w:val="18"/>
          <w:szCs w:val="18"/>
        </w:rPr>
        <w:t>近来,最高人民法院有意从两个方面矫正违约金酌减实践的这种异化趋势。其一，是 明确了判断违约金过高的标准，不仅限于违约造成的实际损失,还应当考虑可得利益</w:t>
      </w:r>
      <w:r>
        <w:rPr>
          <w:color w:val="000000"/>
          <w:spacing w:val="0"/>
          <w:w w:val="100"/>
          <w:position w:val="0"/>
          <w:sz w:val="11"/>
          <w:szCs w:val="11"/>
          <w:lang w:val="zh-CN" w:eastAsia="zh-CN" w:bidi="zh-CN"/>
        </w:rPr>
        <w:t>［“国</w:t>
      </w:r>
      <w:r>
        <w:rPr>
          <w:color w:val="000000"/>
          <w:spacing w:val="0"/>
          <w:w w:val="100"/>
          <w:position w:val="0"/>
          <w:sz w:val="11"/>
          <w:szCs w:val="11"/>
        </w:rPr>
        <w:t>信 达资产管理股份有限公司甘肃省分公司与庆阳市智霖房地产开发有限公司、庆阳智霖实业有限公司等 债权债务概括转移合同纠纷案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355</w:t>
      </w:r>
      <w:r>
        <w:rPr>
          <w:color w:val="000000"/>
          <w:spacing w:val="0"/>
          <w:w w:val="100"/>
          <w:position w:val="0"/>
          <w:sz w:val="11"/>
          <w:szCs w:val="11"/>
        </w:rPr>
        <w:t>号民事判决］。</w:t>
      </w:r>
      <w:r>
        <w:rPr>
          <w:color w:val="000000"/>
          <w:spacing w:val="0"/>
          <w:w w:val="100"/>
          <w:position w:val="0"/>
          <w:sz w:val="18"/>
          <w:szCs w:val="18"/>
        </w:rPr>
        <w:t>其二,是肯认约定违约金除 了可以事先确定赔偿数额以省却损害举证成本,有时还含有借以向债务人施加履行压力、 配置履约担保功能的意旨,后者在个案中甚至可以证成排除酌减规则的适用</w:t>
      </w:r>
      <w:r>
        <w:rPr>
          <w:color w:val="000000"/>
          <w:spacing w:val="0"/>
          <w:w w:val="100"/>
          <w:position w:val="0"/>
          <w:sz w:val="11"/>
          <w:szCs w:val="11"/>
          <w:lang w:val="zh-CN" w:eastAsia="zh-CN" w:bidi="zh-CN"/>
        </w:rPr>
        <w:t>［“北</w:t>
      </w:r>
      <w:r>
        <w:rPr>
          <w:color w:val="000000"/>
          <w:spacing w:val="0"/>
          <w:w w:val="100"/>
          <w:position w:val="0"/>
          <w:sz w:val="11"/>
          <w:szCs w:val="11"/>
        </w:rPr>
        <w:t>京华普产业</w:t>
      </w:r>
    </w:p>
    <w:p w14:paraId="410646B1">
      <w:pPr>
        <w:pStyle w:val="17"/>
        <w:keepNext w:val="0"/>
        <w:keepLines w:val="0"/>
        <w:widowControl w:val="0"/>
        <w:shd w:val="clear" w:color="auto" w:fill="auto"/>
        <w:bidi w:val="0"/>
        <w:spacing w:before="0" w:after="280" w:line="348" w:lineRule="exact"/>
        <w:ind w:left="0" w:right="0" w:firstLine="0"/>
        <w:jc w:val="both"/>
      </w:pPr>
      <w:r>
        <w:rPr>
          <w:color w:val="000000"/>
          <w:spacing w:val="0"/>
          <w:w w:val="100"/>
          <w:position w:val="0"/>
          <w:sz w:val="11"/>
          <w:szCs w:val="11"/>
        </w:rPr>
        <w:t>集团有限公司、北京华普投资有限责任公司股权转让纠纷案</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455</w:t>
      </w:r>
      <w:r>
        <w:rPr>
          <w:color w:val="000000"/>
          <w:spacing w:val="0"/>
          <w:w w:val="100"/>
          <w:position w:val="0"/>
          <w:sz w:val="11"/>
          <w:szCs w:val="11"/>
        </w:rPr>
        <w:t xml:space="preserve">号民事判决］。 </w:t>
      </w:r>
      <w:r>
        <w:rPr>
          <w:color w:val="000000"/>
          <w:spacing w:val="0"/>
          <w:w w:val="100"/>
          <w:position w:val="0"/>
        </w:rPr>
        <w:t>考虑到合同法通行于民商交易之现实，此类裁判思路上的矫正对于尊重私法自治,维护合 同约定的确定性具有重要意义。</w:t>
      </w:r>
    </w:p>
    <w:p w14:paraId="2FBF4E8C">
      <w:pPr>
        <w:pStyle w:val="17"/>
        <w:keepNext w:val="0"/>
        <w:keepLines w:val="0"/>
        <w:widowControl w:val="0"/>
        <w:shd w:val="clear" w:color="auto" w:fill="auto"/>
        <w:bidi w:val="0"/>
        <w:spacing w:before="0" w:after="0" w:line="418"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0B28476C">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本案也很好地凸显了违约金制度中的一个颇具特点的具体问题，即针对以竞业禁止义 务、保密义务为代表的</w:t>
      </w:r>
      <w:r>
        <w:rPr>
          <w:color w:val="000000"/>
          <w:spacing w:val="0"/>
          <w:w w:val="100"/>
          <w:position w:val="0"/>
          <w:lang w:val="zh-CN" w:eastAsia="zh-CN" w:bidi="zh-CN"/>
        </w:rPr>
        <w:t>“不作</w:t>
      </w:r>
      <w:r>
        <w:rPr>
          <w:color w:val="000000"/>
          <w:spacing w:val="0"/>
          <w:w w:val="100"/>
          <w:position w:val="0"/>
        </w:rPr>
        <w:t>为义务</w:t>
      </w:r>
      <w:r>
        <w:rPr>
          <w:color w:val="000000"/>
          <w:spacing w:val="0"/>
          <w:w w:val="100"/>
          <w:position w:val="0"/>
          <w:lang w:val="zh-CN" w:eastAsia="zh-CN" w:bidi="zh-CN"/>
        </w:rPr>
        <w:t>”而约</w:t>
      </w:r>
      <w:r>
        <w:rPr>
          <w:color w:val="000000"/>
          <w:spacing w:val="0"/>
          <w:w w:val="100"/>
          <w:position w:val="0"/>
        </w:rPr>
        <w:t>定的违约金,具有一定的特殊性。</w:t>
      </w:r>
    </w:p>
    <w:p w14:paraId="294EB89F">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此类义务通常附有一定的存续期间,在期间内若有所违反,至少就违反之部分,事实上 难有实际补救的余地,即一经违反，义务所涉利益即告落空，无法实现。即使债务人在剩余 期间继续保持不作为对于债权人而言仍有意义,亦不可否认已被违反的部分事实上无从实 际补救。加之违反此类义务所导致的损害通常难以精确计算,一旦当事人针对此类义务约 定了违约金，与其说是用于预估违约损害、预定填补额度,不如说更有意着力于通过预定的 给付负担向债务人提前施压，促使其在实际违约前“三思而后不行</w:t>
      </w:r>
      <w:r>
        <w:rPr>
          <w:color w:val="000000"/>
          <w:spacing w:val="0"/>
          <w:w w:val="100"/>
          <w:position w:val="0"/>
          <w:lang w:val="zh-CN" w:eastAsia="zh-CN" w:bidi="zh-CN"/>
        </w:rPr>
        <w:t>”，避</w:t>
      </w:r>
      <w:r>
        <w:rPr>
          <w:color w:val="000000"/>
          <w:spacing w:val="0"/>
          <w:w w:val="100"/>
          <w:position w:val="0"/>
        </w:rPr>
        <w:t>免违约风险落为现 实。易言之，此类义务及其适用场景的特殊性，可以反射出当事人有别于通常情形的功能 配置意图，这种意图不仅是债权人缔约时之所愿，亦为债务人允诺时之所知。相应地,在酌 减环节，这种意图以及违约方</w:t>
      </w:r>
      <w:r>
        <w:rPr>
          <w:color w:val="000000"/>
          <w:spacing w:val="0"/>
          <w:w w:val="100"/>
          <w:position w:val="0"/>
          <w:lang w:val="zh-CN" w:eastAsia="zh-CN" w:bidi="zh-CN"/>
        </w:rPr>
        <w:t>“行为”层</w:t>
      </w:r>
      <w:r>
        <w:rPr>
          <w:color w:val="000000"/>
          <w:spacing w:val="0"/>
          <w:w w:val="100"/>
          <w:position w:val="0"/>
        </w:rPr>
        <w:t>面的主观恶意程度（而非</w:t>
      </w:r>
      <w:r>
        <w:rPr>
          <w:color w:val="000000"/>
          <w:spacing w:val="0"/>
          <w:w w:val="100"/>
          <w:position w:val="0"/>
          <w:lang w:val="zh-CN" w:eastAsia="zh-CN" w:bidi="zh-CN"/>
        </w:rPr>
        <w:t>“结果”层面</w:t>
      </w:r>
      <w:r>
        <w:rPr>
          <w:color w:val="000000"/>
          <w:spacing w:val="0"/>
          <w:w w:val="100"/>
          <w:position w:val="0"/>
        </w:rPr>
        <w:t>的客观损害幅 度），才是应当予以侧重考量的因素。</w:t>
      </w:r>
    </w:p>
    <w:p w14:paraId="1593132D">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由此亦可见，本案判决以被告王巍另行承诺之</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万元金额作为酌定基础,不无可议, 因为很难认为该另行承诺构成对原有合同安排及违约金约定的变更。更具正当性的酌减 因素,应该是考量若二被告停止违约并在剩余期间继续履行竞业禁止、保密义务，对于三原 告的后续经营仍可能有相当的积极意义。</w:t>
      </w:r>
    </w:p>
    <w:p w14:paraId="652BBCE0">
      <w:pPr>
        <w:pStyle w:val="11"/>
        <w:keepNext w:val="0"/>
        <w:keepLines w:val="0"/>
        <w:widowControl w:val="0"/>
        <w:shd w:val="clear" w:color="auto" w:fill="auto"/>
        <w:bidi w:val="0"/>
        <w:spacing w:before="0" w:after="60" w:line="341" w:lineRule="exact"/>
        <w:ind w:left="0" w:right="0" w:firstLine="0"/>
        <w:jc w:val="left"/>
      </w:pPr>
      <w:r>
        <w:rPr>
          <w:color w:val="000000"/>
          <w:spacing w:val="0"/>
          <w:w w:val="100"/>
          <w:position w:val="0"/>
        </w:rPr>
        <w:t>回参考文献</w:t>
      </w:r>
    </w:p>
    <w:p w14:paraId="4AF201CD">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韩世远:《违约金的理论问题——以合同法第</w:t>
      </w:r>
      <w:r>
        <w:rPr>
          <w:rFonts w:ascii="Times New Roman" w:hAnsi="Times New Roman" w:eastAsia="Times New Roman" w:cs="Times New Roman"/>
          <w:color w:val="000000"/>
          <w:spacing w:val="0"/>
          <w:w w:val="100"/>
          <w:position w:val="0"/>
          <w:sz w:val="17"/>
          <w:szCs w:val="17"/>
        </w:rPr>
        <w:t>114</w:t>
      </w:r>
      <w:r>
        <w:rPr>
          <w:color w:val="000000"/>
          <w:spacing w:val="0"/>
          <w:w w:val="100"/>
          <w:position w:val="0"/>
        </w:rPr>
        <w:t>条为中心的解释论》，载《法学研究</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姚蔚薇:《对违约金约定过高如何认定和调整问题探析——〈合同法〉第</w:t>
      </w:r>
      <w:r>
        <w:rPr>
          <w:rFonts w:ascii="Times New Roman" w:hAnsi="Times New Roman" w:eastAsia="Times New Roman" w:cs="Times New Roman"/>
          <w:color w:val="000000"/>
          <w:spacing w:val="0"/>
          <w:w w:val="100"/>
          <w:position w:val="0"/>
          <w:sz w:val="17"/>
          <w:szCs w:val="17"/>
        </w:rPr>
        <w:t>114</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款的理解与适用》， 载《法律适用》</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0B601A71">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靳学军、李颖:《违约金调整的司法难题及解决》，载《人民司法</w:t>
      </w:r>
      <w:r>
        <w:rPr>
          <w:color w:val="000000"/>
          <w:spacing w:val="0"/>
          <w:w w:val="100"/>
          <w:position w:val="0"/>
          <w:lang w:val="en-US" w:eastAsia="en-US" w:bidi="en-US"/>
        </w:rPr>
        <w:t>•</w:t>
      </w:r>
      <w:r>
        <w:rPr>
          <w:color w:val="000000"/>
          <w:spacing w:val="0"/>
          <w:w w:val="100"/>
          <w:position w:val="0"/>
        </w:rPr>
        <w:t>应用</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19</w:t>
      </w:r>
      <w:r>
        <w:rPr>
          <w:color w:val="000000"/>
          <w:spacing w:val="0"/>
          <w:w w:val="100"/>
          <w:position w:val="0"/>
        </w:rPr>
        <w:t>期。</w:t>
      </w:r>
    </w:p>
    <w:p w14:paraId="0232602D">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雷继平:《违约金司法调整的标准和相关因素》，载《法律适用》</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w:t>
      </w:r>
    </w:p>
    <w:p w14:paraId="0C13843C">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王洪亮：《违约金酌减规则论》，载《法学家》</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21507D65">
      <w:pPr>
        <w:pStyle w:val="33"/>
        <w:keepNext w:val="0"/>
        <w:keepLines w:val="0"/>
        <w:widowControl w:val="0"/>
        <w:shd w:val="clear" w:color="auto" w:fill="auto"/>
        <w:bidi w:val="0"/>
        <w:spacing w:before="0" w:after="0" w:line="322" w:lineRule="exact"/>
        <w:ind w:left="180" w:right="0" w:hanging="180"/>
        <w:jc w:val="both"/>
      </w:pPr>
      <w:r>
        <w:rPr>
          <w:color w:val="000000"/>
          <w:spacing w:val="0"/>
          <w:w w:val="100"/>
          <w:position w:val="0"/>
        </w:rPr>
        <w:t>韩强:《违约金担保功能的异化与回归——以对违约金类型的考察为中心》，载《法学研究》</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3 </w:t>
      </w:r>
      <w:r>
        <w:rPr>
          <w:color w:val="000000"/>
          <w:spacing w:val="0"/>
          <w:w w:val="100"/>
          <w:position w:val="0"/>
        </w:rPr>
        <w:t>期。</w:t>
      </w:r>
    </w:p>
    <w:p w14:paraId="6CF21E6D">
      <w:pPr>
        <w:pStyle w:val="33"/>
        <w:keepNext w:val="0"/>
        <w:keepLines w:val="0"/>
        <w:widowControl w:val="0"/>
        <w:shd w:val="clear" w:color="auto" w:fill="auto"/>
        <w:bidi w:val="0"/>
        <w:spacing w:before="0" w:after="0" w:line="318" w:lineRule="exact"/>
        <w:ind w:left="0" w:right="0" w:firstLine="0"/>
        <w:jc w:val="left"/>
      </w:pPr>
      <w:r>
        <w:rPr>
          <w:color w:val="000000"/>
          <w:spacing w:val="0"/>
          <w:w w:val="100"/>
          <w:position w:val="0"/>
        </w:rPr>
        <w:t>罗昆：《我国违约金司法酌减的限制与排除》，载《法律科学》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姚明斌:《〈合同法〉第</w:t>
      </w:r>
      <w:r>
        <w:rPr>
          <w:rFonts w:ascii="Times New Roman" w:hAnsi="Times New Roman" w:eastAsia="Times New Roman" w:cs="Times New Roman"/>
          <w:color w:val="000000"/>
          <w:spacing w:val="0"/>
          <w:w w:val="100"/>
          <w:position w:val="0"/>
          <w:sz w:val="17"/>
          <w:szCs w:val="17"/>
        </w:rPr>
        <w:t>114</w:t>
      </w:r>
      <w:r>
        <w:rPr>
          <w:color w:val="000000"/>
          <w:spacing w:val="0"/>
          <w:w w:val="100"/>
          <w:position w:val="0"/>
        </w:rPr>
        <w:t>条（约定违约金）评注》，载《法学家》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 石冠彬：《民法典合同编违约金调减制度的立法完善</w:t>
      </w:r>
      <w:r>
        <w:rPr>
          <w:color w:val="000000"/>
          <w:spacing w:val="0"/>
          <w:w w:val="100"/>
          <w:position w:val="0"/>
          <w:lang w:val="en-US" w:eastAsia="en-US" w:bidi="en-US"/>
        </w:rPr>
        <w:t>一</w:t>
      </w:r>
      <w:r>
        <w:rPr>
          <w:color w:val="000000"/>
          <w:spacing w:val="0"/>
          <w:w w:val="100"/>
          <w:position w:val="0"/>
        </w:rPr>
        <w:t xml:space="preserve">一以裁判立场的考察为基础》，载《法学论坛》 </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0DF14C23">
      <w:pPr>
        <w:pStyle w:val="33"/>
        <w:keepNext w:val="0"/>
        <w:keepLines w:val="0"/>
        <w:widowControl w:val="0"/>
        <w:shd w:val="clear" w:color="auto" w:fill="auto"/>
        <w:bidi w:val="0"/>
        <w:spacing w:before="0" w:after="160" w:line="318" w:lineRule="exact"/>
        <w:ind w:left="0" w:right="0" w:firstLine="0"/>
        <w:jc w:val="left"/>
        <w:sectPr>
          <w:headerReference r:id="rId438" w:type="first"/>
          <w:headerReference r:id="rId436" w:type="default"/>
          <w:headerReference r:id="rId437" w:type="even"/>
          <w:footnotePr>
            <w:numFmt w:val="chicago"/>
          </w:footnotePr>
          <w:pgSz w:w="10099" w:h="14782"/>
          <w:pgMar w:top="1317" w:right="958" w:bottom="1095" w:left="1047" w:header="0" w:footer="3" w:gutter="0"/>
          <w:pgNumType w:start="368"/>
          <w:cols w:space="720" w:num="1"/>
          <w:titlePg/>
          <w:rtlGutter w:val="0"/>
          <w:docGrid w:linePitch="360" w:charSpace="0"/>
        </w:sectPr>
      </w:pPr>
      <w:r>
        <w:rPr>
          <w:color w:val="000000"/>
          <w:spacing w:val="0"/>
          <w:w w:val="100"/>
          <w:position w:val="0"/>
        </w:rPr>
        <w:t>姚明斌:《违约金论》，中国法制出版社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33AEB9CC">
      <w:pPr>
        <w:pStyle w:val="17"/>
        <w:keepNext w:val="0"/>
        <w:keepLines w:val="0"/>
        <w:widowControl w:val="0"/>
        <w:shd w:val="clear" w:color="auto" w:fill="auto"/>
        <w:tabs>
          <w:tab w:val="left" w:pos="5902"/>
        </w:tabs>
        <w:bidi w:val="0"/>
        <w:spacing w:before="0" w:after="400" w:line="314" w:lineRule="exact"/>
        <w:ind w:left="0" w:right="0" w:firstLine="0"/>
        <w:jc w:val="center"/>
      </w:pPr>
      <w:r>
        <w:drawing>
          <wp:anchor distT="0" distB="0" distL="114300" distR="3063240" simplePos="0" relativeHeight="251660288" behindDoc="0" locked="0" layoutInCell="1" allowOverlap="1">
            <wp:simplePos x="0" y="0"/>
            <wp:positionH relativeFrom="page">
              <wp:posOffset>724535</wp:posOffset>
            </wp:positionH>
            <wp:positionV relativeFrom="margin">
              <wp:posOffset>102235</wp:posOffset>
            </wp:positionV>
            <wp:extent cx="481330" cy="414655"/>
            <wp:effectExtent l="0" t="0" r="1270" b="4445"/>
            <wp:wrapTopAndBottom/>
            <wp:docPr id="1017" name="Shape 1017"/>
            <wp:cNvGraphicFramePr/>
            <a:graphic xmlns:a="http://schemas.openxmlformats.org/drawingml/2006/main">
              <a:graphicData uri="http://schemas.openxmlformats.org/drawingml/2006/picture">
                <pic:pic xmlns:pic="http://schemas.openxmlformats.org/drawingml/2006/picture">
                  <pic:nvPicPr>
                    <pic:cNvPr id="1017" name="Shape 1017"/>
                    <pic:cNvPicPr/>
                  </pic:nvPicPr>
                  <pic:blipFill>
                    <a:blip r:embed="rId687"/>
                    <a:stretch>
                      <a:fillRect/>
                    </a:stretch>
                  </pic:blipFill>
                  <pic:spPr>
                    <a:xfrm>
                      <a:off x="0" y="0"/>
                      <a:ext cx="481330" cy="414655"/>
                    </a:xfrm>
                    <a:prstGeom prst="rect">
                      <a:avLst/>
                    </a:prstGeom>
                  </pic:spPr>
                </pic:pic>
              </a:graphicData>
            </a:graphic>
          </wp:anchor>
        </w:drawing>
      </w:r>
      <w:r>
        <mc:AlternateContent>
          <mc:Choice Requires="wps">
            <w:drawing>
              <wp:anchor distT="128270" distB="42545" distL="723900" distR="114300" simplePos="0" relativeHeight="251660288" behindDoc="0" locked="0" layoutInCell="1" allowOverlap="1">
                <wp:simplePos x="0" y="0"/>
                <wp:positionH relativeFrom="page">
                  <wp:posOffset>1334135</wp:posOffset>
                </wp:positionH>
                <wp:positionV relativeFrom="margin">
                  <wp:posOffset>230505</wp:posOffset>
                </wp:positionV>
                <wp:extent cx="2820670" cy="240665"/>
                <wp:effectExtent l="0" t="0" r="0" b="0"/>
                <wp:wrapTopAndBottom/>
                <wp:docPr id="1019" name="Shape 1019"/>
                <wp:cNvGraphicFramePr/>
                <a:graphic xmlns:a="http://schemas.openxmlformats.org/drawingml/2006/main">
                  <a:graphicData uri="http://schemas.microsoft.com/office/word/2010/wordprocessingShape">
                    <wps:wsp>
                      <wps:cNvSpPr txBox="1"/>
                      <wps:spPr>
                        <a:xfrm>
                          <a:off x="0" y="0"/>
                          <a:ext cx="2820670" cy="240665"/>
                        </a:xfrm>
                        <a:prstGeom prst="rect">
                          <a:avLst/>
                        </a:prstGeom>
                        <a:noFill/>
                      </wps:spPr>
                      <wps:txbx>
                        <w:txbxContent>
                          <w:p w14:paraId="4ACF420B">
                            <w:pPr>
                              <w:pStyle w:val="15"/>
                              <w:keepNext/>
                              <w:keepLines/>
                              <w:widowControl w:val="0"/>
                              <w:shd w:val="clear" w:color="auto" w:fill="auto"/>
                              <w:bidi w:val="0"/>
                              <w:spacing w:before="0" w:after="0" w:line="240" w:lineRule="auto"/>
                              <w:ind w:left="0" w:right="0" w:firstLine="0"/>
                              <w:jc w:val="left"/>
                            </w:pPr>
                            <w:bookmarkStart w:id="537" w:name="bookmark459"/>
                            <w:bookmarkStart w:id="538" w:name="bookmark460"/>
                            <w:bookmarkStart w:id="539" w:name="bookmark461"/>
                            <w:r>
                              <w:rPr>
                                <w:color w:val="000000"/>
                                <w:spacing w:val="0"/>
                                <w:w w:val="100"/>
                                <w:position w:val="0"/>
                              </w:rPr>
                              <w:t>债权人违反协力义务的法律效果</w:t>
                            </w:r>
                            <w:bookmarkEnd w:id="537"/>
                            <w:bookmarkEnd w:id="538"/>
                            <w:bookmarkEnd w:id="539"/>
                          </w:p>
                        </w:txbxContent>
                      </wps:txbx>
                      <wps:bodyPr wrap="none" lIns="0" tIns="0" rIns="0" bIns="0">
                        <a:noAutofit/>
                      </wps:bodyPr>
                    </wps:wsp>
                  </a:graphicData>
                </a:graphic>
              </wp:anchor>
            </w:drawing>
          </mc:Choice>
          <mc:Fallback>
            <w:pict>
              <v:shape id="Shape 1019" o:spid="_x0000_s1026" o:spt="202" type="#_x0000_t202" style="position:absolute;left:0pt;margin-left:105.05pt;margin-top:18.15pt;height:18.95pt;width:222.1pt;mso-position-horizontal-relative:page;mso-position-vertical-relative:margin;mso-wrap-distance-bottom:3.35pt;mso-wrap-distance-top:10.1pt;mso-wrap-style:none;z-index:251660288;mso-width-relative:page;mso-height-relative:page;" filled="f" stroked="f" coordsize="21600,21600" o:gfxdata="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BzFINcA&#10;AAAJAQAADwAAAAAAAAABACAAAAAiAAAAZHJzL2Rvd25yZXYueG1sUEsBAhQAFAAAAAgAh07iQH+Y&#10;oDyuAQAAdgMAAA4AAAAAAAAAAQAgAAAAJgEAAGRycy9lMm9Eb2MueG1sUEsFBgAAAAAGAAYAWQEA&#10;AEYFAAAAAA==&#10;">
                <v:fill on="f" focussize="0,0"/>
                <v:stroke on="f"/>
                <v:imagedata o:title=""/>
                <o:lock v:ext="edit" aspectratio="f"/>
                <v:textbox inset="0mm,0mm,0mm,0mm">
                  <w:txbxContent>
                    <w:p w14:paraId="4ACF420B">
                      <w:pPr>
                        <w:pStyle w:val="15"/>
                        <w:keepNext/>
                        <w:keepLines/>
                        <w:widowControl w:val="0"/>
                        <w:shd w:val="clear" w:color="auto" w:fill="auto"/>
                        <w:bidi w:val="0"/>
                        <w:spacing w:before="0" w:after="0" w:line="240" w:lineRule="auto"/>
                        <w:ind w:left="0" w:right="0" w:firstLine="0"/>
                        <w:jc w:val="left"/>
                      </w:pPr>
                      <w:bookmarkStart w:id="537" w:name="bookmark459"/>
                      <w:bookmarkStart w:id="538" w:name="bookmark460"/>
                      <w:bookmarkStart w:id="539" w:name="bookmark461"/>
                      <w:r>
                        <w:rPr>
                          <w:color w:val="000000"/>
                          <w:spacing w:val="0"/>
                          <w:w w:val="100"/>
                          <w:position w:val="0"/>
                        </w:rPr>
                        <w:t>债权人违反协力义务的法律效果</w:t>
                      </w:r>
                      <w:bookmarkEnd w:id="537"/>
                      <w:bookmarkEnd w:id="538"/>
                      <w:bookmarkEnd w:id="539"/>
                    </w:p>
                  </w:txbxContent>
                </v:textbox>
                <w10:wrap type="topAndBottom"/>
              </v:shape>
            </w:pict>
          </mc:Fallback>
        </mc:AlternateContent>
      </w:r>
      <w:r>
        <w:drawing>
          <wp:anchor distT="0" distB="0" distL="0" distR="0" simplePos="0" relativeHeight="251660288" behindDoc="0" locked="0" layoutInCell="1" allowOverlap="1">
            <wp:simplePos x="0" y="0"/>
            <wp:positionH relativeFrom="page">
              <wp:posOffset>5132070</wp:posOffset>
            </wp:positionH>
            <wp:positionV relativeFrom="margin">
              <wp:posOffset>400685</wp:posOffset>
            </wp:positionV>
            <wp:extent cx="585470" cy="652145"/>
            <wp:effectExtent l="0" t="0" r="11430" b="8255"/>
            <wp:wrapTight wrapText="left">
              <wp:wrapPolygon>
                <wp:start x="0" y="0"/>
                <wp:lineTo x="21600" y="0"/>
                <wp:lineTo x="21600" y="21600"/>
                <wp:lineTo x="0" y="21600"/>
                <wp:lineTo x="0" y="0"/>
              </wp:wrapPolygon>
            </wp:wrapTight>
            <wp:docPr id="1021" name="Shape 1021"/>
            <wp:cNvGraphicFramePr/>
            <a:graphic xmlns:a="http://schemas.openxmlformats.org/drawingml/2006/main">
              <a:graphicData uri="http://schemas.openxmlformats.org/drawingml/2006/picture">
                <pic:pic xmlns:pic="http://schemas.openxmlformats.org/drawingml/2006/picture">
                  <pic:nvPicPr>
                    <pic:cNvPr id="1021" name="Shape 1021"/>
                    <pic:cNvPicPr/>
                  </pic:nvPicPr>
                  <pic:blipFill>
                    <a:blip r:embed="rId688"/>
                    <a:stretch>
                      <a:fillRect/>
                    </a:stretch>
                  </pic:blipFill>
                  <pic:spPr>
                    <a:xfrm>
                      <a:off x="0" y="0"/>
                      <a:ext cx="585470" cy="652145"/>
                    </a:xfrm>
                    <a:prstGeom prst="rect">
                      <a:avLst/>
                    </a:prstGeom>
                  </pic:spPr>
                </pic:pic>
              </a:graphicData>
            </a:graphic>
          </wp:anchor>
        </w:drawing>
      </w:r>
      <w:r>
        <w:rPr>
          <w:color w:val="000000"/>
          <w:spacing w:val="0"/>
          <w:w w:val="100"/>
          <w:position w:val="0"/>
        </w:rPr>
        <w:t>孙宝静诉上海一定得美容有限公司服务合同纠纷案丨《最高人民;霸</w:t>
      </w:r>
      <w:r>
        <w:rPr>
          <w:color w:val="000000"/>
          <w:spacing w:val="0"/>
          <w:w w:val="100"/>
          <w:position w:val="0"/>
        </w:rPr>
        <w:br w:type="textWrapping"/>
      </w:r>
      <w:r>
        <w:rPr>
          <w:color w:val="000000"/>
          <w:spacing w:val="0"/>
          <w:w w:val="100"/>
          <w:position w:val="0"/>
        </w:rPr>
        <w:t>法院公报》</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期</w:t>
      </w:r>
      <w:r>
        <w:rPr>
          <w:color w:val="000000"/>
          <w:spacing w:val="0"/>
          <w:w w:val="100"/>
          <w:position w:val="0"/>
        </w:rPr>
        <w:tab/>
      </w:r>
      <w:r>
        <w:rPr>
          <w:color w:val="000000"/>
          <w:spacing w:val="0"/>
          <w:w w:val="100"/>
          <w:position w:val="0"/>
        </w:rPr>
        <w:t>:讒</w:t>
      </w:r>
    </w:p>
    <w:p w14:paraId="085C828D">
      <w:pPr>
        <w:pStyle w:val="35"/>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文</w:t>
      </w:r>
      <w:r>
        <w:rPr>
          <w:rFonts w:ascii="Times New Roman" w:hAnsi="Times New Roman" w:eastAsia="Times New Roman" w:cs="Times New Roman"/>
          <w:b/>
          <w:bCs/>
          <w:color w:val="000000"/>
          <w:spacing w:val="0"/>
          <w:w w:val="100"/>
          <w:position w:val="0"/>
          <w:lang w:val="en-US" w:eastAsia="en-US" w:bidi="en-US"/>
        </w:rPr>
        <w:t>U</w:t>
      </w:r>
      <w:r>
        <w:rPr>
          <w:color w:val="000000"/>
          <w:spacing w:val="0"/>
          <w:w w:val="100"/>
          <w:position w:val="0"/>
        </w:rPr>
        <w:t>乎羊上海财经大学法学院</w:t>
      </w:r>
    </w:p>
    <w:p w14:paraId="4B6E8B15">
      <w:pPr>
        <w:pStyle w:val="11"/>
        <w:keepNext w:val="0"/>
        <w:keepLines w:val="0"/>
        <w:widowControl w:val="0"/>
        <w:shd w:val="clear" w:color="auto" w:fill="auto"/>
        <w:bidi w:val="0"/>
        <w:spacing w:before="0" w:after="80" w:line="347"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6937783D">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原告孙宝静与被告上海一定得美容有限公司签订了为期</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 xml:space="preserve">日至 </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日）的纤体瘦身服务合同一份，价值</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万元，由原告预付入服务卡内，所有 服务项目疗程单价按</w:t>
      </w:r>
      <w:r>
        <w:rPr>
          <w:rFonts w:ascii="Times New Roman" w:hAnsi="Times New Roman" w:eastAsia="Times New Roman" w:cs="Times New Roman"/>
          <w:color w:val="000000"/>
          <w:spacing w:val="0"/>
          <w:w w:val="100"/>
          <w:position w:val="0"/>
          <w:sz w:val="19"/>
          <w:szCs w:val="19"/>
        </w:rPr>
        <w:t>85</w:t>
      </w:r>
      <w:r>
        <w:rPr>
          <w:color w:val="000000"/>
          <w:spacing w:val="0"/>
          <w:w w:val="100"/>
          <w:position w:val="0"/>
        </w:rPr>
        <w:t>折从卡内扣。合同约定,原告保证遵照被告制定的方案适时参加各 类项目及正确使用相关产品、按计划及进程表接受被告提供的服务，以配合被告服务的实 施。如因原告的懈怠态度或其自身原因违反方案及进程，经被告提醒而未有改善,则被告 有权终止对原告的服务,且原告无权要求退赔任何费用。此外，被告还专门向原告发布声 明书:</w:t>
      </w:r>
      <w:r>
        <w:rPr>
          <w:color w:val="000000"/>
          <w:spacing w:val="0"/>
          <w:w w:val="100"/>
          <w:position w:val="0"/>
          <w:lang w:val="zh-CN" w:eastAsia="zh-CN" w:bidi="zh-CN"/>
        </w:rPr>
        <w:t>“为促</w:t>
      </w:r>
      <w:r>
        <w:rPr>
          <w:color w:val="000000"/>
          <w:spacing w:val="0"/>
          <w:w w:val="100"/>
          <w:position w:val="0"/>
        </w:rPr>
        <w:t>使阁下达到理想的疗体效果，阁下必须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遵从我司的顾问指示；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配合营养 师的指导及配合进食时间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配合纤体部之安排并参与所有纤体疗程。如因阁下的个人 原因，不能配合我司上述之安排而导致纤体疗程失败或进度缓慢，我司一概不负任何责任, 也不会因此而退还余款或保留按照协议追究违约责任的权利。</w:t>
      </w:r>
      <w:r>
        <w:rPr>
          <w:color w:val="000000"/>
          <w:spacing w:val="0"/>
          <w:w w:val="100"/>
          <w:position w:val="0"/>
          <w:lang w:val="zh-CN" w:eastAsia="zh-CN" w:bidi="zh-CN"/>
        </w:rPr>
        <w:t>”原告</w:t>
      </w:r>
      <w:r>
        <w:rPr>
          <w:color w:val="000000"/>
          <w:spacing w:val="0"/>
          <w:w w:val="100"/>
          <w:position w:val="0"/>
        </w:rPr>
        <w:t>在该声明书上签字予 以确认。</w:t>
      </w:r>
    </w:p>
    <w:p w14:paraId="4CF7EED8">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原告于同年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日在被告处多次接受瘦身疗程服务后，因体重未减轻遂停止继 续接受服务,直至合同约定的服务期满。原告起诉要求解除合同并由被告退还</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万元预付 款,一审法院以原告自行放弃接受服务、违反合同约定的配合义务为由，驳回其诉讼请求。</w:t>
      </w:r>
    </w:p>
    <w:p w14:paraId="409DE58F">
      <w:pPr>
        <w:pStyle w:val="17"/>
        <w:keepNext w:val="0"/>
        <w:keepLines w:val="0"/>
        <w:widowControl w:val="0"/>
        <w:shd w:val="clear" w:color="auto" w:fill="auto"/>
        <w:bidi w:val="0"/>
        <w:spacing w:before="0" w:after="360" w:line="347" w:lineRule="exact"/>
        <w:ind w:left="0" w:right="0" w:firstLine="420"/>
        <w:jc w:val="both"/>
      </w:pPr>
      <w:r>
        <w:rPr>
          <w:color w:val="000000"/>
          <w:spacing w:val="0"/>
          <w:w w:val="100"/>
          <w:position w:val="0"/>
        </w:rPr>
        <w:t>原告上诉认为:合同中关于合同期满不退还任何费用的约定系格式条款，减轻被告责 任、排除原告权利，应属无效。且附期限的服务合同在到期后,应对被告所提供的服务款项 进行结算,多收的预付款应退还。</w:t>
      </w:r>
    </w:p>
    <w:p w14:paraId="5A2663F9">
      <w:pPr>
        <w:pStyle w:val="11"/>
        <w:keepNext w:val="0"/>
        <w:keepLines w:val="0"/>
        <w:widowControl w:val="0"/>
        <w:shd w:val="clear" w:color="auto" w:fill="auto"/>
        <w:bidi w:val="0"/>
        <w:spacing w:before="0" w:after="80" w:line="347"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10EF447C">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撤销原判，改判部分返还。</w:t>
      </w:r>
    </w:p>
    <w:p w14:paraId="3CAA72ED">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在预付式消费中，如果消费者单方终止消费，经营者并无违约或过错行为的，应结合消 费者的过错程度、经营者已经提供的商品或服务量占约定总量的比例、约定的计价方式等 因素综合确定消费者的违约责任。</w:t>
      </w:r>
    </w:p>
    <w:p w14:paraId="5174A991">
      <w:pPr>
        <w:pStyle w:val="17"/>
        <w:keepNext w:val="0"/>
        <w:keepLines w:val="0"/>
        <w:widowControl w:val="0"/>
        <w:shd w:val="clear" w:color="auto" w:fill="auto"/>
        <w:bidi w:val="0"/>
        <w:spacing w:before="0" w:after="360" w:line="340" w:lineRule="exact"/>
        <w:ind w:left="0" w:right="0" w:firstLine="420"/>
        <w:jc w:val="both"/>
        <w:sectPr>
          <w:headerReference r:id="rId439" w:type="default"/>
          <w:headerReference r:id="rId440" w:type="even"/>
          <w:footnotePr>
            <w:numFmt w:val="chicago"/>
          </w:footnotePr>
          <w:pgSz w:w="10099" w:h="14782"/>
          <w:pgMar w:top="1317" w:right="958" w:bottom="1095" w:left="1047" w:header="889" w:footer="667" w:gutter="0"/>
          <w:pgNumType w:start="386"/>
          <w:cols w:space="720" w:num="1"/>
          <w:rtlGutter w:val="0"/>
          <w:docGrid w:linePitch="360" w:charSpace="0"/>
        </w:sectPr>
      </w:pPr>
      <w:r>
        <w:rPr>
          <w:color w:val="000000"/>
          <w:spacing w:val="0"/>
          <w:w w:val="100"/>
          <w:position w:val="0"/>
        </w:rPr>
        <w:t>案涉合同中</w:t>
      </w:r>
      <w:r>
        <w:rPr>
          <w:color w:val="000000"/>
          <w:spacing w:val="0"/>
          <w:w w:val="100"/>
          <w:position w:val="0"/>
          <w:lang w:val="zh-CN" w:eastAsia="zh-CN" w:bidi="zh-CN"/>
        </w:rPr>
        <w:t>“余</w:t>
      </w:r>
      <w:r>
        <w:rPr>
          <w:color w:val="000000"/>
          <w:spacing w:val="0"/>
          <w:w w:val="100"/>
          <w:position w:val="0"/>
        </w:rPr>
        <w:t>款不退</w:t>
      </w:r>
      <w:r>
        <w:rPr>
          <w:color w:val="000000"/>
          <w:spacing w:val="0"/>
          <w:w w:val="100"/>
          <w:position w:val="0"/>
          <w:lang w:val="zh-CN" w:eastAsia="zh-CN" w:bidi="zh-CN"/>
        </w:rPr>
        <w:t>”的约</w:t>
      </w:r>
      <w:r>
        <w:rPr>
          <w:color w:val="000000"/>
          <w:spacing w:val="0"/>
          <w:w w:val="100"/>
          <w:position w:val="0"/>
        </w:rPr>
        <w:t xml:space="preserve">定系被告公司预先拟定的格式条款，声明书的内容仅约束 </w:t>
      </w:r>
    </w:p>
    <w:p w14:paraId="645B3462">
      <w:pPr>
        <w:pStyle w:val="17"/>
        <w:keepNext w:val="0"/>
        <w:keepLines w:val="0"/>
        <w:widowControl w:val="0"/>
        <w:shd w:val="clear" w:color="auto" w:fill="auto"/>
        <w:bidi w:val="0"/>
        <w:spacing w:before="0" w:after="360" w:line="340" w:lineRule="exact"/>
        <w:ind w:left="0" w:right="0" w:firstLine="0"/>
        <w:jc w:val="both"/>
      </w:pPr>
      <w:r>
        <w:rPr>
          <w:color w:val="000000"/>
          <w:spacing w:val="0"/>
          <w:w w:val="100"/>
          <w:position w:val="0"/>
        </w:rPr>
        <w:t>原告权利并加重其责任，却未约束被告公司的权利，不符合公平原则，应属无效。被告履行 服务合同并无过错；但原告却在仅接受服务不足一个月后即单方面放弃,导致服务协议未 能继续履行，构成违约，应承担违约责任。故须综合考量合同履行程度、被告提供服务的情 况、原告过错，依公平和诚信原则，酌定原告承担</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万元的违约金赔偿责任。加之原告已接 受的部分服务价值</w:t>
      </w:r>
      <w:r>
        <w:rPr>
          <w:rFonts w:ascii="Times New Roman" w:hAnsi="Times New Roman" w:eastAsia="Times New Roman" w:cs="Times New Roman"/>
          <w:color w:val="000000"/>
          <w:spacing w:val="0"/>
          <w:w w:val="100"/>
          <w:position w:val="0"/>
          <w:sz w:val="19"/>
          <w:szCs w:val="19"/>
        </w:rPr>
        <w:t>31, 800</w:t>
      </w:r>
      <w:r>
        <w:rPr>
          <w:color w:val="000000"/>
          <w:spacing w:val="0"/>
          <w:w w:val="100"/>
          <w:position w:val="0"/>
        </w:rPr>
        <w:t>元，被告应在扣除前述服务费和违约金后，向原告返还</w:t>
      </w:r>
      <w:r>
        <w:rPr>
          <w:rFonts w:ascii="Times New Roman" w:hAnsi="Times New Roman" w:eastAsia="Times New Roman" w:cs="Times New Roman"/>
          <w:color w:val="000000"/>
          <w:spacing w:val="0"/>
          <w:w w:val="100"/>
          <w:position w:val="0"/>
          <w:sz w:val="19"/>
          <w:szCs w:val="19"/>
        </w:rPr>
        <w:t>48, 200</w:t>
      </w:r>
      <w:r>
        <w:rPr>
          <w:color w:val="000000"/>
          <w:spacing w:val="0"/>
          <w:w w:val="100"/>
          <w:position w:val="0"/>
        </w:rPr>
        <w:t>元 预付款。</w:t>
      </w:r>
    </w:p>
    <w:p w14:paraId="7A30C6C0">
      <w:pPr>
        <w:pStyle w:val="11"/>
        <w:keepNext w:val="0"/>
        <w:keepLines w:val="0"/>
        <w:widowControl w:val="0"/>
        <w:shd w:val="clear" w:color="auto" w:fill="auto"/>
        <w:bidi w:val="0"/>
        <w:spacing w:before="0" w:after="120" w:line="344" w:lineRule="exact"/>
        <w:ind w:left="0" w:right="0" w:firstLine="0"/>
        <w:jc w:val="both"/>
      </w:pPr>
      <w:r>
        <w:rPr>
          <w:color w:val="000000"/>
          <w:spacing w:val="0"/>
          <w:w w:val="100"/>
          <w:position w:val="0"/>
        </w:rPr>
        <w:t>■评析</w:t>
      </w:r>
    </w:p>
    <w:p w14:paraId="3D486E21">
      <w:pPr>
        <w:pStyle w:val="17"/>
        <w:keepNext w:val="0"/>
        <w:keepLines w:val="0"/>
        <w:widowControl w:val="0"/>
        <w:shd w:val="clear" w:color="auto" w:fill="auto"/>
        <w:bidi w:val="0"/>
        <w:spacing w:before="0" w:after="120" w:line="344" w:lineRule="exact"/>
        <w:ind w:left="0" w:right="0" w:firstLine="0"/>
        <w:jc w:val="both"/>
      </w:pPr>
      <w:r>
        <w:rPr>
          <w:color w:val="000000"/>
          <w:spacing w:val="0"/>
          <w:w w:val="100"/>
          <w:position w:val="0"/>
        </w:rPr>
        <w:t>田本判决的思路和意义</w:t>
      </w:r>
    </w:p>
    <w:p w14:paraId="6AB4DEC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本案虽以预付款应否返还作为表现在外的争点，但在规范评价的视野下，其实质上指 涉服务合同的关系框架中，劳务之提供若因债权人拒绝受领、不予配合而履行不能时，债务 人得否继续主张报酬请求权，并以此为由保有债权人为履行对价义务而给付的预付款？对 此问题，二审法院认为不能以合同中约定的</w:t>
      </w:r>
      <w:r>
        <w:rPr>
          <w:color w:val="000000"/>
          <w:spacing w:val="0"/>
          <w:w w:val="100"/>
          <w:position w:val="0"/>
          <w:lang w:val="zh-CN" w:eastAsia="zh-CN" w:bidi="zh-CN"/>
        </w:rPr>
        <w:t>“预付</w:t>
      </w:r>
      <w:r>
        <w:rPr>
          <w:color w:val="000000"/>
          <w:spacing w:val="0"/>
          <w:w w:val="100"/>
          <w:position w:val="0"/>
        </w:rPr>
        <w:t>款不予退还”条款作为支持债务人报酬请 求权的依据,因其属格式条款且在负担分配上明显呈现不利于消费者的特征，故应无效。 不过，鉴于合同中已明确将配合、协力约定为债权人的义务，所以可直接将债权人拒绝受 领、不予配合的行为认定为违约，进而通过判令其承担违约责任的方式，填补债务人因报酬 请求权丧失而遭受的损失。</w:t>
      </w:r>
    </w:p>
    <w:p w14:paraId="12568DDA">
      <w:pPr>
        <w:pStyle w:val="17"/>
        <w:keepNext w:val="0"/>
        <w:keepLines w:val="0"/>
        <w:widowControl w:val="0"/>
        <w:shd w:val="clear" w:color="auto" w:fill="auto"/>
        <w:bidi w:val="0"/>
        <w:spacing w:before="0" w:after="300" w:line="344" w:lineRule="exact"/>
        <w:ind w:left="0" w:right="0" w:firstLine="420"/>
        <w:jc w:val="both"/>
      </w:pPr>
      <w:r>
        <w:rPr>
          <w:color w:val="000000"/>
          <w:spacing w:val="0"/>
          <w:w w:val="100"/>
          <w:position w:val="0"/>
        </w:rPr>
        <w:t>双务合同关系中债务人给付义务的履行离不开债权人方面的协力及配合，而这一判决 恰恰体现了债权人方面无正当理由拒绝受领、不予配合,致使债务履行不能时，对于债务人 报酬请求权的保护，同时存在违约损害赔偿请求权及报酬风险转移两条可能的备选路径。 由此,本案与受领行为的规范意义、债权人迟延的法律效果及违约责任关联起来，涉及履行 障碍法上诸多基础性概念和制度问题，颇值关注。</w:t>
      </w:r>
    </w:p>
    <w:p w14:paraId="3D28DAEF">
      <w:pPr>
        <w:pStyle w:val="17"/>
        <w:keepNext w:val="0"/>
        <w:keepLines w:val="0"/>
        <w:widowControl w:val="0"/>
        <w:shd w:val="clear" w:color="auto" w:fill="auto"/>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债权人违反协力义务之法律效果的规范及学理</w:t>
      </w:r>
    </w:p>
    <w:p w14:paraId="0F8BC76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对于合同履行过程中债权人的协力义务，我国《合同法》及《民法典》中设计了诸多条款 加以规制，既有总则中一般性的规则，也有分则中专门针对某些有名合同而设置的特殊条 款。前者实以《合同法》第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款（《民法典》第</w:t>
      </w:r>
      <w:r>
        <w:rPr>
          <w:rFonts w:ascii="Times New Roman" w:hAnsi="Times New Roman" w:eastAsia="Times New Roman" w:cs="Times New Roman"/>
          <w:color w:val="000000"/>
          <w:spacing w:val="0"/>
          <w:w w:val="100"/>
          <w:position w:val="0"/>
          <w:sz w:val="19"/>
          <w:szCs w:val="19"/>
        </w:rPr>
        <w:t>509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款）为代表;而后者则以买 卖合同、承揽合同及技术合同中的相关规则最典型，若再作详细展开,那么买卖合同第</w:t>
      </w:r>
      <w:r>
        <w:rPr>
          <w:rFonts w:ascii="Times New Roman" w:hAnsi="Times New Roman" w:eastAsia="Times New Roman" w:cs="Times New Roman"/>
          <w:color w:val="000000"/>
          <w:spacing w:val="0"/>
          <w:w w:val="100"/>
          <w:position w:val="0"/>
          <w:sz w:val="19"/>
          <w:szCs w:val="19"/>
        </w:rPr>
        <w:t>143</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rPr>
        <w:t>146</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605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608</w:t>
      </w:r>
      <w:r>
        <w:rPr>
          <w:color w:val="000000"/>
          <w:spacing w:val="0"/>
          <w:w w:val="100"/>
          <w:position w:val="0"/>
        </w:rPr>
        <w:t>条），承揽类合同中第</w:t>
      </w:r>
      <w:r>
        <w:rPr>
          <w:rFonts w:ascii="Times New Roman" w:hAnsi="Times New Roman" w:eastAsia="Times New Roman" w:cs="Times New Roman"/>
          <w:color w:val="000000"/>
          <w:spacing w:val="0"/>
          <w:w w:val="100"/>
          <w:position w:val="0"/>
          <w:sz w:val="19"/>
          <w:szCs w:val="19"/>
        </w:rPr>
        <w:t>256</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259</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278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283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284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295</w:t>
      </w:r>
      <w:r>
        <w:rPr>
          <w:color w:val="000000"/>
          <w:spacing w:val="0"/>
          <w:w w:val="100"/>
          <w:position w:val="0"/>
        </w:rPr>
        <w:t>条（《民法典》 第</w:t>
      </w:r>
      <w:r>
        <w:rPr>
          <w:rFonts w:ascii="Times New Roman" w:hAnsi="Times New Roman" w:eastAsia="Times New Roman" w:cs="Times New Roman"/>
          <w:color w:val="000000"/>
          <w:spacing w:val="0"/>
          <w:w w:val="100"/>
          <w:position w:val="0"/>
          <w:sz w:val="19"/>
          <w:szCs w:val="19"/>
        </w:rPr>
        <w:t>775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778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798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803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804</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816</w:t>
      </w:r>
      <w:r>
        <w:rPr>
          <w:color w:val="000000"/>
          <w:spacing w:val="0"/>
          <w:w w:val="100"/>
          <w:position w:val="0"/>
        </w:rPr>
        <w:t>条），技术开发合同第</w:t>
      </w:r>
      <w:r>
        <w:rPr>
          <w:rFonts w:ascii="Times New Roman" w:hAnsi="Times New Roman" w:eastAsia="Times New Roman" w:cs="Times New Roman"/>
          <w:color w:val="000000"/>
          <w:spacing w:val="0"/>
          <w:w w:val="100"/>
          <w:position w:val="0"/>
          <w:sz w:val="19"/>
          <w:szCs w:val="19"/>
        </w:rPr>
        <w:t>331,333</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852,854</w:t>
      </w:r>
      <w:r>
        <w:rPr>
          <w:color w:val="000000"/>
          <w:spacing w:val="0"/>
          <w:w w:val="100"/>
          <w:position w:val="0"/>
        </w:rPr>
        <w:t>条）， 技术咨询合同第</w:t>
      </w:r>
      <w:r>
        <w:rPr>
          <w:rFonts w:ascii="Times New Roman" w:hAnsi="Times New Roman" w:eastAsia="Times New Roman" w:cs="Times New Roman"/>
          <w:color w:val="000000"/>
          <w:spacing w:val="0"/>
          <w:w w:val="100"/>
          <w:position w:val="0"/>
          <w:sz w:val="19"/>
          <w:szCs w:val="19"/>
        </w:rPr>
        <w:t>357,359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lang w:val="en-US" w:eastAsia="en-US" w:bidi="en-US"/>
        </w:rPr>
        <w:t>879.881</w:t>
      </w:r>
      <w:r>
        <w:rPr>
          <w:color w:val="000000"/>
          <w:spacing w:val="0"/>
          <w:w w:val="100"/>
          <w:position w:val="0"/>
        </w:rPr>
        <w:t>条），技术服务合同第</w:t>
      </w:r>
      <w:r>
        <w:rPr>
          <w:rFonts w:ascii="Times New Roman" w:hAnsi="Times New Roman" w:eastAsia="Times New Roman" w:cs="Times New Roman"/>
          <w:color w:val="000000"/>
          <w:spacing w:val="0"/>
          <w:w w:val="100"/>
          <w:position w:val="0"/>
          <w:sz w:val="19"/>
          <w:szCs w:val="19"/>
        </w:rPr>
        <w:t>360,362</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lang w:val="en-US" w:eastAsia="en-US" w:bidi="en-US"/>
        </w:rPr>
        <w:t>882.884</w:t>
      </w:r>
      <w:r>
        <w:rPr>
          <w:color w:val="000000"/>
          <w:spacing w:val="0"/>
          <w:w w:val="100"/>
          <w:position w:val="0"/>
        </w:rPr>
        <w:t>条）均属之。可是，就违反协力义务所导致的法律效果而言，这些条文调整 的模式却并不相同。具体言之，有些仅明确了债权人协力义务的存在，而义务违反的法效 果径被忽略，比如《民法典》第</w:t>
      </w:r>
      <w:r>
        <w:rPr>
          <w:rFonts w:ascii="Times New Roman" w:hAnsi="Times New Roman" w:eastAsia="Times New Roman" w:cs="Times New Roman"/>
          <w:color w:val="000000"/>
          <w:spacing w:val="0"/>
          <w:w w:val="100"/>
          <w:position w:val="0"/>
          <w:sz w:val="19"/>
          <w:szCs w:val="19"/>
        </w:rPr>
        <w:t>509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款;部分规则采风险负担转移的路径，对债权人违 反协力义务行为的法律效果加以设计，买卖合同第</w:t>
      </w:r>
      <w:r>
        <w:rPr>
          <w:rFonts w:ascii="Times New Roman" w:hAnsi="Times New Roman" w:eastAsia="Times New Roman" w:cs="Times New Roman"/>
          <w:color w:val="000000"/>
          <w:spacing w:val="0"/>
          <w:w w:val="100"/>
          <w:position w:val="0"/>
          <w:sz w:val="19"/>
          <w:szCs w:val="19"/>
        </w:rPr>
        <w:t>143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146</w:t>
      </w:r>
      <w:r>
        <w:rPr>
          <w:color w:val="000000"/>
          <w:spacing w:val="0"/>
          <w:w w:val="100"/>
          <w:position w:val="0"/>
        </w:rPr>
        <w:t>条，客运合同第</w:t>
      </w:r>
      <w:r>
        <w:rPr>
          <w:rFonts w:ascii="Times New Roman" w:hAnsi="Times New Roman" w:eastAsia="Times New Roman" w:cs="Times New Roman"/>
          <w:color w:val="000000"/>
          <w:spacing w:val="0"/>
          <w:w w:val="100"/>
          <w:position w:val="0"/>
          <w:sz w:val="19"/>
          <w:szCs w:val="19"/>
        </w:rPr>
        <w:t>295</w:t>
      </w:r>
      <w:r>
        <w:rPr>
          <w:color w:val="000000"/>
          <w:spacing w:val="0"/>
          <w:w w:val="100"/>
          <w:position w:val="0"/>
        </w:rPr>
        <w:t>条、技术咨 询合同第</w:t>
      </w:r>
      <w:r>
        <w:rPr>
          <w:rFonts w:ascii="Times New Roman" w:hAnsi="Times New Roman" w:eastAsia="Times New Roman" w:cs="Times New Roman"/>
          <w:color w:val="000000"/>
          <w:spacing w:val="0"/>
          <w:w w:val="100"/>
          <w:position w:val="0"/>
          <w:sz w:val="19"/>
          <w:szCs w:val="19"/>
          <w:lang w:val="en-US" w:eastAsia="en-US" w:bidi="en-US"/>
        </w:rPr>
        <w:t>357.359</w:t>
      </w:r>
      <w:r>
        <w:rPr>
          <w:color w:val="000000"/>
          <w:spacing w:val="0"/>
          <w:w w:val="100"/>
          <w:position w:val="0"/>
        </w:rPr>
        <w:t>条和技术服务合同第</w:t>
      </w:r>
      <w:r>
        <w:rPr>
          <w:rFonts w:ascii="Times New Roman" w:hAnsi="Times New Roman" w:eastAsia="Times New Roman" w:cs="Times New Roman"/>
          <w:color w:val="000000"/>
          <w:spacing w:val="0"/>
          <w:w w:val="100"/>
          <w:position w:val="0"/>
          <w:sz w:val="19"/>
          <w:szCs w:val="19"/>
        </w:rPr>
        <w:t>360</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362</w:t>
      </w:r>
      <w:r>
        <w:rPr>
          <w:color w:val="000000"/>
          <w:spacing w:val="0"/>
          <w:w w:val="100"/>
          <w:position w:val="0"/>
        </w:rPr>
        <w:t>条构成这一规制进路的适例;其他的规范 中，则大致从履行障碍的视角切入,将债权人对协力义务的违反看作违约行为，从而引发损 害赔偿请求权、解除合同等救济手段的运用，这主要存在于前述涉及承揽合同的第</w:t>
      </w:r>
      <w:r>
        <w:rPr>
          <w:rFonts w:ascii="Times New Roman" w:hAnsi="Times New Roman" w:eastAsia="Times New Roman" w:cs="Times New Roman"/>
          <w:color w:val="000000"/>
          <w:spacing w:val="0"/>
          <w:w w:val="100"/>
          <w:position w:val="0"/>
          <w:sz w:val="19"/>
          <w:szCs w:val="19"/>
        </w:rPr>
        <w:t>256</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rPr>
        <w:t>259</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278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283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284</w:t>
      </w:r>
      <w:r>
        <w:rPr>
          <w:color w:val="000000"/>
          <w:spacing w:val="0"/>
          <w:w w:val="100"/>
          <w:position w:val="0"/>
        </w:rPr>
        <w:t>条以及技术开发合同第</w:t>
      </w:r>
      <w:r>
        <w:rPr>
          <w:rFonts w:ascii="Times New Roman" w:hAnsi="Times New Roman" w:eastAsia="Times New Roman" w:cs="Times New Roman"/>
          <w:color w:val="000000"/>
          <w:spacing w:val="0"/>
          <w:w w:val="100"/>
          <w:position w:val="0"/>
          <w:sz w:val="19"/>
          <w:szCs w:val="19"/>
        </w:rPr>
        <w:t>331,333</w:t>
      </w:r>
      <w:r>
        <w:rPr>
          <w:color w:val="000000"/>
          <w:spacing w:val="0"/>
          <w:w w:val="100"/>
          <w:position w:val="0"/>
        </w:rPr>
        <w:t>条之中。</w:t>
      </w:r>
    </w:p>
    <w:p w14:paraId="5F22D9B8">
      <w:pPr>
        <w:pStyle w:val="17"/>
        <w:keepNext w:val="0"/>
        <w:keepLines w:val="0"/>
        <w:widowControl w:val="0"/>
        <w:shd w:val="clear" w:color="auto" w:fill="auto"/>
        <w:bidi w:val="0"/>
        <w:spacing w:before="0" w:after="0" w:line="342" w:lineRule="exact"/>
        <w:ind w:left="0" w:right="0" w:firstLine="440"/>
        <w:jc w:val="both"/>
      </w:pPr>
      <w:r>
        <w:rPr>
          <w:color w:val="000000"/>
          <w:spacing w:val="0"/>
          <w:w w:val="100"/>
          <w:position w:val="0"/>
        </w:rPr>
        <w:t>由此可见，我国立法者虽然意识到债务关系的履行过程中，往往离不开债权人的密切 配合与协助,但未能从形形色色的具体的债权人协力义务及其表现形态中提炼出共同的法 理,并通过在债法总则的层面设置通用性规范的方式，对此予以统一化的调整。这也导致 本应在履行障碍规范体系中占据重要地位的债权人迟延制度于我国私法中的缺位,违反协 力义务的法律效果也不得不因合同类型的变动,而随着实证规范呈现殊异的格局。</w:t>
      </w:r>
    </w:p>
    <w:p w14:paraId="7A5A2D1A">
      <w:pPr>
        <w:pStyle w:val="17"/>
        <w:keepNext w:val="0"/>
        <w:keepLines w:val="0"/>
        <w:widowControl w:val="0"/>
        <w:shd w:val="clear" w:color="auto" w:fill="auto"/>
        <w:bidi w:val="0"/>
        <w:spacing w:before="0" w:after="0" w:line="342" w:lineRule="exact"/>
        <w:ind w:left="0" w:right="0" w:firstLine="440"/>
        <w:jc w:val="both"/>
        <w:rPr>
          <w:sz w:val="11"/>
          <w:szCs w:val="11"/>
        </w:rPr>
      </w:pPr>
      <w:r>
        <w:rPr>
          <w:color w:val="000000"/>
          <w:spacing w:val="0"/>
          <w:w w:val="100"/>
          <w:position w:val="0"/>
          <w:sz w:val="18"/>
          <w:szCs w:val="18"/>
        </w:rPr>
        <w:t>在学说层面，对于债权人违反协力义务的法律效果，多从协力义务本身的法律属性界 定入手，而后再从中引导出违反此种义务的法律效果。具体而言，学理研究的思维脉络多 表现为，首先申明债权人之配合、协力对于多数债务之圆满履行的必要性和重要性</w:t>
      </w:r>
      <w:r>
        <w:rPr>
          <w:color w:val="000000"/>
          <w:spacing w:val="0"/>
          <w:w w:val="100"/>
          <w:position w:val="0"/>
          <w:sz w:val="11"/>
          <w:szCs w:val="11"/>
        </w:rPr>
        <w:t>［韩世远: 《合同法总论》（第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567</w:t>
      </w:r>
      <w:r>
        <w:rPr>
          <w:color w:val="000000"/>
          <w:spacing w:val="0"/>
          <w:w w:val="100"/>
          <w:position w:val="0"/>
          <w:sz w:val="11"/>
          <w:szCs w:val="11"/>
        </w:rPr>
        <w:t xml:space="preserve">页；张广兴、韩世远:《合同法总则》，法律出版社 </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sz w:val="11"/>
          <w:szCs w:val="11"/>
        </w:rPr>
        <w:t>页］。</w:t>
      </w:r>
      <w:r>
        <w:rPr>
          <w:color w:val="000000"/>
          <w:spacing w:val="0"/>
          <w:w w:val="100"/>
          <w:position w:val="0"/>
          <w:sz w:val="18"/>
          <w:szCs w:val="18"/>
        </w:rPr>
        <w:t>而后指出，该种义务遭违反时，其法律效果的确定，须以此义务法律属 性的澄清为前提。而就此问题，存在多种见解:一是将债权人对于债务履行的协力、配合界 定为单纯的权利的行使，如受领行为,即属债权效力的内容;二是认为债权人对于债务履行 的协力与配合构成真正的义务，相应地,违反此种义务即属违约行为，可产生损害赔偿责 任，在比较法的层面，此种立法模式以法国民法最为典型;三是将债权人对于债务履行的协 力、配合认定为不真正义务,其本质上构成债权人行为的负担,此种负担不可由债务人依诉 的方式加以请求，债权人违反时也不会引致损害赔偿的责任的产生,而只是令其自身的法 律地位被降低和遭受由此带来的不利益而已</w:t>
      </w:r>
      <w:r>
        <w:rPr>
          <w:color w:val="000000"/>
          <w:spacing w:val="0"/>
          <w:w w:val="100"/>
          <w:position w:val="0"/>
          <w:sz w:val="11"/>
          <w:szCs w:val="11"/>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570</w:t>
      </w:r>
      <w:r>
        <w:rPr>
          <w:color w:val="000000"/>
          <w:spacing w:val="0"/>
          <w:w w:val="100"/>
          <w:position w:val="0"/>
          <w:sz w:val="11"/>
          <w:szCs w:val="11"/>
        </w:rPr>
        <w:t>页；张广兴、韩世远:《合同法总则》，法律出版社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112</w:t>
      </w:r>
      <w:r>
        <w:rPr>
          <w:color w:val="000000"/>
          <w:spacing w:val="0"/>
          <w:w w:val="100"/>
          <w:position w:val="0"/>
          <w:sz w:val="11"/>
          <w:szCs w:val="11"/>
        </w:rPr>
        <w:t>页］。</w:t>
      </w:r>
      <w:r>
        <w:rPr>
          <w:color w:val="000000"/>
          <w:spacing w:val="0"/>
          <w:w w:val="100"/>
          <w:position w:val="0"/>
          <w:sz w:val="18"/>
          <w:szCs w:val="18"/>
        </w:rPr>
        <w:t>从源头上看，这 种理论和立法模式始自德国民法。自民国时期进入我国私法学说的视野以来，即长期占据 着绝对主导性的地位</w:t>
      </w:r>
      <w:r>
        <w:rPr>
          <w:color w:val="000000"/>
          <w:spacing w:val="0"/>
          <w:w w:val="100"/>
          <w:position w:val="0"/>
          <w:sz w:val="11"/>
          <w:szCs w:val="11"/>
        </w:rPr>
        <w:t>［韩世远:《论债权迟延》，载《法制与社会发展》</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期；齐晓琨:《解读德 国〈民法典〉中的债权人迟延制度》，载《南京大学学报》（哲学</w:t>
      </w:r>
      <w:r>
        <w:rPr>
          <w:color w:val="000000"/>
          <w:spacing w:val="0"/>
          <w:w w:val="100"/>
          <w:position w:val="0"/>
          <w:sz w:val="11"/>
          <w:szCs w:val="11"/>
          <w:lang w:val="en-US" w:eastAsia="en-US" w:bidi="en-US"/>
        </w:rPr>
        <w:t>•</w:t>
      </w:r>
      <w:r>
        <w:rPr>
          <w:color w:val="000000"/>
          <w:spacing w:val="0"/>
          <w:w w:val="100"/>
          <w:position w:val="0"/>
          <w:sz w:val="11"/>
          <w:szCs w:val="11"/>
        </w:rPr>
        <w:t>人文科学-社会科学</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 黄詰:《论建设工程合同发包人的协力义务</w:t>
      </w:r>
      <w:r>
        <w:rPr>
          <w:color w:val="000000"/>
          <w:spacing w:val="0"/>
          <w:w w:val="100"/>
          <w:position w:val="0"/>
          <w:sz w:val="11"/>
          <w:szCs w:val="11"/>
          <w:lang w:val="en-US" w:eastAsia="en-US" w:bidi="en-US"/>
        </w:rPr>
        <w:t>一一</w:t>
      </w:r>
      <w:r>
        <w:rPr>
          <w:color w:val="000000"/>
          <w:spacing w:val="0"/>
          <w:w w:val="100"/>
          <w:position w:val="0"/>
          <w:sz w:val="11"/>
          <w:szCs w:val="11"/>
        </w:rPr>
        <w:t>以德国民法解释论为借鉴》，载《比较法研究》</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 xml:space="preserve">年第 </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期；王利明：《合同法研究》（第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卷）（第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版），中国人民大学出版社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485</w:t>
      </w:r>
      <w:r>
        <w:rPr>
          <w:color w:val="000000"/>
          <w:spacing w:val="0"/>
          <w:w w:val="100"/>
          <w:position w:val="0"/>
          <w:sz w:val="11"/>
          <w:szCs w:val="11"/>
        </w:rPr>
        <w:t>页；王洪亮：《债 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328</w:t>
      </w:r>
      <w:r>
        <w:rPr>
          <w:color w:val="000000"/>
          <w:spacing w:val="0"/>
          <w:w w:val="100"/>
          <w:position w:val="0"/>
          <w:sz w:val="11"/>
          <w:szCs w:val="11"/>
        </w:rPr>
        <w:t>页］。</w:t>
      </w:r>
      <w:r>
        <w:rPr>
          <w:color w:val="000000"/>
          <w:spacing w:val="0"/>
          <w:w w:val="100"/>
          <w:position w:val="0"/>
          <w:sz w:val="18"/>
          <w:szCs w:val="18"/>
        </w:rPr>
        <w:t>在“不真正义务说</w:t>
      </w:r>
      <w:r>
        <w:rPr>
          <w:color w:val="000000"/>
          <w:spacing w:val="0"/>
          <w:w w:val="100"/>
          <w:position w:val="0"/>
          <w:sz w:val="18"/>
          <w:szCs w:val="18"/>
          <w:lang w:val="zh-CN" w:eastAsia="zh-CN" w:bidi="zh-CN"/>
        </w:rPr>
        <w:t>”的框</w:t>
      </w:r>
      <w:r>
        <w:rPr>
          <w:color w:val="000000"/>
          <w:spacing w:val="0"/>
          <w:w w:val="100"/>
          <w:position w:val="0"/>
          <w:sz w:val="18"/>
          <w:szCs w:val="18"/>
        </w:rPr>
        <w:t>架之下，债权人对受领 等协力义务的违反，将导致债权人迟延的成立，进而产生债务人责任减轻、风险转移、费用 赔偿请求权等多重法律效果，以使其处于如同债权人之协力义务并未缺位、债务已得到顺 利履行时其所本来应当处于的状态,除非债权人迟延的其他必要规范前提未能充足</w:t>
      </w:r>
      <w:r>
        <w:rPr>
          <w:color w:val="000000"/>
          <w:spacing w:val="0"/>
          <w:w w:val="100"/>
          <w:position w:val="0"/>
          <w:sz w:val="11"/>
          <w:szCs w:val="11"/>
        </w:rPr>
        <w:t>（刘洋: 《对待给付风险负担的基本原则及其突破》，载《法学研究》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p>
    <w:p w14:paraId="071AAABB">
      <w:pPr>
        <w:pStyle w:val="17"/>
        <w:keepNext w:val="0"/>
        <w:keepLines w:val="0"/>
        <w:widowControl w:val="0"/>
        <w:shd w:val="clear" w:color="auto" w:fill="auto"/>
        <w:bidi w:val="0"/>
        <w:spacing w:before="0" w:after="280" w:line="342" w:lineRule="exact"/>
        <w:ind w:left="0" w:right="0" w:firstLine="440"/>
        <w:jc w:val="both"/>
      </w:pPr>
      <w:r>
        <w:rPr>
          <w:color w:val="000000"/>
          <w:spacing w:val="0"/>
          <w:w w:val="100"/>
          <w:position w:val="0"/>
        </w:rPr>
        <w:t>不过,值得注意的是,主流学说在原则上将受领等协力义务界定为不真正义务的同时， 也承认若有法律特别规定或当事人特别约定,其亦可上升成为实实在在的给付性义务。进 而,对该义务的违反便不再仅意味着债权人迟延,毋宁会同时成立债务人迟延，致生损害赔 偿责任等更重的法律效果。对此,买卖合同和承揽合同中债权人的受领义务，即其典型。然 而,在此种</w:t>
      </w:r>
      <w:r>
        <w:rPr>
          <w:color w:val="000000"/>
          <w:spacing w:val="0"/>
          <w:w w:val="100"/>
          <w:position w:val="0"/>
          <w:lang w:val="zh-CN" w:eastAsia="zh-CN" w:bidi="zh-CN"/>
        </w:rPr>
        <w:t>“双重</w:t>
      </w:r>
      <w:r>
        <w:rPr>
          <w:color w:val="000000"/>
          <w:spacing w:val="0"/>
          <w:w w:val="100"/>
          <w:position w:val="0"/>
        </w:rPr>
        <w:t>迟延”共生的案型中，债权人迟延和债务人迟延的法律效果关系如何，却基 本均为我国学界所忽略。尤其是债权人不履行受领或其他协力义务，令债务履行不能时， 就债务人的报酬请求权之保护而言，究竟是采取债权人迟延框架下风险转移的路径,还是 经由债务人迟延引起的损害赔偿模式，我国现行学说却鲜有涉及、关照不足。值得注意的 是,《民法典》第</w:t>
      </w:r>
      <w:r>
        <w:rPr>
          <w:rFonts w:ascii="Times New Roman" w:hAnsi="Times New Roman" w:eastAsia="Times New Roman" w:cs="Times New Roman"/>
          <w:color w:val="000000"/>
          <w:spacing w:val="0"/>
          <w:w w:val="100"/>
          <w:position w:val="0"/>
          <w:sz w:val="19"/>
          <w:szCs w:val="19"/>
        </w:rPr>
        <w:t>589</w:t>
      </w:r>
      <w:r>
        <w:rPr>
          <w:color w:val="000000"/>
          <w:spacing w:val="0"/>
          <w:w w:val="100"/>
          <w:position w:val="0"/>
        </w:rPr>
        <w:t>条规定:“债务人按照约定履行债务,债权人无正当理由拒绝受领的,债 务人可以请求债权人赔偿增加的费用。在债权人受领迟延期间，债务人无须支付利息。”</w:t>
      </w:r>
    </w:p>
    <w:p w14:paraId="084192E8">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73E1C196">
      <w:pPr>
        <w:pStyle w:val="17"/>
        <w:keepNext w:val="0"/>
        <w:keepLines w:val="0"/>
        <w:widowControl w:val="0"/>
        <w:shd w:val="clear" w:color="auto" w:fill="auto"/>
        <w:bidi w:val="0"/>
        <w:spacing w:before="0" w:after="0" w:line="391" w:lineRule="exact"/>
        <w:ind w:left="0" w:right="0" w:firstLine="420"/>
        <w:jc w:val="both"/>
      </w:pPr>
      <w:r>
        <w:rPr>
          <w:color w:val="000000"/>
          <w:spacing w:val="0"/>
          <w:w w:val="100"/>
          <w:position w:val="0"/>
        </w:rPr>
        <w:t>除本案外，司法实践中，对于债权人违反协力义务的处理模式及其法律效果的判定，呈 现多样化的格局。</w:t>
      </w:r>
    </w:p>
    <w:p w14:paraId="256AA26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首先，可以肯定的是,如果在买卖抑或承揽（包含定作）的合同关系中，司法机关基本上 皆承认，债权人的协助、配合行为,尤其是对于债务人为履行债务而提供给付的受领行为， 并非仅属学理中发展出的所谓</w:t>
      </w:r>
      <w:r>
        <w:rPr>
          <w:color w:val="000000"/>
          <w:spacing w:val="0"/>
          <w:w w:val="100"/>
          <w:position w:val="0"/>
          <w:lang w:val="zh-CN" w:eastAsia="zh-CN" w:bidi="zh-CN"/>
        </w:rPr>
        <w:t>“不真</w:t>
      </w:r>
      <w:r>
        <w:rPr>
          <w:color w:val="000000"/>
          <w:spacing w:val="0"/>
          <w:w w:val="100"/>
          <w:position w:val="0"/>
        </w:rPr>
        <w:t>正义务</w:t>
      </w:r>
      <w:r>
        <w:rPr>
          <w:color w:val="000000"/>
          <w:spacing w:val="0"/>
          <w:w w:val="100"/>
          <w:position w:val="0"/>
          <w:lang w:val="zh-CN" w:eastAsia="zh-CN" w:bidi="zh-CN"/>
        </w:rPr>
        <w:t>”，而</w:t>
      </w:r>
      <w:r>
        <w:rPr>
          <w:color w:val="000000"/>
          <w:spacing w:val="0"/>
          <w:w w:val="100"/>
          <w:position w:val="0"/>
        </w:rPr>
        <w:t>是构成真正的给付性义务。对于该种义务 的违反，将导致违约责任的成立。从救济债务人的角度来看，其不仅可向未适当履行协力、 配合行为的债权人要求损害赔偿，还可以通过解除合同的意思表示，使自己摆脱合同关系 的拘束。</w:t>
      </w:r>
    </w:p>
    <w:p w14:paraId="75C1CD1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这种案例和判决方式，在我国司法实践中其实不胜枚举，比如在“广州合华科技有限公 司、广州市万冠洁净工程技术有限公司买卖合同纠纷案”</w:t>
      </w:r>
      <w:r>
        <w:rPr>
          <w:color w:val="000000"/>
          <w:spacing w:val="0"/>
          <w:w w:val="100"/>
          <w:position w:val="0"/>
          <w:sz w:val="11"/>
          <w:szCs w:val="11"/>
        </w:rPr>
        <w:t>［广东省广州市中级人民法院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 xml:space="preserve">粤 </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22753</w:t>
      </w:r>
      <w:r>
        <w:rPr>
          <w:color w:val="000000"/>
          <w:spacing w:val="0"/>
          <w:w w:val="100"/>
          <w:position w:val="0"/>
          <w:sz w:val="11"/>
          <w:szCs w:val="11"/>
        </w:rPr>
        <w:t>号民事判决书］</w:t>
      </w:r>
      <w:r>
        <w:rPr>
          <w:color w:val="000000"/>
          <w:spacing w:val="0"/>
          <w:w w:val="100"/>
          <w:position w:val="0"/>
        </w:rPr>
        <w:t>中，二审判决即明确指出：</w:t>
      </w:r>
      <w:r>
        <w:rPr>
          <w:color w:val="000000"/>
          <w:spacing w:val="0"/>
          <w:w w:val="100"/>
          <w:position w:val="0"/>
          <w:lang w:val="zh-CN" w:eastAsia="zh-CN" w:bidi="zh-CN"/>
        </w:rPr>
        <w:t>“万冠</w:t>
      </w:r>
      <w:r>
        <w:rPr>
          <w:color w:val="000000"/>
          <w:spacing w:val="0"/>
          <w:w w:val="100"/>
          <w:position w:val="0"/>
        </w:rPr>
        <w:t>公司于</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月已经制造完 成水设备,而合华公司在长达数年时间均未能收取案涉货物，其行为已构成严重违约</w:t>
      </w:r>
      <w:r>
        <w:rPr>
          <w:color w:val="000000"/>
          <w:spacing w:val="0"/>
          <w:w w:val="100"/>
          <w:position w:val="0"/>
          <w:lang w:val="zh-CN" w:eastAsia="zh-CN" w:bidi="zh-CN"/>
        </w:rPr>
        <w:t xml:space="preserve">。”同 </w:t>
      </w:r>
      <w:r>
        <w:rPr>
          <w:color w:val="000000"/>
          <w:spacing w:val="0"/>
          <w:w w:val="100"/>
          <w:position w:val="0"/>
        </w:rPr>
        <w:t>样，在</w:t>
      </w:r>
      <w:r>
        <w:rPr>
          <w:color w:val="000000"/>
          <w:spacing w:val="0"/>
          <w:w w:val="100"/>
          <w:position w:val="0"/>
          <w:lang w:val="zh-CN" w:eastAsia="zh-CN" w:bidi="zh-CN"/>
        </w:rPr>
        <w:t>“无锡</w:t>
      </w:r>
      <w:r>
        <w:rPr>
          <w:color w:val="000000"/>
          <w:spacing w:val="0"/>
          <w:w w:val="100"/>
          <w:position w:val="0"/>
        </w:rPr>
        <w:t>圣恩铜业有限公司与宜兴市华鼎铜业有限公司买卖合同纠纷案</w:t>
      </w:r>
      <w:r>
        <w:rPr>
          <w:color w:val="000000"/>
          <w:spacing w:val="0"/>
          <w:w w:val="100"/>
          <w:position w:val="0"/>
          <w:sz w:val="11"/>
          <w:szCs w:val="11"/>
          <w:lang w:val="zh-CN" w:eastAsia="zh-CN" w:bidi="zh-CN"/>
        </w:rPr>
        <w:t>”［江</w:t>
      </w:r>
      <w:r>
        <w:rPr>
          <w:color w:val="000000"/>
          <w:spacing w:val="0"/>
          <w:w w:val="100"/>
          <w:position w:val="0"/>
          <w:sz w:val="11"/>
          <w:szCs w:val="11"/>
        </w:rPr>
        <w:t>苏省无锡市 中级人民法院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锡商终字第</w:t>
      </w:r>
      <w:r>
        <w:rPr>
          <w:rFonts w:ascii="Times New Roman" w:hAnsi="Times New Roman" w:eastAsia="Times New Roman" w:cs="Times New Roman"/>
          <w:color w:val="000000"/>
          <w:spacing w:val="0"/>
          <w:w w:val="100"/>
          <w:position w:val="0"/>
          <w:sz w:val="17"/>
          <w:szCs w:val="17"/>
        </w:rPr>
        <w:t>0060</w:t>
      </w:r>
      <w:r>
        <w:rPr>
          <w:color w:val="000000"/>
          <w:spacing w:val="0"/>
          <w:w w:val="100"/>
          <w:position w:val="0"/>
          <w:sz w:val="11"/>
          <w:szCs w:val="11"/>
        </w:rPr>
        <w:t>号民事判决书］</w:t>
      </w:r>
      <w:r>
        <w:rPr>
          <w:color w:val="000000"/>
          <w:spacing w:val="0"/>
          <w:w w:val="100"/>
          <w:position w:val="0"/>
        </w:rPr>
        <w:t>中，法院亦是在相同思路的引导之下，于认 定“圣恩公司拒收华鼎公司交付的货物,构成违约</w:t>
      </w:r>
      <w:r>
        <w:rPr>
          <w:color w:val="000000"/>
          <w:spacing w:val="0"/>
          <w:w w:val="100"/>
          <w:position w:val="0"/>
          <w:lang w:val="zh-CN" w:eastAsia="zh-CN" w:bidi="zh-CN"/>
        </w:rPr>
        <w:t>”之后</w:t>
      </w:r>
      <w:r>
        <w:rPr>
          <w:color w:val="000000"/>
          <w:spacing w:val="0"/>
          <w:w w:val="100"/>
          <w:position w:val="0"/>
        </w:rPr>
        <w:t>,判令前者向后者赔偿近</w:t>
      </w:r>
      <w:r>
        <w:rPr>
          <w:rFonts w:ascii="Times New Roman" w:hAnsi="Times New Roman" w:eastAsia="Times New Roman" w:cs="Times New Roman"/>
          <w:color w:val="000000"/>
          <w:spacing w:val="0"/>
          <w:w w:val="100"/>
          <w:position w:val="0"/>
          <w:sz w:val="19"/>
          <w:szCs w:val="19"/>
        </w:rPr>
        <w:t>900</w:t>
      </w:r>
      <w:r>
        <w:rPr>
          <w:color w:val="000000"/>
          <w:spacing w:val="0"/>
          <w:w w:val="100"/>
          <w:position w:val="0"/>
        </w:rPr>
        <w:t>万元 的损失。就承揽合同而言</w:t>
      </w:r>
      <w:r>
        <w:rPr>
          <w:color w:val="000000"/>
          <w:spacing w:val="0"/>
          <w:w w:val="100"/>
          <w:position w:val="0"/>
          <w:lang w:val="zh-CN" w:eastAsia="zh-CN" w:bidi="zh-CN"/>
        </w:rPr>
        <w:t>，“江</w:t>
      </w:r>
      <w:r>
        <w:rPr>
          <w:color w:val="000000"/>
          <w:spacing w:val="0"/>
          <w:w w:val="100"/>
          <w:position w:val="0"/>
        </w:rPr>
        <w:t>苏艾德太阳能科技有限公司与广运机电（苏州）有限公司承 揽合同纠纷案</w:t>
      </w:r>
      <w:r>
        <w:rPr>
          <w:color w:val="000000"/>
          <w:spacing w:val="0"/>
          <w:w w:val="100"/>
          <w:position w:val="0"/>
          <w:sz w:val="11"/>
          <w:szCs w:val="11"/>
          <w:lang w:val="zh-CN" w:eastAsia="zh-CN" w:bidi="zh-CN"/>
        </w:rPr>
        <w:t>”［江</w:t>
      </w:r>
      <w:r>
        <w:rPr>
          <w:color w:val="000000"/>
          <w:spacing w:val="0"/>
          <w:w w:val="100"/>
          <w:position w:val="0"/>
          <w:sz w:val="11"/>
          <w:szCs w:val="11"/>
        </w:rPr>
        <w:t>苏省徐州市中级人民法院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徐商终字第</w:t>
      </w:r>
      <w:r>
        <w:rPr>
          <w:rFonts w:ascii="Times New Roman" w:hAnsi="Times New Roman" w:eastAsia="Times New Roman" w:cs="Times New Roman"/>
          <w:color w:val="000000"/>
          <w:spacing w:val="0"/>
          <w:w w:val="100"/>
          <w:position w:val="0"/>
          <w:sz w:val="17"/>
          <w:szCs w:val="17"/>
        </w:rPr>
        <w:t>0551</w:t>
      </w:r>
      <w:r>
        <w:rPr>
          <w:color w:val="000000"/>
          <w:spacing w:val="0"/>
          <w:w w:val="100"/>
          <w:position w:val="0"/>
          <w:sz w:val="11"/>
          <w:szCs w:val="11"/>
        </w:rPr>
        <w:t>号民事判决书］</w:t>
      </w:r>
      <w:r>
        <w:rPr>
          <w:color w:val="000000"/>
          <w:spacing w:val="0"/>
          <w:w w:val="100"/>
          <w:position w:val="0"/>
        </w:rPr>
        <w:t>的下述判决内 容，已再清晰不过地展现了审判机关的前述认知逻辑:“作为承揽人的广运机电公司已经依 约完成涉案设备的制作,设备未能及时交付安装系因定作人艾德太阳能公司拒绝受领所 致。艾德太阳能公司无正当理由拒绝受领工作成果及拒不支付定作款的行为，已经构成违 约，广运机电公司要求其承担继续履行合同、支付定作款、赔偿损失的违约责任，符合法律 规定及合同约定，本院依法予以支持</w:t>
      </w:r>
      <w:r>
        <w:rPr>
          <w:color w:val="000000"/>
          <w:spacing w:val="0"/>
          <w:w w:val="100"/>
          <w:position w:val="0"/>
          <w:lang w:val="zh-CN" w:eastAsia="zh-CN" w:bidi="zh-CN"/>
        </w:rPr>
        <w:t>。”而</w:t>
      </w:r>
      <w:r>
        <w:rPr>
          <w:color w:val="000000"/>
          <w:spacing w:val="0"/>
          <w:w w:val="100"/>
          <w:position w:val="0"/>
        </w:rPr>
        <w:t>在“建昌兰剑水泥有限公司诉江阴市伟业房屋拆 修工程有限公司承揽合同纠纷案</w:t>
      </w:r>
      <w:r>
        <w:rPr>
          <w:rFonts w:ascii="Times New Roman" w:hAnsi="Times New Roman" w:eastAsia="Times New Roman" w:cs="Times New Roman"/>
          <w:color w:val="000000"/>
          <w:spacing w:val="0"/>
          <w:w w:val="100"/>
          <w:position w:val="0"/>
          <w:sz w:val="17"/>
          <w:szCs w:val="17"/>
          <w:lang w:val="en-US" w:eastAsia="en-US" w:bidi="en-US"/>
        </w:rPr>
        <w:t>”［（2017）</w:t>
      </w:r>
      <w:r>
        <w:rPr>
          <w:color w:val="000000"/>
          <w:spacing w:val="0"/>
          <w:w w:val="100"/>
          <w:position w:val="0"/>
          <w:sz w:val="11"/>
          <w:szCs w:val="11"/>
        </w:rPr>
        <w:t>最高法民申</w:t>
      </w:r>
      <w:r>
        <w:rPr>
          <w:rFonts w:ascii="Times New Roman" w:hAnsi="Times New Roman" w:eastAsia="Times New Roman" w:cs="Times New Roman"/>
          <w:color w:val="000000"/>
          <w:spacing w:val="0"/>
          <w:w w:val="100"/>
          <w:position w:val="0"/>
          <w:sz w:val="17"/>
          <w:szCs w:val="17"/>
        </w:rPr>
        <w:t>4464</w:t>
      </w:r>
      <w:r>
        <w:rPr>
          <w:color w:val="000000"/>
          <w:spacing w:val="0"/>
          <w:w w:val="100"/>
          <w:position w:val="0"/>
          <w:sz w:val="11"/>
          <w:szCs w:val="11"/>
        </w:rPr>
        <w:t>号民事裁定书］中</w:t>
      </w:r>
      <w:r>
        <w:rPr>
          <w:color w:val="000000"/>
          <w:spacing w:val="0"/>
          <w:w w:val="100"/>
          <w:position w:val="0"/>
        </w:rPr>
        <w:t>，针对定作人拒绝 协力的行为，法院还允许承揽人得基于此解除合同。</w:t>
      </w:r>
    </w:p>
    <w:p w14:paraId="2EB9EBF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其次，前述模式并非可一概套用于任何类型的合同关系中。比如，</w:t>
      </w:r>
      <w:r>
        <w:rPr>
          <w:color w:val="000000"/>
          <w:spacing w:val="0"/>
          <w:w w:val="100"/>
          <w:position w:val="0"/>
          <w:lang w:val="zh-CN" w:eastAsia="zh-CN" w:bidi="zh-CN"/>
        </w:rPr>
        <w:t>“顾德</w:t>
      </w:r>
      <w:r>
        <w:rPr>
          <w:color w:val="000000"/>
          <w:spacing w:val="0"/>
          <w:w w:val="100"/>
          <w:position w:val="0"/>
        </w:rPr>
        <w:t>明与上海川沙 外贸实业有限公司民间借贷纠纷上诉案</w:t>
      </w:r>
      <w:r>
        <w:rPr>
          <w:color w:val="000000"/>
          <w:spacing w:val="0"/>
          <w:w w:val="100"/>
          <w:position w:val="0"/>
          <w:sz w:val="11"/>
          <w:szCs w:val="11"/>
          <w:lang w:val="zh-CN" w:eastAsia="zh-CN" w:bidi="zh-CN"/>
        </w:rPr>
        <w:t>”［上</w:t>
      </w:r>
      <w:r>
        <w:rPr>
          <w:color w:val="000000"/>
          <w:spacing w:val="0"/>
          <w:w w:val="100"/>
          <w:position w:val="0"/>
          <w:sz w:val="11"/>
          <w:szCs w:val="11"/>
        </w:rPr>
        <w:t>海市第一中级人民法院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沪一中民四（商）终字 第</w:t>
      </w:r>
      <w:r>
        <w:rPr>
          <w:rFonts w:ascii="Times New Roman" w:hAnsi="Times New Roman" w:eastAsia="Times New Roman" w:cs="Times New Roman"/>
          <w:color w:val="000000"/>
          <w:spacing w:val="0"/>
          <w:w w:val="100"/>
          <w:position w:val="0"/>
          <w:sz w:val="17"/>
          <w:szCs w:val="17"/>
        </w:rPr>
        <w:t>2244</w:t>
      </w:r>
      <w:r>
        <w:rPr>
          <w:color w:val="000000"/>
          <w:spacing w:val="0"/>
          <w:w w:val="100"/>
          <w:position w:val="0"/>
          <w:sz w:val="11"/>
          <w:szCs w:val="11"/>
        </w:rPr>
        <w:t>号民事判决书］</w:t>
      </w:r>
      <w:r>
        <w:rPr>
          <w:color w:val="000000"/>
          <w:spacing w:val="0"/>
          <w:w w:val="100"/>
          <w:position w:val="0"/>
        </w:rPr>
        <w:t>中,对于债权人顾德明拒绝川沙公司还款通知、不领取本金和利息的行 为，裁判文书即仅判定为“系顾德明对自身权益的处分，对于由此可能产生的损失，应当由 顾德明自行承担”，却并未将之认为成立违约责任。这表明，受领、协力义务的性质和违反 该义务的法律效果,至少在不同类型的契约关系中被区分性地对待。</w:t>
      </w:r>
    </w:p>
    <w:p w14:paraId="001F056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最后，学理中为阐明受领、协力义务之法律性质而常用的</w:t>
      </w:r>
      <w:r>
        <w:rPr>
          <w:color w:val="000000"/>
          <w:spacing w:val="0"/>
          <w:w w:val="100"/>
          <w:position w:val="0"/>
          <w:lang w:val="zh-CN" w:eastAsia="zh-CN" w:bidi="zh-CN"/>
        </w:rPr>
        <w:t>“不真</w:t>
      </w:r>
      <w:r>
        <w:rPr>
          <w:color w:val="000000"/>
          <w:spacing w:val="0"/>
          <w:w w:val="100"/>
          <w:position w:val="0"/>
        </w:rPr>
        <w:t>正义务</w:t>
      </w:r>
      <w:r>
        <w:rPr>
          <w:color w:val="000000"/>
          <w:spacing w:val="0"/>
          <w:w w:val="100"/>
          <w:position w:val="0"/>
          <w:lang w:val="zh-CN" w:eastAsia="zh-CN" w:bidi="zh-CN"/>
        </w:rPr>
        <w:t>”概念</w:t>
      </w:r>
      <w:r>
        <w:rPr>
          <w:color w:val="000000"/>
          <w:spacing w:val="0"/>
          <w:w w:val="100"/>
          <w:position w:val="0"/>
        </w:rPr>
        <w:t>，在实践中 反倒多遭漠视。即便当事人在诉辩攻防或理由阐述中提出，受领、协力义务之违反仅属不 真正义务的不履行,也基本上均为判决文书或其说理所不采和无视。</w:t>
      </w:r>
      <w:r>
        <w:rPr>
          <w:color w:val="000000"/>
          <w:spacing w:val="0"/>
          <w:w w:val="100"/>
          <w:position w:val="0"/>
          <w:lang w:val="zh-CN" w:eastAsia="zh-CN" w:bidi="zh-CN"/>
        </w:rPr>
        <w:t>“绍兴</w:t>
      </w:r>
      <w:r>
        <w:rPr>
          <w:color w:val="000000"/>
          <w:spacing w:val="0"/>
          <w:w w:val="100"/>
          <w:position w:val="0"/>
        </w:rPr>
        <w:t>勤峰纺织有限 公司、绍兴上虞伯隆毛纺织有限公司买卖合同纠纷二审民事判决书</w:t>
      </w:r>
      <w:r>
        <w:rPr>
          <w:color w:val="000000"/>
          <w:spacing w:val="0"/>
          <w:w w:val="100"/>
          <w:position w:val="0"/>
          <w:sz w:val="11"/>
          <w:szCs w:val="11"/>
          <w:lang w:val="zh-CN" w:eastAsia="zh-CN" w:bidi="zh-CN"/>
        </w:rPr>
        <w:t>”［浙</w:t>
      </w:r>
      <w:r>
        <w:rPr>
          <w:color w:val="000000"/>
          <w:spacing w:val="0"/>
          <w:w w:val="100"/>
          <w:position w:val="0"/>
          <w:sz w:val="11"/>
          <w:szCs w:val="11"/>
        </w:rPr>
        <w:t>江省绍兴市中级人民 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06</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3057</w:t>
      </w:r>
      <w:r>
        <w:rPr>
          <w:color w:val="000000"/>
          <w:spacing w:val="0"/>
          <w:w w:val="100"/>
          <w:position w:val="0"/>
          <w:sz w:val="11"/>
          <w:szCs w:val="11"/>
        </w:rPr>
        <w:t>号民事判决书］</w:t>
      </w:r>
      <w:r>
        <w:rPr>
          <w:color w:val="000000"/>
          <w:spacing w:val="0"/>
          <w:w w:val="100"/>
          <w:position w:val="0"/>
        </w:rPr>
        <w:t>与“王怡星、马永建等与河南升龙物业管理有限公司 等合同纠纷案”</w:t>
      </w:r>
      <w:r>
        <w:rPr>
          <w:color w:val="000000"/>
          <w:spacing w:val="0"/>
          <w:w w:val="100"/>
          <w:position w:val="0"/>
          <w:sz w:val="11"/>
          <w:szCs w:val="11"/>
        </w:rPr>
        <w:t>［河南省郑州高新技术产业开发区人民法院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豫</w:t>
      </w:r>
      <w:r>
        <w:rPr>
          <w:rFonts w:ascii="Times New Roman" w:hAnsi="Times New Roman" w:eastAsia="Times New Roman" w:cs="Times New Roman"/>
          <w:color w:val="000000"/>
          <w:spacing w:val="0"/>
          <w:w w:val="100"/>
          <w:position w:val="0"/>
          <w:sz w:val="17"/>
          <w:szCs w:val="17"/>
        </w:rPr>
        <w:t>0191</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11749</w:t>
      </w:r>
      <w:r>
        <w:rPr>
          <w:color w:val="000000"/>
          <w:spacing w:val="0"/>
          <w:w w:val="100"/>
          <w:position w:val="0"/>
          <w:sz w:val="11"/>
          <w:szCs w:val="11"/>
        </w:rPr>
        <w:t>号民事判决 书］</w:t>
      </w:r>
      <w:r>
        <w:rPr>
          <w:color w:val="000000"/>
          <w:spacing w:val="0"/>
          <w:w w:val="100"/>
          <w:position w:val="0"/>
        </w:rPr>
        <w:t>即其适例。</w:t>
      </w:r>
    </w:p>
    <w:p w14:paraId="5B9DB2AD">
      <w:pPr>
        <w:pStyle w:val="17"/>
        <w:keepNext w:val="0"/>
        <w:keepLines w:val="0"/>
        <w:widowControl w:val="0"/>
        <w:shd w:val="clear" w:color="auto" w:fill="auto"/>
        <w:bidi w:val="0"/>
        <w:spacing w:before="0" w:after="140" w:line="340" w:lineRule="exact"/>
        <w:ind w:left="0" w:right="0" w:firstLine="420"/>
        <w:jc w:val="both"/>
      </w:pPr>
      <w:r>
        <w:rPr>
          <w:color w:val="000000"/>
          <w:spacing w:val="0"/>
          <w:w w:val="100"/>
          <w:position w:val="0"/>
        </w:rPr>
        <w:t>由上可见，债权人违反受领、协力义务的案型，能对受领迟延及风险转移法理加以运用 的裁判实践并不常见;买卖、承揽类合同中并存的债权人迟延与债务人迟延状态，也多呈现 后者掩盖前者的现象，违约损害赔偿责任的泛化即其表征。</w:t>
      </w:r>
    </w:p>
    <w:p w14:paraId="59C8890A">
      <w:pPr>
        <w:pStyle w:val="17"/>
        <w:keepNext w:val="0"/>
        <w:keepLines w:val="0"/>
        <w:widowControl w:val="0"/>
        <w:shd w:val="clear" w:color="auto" w:fill="auto"/>
        <w:bidi w:val="0"/>
        <w:spacing w:before="0" w:after="140" w:line="340" w:lineRule="exact"/>
        <w:ind w:left="0" w:right="0" w:firstLine="0"/>
        <w:jc w:val="left"/>
      </w:pPr>
      <w:r>
        <w:rPr>
          <w:color w:val="000000"/>
          <w:spacing w:val="0"/>
          <w:w w:val="100"/>
          <w:position w:val="0"/>
          <w:lang w:val="en-US" w:eastAsia="en-US" w:bidi="en-US"/>
        </w:rPr>
        <w:t>®</w:t>
      </w:r>
      <w:r>
        <w:rPr>
          <w:color w:val="000000"/>
          <w:spacing w:val="0"/>
          <w:w w:val="100"/>
          <w:position w:val="0"/>
        </w:rPr>
        <w:t>本判决的参考意义及将来的课题</w:t>
      </w:r>
    </w:p>
    <w:p w14:paraId="541D9310">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本案属服务类合同，债务人服务之提供离不开债权人的密切配合。而当债权人无正当 理由拒绝受领服务、不予配合时，至少在当事人存有特别约定的情况下，应当界定为债务人 迟延，可以引致损害赔偿责任的产生，而非仅属债权人迟延。但债务人报酬请求权是否亦 可经由风险转移路径得以保护以及此种借助于风险转移规则保护债务人报酬请求权的路 径如何作教义学的体系界定，尤其是关于《民法典》第</w:t>
      </w:r>
      <w:r>
        <w:rPr>
          <w:rFonts w:ascii="Times New Roman" w:hAnsi="Times New Roman" w:eastAsia="Times New Roman" w:cs="Times New Roman"/>
          <w:color w:val="000000"/>
          <w:spacing w:val="0"/>
          <w:w w:val="100"/>
          <w:position w:val="0"/>
          <w:sz w:val="19"/>
          <w:szCs w:val="19"/>
        </w:rPr>
        <w:t>589</w:t>
      </w:r>
      <w:r>
        <w:rPr>
          <w:color w:val="000000"/>
          <w:spacing w:val="0"/>
          <w:w w:val="100"/>
          <w:position w:val="0"/>
        </w:rPr>
        <w:t>条规定与本案情形及其他相关情 形之间的关系，则仍待未来裁判实践的发展。</w:t>
      </w:r>
    </w:p>
    <w:p w14:paraId="1D7BE461">
      <w:pPr>
        <w:pStyle w:val="11"/>
        <w:keepNext w:val="0"/>
        <w:keepLines w:val="0"/>
        <w:widowControl w:val="0"/>
        <w:shd w:val="clear" w:color="auto" w:fill="auto"/>
        <w:bidi w:val="0"/>
        <w:spacing w:before="0" w:after="200" w:line="340" w:lineRule="exact"/>
        <w:ind w:left="0" w:right="0" w:firstLine="0"/>
        <w:jc w:val="left"/>
      </w:pPr>
      <w:r>
        <w:rPr>
          <w:color w:val="000000"/>
          <w:spacing w:val="0"/>
          <w:w w:val="100"/>
          <w:position w:val="0"/>
        </w:rPr>
        <w:t>回参考文献</w:t>
      </w:r>
    </w:p>
    <w:p w14:paraId="7A56584A">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27324FC8">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王利明：《合同法研究》（第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卷），中国人民大学出版社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7DE1FBD3">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王洪亮：《债法总论》，北京大学出版社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BC57968">
      <w:pPr>
        <w:pStyle w:val="33"/>
        <w:keepNext w:val="0"/>
        <w:keepLines w:val="0"/>
        <w:widowControl w:val="0"/>
        <w:shd w:val="clear" w:color="auto" w:fill="auto"/>
        <w:bidi w:val="0"/>
        <w:spacing w:before="0" w:after="140" w:line="240" w:lineRule="auto"/>
        <w:ind w:left="0" w:right="0" w:firstLine="0"/>
        <w:jc w:val="left"/>
        <w:sectPr>
          <w:headerReference r:id="rId441" w:type="default"/>
          <w:headerReference r:id="rId442" w:type="even"/>
          <w:footnotePr>
            <w:numFmt w:val="chicago"/>
          </w:footnotePr>
          <w:pgSz w:w="10099" w:h="14782"/>
          <w:pgMar w:top="1317" w:right="958" w:bottom="1095" w:left="1047" w:header="0" w:footer="3" w:gutter="0"/>
          <w:pgNumType w:start="371"/>
          <w:cols w:space="720" w:num="1"/>
          <w:rtlGutter w:val="0"/>
          <w:docGrid w:linePitch="360" w:charSpace="0"/>
        </w:sectPr>
      </w:pPr>
      <w:r>
        <w:rPr>
          <w:color w:val="000000"/>
          <w:spacing w:val="0"/>
          <w:w w:val="100"/>
          <w:position w:val="0"/>
        </w:rPr>
        <w:t>张广兴、韩世远:《合同法总则》，法律出版社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2387B9EF">
      <w:pPr>
        <w:widowControl w:val="0"/>
        <w:spacing w:line="69" w:lineRule="exact"/>
        <w:rPr>
          <w:sz w:val="6"/>
          <w:szCs w:val="6"/>
        </w:rPr>
      </w:pPr>
    </w:p>
    <w:p w14:paraId="16273646">
      <w:pPr>
        <w:widowControl w:val="0"/>
        <w:spacing w:line="1" w:lineRule="exact"/>
        <w:sectPr>
          <w:headerReference r:id="rId443" w:type="default"/>
          <w:headerReference r:id="rId444" w:type="even"/>
          <w:footnotePr>
            <w:numFmt w:val="chicago"/>
          </w:footnotePr>
          <w:pgSz w:w="10099" w:h="14782"/>
          <w:pgMar w:top="1322" w:right="1072" w:bottom="1096" w:left="1019" w:header="0" w:footer="3" w:gutter="0"/>
          <w:pgNumType w:start="391"/>
          <w:cols w:space="720" w:num="1"/>
          <w:rtlGutter w:val="0"/>
          <w:docGrid w:linePitch="360" w:charSpace="0"/>
        </w:sectPr>
      </w:pPr>
    </w:p>
    <w:p w14:paraId="150F1749">
      <w:pPr>
        <w:widowControl w:val="0"/>
        <w:spacing w:line="1" w:lineRule="exact"/>
      </w:pPr>
      <w:r>
        <mc:AlternateContent>
          <mc:Choice Requires="wps">
            <w:drawing>
              <wp:anchor distT="0" distB="16510" distL="0" distR="0" simplePos="0" relativeHeight="251660288" behindDoc="0" locked="0" layoutInCell="1" allowOverlap="1">
                <wp:simplePos x="0" y="0"/>
                <wp:positionH relativeFrom="page">
                  <wp:posOffset>711200</wp:posOffset>
                </wp:positionH>
                <wp:positionV relativeFrom="paragraph">
                  <wp:posOffset>0</wp:posOffset>
                </wp:positionV>
                <wp:extent cx="449580" cy="304800"/>
                <wp:effectExtent l="0" t="0" r="0" b="0"/>
                <wp:wrapTopAndBottom/>
                <wp:docPr id="1027" name="Shape 102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8E4F6EC">
                            <w:pPr>
                              <w:pStyle w:val="27"/>
                              <w:keepNext/>
                              <w:keepLines/>
                              <w:widowControl w:val="0"/>
                              <w:shd w:val="clear" w:color="auto" w:fill="auto"/>
                              <w:bidi w:val="0"/>
                              <w:spacing w:before="0" w:after="0" w:line="240" w:lineRule="auto"/>
                              <w:ind w:left="0" w:right="0" w:firstLine="0"/>
                              <w:jc w:val="both"/>
                            </w:pPr>
                            <w:bookmarkStart w:id="540" w:name="bookmark466"/>
                            <w:bookmarkStart w:id="541" w:name="bookmark465"/>
                            <w:bookmarkStart w:id="542" w:name="bookmark467"/>
                            <w:r>
                              <w:rPr>
                                <w:rFonts w:ascii="Times New Roman" w:hAnsi="Times New Roman" w:eastAsia="Times New Roman" w:cs="Times New Roman"/>
                                <w:color w:val="000000"/>
                                <w:spacing w:val="0"/>
                                <w:w w:val="100"/>
                                <w:position w:val="0"/>
                              </w:rPr>
                              <w:t>076</w:t>
                            </w:r>
                            <w:bookmarkEnd w:id="540"/>
                            <w:bookmarkEnd w:id="541"/>
                            <w:bookmarkEnd w:id="542"/>
                          </w:p>
                        </w:txbxContent>
                      </wps:txbx>
                      <wps:bodyPr wrap="none" lIns="0" tIns="0" rIns="0" bIns="0">
                        <a:noAutofit/>
                      </wps:bodyPr>
                    </wps:wsp>
                  </a:graphicData>
                </a:graphic>
              </wp:anchor>
            </w:drawing>
          </mc:Choice>
          <mc:Fallback>
            <w:pict>
              <v:shape id="Shape 1027" o:spid="_x0000_s1026" o:spt="202" type="#_x0000_t202" style="position:absolute;left:0pt;margin-left:56pt;margin-top:0pt;height:24pt;width:35.4pt;mso-position-horizontal-relative:page;mso-wrap-distance-bottom:1.3pt;mso-wrap-distance-top:0pt;mso-wrap-style:none;z-index:251660288;mso-width-relative:page;mso-height-relative:page;" filled="f" stroked="f" coordsize="21600,21600" o:gfxdata="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Gz/4NQAAAAH&#10;AQAADwAAAAAAAAABACAAAAAiAAAAZHJzL2Rvd25yZXYueG1sUEsBAhQAFAAAAAgAh07iQOkEhU2u&#10;AQAAdQMAAA4AAAAAAAAAAQAgAAAAIwEAAGRycy9lMm9Eb2MueG1sUEsFBgAAAAAGAAYAWQEAAEMF&#10;AAAAAA==&#10;">
                <v:fill on="f" focussize="0,0"/>
                <v:stroke on="f"/>
                <v:imagedata o:title=""/>
                <o:lock v:ext="edit" aspectratio="f"/>
                <v:textbox inset="0mm,0mm,0mm,0mm">
                  <w:txbxContent>
                    <w:p w14:paraId="78E4F6EC">
                      <w:pPr>
                        <w:pStyle w:val="27"/>
                        <w:keepNext/>
                        <w:keepLines/>
                        <w:widowControl w:val="0"/>
                        <w:shd w:val="clear" w:color="auto" w:fill="auto"/>
                        <w:bidi w:val="0"/>
                        <w:spacing w:before="0" w:after="0" w:line="240" w:lineRule="auto"/>
                        <w:ind w:left="0" w:right="0" w:firstLine="0"/>
                        <w:jc w:val="both"/>
                      </w:pPr>
                      <w:bookmarkStart w:id="540" w:name="bookmark466"/>
                      <w:bookmarkStart w:id="541" w:name="bookmark465"/>
                      <w:bookmarkStart w:id="542" w:name="bookmark467"/>
                      <w:r>
                        <w:rPr>
                          <w:rFonts w:ascii="Times New Roman" w:hAnsi="Times New Roman" w:eastAsia="Times New Roman" w:cs="Times New Roman"/>
                          <w:color w:val="000000"/>
                          <w:spacing w:val="0"/>
                          <w:w w:val="100"/>
                          <w:position w:val="0"/>
                        </w:rPr>
                        <w:t>076</w:t>
                      </w:r>
                      <w:bookmarkEnd w:id="540"/>
                      <w:bookmarkEnd w:id="541"/>
                      <w:bookmarkEnd w:id="542"/>
                    </w:p>
                  </w:txbxContent>
                </v:textbox>
                <w10:wrap type="topAndBottom"/>
              </v:shape>
            </w:pict>
          </mc:Fallback>
        </mc:AlternateContent>
      </w:r>
      <w:r>
        <mc:AlternateContent>
          <mc:Choice Requires="wps">
            <w:drawing>
              <wp:anchor distT="83820" distB="0" distL="0" distR="0" simplePos="0" relativeHeight="251660288" behindDoc="0" locked="0" layoutInCell="1" allowOverlap="1">
                <wp:simplePos x="0" y="0"/>
                <wp:positionH relativeFrom="page">
                  <wp:posOffset>1287145</wp:posOffset>
                </wp:positionH>
                <wp:positionV relativeFrom="paragraph">
                  <wp:posOffset>83820</wp:posOffset>
                </wp:positionV>
                <wp:extent cx="1822450" cy="237490"/>
                <wp:effectExtent l="0" t="0" r="0" b="0"/>
                <wp:wrapTopAndBottom/>
                <wp:docPr id="1029" name="Shape 1029"/>
                <wp:cNvGraphicFramePr/>
                <a:graphic xmlns:a="http://schemas.openxmlformats.org/drawingml/2006/main">
                  <a:graphicData uri="http://schemas.microsoft.com/office/word/2010/wordprocessingShape">
                    <wps:wsp>
                      <wps:cNvSpPr txBox="1"/>
                      <wps:spPr>
                        <a:xfrm>
                          <a:off x="0" y="0"/>
                          <a:ext cx="1822450" cy="237490"/>
                        </a:xfrm>
                        <a:prstGeom prst="rect">
                          <a:avLst/>
                        </a:prstGeom>
                        <a:noFill/>
                      </wps:spPr>
                      <wps:txbx>
                        <w:txbxContent>
                          <w:p w14:paraId="51E8126F">
                            <w:pPr>
                              <w:pStyle w:val="15"/>
                              <w:keepNext/>
                              <w:keepLines/>
                              <w:widowControl w:val="0"/>
                              <w:shd w:val="clear" w:color="auto" w:fill="auto"/>
                              <w:bidi w:val="0"/>
                              <w:spacing w:before="0" w:after="0" w:line="240" w:lineRule="auto"/>
                              <w:ind w:left="0" w:right="0" w:firstLine="0"/>
                              <w:jc w:val="left"/>
                            </w:pPr>
                            <w:bookmarkStart w:id="543" w:name="bookmark468"/>
                            <w:bookmarkStart w:id="544" w:name="bookmark469"/>
                            <w:bookmarkStart w:id="545" w:name="bookmark470"/>
                            <w:r>
                              <w:rPr>
                                <w:color w:val="000000"/>
                                <w:spacing w:val="0"/>
                                <w:w w:val="100"/>
                                <w:position w:val="0"/>
                              </w:rPr>
                              <w:t>减损义务与替代交易</w:t>
                            </w:r>
                            <w:bookmarkEnd w:id="543"/>
                            <w:bookmarkEnd w:id="544"/>
                            <w:bookmarkEnd w:id="545"/>
                          </w:p>
                        </w:txbxContent>
                      </wps:txbx>
                      <wps:bodyPr wrap="none" lIns="0" tIns="0" rIns="0" bIns="0">
                        <a:noAutofit/>
                      </wps:bodyPr>
                    </wps:wsp>
                  </a:graphicData>
                </a:graphic>
              </wp:anchor>
            </w:drawing>
          </mc:Choice>
          <mc:Fallback>
            <w:pict>
              <v:shape id="Shape 1029" o:spid="_x0000_s1026" o:spt="202" type="#_x0000_t202" style="position:absolute;left:0pt;margin-left:101.35pt;margin-top:6.6pt;height:18.7pt;width:143.5pt;mso-position-horizontal-relative:page;mso-wrap-distance-bottom:0pt;mso-wrap-distance-top:6.6pt;mso-wrap-style:none;z-index:251660288;mso-width-relative:page;mso-height-relative:page;" filled="f" stroked="f" coordsize="21600,21600" o:gfxdata="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2rTtYA&#10;AAAJAQAADwAAAAAAAAABACAAAAAiAAAAZHJzL2Rvd25yZXYueG1sUEsBAhQAFAAAAAgAh07iQENb&#10;2r6vAQAAdgMAAA4AAAAAAAAAAQAgAAAAJQEAAGRycy9lMm9Eb2MueG1sUEsFBgAAAAAGAAYAWQEA&#10;AEYFAAAAAA==&#10;">
                <v:fill on="f" focussize="0,0"/>
                <v:stroke on="f"/>
                <v:imagedata o:title=""/>
                <o:lock v:ext="edit" aspectratio="f"/>
                <v:textbox inset="0mm,0mm,0mm,0mm">
                  <w:txbxContent>
                    <w:p w14:paraId="51E8126F">
                      <w:pPr>
                        <w:pStyle w:val="15"/>
                        <w:keepNext/>
                        <w:keepLines/>
                        <w:widowControl w:val="0"/>
                        <w:shd w:val="clear" w:color="auto" w:fill="auto"/>
                        <w:bidi w:val="0"/>
                        <w:spacing w:before="0" w:after="0" w:line="240" w:lineRule="auto"/>
                        <w:ind w:left="0" w:right="0" w:firstLine="0"/>
                        <w:jc w:val="left"/>
                      </w:pPr>
                      <w:bookmarkStart w:id="543" w:name="bookmark468"/>
                      <w:bookmarkStart w:id="544" w:name="bookmark469"/>
                      <w:bookmarkStart w:id="545" w:name="bookmark470"/>
                      <w:r>
                        <w:rPr>
                          <w:color w:val="000000"/>
                          <w:spacing w:val="0"/>
                          <w:w w:val="100"/>
                          <w:position w:val="0"/>
                        </w:rPr>
                        <w:t>减损义务与替代交易</w:t>
                      </w:r>
                      <w:bookmarkEnd w:id="543"/>
                      <w:bookmarkEnd w:id="544"/>
                      <w:bookmarkEnd w:id="545"/>
                    </w:p>
                  </w:txbxContent>
                </v:textbox>
                <w10:wrap type="topAndBottom"/>
              </v:shape>
            </w:pict>
          </mc:Fallback>
        </mc:AlternateContent>
      </w:r>
    </w:p>
    <w:p w14:paraId="7B58F5D8">
      <w:pPr>
        <w:pStyle w:val="17"/>
        <w:keepNext w:val="0"/>
        <w:keepLines w:val="0"/>
        <w:widowControl w:val="0"/>
        <w:shd w:val="clear" w:color="auto" w:fill="auto"/>
        <w:bidi w:val="0"/>
        <w:spacing w:before="0" w:after="420" w:line="344" w:lineRule="exact"/>
        <w:ind w:left="1020" w:right="0" w:firstLine="0"/>
        <w:jc w:val="both"/>
      </w:pPr>
      <w:r>
        <w:drawing>
          <wp:anchor distT="0" distB="0" distL="114300" distR="114300" simplePos="0" relativeHeight="251660288" behindDoc="0" locked="0" layoutInCell="1" allowOverlap="1">
            <wp:simplePos x="0" y="0"/>
            <wp:positionH relativeFrom="page">
              <wp:posOffset>5087620</wp:posOffset>
            </wp:positionH>
            <wp:positionV relativeFrom="paragraph">
              <wp:posOffset>76200</wp:posOffset>
            </wp:positionV>
            <wp:extent cx="615950" cy="621665"/>
            <wp:effectExtent l="0" t="0" r="6350" b="635"/>
            <wp:wrapSquare wrapText="left"/>
            <wp:docPr id="1031" name="Shape 1031"/>
            <wp:cNvGraphicFramePr/>
            <a:graphic xmlns:a="http://schemas.openxmlformats.org/drawingml/2006/main">
              <a:graphicData uri="http://schemas.openxmlformats.org/drawingml/2006/picture">
                <pic:pic xmlns:pic="http://schemas.openxmlformats.org/drawingml/2006/picture">
                  <pic:nvPicPr>
                    <pic:cNvPr id="1031" name="Shape 1031"/>
                    <pic:cNvPicPr/>
                  </pic:nvPicPr>
                  <pic:blipFill>
                    <a:blip r:embed="rId689"/>
                    <a:stretch>
                      <a:fillRect/>
                    </a:stretch>
                  </pic:blipFill>
                  <pic:spPr>
                    <a:xfrm>
                      <a:off x="0" y="0"/>
                      <a:ext cx="615950" cy="621665"/>
                    </a:xfrm>
                    <a:prstGeom prst="rect">
                      <a:avLst/>
                    </a:prstGeom>
                  </pic:spPr>
                </pic:pic>
              </a:graphicData>
            </a:graphic>
          </wp:anchor>
        </w:drawing>
      </w:r>
      <w:r>
        <w:rPr>
          <w:color w:val="000000"/>
          <w:spacing w:val="0"/>
          <w:w w:val="100"/>
          <w:position w:val="0"/>
        </w:rPr>
        <w:t>青海省大柴旦大华化工有限公司与江苏绿陵润发化工有限公司买 卖合同纠纷案丨最高人民法院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民二终字第</w:t>
      </w:r>
      <w:r>
        <w:rPr>
          <w:rFonts w:ascii="Times New Roman" w:hAnsi="Times New Roman" w:eastAsia="Times New Roman" w:cs="Times New Roman"/>
          <w:color w:val="000000"/>
          <w:spacing w:val="0"/>
          <w:w w:val="100"/>
          <w:position w:val="0"/>
          <w:sz w:val="19"/>
          <w:szCs w:val="19"/>
        </w:rPr>
        <w:t>91</w:t>
      </w:r>
      <w:r>
        <w:rPr>
          <w:color w:val="000000"/>
          <w:spacing w:val="0"/>
          <w:w w:val="100"/>
          <w:position w:val="0"/>
        </w:rPr>
        <w:t>号民事判决 书</w:t>
      </w:r>
    </w:p>
    <w:p w14:paraId="65395635">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程坦</w:t>
      </w:r>
      <w:r>
        <w:rPr>
          <w:color w:val="000000"/>
          <w:spacing w:val="0"/>
          <w:w w:val="100"/>
          <w:position w:val="0"/>
        </w:rPr>
        <w:t>浙江大学光华法学院</w:t>
      </w:r>
    </w:p>
    <w:p w14:paraId="578C7A02">
      <w:pPr>
        <w:pStyle w:val="11"/>
        <w:keepNext w:val="0"/>
        <w:keepLines w:val="0"/>
        <w:widowControl w:val="0"/>
        <w:shd w:val="clear" w:color="auto" w:fill="auto"/>
        <w:bidi w:val="0"/>
        <w:spacing w:before="0" w:after="80" w:line="347"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B79AD10">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大华公司与绿陵公司签订《供销合同》（以下称本合同），约定</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月至</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月，大华公司以每吨</w:t>
      </w:r>
      <w:r>
        <w:rPr>
          <w:rFonts w:ascii="Times New Roman" w:hAnsi="Times New Roman" w:eastAsia="Times New Roman" w:cs="Times New Roman"/>
          <w:color w:val="000000"/>
          <w:spacing w:val="0"/>
          <w:w w:val="100"/>
          <w:position w:val="0"/>
          <w:sz w:val="19"/>
          <w:szCs w:val="19"/>
        </w:rPr>
        <w:t>1850</w:t>
      </w:r>
      <w:r>
        <w:rPr>
          <w:color w:val="000000"/>
          <w:spacing w:val="0"/>
          <w:w w:val="100"/>
          <w:position w:val="0"/>
        </w:rPr>
        <w:t>元的价格每月向绿陵公司提供氯化钾</w:t>
      </w:r>
      <w:r>
        <w:rPr>
          <w:rFonts w:ascii="Times New Roman" w:hAnsi="Times New Roman" w:eastAsia="Times New Roman" w:cs="Times New Roman"/>
          <w:color w:val="000000"/>
          <w:spacing w:val="0"/>
          <w:w w:val="100"/>
          <w:position w:val="0"/>
          <w:sz w:val="19"/>
          <w:szCs w:val="19"/>
        </w:rPr>
        <w:t>1200</w:t>
      </w:r>
      <w:r>
        <w:rPr>
          <w:color w:val="000000"/>
          <w:spacing w:val="0"/>
          <w:w w:val="100"/>
          <w:position w:val="0"/>
        </w:rPr>
        <w:t>吨（共计</w:t>
      </w:r>
      <w:r>
        <w:rPr>
          <w:rFonts w:ascii="Times New Roman" w:hAnsi="Times New Roman" w:eastAsia="Times New Roman" w:cs="Times New Roman"/>
          <w:color w:val="000000"/>
          <w:spacing w:val="0"/>
          <w:w w:val="100"/>
          <w:position w:val="0"/>
          <w:sz w:val="19"/>
          <w:szCs w:val="19"/>
        </w:rPr>
        <w:t xml:space="preserve">12,000 </w:t>
      </w:r>
      <w:r>
        <w:rPr>
          <w:color w:val="000000"/>
          <w:spacing w:val="0"/>
          <w:w w:val="100"/>
          <w:position w:val="0"/>
        </w:rPr>
        <w:t>吨）</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 xml:space="preserve">本合同签订后，因大华公司收到货款后未能按照约定履行供货义务，绿陵公司分别于 </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日以每吨</w:t>
      </w:r>
      <w:r>
        <w:rPr>
          <w:rFonts w:ascii="Times New Roman" w:hAnsi="Times New Roman" w:eastAsia="Times New Roman" w:cs="Times New Roman"/>
          <w:color w:val="000000"/>
          <w:spacing w:val="0"/>
          <w:w w:val="100"/>
          <w:position w:val="0"/>
          <w:sz w:val="19"/>
          <w:szCs w:val="19"/>
        </w:rPr>
        <w:t>2420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3300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3170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lang w:val="en-US" w:eastAsia="en-US" w:bidi="en-US"/>
        </w:rPr>
        <w:t>.3300</w:t>
      </w:r>
      <w:r>
        <w:rPr>
          <w:color w:val="000000"/>
          <w:spacing w:val="0"/>
          <w:w w:val="100"/>
          <w:position w:val="0"/>
        </w:rPr>
        <w:t>元 和</w:t>
      </w:r>
      <w:r>
        <w:rPr>
          <w:rFonts w:ascii="Times New Roman" w:hAnsi="Times New Roman" w:eastAsia="Times New Roman" w:cs="Times New Roman"/>
          <w:color w:val="000000"/>
          <w:spacing w:val="0"/>
          <w:w w:val="100"/>
          <w:position w:val="0"/>
          <w:sz w:val="19"/>
          <w:szCs w:val="19"/>
        </w:rPr>
        <w:t>3700</w:t>
      </w:r>
      <w:r>
        <w:rPr>
          <w:color w:val="000000"/>
          <w:spacing w:val="0"/>
          <w:w w:val="100"/>
          <w:position w:val="0"/>
        </w:rPr>
        <w:t>元的价格从他处购入氯化钾共计</w:t>
      </w:r>
      <w:r>
        <w:rPr>
          <w:rFonts w:ascii="Times New Roman" w:hAnsi="Times New Roman" w:eastAsia="Times New Roman" w:cs="Times New Roman"/>
          <w:color w:val="000000"/>
          <w:spacing w:val="0"/>
          <w:w w:val="100"/>
          <w:position w:val="0"/>
          <w:sz w:val="19"/>
          <w:szCs w:val="19"/>
        </w:rPr>
        <w:t>13, 862</w:t>
      </w:r>
      <w:r>
        <w:rPr>
          <w:color w:val="000000"/>
          <w:spacing w:val="0"/>
          <w:w w:val="100"/>
          <w:position w:val="0"/>
        </w:rPr>
        <w:t>吨。</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日，大华公司以设备及 工艺的原因无法履行合同为由，向绿陵公司发函要求解除本合同。同年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日，大华公 司向绿陵公司发函，提出解决双方之间履行合同的意见,但双方未达成协议。最终,大华公 司起诉至一审法院请求解除本合同。绿陵公司提起反诉,请求大华公司承担继续履行合同 的义务，支付迟延履行的违约金</w:t>
      </w:r>
      <w:r>
        <w:rPr>
          <w:rFonts w:ascii="Times New Roman" w:hAnsi="Times New Roman" w:eastAsia="Times New Roman" w:cs="Times New Roman"/>
          <w:color w:val="000000"/>
          <w:spacing w:val="0"/>
          <w:w w:val="100"/>
          <w:position w:val="0"/>
          <w:sz w:val="19"/>
          <w:szCs w:val="19"/>
          <w:lang w:val="en-US" w:eastAsia="en-US" w:bidi="en-US"/>
        </w:rPr>
        <w:t>610.5</w:t>
      </w:r>
      <w:r>
        <w:rPr>
          <w:color w:val="000000"/>
          <w:spacing w:val="0"/>
          <w:w w:val="100"/>
          <w:position w:val="0"/>
        </w:rPr>
        <w:t xml:space="preserve">万元，赔偿绿陵公司从他处高价购买货物的价格损失 </w:t>
      </w:r>
      <w:r>
        <w:rPr>
          <w:rFonts w:ascii="Times New Roman" w:hAnsi="Times New Roman" w:eastAsia="Times New Roman" w:cs="Times New Roman"/>
          <w:color w:val="000000"/>
          <w:spacing w:val="0"/>
          <w:w w:val="100"/>
          <w:position w:val="0"/>
          <w:sz w:val="19"/>
          <w:szCs w:val="19"/>
        </w:rPr>
        <w:t>1320</w:t>
      </w:r>
      <w:r>
        <w:rPr>
          <w:color w:val="000000"/>
          <w:spacing w:val="0"/>
          <w:w w:val="100"/>
          <w:position w:val="0"/>
        </w:rPr>
        <w:t>万元，并由大华公司负担诉讼费用。</w:t>
      </w:r>
    </w:p>
    <w:p w14:paraId="34CAE8BB">
      <w:pPr>
        <w:pStyle w:val="17"/>
        <w:keepNext w:val="0"/>
        <w:keepLines w:val="0"/>
        <w:widowControl w:val="0"/>
        <w:shd w:val="clear" w:color="auto" w:fill="auto"/>
        <w:bidi w:val="0"/>
        <w:spacing w:before="0" w:after="360" w:line="351" w:lineRule="exact"/>
        <w:ind w:left="0" w:right="0" w:firstLine="420"/>
        <w:jc w:val="both"/>
      </w:pPr>
      <w:r>
        <w:rPr>
          <w:color w:val="000000"/>
          <w:spacing w:val="0"/>
          <w:w w:val="100"/>
          <w:position w:val="0"/>
        </w:rPr>
        <w:t>一审法院以本合同已超过履行期限且大华公司表示自愿承担违约责任，维持合同关系 没有实际意义为由，认定本合同解除。又绿陵公司在与他人签订第一份替代合同时已经发 现氯化钾的市场价格上涨,并对大华公司不履行合同的原因已经预见，绿陵公司根据原《合 同法》第</w:t>
      </w:r>
      <w:r>
        <w:rPr>
          <w:rFonts w:ascii="Times New Roman" w:hAnsi="Times New Roman" w:eastAsia="Times New Roman" w:cs="Times New Roman"/>
          <w:color w:val="000000"/>
          <w:spacing w:val="0"/>
          <w:w w:val="100"/>
          <w:position w:val="0"/>
          <w:sz w:val="19"/>
          <w:szCs w:val="19"/>
        </w:rPr>
        <w:t>119</w:t>
      </w:r>
      <w:r>
        <w:rPr>
          <w:color w:val="000000"/>
          <w:spacing w:val="0"/>
          <w:w w:val="100"/>
          <w:position w:val="0"/>
        </w:rPr>
        <w:t>条负有防止损失扩大的义务。因此，大华公司应在约定的违约金之外，再以本 合同价格与第一份替代合同价格的差价</w:t>
      </w:r>
      <w:r>
        <w:rPr>
          <w:rFonts w:ascii="Times New Roman" w:hAnsi="Times New Roman" w:eastAsia="Times New Roman" w:cs="Times New Roman"/>
          <w:color w:val="000000"/>
          <w:spacing w:val="0"/>
          <w:w w:val="100"/>
          <w:position w:val="0"/>
          <w:sz w:val="19"/>
          <w:szCs w:val="19"/>
          <w:lang w:val="en-US" w:eastAsia="en-US" w:bidi="en-US"/>
        </w:rPr>
        <w:t>（2420 -1840 =580</w:t>
      </w:r>
      <w:r>
        <w:rPr>
          <w:color w:val="000000"/>
          <w:spacing w:val="0"/>
          <w:w w:val="100"/>
          <w:position w:val="0"/>
        </w:rPr>
        <w:t>元）为标准，乘以本合同货物总 量</w:t>
      </w:r>
      <w:r>
        <w:rPr>
          <w:rFonts w:ascii="Times New Roman" w:hAnsi="Times New Roman" w:eastAsia="Times New Roman" w:cs="Times New Roman"/>
          <w:color w:val="000000"/>
          <w:spacing w:val="0"/>
          <w:w w:val="100"/>
          <w:position w:val="0"/>
          <w:sz w:val="19"/>
          <w:szCs w:val="19"/>
        </w:rPr>
        <w:t>12,000</w:t>
      </w:r>
      <w:r>
        <w:rPr>
          <w:color w:val="000000"/>
          <w:spacing w:val="0"/>
          <w:w w:val="100"/>
          <w:position w:val="0"/>
        </w:rPr>
        <w:t>吨，向绿陵公司赔偿损失</w:t>
      </w:r>
      <w:r>
        <w:rPr>
          <w:rFonts w:ascii="Times New Roman" w:hAnsi="Times New Roman" w:eastAsia="Times New Roman" w:cs="Times New Roman"/>
          <w:color w:val="000000"/>
          <w:spacing w:val="0"/>
          <w:w w:val="100"/>
          <w:position w:val="0"/>
          <w:sz w:val="19"/>
          <w:szCs w:val="19"/>
        </w:rPr>
        <w:t>684</w:t>
      </w:r>
      <w:r>
        <w:rPr>
          <w:color w:val="000000"/>
          <w:spacing w:val="0"/>
          <w:w w:val="100"/>
          <w:position w:val="0"/>
        </w:rPr>
        <w:t>万元。大华公司不服一审判决提起上诉，理由为一 审判决计算赔偿的起止时间有误。</w:t>
      </w:r>
    </w:p>
    <w:p w14:paraId="43F51C6E">
      <w:pPr>
        <w:pStyle w:val="11"/>
        <w:keepNext w:val="0"/>
        <w:keepLines w:val="0"/>
        <w:widowControl w:val="0"/>
        <w:shd w:val="clear" w:color="auto" w:fill="auto"/>
        <w:bidi w:val="0"/>
        <w:spacing w:before="0" w:after="240" w:line="347"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49F4FCD4">
      <w:pPr>
        <w:pStyle w:val="17"/>
        <w:keepNext w:val="0"/>
        <w:keepLines w:val="0"/>
        <w:widowControl w:val="0"/>
        <w:shd w:val="clear" w:color="auto" w:fill="auto"/>
        <w:bidi w:val="0"/>
        <w:spacing w:before="0" w:after="0" w:line="240" w:lineRule="auto"/>
        <w:ind w:left="0" w:right="0" w:firstLine="420"/>
        <w:jc w:val="both"/>
      </w:pPr>
      <w:r>
        <w:rPr>
          <w:color w:val="000000"/>
          <w:spacing w:val="0"/>
          <w:w w:val="100"/>
          <w:position w:val="0"/>
        </w:rPr>
        <w:t>驳回上诉，维持原判。</w:t>
      </w:r>
    </w:p>
    <w:p w14:paraId="52BD2A6E">
      <w:pPr>
        <w:pStyle w:val="17"/>
        <w:keepNext w:val="0"/>
        <w:keepLines w:val="0"/>
        <w:widowControl w:val="0"/>
        <w:shd w:val="clear" w:color="auto" w:fill="auto"/>
        <w:bidi w:val="0"/>
        <w:spacing w:before="0" w:after="360" w:line="352" w:lineRule="exact"/>
        <w:ind w:left="0" w:right="0" w:firstLine="420"/>
        <w:jc w:val="both"/>
        <w:sectPr>
          <w:footnotePr>
            <w:numFmt w:val="chicago"/>
          </w:footnotePr>
          <w:type w:val="continuous"/>
          <w:pgSz w:w="10099" w:h="14782"/>
          <w:pgMar w:top="1322" w:right="1072" w:bottom="1096" w:left="1019" w:header="894" w:footer="668" w:gutter="0"/>
          <w:cols w:space="720" w:num="1"/>
          <w:rtlGutter w:val="0"/>
          <w:docGrid w:linePitch="360" w:charSpace="0"/>
        </w:sectPr>
      </w:pPr>
      <w:r>
        <w:rPr>
          <w:color w:val="000000"/>
          <w:spacing w:val="0"/>
          <w:w w:val="100"/>
          <w:position w:val="0"/>
        </w:rPr>
        <w:t>大华公司无正当理由不履行合同约定的供销</w:t>
      </w:r>
      <w:r>
        <w:rPr>
          <w:rFonts w:ascii="Times New Roman" w:hAnsi="Times New Roman" w:eastAsia="Times New Roman" w:cs="Times New Roman"/>
          <w:color w:val="000000"/>
          <w:spacing w:val="0"/>
          <w:w w:val="100"/>
          <w:position w:val="0"/>
          <w:sz w:val="19"/>
          <w:szCs w:val="19"/>
        </w:rPr>
        <w:t>12,000</w:t>
      </w:r>
      <w:r>
        <w:rPr>
          <w:color w:val="000000"/>
          <w:spacing w:val="0"/>
          <w:w w:val="100"/>
          <w:position w:val="0"/>
        </w:rPr>
        <w:t>吨氯化钾的义务，导致绿陵公司只 能以更高的价格从他处购买氯化钾，从而造成经济损失，对此大华公司理应承担赔偿责任。 一审法院以大华公司未履行的供货数量</w:t>
      </w:r>
      <w:r>
        <w:rPr>
          <w:rFonts w:ascii="Times New Roman" w:hAnsi="Times New Roman" w:eastAsia="Times New Roman" w:cs="Times New Roman"/>
          <w:color w:val="000000"/>
          <w:spacing w:val="0"/>
          <w:w w:val="100"/>
          <w:position w:val="0"/>
          <w:sz w:val="19"/>
          <w:szCs w:val="19"/>
        </w:rPr>
        <w:t>12,000</w:t>
      </w:r>
      <w:r>
        <w:rPr>
          <w:color w:val="000000"/>
          <w:spacing w:val="0"/>
          <w:w w:val="100"/>
          <w:position w:val="0"/>
        </w:rPr>
        <w:t xml:space="preserve">吨为基础，根据合同约定价格与绿陵公司从 </w:t>
      </w:r>
    </w:p>
    <w:p w14:paraId="1D9C3FD2">
      <w:pPr>
        <w:pStyle w:val="17"/>
        <w:keepNext w:val="0"/>
        <w:keepLines w:val="0"/>
        <w:widowControl w:val="0"/>
        <w:shd w:val="clear" w:color="auto" w:fill="auto"/>
        <w:bidi w:val="0"/>
        <w:spacing w:before="0" w:after="360" w:line="352" w:lineRule="exact"/>
        <w:ind w:left="0" w:right="0" w:firstLine="0"/>
        <w:jc w:val="both"/>
      </w:pPr>
      <w:r>
        <w:rPr>
          <w:color w:val="000000"/>
          <w:spacing w:val="0"/>
          <w:w w:val="100"/>
          <w:position w:val="0"/>
        </w:rPr>
        <w:t>他人第一次购买氯化钾时的合同价格的差额，计算绿陵公司的经济损失，符合法律规定。</w:t>
      </w:r>
    </w:p>
    <w:p w14:paraId="38B02061">
      <w:pPr>
        <w:pStyle w:val="11"/>
        <w:keepNext w:val="0"/>
        <w:keepLines w:val="0"/>
        <w:widowControl w:val="0"/>
        <w:shd w:val="clear" w:color="auto" w:fill="auto"/>
        <w:bidi w:val="0"/>
        <w:spacing w:before="0" w:after="260" w:line="343" w:lineRule="exact"/>
        <w:ind w:left="0" w:right="0" w:firstLine="0"/>
        <w:jc w:val="both"/>
      </w:pPr>
      <w:r>
        <w:rPr>
          <w:color w:val="000000"/>
          <w:spacing w:val="0"/>
          <w:w w:val="100"/>
          <w:position w:val="0"/>
        </w:rPr>
        <w:t>■评析</w:t>
      </w:r>
    </w:p>
    <w:p w14:paraId="78A6FCF9">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0C285DB6">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本案中，买卖合同标的物的市场价格在合同签订后不断上涨，除约定的违约金外，买受 人在反诉中还请求出卖人赔偿因其不履行给付义务而从他处分</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次购入标的物所导致的合 同价格的差额损失。但原审法院并未完全采纳买受人的观点，而是认为买受人负有防止损 失扩大义务，因其在进行第一次替代交易时</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日）已经发现标的物市场价格上 涨，所以应以买受人进行第一次替代交易时的合同价格确定损失赔偿额，也即以买受人进 行第一次替代交易的时间为防止违约损失扩大的时间。最高人民法院（以下简称最高院） 支持了一审法院的判决。本案中，最高院将买受人</w:t>
      </w:r>
      <w:r>
        <w:rPr>
          <w:color w:val="000000"/>
          <w:spacing w:val="0"/>
          <w:w w:val="100"/>
          <w:position w:val="0"/>
          <w:lang w:val="zh-CN" w:eastAsia="zh-CN" w:bidi="zh-CN"/>
        </w:rPr>
        <w:t>“本应</w:t>
      </w:r>
      <w:r>
        <w:rPr>
          <w:color w:val="000000"/>
          <w:spacing w:val="0"/>
          <w:w w:val="100"/>
          <w:position w:val="0"/>
        </w:rPr>
        <w:t>进行替代交易的时点</w:t>
      </w:r>
      <w:r>
        <w:rPr>
          <w:color w:val="000000"/>
          <w:spacing w:val="0"/>
          <w:w w:val="100"/>
          <w:position w:val="0"/>
          <w:lang w:val="zh-CN" w:eastAsia="zh-CN" w:bidi="zh-CN"/>
        </w:rPr>
        <w:t>”作为</w:t>
      </w:r>
      <w:r>
        <w:rPr>
          <w:color w:val="000000"/>
          <w:spacing w:val="0"/>
          <w:w w:val="100"/>
          <w:position w:val="0"/>
        </w:rPr>
        <w:t>赔偿额 计算的标准时，对于作为减损规则之一的替代交易规则在损失赔偿额计算中的适用问题具 有重要的指导意义。</w:t>
      </w:r>
    </w:p>
    <w:p w14:paraId="281E035C">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减损义务与替代交易适用的规范及学理</w:t>
      </w:r>
    </w:p>
    <w:p w14:paraId="72C2EF6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所谓替代交易，是指在债务人不履行给付义务的情况下，债权人为获得与原合同标的 同种类的商品或服务而与他人缔结替代合同。替代交易是损害赔偿法中计算期待利益损 失赔偿的一种重要方法</w:t>
      </w:r>
      <w:r>
        <w:rPr>
          <w:color w:val="000000"/>
          <w:spacing w:val="0"/>
          <w:w w:val="100"/>
          <w:position w:val="0"/>
          <w:sz w:val="11"/>
          <w:szCs w:val="11"/>
        </w:rPr>
        <w:t>（孙良国：《期望损失赔偿的实现:替代交易的研究》，载《当代法学》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 xml:space="preserve">年第 </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rPr>
        <w:t>债权人将进行替代交易的不利后果转嫁给债务人的正当理由，除了债务人因合同拘 束力应赔偿债权人代替履行的损失外，还在于债权人通过进行替代交易可以减少自己的实 际损失，具有促进效益最大化的作用</w:t>
      </w:r>
      <w:r>
        <w:rPr>
          <w:color w:val="000000"/>
          <w:spacing w:val="0"/>
          <w:w w:val="100"/>
          <w:position w:val="0"/>
          <w:sz w:val="11"/>
          <w:szCs w:val="11"/>
        </w:rPr>
        <w:t>（张金海:《论作为违约损失赔偿计算方法的替代交易规则》， 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sz w:val="11"/>
          <w:szCs w:val="11"/>
        </w:rPr>
        <w:t>期）。</w:t>
      </w:r>
      <w:r>
        <w:rPr>
          <w:color w:val="000000"/>
          <w:spacing w:val="0"/>
          <w:w w:val="100"/>
          <w:position w:val="0"/>
        </w:rPr>
        <w:t>尽管标的具有可替代性的合同项下的债权人都有进行替代交易的 可能，但学界通常以动产买卖合同为模型对问题展开讨论。典型例子如，动产买卖合同标 的物的市场价格在债务人违约后发生变动的,若债权人能够合理地在市场上进行替代交 易，此时标的物价格损失如何计算。</w:t>
      </w:r>
    </w:p>
    <w:p w14:paraId="5D365F24">
      <w:pPr>
        <w:pStyle w:val="17"/>
        <w:keepNext w:val="0"/>
        <w:keepLines w:val="0"/>
        <w:widowControl w:val="0"/>
        <w:shd w:val="clear" w:color="auto" w:fill="auto"/>
        <w:bidi w:val="0"/>
        <w:spacing w:before="0" w:after="260" w:line="343" w:lineRule="exact"/>
        <w:ind w:left="0" w:right="0" w:firstLine="420"/>
        <w:jc w:val="both"/>
      </w:pPr>
      <w:r>
        <w:rPr>
          <w:color w:val="000000"/>
          <w:spacing w:val="0"/>
          <w:w w:val="100"/>
          <w:position w:val="0"/>
        </w:rPr>
        <w:t>在以替代交易为前提计算动产买卖合同标的物价格损失赔偿时，比较法上存在两种方 法:具体的计算方法和抽象的计算方法。如《联合国国际货物销售合同公约</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CISG）</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 xml:space="preserve">75 </w:t>
      </w:r>
      <w:r>
        <w:rPr>
          <w:color w:val="000000"/>
          <w:spacing w:val="0"/>
          <w:w w:val="100"/>
          <w:position w:val="0"/>
        </w:rPr>
        <w:t>条规定，合同解除后，若债权人在合理期间内以合理的方式实际上进行了替代交易的，则其 可以原合同与替代交易合同价格的差额为准请求损失赔偿，此为具体的计算方法。第</w:t>
      </w:r>
      <w:r>
        <w:rPr>
          <w:rFonts w:ascii="Times New Roman" w:hAnsi="Times New Roman" w:eastAsia="Times New Roman" w:cs="Times New Roman"/>
          <w:color w:val="000000"/>
          <w:spacing w:val="0"/>
          <w:w w:val="100"/>
          <w:position w:val="0"/>
          <w:sz w:val="19"/>
          <w:szCs w:val="19"/>
        </w:rPr>
        <w:t>76</w:t>
      </w:r>
      <w:r>
        <w:rPr>
          <w:color w:val="000000"/>
          <w:spacing w:val="0"/>
          <w:w w:val="100"/>
          <w:position w:val="0"/>
        </w:rPr>
        <w:t>条 规定,在合同已经解除且标的物存在市场价格的情况下，若债权人未根据第</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条实际进行 替代交易的,则其可以原合同价格和解除时标的物的市场价格的差额为准请求损失赔偿, 此为抽象的计算方法，也称市场价格规则。在同样采取市场价格规则的域外法中，与</w:t>
      </w:r>
      <w:r>
        <w:rPr>
          <w:rFonts w:ascii="Times New Roman" w:hAnsi="Times New Roman" w:eastAsia="Times New Roman" w:cs="Times New Roman"/>
          <w:color w:val="000000"/>
          <w:spacing w:val="0"/>
          <w:w w:val="100"/>
          <w:position w:val="0"/>
          <w:sz w:val="19"/>
          <w:szCs w:val="19"/>
          <w:lang w:val="en-US" w:eastAsia="en-US" w:bidi="en-US"/>
        </w:rPr>
        <w:t xml:space="preserve">CISG </w:t>
      </w:r>
      <w:r>
        <w:rPr>
          <w:color w:val="000000"/>
          <w:spacing w:val="0"/>
          <w:w w:val="100"/>
          <w:position w:val="0"/>
        </w:rPr>
        <w:t>以</w:t>
      </w:r>
      <w:r>
        <w:rPr>
          <w:color w:val="000000"/>
          <w:spacing w:val="0"/>
          <w:w w:val="100"/>
          <w:position w:val="0"/>
          <w:lang w:val="zh-CN" w:eastAsia="zh-CN" w:bidi="zh-CN"/>
        </w:rPr>
        <w:t>“解除</w:t>
      </w:r>
      <w:r>
        <w:rPr>
          <w:color w:val="000000"/>
          <w:spacing w:val="0"/>
          <w:w w:val="100"/>
          <w:position w:val="0"/>
        </w:rPr>
        <w:t>时的市场价格</w:t>
      </w:r>
      <w:r>
        <w:rPr>
          <w:color w:val="000000"/>
          <w:spacing w:val="0"/>
          <w:w w:val="100"/>
          <w:position w:val="0"/>
          <w:lang w:val="zh-CN" w:eastAsia="zh-CN" w:bidi="zh-CN"/>
        </w:rPr>
        <w:t>”作</w:t>
      </w:r>
      <w:r>
        <w:rPr>
          <w:color w:val="000000"/>
          <w:spacing w:val="0"/>
          <w:w w:val="100"/>
          <w:position w:val="0"/>
        </w:rPr>
        <w:t>为赔偿额计算的基准不同，英国法以</w:t>
      </w:r>
      <w:r>
        <w:rPr>
          <w:color w:val="000000"/>
          <w:spacing w:val="0"/>
          <w:w w:val="100"/>
          <w:position w:val="0"/>
          <w:lang w:val="zh-CN" w:eastAsia="zh-CN" w:bidi="zh-CN"/>
        </w:rPr>
        <w:t>“债</w:t>
      </w:r>
      <w:r>
        <w:rPr>
          <w:color w:val="000000"/>
          <w:spacing w:val="0"/>
          <w:w w:val="100"/>
          <w:position w:val="0"/>
        </w:rPr>
        <w:t>务人违约时的市场价 格</w:t>
      </w:r>
      <w:r>
        <w:rPr>
          <w:color w:val="000000"/>
          <w:spacing w:val="0"/>
          <w:w w:val="100"/>
          <w:position w:val="0"/>
          <w:lang w:val="zh-CN" w:eastAsia="zh-CN" w:bidi="zh-CN"/>
        </w:rPr>
        <w:t>”、美</w:t>
      </w:r>
      <w:r>
        <w:rPr>
          <w:color w:val="000000"/>
          <w:spacing w:val="0"/>
          <w:w w:val="100"/>
          <w:position w:val="0"/>
        </w:rPr>
        <w:t>国法以</w:t>
      </w:r>
      <w:r>
        <w:rPr>
          <w:color w:val="000000"/>
          <w:spacing w:val="0"/>
          <w:w w:val="100"/>
          <w:position w:val="0"/>
          <w:lang w:val="zh-CN" w:eastAsia="zh-CN" w:bidi="zh-CN"/>
        </w:rPr>
        <w:t>“买</w:t>
      </w:r>
      <w:r>
        <w:rPr>
          <w:color w:val="000000"/>
          <w:spacing w:val="0"/>
          <w:w w:val="100"/>
          <w:position w:val="0"/>
        </w:rPr>
        <w:t>方知道卖方不履行时</w:t>
      </w:r>
      <w:r>
        <w:rPr>
          <w:color w:val="000000"/>
          <w:spacing w:val="0"/>
          <w:w w:val="100"/>
          <w:position w:val="0"/>
          <w:lang w:val="zh-CN" w:eastAsia="zh-CN" w:bidi="zh-CN"/>
        </w:rPr>
        <w:t>”或“买方</w:t>
      </w:r>
      <w:r>
        <w:rPr>
          <w:color w:val="000000"/>
          <w:spacing w:val="0"/>
          <w:w w:val="100"/>
          <w:position w:val="0"/>
        </w:rPr>
        <w:t>违约的情况下卖方交付时的市场价格”作 为赔偿额计算的基准。</w:t>
      </w:r>
    </w:p>
    <w:p w14:paraId="3DFB7F59">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市场价格规则实际上以债权人负有进行替代交易的义务为前提。原因在于，其假定债 权人在解除合同时或知道债务人不履行时等时点能够进行替代交易以减轻违约造成的损 失。因此，市场交易规则是减损义务的具体体现。《民法典》第</w:t>
      </w:r>
      <w:r>
        <w:rPr>
          <w:rFonts w:ascii="Times New Roman" w:hAnsi="Times New Roman" w:eastAsia="Times New Roman" w:cs="Times New Roman"/>
          <w:color w:val="000000"/>
          <w:spacing w:val="0"/>
          <w:w w:val="100"/>
          <w:position w:val="0"/>
          <w:sz w:val="19"/>
          <w:szCs w:val="19"/>
        </w:rPr>
        <w:t>584</w:t>
      </w:r>
      <w:r>
        <w:rPr>
          <w:color w:val="000000"/>
          <w:spacing w:val="0"/>
          <w:w w:val="100"/>
          <w:position w:val="0"/>
        </w:rPr>
        <w:t>条规定了违约损失赔偿 的范围，其目的在于通过损失赔偿置债权人于原合同若正常履行时其将处于的地位。但 《民法典》第</w:t>
      </w:r>
      <w:r>
        <w:rPr>
          <w:rFonts w:ascii="Times New Roman" w:hAnsi="Times New Roman" w:eastAsia="Times New Roman" w:cs="Times New Roman"/>
          <w:color w:val="000000"/>
          <w:spacing w:val="0"/>
          <w:w w:val="100"/>
          <w:position w:val="0"/>
          <w:sz w:val="19"/>
          <w:szCs w:val="19"/>
        </w:rPr>
        <w:t>584</w:t>
      </w:r>
      <w:r>
        <w:rPr>
          <w:color w:val="000000"/>
          <w:spacing w:val="0"/>
          <w:w w:val="100"/>
          <w:position w:val="0"/>
        </w:rPr>
        <w:t>条之后并未如</w:t>
      </w:r>
      <w:r>
        <w:rPr>
          <w:rFonts w:ascii="Times New Roman" w:hAnsi="Times New Roman" w:eastAsia="Times New Roman" w:cs="Times New Roman"/>
          <w:color w:val="000000"/>
          <w:spacing w:val="0"/>
          <w:w w:val="100"/>
          <w:position w:val="0"/>
          <w:sz w:val="19"/>
          <w:szCs w:val="19"/>
          <w:lang w:val="en-US" w:eastAsia="en-US" w:bidi="en-US"/>
        </w:rPr>
        <w:t xml:space="preserve">CISG </w:t>
      </w:r>
      <w:r>
        <w:rPr>
          <w:color w:val="000000"/>
          <w:spacing w:val="0"/>
          <w:w w:val="100"/>
          <w:position w:val="0"/>
        </w:rPr>
        <w:t>一样另外设置类似第</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76</w:t>
      </w:r>
      <w:r>
        <w:rPr>
          <w:color w:val="000000"/>
          <w:spacing w:val="0"/>
          <w:w w:val="100"/>
          <w:position w:val="0"/>
        </w:rPr>
        <w:t>条的条款。因此， 尽管有学者主张以</w:t>
      </w:r>
      <w:r>
        <w:rPr>
          <w:color w:val="000000"/>
          <w:spacing w:val="0"/>
          <w:w w:val="100"/>
          <w:position w:val="0"/>
          <w:lang w:val="zh-CN" w:eastAsia="zh-CN" w:bidi="zh-CN"/>
        </w:rPr>
        <w:t>“债</w:t>
      </w:r>
      <w:r>
        <w:rPr>
          <w:color w:val="000000"/>
          <w:spacing w:val="0"/>
          <w:w w:val="100"/>
          <w:position w:val="0"/>
        </w:rPr>
        <w:t>权人知道违约的时点</w:t>
      </w:r>
      <w:r>
        <w:rPr>
          <w:color w:val="000000"/>
          <w:spacing w:val="0"/>
          <w:w w:val="100"/>
          <w:position w:val="0"/>
          <w:lang w:val="zh-CN" w:eastAsia="zh-CN" w:bidi="zh-CN"/>
        </w:rPr>
        <w:t>”或“</w:t>
      </w:r>
      <w:r>
        <w:rPr>
          <w:color w:val="000000"/>
          <w:spacing w:val="0"/>
          <w:w w:val="100"/>
          <w:position w:val="0"/>
        </w:rPr>
        <w:t>债权人采取减损措施的时点</w:t>
      </w:r>
      <w:r>
        <w:rPr>
          <w:color w:val="000000"/>
          <w:spacing w:val="0"/>
          <w:w w:val="100"/>
          <w:position w:val="0"/>
          <w:lang w:val="zh-CN" w:eastAsia="zh-CN" w:bidi="zh-CN"/>
        </w:rPr>
        <w:t>”的市</w:t>
      </w:r>
      <w:r>
        <w:rPr>
          <w:color w:val="000000"/>
          <w:spacing w:val="0"/>
          <w:w w:val="100"/>
          <w:position w:val="0"/>
        </w:rPr>
        <w:t>场价格 作为赔偿额计算的基准</w:t>
      </w:r>
      <w:r>
        <w:rPr>
          <w:color w:val="000000"/>
          <w:spacing w:val="0"/>
          <w:w w:val="100"/>
          <w:position w:val="0"/>
          <w:sz w:val="11"/>
          <w:szCs w:val="11"/>
        </w:rPr>
        <w:t>［李永军:《合同法》（第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232</w:t>
      </w:r>
      <w:r>
        <w:rPr>
          <w:color w:val="000000"/>
          <w:spacing w:val="0"/>
          <w:w w:val="100"/>
          <w:position w:val="0"/>
          <w:sz w:val="11"/>
          <w:szCs w:val="11"/>
        </w:rPr>
        <w:t>页］</w:t>
      </w:r>
      <w:r>
        <w:rPr>
          <w:color w:val="000000"/>
          <w:spacing w:val="0"/>
          <w:w w:val="100"/>
          <w:position w:val="0"/>
        </w:rPr>
        <w:t>，但对于动 产买卖合同标的物价格损失赔偿的计算问题，立法尚未明确我国在适用以替代交易为前提 的计算规则时，采何时点的市场价格作为计算基准。</w:t>
      </w:r>
    </w:p>
    <w:p w14:paraId="718DA7F0">
      <w:pPr>
        <w:pStyle w:val="33"/>
        <w:keepNext w:val="0"/>
        <w:keepLines w:val="0"/>
        <w:widowControl w:val="0"/>
        <w:shd w:val="clear" w:color="auto" w:fill="auto"/>
        <w:bidi w:val="0"/>
        <w:spacing w:before="0" w:after="0" w:line="342" w:lineRule="exact"/>
        <w:ind w:left="0" w:right="0" w:firstLine="420"/>
        <w:jc w:val="both"/>
      </w:pPr>
      <w:r>
        <w:rPr>
          <w:color w:val="000000"/>
          <w:spacing w:val="0"/>
          <w:w w:val="100"/>
          <w:position w:val="0"/>
          <w:sz w:val="18"/>
          <w:szCs w:val="18"/>
        </w:rPr>
        <w:t>此外，《民法典》第</w:t>
      </w:r>
      <w:r>
        <w:rPr>
          <w:rFonts w:ascii="Times New Roman" w:hAnsi="Times New Roman" w:eastAsia="Times New Roman" w:cs="Times New Roman"/>
          <w:color w:val="000000"/>
          <w:spacing w:val="0"/>
          <w:w w:val="100"/>
          <w:position w:val="0"/>
          <w:sz w:val="19"/>
          <w:szCs w:val="19"/>
        </w:rPr>
        <w:t>591</w:t>
      </w:r>
      <w:r>
        <w:rPr>
          <w:color w:val="000000"/>
          <w:spacing w:val="0"/>
          <w:w w:val="100"/>
          <w:position w:val="0"/>
          <w:sz w:val="18"/>
          <w:szCs w:val="18"/>
        </w:rPr>
        <w:t>条规定了债权人的防止损失扩大义务，债权人在债务人违约后 应当采取适当措施防止损失扩大，否则对于未釆取措施导致的扩大损失不得请求赔偿。多 数学者认为债权人缔结替代合同是减轻违约造成的损害的一种典型措施</w:t>
      </w:r>
      <w:r>
        <w:rPr>
          <w:color w:val="000000"/>
          <w:spacing w:val="0"/>
          <w:w w:val="100"/>
          <w:position w:val="0"/>
        </w:rPr>
        <w:t>［韩世远:《合同法总 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812</w:t>
      </w:r>
      <w:r>
        <w:rPr>
          <w:color w:val="000000"/>
          <w:spacing w:val="0"/>
          <w:w w:val="100"/>
          <w:position w:val="0"/>
        </w:rPr>
        <w:t>页；崔建远:《合同法》（第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 版，第</w:t>
      </w:r>
      <w:r>
        <w:rPr>
          <w:rFonts w:ascii="Times New Roman" w:hAnsi="Times New Roman" w:eastAsia="Times New Roman" w:cs="Times New Roman"/>
          <w:color w:val="000000"/>
          <w:spacing w:val="0"/>
          <w:w w:val="100"/>
          <w:position w:val="0"/>
          <w:sz w:val="17"/>
          <w:szCs w:val="17"/>
        </w:rPr>
        <w:t>382</w:t>
      </w:r>
      <w:r>
        <w:rPr>
          <w:color w:val="000000"/>
          <w:spacing w:val="0"/>
          <w:w w:val="100"/>
          <w:position w:val="0"/>
        </w:rPr>
        <w:t>页；朱广新:《合同法总则研究》（下册），中国人民大学出版社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720</w:t>
      </w:r>
      <w:r>
        <w:rPr>
          <w:color w:val="000000"/>
          <w:spacing w:val="0"/>
          <w:w w:val="100"/>
          <w:position w:val="0"/>
        </w:rPr>
        <w:t>页］。</w:t>
      </w:r>
      <w:r>
        <w:rPr>
          <w:color w:val="000000"/>
          <w:spacing w:val="0"/>
          <w:w w:val="100"/>
          <w:position w:val="0"/>
          <w:sz w:val="18"/>
          <w:szCs w:val="18"/>
        </w:rPr>
        <w:t>少数 学者认为，法律肯定债权人对于取得合同标的享有利益，但是并不要求其借助替代交易另 行取得相同标的</w:t>
      </w:r>
      <w:r>
        <w:rPr>
          <w:color w:val="000000"/>
          <w:spacing w:val="0"/>
          <w:w w:val="100"/>
          <w:position w:val="0"/>
        </w:rPr>
        <w:t>（张金海:《论作为违约损失赔偿计算方法的替代交易规则》，载《法学》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9 </w:t>
      </w:r>
      <w:r>
        <w:rPr>
          <w:color w:val="000000"/>
          <w:spacing w:val="0"/>
          <w:w w:val="100"/>
          <w:position w:val="0"/>
        </w:rPr>
        <w:t>期）。</w:t>
      </w:r>
      <w:r>
        <w:rPr>
          <w:color w:val="000000"/>
          <w:spacing w:val="0"/>
          <w:w w:val="100"/>
          <w:position w:val="0"/>
          <w:sz w:val="18"/>
          <w:szCs w:val="18"/>
        </w:rPr>
        <w:t>两种观点的根本分歧在于债权人进行替代交易是否以行使解除权为前提。如在多数 说中，有的学者认为缔结替代交易合同并不需要以解除合同为前提</w:t>
      </w:r>
      <w:r>
        <w:rPr>
          <w:color w:val="000000"/>
          <w:spacing w:val="0"/>
          <w:w w:val="100"/>
          <w:position w:val="0"/>
        </w:rPr>
        <w:t>［孙良国:《期望损失赔偿的 实现:替代交易的研究》，载《当代法学》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 xml:space="preserve">版），法律出版社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812</w:t>
      </w:r>
      <w:r>
        <w:rPr>
          <w:color w:val="000000"/>
          <w:spacing w:val="0"/>
          <w:w w:val="100"/>
          <w:position w:val="0"/>
        </w:rPr>
        <w:t>页］。</w:t>
      </w:r>
      <w:r>
        <w:rPr>
          <w:color w:val="000000"/>
          <w:spacing w:val="0"/>
          <w:w w:val="100"/>
          <w:position w:val="0"/>
          <w:sz w:val="18"/>
          <w:szCs w:val="18"/>
        </w:rPr>
        <w:t xml:space="preserve">有学者对此表示质疑，认为若债权人在未解除合同的情况下缔结替代 合同的，则在债务人反悔选择继续履行时，债权人将面临同时履行内容相同的两个合同的 </w:t>
      </w:r>
      <w:r>
        <w:rPr>
          <w:color w:val="000000"/>
          <w:spacing w:val="0"/>
          <w:w w:val="100"/>
          <w:position w:val="0"/>
        </w:rPr>
        <w:t>困境（罗发兴:《减损措施的类型及其合理性的判断准则一英美法和国际公约的启示》，载《东南司法 评论》</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年卷，第</w:t>
      </w:r>
      <w:r>
        <w:rPr>
          <w:rFonts w:ascii="Times New Roman" w:hAnsi="Times New Roman" w:eastAsia="Times New Roman" w:cs="Times New Roman"/>
          <w:color w:val="000000"/>
          <w:spacing w:val="0"/>
          <w:w w:val="100"/>
          <w:position w:val="0"/>
          <w:sz w:val="17"/>
          <w:szCs w:val="17"/>
        </w:rPr>
        <w:t>503</w:t>
      </w:r>
      <w:r>
        <w:rPr>
          <w:color w:val="000000"/>
          <w:spacing w:val="0"/>
          <w:w w:val="100"/>
          <w:position w:val="0"/>
        </w:rPr>
        <w:t>页）。</w:t>
      </w:r>
      <w:r>
        <w:rPr>
          <w:color w:val="000000"/>
          <w:spacing w:val="0"/>
          <w:w w:val="100"/>
          <w:position w:val="0"/>
          <w:sz w:val="18"/>
          <w:szCs w:val="18"/>
        </w:rPr>
        <w:t>质疑说与少数说的学者也承认在例外情形下，可以认可合同解除 前债权人进行的交易为替代交易</w:t>
      </w:r>
      <w:r>
        <w:rPr>
          <w:color w:val="000000"/>
          <w:spacing w:val="0"/>
          <w:w w:val="100"/>
          <w:position w:val="0"/>
        </w:rPr>
        <w:t>（罗发兴:《减损措施的类型及其合理性的判断准则——英美法和 国际公约的启示》，载《东南司法评论》</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年卷，第</w:t>
      </w:r>
      <w:r>
        <w:rPr>
          <w:rFonts w:ascii="Times New Roman" w:hAnsi="Times New Roman" w:eastAsia="Times New Roman" w:cs="Times New Roman"/>
          <w:color w:val="000000"/>
          <w:spacing w:val="0"/>
          <w:w w:val="100"/>
          <w:position w:val="0"/>
          <w:sz w:val="17"/>
          <w:szCs w:val="17"/>
        </w:rPr>
        <w:t>504</w:t>
      </w:r>
      <w:r>
        <w:rPr>
          <w:color w:val="000000"/>
          <w:spacing w:val="0"/>
          <w:w w:val="100"/>
          <w:position w:val="0"/>
        </w:rPr>
        <w:t>页；张金海:《论作为违约损失赔偿计算方法的 替代交易规则》，载《法学》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5ECCC72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事实上，我国法律在代替履行的损害赔偿的提起要件上与</w:t>
      </w:r>
      <w:r>
        <w:rPr>
          <w:rFonts w:ascii="Times New Roman" w:hAnsi="Times New Roman" w:eastAsia="Times New Roman" w:cs="Times New Roman"/>
          <w:color w:val="000000"/>
          <w:spacing w:val="0"/>
          <w:w w:val="100"/>
          <w:position w:val="0"/>
          <w:sz w:val="19"/>
          <w:szCs w:val="19"/>
          <w:lang w:val="en-US" w:eastAsia="en-US" w:bidi="en-US"/>
        </w:rPr>
        <w:t>CISG</w:t>
      </w:r>
      <w:r>
        <w:rPr>
          <w:color w:val="000000"/>
          <w:spacing w:val="0"/>
          <w:w w:val="100"/>
          <w:position w:val="0"/>
        </w:rPr>
        <w:t>和英美法的规定并不 相同。英美法在违约救济上以损害赔偿为原则，以特定履行为例外。</w:t>
      </w:r>
      <w:r>
        <w:rPr>
          <w:rFonts w:ascii="Times New Roman" w:hAnsi="Times New Roman" w:eastAsia="Times New Roman" w:cs="Times New Roman"/>
          <w:color w:val="000000"/>
          <w:spacing w:val="0"/>
          <w:w w:val="100"/>
          <w:position w:val="0"/>
          <w:sz w:val="19"/>
          <w:szCs w:val="19"/>
          <w:lang w:val="en-US" w:eastAsia="en-US" w:bidi="en-US"/>
        </w:rPr>
        <w:t>CISG</w:t>
      </w:r>
      <w:r>
        <w:rPr>
          <w:color w:val="000000"/>
          <w:spacing w:val="0"/>
          <w:w w:val="100"/>
          <w:position w:val="0"/>
        </w:rPr>
        <w:t>虽未明确规定提 起代替履行的损害赔偿必须事先解除合同，但第</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76</w:t>
      </w:r>
      <w:r>
        <w:rPr>
          <w:color w:val="000000"/>
          <w:spacing w:val="0"/>
          <w:w w:val="100"/>
          <w:position w:val="0"/>
        </w:rPr>
        <w:t>条的存在本身可推导出一个 结论，即在合同未解除时无法计算代替履行的损害赔偿。因此，在</w:t>
      </w:r>
      <w:r>
        <w:rPr>
          <w:rFonts w:ascii="Times New Roman" w:hAnsi="Times New Roman" w:eastAsia="Times New Roman" w:cs="Times New Roman"/>
          <w:color w:val="000000"/>
          <w:spacing w:val="0"/>
          <w:w w:val="100"/>
          <w:position w:val="0"/>
          <w:sz w:val="19"/>
          <w:szCs w:val="19"/>
          <w:lang w:val="en-US" w:eastAsia="en-US" w:bidi="en-US"/>
        </w:rPr>
        <w:t>CISG</w:t>
      </w:r>
      <w:r>
        <w:rPr>
          <w:color w:val="000000"/>
          <w:spacing w:val="0"/>
          <w:w w:val="100"/>
          <w:position w:val="0"/>
        </w:rPr>
        <w:t>和英美法中，债权 人在解除时等时点已经摆脱了原合同的拘束力,其进行替代交易不会因债务人的反悔而陷 入上述困境。反观我国，原《合同法》虽未明确规定代替履行的损害赔偿的提起要件，但学 界的主流观点为债权人拥有救济选择权,又因解除与代替履行的损害赔偿功能不同可得并 用，则债权人在替代交易后请求代替履行的损害赔偿时，除非其已经行使了解除权，否则仍 受到原合同的拘束，并未免除自己的对待给付义务。质疑说与少数说中的例外情形，则是 指债权人无须行使解除权就能从原合同的拘束力中解放的情况。因此，若以多数说为前 提，负有替代交易义务减轻损失的债权人若想免除对待给付义务，很多情况下需事先解除 合同。但解除合同对于债权人来说是权利而非义务。因此，我国法律若承认债权人负有进 行替代交易以减轻违约造成的损失的减损义务,还需进一步论证为何</w:t>
      </w:r>
      <w:r>
        <w:rPr>
          <w:color w:val="000000"/>
          <w:spacing w:val="0"/>
          <w:w w:val="100"/>
          <w:position w:val="0"/>
          <w:lang w:val="zh-CN" w:eastAsia="zh-CN" w:bidi="zh-CN"/>
        </w:rPr>
        <w:t>“债权</w:t>
      </w:r>
      <w:r>
        <w:rPr>
          <w:color w:val="000000"/>
          <w:spacing w:val="0"/>
          <w:w w:val="100"/>
          <w:position w:val="0"/>
        </w:rPr>
        <w:t>人负有义务及 时行使解除权</w:t>
      </w:r>
      <w:r>
        <w:rPr>
          <w:color w:val="000000"/>
          <w:spacing w:val="0"/>
          <w:w w:val="100"/>
          <w:position w:val="0"/>
          <w:lang w:val="zh-CN" w:eastAsia="zh-CN" w:bidi="zh-CN"/>
        </w:rPr>
        <w:t>”的</w:t>
      </w:r>
      <w:r>
        <w:rPr>
          <w:color w:val="000000"/>
          <w:spacing w:val="0"/>
          <w:w w:val="100"/>
          <w:position w:val="0"/>
        </w:rPr>
        <w:t>问题。</w:t>
      </w:r>
    </w:p>
    <w:p w14:paraId="078AA3D8">
      <w:pPr>
        <w:pStyle w:val="17"/>
        <w:keepNext w:val="0"/>
        <w:keepLines w:val="0"/>
        <w:widowControl w:val="0"/>
        <w:shd w:val="clear" w:color="auto" w:fill="auto"/>
        <w:bidi w:val="0"/>
        <w:spacing w:before="0" w:after="260" w:line="334" w:lineRule="exact"/>
        <w:ind w:left="0" w:right="0" w:firstLine="420"/>
        <w:jc w:val="both"/>
      </w:pPr>
      <w:r>
        <w:rPr>
          <w:color w:val="000000"/>
          <w:spacing w:val="0"/>
          <w:w w:val="100"/>
          <w:position w:val="0"/>
        </w:rPr>
        <w:t>综上所述,关于减损义务与替代交易适用的问题，我国法律没有明确规定，学说也比较 模糊。经过整理，大概推论存在以下观点</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在动产买卖合同标的物价格损失计算中，以 </w:t>
      </w:r>
      <w:r>
        <w:rPr>
          <w:color w:val="000000"/>
          <w:spacing w:val="0"/>
          <w:w w:val="100"/>
          <w:position w:val="0"/>
          <w:lang w:val="zh-CN" w:eastAsia="zh-CN" w:bidi="zh-CN"/>
        </w:rPr>
        <w:t>“债</w:t>
      </w:r>
      <w:r>
        <w:rPr>
          <w:color w:val="000000"/>
          <w:spacing w:val="0"/>
          <w:w w:val="100"/>
          <w:position w:val="0"/>
        </w:rPr>
        <w:t>权人知道违约的时点</w:t>
      </w:r>
      <w:r>
        <w:rPr>
          <w:color w:val="000000"/>
          <w:spacing w:val="0"/>
          <w:w w:val="100"/>
          <w:position w:val="0"/>
          <w:lang w:val="zh-CN" w:eastAsia="zh-CN" w:bidi="zh-CN"/>
        </w:rPr>
        <w:t>”或“债权</w:t>
      </w:r>
      <w:r>
        <w:rPr>
          <w:color w:val="000000"/>
          <w:spacing w:val="0"/>
          <w:w w:val="100"/>
          <w:position w:val="0"/>
        </w:rPr>
        <w:t>人釆取减损措施的时点”的市场价格作为赔偿额计算的 基准。</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债权人负有及时行使解除权并进行替代交易以减轻违约造成损失的减损义务。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）债权人虽无（</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）中的义务，但在合同解除后（或债务人履行不能时等债权人无需行使解 除权即能摆脱原合同拘束力的例外情况），债权人有义务进行替代交易以减轻损失。从本 案的判决来看，因债务人明确表明无能力继续履行给付义务,债权人进行替代交易无须事 先行使解除权，其处理更接近第三种观点。</w:t>
      </w:r>
    </w:p>
    <w:p w14:paraId="0EB5E07E">
      <w:pPr>
        <w:pStyle w:val="17"/>
        <w:keepNext w:val="0"/>
        <w:keepLines w:val="0"/>
        <w:widowControl w:val="0"/>
        <w:shd w:val="clear" w:color="auto" w:fill="auto"/>
        <w:bidi w:val="0"/>
        <w:spacing w:before="0" w:after="4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1D488477">
      <w:pPr>
        <w:pStyle w:val="17"/>
        <w:keepNext w:val="0"/>
        <w:keepLines w:val="0"/>
        <w:widowControl w:val="0"/>
        <w:shd w:val="clear" w:color="auto" w:fill="auto"/>
        <w:bidi w:val="0"/>
        <w:spacing w:before="0" w:after="0" w:line="330" w:lineRule="exact"/>
        <w:ind w:left="0" w:right="0" w:firstLine="420"/>
        <w:jc w:val="both"/>
      </w:pPr>
      <w:r>
        <w:rPr>
          <w:color w:val="000000"/>
          <w:spacing w:val="0"/>
          <w:w w:val="100"/>
          <w:position w:val="0"/>
        </w:rPr>
        <w:t>在我国司法审判实践中，有关减损义务与替代交易适用的案例主要集中在下级法院， 且处理结果超岀了本判决所涵摄的范围。概言之，相关案例中下级法院的处理更接近第二 种观点。</w:t>
      </w:r>
    </w:p>
    <w:p w14:paraId="1D7D4F11">
      <w:pPr>
        <w:pStyle w:val="17"/>
        <w:keepNext w:val="0"/>
        <w:keepLines w:val="0"/>
        <w:widowControl w:val="0"/>
        <w:shd w:val="clear" w:color="auto" w:fill="auto"/>
        <w:bidi w:val="0"/>
        <w:spacing w:before="0" w:after="0" w:line="330" w:lineRule="exact"/>
        <w:ind w:left="0" w:right="0" w:firstLine="420"/>
        <w:jc w:val="both"/>
        <w:rPr>
          <w:sz w:val="11"/>
          <w:szCs w:val="11"/>
        </w:rPr>
      </w:pPr>
      <w:r>
        <w:rPr>
          <w:color w:val="000000"/>
          <w:spacing w:val="0"/>
          <w:w w:val="100"/>
          <w:position w:val="0"/>
          <w:sz w:val="18"/>
          <w:szCs w:val="18"/>
        </w:rPr>
        <w:t>接近第二种观点的判决主要集中于不动产租赁合同或承包经营合同纠纷中。如承租 人或承包方中途违约请求解除合同，出租人或发包方虽坚持请求履行，但最终选择解除合 同并请求到解除日为止违约方未支付的租金或承包费。此种情况下,有法院以出租人或发 包方未及时解除合同造成损失扩大为由，对其请求的租金或承包费进行减额。法院的处理 事实上对出租人或发包方课以及时行使解除权的义务,且未考虑其能否在市场上进行替代 交易。相关案例主要有</w:t>
      </w:r>
      <w:r>
        <w:rPr>
          <w:color w:val="000000"/>
          <w:spacing w:val="0"/>
          <w:w w:val="100"/>
          <w:position w:val="0"/>
          <w:sz w:val="18"/>
          <w:szCs w:val="18"/>
          <w:lang w:val="zh-CN" w:eastAsia="zh-CN" w:bidi="zh-CN"/>
        </w:rPr>
        <w:t>“蔡德</w:t>
      </w:r>
      <w:r>
        <w:rPr>
          <w:color w:val="000000"/>
          <w:spacing w:val="0"/>
          <w:w w:val="100"/>
          <w:position w:val="0"/>
          <w:sz w:val="18"/>
          <w:szCs w:val="18"/>
        </w:rPr>
        <w:t>志与曾新案”</w:t>
      </w:r>
      <w:r>
        <w:rPr>
          <w:color w:val="000000"/>
          <w:spacing w:val="0"/>
          <w:w w:val="100"/>
          <w:position w:val="0"/>
          <w:sz w:val="11"/>
          <w:szCs w:val="11"/>
        </w:rPr>
        <w:t>［中山市中级人民法院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中法民一终字第</w:t>
      </w:r>
      <w:r>
        <w:rPr>
          <w:rFonts w:ascii="Times New Roman" w:hAnsi="Times New Roman" w:eastAsia="Times New Roman" w:cs="Times New Roman"/>
          <w:color w:val="000000"/>
          <w:spacing w:val="0"/>
          <w:w w:val="100"/>
          <w:position w:val="0"/>
          <w:sz w:val="17"/>
          <w:szCs w:val="17"/>
        </w:rPr>
        <w:t>454</w:t>
      </w:r>
      <w:r>
        <w:rPr>
          <w:color w:val="000000"/>
          <w:spacing w:val="0"/>
          <w:w w:val="100"/>
          <w:position w:val="0"/>
          <w:sz w:val="11"/>
          <w:szCs w:val="11"/>
        </w:rPr>
        <w:t>号 民事判决书］等。</w:t>
      </w:r>
    </w:p>
    <w:p w14:paraId="23FD8300">
      <w:pPr>
        <w:pStyle w:val="17"/>
        <w:keepNext w:val="0"/>
        <w:keepLines w:val="0"/>
        <w:widowControl w:val="0"/>
        <w:shd w:val="clear" w:color="auto" w:fill="auto"/>
        <w:bidi w:val="0"/>
        <w:spacing w:before="0" w:after="0" w:line="330" w:lineRule="exact"/>
        <w:ind w:left="0" w:right="0" w:firstLine="420"/>
        <w:jc w:val="both"/>
        <w:rPr>
          <w:sz w:val="11"/>
          <w:szCs w:val="11"/>
        </w:rPr>
      </w:pPr>
      <w:r>
        <w:rPr>
          <w:color w:val="000000"/>
          <w:spacing w:val="0"/>
          <w:w w:val="100"/>
          <w:position w:val="0"/>
          <w:sz w:val="18"/>
          <w:szCs w:val="18"/>
        </w:rPr>
        <w:t>此外，动产买卖合同纠纷中也存在接近第二种观点的判决。如标的物的市场价格在买 受人违约后不断下降，出卖人最终解除合同，并以解除后某日标的物的市场价格与原合同 价格的差额为基准请求损失赔偿。有法院判定此种情况下的出卖人未及时解除合同造成 损失扩大，认为应以实际解除合同日之前的某日也即“应当解除合同日”的市场价格为基准 计算标的物的价格损失。相关案例有</w:t>
      </w:r>
      <w:r>
        <w:rPr>
          <w:color w:val="000000"/>
          <w:spacing w:val="0"/>
          <w:w w:val="100"/>
          <w:position w:val="0"/>
          <w:sz w:val="18"/>
          <w:szCs w:val="18"/>
          <w:lang w:val="zh-CN" w:eastAsia="zh-CN" w:bidi="zh-CN"/>
        </w:rPr>
        <w:t>“无</w:t>
      </w:r>
      <w:r>
        <w:rPr>
          <w:color w:val="000000"/>
          <w:spacing w:val="0"/>
          <w:w w:val="100"/>
          <w:position w:val="0"/>
          <w:sz w:val="18"/>
          <w:szCs w:val="18"/>
        </w:rPr>
        <w:t xml:space="preserve">锡圣恩铜业有限公司与宜兴市华鼎铜业有限公司 </w:t>
      </w:r>
      <w:r>
        <w:rPr>
          <w:color w:val="000000"/>
          <w:spacing w:val="0"/>
          <w:w w:val="100"/>
          <w:position w:val="0"/>
          <w:sz w:val="11"/>
          <w:szCs w:val="11"/>
        </w:rPr>
        <w:t>案</w:t>
      </w:r>
      <w:r>
        <w:rPr>
          <w:color w:val="000000"/>
          <w:spacing w:val="0"/>
          <w:w w:val="100"/>
          <w:position w:val="0"/>
          <w:sz w:val="11"/>
          <w:szCs w:val="11"/>
          <w:lang w:val="zh-CN" w:eastAsia="zh-CN" w:bidi="zh-CN"/>
        </w:rPr>
        <w:t>”［无</w:t>
      </w:r>
      <w:r>
        <w:rPr>
          <w:color w:val="000000"/>
          <w:spacing w:val="0"/>
          <w:w w:val="100"/>
          <w:position w:val="0"/>
          <w:sz w:val="11"/>
          <w:szCs w:val="11"/>
        </w:rPr>
        <w:t>锡市中级人民法院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锡上终字第</w:t>
      </w:r>
      <w:r>
        <w:rPr>
          <w:rFonts w:ascii="Times New Roman" w:hAnsi="Times New Roman" w:eastAsia="Times New Roman" w:cs="Times New Roman"/>
          <w:color w:val="000000"/>
          <w:spacing w:val="0"/>
          <w:w w:val="100"/>
          <w:position w:val="0"/>
          <w:sz w:val="17"/>
          <w:szCs w:val="17"/>
        </w:rPr>
        <w:t>0777</w:t>
      </w:r>
      <w:r>
        <w:rPr>
          <w:color w:val="000000"/>
          <w:spacing w:val="0"/>
          <w:w w:val="100"/>
          <w:position w:val="0"/>
          <w:sz w:val="11"/>
          <w:szCs w:val="11"/>
        </w:rPr>
        <w:t>号民事判决书］等。</w:t>
      </w:r>
    </w:p>
    <w:p w14:paraId="02A22A3C">
      <w:pPr>
        <w:pStyle w:val="17"/>
        <w:keepNext w:val="0"/>
        <w:keepLines w:val="0"/>
        <w:widowControl w:val="0"/>
        <w:shd w:val="clear" w:color="auto" w:fill="auto"/>
        <w:bidi w:val="0"/>
        <w:spacing w:before="0" w:after="260" w:line="334" w:lineRule="exact"/>
        <w:ind w:left="0" w:right="0" w:firstLine="420"/>
        <w:jc w:val="both"/>
      </w:pPr>
      <w:r>
        <w:rPr>
          <w:color w:val="000000"/>
          <w:spacing w:val="0"/>
          <w:w w:val="100"/>
          <w:position w:val="0"/>
        </w:rPr>
        <w:t>我国法院虽对于债权人进行替代交易是减轻损失的一种合理措施这点意见一致，但并 未明确债权人进行替代交易与其行使解除权之间的关系。因此，在对债权人课以进行替代 交易的减损义务时,是应限于本判决的情况，还是可将其扩大到下级法院判决的情况，目前 还不明确，尚需进一步论证。</w:t>
      </w:r>
    </w:p>
    <w:p w14:paraId="35E6795F">
      <w:pPr>
        <w:pStyle w:val="17"/>
        <w:keepNext w:val="0"/>
        <w:keepLines w:val="0"/>
        <w:widowControl w:val="0"/>
        <w:shd w:val="clear" w:color="auto" w:fill="auto"/>
        <w:bidi w:val="0"/>
        <w:spacing w:before="0" w:after="4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01DA3A3E">
      <w:pPr>
        <w:pStyle w:val="17"/>
        <w:keepNext w:val="0"/>
        <w:keepLines w:val="0"/>
        <w:widowControl w:val="0"/>
        <w:shd w:val="clear" w:color="auto" w:fill="auto"/>
        <w:bidi w:val="0"/>
        <w:spacing w:before="0" w:after="360" w:line="332" w:lineRule="exact"/>
        <w:ind w:left="0" w:right="0" w:firstLine="420"/>
        <w:jc w:val="both"/>
      </w:pPr>
      <w:r>
        <w:rPr>
          <w:color w:val="000000"/>
          <w:spacing w:val="0"/>
          <w:w w:val="100"/>
          <w:position w:val="0"/>
        </w:rPr>
        <w:t>在计算动产合同标的物价格损失时,本判决虽以履行期届满前的</w:t>
      </w:r>
      <w:r>
        <w:rPr>
          <w:color w:val="000000"/>
          <w:spacing w:val="0"/>
          <w:w w:val="100"/>
          <w:position w:val="0"/>
          <w:lang w:val="zh-CN" w:eastAsia="zh-CN" w:bidi="zh-CN"/>
        </w:rPr>
        <w:t>“本应</w:t>
      </w:r>
      <w:r>
        <w:rPr>
          <w:color w:val="000000"/>
          <w:spacing w:val="0"/>
          <w:w w:val="100"/>
          <w:position w:val="0"/>
        </w:rPr>
        <w:t>进行替代交易 时点</w:t>
      </w:r>
      <w:r>
        <w:rPr>
          <w:color w:val="000000"/>
          <w:spacing w:val="0"/>
          <w:w w:val="100"/>
          <w:position w:val="0"/>
          <w:lang w:val="zh-CN" w:eastAsia="zh-CN" w:bidi="zh-CN"/>
        </w:rPr>
        <w:t>”的市</w:t>
      </w:r>
      <w:r>
        <w:rPr>
          <w:color w:val="000000"/>
          <w:spacing w:val="0"/>
          <w:w w:val="100"/>
          <w:position w:val="0"/>
        </w:rPr>
        <w:t>场价格作为计算基准，但事实上并未对债权人课以及时行使解除权的义务。因 此，本判决仅在动产买卖合同标的物价格损失计算问题上，在未触及债权人是否有义务行 使解除权的范围内具有参考意义。尤其是在《民法典》第</w:t>
      </w:r>
      <w:r>
        <w:rPr>
          <w:rFonts w:ascii="Times New Roman" w:hAnsi="Times New Roman" w:eastAsia="Times New Roman" w:cs="Times New Roman"/>
          <w:color w:val="000000"/>
          <w:spacing w:val="0"/>
          <w:w w:val="100"/>
          <w:position w:val="0"/>
          <w:sz w:val="19"/>
          <w:szCs w:val="19"/>
          <w:lang w:val="en-US" w:eastAsia="en-US" w:bidi="en-US"/>
        </w:rPr>
        <w:t>584.591</w:t>
      </w:r>
      <w:r>
        <w:rPr>
          <w:color w:val="000000"/>
          <w:spacing w:val="0"/>
          <w:w w:val="100"/>
          <w:position w:val="0"/>
        </w:rPr>
        <w:t>条并未对合同法规则作 出根本改变的背景下，该判决的参考意义更是凸显。但本判决仍存在问题,如最高院在对 债权人课以替代交易义务时，并未详细论证要求债权人当时采取此措施是否具备合理性。 减损义务是诚实信用原则的具体表现，有进行替代交易可能性的债权人并非在所有情况下 都必须采取此种减损措施。因此，本案中最高院的处理显然欠缺考虑。另外，如前所述，在 损害赔偿的计算中，是否能对债权人课以及时行使解除权并进行替代交易的义务，可以作 为将来的课题进一步研究。</w:t>
      </w:r>
    </w:p>
    <w:p w14:paraId="6602E81A">
      <w:pPr>
        <w:pStyle w:val="11"/>
        <w:keepNext w:val="0"/>
        <w:keepLines w:val="0"/>
        <w:widowControl w:val="0"/>
        <w:shd w:val="clear" w:color="auto" w:fill="auto"/>
        <w:bidi w:val="0"/>
        <w:spacing w:before="0" w:after="60" w:line="340" w:lineRule="exact"/>
        <w:ind w:left="0" w:right="0" w:firstLine="0"/>
        <w:jc w:val="both"/>
      </w:pPr>
      <w:r>
        <w:rPr>
          <w:color w:val="000000"/>
          <w:spacing w:val="0"/>
          <w:w w:val="100"/>
          <w:position w:val="0"/>
        </w:rPr>
        <w:t>回参考文献</w:t>
      </w:r>
    </w:p>
    <w:p w14:paraId="2F98EF16">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孙良国：《期望损失赔偿的实现:替代交易的研究》，载《当代法学》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6C39703A">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张金海:《论作为违约损失赔偿计算方法的替代交易规则》，载《法学》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03D74C0B">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李永军:《合同法》（第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717CB2F5">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24E8B466">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崔建远:《合同法》（第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9CB1107">
      <w:pPr>
        <w:pStyle w:val="33"/>
        <w:keepNext w:val="0"/>
        <w:keepLines w:val="0"/>
        <w:widowControl w:val="0"/>
        <w:shd w:val="clear" w:color="auto" w:fill="auto"/>
        <w:bidi w:val="0"/>
        <w:spacing w:before="0" w:after="0" w:line="300" w:lineRule="exact"/>
        <w:ind w:left="0" w:right="0" w:firstLine="0"/>
        <w:jc w:val="both"/>
      </w:pPr>
      <w:r>
        <w:rPr>
          <w:color w:val="000000"/>
          <w:spacing w:val="0"/>
          <w:w w:val="100"/>
          <w:position w:val="0"/>
        </w:rPr>
        <w:t>朱广新:《合同法总则研究》（下册），中国人民大学出版社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7B908DB6">
      <w:pPr>
        <w:pStyle w:val="33"/>
        <w:keepNext w:val="0"/>
        <w:keepLines w:val="0"/>
        <w:widowControl w:val="0"/>
        <w:shd w:val="clear" w:color="auto" w:fill="auto"/>
        <w:bidi w:val="0"/>
        <w:spacing w:before="0" w:after="60" w:line="300" w:lineRule="exact"/>
        <w:ind w:left="180" w:right="0" w:hanging="180"/>
        <w:jc w:val="both"/>
        <w:sectPr>
          <w:headerReference r:id="rId445" w:type="default"/>
          <w:headerReference r:id="rId446" w:type="even"/>
          <w:footnotePr>
            <w:numFmt w:val="chicago"/>
          </w:footnotePr>
          <w:pgSz w:w="10099" w:h="14782"/>
          <w:pgMar w:top="1322" w:right="1072" w:bottom="1096" w:left="1019" w:header="0" w:footer="3" w:gutter="0"/>
          <w:pgNumType w:start="376"/>
          <w:cols w:space="720" w:num="1"/>
          <w:rtlGutter w:val="0"/>
          <w:docGrid w:linePitch="360" w:charSpace="0"/>
        </w:sectPr>
      </w:pPr>
      <w:r>
        <w:rPr>
          <w:color w:val="000000"/>
          <w:spacing w:val="0"/>
          <w:w w:val="100"/>
          <w:position w:val="0"/>
        </w:rPr>
        <w:t xml:space="preserve">罗发兴:《减损措施的类型及其合理性的判断准则——英美法和国际公约的启示》，载《东南司法评论》 </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年卷。</w:t>
      </w:r>
    </w:p>
    <w:p w14:paraId="4C13BC17">
      <w:pPr>
        <w:widowControl w:val="0"/>
        <w:spacing w:line="79" w:lineRule="exact"/>
        <w:rPr>
          <w:sz w:val="6"/>
          <w:szCs w:val="6"/>
        </w:rPr>
      </w:pPr>
    </w:p>
    <w:p w14:paraId="76B3DD60">
      <w:pPr>
        <w:widowControl w:val="0"/>
        <w:spacing w:line="1" w:lineRule="exact"/>
        <w:sectPr>
          <w:headerReference r:id="rId447" w:type="default"/>
          <w:headerReference r:id="rId448" w:type="even"/>
          <w:footnotePr>
            <w:numFmt w:val="chicago"/>
          </w:footnotePr>
          <w:pgSz w:w="10099" w:h="14782"/>
          <w:pgMar w:top="1254" w:right="994" w:bottom="1132" w:left="1100" w:header="0" w:footer="3" w:gutter="0"/>
          <w:pgNumType w:start="396"/>
          <w:cols w:space="720" w:num="1"/>
          <w:rtlGutter w:val="0"/>
          <w:docGrid w:linePitch="360" w:charSpace="0"/>
        </w:sectPr>
      </w:pPr>
    </w:p>
    <w:p w14:paraId="2B2D8047">
      <w:pPr>
        <w:widowControl w:val="0"/>
        <w:spacing w:line="1" w:lineRule="exact"/>
      </w:pPr>
      <w:r>
        <mc:AlternateContent>
          <mc:Choice Requires="wps">
            <w:drawing>
              <wp:anchor distT="0" distB="15240" distL="0" distR="0" simplePos="0" relativeHeight="251660288" behindDoc="0" locked="0" layoutInCell="1" allowOverlap="1">
                <wp:simplePos x="0" y="0"/>
                <wp:positionH relativeFrom="page">
                  <wp:posOffset>769620</wp:posOffset>
                </wp:positionH>
                <wp:positionV relativeFrom="paragraph">
                  <wp:posOffset>0</wp:posOffset>
                </wp:positionV>
                <wp:extent cx="449580" cy="304800"/>
                <wp:effectExtent l="0" t="0" r="0" b="0"/>
                <wp:wrapTopAndBottom/>
                <wp:docPr id="1037" name="Shape 103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51C1B7EA">
                            <w:pPr>
                              <w:pStyle w:val="27"/>
                              <w:keepNext/>
                              <w:keepLines/>
                              <w:widowControl w:val="0"/>
                              <w:shd w:val="clear" w:color="auto" w:fill="auto"/>
                              <w:bidi w:val="0"/>
                              <w:spacing w:before="0" w:after="0" w:line="240" w:lineRule="auto"/>
                              <w:ind w:left="0" w:right="0" w:firstLine="0"/>
                              <w:jc w:val="left"/>
                            </w:pPr>
                            <w:bookmarkStart w:id="546" w:name="bookmark471"/>
                            <w:bookmarkStart w:id="547" w:name="bookmark473"/>
                            <w:bookmarkStart w:id="548" w:name="bookmark472"/>
                            <w:r>
                              <w:rPr>
                                <w:rFonts w:ascii="Times New Roman" w:hAnsi="Times New Roman" w:eastAsia="Times New Roman" w:cs="Times New Roman"/>
                                <w:color w:val="000000"/>
                                <w:spacing w:val="0"/>
                                <w:w w:val="100"/>
                                <w:position w:val="0"/>
                              </w:rPr>
                              <w:t>077</w:t>
                            </w:r>
                            <w:bookmarkEnd w:id="546"/>
                            <w:bookmarkEnd w:id="547"/>
                            <w:bookmarkEnd w:id="548"/>
                          </w:p>
                        </w:txbxContent>
                      </wps:txbx>
                      <wps:bodyPr wrap="none" lIns="0" tIns="0" rIns="0" bIns="0">
                        <a:noAutofit/>
                      </wps:bodyPr>
                    </wps:wsp>
                  </a:graphicData>
                </a:graphic>
              </wp:anchor>
            </w:drawing>
          </mc:Choice>
          <mc:Fallback>
            <w:pict>
              <v:shape id="Shape 1037" o:spid="_x0000_s1026" o:spt="202" type="#_x0000_t202" style="position:absolute;left:0pt;margin-left:60.6pt;margin-top:0pt;height:24pt;width:35.4pt;mso-position-horizontal-relative:page;mso-wrap-distance-bottom:1.2pt;mso-wrap-distance-top:0pt;mso-wrap-style:none;z-index:251660288;mso-width-relative:page;mso-height-relative:page;" filled="f" stroked="f" coordsize="21600,21600" o:gfxdata="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D80b9MAAAAH&#10;AQAADwAAAAAAAAABACAAAAAiAAAAZHJzL2Rvd25yZXYueG1sUEsBAhQAFAAAAAgAh07iQJhP0P2v&#10;AQAAdQMAAA4AAAAAAAAAAQAgAAAAIgEAAGRycy9lMm9Eb2MueG1sUEsFBgAAAAAGAAYAWQEAAEMF&#10;AAAAAA==&#10;">
                <v:fill on="f" focussize="0,0"/>
                <v:stroke on="f"/>
                <v:imagedata o:title=""/>
                <o:lock v:ext="edit" aspectratio="f"/>
                <v:textbox inset="0mm,0mm,0mm,0mm">
                  <w:txbxContent>
                    <w:p w14:paraId="51C1B7EA">
                      <w:pPr>
                        <w:pStyle w:val="27"/>
                        <w:keepNext/>
                        <w:keepLines/>
                        <w:widowControl w:val="0"/>
                        <w:shd w:val="clear" w:color="auto" w:fill="auto"/>
                        <w:bidi w:val="0"/>
                        <w:spacing w:before="0" w:after="0" w:line="240" w:lineRule="auto"/>
                        <w:ind w:left="0" w:right="0" w:firstLine="0"/>
                        <w:jc w:val="left"/>
                      </w:pPr>
                      <w:bookmarkStart w:id="546" w:name="bookmark471"/>
                      <w:bookmarkStart w:id="547" w:name="bookmark473"/>
                      <w:bookmarkStart w:id="548" w:name="bookmark472"/>
                      <w:r>
                        <w:rPr>
                          <w:rFonts w:ascii="Times New Roman" w:hAnsi="Times New Roman" w:eastAsia="Times New Roman" w:cs="Times New Roman"/>
                          <w:color w:val="000000"/>
                          <w:spacing w:val="0"/>
                          <w:w w:val="100"/>
                          <w:position w:val="0"/>
                        </w:rPr>
                        <w:t>077</w:t>
                      </w:r>
                      <w:bookmarkEnd w:id="546"/>
                      <w:bookmarkEnd w:id="547"/>
                      <w:bookmarkEnd w:id="548"/>
                    </w:p>
                  </w:txbxContent>
                </v:textbox>
                <w10:wrap type="topAndBottom"/>
              </v:shape>
            </w:pict>
          </mc:Fallback>
        </mc:AlternateContent>
      </w:r>
      <w:r>
        <mc:AlternateContent>
          <mc:Choice Requires="wps">
            <w:drawing>
              <wp:anchor distT="85090" distB="0" distL="0" distR="0" simplePos="0" relativeHeight="251660288" behindDoc="0" locked="0" layoutInCell="1" allowOverlap="1">
                <wp:simplePos x="0" y="0"/>
                <wp:positionH relativeFrom="page">
                  <wp:posOffset>1342390</wp:posOffset>
                </wp:positionH>
                <wp:positionV relativeFrom="paragraph">
                  <wp:posOffset>85090</wp:posOffset>
                </wp:positionV>
                <wp:extent cx="3514090" cy="234950"/>
                <wp:effectExtent l="0" t="0" r="0" b="0"/>
                <wp:wrapTopAndBottom/>
                <wp:docPr id="1039" name="Shape 1039"/>
                <wp:cNvGraphicFramePr/>
                <a:graphic xmlns:a="http://schemas.openxmlformats.org/drawingml/2006/main">
                  <a:graphicData uri="http://schemas.microsoft.com/office/word/2010/wordprocessingShape">
                    <wps:wsp>
                      <wps:cNvSpPr txBox="1"/>
                      <wps:spPr>
                        <a:xfrm>
                          <a:off x="0" y="0"/>
                          <a:ext cx="3514090" cy="234950"/>
                        </a:xfrm>
                        <a:prstGeom prst="rect">
                          <a:avLst/>
                        </a:prstGeom>
                        <a:noFill/>
                      </wps:spPr>
                      <wps:txbx>
                        <w:txbxContent>
                          <w:p w14:paraId="37DCDACA">
                            <w:pPr>
                              <w:pStyle w:val="15"/>
                              <w:keepNext/>
                              <w:keepLines/>
                              <w:widowControl w:val="0"/>
                              <w:shd w:val="clear" w:color="auto" w:fill="auto"/>
                              <w:bidi w:val="0"/>
                              <w:spacing w:before="0" w:after="0" w:line="240" w:lineRule="auto"/>
                              <w:ind w:left="0" w:right="0" w:firstLine="0"/>
                              <w:jc w:val="left"/>
                            </w:pPr>
                            <w:bookmarkStart w:id="549" w:name="bookmark476"/>
                            <w:bookmarkStart w:id="550" w:name="bookmark475"/>
                            <w:bookmarkStart w:id="551" w:name="bookmark474"/>
                            <w:r>
                              <w:rPr>
                                <w:color w:val="000000"/>
                                <w:spacing w:val="0"/>
                                <w:w w:val="100"/>
                                <w:position w:val="0"/>
                              </w:rPr>
                              <w:t>检验期间、通知期间与质量保证期的关系</w:t>
                            </w:r>
                            <w:bookmarkEnd w:id="549"/>
                            <w:bookmarkEnd w:id="550"/>
                            <w:bookmarkEnd w:id="551"/>
                          </w:p>
                        </w:txbxContent>
                      </wps:txbx>
                      <wps:bodyPr wrap="none" lIns="0" tIns="0" rIns="0" bIns="0">
                        <a:noAutofit/>
                      </wps:bodyPr>
                    </wps:wsp>
                  </a:graphicData>
                </a:graphic>
              </wp:anchor>
            </w:drawing>
          </mc:Choice>
          <mc:Fallback>
            <w:pict>
              <v:shape id="Shape 1039" o:spid="_x0000_s1026" o:spt="202" type="#_x0000_t202" style="position:absolute;left:0pt;margin-left:105.7pt;margin-top:6.7pt;height:18.5pt;width:276.7pt;mso-position-horizontal-relative:page;mso-wrap-distance-bottom:0pt;mso-wrap-distance-top:6.7pt;mso-wrap-style:none;z-index:251660288;mso-width-relative:page;mso-height-relative:page;" filled="f" stroked="f" coordsize="21600,21600" o:gfxdata="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OAjrNYA&#10;AAAJAQAADwAAAAAAAAABACAAAAAiAAAAZHJzL2Rvd25yZXYueG1sUEsBAhQAFAAAAAgAh07iQAwj&#10;FHOvAQAAdgMAAA4AAAAAAAAAAQAgAAAAJQEAAGRycy9lMm9Eb2MueG1sUEsFBgAAAAAGAAYAWQEA&#10;AEYFAAAAAA==&#10;">
                <v:fill on="f" focussize="0,0"/>
                <v:stroke on="f"/>
                <v:imagedata o:title=""/>
                <o:lock v:ext="edit" aspectratio="f"/>
                <v:textbox inset="0mm,0mm,0mm,0mm">
                  <w:txbxContent>
                    <w:p w14:paraId="37DCDACA">
                      <w:pPr>
                        <w:pStyle w:val="15"/>
                        <w:keepNext/>
                        <w:keepLines/>
                        <w:widowControl w:val="0"/>
                        <w:shd w:val="clear" w:color="auto" w:fill="auto"/>
                        <w:bidi w:val="0"/>
                        <w:spacing w:before="0" w:after="0" w:line="240" w:lineRule="auto"/>
                        <w:ind w:left="0" w:right="0" w:firstLine="0"/>
                        <w:jc w:val="left"/>
                      </w:pPr>
                      <w:bookmarkStart w:id="549" w:name="bookmark476"/>
                      <w:bookmarkStart w:id="550" w:name="bookmark475"/>
                      <w:bookmarkStart w:id="551" w:name="bookmark474"/>
                      <w:r>
                        <w:rPr>
                          <w:color w:val="000000"/>
                          <w:spacing w:val="0"/>
                          <w:w w:val="100"/>
                          <w:position w:val="0"/>
                        </w:rPr>
                        <w:t>检验期间、通知期间与质量保证期的关系</w:t>
                      </w:r>
                      <w:bookmarkEnd w:id="549"/>
                      <w:bookmarkEnd w:id="550"/>
                      <w:bookmarkEnd w:id="551"/>
                    </w:p>
                  </w:txbxContent>
                </v:textbox>
                <w10:wrap type="topAndBottom"/>
              </v:shape>
            </w:pict>
          </mc:Fallback>
        </mc:AlternateContent>
      </w:r>
    </w:p>
    <w:p w14:paraId="004D16AF">
      <w:pPr>
        <w:pStyle w:val="17"/>
        <w:keepNext w:val="0"/>
        <w:keepLines w:val="0"/>
        <w:widowControl w:val="0"/>
        <w:shd w:val="clear" w:color="auto" w:fill="auto"/>
        <w:bidi w:val="0"/>
        <w:spacing w:before="0" w:after="420" w:line="330" w:lineRule="exact"/>
        <w:ind w:left="1000" w:right="0" w:firstLine="20"/>
        <w:jc w:val="both"/>
      </w:pPr>
      <w:r>
        <w:drawing>
          <wp:anchor distT="0" distB="0" distL="114300" distR="114300" simplePos="0" relativeHeight="251660288" behindDoc="0" locked="0" layoutInCell="1" allowOverlap="1">
            <wp:simplePos x="0" y="0"/>
            <wp:positionH relativeFrom="page">
              <wp:posOffset>5180330</wp:posOffset>
            </wp:positionH>
            <wp:positionV relativeFrom="paragraph">
              <wp:posOffset>88900</wp:posOffset>
            </wp:positionV>
            <wp:extent cx="548640" cy="560705"/>
            <wp:effectExtent l="0" t="0" r="10160" b="10795"/>
            <wp:wrapSquare wrapText="left"/>
            <wp:docPr id="1041" name="Shape 1041"/>
            <wp:cNvGraphicFramePr/>
            <a:graphic xmlns:a="http://schemas.openxmlformats.org/drawingml/2006/main">
              <a:graphicData uri="http://schemas.openxmlformats.org/drawingml/2006/picture">
                <pic:pic xmlns:pic="http://schemas.openxmlformats.org/drawingml/2006/picture">
                  <pic:nvPicPr>
                    <pic:cNvPr id="1041" name="Shape 1041"/>
                    <pic:cNvPicPr/>
                  </pic:nvPicPr>
                  <pic:blipFill>
                    <a:blip r:embed="rId690"/>
                    <a:stretch>
                      <a:fillRect/>
                    </a:stretch>
                  </pic:blipFill>
                  <pic:spPr>
                    <a:xfrm>
                      <a:off x="0" y="0"/>
                      <a:ext cx="548640" cy="560705"/>
                    </a:xfrm>
                    <a:prstGeom prst="rect">
                      <a:avLst/>
                    </a:prstGeom>
                  </pic:spPr>
                </pic:pic>
              </a:graphicData>
            </a:graphic>
          </wp:anchor>
        </w:drawing>
      </w:r>
      <w:r>
        <w:rPr>
          <w:color w:val="000000"/>
          <w:spacing w:val="0"/>
          <w:w w:val="100"/>
          <w:position w:val="0"/>
        </w:rPr>
        <w:t>北京天超仓储超市有限责任公司与首佳提供照明方案（北京）有限 责任公司买卖合同纠纷案丨北京市第三中级人民法院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 xml:space="preserve">京 </w:t>
      </w:r>
      <w:r>
        <w:rPr>
          <w:rFonts w:ascii="Times New Roman" w:hAnsi="Times New Roman" w:eastAsia="Times New Roman" w:cs="Times New Roman"/>
          <w:color w:val="000000"/>
          <w:spacing w:val="0"/>
          <w:w w:val="100"/>
          <w:position w:val="0"/>
          <w:sz w:val="19"/>
          <w:szCs w:val="19"/>
        </w:rPr>
        <w:t>03</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12203</w:t>
      </w:r>
      <w:r>
        <w:rPr>
          <w:color w:val="000000"/>
          <w:spacing w:val="0"/>
          <w:w w:val="100"/>
          <w:position w:val="0"/>
        </w:rPr>
        <w:t>号民事判决书</w:t>
      </w:r>
    </w:p>
    <w:p w14:paraId="3A2E3AE9">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金晶</w:t>
      </w:r>
      <w:r>
        <w:rPr>
          <w:color w:val="000000"/>
          <w:spacing w:val="0"/>
          <w:w w:val="100"/>
          <w:position w:val="0"/>
        </w:rPr>
        <w:t>中国政法大学民商经济法学院</w:t>
      </w:r>
    </w:p>
    <w:p w14:paraId="4B9A9630">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D598834">
      <w:pPr>
        <w:pStyle w:val="17"/>
        <w:keepNext w:val="0"/>
        <w:keepLines w:val="0"/>
        <w:widowControl w:val="0"/>
        <w:shd w:val="clear" w:color="auto" w:fill="auto"/>
        <w:bidi w:val="0"/>
        <w:spacing w:before="0" w:after="360" w:line="343" w:lineRule="exact"/>
        <w:ind w:left="0" w:right="0" w:firstLine="42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年，北京天超仓储超市有限责任公司（以下简称天超公司）作为甲方与首佳提供照 明方案（北京）有限责任公司（以下简称首佳公司）作为乙方签订《合同书》，约定:双方就天 客隆燕郊三季店超市照明改造工程增项相关事项订立本合同；乙方完成本项目照明工程所 需具体明细项目的购置、运输、安装、运行调试等全部工作内容;本项目照明工程甲方只需 提供配电柜位置,其余工作内容均由乙方完成;标准为符合中国国家标准及行业标准;乙方 承诺灯具、光源质保期为二年，电子镇流器质保期为三年;超市正常运营期间，乙方为甲方 提供完善的售后服务，承诺期限内产品出现的质量问题，乙方无条件进行维修更换。涉案 工程于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月前完工。涉案工程使用了松下牌灯管，关于使用的镇流器</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日庭审中，首佳公司和天超公司共同确认均系中诚牌电子镇流器</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日庭审 中,首佳公司又称全部安装的是欧司朗镇流器，且有</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 xml:space="preserve">认证。中诚牌电子镇流器外观无 </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标识。</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日，天超公司向首佳公司支付</w:t>
      </w:r>
      <w:r>
        <w:rPr>
          <w:rFonts w:ascii="Times New Roman" w:hAnsi="Times New Roman" w:eastAsia="Times New Roman" w:cs="Times New Roman"/>
          <w:color w:val="000000"/>
          <w:spacing w:val="0"/>
          <w:w w:val="100"/>
          <w:position w:val="0"/>
          <w:sz w:val="19"/>
          <w:szCs w:val="19"/>
        </w:rPr>
        <w:t>855, 000</w:t>
      </w:r>
      <w:r>
        <w:rPr>
          <w:color w:val="000000"/>
          <w:spacing w:val="0"/>
          <w:w w:val="100"/>
          <w:position w:val="0"/>
        </w:rPr>
        <w:t>元。</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 首佳公司通过电子邮件向天超公司发出《对天客隆关于照明工程价格质疑的回复与说明》， 解释了首佳公司对工程的报价不存在虚报，解释了灯具数量和照度问题，并要求天超公司 尽快付款。</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日，首佳公司再次解释价格问题，并再次催要款项。首佳公司为 证明其已完成施工并经天超公司验收合格，提交</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日工程施工申请验收单复印 件，签字人员为</w:t>
      </w:r>
      <w:r>
        <w:rPr>
          <w:color w:val="000000"/>
          <w:spacing w:val="0"/>
          <w:w w:val="100"/>
          <w:position w:val="0"/>
          <w:lang w:val="zh-CN" w:eastAsia="zh-CN" w:bidi="zh-CN"/>
        </w:rPr>
        <w:t>“刘</w:t>
      </w:r>
      <w:r>
        <w:rPr>
          <w:color w:val="000000"/>
          <w:spacing w:val="0"/>
          <w:w w:val="100"/>
          <w:position w:val="0"/>
        </w:rPr>
        <w:t>明明</w:t>
      </w:r>
      <w:r>
        <w:rPr>
          <w:color w:val="000000"/>
          <w:spacing w:val="0"/>
          <w:w w:val="100"/>
          <w:position w:val="0"/>
          <w:lang w:val="zh-CN" w:eastAsia="zh-CN" w:bidi="zh-CN"/>
        </w:rPr>
        <w:t>”“郝</w:t>
      </w:r>
      <w:r>
        <w:rPr>
          <w:color w:val="000000"/>
          <w:spacing w:val="0"/>
          <w:w w:val="100"/>
          <w:position w:val="0"/>
        </w:rPr>
        <w:t>玉龙</w:t>
      </w:r>
      <w:r>
        <w:rPr>
          <w:color w:val="000000"/>
          <w:spacing w:val="0"/>
          <w:w w:val="100"/>
          <w:position w:val="0"/>
          <w:lang w:val="zh-CN" w:eastAsia="zh-CN" w:bidi="zh-CN"/>
        </w:rPr>
        <w:t>”等人</w:t>
      </w:r>
      <w:r>
        <w:rPr>
          <w:color w:val="000000"/>
          <w:spacing w:val="0"/>
          <w:w w:val="100"/>
          <w:position w:val="0"/>
        </w:rPr>
        <w:t>，天超公司对于该工程施工申请验收单的真实性不 认可，称签字人员均是其公司人员,但不清楚是否其签字，并称</w:t>
      </w:r>
      <w:r>
        <w:rPr>
          <w:color w:val="000000"/>
          <w:spacing w:val="0"/>
          <w:w w:val="100"/>
          <w:position w:val="0"/>
          <w:lang w:val="zh-CN" w:eastAsia="zh-CN" w:bidi="zh-CN"/>
        </w:rPr>
        <w:t>“郝</w:t>
      </w:r>
      <w:r>
        <w:rPr>
          <w:color w:val="000000"/>
          <w:spacing w:val="0"/>
          <w:w w:val="100"/>
          <w:position w:val="0"/>
        </w:rPr>
        <w:t>玉龙”已离职</w:t>
      </w:r>
      <w:r>
        <w:rPr>
          <w:color w:val="000000"/>
          <w:spacing w:val="0"/>
          <w:w w:val="100"/>
          <w:position w:val="0"/>
          <w:lang w:val="zh-CN" w:eastAsia="zh-CN" w:bidi="zh-CN"/>
        </w:rPr>
        <w:t>，“王</w:t>
      </w:r>
      <w:r>
        <w:rPr>
          <w:color w:val="000000"/>
          <w:spacing w:val="0"/>
          <w:w w:val="100"/>
          <w:position w:val="0"/>
        </w:rPr>
        <w:t>春生” 现仍在天超公司就职。庭审中，一审法院当庭拨打</w:t>
      </w:r>
      <w:r>
        <w:rPr>
          <w:color w:val="000000"/>
          <w:spacing w:val="0"/>
          <w:w w:val="100"/>
          <w:position w:val="0"/>
          <w:lang w:val="zh-CN" w:eastAsia="zh-CN" w:bidi="zh-CN"/>
        </w:rPr>
        <w:t>“王</w:t>
      </w:r>
      <w:r>
        <w:rPr>
          <w:color w:val="000000"/>
          <w:spacing w:val="0"/>
          <w:w w:val="100"/>
          <w:position w:val="0"/>
        </w:rPr>
        <w:t>春生</w:t>
      </w:r>
      <w:r>
        <w:rPr>
          <w:color w:val="000000"/>
          <w:spacing w:val="0"/>
          <w:w w:val="100"/>
          <w:position w:val="0"/>
          <w:lang w:val="zh-CN" w:eastAsia="zh-CN" w:bidi="zh-CN"/>
        </w:rPr>
        <w:t>”电话</w:t>
      </w:r>
      <w:r>
        <w:rPr>
          <w:color w:val="000000"/>
          <w:spacing w:val="0"/>
          <w:w w:val="100"/>
          <w:position w:val="0"/>
        </w:rPr>
        <w:t>,王春生表示，工程施工申 请验收单具有真实性，均系天超公司员工本人所签。</w:t>
      </w:r>
    </w:p>
    <w:p w14:paraId="077F1E48">
      <w:pPr>
        <w:pStyle w:val="11"/>
        <w:keepNext w:val="0"/>
        <w:keepLines w:val="0"/>
        <w:widowControl w:val="0"/>
        <w:shd w:val="clear" w:color="auto" w:fill="auto"/>
        <w:bidi w:val="0"/>
        <w:spacing w:before="0" w:after="80" w:line="343"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3CE5227">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驳回上诉，维持原判。</w:t>
      </w:r>
    </w:p>
    <w:p w14:paraId="68DDC1E8">
      <w:pPr>
        <w:pStyle w:val="17"/>
        <w:keepNext w:val="0"/>
        <w:keepLines w:val="0"/>
        <w:widowControl w:val="0"/>
        <w:shd w:val="clear" w:color="auto" w:fill="auto"/>
        <w:bidi w:val="0"/>
        <w:spacing w:before="0" w:after="0" w:line="343" w:lineRule="exact"/>
        <w:ind w:left="0" w:right="0"/>
        <w:jc w:val="both"/>
        <w:sectPr>
          <w:footnotePr>
            <w:numFmt w:val="chicago"/>
          </w:footnotePr>
          <w:type w:val="continuous"/>
          <w:pgSz w:w="10099" w:h="14782"/>
          <w:pgMar w:top="1254" w:right="994" w:bottom="1132" w:left="1100" w:header="826" w:footer="704" w:gutter="0"/>
          <w:cols w:space="720" w:num="1"/>
          <w:rtlGutter w:val="0"/>
          <w:docGrid w:linePitch="360" w:charSpace="0"/>
        </w:sectPr>
      </w:pPr>
      <w:r>
        <w:rPr>
          <w:color w:val="000000"/>
          <w:spacing w:val="0"/>
          <w:w w:val="100"/>
          <w:position w:val="0"/>
        </w:rPr>
        <w:t xml:space="preserve">案件争点之一为首佳公司供货是否符合双方约定的质量标准。本案中，双方未约定检 </w:t>
      </w:r>
    </w:p>
    <w:p w14:paraId="063DBD72">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验期，电子镇流器的</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认证应标识于产品表面,是否有</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认证标识应属于外观瑕疵， 天超公司在接收该批货物时，应及时发现产品没有</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认证标识，但天超公司仍在工程施 工申请验收单上签字确认，且灯具一直处于正常使用状态，上述行为应视为对该批灯具数 量和外观瑕疵进行了检验,故视为标的物质量符合双方约定。</w:t>
      </w:r>
    </w:p>
    <w:p w14:paraId="49C92AA2">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案件争点之二为质保期、检验期间和异议期间的关系。法院认为,双方约定灯具、光源 质保期为</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年,电子镇流器质保期为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年，该质保期并非检验期间，而是卖方承诺对标的物 在使用过程中出现质量问题予以处理的期限;检验期间则为对标的物在交付时存在瑕疵提 出异议的期间，二者不同。本案中，天超公司未在合理期间提出异议，视为首佳公司所供货 物符合双方约定;如在使用过程中出现质量问题，天超公司在质保期内可以要求首佳公司 提供质保服务。</w:t>
      </w:r>
    </w:p>
    <w:p w14:paraId="446E2A7F">
      <w:pPr>
        <w:pStyle w:val="11"/>
        <w:keepNext w:val="0"/>
        <w:keepLines w:val="0"/>
        <w:widowControl w:val="0"/>
        <w:shd w:val="clear" w:color="auto" w:fill="auto"/>
        <w:bidi w:val="0"/>
        <w:spacing w:before="0" w:after="140" w:line="345" w:lineRule="exact"/>
        <w:ind w:left="0" w:right="0" w:firstLine="0"/>
        <w:jc w:val="both"/>
      </w:pPr>
      <w:r>
        <w:rPr>
          <w:color w:val="000000"/>
          <w:spacing w:val="0"/>
          <w:w w:val="100"/>
          <w:position w:val="0"/>
        </w:rPr>
        <w:t>■评析</w:t>
      </w:r>
    </w:p>
    <w:p w14:paraId="375DBA84">
      <w:pPr>
        <w:pStyle w:val="17"/>
        <w:keepNext w:val="0"/>
        <w:keepLines w:val="0"/>
        <w:widowControl w:val="0"/>
        <w:shd w:val="clear" w:color="auto" w:fill="auto"/>
        <w:bidi w:val="0"/>
        <w:spacing w:before="0" w:after="80" w:line="345"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1F7CCCB6">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一审、二审争议焦点均为首佳公司所供货物是否符合双方约定的质量标准。</w:t>
      </w:r>
    </w:p>
    <w:p w14:paraId="296852F1">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一审认为，原《合同法》第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158</w:t>
      </w:r>
      <w:r>
        <w:rPr>
          <w:color w:val="000000"/>
          <w:spacing w:val="0"/>
          <w:w w:val="100"/>
          <w:position w:val="0"/>
        </w:rPr>
        <w:t>条中“合理期间”与</w:t>
      </w:r>
      <w:r>
        <w:rPr>
          <w:color w:val="000000"/>
          <w:spacing w:val="0"/>
          <w:w w:val="100"/>
          <w:position w:val="0"/>
          <w:lang w:val="zh-CN" w:eastAsia="zh-CN" w:bidi="zh-CN"/>
        </w:rPr>
        <w:t>“质</w:t>
      </w:r>
      <w:r>
        <w:rPr>
          <w:color w:val="000000"/>
          <w:spacing w:val="0"/>
          <w:w w:val="100"/>
          <w:position w:val="0"/>
        </w:rPr>
        <w:t>量保证期间</w:t>
      </w:r>
      <w:r>
        <w:rPr>
          <w:color w:val="000000"/>
          <w:spacing w:val="0"/>
          <w:w w:val="100"/>
          <w:position w:val="0"/>
          <w:lang w:val="zh-CN" w:eastAsia="zh-CN" w:bidi="zh-CN"/>
        </w:rPr>
        <w:t>”的</w:t>
      </w:r>
      <w:r>
        <w:rPr>
          <w:color w:val="000000"/>
          <w:spacing w:val="0"/>
          <w:w w:val="100"/>
          <w:position w:val="0"/>
        </w:rPr>
        <w:t>关系， 应与</w:t>
      </w:r>
      <w:r>
        <w:rPr>
          <w:color w:val="000000"/>
          <w:spacing w:val="0"/>
          <w:w w:val="100"/>
          <w:position w:val="0"/>
          <w:lang w:val="zh-CN" w:eastAsia="zh-CN" w:bidi="zh-CN"/>
        </w:rPr>
        <w:t>“合</w:t>
      </w:r>
      <w:r>
        <w:rPr>
          <w:color w:val="000000"/>
          <w:spacing w:val="0"/>
          <w:w w:val="100"/>
          <w:position w:val="0"/>
        </w:rPr>
        <w:t>理期间</w:t>
      </w:r>
      <w:r>
        <w:rPr>
          <w:color w:val="000000"/>
          <w:spacing w:val="0"/>
          <w:w w:val="100"/>
          <w:position w:val="0"/>
          <w:lang w:val="zh-CN" w:eastAsia="zh-CN" w:bidi="zh-CN"/>
        </w:rPr>
        <w:t>”与“</w:t>
      </w:r>
      <w:r>
        <w:rPr>
          <w:color w:val="000000"/>
          <w:spacing w:val="0"/>
          <w:w w:val="100"/>
          <w:position w:val="0"/>
        </w:rPr>
        <w:t>自标的物收到之日起两年内</w:t>
      </w:r>
      <w:r>
        <w:rPr>
          <w:color w:val="000000"/>
          <w:spacing w:val="0"/>
          <w:w w:val="100"/>
          <w:position w:val="0"/>
          <w:lang w:val="zh-CN" w:eastAsia="zh-CN" w:bidi="zh-CN"/>
        </w:rPr>
        <w:t>”的关</w:t>
      </w:r>
      <w:r>
        <w:rPr>
          <w:color w:val="000000"/>
          <w:spacing w:val="0"/>
          <w:w w:val="100"/>
          <w:position w:val="0"/>
        </w:rPr>
        <w:t>系一样，当事人未约定检验期间的， 买受人应在发现或应当发现标的物数量或者质量不符合约定的合理期间内通知出卖人。 买受人在合理期间内未通知或自标的物收到之日起质量保证期间内未通知出卖人的，视为 标的物数量或质量符合约定。本案中，双方当事人仅约定质量保证期,未约定检验期间，故 天超公司须在</w:t>
      </w:r>
      <w:r>
        <w:rPr>
          <w:color w:val="000000"/>
          <w:spacing w:val="0"/>
          <w:w w:val="100"/>
          <w:position w:val="0"/>
          <w:lang w:val="zh-CN" w:eastAsia="zh-CN" w:bidi="zh-CN"/>
        </w:rPr>
        <w:t>“合</w:t>
      </w:r>
      <w:r>
        <w:rPr>
          <w:color w:val="000000"/>
          <w:spacing w:val="0"/>
          <w:w w:val="100"/>
          <w:position w:val="0"/>
        </w:rPr>
        <w:t>理期间</w:t>
      </w:r>
      <w:r>
        <w:rPr>
          <w:color w:val="000000"/>
          <w:spacing w:val="0"/>
          <w:w w:val="100"/>
          <w:position w:val="0"/>
          <w:lang w:val="zh-CN" w:eastAsia="zh-CN" w:bidi="zh-CN"/>
        </w:rPr>
        <w:t>”及</w:t>
      </w:r>
      <w:r>
        <w:rPr>
          <w:color w:val="000000"/>
          <w:spacing w:val="0"/>
          <w:w w:val="100"/>
          <w:position w:val="0"/>
        </w:rPr>
        <w:t>质量保证期内向首佳公司提岀质量异议,否则应视为首佳公司 提供的产品符合质量约定。超过检验期间仅是视为标的物在交付时不存在瑕疵，并不妨碍 买受人针对使用中出现的质量问题在质量保证期内要求出卖人履行承诺。本案中，天超公 司未举证证明首佳公司在其逾期付款前存在不履行保修义务的事实,故天超公司逾期付款 的行为构成违约,应向首佳公司支付剩余货款。</w:t>
      </w:r>
    </w:p>
    <w:p w14:paraId="303931C1">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二审认为,双方未约定检验期,且本案电子镇流器的</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认证应标识于产品表面，是否 有</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 xml:space="preserve">认证标识应属于外观瑕疵,天超公司在接收该批货物时，应及时发现该批产品没有 </w:t>
      </w:r>
      <w:r>
        <w:rPr>
          <w:rFonts w:ascii="Times New Roman" w:hAnsi="Times New Roman" w:eastAsia="Times New Roman" w:cs="Times New Roman"/>
          <w:color w:val="000000"/>
          <w:spacing w:val="0"/>
          <w:w w:val="100"/>
          <w:position w:val="0"/>
          <w:sz w:val="19"/>
          <w:szCs w:val="19"/>
          <w:lang w:val="en-US" w:eastAsia="en-US" w:bidi="en-US"/>
        </w:rPr>
        <w:t>CCC</w:t>
      </w:r>
      <w:r>
        <w:rPr>
          <w:color w:val="000000"/>
          <w:spacing w:val="0"/>
          <w:w w:val="100"/>
          <w:position w:val="0"/>
        </w:rPr>
        <w:t>认证标识,但天超公司仍在工程施工申请验收单上签字确认，并于店长意见处载明“使 用正常</w:t>
      </w:r>
      <w:r>
        <w:rPr>
          <w:color w:val="000000"/>
          <w:spacing w:val="0"/>
          <w:w w:val="100"/>
          <w:position w:val="0"/>
          <w:lang w:val="zh-CN" w:eastAsia="zh-CN" w:bidi="zh-CN"/>
        </w:rPr>
        <w:t>”，且</w:t>
      </w:r>
      <w:r>
        <w:rPr>
          <w:color w:val="000000"/>
          <w:spacing w:val="0"/>
          <w:w w:val="100"/>
          <w:position w:val="0"/>
        </w:rPr>
        <w:t>该批灯具一直处于正常使用中，天超公司上述行为应当视为对该批灯具数量和 外观瑕疵进行了检验，因此视为标的物质量符合双方约定。此外,双方约定灯具、光源质保 期为</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年,电子镇流器质保期为</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年。该质保期并非检验期间,而是卖方承诺对标的物在使 用过程中岀现质量问题予以处理的期限;检验期间则为对标的物在交付时存在瑕疵提出异 议的期间，二者不同。天超公司未在合理的期间提出异议，视为首佳公司所供货物符合双 方约定;如在使用过程中出现质量问题,天超公司在质保期内可以要求首佳公司提供质保 服务。</w:t>
      </w:r>
    </w:p>
    <w:p w14:paraId="4A105673">
      <w:pPr>
        <w:pStyle w:val="17"/>
        <w:keepNext w:val="0"/>
        <w:keepLines w:val="0"/>
        <w:widowControl w:val="0"/>
        <w:shd w:val="clear" w:color="auto" w:fill="auto"/>
        <w:bidi w:val="0"/>
        <w:spacing w:before="0" w:after="160" w:line="345" w:lineRule="exact"/>
        <w:ind w:left="0" w:right="0" w:firstLine="420"/>
        <w:jc w:val="both"/>
      </w:pPr>
      <w:r>
        <w:rPr>
          <w:color w:val="000000"/>
          <w:spacing w:val="0"/>
          <w:w w:val="100"/>
          <w:position w:val="0"/>
        </w:rPr>
        <w:t>本案对于厘清质量保证期、检验期间、通知期间的关系,对于货物是否符合约定质量标 准的认定，具有指导意义。</w:t>
      </w:r>
    </w:p>
    <w:p w14:paraId="55251D48">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检验期间、通知期间与质量保证期的关系:规范、学理与司法实践</w:t>
      </w:r>
    </w:p>
    <w:p w14:paraId="5B9B34B5">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检验期间与通知期间的关系，受到检验与通知关系的影响，两者关系认定中，核心在于 检验是否具有独立功能，难点在于起算点。</w:t>
      </w:r>
    </w:p>
    <w:p w14:paraId="56F6482E">
      <w:pPr>
        <w:pStyle w:val="17"/>
        <w:keepNext w:val="0"/>
        <w:keepLines w:val="0"/>
        <w:widowControl w:val="0"/>
        <w:shd w:val="clear" w:color="auto" w:fill="auto"/>
        <w:bidi w:val="0"/>
        <w:spacing w:before="0" w:after="0" w:line="339" w:lineRule="exact"/>
        <w:ind w:left="0" w:right="0" w:firstLine="420"/>
        <w:jc w:val="both"/>
        <w:rPr>
          <w:sz w:val="11"/>
          <w:szCs w:val="11"/>
        </w:rPr>
      </w:pPr>
      <w:r>
        <w:rPr>
          <w:color w:val="000000"/>
          <w:spacing w:val="0"/>
          <w:w w:val="100"/>
          <w:position w:val="0"/>
          <w:sz w:val="18"/>
          <w:szCs w:val="18"/>
        </w:rPr>
        <w:t>首先,检验期间无独立价值，检验的真正功能在于辅助通知义务的实现,通知内容应具 体明确。内容精确性的要求是检验所应实现的目标。因此，检验通知义务重通知,而非检 验,仅在适格通知后，才对出卖人产生法律后果，检验充分与否、是否进行,并非必须,买受人 若未检验，但凭经验、臆测或其他信息能知晓瑕疵存在，径行通知出卖人的，应认为买受人 已践行检验通知义务</w:t>
      </w:r>
      <w:r>
        <w:rPr>
          <w:color w:val="000000"/>
          <w:spacing w:val="0"/>
          <w:w w:val="100"/>
          <w:position w:val="0"/>
          <w:sz w:val="11"/>
          <w:szCs w:val="11"/>
        </w:rPr>
        <w:t>［参见王洪亮：《债法总论》，北京大学出版社</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292</w:t>
      </w:r>
      <w:r>
        <w:rPr>
          <w:color w:val="000000"/>
          <w:spacing w:val="0"/>
          <w:w w:val="100"/>
          <w:position w:val="0"/>
          <w:sz w:val="11"/>
          <w:szCs w:val="11"/>
        </w:rPr>
        <w:t>页；刘春堂：《民 法债编各论》（上），三民书局</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sz w:val="11"/>
          <w:szCs w:val="11"/>
        </w:rPr>
        <w:t>页；郑玉波：《民法债编各论》（上册），三民书局</w:t>
      </w:r>
      <w:r>
        <w:rPr>
          <w:rFonts w:ascii="Times New Roman" w:hAnsi="Times New Roman" w:eastAsia="Times New Roman" w:cs="Times New Roman"/>
          <w:color w:val="000000"/>
          <w:spacing w:val="0"/>
          <w:w w:val="100"/>
          <w:position w:val="0"/>
          <w:sz w:val="19"/>
          <w:szCs w:val="19"/>
        </w:rPr>
        <w:t>1981</w:t>
      </w:r>
      <w:r>
        <w:rPr>
          <w:color w:val="000000"/>
          <w:spacing w:val="0"/>
          <w:w w:val="100"/>
          <w:position w:val="0"/>
          <w:sz w:val="11"/>
          <w:szCs w:val="11"/>
        </w:rPr>
        <w:t>年 版，第</w:t>
      </w:r>
      <w:r>
        <w:rPr>
          <w:rFonts w:ascii="Times New Roman" w:hAnsi="Times New Roman" w:eastAsia="Times New Roman" w:cs="Times New Roman"/>
          <w:color w:val="000000"/>
          <w:spacing w:val="0"/>
          <w:w w:val="100"/>
          <w:position w:val="0"/>
          <w:sz w:val="19"/>
          <w:szCs w:val="19"/>
        </w:rPr>
        <w:t>48</w:t>
      </w:r>
      <w:r>
        <w:rPr>
          <w:color w:val="000000"/>
          <w:spacing w:val="0"/>
          <w:w w:val="100"/>
          <w:position w:val="0"/>
          <w:sz w:val="11"/>
          <w:szCs w:val="11"/>
        </w:rPr>
        <w:t>页］。</w:t>
      </w:r>
    </w:p>
    <w:p w14:paraId="2933991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其次，就起算点，通常，检验是通知的前提，买受人检验并发现瑕疵后方能通知。逻辑 上，提出瑕疵通知所需时间，应是正常交易正常检验所需时间（参</w:t>
      </w:r>
      <w:r>
        <w:rPr>
          <w:color w:val="000000"/>
          <w:spacing w:val="0"/>
          <w:w w:val="100"/>
          <w:position w:val="0"/>
          <w:sz w:val="11"/>
          <w:szCs w:val="11"/>
        </w:rPr>
        <w:t>见王洪亮:《债法总论》，北京 大学出版社</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292</w:t>
      </w:r>
      <w:r>
        <w:rPr>
          <w:color w:val="000000"/>
          <w:spacing w:val="0"/>
          <w:w w:val="100"/>
          <w:position w:val="0"/>
          <w:sz w:val="11"/>
          <w:szCs w:val="11"/>
        </w:rPr>
        <w:t>页）。未</w:t>
      </w:r>
      <w:r>
        <w:rPr>
          <w:color w:val="000000"/>
          <w:spacing w:val="0"/>
          <w:w w:val="100"/>
          <w:position w:val="0"/>
        </w:rPr>
        <w:t>约定检验期间，默认及时检验并在发现瑕疵后的合理期 间内进行通知，此时，通常检验确定的时间应是能够通知的最早时点，是买受人有无“及时” 通知的判断基准点。检验期间和通知期间的起算点分裂:约定检验期间时，从交货时起算, 依《民法典》第</w:t>
      </w:r>
      <w:r>
        <w:rPr>
          <w:rFonts w:ascii="Times New Roman" w:hAnsi="Times New Roman" w:eastAsia="Times New Roman" w:cs="Times New Roman"/>
          <w:color w:val="000000"/>
          <w:spacing w:val="0"/>
          <w:w w:val="100"/>
          <w:position w:val="0"/>
          <w:sz w:val="19"/>
          <w:szCs w:val="19"/>
        </w:rPr>
        <w:t>621</w:t>
      </w:r>
      <w:r>
        <w:rPr>
          <w:color w:val="000000"/>
          <w:spacing w:val="0"/>
          <w:w w:val="100"/>
          <w:position w:val="0"/>
        </w:rPr>
        <w:t>条并结合常理,应理解为自确定或应当确定违约之时起算,约定检验期 限的起算点，须对意思表示内容进行解释和补充,确定对方具有检验可能性的时点;未约定 检验期限时，为合理期限，合理期限的起算点，自知道或应当知道起算，不涉及意思表示的 解释补充。买受人若能即时了解违约情事，通知期限之起算不考虑检验期限经过与否。例 如，即便检验尚未开始或尚未完成，买受人须就交货时已确定的瑕疵进行通知。</w:t>
      </w:r>
    </w:p>
    <w:p w14:paraId="4EF97E2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158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款一体规定检验期间和通知期间，学界有不同评价。有见解 认为，一体模式有所不足，检验期间吸收了通知期间，致检验重及时,却忽略了具体环境因 素，约定期间过短时易滋生法院干预约定检验期的自由裁量权,削弱了期间的不变性</w:t>
      </w:r>
      <w:r>
        <w:rPr>
          <w:color w:val="000000"/>
          <w:spacing w:val="0"/>
          <w:w w:val="100"/>
          <w:position w:val="0"/>
          <w:sz w:val="11"/>
          <w:szCs w:val="11"/>
        </w:rPr>
        <w:t>（武腾: 《合同法上难以承受之乱：围绕检验期间》，载《法律科学》</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1"/>
          <w:szCs w:val="11"/>
        </w:rPr>
        <w:t>期；武腾:《买卖标的物不适约研 究》，中国政法大学出版社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251</w:t>
      </w:r>
      <w:r>
        <w:rPr>
          <w:color w:val="000000"/>
          <w:spacing w:val="0"/>
          <w:w w:val="100"/>
          <w:position w:val="0"/>
          <w:sz w:val="11"/>
          <w:szCs w:val="11"/>
        </w:rPr>
        <w:t>页以下）。</w:t>
      </w:r>
      <w:r>
        <w:rPr>
          <w:color w:val="000000"/>
          <w:spacing w:val="0"/>
          <w:w w:val="100"/>
          <w:position w:val="0"/>
        </w:rPr>
        <w:t>一体规定检验通知期间，亦为可取,单纯的 检验期间并无实际意义,约定检验通知期应尊重私法自治,约定期间过短，系当事人自主分 配交易风险之结果，原则上应予认可，法院应谨慎干预,法院干预期间的自由裁量权应限于 未约定期间时的隐蔽瑕疵［原《合同法》第</w:t>
      </w:r>
      <w:r>
        <w:rPr>
          <w:rFonts w:ascii="Times New Roman" w:hAnsi="Times New Roman" w:eastAsia="Times New Roman" w:cs="Times New Roman"/>
          <w:color w:val="000000"/>
          <w:spacing w:val="0"/>
          <w:w w:val="100"/>
          <w:position w:val="0"/>
          <w:sz w:val="19"/>
          <w:szCs w:val="19"/>
        </w:rPr>
        <w:t>158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款、最高人民法院《关于审理买卖合同 纠纷案件适用法律问题的解释》［法释</w:t>
      </w:r>
      <w:r>
        <w:rPr>
          <w:rFonts w:ascii="Times New Roman" w:hAnsi="Times New Roman" w:eastAsia="Times New Roman" w:cs="Times New Roman"/>
          <w:color w:val="000000"/>
          <w:spacing w:val="0"/>
          <w:w w:val="100"/>
          <w:position w:val="0"/>
          <w:sz w:val="19"/>
          <w:szCs w:val="19"/>
        </w:rPr>
        <w:t>（2012）8</w:t>
      </w:r>
      <w:r>
        <w:rPr>
          <w:color w:val="000000"/>
          <w:spacing w:val="0"/>
          <w:w w:val="100"/>
          <w:position w:val="0"/>
        </w:rPr>
        <w:t>号］（以下简称《买卖合同司法解释》）第</w:t>
      </w:r>
      <w:r>
        <w:rPr>
          <w:rFonts w:ascii="Times New Roman" w:hAnsi="Times New Roman" w:eastAsia="Times New Roman" w:cs="Times New Roman"/>
          <w:color w:val="000000"/>
          <w:spacing w:val="0"/>
          <w:w w:val="100"/>
          <w:position w:val="0"/>
          <w:sz w:val="19"/>
          <w:szCs w:val="19"/>
        </w:rPr>
        <w:t xml:space="preserve">18 </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622</w:t>
      </w:r>
      <w:r>
        <w:rPr>
          <w:color w:val="000000"/>
          <w:spacing w:val="0"/>
          <w:w w:val="100"/>
          <w:position w:val="0"/>
        </w:rPr>
        <w:t>条）</w:t>
      </w:r>
      <w:r>
        <w:rPr>
          <w:color w:val="000000"/>
          <w:spacing w:val="0"/>
          <w:w w:val="100"/>
          <w:position w:val="0"/>
          <w:lang w:val="en-US" w:eastAsia="en-US" w:bidi="en-US"/>
        </w:rPr>
        <w:t>］</w:t>
      </w:r>
      <w:r>
        <w:rPr>
          <w:color w:val="000000"/>
          <w:spacing w:val="0"/>
          <w:w w:val="100"/>
          <w:position w:val="0"/>
        </w:rPr>
        <w:t>，不应盲目扩至所有瑕疵类型。原《合同法》第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条（《民法典》 第</w:t>
      </w:r>
      <w:r>
        <w:rPr>
          <w:rFonts w:ascii="Times New Roman" w:hAnsi="Times New Roman" w:eastAsia="Times New Roman" w:cs="Times New Roman"/>
          <w:color w:val="000000"/>
          <w:spacing w:val="0"/>
          <w:w w:val="100"/>
          <w:position w:val="0"/>
          <w:sz w:val="19"/>
          <w:szCs w:val="19"/>
        </w:rPr>
        <w:t>620</w:t>
      </w:r>
      <w:r>
        <w:rPr>
          <w:color w:val="000000"/>
          <w:spacing w:val="0"/>
          <w:w w:val="100"/>
          <w:position w:val="0"/>
        </w:rPr>
        <w:t>条）的检验期间自买受人收到标的物时起算，收到既不同于受领，也不同于交付，其 应根据买受人的检验可能性来判断，就此而言,也考虑了具体的环境因素。</w:t>
      </w:r>
    </w:p>
    <w:p w14:paraId="518590C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质量保证期是出卖人向买受人承诺标的物符合质量要求或使用性能的期间，即标的物 的正常使用寿命。于此期间发现瑕疵，出卖人不得以交货时无瑕疵为由免责</w:t>
      </w:r>
      <w:r>
        <w:rPr>
          <w:color w:val="000000"/>
          <w:spacing w:val="0"/>
          <w:w w:val="100"/>
          <w:position w:val="0"/>
          <w:sz w:val="11"/>
          <w:szCs w:val="11"/>
        </w:rPr>
        <w:t>（最高人民法院 民二庭编著:《最高人民法院关于买卖合同司法解释理解与适用》，人民法院出版社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 xml:space="preserve">329 </w:t>
      </w:r>
      <w:r>
        <w:rPr>
          <w:color w:val="000000"/>
          <w:spacing w:val="0"/>
          <w:w w:val="100"/>
          <w:position w:val="0"/>
          <w:sz w:val="11"/>
          <w:szCs w:val="11"/>
        </w:rPr>
        <w:t>页）。</w:t>
      </w:r>
      <w:r>
        <w:rPr>
          <w:color w:val="000000"/>
          <w:spacing w:val="0"/>
          <w:w w:val="100"/>
          <w:position w:val="0"/>
        </w:rPr>
        <w:t>质量保证包括法定质量保证和约定质量保证，前者系立法者依出卖人行为和交易习惯 所设的符合买受人合理期待的保护措施，后者是双方分配交易风险的合同安排。（真正）质 保期应具品质保证期间的独立功能。质保期的原本内涵应立足于担保使用中不新产生瑕 疵，系当事人或法律依据标的种类、交易类型特别确定的品质保证时间。通知期间指向瑕 疵给付本身，解决交货时标的物有无瑕疵问题</w:t>
      </w:r>
      <w:r>
        <w:rPr>
          <w:color w:val="000000"/>
          <w:spacing w:val="0"/>
          <w:w w:val="100"/>
          <w:position w:val="0"/>
          <w:sz w:val="11"/>
          <w:szCs w:val="11"/>
        </w:rPr>
        <w:t>［司法实践中明确区分质保期和检验通知期，认为 检验期系判断标的物交付时是否存在质量瑕疵，质保期为确保标的物质量性能符合约定且在一定时间 内不发生合理减损的独立功能，判决例参见</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38</w:t>
      </w:r>
      <w:r>
        <w:rPr>
          <w:color w:val="000000"/>
          <w:spacing w:val="0"/>
          <w:w w:val="100"/>
          <w:position w:val="0"/>
          <w:sz w:val="11"/>
          <w:szCs w:val="11"/>
        </w:rPr>
        <w:t>号民事判决书</w:t>
      </w:r>
      <w:r>
        <w:rPr>
          <w:rFonts w:ascii="Times New Roman" w:hAnsi="Times New Roman" w:eastAsia="Times New Roman" w:cs="Times New Roman"/>
          <w:color w:val="000000"/>
          <w:spacing w:val="0"/>
          <w:w w:val="100"/>
          <w:position w:val="0"/>
          <w:sz w:val="17"/>
          <w:szCs w:val="17"/>
          <w:lang w:val="en-US" w:eastAsia="en-US" w:bidi="en-US"/>
        </w:rPr>
        <w:t>.（2017</w:t>
      </w:r>
      <w:r>
        <w:rPr>
          <w:rFonts w:ascii="Times New Roman" w:hAnsi="Times New Roman" w:eastAsia="Times New Roman" w:cs="Times New Roman"/>
          <w:color w:val="000000"/>
          <w:spacing w:val="0"/>
          <w:w w:val="100"/>
          <w:position w:val="0"/>
          <w:sz w:val="17"/>
          <w:szCs w:val="17"/>
        </w:rPr>
        <w:t>）</w:t>
      </w:r>
      <w:r>
        <w:rPr>
          <w:color w:val="000000"/>
          <w:spacing w:val="0"/>
          <w:w w:val="100"/>
          <w:position w:val="0"/>
          <w:sz w:val="11"/>
          <w:szCs w:val="11"/>
        </w:rPr>
        <w:t>津</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1"/>
          <w:szCs w:val="11"/>
        </w:rPr>
        <w:t xml:space="preserve">民终 </w:t>
      </w:r>
      <w:r>
        <w:rPr>
          <w:rFonts w:ascii="Times New Roman" w:hAnsi="Times New Roman" w:eastAsia="Times New Roman" w:cs="Times New Roman"/>
          <w:color w:val="000000"/>
          <w:spacing w:val="0"/>
          <w:w w:val="100"/>
          <w:position w:val="0"/>
          <w:sz w:val="17"/>
          <w:szCs w:val="17"/>
        </w:rPr>
        <w:t>1918</w:t>
      </w:r>
      <w:r>
        <w:rPr>
          <w:color w:val="000000"/>
          <w:spacing w:val="0"/>
          <w:w w:val="100"/>
          <w:position w:val="0"/>
          <w:sz w:val="11"/>
          <w:szCs w:val="11"/>
        </w:rPr>
        <w:t>号民事判决书］。</w:t>
      </w:r>
      <w:r>
        <w:rPr>
          <w:color w:val="000000"/>
          <w:spacing w:val="0"/>
          <w:w w:val="100"/>
          <w:position w:val="0"/>
        </w:rPr>
        <w:t>判决例明示，质保期并非当事人约定的检验期间,超过检验期间仅视为 标的物在交付时无瑕疵，并不妨碍买受人针对使用中出现的质量问题在质保期间内要求出 卖人承担责任</w:t>
      </w:r>
      <w:r>
        <w:rPr>
          <w:color w:val="000000"/>
          <w:spacing w:val="0"/>
          <w:w w:val="100"/>
          <w:position w:val="0"/>
          <w:sz w:val="11"/>
          <w:szCs w:val="11"/>
        </w:rPr>
        <w:t>［参见</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沪</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7033</w:t>
      </w:r>
      <w:r>
        <w:rPr>
          <w:color w:val="000000"/>
          <w:spacing w:val="0"/>
          <w:w w:val="100"/>
          <w:position w:val="0"/>
          <w:sz w:val="11"/>
          <w:szCs w:val="11"/>
        </w:rPr>
        <w:t>号民事判决书］。</w:t>
      </w:r>
      <w:r>
        <w:rPr>
          <w:color w:val="000000"/>
          <w:spacing w:val="0"/>
          <w:w w:val="100"/>
          <w:position w:val="0"/>
        </w:rPr>
        <w:t>质保期经过后方显现之瑕疵，若买 受人能证明交货时已存瑕疵且已适时通知，其仍能主张瑕疵给付的违约责任。</w:t>
      </w:r>
    </w:p>
    <w:p w14:paraId="6EF441E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在承认（真正）质保期独立功能的前提下，原《合同法》第</w:t>
      </w:r>
      <w:r>
        <w:rPr>
          <w:rFonts w:ascii="Times New Roman" w:hAnsi="Times New Roman" w:eastAsia="Times New Roman" w:cs="Times New Roman"/>
          <w:color w:val="000000"/>
          <w:spacing w:val="0"/>
          <w:w w:val="100"/>
          <w:position w:val="0"/>
          <w:sz w:val="17"/>
          <w:szCs w:val="17"/>
        </w:rPr>
        <w:t>158</w:t>
      </w:r>
      <w:r>
        <w:rPr>
          <w:color w:val="000000"/>
          <w:spacing w:val="0"/>
          <w:w w:val="100"/>
          <w:position w:val="0"/>
        </w:rPr>
        <w:t>条的质量保证期实质上是 不真正质保期，即约定的最长客观检验期间。当事人既约定检验期间，又约定质保期时，前 者旨在代替法定的</w:t>
      </w:r>
      <w:r>
        <w:rPr>
          <w:color w:val="000000"/>
          <w:spacing w:val="0"/>
          <w:w w:val="100"/>
          <w:position w:val="0"/>
          <w:lang w:val="zh-CN" w:eastAsia="zh-CN" w:bidi="zh-CN"/>
        </w:rPr>
        <w:t>“及</w:t>
      </w:r>
      <w:r>
        <w:rPr>
          <w:color w:val="000000"/>
          <w:spacing w:val="0"/>
          <w:w w:val="100"/>
          <w:position w:val="0"/>
        </w:rPr>
        <w:t>时检验+通知的合理期间”</w:t>
      </w:r>
      <w:r>
        <w:rPr>
          <w:color w:val="000000"/>
          <w:spacing w:val="0"/>
          <w:w w:val="100"/>
          <w:position w:val="0"/>
          <w:sz w:val="11"/>
          <w:szCs w:val="11"/>
        </w:rPr>
        <w:t>［相关判决例，参见最高院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 xml:space="preserve">民二终字第 </w:t>
      </w:r>
      <w:r>
        <w:rPr>
          <w:rFonts w:ascii="Times New Roman" w:hAnsi="Times New Roman" w:eastAsia="Times New Roman" w:cs="Times New Roman"/>
          <w:color w:val="000000"/>
          <w:spacing w:val="0"/>
          <w:w w:val="100"/>
          <w:position w:val="0"/>
          <w:sz w:val="17"/>
          <w:szCs w:val="17"/>
        </w:rPr>
        <w:t>27</w:t>
      </w:r>
      <w:r>
        <w:rPr>
          <w:color w:val="000000"/>
          <w:spacing w:val="0"/>
          <w:w w:val="100"/>
          <w:position w:val="0"/>
          <w:sz w:val="11"/>
          <w:szCs w:val="11"/>
        </w:rPr>
        <w:t>号民事判决书］,</w:t>
      </w:r>
      <w:r>
        <w:rPr>
          <w:color w:val="000000"/>
          <w:spacing w:val="0"/>
          <w:w w:val="100"/>
          <w:position w:val="0"/>
        </w:rPr>
        <w:t>后者旨在代替法定的最长两年期间，二者起算点不同。例如，在特殊交易 类型中，法定最长两年通知期间无法符合实践需求，大型设备本身运输、安装、调试程序复 杂，调试可能已逾两年，故可约定质量保证期，以</w:t>
      </w:r>
      <w:r>
        <w:rPr>
          <w:color w:val="000000"/>
          <w:spacing w:val="0"/>
          <w:w w:val="100"/>
          <w:position w:val="0"/>
          <w:lang w:val="zh-CN" w:eastAsia="zh-CN" w:bidi="zh-CN"/>
        </w:rPr>
        <w:t>“减损”或“改变”最</w:t>
      </w:r>
      <w:r>
        <w:rPr>
          <w:color w:val="000000"/>
          <w:spacing w:val="0"/>
          <w:w w:val="100"/>
          <w:position w:val="0"/>
        </w:rPr>
        <w:t xml:space="preserve">长两年的通知期间［判 </w:t>
      </w:r>
      <w:r>
        <w:rPr>
          <w:color w:val="000000"/>
          <w:spacing w:val="0"/>
          <w:w w:val="100"/>
          <w:position w:val="0"/>
          <w:sz w:val="11"/>
          <w:szCs w:val="11"/>
        </w:rPr>
        <w:t xml:space="preserve">决例认为，当事人未约定检验期间但约定质量保证期的，检验的合理期间不能超过质量保证期。参见 </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最高法民申</w:t>
      </w:r>
      <w:r>
        <w:rPr>
          <w:rFonts w:ascii="Times New Roman" w:hAnsi="Times New Roman" w:eastAsia="Times New Roman" w:cs="Times New Roman"/>
          <w:color w:val="000000"/>
          <w:spacing w:val="0"/>
          <w:w w:val="100"/>
          <w:position w:val="0"/>
          <w:sz w:val="17"/>
          <w:szCs w:val="17"/>
        </w:rPr>
        <w:t>1205</w:t>
      </w:r>
      <w:r>
        <w:rPr>
          <w:color w:val="000000"/>
          <w:spacing w:val="0"/>
          <w:w w:val="100"/>
          <w:position w:val="0"/>
          <w:sz w:val="11"/>
          <w:szCs w:val="11"/>
        </w:rPr>
        <w:t>号裁定］。</w:t>
      </w:r>
      <w:r>
        <w:rPr>
          <w:color w:val="000000"/>
          <w:spacing w:val="0"/>
          <w:w w:val="100"/>
          <w:position w:val="0"/>
        </w:rPr>
        <w:t>质保金受质保期的时间限定，质保期届满，买受人应退还质 保金</w:t>
      </w:r>
      <w:r>
        <w:rPr>
          <w:color w:val="000000"/>
          <w:spacing w:val="0"/>
          <w:w w:val="100"/>
          <w:position w:val="0"/>
          <w:sz w:val="11"/>
          <w:szCs w:val="11"/>
        </w:rPr>
        <w:t>［参见</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03</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13956</w:t>
      </w:r>
      <w:r>
        <w:rPr>
          <w:color w:val="000000"/>
          <w:spacing w:val="0"/>
          <w:w w:val="100"/>
          <w:position w:val="0"/>
          <w:sz w:val="11"/>
          <w:szCs w:val="11"/>
        </w:rPr>
        <w:t>号判决。反之，质保期尚未届满，出卖人无权要求买受人退还质保 金，相关判决例参见</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苏</w:t>
      </w:r>
      <w:r>
        <w:rPr>
          <w:rFonts w:ascii="Times New Roman" w:hAnsi="Times New Roman" w:eastAsia="Times New Roman" w:cs="Times New Roman"/>
          <w:color w:val="000000"/>
          <w:spacing w:val="0"/>
          <w:w w:val="100"/>
          <w:position w:val="0"/>
          <w:sz w:val="17"/>
          <w:szCs w:val="17"/>
        </w:rPr>
        <w:t>07</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3925</w:t>
      </w:r>
      <w:r>
        <w:rPr>
          <w:color w:val="000000"/>
          <w:spacing w:val="0"/>
          <w:w w:val="100"/>
          <w:position w:val="0"/>
          <w:sz w:val="11"/>
          <w:szCs w:val="11"/>
        </w:rPr>
        <w:t>号民事判决书］。</w:t>
      </w:r>
      <w:r>
        <w:rPr>
          <w:color w:val="000000"/>
          <w:spacing w:val="0"/>
          <w:w w:val="100"/>
          <w:position w:val="0"/>
        </w:rPr>
        <w:t>但质保金并非单纯对期限的约定，亦 是对支付条件的约定。</w:t>
      </w:r>
    </w:p>
    <w:p w14:paraId="0BDE3661">
      <w:pPr>
        <w:pStyle w:val="17"/>
        <w:keepNext w:val="0"/>
        <w:keepLines w:val="0"/>
        <w:widowControl w:val="0"/>
        <w:shd w:val="clear" w:color="auto" w:fill="auto"/>
        <w:bidi w:val="0"/>
        <w:spacing w:before="0" w:after="300" w:line="343" w:lineRule="exact"/>
        <w:ind w:left="0" w:right="0" w:firstLine="420"/>
        <w:jc w:val="both"/>
        <w:rPr>
          <w:sz w:val="11"/>
          <w:szCs w:val="11"/>
        </w:rPr>
      </w:pPr>
      <w:r>
        <w:rPr>
          <w:color w:val="000000"/>
          <w:spacing w:val="0"/>
          <w:w w:val="100"/>
          <w:position w:val="0"/>
          <w:sz w:val="18"/>
          <w:szCs w:val="18"/>
        </w:rPr>
        <w:t>实践难点在于，原《合同法》第</w:t>
      </w:r>
      <w:r>
        <w:rPr>
          <w:rFonts w:ascii="Times New Roman" w:hAnsi="Times New Roman" w:eastAsia="Times New Roman" w:cs="Times New Roman"/>
          <w:color w:val="000000"/>
          <w:spacing w:val="0"/>
          <w:w w:val="100"/>
          <w:position w:val="0"/>
          <w:sz w:val="17"/>
          <w:szCs w:val="17"/>
        </w:rPr>
        <w:t>158</w:t>
      </w:r>
      <w:r>
        <w:rPr>
          <w:color w:val="000000"/>
          <w:spacing w:val="0"/>
          <w:w w:val="100"/>
          <w:position w:val="0"/>
          <w:sz w:val="18"/>
          <w:szCs w:val="18"/>
        </w:rPr>
        <w:t>条同时规定约定检验期间、质保期与最长两年期间， 质保期包括法定质保期（《建设工程质量管理条例》第</w:t>
      </w:r>
      <w:r>
        <w:rPr>
          <w:rFonts w:ascii="Times New Roman" w:hAnsi="Times New Roman" w:eastAsia="Times New Roman" w:cs="Times New Roman"/>
          <w:color w:val="000000"/>
          <w:spacing w:val="0"/>
          <w:w w:val="100"/>
          <w:position w:val="0"/>
          <w:sz w:val="17"/>
          <w:szCs w:val="17"/>
        </w:rPr>
        <w:t>40</w:t>
      </w:r>
      <w:r>
        <w:rPr>
          <w:color w:val="000000"/>
          <w:spacing w:val="0"/>
          <w:w w:val="100"/>
          <w:position w:val="0"/>
          <w:sz w:val="18"/>
          <w:szCs w:val="18"/>
        </w:rPr>
        <w:t>条）与约定质保期，此背景下，约定 检验期间或约定质保期短于法定检验期或法定质保期的，应以法定期间为准（《买卖合同司 法解释》第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款），例如，质保期短于两年时，应采两年期间。若约定检验期间或约 定质保期长于法定质保期时，超过部分期间效力如何？学理实务均有见解认为，应依标的 物性质认定:标的物性质因时间推移而变者,超过部分期间无效;标的物性质不因时间推移 而变化，视为出卖人自愿加重自身义务，约定有效</w:t>
      </w:r>
      <w:r>
        <w:rPr>
          <w:color w:val="000000"/>
          <w:spacing w:val="0"/>
          <w:w w:val="100"/>
          <w:position w:val="0"/>
          <w:sz w:val="11"/>
          <w:szCs w:val="11"/>
        </w:rPr>
        <w:t>（宁红丽：《试论出卖人物之瑕疵责任的构 成——以〈买卖合同司法解释〉为主要分析对象》，载《社会科学》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sz w:val="11"/>
          <w:szCs w:val="11"/>
        </w:rPr>
        <w:t>期；谢鸿飞：《合同法学的 新发展》，中国社会科学出版社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551</w:t>
      </w:r>
      <w:r>
        <w:rPr>
          <w:color w:val="000000"/>
          <w:spacing w:val="0"/>
          <w:w w:val="100"/>
          <w:position w:val="0"/>
          <w:sz w:val="11"/>
          <w:szCs w:val="11"/>
        </w:rPr>
        <w:t>页）。</w:t>
      </w:r>
    </w:p>
    <w:p w14:paraId="5B4613A3">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S</w:t>
      </w:r>
      <w:r>
        <w:rPr>
          <w:color w:val="000000"/>
          <w:spacing w:val="0"/>
          <w:w w:val="100"/>
          <w:position w:val="0"/>
        </w:rPr>
        <w:t>本判决的参考意义及将来的课题</w:t>
      </w:r>
    </w:p>
    <w:p w14:paraId="6DFF2479">
      <w:pPr>
        <w:pStyle w:val="17"/>
        <w:keepNext w:val="0"/>
        <w:keepLines w:val="0"/>
        <w:widowControl w:val="0"/>
        <w:shd w:val="clear" w:color="auto" w:fill="auto"/>
        <w:bidi w:val="0"/>
        <w:spacing w:before="0" w:after="360" w:line="353" w:lineRule="exact"/>
        <w:ind w:left="0" w:right="0" w:firstLine="420"/>
        <w:jc w:val="both"/>
      </w:pPr>
      <w:r>
        <w:rPr>
          <w:color w:val="000000"/>
          <w:spacing w:val="0"/>
          <w:w w:val="100"/>
          <w:position w:val="0"/>
        </w:rPr>
        <w:t>本案例旨在明确，当事人仅约定质量保证期,未约定检验期间时,买受人须在合理期间 及质量保证期内提出质量异议，否则视为产品符合质量约定。质量保证期并非检验期间, 而是岀卖人承诺对标的物在使用过程中出现质量问题予以处理的期限;检验期间则为对标 的物在交付时存在瑕疵提出异议的期间。买受人未在合理期间内提出异议,视标的物符合 约定;但在使用过程中出现质量问题,买受人仍可在质保期内向出卖人主张质保服务。但 本案论证仍有提升空间。例如,质保期是否应当区分（真正的）质保期，是否应当承认品质 保证期间的独立功能，在承认真正的质保期独立功能的前提下，是否应当在判决中明确原 《合同法》第</w:t>
      </w:r>
      <w:r>
        <w:rPr>
          <w:rFonts w:ascii="Times New Roman" w:hAnsi="Times New Roman" w:eastAsia="Times New Roman" w:cs="Times New Roman"/>
          <w:color w:val="000000"/>
          <w:spacing w:val="0"/>
          <w:w w:val="100"/>
          <w:position w:val="0"/>
          <w:sz w:val="19"/>
          <w:szCs w:val="19"/>
        </w:rPr>
        <w:t>158</w:t>
      </w:r>
      <w:r>
        <w:rPr>
          <w:color w:val="000000"/>
          <w:spacing w:val="0"/>
          <w:w w:val="100"/>
          <w:position w:val="0"/>
        </w:rPr>
        <w:t>条的质保期为约定最长客观检验期间，其实质为不真正质保期。值得注意 的是,对于可检验期间问题，《民法典》第</w:t>
      </w:r>
      <w:r>
        <w:rPr>
          <w:rFonts w:ascii="Times New Roman" w:hAnsi="Times New Roman" w:eastAsia="Times New Roman" w:cs="Times New Roman"/>
          <w:color w:val="000000"/>
          <w:spacing w:val="0"/>
          <w:w w:val="100"/>
          <w:position w:val="0"/>
          <w:sz w:val="19"/>
          <w:szCs w:val="19"/>
        </w:rPr>
        <w:t>620</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623</w:t>
      </w:r>
      <w:r>
        <w:rPr>
          <w:color w:val="000000"/>
          <w:spacing w:val="0"/>
          <w:w w:val="100"/>
          <w:position w:val="0"/>
        </w:rPr>
        <w:t>条在原《合同法》第</w:t>
      </w:r>
      <w:r>
        <w:rPr>
          <w:rFonts w:ascii="Times New Roman" w:hAnsi="Times New Roman" w:eastAsia="Times New Roman" w:cs="Times New Roman"/>
          <w:color w:val="000000"/>
          <w:spacing w:val="0"/>
          <w:w w:val="100"/>
          <w:position w:val="0"/>
          <w:sz w:val="19"/>
          <w:szCs w:val="19"/>
        </w:rPr>
        <w:t>157 ~ 158</w:t>
      </w:r>
      <w:r>
        <w:rPr>
          <w:color w:val="000000"/>
          <w:spacing w:val="0"/>
          <w:w w:val="100"/>
          <w:position w:val="0"/>
        </w:rPr>
        <w:t>条的基础 上，虽然吸收了司法解释的规定,增加了隐蔽瑕疵的相关规定，但并没有本质上的变化，上 述问题仍然值得进一步讨论。</w:t>
      </w:r>
    </w:p>
    <w:p w14:paraId="0A62142C">
      <w:pPr>
        <w:pStyle w:val="11"/>
        <w:keepNext w:val="0"/>
        <w:keepLines w:val="0"/>
        <w:widowControl w:val="0"/>
        <w:shd w:val="clear" w:color="auto" w:fill="auto"/>
        <w:bidi w:val="0"/>
        <w:spacing w:before="0" w:after="60" w:line="340" w:lineRule="exact"/>
        <w:ind w:left="0" w:right="0" w:firstLine="0"/>
        <w:jc w:val="both"/>
      </w:pPr>
      <w:r>
        <w:rPr>
          <w:i/>
          <w:iCs/>
          <w:color w:val="000000"/>
          <w:spacing w:val="0"/>
          <w:w w:val="100"/>
          <w:position w:val="0"/>
        </w:rPr>
        <w:t>回</w:t>
      </w:r>
      <w:r>
        <w:rPr>
          <w:color w:val="000000"/>
          <w:spacing w:val="0"/>
          <w:w w:val="100"/>
          <w:position w:val="0"/>
        </w:rPr>
        <w:t>参考文献</w:t>
      </w:r>
    </w:p>
    <w:p w14:paraId="6D413294">
      <w:pPr>
        <w:pStyle w:val="17"/>
        <w:keepNext w:val="0"/>
        <w:keepLines w:val="0"/>
        <w:widowControl w:val="0"/>
        <w:shd w:val="clear" w:color="auto" w:fill="auto"/>
        <w:bidi w:val="0"/>
        <w:spacing w:before="0" w:after="0" w:line="317" w:lineRule="exact"/>
        <w:ind w:left="0" w:right="0" w:firstLine="0"/>
        <w:jc w:val="left"/>
        <w:rPr>
          <w:sz w:val="11"/>
          <w:szCs w:val="11"/>
        </w:rPr>
      </w:pPr>
      <w:r>
        <w:rPr>
          <w:rFonts w:ascii="Times New Roman" w:hAnsi="Times New Roman" w:eastAsia="Times New Roman" w:cs="Times New Roman"/>
          <w:color w:val="000000"/>
          <w:spacing w:val="0"/>
          <w:w w:val="100"/>
          <w:position w:val="0"/>
          <w:sz w:val="17"/>
          <w:szCs w:val="17"/>
          <w:lang w:val="en-US" w:eastAsia="en-US" w:bidi="en-US"/>
        </w:rPr>
        <w:t>G. H. Treitel</w:t>
      </w:r>
      <w:r>
        <w:rPr>
          <w:rFonts w:ascii="Times New Roman" w:hAnsi="Times New Roman" w:eastAsia="Times New Roman" w:cs="Times New Roman"/>
          <w:color w:val="000000"/>
          <w:spacing w:val="0"/>
          <w:w w:val="100"/>
          <w:position w:val="0"/>
          <w:sz w:val="17"/>
          <w:szCs w:val="17"/>
        </w:rPr>
        <w:t xml:space="preserve">, </w:t>
      </w:r>
      <w:r>
        <w:rPr>
          <w:i/>
          <w:iCs/>
          <w:color w:val="000000"/>
          <w:spacing w:val="0"/>
          <w:w w:val="100"/>
          <w:position w:val="0"/>
          <w:sz w:val="18"/>
          <w:szCs w:val="18"/>
          <w:lang w:val="en-US" w:eastAsia="en-US" w:bidi="en-US"/>
        </w:rPr>
        <w:t>Remedies for Breach of Contract, A Comparative Account,</w:t>
      </w:r>
      <w:r>
        <w:rPr>
          <w:rFonts w:ascii="Times New Roman" w:hAnsi="Times New Roman" w:eastAsia="Times New Roman" w:cs="Times New Roman"/>
          <w:color w:val="000000"/>
          <w:spacing w:val="0"/>
          <w:w w:val="100"/>
          <w:position w:val="0"/>
          <w:sz w:val="17"/>
          <w:szCs w:val="17"/>
          <w:lang w:val="en-US" w:eastAsia="en-US" w:bidi="en-US"/>
        </w:rPr>
        <w:t xml:space="preserve"> Clarendon Press, Oxford, 1988. </w:t>
      </w:r>
      <w:r>
        <w:rPr>
          <w:color w:val="000000"/>
          <w:spacing w:val="0"/>
          <w:w w:val="100"/>
          <w:position w:val="0"/>
          <w:sz w:val="11"/>
          <w:szCs w:val="11"/>
        </w:rPr>
        <w:t>史尚宽:《债法各论》，中国政法大学出版社</w:t>
      </w:r>
      <w:r>
        <w:rPr>
          <w:rFonts w:ascii="Times New Roman" w:hAnsi="Times New Roman" w:eastAsia="Times New Roman" w:cs="Times New Roman"/>
          <w:color w:val="000000"/>
          <w:spacing w:val="0"/>
          <w:w w:val="100"/>
          <w:position w:val="0"/>
          <w:sz w:val="17"/>
          <w:szCs w:val="17"/>
          <w:lang w:val="en-US" w:eastAsia="en-US" w:bidi="en-US"/>
        </w:rPr>
        <w:t>2000</w:t>
      </w:r>
      <w:r>
        <w:rPr>
          <w:color w:val="000000"/>
          <w:spacing w:val="0"/>
          <w:w w:val="100"/>
          <w:position w:val="0"/>
          <w:sz w:val="11"/>
          <w:szCs w:val="11"/>
        </w:rPr>
        <w:t>年版。</w:t>
      </w:r>
    </w:p>
    <w:p w14:paraId="1CB0046D">
      <w:pPr>
        <w:pStyle w:val="33"/>
        <w:keepNext w:val="0"/>
        <w:keepLines w:val="0"/>
        <w:widowControl w:val="0"/>
        <w:shd w:val="clear" w:color="auto" w:fill="auto"/>
        <w:bidi w:val="0"/>
        <w:spacing w:before="0" w:after="0" w:line="317" w:lineRule="exact"/>
        <w:ind w:left="0" w:right="0" w:firstLine="0"/>
        <w:jc w:val="left"/>
      </w:pPr>
      <w:r>
        <w:rPr>
          <w:color w:val="000000"/>
          <w:spacing w:val="0"/>
          <w:w w:val="100"/>
          <w:position w:val="0"/>
        </w:rPr>
        <w:t>崔建远:《合同法》（第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4DBEBAB4">
      <w:pPr>
        <w:pStyle w:val="33"/>
        <w:keepNext w:val="0"/>
        <w:keepLines w:val="0"/>
        <w:widowControl w:val="0"/>
        <w:shd w:val="clear" w:color="auto" w:fill="auto"/>
        <w:bidi w:val="0"/>
        <w:spacing w:before="0" w:after="0" w:line="317"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2D58432F">
      <w:pPr>
        <w:pStyle w:val="33"/>
        <w:keepNext w:val="0"/>
        <w:keepLines w:val="0"/>
        <w:widowControl w:val="0"/>
        <w:shd w:val="clear" w:color="auto" w:fill="auto"/>
        <w:bidi w:val="0"/>
        <w:spacing w:before="0" w:after="220" w:line="317" w:lineRule="exact"/>
        <w:ind w:left="0" w:right="0" w:firstLine="0"/>
        <w:jc w:val="left"/>
        <w:sectPr>
          <w:headerReference r:id="rId449" w:type="default"/>
          <w:headerReference r:id="rId450" w:type="even"/>
          <w:footnotePr>
            <w:numFmt w:val="chicago"/>
          </w:footnotePr>
          <w:pgSz w:w="10099" w:h="14782"/>
          <w:pgMar w:top="1254" w:right="994" w:bottom="1132" w:left="1100" w:header="0" w:footer="3" w:gutter="0"/>
          <w:pgNumType w:start="381"/>
          <w:cols w:space="720" w:num="1"/>
          <w:rtlGutter w:val="0"/>
          <w:docGrid w:linePitch="360" w:charSpace="0"/>
        </w:sectPr>
      </w:pPr>
      <w:r>
        <w:rPr>
          <w:color w:val="000000"/>
          <w:spacing w:val="0"/>
          <w:w w:val="100"/>
          <w:position w:val="0"/>
        </w:rPr>
        <w:t>金晶：《〈合同法〉第</w:t>
      </w:r>
      <w:r>
        <w:rPr>
          <w:rFonts w:ascii="Times New Roman" w:hAnsi="Times New Roman" w:eastAsia="Times New Roman" w:cs="Times New Roman"/>
          <w:color w:val="000000"/>
          <w:spacing w:val="0"/>
          <w:w w:val="100"/>
          <w:position w:val="0"/>
          <w:sz w:val="17"/>
          <w:szCs w:val="17"/>
        </w:rPr>
        <w:t>158</w:t>
      </w:r>
      <w:r>
        <w:rPr>
          <w:color w:val="000000"/>
          <w:spacing w:val="0"/>
          <w:w w:val="100"/>
          <w:position w:val="0"/>
        </w:rPr>
        <w:t>条评注（买受人的通知义务）》，载《法学家》</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4B1C0FE8">
      <w:pPr>
        <w:widowControl w:val="0"/>
        <w:spacing w:line="143" w:lineRule="exact"/>
        <w:rPr>
          <w:sz w:val="12"/>
          <w:szCs w:val="12"/>
        </w:rPr>
      </w:pPr>
    </w:p>
    <w:p w14:paraId="4C1B3E83">
      <w:pPr>
        <w:widowControl w:val="0"/>
        <w:spacing w:line="1" w:lineRule="exact"/>
        <w:sectPr>
          <w:headerReference r:id="rId451" w:type="default"/>
          <w:headerReference r:id="rId452" w:type="even"/>
          <w:footnotePr>
            <w:numFmt w:val="chicago"/>
          </w:footnotePr>
          <w:pgSz w:w="10099" w:h="14782"/>
          <w:pgMar w:top="1292" w:right="1078" w:bottom="1132" w:left="1027" w:header="0" w:footer="3" w:gutter="0"/>
          <w:pgNumType w:start="401"/>
          <w:cols w:space="720" w:num="1"/>
          <w:rtlGutter w:val="0"/>
          <w:docGrid w:linePitch="360" w:charSpace="0"/>
        </w:sectPr>
      </w:pPr>
    </w:p>
    <w:p w14:paraId="2E960226">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713105</wp:posOffset>
                </wp:positionH>
                <wp:positionV relativeFrom="paragraph">
                  <wp:posOffset>12700</wp:posOffset>
                </wp:positionV>
                <wp:extent cx="449580" cy="304800"/>
                <wp:effectExtent l="0" t="0" r="0" b="0"/>
                <wp:wrapSquare wrapText="right"/>
                <wp:docPr id="1047" name="Shape 1047"/>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343811FE">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rPr>
                              <w:t>078</w:t>
                            </w:r>
                          </w:p>
                        </w:txbxContent>
                      </wps:txbx>
                      <wps:bodyPr wrap="none" lIns="0" tIns="0" rIns="0" bIns="0">
                        <a:noAutofit/>
                      </wps:bodyPr>
                    </wps:wsp>
                  </a:graphicData>
                </a:graphic>
              </wp:anchor>
            </w:drawing>
          </mc:Choice>
          <mc:Fallback>
            <w:pict>
              <v:shape id="Shape 1047" o:spid="_x0000_s1026" o:spt="202" type="#_x0000_t202" style="position:absolute;left:0pt;margin-left:56.15pt;margin-top:1pt;height:24pt;width:35.4pt;mso-position-horizontal-relative:page;mso-wrap-distance-bottom:0pt;mso-wrap-distance-left:9pt;mso-wrap-distance-right:9pt;mso-wrap-distance-top:0pt;mso-wrap-style:none;z-index:251660288;mso-width-relative:page;mso-height-relative:page;" filled="f" stroked="f" coordsize="21600,21600" o:gfxdata="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f/CadQAAAAI&#10;AQAADwAAAAAAAAABACAAAAAiAAAAZHJzL2Rvd25yZXYueG1sUEsBAhQAFAAAAAgAh07iQE2zmFqu&#10;AQAAdQMAAA4AAAAAAAAAAQAgAAAAIwEAAGRycy9lMm9Eb2MueG1sUEsFBgAAAAAGAAYAWQEAAEMF&#10;AAAAAA==&#10;">
                <v:fill on="f" focussize="0,0"/>
                <v:stroke on="f"/>
                <v:imagedata o:title=""/>
                <o:lock v:ext="edit" aspectratio="f"/>
                <v:textbox inset="0mm,0mm,0mm,0mm">
                  <w:txbxContent>
                    <w:p w14:paraId="343811FE">
                      <w:pPr>
                        <w:pStyle w:val="29"/>
                        <w:keepNext w:val="0"/>
                        <w:keepLines w:val="0"/>
                        <w:widowControl w:val="0"/>
                        <w:shd w:val="clear" w:color="auto" w:fill="auto"/>
                        <w:bidi w:val="0"/>
                        <w:spacing w:before="0" w:after="0" w:line="240" w:lineRule="auto"/>
                        <w:ind w:left="0" w:right="0" w:firstLine="0"/>
                        <w:jc w:val="both"/>
                        <w:rPr>
                          <w:sz w:val="40"/>
                          <w:szCs w:val="40"/>
                        </w:rPr>
                      </w:pPr>
                      <w:r>
                        <w:rPr>
                          <w:rFonts w:ascii="Times New Roman" w:hAnsi="Times New Roman" w:eastAsia="Times New Roman" w:cs="Times New Roman"/>
                          <w:color w:val="000000"/>
                          <w:spacing w:val="0"/>
                          <w:w w:val="100"/>
                          <w:position w:val="0"/>
                          <w:sz w:val="40"/>
                          <w:szCs w:val="40"/>
                          <w:shd w:val="clear" w:color="auto" w:fill="FFFFFF"/>
                        </w:rPr>
                        <w:t>078</w:t>
                      </w:r>
                    </w:p>
                  </w:txbxContent>
                </v:textbox>
                <w10:wrap type="square" side="right"/>
              </v:shape>
            </w:pict>
          </mc:Fallback>
        </mc:AlternateContent>
      </w:r>
    </w:p>
    <w:p w14:paraId="0C7CB5E0">
      <w:pPr>
        <w:pStyle w:val="15"/>
        <w:keepNext/>
        <w:keepLines/>
        <w:widowControl w:val="0"/>
        <w:shd w:val="clear" w:color="auto" w:fill="auto"/>
        <w:bidi w:val="0"/>
        <w:spacing w:before="0" w:after="100" w:line="240" w:lineRule="auto"/>
        <w:ind w:left="0" w:right="0" w:firstLine="0"/>
        <w:jc w:val="left"/>
      </w:pPr>
      <w:bookmarkStart w:id="132" w:name="bookmark478"/>
      <w:bookmarkStart w:id="133" w:name="bookmark479"/>
      <w:bookmarkStart w:id="134" w:name="bookmark477"/>
      <w:r>
        <w:rPr>
          <w:color w:val="000000"/>
          <w:spacing w:val="0"/>
          <w:w w:val="100"/>
          <w:position w:val="0"/>
        </w:rPr>
        <w:t>借名购房中的多重法律关系</w:t>
      </w:r>
      <w:bookmarkEnd w:id="132"/>
      <w:bookmarkEnd w:id="133"/>
      <w:bookmarkEnd w:id="134"/>
    </w:p>
    <w:p w14:paraId="237295FE">
      <w:pPr>
        <w:pStyle w:val="17"/>
        <w:keepNext w:val="0"/>
        <w:keepLines w:val="0"/>
        <w:widowControl w:val="0"/>
        <w:shd w:val="clear" w:color="auto" w:fill="auto"/>
        <w:bidi w:val="0"/>
        <w:spacing w:before="0" w:after="360" w:line="319" w:lineRule="exact"/>
        <w:ind w:left="1020" w:right="0" w:firstLine="0"/>
        <w:jc w:val="both"/>
      </w:pPr>
      <w:r>
        <w:rPr>
          <w:color w:val="000000"/>
          <w:spacing w:val="0"/>
          <w:w w:val="100"/>
          <w:position w:val="0"/>
        </w:rPr>
        <w:t xml:space="preserve">陆某某、徐某与宋某某、章某某所有权确认纠纷案丨浙江省海宁市人民法院 </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嘉海民初字第</w:t>
      </w:r>
      <w:r>
        <w:rPr>
          <w:rFonts w:ascii="Times New Roman" w:hAnsi="Times New Roman" w:eastAsia="Times New Roman" w:cs="Times New Roman"/>
          <w:color w:val="000000"/>
          <w:spacing w:val="0"/>
          <w:w w:val="100"/>
          <w:position w:val="0"/>
          <w:sz w:val="19"/>
          <w:szCs w:val="19"/>
        </w:rPr>
        <w:t>3806</w:t>
      </w:r>
      <w:r>
        <w:rPr>
          <w:color w:val="000000"/>
          <w:spacing w:val="0"/>
          <w:w w:val="100"/>
          <w:position w:val="0"/>
        </w:rPr>
        <w:t>号民事判决书</w:t>
      </w:r>
    </w:p>
    <w:p w14:paraId="2BEA5AE5">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陈信勇</w:t>
      </w:r>
      <w:r>
        <w:rPr>
          <w:color w:val="000000"/>
          <w:spacing w:val="0"/>
          <w:w w:val="100"/>
          <w:position w:val="0"/>
        </w:rPr>
        <w:t>浙江大学光华法学院</w:t>
      </w:r>
    </w:p>
    <w:p w14:paraId="3303BE55">
      <w:pPr>
        <w:pStyle w:val="11"/>
        <w:keepNext w:val="0"/>
        <w:keepLines w:val="0"/>
        <w:widowControl w:val="0"/>
        <w:shd w:val="clear" w:color="auto" w:fill="auto"/>
        <w:bidi w:val="0"/>
        <w:spacing w:before="0" w:after="60" w:line="339"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5706EA7">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原告陆某某、徐某系夫妻，户籍均在农村。被告宋某某、章某某系夫妻，宋某某具有城镇 常住户口。陆某某与宋某某为朋友关系。</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年二原告欲购买海宁市硬石镇的一处房屋。 该房当时属原硬石镇政府所有。</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日被告宋某某以其名义为二原吿向原硬石 镇政府申请购买该房。购房款</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元及各项手续费为二原告支付。该房的房屋所有权证 （加盖</w:t>
      </w:r>
      <w:r>
        <w:rPr>
          <w:color w:val="000000"/>
          <w:spacing w:val="0"/>
          <w:w w:val="100"/>
          <w:position w:val="0"/>
          <w:lang w:val="zh-CN" w:eastAsia="zh-CN" w:bidi="zh-CN"/>
        </w:rPr>
        <w:t>“全部</w:t>
      </w:r>
      <w:r>
        <w:rPr>
          <w:color w:val="000000"/>
          <w:spacing w:val="0"/>
          <w:w w:val="100"/>
          <w:position w:val="0"/>
        </w:rPr>
        <w:t>出卖”字样）、房屋买卖审批表、买契本契、各类付款收据原件均由二原告持有保 管。买卖双方一直未办理房屋过户。所购房屋由二原告居住并出租至</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年该房被列入 拆迁范围止。</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日，海宁市旧城改造与建设投资开发有限公司（拆迁单位）与 被告就案涉房屋达成房屋拆迁货币补偿协议,被告领取了拆迁补偿款中的</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万元。为此，二 原告与被告产生纠纷，并诉至海宁市人民法院。</w:t>
      </w:r>
    </w:p>
    <w:p w14:paraId="40820F2C">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本案审理过程中,硬石街道办事处向法院作出书面说明表示，本案讼争房屋已由原所 有权人硬石镇政府于</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月有偿转让并实际交付宋某某,虽然买卖双方至今未办理房 屋过户，但已将编号为海字第</w:t>
      </w:r>
      <w:r>
        <w:rPr>
          <w:rFonts w:ascii="Times New Roman" w:hAnsi="Times New Roman" w:eastAsia="Times New Roman" w:cs="Times New Roman"/>
          <w:color w:val="000000"/>
          <w:spacing w:val="0"/>
          <w:w w:val="100"/>
          <w:position w:val="0"/>
          <w:sz w:val="19"/>
          <w:szCs w:val="19"/>
        </w:rPr>
        <w:t>010955</w:t>
      </w:r>
      <w:r>
        <w:rPr>
          <w:color w:val="000000"/>
          <w:spacing w:val="0"/>
          <w:w w:val="100"/>
          <w:position w:val="0"/>
        </w:rPr>
        <w:t>号房屋所有权证原件交由宋某某持有保管，原硬石镇 政府实际已不是该房的所有权人。</w:t>
      </w:r>
    </w:p>
    <w:p w14:paraId="12ABF486">
      <w:pPr>
        <w:pStyle w:val="11"/>
        <w:keepNext w:val="0"/>
        <w:keepLines w:val="0"/>
        <w:widowControl w:val="0"/>
        <w:shd w:val="clear" w:color="auto" w:fill="auto"/>
        <w:bidi w:val="0"/>
        <w:spacing w:before="0" w:after="60" w:line="339"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59029B9">
      <w:pPr>
        <w:pStyle w:val="17"/>
        <w:keepNext w:val="0"/>
        <w:keepLines w:val="0"/>
        <w:widowControl w:val="0"/>
        <w:shd w:val="clear" w:color="auto" w:fill="auto"/>
        <w:bidi w:val="0"/>
        <w:spacing w:before="0" w:after="360" w:line="335" w:lineRule="exact"/>
        <w:ind w:left="0" w:right="0" w:firstLine="420"/>
        <w:jc w:val="both"/>
      </w:pPr>
      <w:r>
        <w:rPr>
          <w:color w:val="000000"/>
          <w:spacing w:val="0"/>
          <w:w w:val="100"/>
          <w:position w:val="0"/>
        </w:rPr>
        <w:t>法院经审理认为，二原告要求确认讼争房屋为其所有的诉讼请求，事实依据充分,法院 予以支持。申请购房时，被告为名义上的购房人，但不是实际购房人，且房屋权属登记至今 未作变更，其也非房屋所有权证中载明的所有权人，故二被告认为本案讼争房屋为被告所 有的主张，法院不予采纳。判决讼争房屋为原告所有。</w:t>
      </w:r>
    </w:p>
    <w:p w14:paraId="78225DA8">
      <w:pPr>
        <w:pStyle w:val="11"/>
        <w:keepNext w:val="0"/>
        <w:keepLines w:val="0"/>
        <w:widowControl w:val="0"/>
        <w:shd w:val="clear" w:color="auto" w:fill="auto"/>
        <w:bidi w:val="0"/>
        <w:spacing w:before="0" w:after="100" w:line="339" w:lineRule="exact"/>
        <w:ind w:left="0" w:right="0" w:firstLine="0"/>
        <w:jc w:val="left"/>
      </w:pPr>
      <w:r>
        <w:rPr>
          <w:color w:val="000000"/>
          <w:spacing w:val="0"/>
          <w:w w:val="100"/>
          <w:position w:val="0"/>
        </w:rPr>
        <w:t>■评析</w:t>
      </w:r>
    </w:p>
    <w:p w14:paraId="408A55F8">
      <w:pPr>
        <w:pStyle w:val="17"/>
        <w:keepNext w:val="0"/>
        <w:keepLines w:val="0"/>
        <w:widowControl w:val="0"/>
        <w:shd w:val="clear" w:color="auto" w:fill="auto"/>
        <w:bidi w:val="0"/>
        <w:spacing w:before="0" w:after="60" w:line="339"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w:t>
      </w:r>
    </w:p>
    <w:p w14:paraId="261CC642">
      <w:pPr>
        <w:pStyle w:val="17"/>
        <w:keepNext w:val="0"/>
        <w:keepLines w:val="0"/>
        <w:widowControl w:val="0"/>
        <w:shd w:val="clear" w:color="auto" w:fill="auto"/>
        <w:bidi w:val="0"/>
        <w:spacing w:before="0" w:after="0" w:line="372" w:lineRule="exact"/>
        <w:ind w:left="0" w:right="0" w:firstLine="420"/>
        <w:jc w:val="both"/>
        <w:sectPr>
          <w:footnotePr>
            <w:numFmt w:val="chicago"/>
          </w:footnotePr>
          <w:type w:val="continuous"/>
          <w:pgSz w:w="10099" w:h="14782"/>
          <w:pgMar w:top="1292" w:right="1078" w:bottom="1132" w:left="1027" w:header="864" w:footer="704" w:gutter="0"/>
          <w:cols w:space="720" w:num="1"/>
          <w:rtlGutter w:val="0"/>
          <w:docGrid w:linePitch="360" w:charSpace="0"/>
        </w:sectPr>
      </w:pPr>
      <w:r>
        <w:rPr>
          <w:color w:val="000000"/>
          <w:spacing w:val="0"/>
          <w:w w:val="100"/>
          <w:position w:val="0"/>
        </w:rPr>
        <w:t>审理法院作出上述判决的依据有三点:一是原《民法通则》第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条，即民事活动应当遵 循自愿、公平、等价有偿、诚实信用的原则。但判决到底依据哪一项原则，并不明确。二是原 </w:t>
      </w:r>
    </w:p>
    <w:p w14:paraId="451B2FA4">
      <w:pPr>
        <w:pStyle w:val="17"/>
        <w:keepNext w:val="0"/>
        <w:keepLines w:val="0"/>
        <w:widowControl w:val="0"/>
        <w:shd w:val="clear" w:color="auto" w:fill="auto"/>
        <w:bidi w:val="0"/>
        <w:spacing w:before="0" w:after="0" w:line="372" w:lineRule="exact"/>
        <w:ind w:left="0" w:right="0" w:firstLine="0"/>
        <w:jc w:val="both"/>
      </w:pPr>
      <w:r>
        <w:rPr>
          <w:color w:val="000000"/>
          <w:spacing w:val="0"/>
          <w:w w:val="100"/>
          <w:position w:val="0"/>
        </w:rPr>
        <w:t>《物权法》第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条，即因物权的归属、内容发生争议的，利害关系人可以请求确认权利。这 是提起确认之诉的法律依据，并非判决讼争房屋归属的法律依据。三是</w:t>
      </w: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年修正的《民 事诉讼法》第</w:t>
      </w:r>
      <w:r>
        <w:rPr>
          <w:rFonts w:ascii="Times New Roman" w:hAnsi="Times New Roman" w:eastAsia="Times New Roman" w:cs="Times New Roman"/>
          <w:color w:val="000000"/>
          <w:spacing w:val="0"/>
          <w:w w:val="100"/>
          <w:position w:val="0"/>
          <w:sz w:val="19"/>
          <w:szCs w:val="19"/>
        </w:rPr>
        <w:t>128</w:t>
      </w:r>
      <w:r>
        <w:rPr>
          <w:color w:val="000000"/>
          <w:spacing w:val="0"/>
          <w:w w:val="100"/>
          <w:position w:val="0"/>
        </w:rPr>
        <w:t>条（现为第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条），即法庭辩论终结,应当依法作出判决。判决前能够调 解的，还可以进行调解，调解不成的，应当及时判决。这是作出判决的程序法依据。综观以 上三项裁判依据，除了第一项并未明确的基本原则外,法官是在完全没有找到可适用的实 体法依据的情况下作出了判决。</w:t>
      </w:r>
    </w:p>
    <w:p w14:paraId="536405B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就讼争房屋的所有权归属而言，法院在审理过程中已查明，该房</w:t>
      </w:r>
      <w:r>
        <w:rPr>
          <w:color w:val="000000"/>
          <w:spacing w:val="0"/>
          <w:w w:val="100"/>
          <w:position w:val="0"/>
          <w:lang w:val="zh-CN" w:eastAsia="zh-CN" w:bidi="zh-CN"/>
        </w:rPr>
        <w:t>“因</w:t>
      </w:r>
      <w:r>
        <w:rPr>
          <w:color w:val="000000"/>
          <w:spacing w:val="0"/>
          <w:w w:val="100"/>
          <w:position w:val="0"/>
        </w:rPr>
        <w:t>故一直未办理房屋 权属变更登记，仍在原硬石镇政府名下”。尽管硬石街道办事处已向法院说明原硬石镇政 府“不是本案讼争房屋的实际所有权人，，，但法院判决房屋归属的首要根据是不动产登记簿 的记载内容，而非当事人或案外人的陈述,且该房屋登记于原硬石镇政府名下，并不存在任 何可证明其登记错误的相反证据。被告于</w:t>
      </w:r>
      <w:r>
        <w:rPr>
          <w:rFonts w:ascii="Times New Roman" w:hAnsi="Times New Roman" w:eastAsia="Times New Roman" w:cs="Times New Roman"/>
          <w:color w:val="000000"/>
          <w:spacing w:val="0"/>
          <w:w w:val="100"/>
          <w:position w:val="0"/>
          <w:sz w:val="19"/>
          <w:szCs w:val="19"/>
        </w:rPr>
        <w:t>1992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日向原硬石镇政府申请购买该 房,硬石镇政府同意出售，双方的房屋买卖合同成立，但因未办理房屋权属变更登记而未发 生房屋所有权转移。毫无疑问,讼争房屋既不属于原告所有，也非被告所有,仍属硬石街道 办事处所有。显然，法院在没有明确法律依据的情况下，将案外人——硬石街道办事 处——所有的房屋判归了二原告所有，该判决是值得商榷的。</w:t>
      </w:r>
    </w:p>
    <w:p w14:paraId="2A8E731A">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法院在审理确认房屋所有权的诉讼中，如发现房屋属第三人所有，可向当事人释明。 原告可变更诉讼请求（本案实质争议并非房屋所有权归属，而是拆迁补偿款归属）。如果原 告变更确认房屋所有权的诉讼请求为请求转交拆迁补偿款诉讼请求的，可继续审理并依法 作出判决;如果原告坚持不变更诉讼请求，则判决不支持其诉讼请求，拆迁补偿款归属纠纷 另行解决。依据《民事诉讼法》的有关规定（现为《民事诉讼法》第</w:t>
      </w:r>
      <w:r>
        <w:rPr>
          <w:rFonts w:ascii="Times New Roman" w:hAnsi="Times New Roman" w:eastAsia="Times New Roman" w:cs="Times New Roman"/>
          <w:color w:val="000000"/>
          <w:spacing w:val="0"/>
          <w:w w:val="100"/>
          <w:position w:val="0"/>
          <w:sz w:val="19"/>
          <w:szCs w:val="19"/>
        </w:rPr>
        <w:t>56</w:t>
      </w:r>
      <w:r>
        <w:rPr>
          <w:color w:val="000000"/>
          <w:spacing w:val="0"/>
          <w:w w:val="100"/>
          <w:position w:val="0"/>
        </w:rPr>
        <w:t>条），硬石街道办事处、 拆迁单位均与本案处理结果有法律上的利害关系，可以申请参加诉讼，或者由人民法院通 知其参加诉讼。法院应当全面分析在原告、被告及第三人硬石街道办事处、拆迁单位之间 发生的各项法律事实，以及由此产生的多重法律关系后，最终作出令人信服的判决。</w:t>
      </w:r>
    </w:p>
    <w:p w14:paraId="0241263A">
      <w:pPr>
        <w:pStyle w:val="17"/>
        <w:keepNext w:val="0"/>
        <w:keepLines w:val="0"/>
        <w:widowControl w:val="0"/>
        <w:shd w:val="clear" w:color="auto" w:fill="auto"/>
        <w:bidi w:val="0"/>
        <w:spacing w:before="0" w:after="160" w:line="343"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既有的司法实践状况</w:t>
      </w:r>
    </w:p>
    <w:p w14:paraId="2DFC5FFE">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本案是因借名购房引起的民事纠纷案件。司法实践中，借名购房引起的纠纷案件并不 少见。借名购房大致上可分为:为规避限购令而借名购房;不符合经济适用住房购买条件 者借名购房;不符合其他购买资格者（如单位职工购买资格）借名购房;家庭成员之间借名 购房;其他原因借名购房。不同原因的借名购房类型，其处理应当有所不同。</w:t>
      </w:r>
    </w:p>
    <w:p w14:paraId="421E36A1">
      <w:pPr>
        <w:pStyle w:val="17"/>
        <w:keepNext w:val="0"/>
        <w:keepLines w:val="0"/>
        <w:widowControl w:val="0"/>
        <w:shd w:val="clear" w:color="auto" w:fill="auto"/>
        <w:bidi w:val="0"/>
        <w:spacing w:before="0" w:after="0" w:line="341" w:lineRule="exact"/>
        <w:ind w:left="0" w:right="0" w:firstLine="420"/>
        <w:jc w:val="both"/>
        <w:sectPr>
          <w:headerReference r:id="rId453" w:type="default"/>
          <w:headerReference r:id="rId454" w:type="even"/>
          <w:footnotePr>
            <w:numFmt w:val="chicago"/>
          </w:footnotePr>
          <w:pgSz w:w="10099" w:h="14782"/>
          <w:pgMar w:top="1292" w:right="1078" w:bottom="1132" w:left="1027" w:header="0" w:footer="704" w:gutter="0"/>
          <w:pgNumType w:start="386"/>
          <w:cols w:space="720" w:num="1"/>
          <w:rtlGutter w:val="0"/>
          <w:docGrid w:linePitch="360" w:charSpace="0"/>
        </w:sectPr>
      </w:pPr>
      <w:r>
        <w:rPr>
          <w:color w:val="000000"/>
          <w:spacing w:val="0"/>
          <w:w w:val="100"/>
          <w:position w:val="0"/>
        </w:rPr>
        <w:t>在</w:t>
      </w:r>
      <w:r>
        <w:rPr>
          <w:color w:val="000000"/>
          <w:spacing w:val="0"/>
          <w:w w:val="100"/>
          <w:position w:val="0"/>
          <w:lang w:val="zh-CN" w:eastAsia="zh-CN" w:bidi="zh-CN"/>
        </w:rPr>
        <w:t>“汪某</w:t>
      </w:r>
      <w:r>
        <w:rPr>
          <w:color w:val="000000"/>
          <w:spacing w:val="0"/>
          <w:w w:val="100"/>
          <w:position w:val="0"/>
        </w:rPr>
        <w:t>某与武汉融广资产管理有限公司、邱某某、胡某某委托合同纠纷案</w:t>
      </w:r>
      <w:r>
        <w:rPr>
          <w:color w:val="000000"/>
          <w:spacing w:val="0"/>
          <w:w w:val="100"/>
          <w:position w:val="0"/>
          <w:sz w:val="11"/>
          <w:szCs w:val="11"/>
          <w:lang w:val="zh-CN" w:eastAsia="zh-CN" w:bidi="zh-CN"/>
        </w:rPr>
        <w:t>”［武</w:t>
      </w:r>
      <w:r>
        <w:rPr>
          <w:color w:val="000000"/>
          <w:spacing w:val="0"/>
          <w:w w:val="100"/>
          <w:position w:val="0"/>
          <w:sz w:val="11"/>
          <w:szCs w:val="11"/>
        </w:rPr>
        <w:t>汉市武 昌区人民法院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鄂</w:t>
      </w:r>
      <w:r>
        <w:rPr>
          <w:rFonts w:ascii="Times New Roman" w:hAnsi="Times New Roman" w:eastAsia="Times New Roman" w:cs="Times New Roman"/>
          <w:color w:val="000000"/>
          <w:spacing w:val="0"/>
          <w:w w:val="100"/>
          <w:position w:val="0"/>
          <w:sz w:val="17"/>
          <w:szCs w:val="17"/>
        </w:rPr>
        <w:t>0106</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11146</w:t>
      </w:r>
      <w:r>
        <w:rPr>
          <w:color w:val="000000"/>
          <w:spacing w:val="0"/>
          <w:w w:val="100"/>
          <w:position w:val="0"/>
          <w:sz w:val="11"/>
          <w:szCs w:val="11"/>
        </w:rPr>
        <w:t>号、武汉市中级人民法院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鄂</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11246</w:t>
      </w:r>
      <w:r>
        <w:rPr>
          <w:color w:val="000000"/>
          <w:spacing w:val="0"/>
          <w:w w:val="100"/>
          <w:position w:val="0"/>
          <w:sz w:val="11"/>
          <w:szCs w:val="11"/>
        </w:rPr>
        <w:t>号民事判决 书］</w:t>
      </w:r>
      <w:r>
        <w:rPr>
          <w:color w:val="000000"/>
          <w:spacing w:val="0"/>
          <w:w w:val="100"/>
          <w:position w:val="0"/>
        </w:rPr>
        <w:t xml:space="preserve">中,汪某某和邱某某签订《借名购房协议》，约定:邱某某因故不便以自己名义购买新的 住房,委托汪某某以汪某某名义购买御景苑房屋一套。汪某某接受邱某某的委托，以汪某 某名义签订房屋买卖合同，但实际购房款及相关费用全部由邱某某支付，邱某某是实际出 资人和房屋的实际所有人。后邱某某以汪某某的名义将房屋售与金某某，汪某某认为案涉 房屋归其所有，向法院起诉请求返还出售房屋房款。一审法院认为，《借名购房协议》合法 </w:t>
      </w:r>
    </w:p>
    <w:p w14:paraId="7816F212">
      <w:pPr>
        <w:pStyle w:val="17"/>
        <w:keepNext w:val="0"/>
        <w:keepLines w:val="0"/>
        <w:widowControl w:val="0"/>
        <w:shd w:val="clear" w:color="auto" w:fill="auto"/>
        <w:bidi w:val="0"/>
        <w:spacing w:before="0" w:after="0" w:line="341" w:lineRule="exact"/>
        <w:ind w:left="0" w:right="0" w:firstLine="0"/>
        <w:jc w:val="both"/>
      </w:pPr>
      <w:r>
        <w:rPr>
          <w:color w:val="000000"/>
          <w:spacing w:val="0"/>
          <w:w w:val="100"/>
          <w:position w:val="0"/>
        </w:rPr>
        <w:t>有效,按照合同约定，不动产登记簿上记载的事项与实际状况不一致，汪某某只是房屋的名 义所有人，邱某某享有实际权利。在借名购房的情形下，借名人邱某某对房屋享有的所有 权属于事实物权中的符合当事人本意的事实物权，故确认其权利自是当然之义。一审法院 据此认定案涉房屋属基于《借名购房协议》约定的事实物权人所有。二审法院维持一审判 决。本案的裁判思路是基于《借名购房协议》约定产生的</w:t>
      </w:r>
      <w:r>
        <w:rPr>
          <w:color w:val="000000"/>
          <w:spacing w:val="0"/>
          <w:w w:val="100"/>
          <w:position w:val="0"/>
          <w:lang w:val="zh-CN" w:eastAsia="zh-CN" w:bidi="zh-CN"/>
        </w:rPr>
        <w:t>“事实</w:t>
      </w:r>
      <w:r>
        <w:rPr>
          <w:color w:val="000000"/>
          <w:spacing w:val="0"/>
          <w:w w:val="100"/>
          <w:position w:val="0"/>
        </w:rPr>
        <w:t>物权”高于基于不动产登记 产生的</w:t>
      </w:r>
      <w:r>
        <w:rPr>
          <w:color w:val="000000"/>
          <w:spacing w:val="0"/>
          <w:w w:val="100"/>
          <w:position w:val="0"/>
          <w:lang w:val="zh-CN" w:eastAsia="zh-CN" w:bidi="zh-CN"/>
        </w:rPr>
        <w:t>“法</w:t>
      </w:r>
      <w:r>
        <w:rPr>
          <w:color w:val="000000"/>
          <w:spacing w:val="0"/>
          <w:w w:val="100"/>
          <w:position w:val="0"/>
        </w:rPr>
        <w:t>律物权</w:t>
      </w:r>
      <w:r>
        <w:rPr>
          <w:color w:val="000000"/>
          <w:spacing w:val="0"/>
          <w:w w:val="100"/>
          <w:position w:val="0"/>
          <w:lang w:val="zh-CN" w:eastAsia="zh-CN" w:bidi="zh-CN"/>
        </w:rPr>
        <w:t>”。但</w:t>
      </w:r>
      <w:r>
        <w:rPr>
          <w:color w:val="000000"/>
          <w:spacing w:val="0"/>
          <w:w w:val="100"/>
          <w:position w:val="0"/>
        </w:rPr>
        <w:t>《借名购房协议》约定产生的所谓</w:t>
      </w:r>
      <w:r>
        <w:rPr>
          <w:color w:val="000000"/>
          <w:spacing w:val="0"/>
          <w:w w:val="100"/>
          <w:position w:val="0"/>
          <w:lang w:val="zh-CN" w:eastAsia="zh-CN" w:bidi="zh-CN"/>
        </w:rPr>
        <w:t>“事实</w:t>
      </w:r>
      <w:r>
        <w:rPr>
          <w:color w:val="000000"/>
          <w:spacing w:val="0"/>
          <w:w w:val="100"/>
          <w:position w:val="0"/>
        </w:rPr>
        <w:t>物权”，事实上只是债权。 此种判决以</w:t>
      </w:r>
      <w:r>
        <w:rPr>
          <w:color w:val="000000"/>
          <w:spacing w:val="0"/>
          <w:w w:val="100"/>
          <w:position w:val="0"/>
          <w:lang w:val="zh-CN" w:eastAsia="zh-CN" w:bidi="zh-CN"/>
        </w:rPr>
        <w:t>“事实</w:t>
      </w:r>
      <w:r>
        <w:rPr>
          <w:color w:val="000000"/>
          <w:spacing w:val="0"/>
          <w:w w:val="100"/>
          <w:position w:val="0"/>
        </w:rPr>
        <w:t>物权高于法律物权”为由，将物权一分为二，实际上坚持物债不分,甚至债 权高于物权，将基于债权请求权的给付之诉与基于物权归属的确认之诉相混淆。</w:t>
      </w:r>
    </w:p>
    <w:p w14:paraId="5E0E7DD4">
      <w:pPr>
        <w:pStyle w:val="17"/>
        <w:keepNext w:val="0"/>
        <w:keepLines w:val="0"/>
        <w:widowControl w:val="0"/>
        <w:shd w:val="clear" w:color="auto" w:fill="auto"/>
        <w:bidi w:val="0"/>
        <w:spacing w:before="0" w:after="0" w:line="340" w:lineRule="exact"/>
        <w:ind w:left="0" w:right="0"/>
        <w:jc w:val="both"/>
      </w:pPr>
      <w:r>
        <w:rPr>
          <w:color w:val="000000"/>
          <w:spacing w:val="0"/>
          <w:w w:val="100"/>
          <w:position w:val="0"/>
        </w:rPr>
        <w:t>在原告</w:t>
      </w:r>
      <w:r>
        <w:rPr>
          <w:color w:val="000000"/>
          <w:spacing w:val="0"/>
          <w:w w:val="100"/>
          <w:position w:val="0"/>
          <w:lang w:val="zh-CN" w:eastAsia="zh-CN" w:bidi="zh-CN"/>
        </w:rPr>
        <w:t>“吕</w:t>
      </w:r>
      <w:r>
        <w:rPr>
          <w:color w:val="000000"/>
          <w:spacing w:val="0"/>
          <w:w w:val="100"/>
          <w:position w:val="0"/>
        </w:rPr>
        <w:t>某程、邵某虎与被告阮某、吕某发所有权确认纠纷案</w:t>
      </w:r>
      <w:r>
        <w:rPr>
          <w:color w:val="000000"/>
          <w:spacing w:val="0"/>
          <w:w w:val="100"/>
          <w:position w:val="0"/>
          <w:sz w:val="11"/>
          <w:szCs w:val="11"/>
          <w:lang w:val="zh-CN" w:eastAsia="zh-CN" w:bidi="zh-CN"/>
        </w:rPr>
        <w:t>”［杭</w:t>
      </w:r>
      <w:r>
        <w:rPr>
          <w:color w:val="000000"/>
          <w:spacing w:val="0"/>
          <w:w w:val="100"/>
          <w:position w:val="0"/>
          <w:sz w:val="11"/>
          <w:szCs w:val="11"/>
        </w:rPr>
        <w:t xml:space="preserve">州市西湖区人民法院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杭西民初字第</w:t>
      </w:r>
      <w:r>
        <w:rPr>
          <w:rFonts w:ascii="Times New Roman" w:hAnsi="Times New Roman" w:eastAsia="Times New Roman" w:cs="Times New Roman"/>
          <w:color w:val="000000"/>
          <w:spacing w:val="0"/>
          <w:w w:val="100"/>
          <w:position w:val="0"/>
          <w:sz w:val="17"/>
          <w:szCs w:val="17"/>
        </w:rPr>
        <w:t>1181</w:t>
      </w:r>
      <w:r>
        <w:rPr>
          <w:color w:val="000000"/>
          <w:spacing w:val="0"/>
          <w:w w:val="100"/>
          <w:position w:val="0"/>
          <w:sz w:val="11"/>
          <w:szCs w:val="11"/>
        </w:rPr>
        <w:t>号、杭州市中级人民法院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浙杭民终字第</w:t>
      </w:r>
      <w:r>
        <w:rPr>
          <w:rFonts w:ascii="Times New Roman" w:hAnsi="Times New Roman" w:eastAsia="Times New Roman" w:cs="Times New Roman"/>
          <w:color w:val="000000"/>
          <w:spacing w:val="0"/>
          <w:w w:val="100"/>
          <w:position w:val="0"/>
          <w:sz w:val="17"/>
          <w:szCs w:val="17"/>
        </w:rPr>
        <w:t>1788</w:t>
      </w:r>
      <w:r>
        <w:rPr>
          <w:color w:val="000000"/>
          <w:spacing w:val="0"/>
          <w:w w:val="100"/>
          <w:position w:val="0"/>
          <w:sz w:val="11"/>
          <w:szCs w:val="11"/>
        </w:rPr>
        <w:t>号、浙江省高级人民法 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浙民提字第</w:t>
      </w:r>
      <w:r>
        <w:rPr>
          <w:rFonts w:ascii="Times New Roman" w:hAnsi="Times New Roman" w:eastAsia="Times New Roman" w:cs="Times New Roman"/>
          <w:color w:val="000000"/>
          <w:spacing w:val="0"/>
          <w:w w:val="100"/>
          <w:position w:val="0"/>
          <w:sz w:val="17"/>
          <w:szCs w:val="17"/>
        </w:rPr>
        <w:t>82</w:t>
      </w:r>
      <w:r>
        <w:rPr>
          <w:color w:val="000000"/>
          <w:spacing w:val="0"/>
          <w:w w:val="100"/>
          <w:position w:val="0"/>
          <w:sz w:val="11"/>
          <w:szCs w:val="11"/>
        </w:rPr>
        <w:t>号民事判决书］</w:t>
      </w:r>
      <w:r>
        <w:rPr>
          <w:color w:val="000000"/>
          <w:spacing w:val="0"/>
          <w:w w:val="100"/>
          <w:position w:val="0"/>
        </w:rPr>
        <w:t>中，吕某程与丈夫邵某虎出资，借父（吕某发）、母（阮 某）名义购买父亲所在单位的房屋（所涉房屋非经济适用房或房改房，但与吕某发作为单位 职工身份有一定关系）。购买后，房屋登记于被告名下，由原告出资装修并居住。原告请求 被告协助办理过户手续，遭到其母阮某拒绝，遂诉至法院。一审法院以原告为实际购买人， 被告仅为名义购买人为由，依据原《民法通则》第</w:t>
      </w:r>
      <w:r>
        <w:rPr>
          <w:rFonts w:ascii="Times New Roman" w:hAnsi="Times New Roman" w:eastAsia="Times New Roman" w:cs="Times New Roman"/>
          <w:color w:val="000000"/>
          <w:spacing w:val="0"/>
          <w:w w:val="100"/>
          <w:position w:val="0"/>
          <w:sz w:val="17"/>
          <w:szCs w:val="17"/>
        </w:rPr>
        <w:t>72</w:t>
      </w:r>
      <w:r>
        <w:rPr>
          <w:color w:val="000000"/>
          <w:spacing w:val="0"/>
          <w:w w:val="100"/>
          <w:position w:val="0"/>
        </w:rPr>
        <w:t>条、原《物权法》第</w:t>
      </w:r>
      <w:r>
        <w:rPr>
          <w:rFonts w:ascii="Times New Roman" w:hAnsi="Times New Roman" w:eastAsia="Times New Roman" w:cs="Times New Roman"/>
          <w:color w:val="000000"/>
          <w:spacing w:val="0"/>
          <w:w w:val="100"/>
          <w:position w:val="0"/>
          <w:sz w:val="17"/>
          <w:szCs w:val="17"/>
        </w:rPr>
        <w:t>33</w:t>
      </w:r>
      <w:r>
        <w:rPr>
          <w:color w:val="000000"/>
          <w:spacing w:val="0"/>
          <w:w w:val="100"/>
          <w:position w:val="0"/>
        </w:rPr>
        <w:t>条判决涉案房屋 属原告所有。二审法院则以原告提交的证据不足以推翻房屋权属证书的登记效力为由，撤 销一审判决,对原告提出的确认讼争房屋归其所有，由被告协助办理房屋所有权变更登记 的诉讼请求不予支持。再审法院撤销了二审判决，维持了一审判决。从本案的三次判决中， 我们可以发现许多漏洞。原《物权法》第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款（《民法典》第</w:t>
      </w:r>
      <w:r>
        <w:rPr>
          <w:rFonts w:ascii="Times New Roman" w:hAnsi="Times New Roman" w:eastAsia="Times New Roman" w:cs="Times New Roman"/>
          <w:color w:val="000000"/>
          <w:spacing w:val="0"/>
          <w:w w:val="100"/>
          <w:position w:val="0"/>
          <w:sz w:val="17"/>
          <w:szCs w:val="17"/>
        </w:rPr>
        <w:t>209</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xml:space="preserve">款）明确规定： </w:t>
      </w:r>
      <w:r>
        <w:rPr>
          <w:color w:val="000000"/>
          <w:spacing w:val="0"/>
          <w:w w:val="100"/>
          <w:position w:val="0"/>
          <w:lang w:val="zh-CN" w:eastAsia="zh-CN" w:bidi="zh-CN"/>
        </w:rPr>
        <w:t>“不动</w:t>
      </w:r>
      <w:r>
        <w:rPr>
          <w:color w:val="000000"/>
          <w:spacing w:val="0"/>
          <w:w w:val="100"/>
          <w:position w:val="0"/>
        </w:rPr>
        <w:t>产物权的设立、变更、转让和消灭，经依法登记，发生效力;未经登记，不发生效力，但 法律另有规定的除外</w:t>
      </w:r>
      <w:r>
        <w:rPr>
          <w:color w:val="000000"/>
          <w:spacing w:val="0"/>
          <w:w w:val="100"/>
          <w:position w:val="0"/>
          <w:lang w:val="zh-CN" w:eastAsia="zh-CN" w:bidi="zh-CN"/>
        </w:rPr>
        <w:t>。”本</w:t>
      </w:r>
      <w:r>
        <w:rPr>
          <w:color w:val="000000"/>
          <w:spacing w:val="0"/>
          <w:w w:val="100"/>
          <w:position w:val="0"/>
        </w:rPr>
        <w:t>案中原被告约定所购房屋归原告所有，这种约定能否直接发生物 权效力，或者具有高于不动产登记的效力，一审、再审判决裁判依据是否充足，不无疑问。二 审判决虽然肯定了不动产登记的推定效力，但完全忽视原被告之间借名购房协议这个法律 行为的效力，缺陷也很明显。</w:t>
      </w:r>
    </w:p>
    <w:p w14:paraId="091002BD">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在</w:t>
      </w:r>
      <w:r>
        <w:rPr>
          <w:color w:val="000000"/>
          <w:spacing w:val="0"/>
          <w:w w:val="100"/>
          <w:position w:val="0"/>
          <w:lang w:val="zh-CN" w:eastAsia="zh-CN" w:bidi="zh-CN"/>
        </w:rPr>
        <w:t>“刘某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与刘某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合同纠纷案</w:t>
      </w:r>
      <w:r>
        <w:rPr>
          <w:color w:val="000000"/>
          <w:spacing w:val="0"/>
          <w:w w:val="100"/>
          <w:position w:val="0"/>
          <w:sz w:val="11"/>
          <w:szCs w:val="11"/>
          <w:lang w:val="zh-CN" w:eastAsia="zh-CN" w:bidi="zh-CN"/>
        </w:rPr>
        <w:t>”［北</w:t>
      </w:r>
      <w:r>
        <w:rPr>
          <w:color w:val="000000"/>
          <w:spacing w:val="0"/>
          <w:w w:val="100"/>
          <w:position w:val="0"/>
          <w:sz w:val="11"/>
          <w:szCs w:val="11"/>
        </w:rPr>
        <w:t>京市海淀区人民法院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0108</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20460</w:t>
      </w:r>
      <w:r>
        <w:rPr>
          <w:color w:val="000000"/>
          <w:spacing w:val="0"/>
          <w:w w:val="100"/>
          <w:position w:val="0"/>
          <w:sz w:val="11"/>
          <w:szCs w:val="11"/>
        </w:rPr>
        <w:t>号、北京 市第一中级人民法院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7801</w:t>
      </w:r>
      <w:r>
        <w:rPr>
          <w:color w:val="000000"/>
          <w:spacing w:val="0"/>
          <w:w w:val="100"/>
          <w:position w:val="0"/>
          <w:sz w:val="11"/>
          <w:szCs w:val="11"/>
        </w:rPr>
        <w:t>号民事判决书］</w:t>
      </w:r>
      <w:r>
        <w:rPr>
          <w:color w:val="000000"/>
          <w:spacing w:val="0"/>
          <w:w w:val="100"/>
          <w:position w:val="0"/>
        </w:rPr>
        <w:t>中，刘某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借刘某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之名购买北京市的 经济适用房。一审法院根据证人证言、付款凭据和居住事实等认定借名购房合同关系成 立。案涉房屋性质虽为经济适用房，但其原购房合同的签署时间为</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年，已超过限制上 市交易期限,且刘某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现具有在京购房资格，故依据原《合同法》第</w:t>
      </w:r>
      <w:r>
        <w:rPr>
          <w:rFonts w:ascii="Times New Roman" w:hAnsi="Times New Roman" w:eastAsia="Times New Roman" w:cs="Times New Roman"/>
          <w:color w:val="000000"/>
          <w:spacing w:val="0"/>
          <w:w w:val="100"/>
          <w:position w:val="0"/>
          <w:sz w:val="17"/>
          <w:szCs w:val="17"/>
        </w:rPr>
        <w:t>107</w:t>
      </w:r>
      <w:r>
        <w:rPr>
          <w:color w:val="000000"/>
          <w:spacing w:val="0"/>
          <w:w w:val="100"/>
          <w:position w:val="0"/>
        </w:rPr>
        <w:t>条，判决刘某</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协助 刘某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办理该房屋的所有权登记变更手续。二审法院维持一审判决。该案并没有直接判决 案涉房屋归借名人所有，而是判决出名人协助借名人办理案涉房屋过户手续。此种判决没 有物债不分，但对借名购房合同属于何种合同未做分析,也未援引相应的法律依据。</w:t>
      </w:r>
    </w:p>
    <w:p w14:paraId="4522C1CD">
      <w:pPr>
        <w:pStyle w:val="17"/>
        <w:keepNext w:val="0"/>
        <w:keepLines w:val="0"/>
        <w:widowControl w:val="0"/>
        <w:shd w:val="clear" w:color="auto" w:fill="auto"/>
        <w:bidi w:val="0"/>
        <w:spacing w:before="0" w:after="0" w:line="343" w:lineRule="exact"/>
        <w:ind w:left="0" w:right="0"/>
        <w:jc w:val="both"/>
        <w:sectPr>
          <w:headerReference r:id="rId455" w:type="default"/>
          <w:headerReference r:id="rId456" w:type="even"/>
          <w:footnotePr>
            <w:numFmt w:val="chicago"/>
          </w:footnotePr>
          <w:pgSz w:w="10099" w:h="14782"/>
          <w:pgMar w:top="1292" w:right="1078" w:bottom="1132" w:left="1027" w:header="0" w:footer="704" w:gutter="0"/>
          <w:pgNumType w:start="403"/>
          <w:cols w:space="720" w:num="1"/>
          <w:rtlGutter w:val="0"/>
          <w:docGrid w:linePitch="360" w:charSpace="0"/>
        </w:sectPr>
      </w:pPr>
      <w:r>
        <w:rPr>
          <w:color w:val="000000"/>
          <w:spacing w:val="0"/>
          <w:w w:val="100"/>
          <w:position w:val="0"/>
        </w:rPr>
        <w:t>其余类型的借名购房恕不一一举例。</w:t>
      </w:r>
    </w:p>
    <w:p w14:paraId="359225FC">
      <w:pPr>
        <w:pStyle w:val="17"/>
        <w:keepNext w:val="0"/>
        <w:keepLines w:val="0"/>
        <w:widowControl w:val="0"/>
        <w:shd w:val="clear" w:color="auto" w:fill="auto"/>
        <w:bidi w:val="0"/>
        <w:spacing w:before="0" w:after="180" w:line="33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学理辨析</w:t>
      </w:r>
    </w:p>
    <w:p w14:paraId="32F9CD35">
      <w:pPr>
        <w:pStyle w:val="17"/>
        <w:keepNext w:val="0"/>
        <w:keepLines w:val="0"/>
        <w:widowControl w:val="0"/>
        <w:shd w:val="clear" w:color="auto" w:fill="auto"/>
        <w:bidi w:val="0"/>
        <w:spacing w:before="0" w:after="0" w:line="334" w:lineRule="exact"/>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.关于借名购房协议的性质</w:t>
      </w:r>
    </w:p>
    <w:p w14:paraId="373A6D34">
      <w:pPr>
        <w:pStyle w:val="17"/>
        <w:keepNext w:val="0"/>
        <w:keepLines w:val="0"/>
        <w:widowControl w:val="0"/>
        <w:shd w:val="clear" w:color="auto" w:fill="auto"/>
        <w:bidi w:val="0"/>
        <w:spacing w:before="0" w:after="0" w:line="334" w:lineRule="exact"/>
        <w:ind w:left="0" w:right="0" w:firstLine="420"/>
        <w:jc w:val="both"/>
      </w:pPr>
      <w:r>
        <w:rPr>
          <w:color w:val="000000"/>
          <w:spacing w:val="0"/>
          <w:w w:val="100"/>
          <w:position w:val="0"/>
        </w:rPr>
        <w:t>关于借名人与出名人达成的借名购房协议的性质，当前主要存在间接代理说、信托合 同说、行纪合同说、混合合同说、无名合同说、委托合同说等学说。</w:t>
      </w:r>
    </w:p>
    <w:p w14:paraId="34EF4B30">
      <w:pPr>
        <w:pStyle w:val="17"/>
        <w:keepNext w:val="0"/>
        <w:keepLines w:val="0"/>
        <w:widowControl w:val="0"/>
        <w:shd w:val="clear" w:color="auto" w:fill="auto"/>
        <w:bidi w:val="0"/>
        <w:spacing w:before="0" w:after="0" w:line="334" w:lineRule="exact"/>
        <w:ind w:left="0" w:right="0" w:firstLine="420"/>
        <w:jc w:val="both"/>
        <w:rPr>
          <w:sz w:val="11"/>
          <w:szCs w:val="11"/>
        </w:rPr>
      </w:pPr>
      <w:r>
        <w:rPr>
          <w:color w:val="000000"/>
          <w:spacing w:val="0"/>
          <w:w w:val="100"/>
          <w:position w:val="0"/>
          <w:sz w:val="18"/>
          <w:szCs w:val="18"/>
        </w:rPr>
        <w:t xml:space="preserve">间接代理的构成须符合三个要件:委托人的授权;代理人以自己的名义与第三人进行 法律行为;委托人行使介入权和第三人行使选择权时委托人才可能承受代理行为的后果。 借名购房有发生间接代理的可能，但未必发生，不能笼统地说借名购房成立间接代理关系。 </w:t>
      </w:r>
      <w:r>
        <w:rPr>
          <w:color w:val="000000"/>
          <w:spacing w:val="0"/>
          <w:w w:val="100"/>
          <w:position w:val="0"/>
          <w:sz w:val="11"/>
          <w:szCs w:val="11"/>
        </w:rPr>
        <w:t>（李德通:《规避限购令之借名购房行为的性质与效力探讨》，载《法治研究》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期；冉克平:《论 借名实施法律行为的效果》，载《法学》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p>
    <w:p w14:paraId="617A40E2">
      <w:pPr>
        <w:pStyle w:val="17"/>
        <w:keepNext w:val="0"/>
        <w:keepLines w:val="0"/>
        <w:widowControl w:val="0"/>
        <w:shd w:val="clear" w:color="auto" w:fill="auto"/>
        <w:bidi w:val="0"/>
        <w:spacing w:before="0" w:after="0" w:line="330" w:lineRule="exact"/>
        <w:ind w:left="0" w:right="0" w:firstLine="420"/>
        <w:jc w:val="both"/>
        <w:rPr>
          <w:sz w:val="11"/>
          <w:szCs w:val="11"/>
        </w:rPr>
      </w:pPr>
      <w:r>
        <w:rPr>
          <w:color w:val="000000"/>
          <w:spacing w:val="0"/>
          <w:w w:val="100"/>
          <w:position w:val="0"/>
          <w:sz w:val="18"/>
          <w:szCs w:val="18"/>
        </w:rPr>
        <w:t>在信托合同中，受托人不仅取得信托财产的所有权或其他权利，而且其对信托财产有 积极管理和处分的权利;在借名购房协议中，借名人对财产仍有占有、使用、收益和处分的 权利。二者不尽相同</w:t>
      </w:r>
      <w:r>
        <w:rPr>
          <w:color w:val="000000"/>
          <w:spacing w:val="0"/>
          <w:w w:val="100"/>
          <w:position w:val="0"/>
          <w:sz w:val="11"/>
          <w:szCs w:val="11"/>
        </w:rPr>
        <w:t>。（周峰、李兴：《隐名购房行为的法律性质认定与执法对策研究》，载《法律适 用》</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sz w:val="11"/>
          <w:szCs w:val="11"/>
        </w:rPr>
        <w:t>期）</w:t>
      </w:r>
    </w:p>
    <w:p w14:paraId="76BF4B96">
      <w:pPr>
        <w:pStyle w:val="17"/>
        <w:keepNext w:val="0"/>
        <w:keepLines w:val="0"/>
        <w:widowControl w:val="0"/>
        <w:shd w:val="clear" w:color="auto" w:fill="auto"/>
        <w:bidi w:val="0"/>
        <w:spacing w:before="0" w:after="0" w:line="332" w:lineRule="exact"/>
        <w:ind w:left="0" w:right="0" w:firstLine="420"/>
        <w:jc w:val="both"/>
      </w:pPr>
      <w:r>
        <w:rPr>
          <w:color w:val="000000"/>
          <w:spacing w:val="0"/>
          <w:w w:val="100"/>
          <w:position w:val="0"/>
        </w:rPr>
        <w:t>行纪合同是行纪人以自己的名义为委托人从事贸易活动，委托人支付报酬的合同。出 名人以自己的名义为委托人购房,但一般不属贸易活动，故不能归入行纪合同。</w:t>
      </w:r>
    </w:p>
    <w:p w14:paraId="18BF7040">
      <w:pPr>
        <w:pStyle w:val="17"/>
        <w:keepNext w:val="0"/>
        <w:keepLines w:val="0"/>
        <w:widowControl w:val="0"/>
        <w:shd w:val="clear" w:color="auto" w:fill="auto"/>
        <w:bidi w:val="0"/>
        <w:spacing w:before="0" w:after="0" w:line="332" w:lineRule="exact"/>
        <w:ind w:left="0" w:right="0" w:firstLine="420"/>
        <w:jc w:val="both"/>
        <w:rPr>
          <w:sz w:val="11"/>
          <w:szCs w:val="11"/>
        </w:rPr>
      </w:pPr>
      <w:r>
        <w:rPr>
          <w:color w:val="000000"/>
          <w:spacing w:val="0"/>
          <w:w w:val="100"/>
          <w:position w:val="0"/>
          <w:sz w:val="18"/>
          <w:szCs w:val="18"/>
        </w:rPr>
        <w:t>混合合同说认为，出名人所负借名购房、借名登记及移转登记义务从属于不同类型合 同。但实际上,出名人履行借名购房、借名登记义务均属受托处理事务的范畴，移转登记义 务也可以归入</w:t>
      </w:r>
      <w:r>
        <w:rPr>
          <w:color w:val="000000"/>
          <w:spacing w:val="0"/>
          <w:w w:val="100"/>
          <w:position w:val="0"/>
          <w:sz w:val="18"/>
          <w:szCs w:val="18"/>
          <w:lang w:val="zh-CN" w:eastAsia="zh-CN" w:bidi="zh-CN"/>
        </w:rPr>
        <w:t>“受托</w:t>
      </w:r>
      <w:r>
        <w:rPr>
          <w:color w:val="000000"/>
          <w:spacing w:val="0"/>
          <w:w w:val="100"/>
          <w:position w:val="0"/>
          <w:sz w:val="18"/>
          <w:szCs w:val="18"/>
        </w:rPr>
        <w:t>人处理委托事务取得的财产，应当转交给委托人</w:t>
      </w:r>
      <w:r>
        <w:rPr>
          <w:color w:val="000000"/>
          <w:spacing w:val="0"/>
          <w:w w:val="100"/>
          <w:position w:val="0"/>
          <w:sz w:val="18"/>
          <w:szCs w:val="18"/>
          <w:lang w:val="zh-CN" w:eastAsia="zh-CN" w:bidi="zh-CN"/>
        </w:rPr>
        <w:t>”的</w:t>
      </w:r>
      <w:r>
        <w:rPr>
          <w:color w:val="000000"/>
          <w:spacing w:val="0"/>
          <w:w w:val="100"/>
          <w:position w:val="0"/>
          <w:sz w:val="18"/>
          <w:szCs w:val="18"/>
        </w:rPr>
        <w:t>范畴</w:t>
      </w:r>
      <w:r>
        <w:rPr>
          <w:color w:val="000000"/>
          <w:spacing w:val="0"/>
          <w:w w:val="100"/>
          <w:position w:val="0"/>
          <w:sz w:val="11"/>
          <w:szCs w:val="11"/>
        </w:rPr>
        <w:t>。（施志康:《借 名买房合同的性质、效力及物权归属问题研究》，西南政法大学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年硕士学位论文）</w:t>
      </w:r>
    </w:p>
    <w:p w14:paraId="14ABE13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如果能够在有名合同中找到相应的合同种类，就不应当将借名购房协议归入无名合 同。笔者认为借名购房协议可归入委托合同。委托合同是委托人和受托人约定，由一方为 另一方处理事务的合同。委托人和受托人约定，由一方为另一方购买房屋（或者购买其他 商品），并未脱离委托合同的范畴（委托持股协议也同样可归入委托合同）。至于借名购房 构成中是否构成代理，可依《民法典》第</w:t>
      </w:r>
      <w:r>
        <w:rPr>
          <w:rFonts w:ascii="Times New Roman" w:hAnsi="Times New Roman" w:eastAsia="Times New Roman" w:cs="Times New Roman"/>
          <w:color w:val="000000"/>
          <w:spacing w:val="0"/>
          <w:w w:val="100"/>
          <w:position w:val="0"/>
          <w:sz w:val="19"/>
          <w:szCs w:val="19"/>
          <w:lang w:val="en-US" w:eastAsia="en-US" w:bidi="en-US"/>
        </w:rPr>
        <w:t>925.926</w:t>
      </w:r>
      <w:r>
        <w:rPr>
          <w:color w:val="000000"/>
          <w:spacing w:val="0"/>
          <w:w w:val="100"/>
          <w:position w:val="0"/>
        </w:rPr>
        <w:t>条处理。</w:t>
      </w:r>
    </w:p>
    <w:p w14:paraId="3D8F4C1D">
      <w:pPr>
        <w:pStyle w:val="17"/>
        <w:keepNext w:val="0"/>
        <w:keepLines w:val="0"/>
        <w:widowControl w:val="0"/>
        <w:shd w:val="clear" w:color="auto" w:fill="auto"/>
        <w:bidi w:val="0"/>
        <w:spacing w:before="0" w:after="0" w:line="341" w:lineRule="exact"/>
        <w:ind w:left="0" w:right="0" w:firstLine="42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.关于借名购房协议的效力</w:t>
      </w:r>
    </w:p>
    <w:p w14:paraId="26D9CF6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在司法裁判和学术成果中,借名购房协议有效说、无效说、可撤销说和效力待定说均有 体现。有的学者认为借名购买普通房屋有效,借名购买保障性住房无效。笔者认为,借名购 房协议成立后一般是有效的，但如具备无效情形则属无效合同;如具备可撤销情形,则可能 被撤销。</w:t>
      </w:r>
    </w:p>
    <w:p w14:paraId="18D8955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借名人以借名购房方式规避限购政策的，如审理期间仍处于限购期，法院对其请求出 名人协助办理过户手续的请求，不应予以支持,否则就会出现司法判决对抗政府宏观调控 政策的现象;如果已过限购期，则可以予以支持。对借名购房协议，不能认定为无效合同。</w:t>
      </w:r>
    </w:p>
    <w:p w14:paraId="1CC19150">
      <w:pPr>
        <w:pStyle w:val="17"/>
        <w:keepNext w:val="0"/>
        <w:keepLines w:val="0"/>
        <w:widowControl w:val="0"/>
        <w:shd w:val="clear" w:color="auto" w:fill="auto"/>
        <w:bidi w:val="0"/>
        <w:spacing w:before="0" w:after="0" w:line="343" w:lineRule="exact"/>
        <w:ind w:left="0" w:right="0" w:firstLine="420"/>
        <w:jc w:val="both"/>
        <w:sectPr>
          <w:headerReference r:id="rId457" w:type="default"/>
          <w:headerReference r:id="rId458" w:type="even"/>
          <w:footnotePr>
            <w:numFmt w:val="chicago"/>
          </w:footnotePr>
          <w:pgSz w:w="10099" w:h="14782"/>
          <w:pgMar w:top="1292" w:right="1078" w:bottom="1132" w:left="1027" w:header="0" w:footer="704" w:gutter="0"/>
          <w:pgNumType w:start="388"/>
          <w:cols w:space="720" w:num="1"/>
          <w:rtlGutter w:val="0"/>
          <w:docGrid w:linePitch="360" w:charSpace="0"/>
        </w:sectPr>
      </w:pPr>
      <w:r>
        <w:rPr>
          <w:color w:val="000000"/>
          <w:spacing w:val="0"/>
          <w:w w:val="100"/>
          <w:position w:val="0"/>
        </w:rPr>
        <w:t>借名人自身不具备购买经济适用房的资格，借符合条件的出名人之名购买经济适用房 的，此种行为侵害了其他申请者的利益,扰乱了住房保障秩序，借名购房协议应属无效。出 卖方也可以欺诈为由撤销与出名人签订的经济适用房买卖合同。</w:t>
      </w:r>
    </w:p>
    <w:p w14:paraId="7B019AB1">
      <w:pPr>
        <w:pStyle w:val="17"/>
        <w:keepNext w:val="0"/>
        <w:keepLines w:val="0"/>
        <w:widowControl w:val="0"/>
        <w:shd w:val="clear" w:color="auto" w:fill="auto"/>
        <w:bidi w:val="0"/>
        <w:spacing w:before="0" w:after="160" w:line="343" w:lineRule="exact"/>
        <w:ind w:left="0" w:right="0" w:firstLine="420"/>
        <w:jc w:val="both"/>
      </w:pPr>
      <w:r>
        <w:rPr>
          <w:color w:val="000000"/>
          <w:spacing w:val="0"/>
          <w:w w:val="100"/>
          <w:position w:val="0"/>
        </w:rPr>
        <w:t>其他类型的借名购房协议和出名人与第三人签订的房屋买卖合同，不因为借名而无 效。但如果出卖方规定了某种购买资格（如本单位职工身份），出名人提交虚假信息使出卖 人相信出名人为实际购买者，则可以以欺诈为由撤销房屋买卖合同，出卖人明知的则不享 有撤销权。</w:t>
      </w:r>
    </w:p>
    <w:p w14:paraId="7C568BAC">
      <w:pPr>
        <w:pStyle w:val="17"/>
        <w:keepNext w:val="0"/>
        <w:keepLines w:val="0"/>
        <w:widowControl w:val="0"/>
        <w:shd w:val="clear" w:color="auto" w:fill="auto"/>
        <w:bidi w:val="0"/>
        <w:spacing w:before="0" w:after="160" w:line="338" w:lineRule="exact"/>
        <w:ind w:left="0" w:right="0" w:firstLine="0"/>
        <w:jc w:val="both"/>
      </w:pPr>
      <w:r>
        <w:rPr>
          <w:color w:val="000000"/>
          <w:spacing w:val="0"/>
          <w:w w:val="100"/>
          <w:position w:val="0"/>
        </w:rPr>
        <w:t>回本判决的参考意义</w:t>
      </w:r>
    </w:p>
    <w:p w14:paraId="71E541FC">
      <w:pPr>
        <w:pStyle w:val="17"/>
        <w:keepNext w:val="0"/>
        <w:keepLines w:val="0"/>
        <w:widowControl w:val="0"/>
        <w:shd w:val="clear" w:color="auto" w:fill="auto"/>
        <w:bidi w:val="0"/>
        <w:spacing w:before="0" w:after="0" w:line="335" w:lineRule="exact"/>
        <w:ind w:left="0" w:right="0" w:firstLine="420"/>
        <w:jc w:val="both"/>
      </w:pPr>
      <w:r>
        <w:rPr>
          <w:color w:val="000000"/>
          <w:spacing w:val="0"/>
          <w:w w:val="100"/>
          <w:position w:val="0"/>
        </w:rPr>
        <w:t>笔者认为，在借名购房场合，至少存在三个法律主体（借名人、出名人和第三人），两个 法律行为（借名购房协议、房屋买卖合同）和两个法律关系（借名人、出名人因借名购房协议 产生的委托合同关系，出名人和第三人间的房屋买卖合同关系）。在借名所购房屋已登记 于出名人名下时，出名人此时依不动产登记享有房屋所有权，同时依据《民法典》第</w:t>
      </w:r>
      <w:r>
        <w:rPr>
          <w:rFonts w:ascii="Times New Roman" w:hAnsi="Times New Roman" w:eastAsia="Times New Roman" w:cs="Times New Roman"/>
          <w:color w:val="000000"/>
          <w:spacing w:val="0"/>
          <w:w w:val="100"/>
          <w:position w:val="0"/>
          <w:sz w:val="19"/>
          <w:szCs w:val="19"/>
        </w:rPr>
        <w:t>927</w:t>
      </w:r>
      <w:r>
        <w:rPr>
          <w:color w:val="000000"/>
          <w:spacing w:val="0"/>
          <w:w w:val="100"/>
          <w:position w:val="0"/>
        </w:rPr>
        <w:t>条 负有将房屋交付借名人（委托人）和将房屋所有权移转于借名人名下的义务。借名人（委托 人）提起确认之诉直接主张房屋所有权的，应予释明。借名人变更诉讼请求为协助办理过 户手续的，依据《合同法》第</w:t>
      </w:r>
      <w:r>
        <w:rPr>
          <w:rFonts w:ascii="Times New Roman" w:hAnsi="Times New Roman" w:eastAsia="Times New Roman" w:cs="Times New Roman"/>
          <w:color w:val="000000"/>
          <w:spacing w:val="0"/>
          <w:w w:val="100"/>
          <w:position w:val="0"/>
          <w:sz w:val="19"/>
          <w:szCs w:val="19"/>
        </w:rPr>
        <w:t>404</w:t>
      </w:r>
      <w:r>
        <w:rPr>
          <w:color w:val="000000"/>
          <w:spacing w:val="0"/>
          <w:w w:val="100"/>
          <w:position w:val="0"/>
        </w:rPr>
        <w:t>条裁判予以支持。</w:t>
      </w:r>
    </w:p>
    <w:p w14:paraId="0ACEBBE5">
      <w:pPr>
        <w:pStyle w:val="17"/>
        <w:keepNext w:val="0"/>
        <w:keepLines w:val="0"/>
        <w:widowControl w:val="0"/>
        <w:shd w:val="clear" w:color="auto" w:fill="auto"/>
        <w:bidi w:val="0"/>
        <w:spacing w:before="0" w:after="380" w:line="338" w:lineRule="exact"/>
        <w:ind w:left="0" w:right="0" w:firstLine="420"/>
        <w:jc w:val="both"/>
      </w:pPr>
      <w:r>
        <w:rPr>
          <w:color w:val="000000"/>
          <w:spacing w:val="0"/>
          <w:w w:val="100"/>
          <w:position w:val="0"/>
        </w:rPr>
        <w:t>在上文陆某某、徐某与宋某某、章某某所有权确认纠纷案中，原告、被告之间存在口头 借名购房协议，狭石街道办事处与被告之间存在房屋买卖合同，被告与拆迁单位之间存在 房屋拆迁补偿协议</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个法律主体之间存在连环法律关系。拆迁单位应将补偿款付与碳石 街道办事处，碳石街道办事处应将补偿款作为未移交所有权的替代物交付被告，被告应当 依法转交原告。</w:t>
      </w:r>
    </w:p>
    <w:p w14:paraId="49D0A28B">
      <w:pPr>
        <w:pStyle w:val="11"/>
        <w:keepNext w:val="0"/>
        <w:keepLines w:val="0"/>
        <w:widowControl w:val="0"/>
        <w:shd w:val="clear" w:color="auto" w:fill="auto"/>
        <w:bidi w:val="0"/>
        <w:spacing w:before="0" w:after="0" w:line="338" w:lineRule="exact"/>
        <w:ind w:left="0" w:right="0" w:firstLine="0"/>
        <w:jc w:val="both"/>
      </w:pPr>
      <w:r>
        <w:rPr>
          <w:color w:val="000000"/>
          <w:spacing w:val="0"/>
          <w:w w:val="100"/>
          <w:position w:val="0"/>
        </w:rPr>
        <w:t>回参考文献</w:t>
      </w:r>
    </w:p>
    <w:p w14:paraId="17D0D274">
      <w:pPr>
        <w:pStyle w:val="33"/>
        <w:keepNext w:val="0"/>
        <w:keepLines w:val="0"/>
        <w:widowControl w:val="0"/>
        <w:shd w:val="clear" w:color="auto" w:fill="auto"/>
        <w:bidi w:val="0"/>
        <w:spacing w:before="0" w:after="0" w:line="326" w:lineRule="exact"/>
        <w:ind w:left="0" w:right="0" w:firstLine="0"/>
        <w:jc w:val="both"/>
      </w:pPr>
      <w:r>
        <w:rPr>
          <w:color w:val="000000"/>
          <w:spacing w:val="0"/>
          <w:w w:val="100"/>
          <w:position w:val="0"/>
        </w:rPr>
        <w:t>李德通:《规避限购令之借名购房行为的性质与效力探讨》，载《法治研究》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冉克平:《论借名实施法律行为的效果》，载《法学</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7EED7FB5">
      <w:pPr>
        <w:pStyle w:val="33"/>
        <w:keepNext w:val="0"/>
        <w:keepLines w:val="0"/>
        <w:widowControl w:val="0"/>
        <w:shd w:val="clear" w:color="auto" w:fill="auto"/>
        <w:bidi w:val="0"/>
        <w:spacing w:before="0" w:after="0" w:line="326" w:lineRule="exact"/>
        <w:ind w:left="0" w:right="0" w:firstLine="0"/>
        <w:jc w:val="both"/>
      </w:pPr>
      <w:r>
        <w:rPr>
          <w:color w:val="000000"/>
          <w:spacing w:val="0"/>
          <w:w w:val="100"/>
          <w:position w:val="0"/>
        </w:rPr>
        <w:t>周峰、李兴:《隐名购房行为的法律性质认定与执法对策研究》，载《法律适用》</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期。</w:t>
      </w:r>
    </w:p>
    <w:p w14:paraId="27F28BC9">
      <w:pPr>
        <w:pStyle w:val="33"/>
        <w:keepNext w:val="0"/>
        <w:keepLines w:val="0"/>
        <w:widowControl w:val="0"/>
        <w:shd w:val="clear" w:color="auto" w:fill="auto"/>
        <w:bidi w:val="0"/>
        <w:spacing w:before="0" w:after="80" w:line="305" w:lineRule="exact"/>
        <w:ind w:left="0" w:right="0" w:firstLine="0"/>
        <w:jc w:val="both"/>
        <w:sectPr>
          <w:headerReference r:id="rId459" w:type="default"/>
          <w:headerReference r:id="rId460" w:type="even"/>
          <w:footnotePr>
            <w:numFmt w:val="chicago"/>
          </w:footnotePr>
          <w:pgSz w:w="10099" w:h="14782"/>
          <w:pgMar w:top="1292" w:right="1078" w:bottom="1132" w:left="1027" w:header="0" w:footer="704" w:gutter="0"/>
          <w:pgNumType w:start="405"/>
          <w:cols w:space="720" w:num="1"/>
          <w:rtlGutter w:val="0"/>
          <w:docGrid w:linePitch="360" w:charSpace="0"/>
        </w:sectPr>
      </w:pPr>
      <w:r>
        <w:rPr>
          <w:color w:val="000000"/>
          <w:spacing w:val="0"/>
          <w:w w:val="100"/>
          <w:position w:val="0"/>
        </w:rPr>
        <w:t>马强:《借名购房案件所涉问题之研究——以法院裁判的案件为中心》，载《政治与法律</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r>
        <w:rPr>
          <w:rFonts w:ascii="Times New Roman" w:hAnsi="Times New Roman" w:eastAsia="Times New Roman" w:cs="Times New Roman"/>
          <w:color w:val="000000"/>
          <w:spacing w:val="0"/>
          <w:w w:val="100"/>
          <w:position w:val="0"/>
          <w:sz w:val="17"/>
          <w:szCs w:val="17"/>
          <w:vertAlign w:val="subscript"/>
          <w:lang w:val="en-US" w:eastAsia="en-US" w:bidi="en-US"/>
        </w:rPr>
        <w:t xml:space="preserve">o </w:t>
      </w:r>
      <w:r>
        <w:rPr>
          <w:color w:val="000000"/>
          <w:spacing w:val="0"/>
          <w:w w:val="100"/>
          <w:position w:val="0"/>
        </w:rPr>
        <w:t>施志康:《借名买房合同的性质、效力及物权归属问题研究》，西南政法大学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年硕士学位论文。</w:t>
      </w:r>
    </w:p>
    <w:p w14:paraId="46D9917A">
      <w:pPr>
        <w:widowControl w:val="0"/>
        <w:spacing w:line="90" w:lineRule="exact"/>
        <w:rPr>
          <w:sz w:val="7"/>
          <w:szCs w:val="7"/>
        </w:rPr>
      </w:pPr>
    </w:p>
    <w:p w14:paraId="0840A484">
      <w:pPr>
        <w:widowControl w:val="0"/>
        <w:spacing w:line="1" w:lineRule="exact"/>
        <w:sectPr>
          <w:headerReference r:id="rId461" w:type="default"/>
          <w:headerReference r:id="rId462" w:type="even"/>
          <w:footnotePr>
            <w:numFmt w:val="chicago"/>
          </w:footnotePr>
          <w:pgSz w:w="10099" w:h="14782"/>
          <w:pgMar w:top="1299" w:right="997" w:bottom="1110" w:left="1100" w:header="0" w:footer="3" w:gutter="0"/>
          <w:cols w:space="720" w:num="1"/>
          <w:rtlGutter w:val="0"/>
          <w:docGrid w:linePitch="360" w:charSpace="0"/>
        </w:sectPr>
      </w:pPr>
    </w:p>
    <w:p w14:paraId="494C2893">
      <w:pPr>
        <w:widowControl w:val="0"/>
        <w:spacing w:line="1" w:lineRule="exact"/>
      </w:pPr>
      <w:r>
        <w:drawing>
          <wp:anchor distT="0" distB="0" distL="0" distR="0" simplePos="0" relativeHeight="251660288" behindDoc="0" locked="0" layoutInCell="1" allowOverlap="1">
            <wp:simplePos x="0" y="0"/>
            <wp:positionH relativeFrom="page">
              <wp:posOffset>725805</wp:posOffset>
            </wp:positionH>
            <wp:positionV relativeFrom="paragraph">
              <wp:posOffset>0</wp:posOffset>
            </wp:positionV>
            <wp:extent cx="481330" cy="408305"/>
            <wp:effectExtent l="0" t="0" r="1270" b="10795"/>
            <wp:wrapTopAndBottom/>
            <wp:docPr id="1065" name="Shape 1065"/>
            <wp:cNvGraphicFramePr/>
            <a:graphic xmlns:a="http://schemas.openxmlformats.org/drawingml/2006/main">
              <a:graphicData uri="http://schemas.openxmlformats.org/drawingml/2006/picture">
                <pic:pic xmlns:pic="http://schemas.openxmlformats.org/drawingml/2006/picture">
                  <pic:nvPicPr>
                    <pic:cNvPr id="1065" name="Shape 1065"/>
                    <pic:cNvPicPr/>
                  </pic:nvPicPr>
                  <pic:blipFill>
                    <a:blip r:embed="rId691"/>
                    <a:stretch>
                      <a:fillRect/>
                    </a:stretch>
                  </pic:blipFill>
                  <pic:spPr>
                    <a:xfrm>
                      <a:off x="0" y="0"/>
                      <a:ext cx="481330" cy="408305"/>
                    </a:xfrm>
                    <a:prstGeom prst="rect">
                      <a:avLst/>
                    </a:prstGeom>
                  </pic:spPr>
                </pic:pic>
              </a:graphicData>
            </a:graphic>
          </wp:anchor>
        </w:drawing>
      </w:r>
      <w:r>
        <mc:AlternateContent>
          <mc:Choice Requires="wps">
            <w:drawing>
              <wp:anchor distT="118745" distB="42545" distL="0" distR="0" simplePos="0" relativeHeight="251660288" behindDoc="0" locked="0" layoutInCell="1" allowOverlap="1">
                <wp:simplePos x="0" y="0"/>
                <wp:positionH relativeFrom="page">
                  <wp:posOffset>1338580</wp:posOffset>
                </wp:positionH>
                <wp:positionV relativeFrom="paragraph">
                  <wp:posOffset>118745</wp:posOffset>
                </wp:positionV>
                <wp:extent cx="3633470" cy="247015"/>
                <wp:effectExtent l="0" t="0" r="0" b="0"/>
                <wp:wrapTopAndBottom/>
                <wp:docPr id="1067" name="Shape 1067"/>
                <wp:cNvGraphicFramePr/>
                <a:graphic xmlns:a="http://schemas.openxmlformats.org/drawingml/2006/main">
                  <a:graphicData uri="http://schemas.microsoft.com/office/word/2010/wordprocessingShape">
                    <wps:wsp>
                      <wps:cNvSpPr txBox="1"/>
                      <wps:spPr>
                        <a:xfrm>
                          <a:off x="0" y="0"/>
                          <a:ext cx="3633470" cy="247015"/>
                        </a:xfrm>
                        <a:prstGeom prst="rect">
                          <a:avLst/>
                        </a:prstGeom>
                        <a:noFill/>
                      </wps:spPr>
                      <wps:txbx>
                        <w:txbxContent>
                          <w:p w14:paraId="6441CB5C">
                            <w:pPr>
                              <w:pStyle w:val="15"/>
                              <w:keepNext/>
                              <w:keepLines/>
                              <w:widowControl w:val="0"/>
                              <w:shd w:val="clear" w:color="auto" w:fill="auto"/>
                              <w:bidi w:val="0"/>
                              <w:spacing w:before="0" w:after="0" w:line="240" w:lineRule="auto"/>
                              <w:ind w:left="0" w:right="0" w:firstLine="0"/>
                              <w:jc w:val="left"/>
                            </w:pPr>
                            <w:bookmarkStart w:id="552" w:name="bookmark480"/>
                            <w:bookmarkStart w:id="553" w:name="bookmark481"/>
                            <w:bookmarkStart w:id="554" w:name="bookmark482"/>
                            <w:r>
                              <w:rPr>
                                <w:color w:val="000000"/>
                                <w:spacing w:val="0"/>
                                <w:w w:val="100"/>
                                <w:position w:val="0"/>
                              </w:rPr>
                              <w:t>分期付款买卖合同解除规则对股权转让的</w:t>
                            </w:r>
                            <w:bookmarkEnd w:id="552"/>
                            <w:bookmarkEnd w:id="553"/>
                            <w:bookmarkEnd w:id="554"/>
                          </w:p>
                        </w:txbxContent>
                      </wps:txbx>
                      <wps:bodyPr wrap="none" lIns="0" tIns="0" rIns="0" bIns="0">
                        <a:noAutofit/>
                      </wps:bodyPr>
                    </wps:wsp>
                  </a:graphicData>
                </a:graphic>
              </wp:anchor>
            </w:drawing>
          </mc:Choice>
          <mc:Fallback>
            <w:pict>
              <v:shape id="Shape 1067" o:spid="_x0000_s1026" o:spt="202" type="#_x0000_t202" style="position:absolute;left:0pt;margin-left:105.4pt;margin-top:9.35pt;height:19.45pt;width:286.1pt;mso-position-horizontal-relative:page;mso-wrap-distance-bottom:3.35pt;mso-wrap-distance-top:9.35pt;mso-wrap-style:none;z-index:251660288;mso-width-relative:page;mso-height-relative:page;" filled="f" stroked="f" coordsize="21600,21600" o:gfxdata="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2VxKPWAAAA&#10;CQEAAA8AAAAAAAAAAQAgAAAAIgAAAGRycy9kb3ducmV2LnhtbFBLAQIUABQAAAAIAIdO4kBIHZHo&#10;rQEAAHYDAAAOAAAAAAAAAAEAIAAAACUBAABkcnMvZTJvRG9jLnhtbFBLBQYAAAAABgAGAFkBAABE&#10;BQAAAAA=&#10;">
                <v:fill on="f" focussize="0,0"/>
                <v:stroke on="f"/>
                <v:imagedata o:title=""/>
                <o:lock v:ext="edit" aspectratio="f"/>
                <v:textbox inset="0mm,0mm,0mm,0mm">
                  <w:txbxContent>
                    <w:p w14:paraId="6441CB5C">
                      <w:pPr>
                        <w:pStyle w:val="15"/>
                        <w:keepNext/>
                        <w:keepLines/>
                        <w:widowControl w:val="0"/>
                        <w:shd w:val="clear" w:color="auto" w:fill="auto"/>
                        <w:bidi w:val="0"/>
                        <w:spacing w:before="0" w:after="0" w:line="240" w:lineRule="auto"/>
                        <w:ind w:left="0" w:right="0" w:firstLine="0"/>
                        <w:jc w:val="left"/>
                      </w:pPr>
                      <w:bookmarkStart w:id="552" w:name="bookmark480"/>
                      <w:bookmarkStart w:id="553" w:name="bookmark481"/>
                      <w:bookmarkStart w:id="554" w:name="bookmark482"/>
                      <w:r>
                        <w:rPr>
                          <w:color w:val="000000"/>
                          <w:spacing w:val="0"/>
                          <w:w w:val="100"/>
                          <w:position w:val="0"/>
                        </w:rPr>
                        <w:t>分期付款买卖合同解除规则对股权转让的</w:t>
                      </w:r>
                      <w:bookmarkEnd w:id="552"/>
                      <w:bookmarkEnd w:id="553"/>
                      <w:bookmarkEnd w:id="554"/>
                    </w:p>
                  </w:txbxContent>
                </v:textbox>
                <w10:wrap type="topAndBottom"/>
              </v:shape>
            </w:pict>
          </mc:Fallback>
        </mc:AlternateContent>
      </w:r>
    </w:p>
    <w:p w14:paraId="019984C5">
      <w:pPr>
        <w:pStyle w:val="15"/>
        <w:keepNext/>
        <w:keepLines/>
        <w:widowControl w:val="0"/>
        <w:shd w:val="clear" w:color="auto" w:fill="auto"/>
        <w:bidi w:val="0"/>
        <w:spacing w:before="0" w:after="0" w:line="240" w:lineRule="auto"/>
        <w:ind w:left="0" w:right="0" w:firstLine="1000"/>
        <w:jc w:val="left"/>
      </w:pPr>
      <w:r>
        <w:drawing>
          <wp:anchor distT="0" distB="0" distL="114300" distR="114300" simplePos="0" relativeHeight="251660288" behindDoc="0" locked="0" layoutInCell="1" allowOverlap="1">
            <wp:simplePos x="0" y="0"/>
            <wp:positionH relativeFrom="page">
              <wp:posOffset>5136515</wp:posOffset>
            </wp:positionH>
            <wp:positionV relativeFrom="paragraph">
              <wp:posOffset>50800</wp:posOffset>
            </wp:positionV>
            <wp:extent cx="579120" cy="597535"/>
            <wp:effectExtent l="0" t="0" r="5080" b="12065"/>
            <wp:wrapSquare wrapText="left"/>
            <wp:docPr id="1069" name="Shape 1069"/>
            <wp:cNvGraphicFramePr/>
            <a:graphic xmlns:a="http://schemas.openxmlformats.org/drawingml/2006/main">
              <a:graphicData uri="http://schemas.openxmlformats.org/drawingml/2006/picture">
                <pic:pic xmlns:pic="http://schemas.openxmlformats.org/drawingml/2006/picture">
                  <pic:nvPicPr>
                    <pic:cNvPr id="1069" name="Shape 1069"/>
                    <pic:cNvPicPr/>
                  </pic:nvPicPr>
                  <pic:blipFill>
                    <a:blip r:embed="rId692"/>
                    <a:stretch>
                      <a:fillRect/>
                    </a:stretch>
                  </pic:blipFill>
                  <pic:spPr>
                    <a:xfrm>
                      <a:off x="0" y="0"/>
                      <a:ext cx="579120" cy="597535"/>
                    </a:xfrm>
                    <a:prstGeom prst="rect">
                      <a:avLst/>
                    </a:prstGeom>
                  </pic:spPr>
                </pic:pic>
              </a:graphicData>
            </a:graphic>
          </wp:anchor>
        </w:drawing>
      </w:r>
      <w:bookmarkStart w:id="135" w:name="bookmark483"/>
      <w:bookmarkStart w:id="136" w:name="bookmark484"/>
      <w:bookmarkStart w:id="137" w:name="bookmark485"/>
      <w:r>
        <w:rPr>
          <w:color w:val="000000"/>
          <w:spacing w:val="0"/>
          <w:w w:val="100"/>
          <w:position w:val="0"/>
        </w:rPr>
        <w:t>参照适用</w:t>
      </w:r>
      <w:bookmarkEnd w:id="135"/>
      <w:bookmarkEnd w:id="136"/>
      <w:bookmarkEnd w:id="137"/>
    </w:p>
    <w:p w14:paraId="67BE9943">
      <w:pPr>
        <w:pStyle w:val="17"/>
        <w:keepNext w:val="0"/>
        <w:keepLines w:val="0"/>
        <w:widowControl w:val="0"/>
        <w:shd w:val="clear" w:color="auto" w:fill="auto"/>
        <w:bidi w:val="0"/>
        <w:spacing w:before="0" w:after="380" w:line="355" w:lineRule="exact"/>
        <w:ind w:left="1000" w:right="0" w:firstLine="0"/>
        <w:jc w:val="left"/>
      </w:pPr>
      <w:r>
        <w:rPr>
          <w:color w:val="000000"/>
          <w:spacing w:val="0"/>
          <w:w w:val="100"/>
          <w:position w:val="0"/>
        </w:rPr>
        <w:t>汤长龙诉周士海股权转让纠纷案丨最高人民法院第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号指导性 案例</w:t>
      </w:r>
    </w:p>
    <w:p w14:paraId="0368C6B3">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孙'新宽</w:t>
      </w:r>
      <w:r>
        <w:rPr>
          <w:color w:val="000000"/>
          <w:spacing w:val="0"/>
          <w:w w:val="100"/>
          <w:position w:val="0"/>
        </w:rPr>
        <w:t>德国海德堡大学法学院</w:t>
      </w:r>
    </w:p>
    <w:p w14:paraId="43AF31D0">
      <w:pPr>
        <w:pStyle w:val="11"/>
        <w:keepNext w:val="0"/>
        <w:keepLines w:val="0"/>
        <w:widowControl w:val="0"/>
        <w:shd w:val="clear" w:color="auto" w:fill="auto"/>
        <w:bidi w:val="0"/>
        <w:spacing w:before="0" w:after="6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76EA645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原告汤长龙与被告周士海于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日签订《股权转让协议》及《股权转让资金 分期付款协议》。双方约定:周士海将其持有的青岛变压器集团成都双星电器有限公司 </w:t>
      </w:r>
      <w:r>
        <w:rPr>
          <w:rFonts w:ascii="Times New Roman" w:hAnsi="Times New Roman" w:eastAsia="Times New Roman" w:cs="Times New Roman"/>
          <w:color w:val="000000"/>
          <w:spacing w:val="0"/>
          <w:w w:val="100"/>
          <w:position w:val="0"/>
          <w:sz w:val="19"/>
          <w:szCs w:val="19"/>
        </w:rPr>
        <w:t>6.35%</w:t>
      </w:r>
      <w:r>
        <w:rPr>
          <w:color w:val="000000"/>
          <w:spacing w:val="0"/>
          <w:w w:val="100"/>
          <w:position w:val="0"/>
        </w:rPr>
        <w:t>的股权转让给汤长龙。股权合计</w:t>
      </w:r>
      <w:r>
        <w:rPr>
          <w:rFonts w:ascii="Times New Roman" w:hAnsi="Times New Roman" w:eastAsia="Times New Roman" w:cs="Times New Roman"/>
          <w:color w:val="000000"/>
          <w:spacing w:val="0"/>
          <w:w w:val="100"/>
          <w:position w:val="0"/>
          <w:sz w:val="19"/>
          <w:szCs w:val="19"/>
        </w:rPr>
        <w:t>710</w:t>
      </w:r>
      <w:r>
        <w:rPr>
          <w:color w:val="000000"/>
          <w:spacing w:val="0"/>
          <w:w w:val="100"/>
          <w:position w:val="0"/>
        </w:rPr>
        <w:t>万元，分四期付清，即</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日付</w:t>
      </w:r>
      <w:r>
        <w:rPr>
          <w:rFonts w:ascii="Times New Roman" w:hAnsi="Times New Roman" w:eastAsia="Times New Roman" w:cs="Times New Roman"/>
          <w:color w:val="000000"/>
          <w:spacing w:val="0"/>
          <w:w w:val="100"/>
          <w:position w:val="0"/>
          <w:sz w:val="19"/>
          <w:szCs w:val="19"/>
        </w:rPr>
        <w:t>150</w:t>
      </w:r>
      <w:r>
        <w:rPr>
          <w:color w:val="000000"/>
          <w:spacing w:val="0"/>
          <w:w w:val="100"/>
          <w:position w:val="0"/>
        </w:rPr>
        <w:t>万 元;</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日付</w:t>
      </w:r>
      <w:r>
        <w:rPr>
          <w:rFonts w:ascii="Times New Roman" w:hAnsi="Times New Roman" w:eastAsia="Times New Roman" w:cs="Times New Roman"/>
          <w:color w:val="000000"/>
          <w:spacing w:val="0"/>
          <w:w w:val="100"/>
          <w:position w:val="0"/>
          <w:sz w:val="19"/>
          <w:szCs w:val="19"/>
        </w:rPr>
        <w:t>150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日付</w:t>
      </w:r>
      <w:r>
        <w:rPr>
          <w:rFonts w:ascii="Times New Roman" w:hAnsi="Times New Roman" w:eastAsia="Times New Roman" w:cs="Times New Roman"/>
          <w:color w:val="000000"/>
          <w:spacing w:val="0"/>
          <w:w w:val="100"/>
          <w:position w:val="0"/>
          <w:sz w:val="19"/>
          <w:szCs w:val="19"/>
        </w:rPr>
        <w:t>200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日付</w:t>
      </w:r>
      <w:r>
        <w:rPr>
          <w:rFonts w:ascii="Times New Roman" w:hAnsi="Times New Roman" w:eastAsia="Times New Roman" w:cs="Times New Roman"/>
          <w:color w:val="000000"/>
          <w:spacing w:val="0"/>
          <w:w w:val="100"/>
          <w:position w:val="0"/>
          <w:sz w:val="19"/>
          <w:szCs w:val="19"/>
        </w:rPr>
        <w:t>210</w:t>
      </w:r>
      <w:r>
        <w:rPr>
          <w:color w:val="000000"/>
          <w:spacing w:val="0"/>
          <w:w w:val="100"/>
          <w:position w:val="0"/>
        </w:rPr>
        <w:t>万元。此协议双方 签字生效，永不反悔。协议签订后，汤长龙于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日依约向周士海支付第一期股 权转让款</w:t>
      </w:r>
      <w:r>
        <w:rPr>
          <w:rFonts w:ascii="Times New Roman" w:hAnsi="Times New Roman" w:eastAsia="Times New Roman" w:cs="Times New Roman"/>
          <w:color w:val="000000"/>
          <w:spacing w:val="0"/>
          <w:w w:val="100"/>
          <w:position w:val="0"/>
          <w:sz w:val="19"/>
          <w:szCs w:val="19"/>
        </w:rPr>
        <w:t>150</w:t>
      </w:r>
      <w:r>
        <w:rPr>
          <w:color w:val="000000"/>
          <w:spacing w:val="0"/>
          <w:w w:val="100"/>
          <w:position w:val="0"/>
        </w:rPr>
        <w:t>万元。因汤长龙逾期未支付约定的第二期股权转让款,周士海于同年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 xml:space="preserve">月 </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 xml:space="preserve">日，以公证方式向汤长龙送达了《关于解除协议的通知》，以汤长龙根本违约为由，提岀解 除双方签订的《股权转让资金分期付款协议》。次日，汤长龙即向周士海转账支付了第二期 </w:t>
      </w:r>
      <w:r>
        <w:rPr>
          <w:rFonts w:ascii="Times New Roman" w:hAnsi="Times New Roman" w:eastAsia="Times New Roman" w:cs="Times New Roman"/>
          <w:color w:val="000000"/>
          <w:spacing w:val="0"/>
          <w:w w:val="100"/>
          <w:position w:val="0"/>
          <w:sz w:val="19"/>
          <w:szCs w:val="19"/>
        </w:rPr>
        <w:t>150</w:t>
      </w:r>
      <w:r>
        <w:rPr>
          <w:color w:val="000000"/>
          <w:spacing w:val="0"/>
          <w:w w:val="100"/>
          <w:position w:val="0"/>
        </w:rPr>
        <w:t>万元股权转让款,并按照约定的时间和数额履行了后续第三、四期股权转让款的支付义 务。周士海以其已经解除合同为由，如数退回汤长龙支付的</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笔股权转让款。汤长龙遂向 人民法院提起诉讼,要求确认周士海发出的解除协议通知无效，并责令其继续履行合同。 另查明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日，青岛变压器集团成都双星电器有限公司的变更（备案）登记中， 周士海所持有的</w:t>
      </w:r>
      <w:r>
        <w:rPr>
          <w:rFonts w:ascii="Times New Roman" w:hAnsi="Times New Roman" w:eastAsia="Times New Roman" w:cs="Times New Roman"/>
          <w:color w:val="000000"/>
          <w:spacing w:val="0"/>
          <w:w w:val="100"/>
          <w:position w:val="0"/>
          <w:sz w:val="19"/>
          <w:szCs w:val="19"/>
          <w:lang w:val="en-US" w:eastAsia="en-US" w:bidi="en-US"/>
        </w:rPr>
        <w:t xml:space="preserve">6. </w:t>
      </w:r>
      <w:r>
        <w:rPr>
          <w:rFonts w:ascii="Times New Roman" w:hAnsi="Times New Roman" w:eastAsia="Times New Roman" w:cs="Times New Roman"/>
          <w:color w:val="000000"/>
          <w:spacing w:val="0"/>
          <w:w w:val="100"/>
          <w:position w:val="0"/>
          <w:sz w:val="19"/>
          <w:szCs w:val="19"/>
        </w:rPr>
        <w:t>35%</w:t>
      </w:r>
      <w:r>
        <w:rPr>
          <w:color w:val="000000"/>
          <w:spacing w:val="0"/>
          <w:w w:val="100"/>
          <w:position w:val="0"/>
        </w:rPr>
        <w:t>股权已经变更登记至汤长龙名下。</w:t>
      </w:r>
    </w:p>
    <w:p w14:paraId="4DAD8850">
      <w:pPr>
        <w:pStyle w:val="17"/>
        <w:keepNext w:val="0"/>
        <w:keepLines w:val="0"/>
        <w:widowControl w:val="0"/>
        <w:shd w:val="clear" w:color="auto" w:fill="auto"/>
        <w:bidi w:val="0"/>
        <w:spacing w:before="0" w:after="380" w:line="343" w:lineRule="exact"/>
        <w:ind w:left="0" w:right="0" w:firstLine="420"/>
        <w:jc w:val="both"/>
      </w:pPr>
      <w:r>
        <w:rPr>
          <w:color w:val="000000"/>
          <w:spacing w:val="0"/>
          <w:w w:val="100"/>
          <w:position w:val="0"/>
        </w:rPr>
        <w:t>一审法院驳回汤长龙的诉讼请求。二审法院撤销原审判决，确认周士海要求解除双方 签的《股权转让资金分期付款协议》行为无效。周士海向最高人民法院申请再审。</w:t>
      </w:r>
    </w:p>
    <w:p w14:paraId="1E623EFE">
      <w:pPr>
        <w:pStyle w:val="11"/>
        <w:keepNext w:val="0"/>
        <w:keepLines w:val="0"/>
        <w:widowControl w:val="0"/>
        <w:shd w:val="clear" w:color="auto" w:fill="auto"/>
        <w:bidi w:val="0"/>
        <w:spacing w:before="0" w:after="60" w:line="343"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09DFA8B">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驳回再审申请。</w:t>
      </w:r>
    </w:p>
    <w:p w14:paraId="173D4CCE">
      <w:pPr>
        <w:pStyle w:val="17"/>
        <w:keepNext w:val="0"/>
        <w:keepLines w:val="0"/>
        <w:widowControl w:val="0"/>
        <w:shd w:val="clear" w:color="auto" w:fill="auto"/>
        <w:bidi w:val="0"/>
        <w:spacing w:before="0" w:after="220" w:line="346" w:lineRule="exact"/>
        <w:ind w:left="0" w:right="0" w:firstLine="420"/>
        <w:jc w:val="both"/>
        <w:sectPr>
          <w:footnotePr>
            <w:numFmt w:val="chicago"/>
          </w:footnotePr>
          <w:type w:val="continuous"/>
          <w:pgSz w:w="10099" w:h="14782"/>
          <w:pgMar w:top="1299" w:right="997" w:bottom="1110" w:left="1100" w:header="871" w:footer="682" w:gutter="0"/>
          <w:cols w:space="720" w:num="1"/>
          <w:rtlGutter w:val="0"/>
          <w:docGrid w:linePitch="360" w:charSpace="0"/>
        </w:sectPr>
      </w:pPr>
      <w:r>
        <w:rPr>
          <w:color w:val="000000"/>
          <w:spacing w:val="0"/>
          <w:w w:val="100"/>
          <w:position w:val="0"/>
        </w:rPr>
        <w:t>有限责任公司的股权分期支付转让款中发生股权受让人延迟或者拒付等违约情形，股 权转让人要求解除双方签订的股权转让合同的,不适用《合同法》第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条关于分期付款买 卖中出卖人在买受人未支付到期价款的金额达到合同全部价款的</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时即可解除合同的规 定。</w:t>
      </w:r>
    </w:p>
    <w:p w14:paraId="47E1869B">
      <w:pPr>
        <w:pStyle w:val="11"/>
        <w:keepNext w:val="0"/>
        <w:keepLines w:val="0"/>
        <w:widowControl w:val="0"/>
        <w:shd w:val="clear" w:color="auto" w:fill="auto"/>
        <w:bidi w:val="0"/>
        <w:spacing w:before="0" w:after="260" w:line="240" w:lineRule="auto"/>
        <w:ind w:left="0" w:right="0" w:firstLine="0"/>
        <w:jc w:val="both"/>
      </w:pPr>
      <w:r>
        <w:rPr>
          <w:color w:val="000000"/>
          <w:spacing w:val="0"/>
          <w:w w:val="100"/>
          <w:position w:val="0"/>
        </w:rPr>
        <w:t>■评析</w:t>
      </w:r>
    </w:p>
    <w:p w14:paraId="00FA74D7">
      <w:pPr>
        <w:pStyle w:val="17"/>
        <w:keepNext w:val="0"/>
        <w:keepLines w:val="0"/>
        <w:widowControl w:val="0"/>
        <w:shd w:val="clear" w:color="auto" w:fill="auto"/>
        <w:bidi w:val="0"/>
        <w:spacing w:before="0" w:after="100" w:line="24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042492B5">
      <w:pPr>
        <w:pStyle w:val="17"/>
        <w:keepNext w:val="0"/>
        <w:keepLines w:val="0"/>
        <w:widowControl w:val="0"/>
        <w:shd w:val="clear" w:color="auto" w:fill="auto"/>
        <w:bidi w:val="0"/>
        <w:spacing w:before="0" w:after="260" w:line="346" w:lineRule="exact"/>
        <w:ind w:left="0" w:right="0" w:firstLine="420"/>
        <w:jc w:val="both"/>
      </w:pPr>
      <w:r>
        <w:rPr>
          <w:color w:val="000000"/>
          <w:spacing w:val="0"/>
          <w:w w:val="100"/>
          <w:position w:val="0"/>
        </w:rPr>
        <w:t>本案的争议问题是，周士海是否因汤长龙“逾期未支付约定的第二期股权转让款</w:t>
      </w:r>
      <w:r>
        <w:rPr>
          <w:color w:val="000000"/>
          <w:spacing w:val="0"/>
          <w:w w:val="100"/>
          <w:position w:val="0"/>
          <w:lang w:val="zh-CN" w:eastAsia="zh-CN" w:bidi="zh-CN"/>
        </w:rPr>
        <w:t xml:space="preserve">”而有 </w:t>
      </w:r>
      <w:r>
        <w:rPr>
          <w:color w:val="000000"/>
          <w:spacing w:val="0"/>
          <w:w w:val="100"/>
          <w:position w:val="0"/>
        </w:rPr>
        <w:t>权解除股权转让合同。涉及的核心法律问题是，原《合同法》第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款（《民法典》第 </w:t>
      </w:r>
      <w:r>
        <w:rPr>
          <w:rFonts w:ascii="Times New Roman" w:hAnsi="Times New Roman" w:eastAsia="Times New Roman" w:cs="Times New Roman"/>
          <w:color w:val="000000"/>
          <w:spacing w:val="0"/>
          <w:w w:val="100"/>
          <w:position w:val="0"/>
          <w:sz w:val="19"/>
          <w:szCs w:val="19"/>
        </w:rPr>
        <w:t>634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款对此作出了修改）的分期付款买卖解除规则能否（参照）适用于本案的股权转 让协议。原《合同法》第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条仅直接适用于</w:t>
      </w:r>
      <w:r>
        <w:rPr>
          <w:color w:val="000000"/>
          <w:spacing w:val="0"/>
          <w:w w:val="100"/>
          <w:position w:val="0"/>
          <w:lang w:val="zh-CN" w:eastAsia="zh-CN" w:bidi="zh-CN"/>
        </w:rPr>
        <w:t>“转移</w:t>
      </w:r>
      <w:r>
        <w:rPr>
          <w:color w:val="000000"/>
          <w:spacing w:val="0"/>
          <w:w w:val="100"/>
          <w:position w:val="0"/>
        </w:rPr>
        <w:t>标的物的所有权”的</w:t>
      </w:r>
      <w:r>
        <w:rPr>
          <w:color w:val="000000"/>
          <w:spacing w:val="0"/>
          <w:w w:val="100"/>
          <w:position w:val="0"/>
          <w:lang w:val="zh-CN" w:eastAsia="zh-CN" w:bidi="zh-CN"/>
        </w:rPr>
        <w:t>“买卖</w:t>
      </w:r>
      <w:r>
        <w:rPr>
          <w:color w:val="000000"/>
          <w:spacing w:val="0"/>
          <w:w w:val="100"/>
          <w:position w:val="0"/>
        </w:rPr>
        <w:t>合同”</w:t>
      </w:r>
      <w:r>
        <w:rPr>
          <w:color w:val="000000"/>
          <w:spacing w:val="0"/>
          <w:w w:val="100"/>
          <w:position w:val="0"/>
          <w:lang w:val="en-US" w:eastAsia="en-US" w:bidi="en-US"/>
        </w:rPr>
        <w:t>［</w:t>
      </w:r>
      <w:r>
        <w:rPr>
          <w:color w:val="000000"/>
          <w:spacing w:val="0"/>
          <w:w w:val="100"/>
          <w:position w:val="0"/>
        </w:rPr>
        <w:t>《合同 法》第</w:t>
      </w:r>
      <w:r>
        <w:rPr>
          <w:rFonts w:ascii="Times New Roman" w:hAnsi="Times New Roman" w:eastAsia="Times New Roman" w:cs="Times New Roman"/>
          <w:color w:val="000000"/>
          <w:spacing w:val="0"/>
          <w:w w:val="100"/>
          <w:position w:val="0"/>
          <w:sz w:val="19"/>
          <w:szCs w:val="19"/>
        </w:rPr>
        <w:t>130</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595</w:t>
      </w:r>
      <w:r>
        <w:rPr>
          <w:color w:val="000000"/>
          <w:spacing w:val="0"/>
          <w:w w:val="100"/>
          <w:position w:val="0"/>
        </w:rPr>
        <w:t>条）</w:t>
      </w:r>
      <w:r>
        <w:rPr>
          <w:color w:val="000000"/>
          <w:spacing w:val="0"/>
          <w:w w:val="100"/>
          <w:position w:val="0"/>
          <w:lang w:val="en-US" w:eastAsia="en-US" w:bidi="en-US"/>
        </w:rPr>
        <w:t>］</w:t>
      </w:r>
      <w:r>
        <w:rPr>
          <w:color w:val="000000"/>
          <w:spacing w:val="0"/>
          <w:w w:val="100"/>
          <w:position w:val="0"/>
        </w:rPr>
        <w:t xml:space="preserve">，对股权转让合同不能直接适用。但是，《合同法》第 </w:t>
      </w:r>
      <w:r>
        <w:rPr>
          <w:rFonts w:ascii="Times New Roman" w:hAnsi="Times New Roman" w:eastAsia="Times New Roman" w:cs="Times New Roman"/>
          <w:color w:val="000000"/>
          <w:spacing w:val="0"/>
          <w:w w:val="100"/>
          <w:position w:val="0"/>
          <w:sz w:val="19"/>
          <w:szCs w:val="19"/>
        </w:rPr>
        <w:t>174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646</w:t>
      </w:r>
      <w:r>
        <w:rPr>
          <w:color w:val="000000"/>
          <w:spacing w:val="0"/>
          <w:w w:val="100"/>
          <w:position w:val="0"/>
        </w:rPr>
        <w:t>条）规定，买卖合同的有关规定可以参照适用于其他有偿合同;最 高人民法院《关于审理买卖合同纠纷案件适用法律问题的解释》［法释</w:t>
      </w:r>
      <w:r>
        <w:rPr>
          <w:rFonts w:ascii="Times New Roman" w:hAnsi="Times New Roman" w:eastAsia="Times New Roman" w:cs="Times New Roman"/>
          <w:color w:val="000000"/>
          <w:spacing w:val="0"/>
          <w:w w:val="100"/>
          <w:position w:val="0"/>
          <w:sz w:val="19"/>
          <w:szCs w:val="19"/>
        </w:rPr>
        <w:t>（2012）8</w:t>
      </w:r>
      <w:r>
        <w:rPr>
          <w:color w:val="000000"/>
          <w:spacing w:val="0"/>
          <w:w w:val="100"/>
          <w:position w:val="0"/>
        </w:rPr>
        <w:t>号］（以下简 称《买卖合同司法解释》）第</w:t>
      </w:r>
      <w:r>
        <w:rPr>
          <w:rFonts w:ascii="Times New Roman" w:hAnsi="Times New Roman" w:eastAsia="Times New Roman" w:cs="Times New Roman"/>
          <w:color w:val="000000"/>
          <w:spacing w:val="0"/>
          <w:w w:val="100"/>
          <w:position w:val="0"/>
          <w:sz w:val="19"/>
          <w:szCs w:val="19"/>
        </w:rPr>
        <w:t>45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款更进一步明确规定，股权转让合同可以参照适用买 卖合同的规定。但是，股权转让与一般的有体物买卖存在差异，并非必须</w:t>
      </w:r>
      <w:r>
        <w:rPr>
          <w:color w:val="000000"/>
          <w:spacing w:val="0"/>
          <w:w w:val="100"/>
          <w:position w:val="0"/>
          <w:lang w:val="zh-CN" w:eastAsia="zh-CN" w:bidi="zh-CN"/>
        </w:rPr>
        <w:t>“参</w:t>
      </w:r>
      <w:r>
        <w:rPr>
          <w:color w:val="000000"/>
          <w:spacing w:val="0"/>
          <w:w w:val="100"/>
          <w:position w:val="0"/>
        </w:rPr>
        <w:t>照适用</w:t>
      </w:r>
      <w:r>
        <w:rPr>
          <w:color w:val="000000"/>
          <w:spacing w:val="0"/>
          <w:w w:val="100"/>
          <w:position w:val="0"/>
          <w:lang w:val="zh-CN" w:eastAsia="zh-CN" w:bidi="zh-CN"/>
        </w:rPr>
        <w:t xml:space="preserve">”买卖 </w:t>
      </w:r>
      <w:r>
        <w:rPr>
          <w:color w:val="000000"/>
          <w:spacing w:val="0"/>
          <w:w w:val="100"/>
          <w:position w:val="0"/>
        </w:rPr>
        <w:t>合同的规定。本案的</w:t>
      </w:r>
      <w:r>
        <w:rPr>
          <w:color w:val="000000"/>
          <w:spacing w:val="0"/>
          <w:w w:val="100"/>
          <w:position w:val="0"/>
          <w:lang w:val="zh-CN" w:eastAsia="zh-CN" w:bidi="zh-CN"/>
        </w:rPr>
        <w:t>“裁</w:t>
      </w:r>
      <w:r>
        <w:rPr>
          <w:color w:val="000000"/>
          <w:spacing w:val="0"/>
          <w:w w:val="100"/>
          <w:position w:val="0"/>
        </w:rPr>
        <w:t>判要点</w:t>
      </w:r>
      <w:r>
        <w:rPr>
          <w:color w:val="000000"/>
          <w:spacing w:val="0"/>
          <w:w w:val="100"/>
          <w:position w:val="0"/>
          <w:lang w:val="zh-CN" w:eastAsia="zh-CN" w:bidi="zh-CN"/>
        </w:rPr>
        <w:t>”明确</w:t>
      </w:r>
      <w:r>
        <w:rPr>
          <w:color w:val="000000"/>
          <w:spacing w:val="0"/>
          <w:w w:val="100"/>
          <w:position w:val="0"/>
        </w:rPr>
        <w:t>认为,股权转让合同不能参照适用</w:t>
      </w:r>
      <w:r>
        <w:rPr>
          <w:color w:val="000000"/>
          <w:spacing w:val="0"/>
          <w:w w:val="100"/>
          <w:position w:val="0"/>
          <w:sz w:val="11"/>
          <w:szCs w:val="11"/>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号“裁 判要点</w:t>
      </w:r>
      <w:r>
        <w:rPr>
          <w:color w:val="000000"/>
          <w:spacing w:val="0"/>
          <w:w w:val="100"/>
          <w:position w:val="0"/>
          <w:sz w:val="11"/>
          <w:szCs w:val="11"/>
          <w:lang w:val="zh-CN" w:eastAsia="zh-CN" w:bidi="zh-CN"/>
        </w:rPr>
        <w:t>”中的</w:t>
      </w:r>
      <w:r>
        <w:rPr>
          <w:color w:val="000000"/>
          <w:spacing w:val="0"/>
          <w:w w:val="100"/>
          <w:position w:val="0"/>
          <w:sz w:val="11"/>
          <w:szCs w:val="11"/>
        </w:rPr>
        <w:t>表述为</w:t>
      </w:r>
      <w:r>
        <w:rPr>
          <w:color w:val="000000"/>
          <w:spacing w:val="0"/>
          <w:w w:val="100"/>
          <w:position w:val="0"/>
          <w:sz w:val="11"/>
          <w:szCs w:val="11"/>
          <w:lang w:val="zh-CN" w:eastAsia="zh-CN" w:bidi="zh-CN"/>
        </w:rPr>
        <w:t>“不</w:t>
      </w:r>
      <w:r>
        <w:rPr>
          <w:color w:val="000000"/>
          <w:spacing w:val="0"/>
          <w:w w:val="100"/>
          <w:position w:val="0"/>
          <w:sz w:val="11"/>
          <w:szCs w:val="11"/>
        </w:rPr>
        <w:t>适用</w:t>
      </w:r>
      <w:r>
        <w:rPr>
          <w:color w:val="000000"/>
          <w:spacing w:val="0"/>
          <w:w w:val="100"/>
          <w:position w:val="0"/>
          <w:sz w:val="11"/>
          <w:szCs w:val="11"/>
          <w:lang w:val="zh-CN" w:eastAsia="zh-CN" w:bidi="zh-CN"/>
        </w:rPr>
        <w:t>”，准</w:t>
      </w:r>
      <w:r>
        <w:rPr>
          <w:color w:val="000000"/>
          <w:spacing w:val="0"/>
          <w:w w:val="100"/>
          <w:position w:val="0"/>
          <w:sz w:val="11"/>
          <w:szCs w:val="11"/>
        </w:rPr>
        <w:t>确言之，应为</w:t>
      </w:r>
      <w:r>
        <w:rPr>
          <w:color w:val="000000"/>
          <w:spacing w:val="0"/>
          <w:w w:val="100"/>
          <w:position w:val="0"/>
          <w:sz w:val="11"/>
          <w:szCs w:val="11"/>
          <w:lang w:val="zh-CN" w:eastAsia="zh-CN" w:bidi="zh-CN"/>
        </w:rPr>
        <w:t>“不</w:t>
      </w:r>
      <w:r>
        <w:rPr>
          <w:color w:val="000000"/>
          <w:spacing w:val="0"/>
          <w:w w:val="100"/>
          <w:position w:val="0"/>
          <w:sz w:val="11"/>
          <w:szCs w:val="11"/>
        </w:rPr>
        <w:t>参照适用”）原</w:t>
      </w:r>
      <w:r>
        <w:rPr>
          <w:color w:val="000000"/>
          <w:spacing w:val="0"/>
          <w:w w:val="100"/>
          <w:position w:val="0"/>
        </w:rPr>
        <w:t>《合同法》第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款中关于 解除权的规定，这对今后的司法实践具有指导意义。</w:t>
      </w:r>
    </w:p>
    <w:p w14:paraId="1A783455">
      <w:pPr>
        <w:pStyle w:val="17"/>
        <w:keepNext w:val="0"/>
        <w:keepLines w:val="0"/>
        <w:widowControl w:val="0"/>
        <w:shd w:val="clear" w:color="auto" w:fill="auto"/>
        <w:bidi w:val="0"/>
        <w:spacing w:before="0" w:after="0" w:line="382"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分期付款买卖合同的解除规则可否参照适用于股权转让协议</w:t>
      </w:r>
    </w:p>
    <w:p w14:paraId="229DB3E6">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号在</w:t>
      </w:r>
      <w:r>
        <w:rPr>
          <w:color w:val="000000"/>
          <w:spacing w:val="0"/>
          <w:w w:val="100"/>
          <w:position w:val="0"/>
          <w:lang w:val="zh-CN" w:eastAsia="zh-CN" w:bidi="zh-CN"/>
        </w:rPr>
        <w:t>“裁</w:t>
      </w:r>
      <w:r>
        <w:rPr>
          <w:color w:val="000000"/>
          <w:spacing w:val="0"/>
          <w:w w:val="100"/>
          <w:position w:val="0"/>
        </w:rPr>
        <w:t>判理由</w:t>
      </w:r>
      <w:r>
        <w:rPr>
          <w:color w:val="000000"/>
          <w:spacing w:val="0"/>
          <w:w w:val="100"/>
          <w:position w:val="0"/>
          <w:lang w:val="zh-CN" w:eastAsia="zh-CN" w:bidi="zh-CN"/>
        </w:rPr>
        <w:t>”部分</w:t>
      </w:r>
      <w:r>
        <w:rPr>
          <w:color w:val="000000"/>
          <w:spacing w:val="0"/>
          <w:w w:val="100"/>
          <w:position w:val="0"/>
        </w:rPr>
        <w:t xml:space="preserve">阐述了 </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点理由。第一，法院认为原《合同法》第</w:t>
      </w:r>
      <w:r>
        <w:rPr>
          <w:rFonts w:ascii="Times New Roman" w:hAnsi="Times New Roman" w:eastAsia="Times New Roman" w:cs="Times New Roman"/>
          <w:color w:val="000000"/>
          <w:spacing w:val="0"/>
          <w:w w:val="100"/>
          <w:position w:val="0"/>
          <w:sz w:val="19"/>
          <w:szCs w:val="19"/>
        </w:rPr>
        <w:t xml:space="preserve">167 </w:t>
      </w:r>
      <w:r>
        <w:rPr>
          <w:color w:val="000000"/>
          <w:spacing w:val="0"/>
          <w:w w:val="100"/>
          <w:position w:val="0"/>
        </w:rPr>
        <w:t>条所规范的对象经常为</w:t>
      </w:r>
      <w:r>
        <w:rPr>
          <w:color w:val="000000"/>
          <w:spacing w:val="0"/>
          <w:w w:val="100"/>
          <w:position w:val="0"/>
          <w:lang w:val="zh-CN" w:eastAsia="zh-CN" w:bidi="zh-CN"/>
        </w:rPr>
        <w:t>“以消</w:t>
      </w:r>
      <w:r>
        <w:rPr>
          <w:color w:val="000000"/>
          <w:spacing w:val="0"/>
          <w:w w:val="100"/>
          <w:position w:val="0"/>
        </w:rPr>
        <w:t>费为目的”的分期付款买卖,与股权转让存在较大区别，因此 不能</w:t>
      </w:r>
      <w:r>
        <w:rPr>
          <w:color w:val="000000"/>
          <w:spacing w:val="0"/>
          <w:w w:val="100"/>
          <w:position w:val="0"/>
          <w:lang w:val="zh-CN" w:eastAsia="zh-CN" w:bidi="zh-CN"/>
        </w:rPr>
        <w:t>“简</w:t>
      </w:r>
      <w:r>
        <w:rPr>
          <w:color w:val="000000"/>
          <w:spacing w:val="0"/>
          <w:w w:val="100"/>
          <w:position w:val="0"/>
        </w:rPr>
        <w:t>单适用</w:t>
      </w:r>
      <w:r>
        <w:rPr>
          <w:color w:val="000000"/>
          <w:spacing w:val="0"/>
          <w:w w:val="100"/>
          <w:position w:val="0"/>
          <w:lang w:val="zh-CN" w:eastAsia="zh-CN" w:bidi="zh-CN"/>
        </w:rPr>
        <w:t>”于股</w:t>
      </w:r>
      <w:r>
        <w:rPr>
          <w:color w:val="000000"/>
          <w:spacing w:val="0"/>
          <w:w w:val="100"/>
          <w:position w:val="0"/>
        </w:rPr>
        <w:t>权转让合同。此点理由最为核心，下文将详细探讨。第二，法院认为 案涉股权转让协议的合同目的能够实现。法院似乎是指因合同目的能够实现，周士海无权 依据《合同法》第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项解除合同，但这与原《合同法》第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条是否能够准用于股权 转让协议之间并无关联。第三，法院依据诚实信用原则，认为即便原《合同法》第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款可以准用于股权转让合同，当事人也应当首先要求</w:t>
      </w:r>
      <w:r>
        <w:rPr>
          <w:color w:val="000000"/>
          <w:spacing w:val="0"/>
          <w:w w:val="100"/>
          <w:position w:val="0"/>
          <w:lang w:val="zh-CN" w:eastAsia="zh-CN" w:bidi="zh-CN"/>
        </w:rPr>
        <w:t>“支</w:t>
      </w:r>
      <w:r>
        <w:rPr>
          <w:color w:val="000000"/>
          <w:spacing w:val="0"/>
          <w:w w:val="100"/>
          <w:position w:val="0"/>
        </w:rPr>
        <w:t>付全部价款,而不是解除合同”。 此处关于原《合同法》第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款能够准用于股权转让协议的立场，与裁判要旨明显相 悖。此外，法院否定了当事人对原《合同法》第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款规定的</w:t>
      </w:r>
      <w:r>
        <w:rPr>
          <w:color w:val="000000"/>
          <w:spacing w:val="0"/>
          <w:w w:val="100"/>
          <w:position w:val="0"/>
          <w:lang w:val="zh-CN" w:eastAsia="zh-CN" w:bidi="zh-CN"/>
        </w:rPr>
        <w:t>“支付</w:t>
      </w:r>
      <w:r>
        <w:rPr>
          <w:color w:val="000000"/>
          <w:spacing w:val="0"/>
          <w:w w:val="100"/>
          <w:position w:val="0"/>
        </w:rPr>
        <w:t>全部价款”和</w:t>
      </w:r>
      <w:r>
        <w:rPr>
          <w:color w:val="000000"/>
          <w:spacing w:val="0"/>
          <w:w w:val="100"/>
          <w:position w:val="0"/>
          <w:lang w:val="zh-CN" w:eastAsia="zh-CN" w:bidi="zh-CN"/>
        </w:rPr>
        <w:t xml:space="preserve">“解 </w:t>
      </w:r>
      <w:r>
        <w:rPr>
          <w:color w:val="000000"/>
          <w:spacing w:val="0"/>
          <w:w w:val="100"/>
          <w:position w:val="0"/>
        </w:rPr>
        <w:t>除合同</w:t>
      </w:r>
      <w:r>
        <w:rPr>
          <w:color w:val="000000"/>
          <w:spacing w:val="0"/>
          <w:w w:val="100"/>
          <w:position w:val="0"/>
          <w:lang w:val="zh-CN" w:eastAsia="zh-CN" w:bidi="zh-CN"/>
        </w:rPr>
        <w:t>”之</w:t>
      </w:r>
      <w:r>
        <w:rPr>
          <w:color w:val="000000"/>
          <w:spacing w:val="0"/>
          <w:w w:val="100"/>
          <w:position w:val="0"/>
        </w:rPr>
        <w:t>间的选择权，并不恰当</w:t>
      </w:r>
      <w:r>
        <w:rPr>
          <w:color w:val="000000"/>
          <w:spacing w:val="0"/>
          <w:w w:val="100"/>
          <w:position w:val="0"/>
          <w:sz w:val="11"/>
          <w:szCs w:val="11"/>
        </w:rPr>
        <w:t>［郝丽燕：《〈合同法〉第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1"/>
          <w:szCs w:val="11"/>
        </w:rPr>
        <w:t>条（分期付款买卖）评注》，载《法学 家》</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1"/>
          <w:szCs w:val="11"/>
        </w:rPr>
        <w:t>期］。</w:t>
      </w:r>
      <w:r>
        <w:rPr>
          <w:color w:val="000000"/>
          <w:spacing w:val="0"/>
          <w:w w:val="100"/>
          <w:position w:val="0"/>
        </w:rPr>
        <w:t>第四，法院认为解除股权转让协议不利于交易安全，将影响公司经营管 理的稳定。此点理由仍未触及原《合同法》第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款对股权转让的准用问题。此夕卜， 维护交易安全也并非意味着股权转让协议不能解除</w:t>
      </w:r>
      <w:r>
        <w:rPr>
          <w:color w:val="000000"/>
          <w:spacing w:val="0"/>
          <w:w w:val="100"/>
          <w:position w:val="0"/>
          <w:sz w:val="11"/>
          <w:szCs w:val="11"/>
        </w:rPr>
        <w:t>（李建伟:《分期付款的股权转让合同解除权 的特殊性——兼评最高人民法院第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号指导性案例的约束性规范》，载《清华法学》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1"/>
          <w:szCs w:val="11"/>
        </w:rPr>
        <w:t xml:space="preserve">期）。 </w:t>
      </w:r>
      <w:r>
        <w:rPr>
          <w:color w:val="000000"/>
          <w:spacing w:val="0"/>
          <w:w w:val="100"/>
          <w:position w:val="0"/>
        </w:rPr>
        <w:t>以下集中对法院的第一点裁判理由进行详细探讨。</w:t>
      </w:r>
    </w:p>
    <w:p w14:paraId="2EBFDD80">
      <w:pPr>
        <w:pStyle w:val="17"/>
        <w:keepNext w:val="0"/>
        <w:keepLines w:val="0"/>
        <w:widowControl w:val="0"/>
        <w:shd w:val="clear" w:color="auto" w:fill="auto"/>
        <w:bidi w:val="0"/>
        <w:spacing w:before="0" w:after="0" w:line="346" w:lineRule="exact"/>
        <w:ind w:left="0" w:right="0" w:firstLine="420"/>
        <w:jc w:val="both"/>
        <w:rPr>
          <w:sz w:val="11"/>
          <w:szCs w:val="11"/>
        </w:rPr>
      </w:pPr>
      <w:r>
        <w:rPr>
          <w:color w:val="000000"/>
          <w:spacing w:val="0"/>
          <w:w w:val="100"/>
          <w:position w:val="0"/>
          <w:sz w:val="18"/>
          <w:szCs w:val="18"/>
        </w:rPr>
        <w:t>法院认为，原《合同法》第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条规定的</w:t>
      </w:r>
      <w:r>
        <w:rPr>
          <w:color w:val="000000"/>
          <w:spacing w:val="0"/>
          <w:w w:val="100"/>
          <w:position w:val="0"/>
          <w:sz w:val="18"/>
          <w:szCs w:val="18"/>
          <w:lang w:val="zh-CN" w:eastAsia="zh-CN" w:bidi="zh-CN"/>
        </w:rPr>
        <w:t>“分期</w:t>
      </w:r>
      <w:r>
        <w:rPr>
          <w:color w:val="000000"/>
          <w:spacing w:val="0"/>
          <w:w w:val="100"/>
          <w:position w:val="0"/>
          <w:sz w:val="18"/>
          <w:szCs w:val="18"/>
        </w:rPr>
        <w:t>付款”主要指以消费为目的的交易，</w:t>
      </w:r>
      <w:r>
        <w:rPr>
          <w:color w:val="000000"/>
          <w:spacing w:val="0"/>
          <w:w w:val="100"/>
          <w:position w:val="0"/>
          <w:sz w:val="18"/>
          <w:szCs w:val="18"/>
          <w:lang w:val="zh-CN" w:eastAsia="zh-CN" w:bidi="zh-CN"/>
        </w:rPr>
        <w:t xml:space="preserve">“多 </w:t>
      </w:r>
      <w:r>
        <w:rPr>
          <w:color w:val="000000"/>
          <w:spacing w:val="0"/>
          <w:w w:val="100"/>
          <w:position w:val="0"/>
          <w:sz w:val="18"/>
          <w:szCs w:val="18"/>
        </w:rPr>
        <w:t>发、常见在经营者和消费者之间</w:t>
      </w:r>
      <w:r>
        <w:rPr>
          <w:color w:val="000000"/>
          <w:spacing w:val="0"/>
          <w:w w:val="100"/>
          <w:position w:val="0"/>
          <w:sz w:val="18"/>
          <w:szCs w:val="18"/>
          <w:lang w:val="zh-CN" w:eastAsia="zh-CN" w:bidi="zh-CN"/>
        </w:rPr>
        <w:t>”，而</w:t>
      </w:r>
      <w:r>
        <w:rPr>
          <w:color w:val="000000"/>
          <w:spacing w:val="0"/>
          <w:w w:val="100"/>
          <w:position w:val="0"/>
          <w:sz w:val="18"/>
          <w:szCs w:val="18"/>
        </w:rPr>
        <w:t>股权转让并非此种类型。但是，原《合同法》第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 在文义上并未限定仅适用于消费者合同，实践中,适用原《合同法》第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条的大量案例涉 及的也不是消费者合同</w:t>
      </w:r>
      <w:r>
        <w:rPr>
          <w:color w:val="000000"/>
          <w:spacing w:val="0"/>
          <w:w w:val="100"/>
          <w:position w:val="0"/>
          <w:sz w:val="11"/>
          <w:szCs w:val="11"/>
        </w:rPr>
        <w:t>（参见钱玉林:《分期付款股权转让合同的司法裁判——指导案例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号裁判 规则质疑》，载《环球法律评论》</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r>
        <w:rPr>
          <w:color w:val="000000"/>
          <w:spacing w:val="0"/>
          <w:w w:val="100"/>
          <w:position w:val="0"/>
          <w:sz w:val="18"/>
          <w:szCs w:val="18"/>
        </w:rPr>
        <w:t>更为关键的是，依据原《合同法》第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8"/>
          <w:szCs w:val="18"/>
        </w:rPr>
        <w:t>款的规定，在“买受人未支付到期价款的金额达到全部价款的五分之一</w:t>
      </w:r>
      <w:r>
        <w:rPr>
          <w:color w:val="000000"/>
          <w:spacing w:val="0"/>
          <w:w w:val="100"/>
          <w:position w:val="0"/>
          <w:sz w:val="18"/>
          <w:szCs w:val="18"/>
          <w:lang w:val="zh-CN" w:eastAsia="zh-CN" w:bidi="zh-CN"/>
        </w:rPr>
        <w:t>”时，</w:t>
      </w:r>
      <w:r>
        <w:rPr>
          <w:color w:val="000000"/>
          <w:spacing w:val="0"/>
          <w:w w:val="100"/>
          <w:position w:val="0"/>
          <w:sz w:val="18"/>
          <w:szCs w:val="18"/>
        </w:rPr>
        <w:t>出卖人即可解 除合同，与原《合同法》第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项和第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项规定的解除权要件相比，原《合同法》第</w:t>
      </w:r>
      <w:r>
        <w:rPr>
          <w:rFonts w:ascii="Times New Roman" w:hAnsi="Times New Roman" w:eastAsia="Times New Roman" w:cs="Times New Roman"/>
          <w:color w:val="000000"/>
          <w:spacing w:val="0"/>
          <w:w w:val="100"/>
          <w:position w:val="0"/>
          <w:sz w:val="19"/>
          <w:szCs w:val="19"/>
        </w:rPr>
        <w:t xml:space="preserve">167 </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款规定的解除权要件更为宽松，无法发挥保护消费者的作用。一方面，与原《合同 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项相比，在买受人迟延付款的金额达到全部价款的</w:t>
      </w:r>
      <w:r>
        <w:rPr>
          <w:rFonts w:ascii="Times New Roman" w:hAnsi="Times New Roman" w:eastAsia="Times New Roman" w:cs="Times New Roman"/>
          <w:color w:val="000000"/>
          <w:spacing w:val="0"/>
          <w:w w:val="100"/>
          <w:position w:val="0"/>
          <w:sz w:val="19"/>
          <w:szCs w:val="19"/>
        </w:rPr>
        <w:t>1/5</w:t>
      </w:r>
      <w:r>
        <w:rPr>
          <w:color w:val="000000"/>
          <w:spacing w:val="0"/>
          <w:w w:val="100"/>
          <w:position w:val="0"/>
          <w:sz w:val="18"/>
          <w:szCs w:val="18"/>
        </w:rPr>
        <w:t>时，出卖人根据原 《合同法》第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款无需</w:t>
      </w:r>
      <w:r>
        <w:rPr>
          <w:color w:val="000000"/>
          <w:spacing w:val="0"/>
          <w:w w:val="100"/>
          <w:position w:val="0"/>
          <w:sz w:val="18"/>
          <w:szCs w:val="18"/>
          <w:lang w:val="zh-CN" w:eastAsia="zh-CN" w:bidi="zh-CN"/>
        </w:rPr>
        <w:t>“催告”买受</w:t>
      </w:r>
      <w:r>
        <w:rPr>
          <w:color w:val="000000"/>
          <w:spacing w:val="0"/>
          <w:w w:val="100"/>
          <w:position w:val="0"/>
          <w:sz w:val="18"/>
          <w:szCs w:val="18"/>
        </w:rPr>
        <w:t>人付款即可解除合同，而原《合同法》第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 xml:space="preserve">3 </w:t>
      </w:r>
      <w:r>
        <w:rPr>
          <w:color w:val="000000"/>
          <w:spacing w:val="0"/>
          <w:w w:val="100"/>
          <w:position w:val="0"/>
          <w:sz w:val="18"/>
          <w:szCs w:val="18"/>
        </w:rPr>
        <w:t>项规定了催告要件，相比之下，原《合同法》第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 xml:space="preserve">款给予了出卖人更宽松的解除权 </w:t>
      </w:r>
      <w:r>
        <w:rPr>
          <w:color w:val="000000"/>
          <w:spacing w:val="0"/>
          <w:w w:val="100"/>
          <w:position w:val="0"/>
          <w:sz w:val="11"/>
          <w:szCs w:val="11"/>
        </w:rPr>
        <w:t>（宁红丽:《分期付款买卖法律条款的消费者保护建构》，载《华东政法大学学报》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1"/>
          <w:szCs w:val="11"/>
        </w:rPr>
        <w:t>期）。</w:t>
      </w:r>
      <w:r>
        <w:rPr>
          <w:color w:val="000000"/>
          <w:spacing w:val="0"/>
          <w:w w:val="100"/>
          <w:position w:val="0"/>
          <w:sz w:val="18"/>
          <w:szCs w:val="18"/>
        </w:rPr>
        <w:t>另 一方面，在买受人迟延付款金额达到全部价款的</w:t>
      </w:r>
      <w:r>
        <w:rPr>
          <w:rFonts w:ascii="Times New Roman" w:hAnsi="Times New Roman" w:eastAsia="Times New Roman" w:cs="Times New Roman"/>
          <w:color w:val="000000"/>
          <w:spacing w:val="0"/>
          <w:w w:val="100"/>
          <w:position w:val="0"/>
          <w:sz w:val="19"/>
          <w:szCs w:val="19"/>
        </w:rPr>
        <w:t>1/5</w:t>
      </w:r>
      <w:r>
        <w:rPr>
          <w:color w:val="000000"/>
          <w:spacing w:val="0"/>
          <w:w w:val="100"/>
          <w:position w:val="0"/>
          <w:sz w:val="18"/>
          <w:szCs w:val="18"/>
        </w:rPr>
        <w:t>时，通常并不影响合同目的的实现，出 卖人不能根据原《合同法》第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项解除合同，而此时却可以依据原《合同法》第</w:t>
      </w:r>
      <w:r>
        <w:rPr>
          <w:rFonts w:ascii="Times New Roman" w:hAnsi="Times New Roman" w:eastAsia="Times New Roman" w:cs="Times New Roman"/>
          <w:color w:val="000000"/>
          <w:spacing w:val="0"/>
          <w:w w:val="100"/>
          <w:position w:val="0"/>
          <w:sz w:val="19"/>
          <w:szCs w:val="19"/>
        </w:rPr>
        <w:t xml:space="preserve">167 </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款获得解除权，后者显然对出卖人更为有利</w:t>
      </w:r>
      <w:r>
        <w:rPr>
          <w:color w:val="000000"/>
          <w:spacing w:val="0"/>
          <w:w w:val="100"/>
          <w:position w:val="0"/>
          <w:sz w:val="11"/>
          <w:szCs w:val="11"/>
        </w:rPr>
        <w:t>（杨旭:《〈合同法〉第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1"/>
          <w:szCs w:val="11"/>
        </w:rPr>
        <w:t>条对股权买卖之准 用——〈指导案例〉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号评释》，载《现代法学》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p>
    <w:p w14:paraId="48853CAF">
      <w:pPr>
        <w:pStyle w:val="17"/>
        <w:keepNext w:val="0"/>
        <w:keepLines w:val="0"/>
        <w:widowControl w:val="0"/>
        <w:shd w:val="clear" w:color="auto" w:fill="auto"/>
        <w:bidi w:val="0"/>
        <w:spacing w:before="0" w:after="0" w:line="343" w:lineRule="exact"/>
        <w:ind w:left="0" w:right="0" w:firstLine="420"/>
        <w:jc w:val="both"/>
        <w:rPr>
          <w:sz w:val="11"/>
          <w:szCs w:val="11"/>
        </w:rPr>
      </w:pPr>
      <w:r>
        <w:rPr>
          <w:color w:val="000000"/>
          <w:spacing w:val="0"/>
          <w:w w:val="100"/>
          <w:position w:val="0"/>
          <w:sz w:val="18"/>
          <w:szCs w:val="18"/>
        </w:rPr>
        <w:t>由于原《合同法》第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款的现行规定对岀卖人更为有利,若不加修正地适用于 消费者合同,将与消费者保护的理念背道而驰。由此引申出一个基础性的问题，原《合同 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条的规范目的，究竟应更侧重于保护买受人，抑或是出卖人？规范目的的不同, 将影响对原《合同法》第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条的解释适用</w:t>
      </w:r>
      <w:r>
        <w:rPr>
          <w:color w:val="000000"/>
          <w:spacing w:val="0"/>
          <w:w w:val="100"/>
          <w:position w:val="0"/>
          <w:sz w:val="11"/>
          <w:szCs w:val="11"/>
        </w:rPr>
        <w:t>（周江洪:《分期付款买卖合同的解除及其限制——</w:t>
      </w:r>
      <w:r>
        <w:rPr>
          <w:color w:val="000000"/>
          <w:spacing w:val="0"/>
          <w:w w:val="100"/>
          <w:position w:val="0"/>
          <w:sz w:val="11"/>
          <w:szCs w:val="11"/>
          <w:lang w:val="zh-CN" w:eastAsia="zh-CN" w:bidi="zh-CN"/>
        </w:rPr>
        <w:t xml:space="preserve">“汤 </w:t>
      </w:r>
      <w:r>
        <w:rPr>
          <w:color w:val="000000"/>
          <w:spacing w:val="0"/>
          <w:w w:val="100"/>
          <w:position w:val="0"/>
          <w:sz w:val="11"/>
          <w:szCs w:val="11"/>
        </w:rPr>
        <w:t>长龙诉周士海股权转让纠纷案”评释》，载《交大法学》</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p>
    <w:p w14:paraId="421C070F">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第一种观点是，原《合同法》第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条的规范目的应当是保护买受人</w:t>
      </w:r>
      <w:r>
        <w:rPr>
          <w:color w:val="000000"/>
          <w:spacing w:val="0"/>
          <w:w w:val="100"/>
          <w:position w:val="0"/>
          <w:sz w:val="11"/>
          <w:szCs w:val="11"/>
        </w:rPr>
        <w:t>［蔡睿:《分期付款买 卖中出卖人解除权的制度构造与立法反思——兼评最高人民法院</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号指导案例》，载《法律科学》（西 北政法大学学报</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1"/>
          <w:szCs w:val="11"/>
        </w:rPr>
        <w:t>期］。</w:t>
      </w:r>
      <w:r>
        <w:rPr>
          <w:color w:val="000000"/>
          <w:spacing w:val="0"/>
          <w:w w:val="100"/>
          <w:position w:val="0"/>
        </w:rPr>
        <w:t>为实现此目的，原《合同法》第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款所设置的解除 权要件，相比于一般的合同解除权要件应当更为严格。在解释技术上，可以将原《合同法》 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款解释为原《合同法》第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项的补充规范，只有在同时满足原《合同 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款和第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项规定的要件</w:t>
      </w:r>
      <w:r>
        <w:rPr>
          <w:color w:val="000000"/>
          <w:spacing w:val="0"/>
          <w:w w:val="100"/>
          <w:position w:val="0"/>
          <w:lang w:val="zh-CN" w:eastAsia="zh-CN" w:bidi="zh-CN"/>
        </w:rPr>
        <w:t>（“催</w:t>
      </w:r>
      <w:r>
        <w:rPr>
          <w:color w:val="000000"/>
          <w:spacing w:val="0"/>
          <w:w w:val="100"/>
          <w:position w:val="0"/>
        </w:rPr>
        <w:t>告要件”）时，分期付款买卖的出卖人 才可以解除合同</w:t>
      </w:r>
      <w:r>
        <w:rPr>
          <w:color w:val="000000"/>
          <w:spacing w:val="0"/>
          <w:w w:val="100"/>
          <w:position w:val="0"/>
          <w:sz w:val="11"/>
          <w:szCs w:val="11"/>
        </w:rPr>
        <w:t>（孙新宽:《分期付款买卖合同解除权的立法目的与行使限制——从最高人民法院指 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号切入》，载《法学》</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r>
        <w:rPr>
          <w:color w:val="000000"/>
          <w:spacing w:val="0"/>
          <w:w w:val="100"/>
          <w:position w:val="0"/>
        </w:rPr>
        <w:t>在此种解释下，原《合同法》第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条作为保护买 受人的规范，应仅适用于消费者买卖合同,故不能参照适用于股权转让合同。</w:t>
      </w:r>
    </w:p>
    <w:p w14:paraId="706EF4F8">
      <w:pPr>
        <w:pStyle w:val="17"/>
        <w:keepNext w:val="0"/>
        <w:keepLines w:val="0"/>
        <w:widowControl w:val="0"/>
        <w:shd w:val="clear" w:color="auto" w:fill="auto"/>
        <w:bidi w:val="0"/>
        <w:spacing w:before="0" w:after="0" w:line="343" w:lineRule="exact"/>
        <w:ind w:left="0" w:right="0" w:firstLine="420"/>
        <w:jc w:val="both"/>
        <w:rPr>
          <w:sz w:val="11"/>
          <w:szCs w:val="11"/>
        </w:rPr>
      </w:pPr>
      <w:r>
        <w:rPr>
          <w:color w:val="000000"/>
          <w:spacing w:val="0"/>
          <w:w w:val="100"/>
          <w:position w:val="0"/>
          <w:sz w:val="18"/>
          <w:szCs w:val="18"/>
        </w:rPr>
        <w:t>第二种观点是，原《合同法》第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 xml:space="preserve">条的规范目的是保护出卖人，因为分期付款交易须 </w:t>
      </w:r>
      <w:r>
        <w:rPr>
          <w:color w:val="000000"/>
          <w:spacing w:val="0"/>
          <w:w w:val="100"/>
          <w:position w:val="0"/>
          <w:sz w:val="18"/>
          <w:szCs w:val="18"/>
          <w:lang w:val="zh-CN" w:eastAsia="zh-CN" w:bidi="zh-CN"/>
        </w:rPr>
        <w:t>“先</w:t>
      </w:r>
      <w:r>
        <w:rPr>
          <w:color w:val="000000"/>
          <w:spacing w:val="0"/>
          <w:w w:val="100"/>
          <w:position w:val="0"/>
          <w:sz w:val="18"/>
          <w:szCs w:val="18"/>
        </w:rPr>
        <w:t>交货后付款</w:t>
      </w:r>
      <w:r>
        <w:rPr>
          <w:color w:val="000000"/>
          <w:spacing w:val="0"/>
          <w:w w:val="100"/>
          <w:position w:val="0"/>
          <w:sz w:val="18"/>
          <w:szCs w:val="18"/>
          <w:lang w:val="zh-CN" w:eastAsia="zh-CN" w:bidi="zh-CN"/>
        </w:rPr>
        <w:t>”，出</w:t>
      </w:r>
      <w:r>
        <w:rPr>
          <w:color w:val="000000"/>
          <w:spacing w:val="0"/>
          <w:w w:val="100"/>
          <w:position w:val="0"/>
          <w:sz w:val="18"/>
          <w:szCs w:val="18"/>
        </w:rPr>
        <w:t>卖人在交付标的物后，面临着价款无法回收的风险，指导案例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8"/>
          <w:szCs w:val="18"/>
        </w:rPr>
        <w:t>号在 一定程度上也持此观点。在买受人未支付价款金额达到全部价款的</w:t>
      </w:r>
      <w:r>
        <w:rPr>
          <w:rFonts w:ascii="Times New Roman" w:hAnsi="Times New Roman" w:eastAsia="Times New Roman" w:cs="Times New Roman"/>
          <w:color w:val="000000"/>
          <w:spacing w:val="0"/>
          <w:w w:val="100"/>
          <w:position w:val="0"/>
          <w:sz w:val="19"/>
          <w:szCs w:val="19"/>
        </w:rPr>
        <w:t>1/5</w:t>
      </w:r>
      <w:r>
        <w:rPr>
          <w:color w:val="000000"/>
          <w:spacing w:val="0"/>
          <w:w w:val="100"/>
          <w:position w:val="0"/>
          <w:sz w:val="18"/>
          <w:szCs w:val="18"/>
        </w:rPr>
        <w:t>时,极大侵害了出 卖人利益，因而出卖人可以无需催告即解除合同</w:t>
      </w:r>
      <w:r>
        <w:rPr>
          <w:color w:val="000000"/>
          <w:spacing w:val="0"/>
          <w:w w:val="100"/>
          <w:position w:val="0"/>
          <w:sz w:val="11"/>
          <w:szCs w:val="11"/>
        </w:rPr>
        <w:t>（江平主编:《中华人民共和国合同法精解》，中国 政法大学出版社</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136</w:t>
      </w:r>
      <w:r>
        <w:rPr>
          <w:color w:val="000000"/>
          <w:spacing w:val="0"/>
          <w:w w:val="100"/>
          <w:position w:val="0"/>
          <w:sz w:val="18"/>
          <w:szCs w:val="18"/>
        </w:rPr>
        <w:t>页）。但也有观点主张，在保护出卖人的规范目的下，</w:t>
      </w:r>
      <w:r>
        <w:rPr>
          <w:color w:val="000000"/>
          <w:spacing w:val="0"/>
          <w:w w:val="100"/>
          <w:position w:val="0"/>
          <w:sz w:val="18"/>
          <w:szCs w:val="18"/>
          <w:lang w:val="zh-CN" w:eastAsia="zh-CN" w:bidi="zh-CN"/>
        </w:rPr>
        <w:t xml:space="preserve">“催告 </w:t>
      </w:r>
      <w:r>
        <w:rPr>
          <w:color w:val="000000"/>
          <w:spacing w:val="0"/>
          <w:w w:val="100"/>
          <w:position w:val="0"/>
          <w:sz w:val="18"/>
          <w:szCs w:val="18"/>
        </w:rPr>
        <w:t>要件”对于原《合同法》第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款的解除权仍是必要的</w:t>
      </w:r>
      <w:r>
        <w:rPr>
          <w:color w:val="000000"/>
          <w:spacing w:val="0"/>
          <w:w w:val="100"/>
          <w:position w:val="0"/>
          <w:sz w:val="11"/>
          <w:szCs w:val="11"/>
        </w:rPr>
        <w:t>（杨旭：《〈合同法〉第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1"/>
          <w:szCs w:val="11"/>
        </w:rPr>
        <w:t>条对股权 买卖之准用</w:t>
      </w:r>
      <w:r>
        <w:rPr>
          <w:color w:val="000000"/>
          <w:spacing w:val="0"/>
          <w:w w:val="100"/>
          <w:position w:val="0"/>
          <w:sz w:val="11"/>
          <w:szCs w:val="11"/>
          <w:lang w:val="en-US" w:eastAsia="en-US" w:bidi="en-US"/>
        </w:rPr>
        <w:t>一一</w:t>
      </w:r>
      <w:r>
        <w:rPr>
          <w:color w:val="000000"/>
          <w:spacing w:val="0"/>
          <w:w w:val="100"/>
          <w:position w:val="0"/>
          <w:sz w:val="11"/>
          <w:szCs w:val="11"/>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号评释》，载《现代法学》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p>
    <w:p w14:paraId="2ACE21E4">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在保护出卖人的规范目的之下，原《合同法》第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款也可以适用于非消费者买 卖。分期付款买卖中</w:t>
      </w:r>
      <w:r>
        <w:rPr>
          <w:color w:val="000000"/>
          <w:spacing w:val="0"/>
          <w:w w:val="100"/>
          <w:position w:val="0"/>
          <w:lang w:val="zh-CN" w:eastAsia="zh-CN" w:bidi="zh-CN"/>
        </w:rPr>
        <w:t>“先交</w:t>
      </w:r>
      <w:r>
        <w:rPr>
          <w:color w:val="000000"/>
          <w:spacing w:val="0"/>
          <w:w w:val="100"/>
          <w:position w:val="0"/>
        </w:rPr>
        <w:t>付标的物后付款”的特征,使出卖人承担了一定的信用风险。分 期付款的股权转让交易中，如果转让人已经完全履行了转让股权的义务，受让人在获得股 权后，仍有两次以上的款项尚未支付的，就会产生与分期付款的有体物买卖同样的风险，此 时，原《合同法》第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款应当可以准用于股权转让协议</w:t>
      </w:r>
      <w:r>
        <w:rPr>
          <w:color w:val="000000"/>
          <w:spacing w:val="0"/>
          <w:w w:val="100"/>
          <w:position w:val="0"/>
          <w:sz w:val="11"/>
          <w:szCs w:val="11"/>
        </w:rPr>
        <w:t>（杨旭:《〈合同法〉第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sz w:val="11"/>
          <w:szCs w:val="11"/>
        </w:rPr>
        <w:t>条对股 权买卖之准用——〈指导案例〉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号评释》，载《现代法学》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1"/>
          <w:szCs w:val="11"/>
        </w:rPr>
        <w:t>期）。</w:t>
      </w:r>
      <w:r>
        <w:rPr>
          <w:color w:val="000000"/>
          <w:spacing w:val="0"/>
          <w:w w:val="100"/>
          <w:position w:val="0"/>
        </w:rPr>
        <w:t>此外，在股权转让交易 中，除签订股权转让协议之外，还需要变更股东名册、变更工商登记（《公司法》第</w:t>
      </w:r>
      <w:r>
        <w:rPr>
          <w:rFonts w:ascii="Times New Roman" w:hAnsi="Times New Roman" w:eastAsia="Times New Roman" w:cs="Times New Roman"/>
          <w:color w:val="000000"/>
          <w:spacing w:val="0"/>
          <w:w w:val="100"/>
          <w:position w:val="0"/>
          <w:sz w:val="19"/>
          <w:szCs w:val="19"/>
        </w:rPr>
        <w:t>32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款），不同的交易阶段可能会影响能否参照适用原《合同法》第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w:t>
      </w:r>
      <w:r>
        <w:rPr>
          <w:color w:val="000000"/>
          <w:spacing w:val="0"/>
          <w:w w:val="100"/>
          <w:position w:val="0"/>
          <w:sz w:val="11"/>
          <w:szCs w:val="11"/>
        </w:rPr>
        <w:t>（李建伟:《分期 付款的股权转让合同解除权的特殊性——兼评最高人民法院第</w:t>
      </w:r>
      <w:r>
        <w:rPr>
          <w:rFonts w:ascii="Times New Roman" w:hAnsi="Times New Roman" w:eastAsia="Times New Roman" w:cs="Times New Roman"/>
          <w:color w:val="000000"/>
          <w:spacing w:val="0"/>
          <w:w w:val="100"/>
          <w:position w:val="0"/>
          <w:sz w:val="19"/>
          <w:szCs w:val="19"/>
        </w:rPr>
        <w:t>67</w:t>
      </w:r>
      <w:r>
        <w:rPr>
          <w:color w:val="000000"/>
          <w:spacing w:val="0"/>
          <w:w w:val="100"/>
          <w:position w:val="0"/>
          <w:sz w:val="11"/>
          <w:szCs w:val="11"/>
        </w:rPr>
        <w:t>号指导性案例的约束性规范》，载 《清华法学》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1"/>
          <w:szCs w:val="11"/>
        </w:rPr>
        <w:t>期）。</w:t>
      </w:r>
      <w:r>
        <w:rPr>
          <w:color w:val="000000"/>
          <w:spacing w:val="0"/>
          <w:w w:val="100"/>
          <w:position w:val="0"/>
        </w:rPr>
        <w:t>在指导案例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号中</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日已就股权转让完成了变更 工商登记，此后买受人仍需分两次支付款项，这符合参照适用原《合同法》第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款 的要求。本案中周士海未经催告即解除合同，解除权行使是否有效，取决于原《合同法》第 </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款的解除权是否以</w:t>
      </w:r>
      <w:r>
        <w:rPr>
          <w:color w:val="000000"/>
          <w:spacing w:val="0"/>
          <w:w w:val="100"/>
          <w:position w:val="0"/>
          <w:lang w:val="zh-CN" w:eastAsia="zh-CN" w:bidi="zh-CN"/>
        </w:rPr>
        <w:t>“催告”为</w:t>
      </w:r>
      <w:r>
        <w:rPr>
          <w:color w:val="000000"/>
          <w:spacing w:val="0"/>
          <w:w w:val="100"/>
          <w:position w:val="0"/>
        </w:rPr>
        <w:t>要件。</w:t>
      </w:r>
    </w:p>
    <w:p w14:paraId="50162B74">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既有司法实践状况</w:t>
      </w:r>
    </w:p>
    <w:p w14:paraId="3814DB31">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在指导案例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号发布之前,司法实践很少探讨原《合同法》第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条在股权转让协议 中的参照适用问题。在一则最高人民法院二审的案件</w:t>
      </w:r>
      <w:r>
        <w:rPr>
          <w:color w:val="000000"/>
          <w:spacing w:val="0"/>
          <w:w w:val="100"/>
          <w:position w:val="0"/>
          <w:lang w:val="en-US" w:eastAsia="en-US" w:bidi="en-US"/>
        </w:rPr>
        <w:t>［</w:t>
      </w:r>
      <w:r>
        <w:rPr>
          <w:color w:val="000000"/>
          <w:spacing w:val="0"/>
          <w:w w:val="100"/>
          <w:position w:val="0"/>
          <w:sz w:val="11"/>
          <w:szCs w:val="11"/>
        </w:rPr>
        <w:t>中国石油化工股份有限公司与重庆英达 实业有限公司股权转让纠纷上诉案，最高人民法院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sz w:val="11"/>
          <w:szCs w:val="11"/>
        </w:rPr>
        <w:t>民二终字第</w:t>
      </w:r>
      <w:r>
        <w:rPr>
          <w:rFonts w:ascii="Times New Roman" w:hAnsi="Times New Roman" w:eastAsia="Times New Roman" w:cs="Times New Roman"/>
          <w:color w:val="000000"/>
          <w:spacing w:val="0"/>
          <w:w w:val="100"/>
          <w:position w:val="0"/>
          <w:sz w:val="19"/>
          <w:szCs w:val="19"/>
        </w:rPr>
        <w:t>109</w:t>
      </w:r>
      <w:r>
        <w:rPr>
          <w:color w:val="000000"/>
          <w:spacing w:val="0"/>
          <w:w w:val="100"/>
          <w:position w:val="0"/>
          <w:sz w:val="11"/>
          <w:szCs w:val="11"/>
        </w:rPr>
        <w:t>号民事判决书。该案二审维 持一审判决］</w:t>
      </w:r>
      <w:r>
        <w:rPr>
          <w:color w:val="000000"/>
          <w:spacing w:val="0"/>
          <w:w w:val="100"/>
          <w:position w:val="0"/>
        </w:rPr>
        <w:t>中，一审法院判决出让方英达公司有权解除合同，并援引了原《合同法》第</w:t>
      </w:r>
      <w:r>
        <w:rPr>
          <w:rFonts w:ascii="Times New Roman" w:hAnsi="Times New Roman" w:eastAsia="Times New Roman" w:cs="Times New Roman"/>
          <w:color w:val="000000"/>
          <w:spacing w:val="0"/>
          <w:w w:val="100"/>
          <w:position w:val="0"/>
          <w:sz w:val="19"/>
          <w:szCs w:val="19"/>
        </w:rPr>
        <w:t xml:space="preserve">167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款意在证成受让人构成根本违约。但是判决并未探讨该款与原《合同法》第</w:t>
      </w:r>
      <w:r>
        <w:rPr>
          <w:rFonts w:ascii="Times New Roman" w:hAnsi="Times New Roman" w:eastAsia="Times New Roman" w:cs="Times New Roman"/>
          <w:color w:val="000000"/>
          <w:spacing w:val="0"/>
          <w:w w:val="100"/>
          <w:position w:val="0"/>
          <w:sz w:val="19"/>
          <w:szCs w:val="19"/>
        </w:rPr>
        <w:t>94</w:t>
      </w:r>
      <w:r>
        <w:rPr>
          <w:color w:val="000000"/>
          <w:spacing w:val="0"/>
          <w:w w:val="100"/>
          <w:position w:val="0"/>
        </w:rPr>
        <w:t xml:space="preserve">条第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项的关系，亦未深入探讨该案所涉的股权转让与有体物买卖之间的关系，在法律 适用上存在不足之处。</w:t>
      </w:r>
    </w:p>
    <w:p w14:paraId="0E314A3B">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号颁布之后,在引用该案例的裁判文书中，涉及的多是对该指导案例适用 范围的讨论。例如，指导案例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号在裁判要旨部分仅提及，原《合同法》第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款中 规定的</w:t>
      </w:r>
      <w:r>
        <w:rPr>
          <w:color w:val="000000"/>
          <w:spacing w:val="0"/>
          <w:w w:val="100"/>
          <w:position w:val="0"/>
          <w:lang w:val="zh-CN" w:eastAsia="zh-CN" w:bidi="zh-CN"/>
        </w:rPr>
        <w:t>“解除</w:t>
      </w:r>
      <w:r>
        <w:rPr>
          <w:color w:val="000000"/>
          <w:spacing w:val="0"/>
          <w:w w:val="100"/>
          <w:position w:val="0"/>
        </w:rPr>
        <w:t>权”不得参照适用于股权转让协议，因而有法院认为，这不影响该款规定的“支 付全部价款</w:t>
      </w:r>
      <w:r>
        <w:rPr>
          <w:color w:val="000000"/>
          <w:spacing w:val="0"/>
          <w:w w:val="100"/>
          <w:position w:val="0"/>
          <w:lang w:val="zh-CN" w:eastAsia="zh-CN" w:bidi="zh-CN"/>
        </w:rPr>
        <w:t>”对股</w:t>
      </w:r>
      <w:r>
        <w:rPr>
          <w:color w:val="000000"/>
          <w:spacing w:val="0"/>
          <w:w w:val="100"/>
          <w:position w:val="0"/>
        </w:rPr>
        <w:t>权转让协议的适用。在“贾页强、王永霞股权转让纠纷案</w:t>
      </w:r>
      <w:r>
        <w:rPr>
          <w:color w:val="000000"/>
          <w:spacing w:val="0"/>
          <w:w w:val="100"/>
          <w:position w:val="0"/>
          <w:sz w:val="11"/>
          <w:szCs w:val="11"/>
          <w:lang w:val="zh-CN" w:eastAsia="zh-CN" w:bidi="zh-CN"/>
        </w:rPr>
        <w:t>”［四</w:t>
      </w:r>
      <w:r>
        <w:rPr>
          <w:color w:val="000000"/>
          <w:spacing w:val="0"/>
          <w:w w:val="100"/>
          <w:position w:val="0"/>
          <w:sz w:val="11"/>
          <w:szCs w:val="11"/>
        </w:rPr>
        <w:t>川省成都市 中级人民法院</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sz w:val="11"/>
          <w:szCs w:val="11"/>
        </w:rPr>
        <w:t>川</w:t>
      </w:r>
      <w:r>
        <w:rPr>
          <w:rFonts w:ascii="Times New Roman" w:hAnsi="Times New Roman" w:eastAsia="Times New Roman" w:cs="Times New Roman"/>
          <w:color w:val="000000"/>
          <w:spacing w:val="0"/>
          <w:w w:val="100"/>
          <w:position w:val="0"/>
          <w:sz w:val="19"/>
          <w:szCs w:val="19"/>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9"/>
          <w:szCs w:val="19"/>
        </w:rPr>
        <w:t>10049</w:t>
      </w:r>
      <w:r>
        <w:rPr>
          <w:color w:val="000000"/>
          <w:spacing w:val="0"/>
          <w:w w:val="100"/>
          <w:position w:val="0"/>
          <w:sz w:val="11"/>
          <w:szCs w:val="11"/>
        </w:rPr>
        <w:t>号民事判决书］</w:t>
      </w:r>
      <w:r>
        <w:rPr>
          <w:color w:val="000000"/>
          <w:spacing w:val="0"/>
          <w:w w:val="100"/>
          <w:position w:val="0"/>
        </w:rPr>
        <w:t>中，法院认为：</w:t>
      </w:r>
      <w:r>
        <w:rPr>
          <w:color w:val="000000"/>
          <w:spacing w:val="0"/>
          <w:w w:val="100"/>
          <w:position w:val="0"/>
          <w:lang w:val="zh-CN" w:eastAsia="zh-CN" w:bidi="zh-CN"/>
        </w:rPr>
        <w:t>“本</w:t>
      </w:r>
      <w:r>
        <w:rPr>
          <w:color w:val="000000"/>
          <w:spacing w:val="0"/>
          <w:w w:val="100"/>
          <w:position w:val="0"/>
        </w:rPr>
        <w:t>案中，冯世明并非要求解 除合同，而是主张支付全部价款，故贾页强、王永霞以该指导案例为依据，认为冯世明无权 要求贾页强支付全部价款的理由不成立。</w:t>
      </w:r>
      <w:r>
        <w:rPr>
          <w:color w:val="000000"/>
          <w:spacing w:val="0"/>
          <w:w w:val="100"/>
          <w:position w:val="0"/>
          <w:lang w:val="zh-CN" w:eastAsia="zh-CN" w:bidi="zh-CN"/>
        </w:rPr>
        <w:t>”此外</w:t>
      </w:r>
      <w:r>
        <w:rPr>
          <w:color w:val="000000"/>
          <w:spacing w:val="0"/>
          <w:w w:val="100"/>
          <w:position w:val="0"/>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号也并未排除一般解除权在 股权转让协议中的适用。最高人民法院在“周卫军、朱维珍股权转让纠纷案</w:t>
      </w:r>
      <w:r>
        <w:rPr>
          <w:rFonts w:ascii="Times New Roman" w:hAnsi="Times New Roman" w:eastAsia="Times New Roman" w:cs="Times New Roman"/>
          <w:color w:val="000000"/>
          <w:spacing w:val="0"/>
          <w:w w:val="100"/>
          <w:position w:val="0"/>
          <w:sz w:val="19"/>
          <w:szCs w:val="19"/>
          <w:lang w:val="en-US" w:eastAsia="en-US" w:bidi="en-US"/>
        </w:rPr>
        <w:t>”［（2018）</w:t>
      </w:r>
      <w:r>
        <w:rPr>
          <w:color w:val="000000"/>
          <w:spacing w:val="0"/>
          <w:w w:val="100"/>
          <w:position w:val="0"/>
          <w:sz w:val="11"/>
          <w:szCs w:val="11"/>
        </w:rPr>
        <w:t>最高法 民终</w:t>
      </w:r>
      <w:r>
        <w:rPr>
          <w:rFonts w:ascii="Times New Roman" w:hAnsi="Times New Roman" w:eastAsia="Times New Roman" w:cs="Times New Roman"/>
          <w:color w:val="000000"/>
          <w:spacing w:val="0"/>
          <w:w w:val="100"/>
          <w:position w:val="0"/>
          <w:sz w:val="19"/>
          <w:szCs w:val="19"/>
        </w:rPr>
        <w:t>874</w:t>
      </w:r>
      <w:r>
        <w:rPr>
          <w:color w:val="000000"/>
          <w:spacing w:val="0"/>
          <w:w w:val="100"/>
          <w:position w:val="0"/>
          <w:sz w:val="11"/>
          <w:szCs w:val="11"/>
        </w:rPr>
        <w:t>号民事判决书］</w:t>
      </w:r>
      <w:r>
        <w:rPr>
          <w:color w:val="000000"/>
          <w:spacing w:val="0"/>
          <w:w w:val="100"/>
          <w:position w:val="0"/>
        </w:rPr>
        <w:t>中明确指出</w:t>
      </w:r>
      <w:r>
        <w:rPr>
          <w:color w:val="000000"/>
          <w:spacing w:val="0"/>
          <w:w w:val="100"/>
          <w:position w:val="0"/>
          <w:lang w:val="zh-CN" w:eastAsia="zh-CN" w:bidi="zh-CN"/>
        </w:rPr>
        <w:t>，“最</w:t>
      </w:r>
      <w:r>
        <w:rPr>
          <w:color w:val="000000"/>
          <w:spacing w:val="0"/>
          <w:w w:val="100"/>
          <w:position w:val="0"/>
        </w:rPr>
        <w:t>高人民法院</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号指导案例虽认为有限责任公司的股 权分期付款违约等情形,不适用《中华人民共和国合同法》第一百六十七条之规定,但该指 导案例并未排除出让人依法解除的权利。”</w:t>
      </w:r>
    </w:p>
    <w:p w14:paraId="20956548">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7BCE39CF">
      <w:pPr>
        <w:pStyle w:val="17"/>
        <w:keepNext w:val="0"/>
        <w:keepLines w:val="0"/>
        <w:widowControl w:val="0"/>
        <w:shd w:val="clear" w:color="auto" w:fill="auto"/>
        <w:bidi w:val="0"/>
        <w:spacing w:before="0" w:after="0" w:line="350" w:lineRule="exact"/>
        <w:ind w:left="0" w:right="0" w:firstLine="420"/>
        <w:jc w:val="both"/>
      </w:pPr>
      <w:r>
        <w:rPr>
          <w:color w:val="000000"/>
          <w:spacing w:val="0"/>
          <w:w w:val="100"/>
          <w:position w:val="0"/>
        </w:rPr>
        <w:t>指导案例</w:t>
      </w:r>
      <w:r>
        <w:rPr>
          <w:rFonts w:ascii="Times New Roman" w:hAnsi="Times New Roman" w:eastAsia="Times New Roman" w:cs="Times New Roman"/>
          <w:color w:val="000000"/>
          <w:spacing w:val="0"/>
          <w:w w:val="100"/>
          <w:position w:val="0"/>
          <w:sz w:val="19"/>
          <w:szCs w:val="19"/>
        </w:rPr>
        <w:t>67</w:t>
      </w:r>
      <w:r>
        <w:rPr>
          <w:color w:val="000000"/>
          <w:spacing w:val="0"/>
          <w:w w:val="100"/>
          <w:position w:val="0"/>
        </w:rPr>
        <w:t>号明确了原《合同法》第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款中关于解除权的规定不适用于股权 转让协议，对今后的司法实践具有参考意义。但本案也遗留下诸多问题。原《合同法》第 </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款的规范目的，究竟应立足于出卖人的保护还是买受人的保护，仍需澄清，这也 影响该款是否仅应适用于消费者合同。如果也可以适用于非消费者合同，分期付款的有体 物买卖与股权转让之间是否存在实质上的不同,也需要进一步反思。</w:t>
      </w:r>
    </w:p>
    <w:p w14:paraId="228827C5">
      <w:pPr>
        <w:pStyle w:val="17"/>
        <w:keepNext w:val="0"/>
        <w:keepLines w:val="0"/>
        <w:widowControl w:val="0"/>
        <w:shd w:val="clear" w:color="auto" w:fill="auto"/>
        <w:bidi w:val="0"/>
        <w:spacing w:before="0" w:after="340" w:line="350" w:lineRule="exact"/>
        <w:ind w:left="0" w:right="0"/>
        <w:jc w:val="both"/>
      </w:pPr>
      <w:r>
        <w:rPr>
          <w:color w:val="000000"/>
          <w:spacing w:val="0"/>
          <w:w w:val="100"/>
          <w:position w:val="0"/>
        </w:rPr>
        <w:t>值得注意的是，《民法典》第</w:t>
      </w:r>
      <w:r>
        <w:rPr>
          <w:rFonts w:ascii="Times New Roman" w:hAnsi="Times New Roman" w:eastAsia="Times New Roman" w:cs="Times New Roman"/>
          <w:color w:val="000000"/>
          <w:spacing w:val="0"/>
          <w:w w:val="100"/>
          <w:position w:val="0"/>
          <w:sz w:val="19"/>
          <w:szCs w:val="19"/>
        </w:rPr>
        <w:t>634</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款对原《合同法》第</w:t>
      </w:r>
      <w:r>
        <w:rPr>
          <w:rFonts w:ascii="Times New Roman" w:hAnsi="Times New Roman" w:eastAsia="Times New Roman" w:cs="Times New Roman"/>
          <w:color w:val="000000"/>
          <w:spacing w:val="0"/>
          <w:w w:val="100"/>
          <w:position w:val="0"/>
          <w:sz w:val="19"/>
          <w:szCs w:val="19"/>
        </w:rPr>
        <w:t>167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款作岀了重大修 改，增加了“经催告后在合理期限内仍未支付到期价款的</w:t>
      </w:r>
      <w:r>
        <w:rPr>
          <w:color w:val="000000"/>
          <w:spacing w:val="0"/>
          <w:w w:val="100"/>
          <w:position w:val="0"/>
          <w:lang w:val="zh-CN" w:eastAsia="zh-CN" w:bidi="zh-CN"/>
        </w:rPr>
        <w:t>”这一</w:t>
      </w:r>
      <w:r>
        <w:rPr>
          <w:color w:val="000000"/>
          <w:spacing w:val="0"/>
          <w:w w:val="100"/>
          <w:position w:val="0"/>
        </w:rPr>
        <w:t>要件,这一修改使得出卖人 行使解除权的要件更加严格，凸显了对买受人保护的思想。对此,有必要对分期付款买卖 的解除权予以重新审视和思考。</w:t>
      </w:r>
    </w:p>
    <w:p w14:paraId="4E8AB488">
      <w:pPr>
        <w:pStyle w:val="11"/>
        <w:keepNext w:val="0"/>
        <w:keepLines w:val="0"/>
        <w:widowControl w:val="0"/>
        <w:shd w:val="clear" w:color="auto" w:fill="auto"/>
        <w:bidi w:val="0"/>
        <w:spacing w:before="0" w:after="80" w:line="350" w:lineRule="exact"/>
        <w:ind w:left="0" w:right="0" w:firstLine="0"/>
        <w:jc w:val="both"/>
      </w:pPr>
      <w:r>
        <w:rPr>
          <w:color w:val="000000"/>
          <w:spacing w:val="0"/>
          <w:w w:val="100"/>
          <w:position w:val="0"/>
        </w:rPr>
        <w:t>回参考文献</w:t>
      </w:r>
    </w:p>
    <w:p w14:paraId="5C0C55A8">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江平主编:《中华人民共和国合同法精解》，中国政法大学出版社</w:t>
      </w:r>
      <w:r>
        <w:rPr>
          <w:rFonts w:ascii="Times New Roman" w:hAnsi="Times New Roman" w:eastAsia="Times New Roman" w:cs="Times New Roman"/>
          <w:color w:val="000000"/>
          <w:spacing w:val="0"/>
          <w:w w:val="100"/>
          <w:position w:val="0"/>
          <w:sz w:val="17"/>
          <w:szCs w:val="17"/>
        </w:rPr>
        <w:t>1999</w:t>
      </w:r>
      <w:r>
        <w:rPr>
          <w:color w:val="000000"/>
          <w:spacing w:val="0"/>
          <w:w w:val="100"/>
          <w:position w:val="0"/>
        </w:rPr>
        <w:t>年版。</w:t>
      </w:r>
    </w:p>
    <w:p w14:paraId="50E5A60E">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宁红丽:《分期付款买卖法律条款的消费者保护建构》，载《华东政法大学学报》</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75EFEC77">
      <w:pPr>
        <w:pStyle w:val="33"/>
        <w:keepNext w:val="0"/>
        <w:keepLines w:val="0"/>
        <w:widowControl w:val="0"/>
        <w:shd w:val="clear" w:color="auto" w:fill="auto"/>
        <w:bidi w:val="0"/>
        <w:spacing w:before="0" w:after="0" w:line="295" w:lineRule="exact"/>
        <w:ind w:left="180" w:right="0" w:hanging="180"/>
        <w:jc w:val="both"/>
      </w:pPr>
      <w:r>
        <w:rPr>
          <w:color w:val="000000"/>
          <w:spacing w:val="0"/>
          <w:w w:val="100"/>
          <w:position w:val="0"/>
        </w:rPr>
        <w:t>周江洪:《分期付款买卖合同的解除及其限制——</w:t>
      </w:r>
      <w:r>
        <w:rPr>
          <w:color w:val="000000"/>
          <w:spacing w:val="0"/>
          <w:w w:val="100"/>
          <w:position w:val="0"/>
          <w:lang w:val="zh-CN" w:eastAsia="zh-CN" w:bidi="zh-CN"/>
        </w:rPr>
        <w:t>“汤长</w:t>
      </w:r>
      <w:r>
        <w:rPr>
          <w:color w:val="000000"/>
          <w:spacing w:val="0"/>
          <w:w w:val="100"/>
          <w:position w:val="0"/>
        </w:rPr>
        <w:t>龙诉周士海股权转让纠纷案</w:t>
      </w:r>
      <w:r>
        <w:rPr>
          <w:color w:val="000000"/>
          <w:spacing w:val="0"/>
          <w:w w:val="100"/>
          <w:position w:val="0"/>
          <w:lang w:val="zh-CN" w:eastAsia="zh-CN" w:bidi="zh-CN"/>
        </w:rPr>
        <w:t>”评</w:t>
      </w:r>
      <w:r>
        <w:rPr>
          <w:color w:val="000000"/>
          <w:spacing w:val="0"/>
          <w:w w:val="100"/>
          <w:position w:val="0"/>
        </w:rPr>
        <w:t>释》，载《交大法 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D9770C1">
      <w:pPr>
        <w:pStyle w:val="33"/>
        <w:keepNext w:val="0"/>
        <w:keepLines w:val="0"/>
        <w:widowControl w:val="0"/>
        <w:shd w:val="clear" w:color="auto" w:fill="auto"/>
        <w:bidi w:val="0"/>
        <w:spacing w:before="0" w:after="0" w:line="298" w:lineRule="exact"/>
        <w:ind w:left="180" w:right="0" w:hanging="180"/>
        <w:jc w:val="both"/>
      </w:pPr>
      <w:r>
        <w:rPr>
          <w:color w:val="000000"/>
          <w:spacing w:val="0"/>
          <w:w w:val="100"/>
          <w:position w:val="0"/>
        </w:rPr>
        <w:t>孙新宽:《分期付款买卖合同解除权的立法目的与行使限制——从最高人民法院指导案例</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号切入》， 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500126DE">
      <w:pPr>
        <w:pStyle w:val="33"/>
        <w:keepNext w:val="0"/>
        <w:keepLines w:val="0"/>
        <w:widowControl w:val="0"/>
        <w:shd w:val="clear" w:color="auto" w:fill="auto"/>
        <w:bidi w:val="0"/>
        <w:spacing w:before="0" w:after="0" w:line="298" w:lineRule="exact"/>
        <w:ind w:left="180" w:right="0" w:hanging="180"/>
        <w:jc w:val="both"/>
      </w:pPr>
      <w:r>
        <w:rPr>
          <w:color w:val="000000"/>
          <w:spacing w:val="0"/>
          <w:w w:val="100"/>
          <w:position w:val="0"/>
        </w:rPr>
        <w:t>钱玉林:《分期付款股权转让合同的司法裁判——指导案例</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 xml:space="preserve">号裁判规则质疑》，载《环球法律评论》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E335695">
      <w:pPr>
        <w:pStyle w:val="33"/>
        <w:keepNext w:val="0"/>
        <w:keepLines w:val="0"/>
        <w:widowControl w:val="0"/>
        <w:shd w:val="clear" w:color="auto" w:fill="auto"/>
        <w:bidi w:val="0"/>
        <w:spacing w:before="0" w:after="0" w:line="338" w:lineRule="exact"/>
        <w:ind w:left="180" w:right="0" w:hanging="180"/>
        <w:jc w:val="both"/>
      </w:pPr>
      <w:r>
        <w:rPr>
          <w:color w:val="000000"/>
          <w:spacing w:val="0"/>
          <w:w w:val="100"/>
          <w:position w:val="0"/>
        </w:rPr>
        <w:t>杨旭:《〈合同法〉第</w:t>
      </w:r>
      <w:r>
        <w:rPr>
          <w:rFonts w:ascii="Times New Roman" w:hAnsi="Times New Roman" w:eastAsia="Times New Roman" w:cs="Times New Roman"/>
          <w:color w:val="000000"/>
          <w:spacing w:val="0"/>
          <w:w w:val="100"/>
          <w:position w:val="0"/>
          <w:sz w:val="17"/>
          <w:szCs w:val="17"/>
        </w:rPr>
        <w:t>167</w:t>
      </w:r>
      <w:r>
        <w:rPr>
          <w:color w:val="000000"/>
          <w:spacing w:val="0"/>
          <w:w w:val="100"/>
          <w:position w:val="0"/>
        </w:rPr>
        <w:t>条对股权买卖之准用——〈指导案例〉</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号评释》，载《现代法学》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期。</w:t>
      </w:r>
    </w:p>
    <w:p w14:paraId="0C2B5165">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郝丽燕:《〈合同法〉第</w:t>
      </w:r>
      <w:r>
        <w:rPr>
          <w:rFonts w:ascii="Times New Roman" w:hAnsi="Times New Roman" w:eastAsia="Times New Roman" w:cs="Times New Roman"/>
          <w:color w:val="000000"/>
          <w:spacing w:val="0"/>
          <w:w w:val="100"/>
          <w:position w:val="0"/>
          <w:sz w:val="17"/>
          <w:szCs w:val="17"/>
        </w:rPr>
        <w:t>167</w:t>
      </w:r>
      <w:r>
        <w:rPr>
          <w:color w:val="000000"/>
          <w:spacing w:val="0"/>
          <w:w w:val="100"/>
          <w:position w:val="0"/>
        </w:rPr>
        <w:t>条（分期付款买卖）评注》，载《法学家》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4358F7F9">
      <w:pPr>
        <w:pStyle w:val="33"/>
        <w:keepNext w:val="0"/>
        <w:keepLines w:val="0"/>
        <w:widowControl w:val="0"/>
        <w:shd w:val="clear" w:color="auto" w:fill="auto"/>
        <w:bidi w:val="0"/>
        <w:spacing w:before="0" w:after="0" w:line="302" w:lineRule="exact"/>
        <w:ind w:left="180" w:right="0" w:hanging="180"/>
        <w:jc w:val="both"/>
      </w:pPr>
      <w:r>
        <w:rPr>
          <w:color w:val="000000"/>
          <w:spacing w:val="0"/>
          <w:w w:val="100"/>
          <w:position w:val="0"/>
        </w:rPr>
        <w:t>李建伟:《分期付款的股权转让合同解除权的特殊性——兼评最高人民法院第</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号指导性案例的约束 性规范》，载《清华法学》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8482B53">
      <w:pPr>
        <w:pStyle w:val="33"/>
        <w:keepNext w:val="0"/>
        <w:keepLines w:val="0"/>
        <w:widowControl w:val="0"/>
        <w:shd w:val="clear" w:color="auto" w:fill="auto"/>
        <w:bidi w:val="0"/>
        <w:spacing w:before="0" w:after="0" w:line="305" w:lineRule="exact"/>
        <w:ind w:left="180" w:right="0" w:hanging="180"/>
        <w:jc w:val="both"/>
        <w:sectPr>
          <w:headerReference r:id="rId463" w:type="default"/>
          <w:headerReference r:id="rId464" w:type="even"/>
          <w:footnotePr>
            <w:numFmt w:val="chicago"/>
          </w:footnotePr>
          <w:pgSz w:w="10099" w:h="14782"/>
          <w:pgMar w:top="1299" w:right="997" w:bottom="1110" w:left="1100" w:header="0" w:footer="3" w:gutter="0"/>
          <w:pgNumType w:start="391"/>
          <w:cols w:space="720" w:num="1"/>
          <w:rtlGutter w:val="0"/>
          <w:docGrid w:linePitch="360" w:charSpace="0"/>
        </w:sectPr>
      </w:pPr>
      <w:r>
        <w:rPr>
          <w:color w:val="000000"/>
          <w:spacing w:val="0"/>
          <w:w w:val="100"/>
          <w:position w:val="0"/>
        </w:rPr>
        <w:t>蔡睿:《分期付款买卖中出卖人解除权的制度构造与立法反思——兼评最高人民法院</w:t>
      </w:r>
      <w:r>
        <w:rPr>
          <w:rFonts w:ascii="Times New Roman" w:hAnsi="Times New Roman" w:eastAsia="Times New Roman" w:cs="Times New Roman"/>
          <w:color w:val="000000"/>
          <w:spacing w:val="0"/>
          <w:w w:val="100"/>
          <w:position w:val="0"/>
          <w:sz w:val="17"/>
          <w:szCs w:val="17"/>
        </w:rPr>
        <w:t>67</w:t>
      </w:r>
      <w:r>
        <w:rPr>
          <w:color w:val="000000"/>
          <w:spacing w:val="0"/>
          <w:w w:val="100"/>
          <w:position w:val="0"/>
        </w:rPr>
        <w:t>号指导案例》， 载《法律科学》（西北政法大学学报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5C47639">
      <w:pPr>
        <w:widowControl w:val="0"/>
        <w:spacing w:line="50" w:lineRule="exact"/>
        <w:rPr>
          <w:sz w:val="4"/>
          <w:szCs w:val="4"/>
        </w:rPr>
      </w:pPr>
    </w:p>
    <w:p w14:paraId="2605EFA2">
      <w:pPr>
        <w:widowControl w:val="0"/>
        <w:spacing w:line="1" w:lineRule="exact"/>
        <w:sectPr>
          <w:headerReference r:id="rId465" w:type="default"/>
          <w:headerReference r:id="rId466" w:type="even"/>
          <w:footnotePr>
            <w:numFmt w:val="chicago"/>
          </w:footnotePr>
          <w:pgSz w:w="10099" w:h="14782"/>
          <w:pgMar w:top="1276" w:right="1037" w:bottom="1134" w:left="1063" w:header="0" w:footer="3" w:gutter="0"/>
          <w:pgNumType w:start="411"/>
          <w:cols w:space="720" w:num="1"/>
          <w:rtlGutter w:val="0"/>
          <w:docGrid w:linePitch="360" w:charSpace="0"/>
        </w:sectPr>
      </w:pPr>
    </w:p>
    <w:p w14:paraId="09929B72">
      <w:pPr>
        <w:widowControl w:val="0"/>
        <w:spacing w:line="1" w:lineRule="exact"/>
      </w:pPr>
      <w:r>
        <mc:AlternateContent>
          <mc:Choice Requires="wps">
            <w:drawing>
              <wp:anchor distT="0" distB="16510" distL="0" distR="0" simplePos="0" relativeHeight="251660288" behindDoc="0" locked="0" layoutInCell="1" allowOverlap="1">
                <wp:simplePos x="0" y="0"/>
                <wp:positionH relativeFrom="page">
                  <wp:posOffset>760730</wp:posOffset>
                </wp:positionH>
                <wp:positionV relativeFrom="paragraph">
                  <wp:posOffset>0</wp:posOffset>
                </wp:positionV>
                <wp:extent cx="450850" cy="304800"/>
                <wp:effectExtent l="0" t="0" r="0" b="0"/>
                <wp:wrapTopAndBottom/>
                <wp:docPr id="1075" name="Shape 1075"/>
                <wp:cNvGraphicFramePr/>
                <a:graphic xmlns:a="http://schemas.openxmlformats.org/drawingml/2006/main">
                  <a:graphicData uri="http://schemas.microsoft.com/office/word/2010/wordprocessingShape">
                    <wps:wsp>
                      <wps:cNvSpPr txBox="1"/>
                      <wps:spPr>
                        <a:xfrm>
                          <a:off x="0" y="0"/>
                          <a:ext cx="450850" cy="304800"/>
                        </a:xfrm>
                        <a:prstGeom prst="rect">
                          <a:avLst/>
                        </a:prstGeom>
                        <a:noFill/>
                      </wps:spPr>
                      <wps:txbx>
                        <w:txbxContent>
                          <w:p w14:paraId="135C5F80">
                            <w:pPr>
                              <w:pStyle w:val="27"/>
                              <w:keepNext/>
                              <w:keepLines/>
                              <w:widowControl w:val="0"/>
                              <w:shd w:val="clear" w:color="auto" w:fill="auto"/>
                              <w:bidi w:val="0"/>
                              <w:spacing w:before="0" w:after="0" w:line="240" w:lineRule="auto"/>
                              <w:ind w:left="0" w:right="0" w:firstLine="0"/>
                              <w:jc w:val="both"/>
                            </w:pPr>
                            <w:bookmarkStart w:id="555" w:name="bookmark487"/>
                            <w:bookmarkStart w:id="556" w:name="bookmark488"/>
                            <w:bookmarkStart w:id="557" w:name="bookmark486"/>
                            <w:r>
                              <w:rPr>
                                <w:rFonts w:ascii="Times New Roman" w:hAnsi="Times New Roman" w:eastAsia="Times New Roman" w:cs="Times New Roman"/>
                                <w:color w:val="000000"/>
                                <w:spacing w:val="0"/>
                                <w:w w:val="100"/>
                                <w:position w:val="0"/>
                              </w:rPr>
                              <w:t>080</w:t>
                            </w:r>
                            <w:bookmarkEnd w:id="555"/>
                            <w:bookmarkEnd w:id="556"/>
                            <w:bookmarkEnd w:id="557"/>
                          </w:p>
                        </w:txbxContent>
                      </wps:txbx>
                      <wps:bodyPr wrap="none" lIns="0" tIns="0" rIns="0" bIns="0">
                        <a:noAutofit/>
                      </wps:bodyPr>
                    </wps:wsp>
                  </a:graphicData>
                </a:graphic>
              </wp:anchor>
            </w:drawing>
          </mc:Choice>
          <mc:Fallback>
            <w:pict>
              <v:shape id="Shape 1075" o:spid="_x0000_s1026" o:spt="202" type="#_x0000_t202" style="position:absolute;left:0pt;margin-left:59.9pt;margin-top:0pt;height:24pt;width:35.5pt;mso-position-horizontal-relative:page;mso-wrap-distance-bottom:1.3pt;mso-wrap-distance-top:0pt;mso-wrap-style:none;z-index:251660288;mso-width-relative:page;mso-height-relative:page;" filled="f" stroked="f" coordsize="21600,21600" o:gfxdata="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NPdMBXSAAAABwEA&#10;AA8AAAAAAAAAAQAgAAAAIgAAAGRycy9kb3ducmV2LnhtbFBLAQIUABQAAAAIAIdO4kAOV6yWrgEA&#10;AHUDAAAOAAAAAAAAAAEAIAAAACEBAABkcnMvZTJvRG9jLnhtbFBLBQYAAAAABgAGAFkBAABBBQAA&#10;AAA=&#10;">
                <v:fill on="f" focussize="0,0"/>
                <v:stroke on="f"/>
                <v:imagedata o:title=""/>
                <o:lock v:ext="edit" aspectratio="f"/>
                <v:textbox inset="0mm,0mm,0mm,0mm">
                  <w:txbxContent>
                    <w:p w14:paraId="135C5F80">
                      <w:pPr>
                        <w:pStyle w:val="27"/>
                        <w:keepNext/>
                        <w:keepLines/>
                        <w:widowControl w:val="0"/>
                        <w:shd w:val="clear" w:color="auto" w:fill="auto"/>
                        <w:bidi w:val="0"/>
                        <w:spacing w:before="0" w:after="0" w:line="240" w:lineRule="auto"/>
                        <w:ind w:left="0" w:right="0" w:firstLine="0"/>
                        <w:jc w:val="both"/>
                      </w:pPr>
                      <w:bookmarkStart w:id="555" w:name="bookmark487"/>
                      <w:bookmarkStart w:id="556" w:name="bookmark488"/>
                      <w:bookmarkStart w:id="557" w:name="bookmark486"/>
                      <w:r>
                        <w:rPr>
                          <w:rFonts w:ascii="Times New Roman" w:hAnsi="Times New Roman" w:eastAsia="Times New Roman" w:cs="Times New Roman"/>
                          <w:color w:val="000000"/>
                          <w:spacing w:val="0"/>
                          <w:w w:val="100"/>
                          <w:position w:val="0"/>
                        </w:rPr>
                        <w:t>080</w:t>
                      </w:r>
                      <w:bookmarkEnd w:id="555"/>
                      <w:bookmarkEnd w:id="556"/>
                      <w:bookmarkEnd w:id="557"/>
                    </w:p>
                  </w:txbxContent>
                </v:textbox>
                <w10:wrap type="topAndBottom"/>
              </v:shape>
            </w:pict>
          </mc:Fallback>
        </mc:AlternateContent>
      </w:r>
      <w:r>
        <mc:AlternateContent>
          <mc:Choice Requires="wps">
            <w:drawing>
              <wp:anchor distT="82550" distB="0" distL="0" distR="0" simplePos="0" relativeHeight="251660288" behindDoc="0" locked="0" layoutInCell="1" allowOverlap="1">
                <wp:simplePos x="0" y="0"/>
                <wp:positionH relativeFrom="page">
                  <wp:posOffset>1339850</wp:posOffset>
                </wp:positionH>
                <wp:positionV relativeFrom="paragraph">
                  <wp:posOffset>82550</wp:posOffset>
                </wp:positionV>
                <wp:extent cx="3418205" cy="239395"/>
                <wp:effectExtent l="0" t="0" r="0" b="0"/>
                <wp:wrapTopAndBottom/>
                <wp:docPr id="1077" name="Shape 1077"/>
                <wp:cNvGraphicFramePr/>
                <a:graphic xmlns:a="http://schemas.openxmlformats.org/drawingml/2006/main">
                  <a:graphicData uri="http://schemas.microsoft.com/office/word/2010/wordprocessingShape">
                    <wps:wsp>
                      <wps:cNvSpPr txBox="1"/>
                      <wps:spPr>
                        <a:xfrm>
                          <a:off x="0" y="0"/>
                          <a:ext cx="3418205" cy="239395"/>
                        </a:xfrm>
                        <a:prstGeom prst="rect">
                          <a:avLst/>
                        </a:prstGeom>
                        <a:noFill/>
                      </wps:spPr>
                      <wps:txbx>
                        <w:txbxContent>
                          <w:p w14:paraId="1295A10D">
                            <w:pPr>
                              <w:pStyle w:val="15"/>
                              <w:keepNext/>
                              <w:keepLines/>
                              <w:widowControl w:val="0"/>
                              <w:shd w:val="clear" w:color="auto" w:fill="auto"/>
                              <w:bidi w:val="0"/>
                              <w:spacing w:before="0" w:after="0" w:line="240" w:lineRule="auto"/>
                              <w:ind w:left="0" w:right="0" w:firstLine="0"/>
                              <w:jc w:val="left"/>
                            </w:pPr>
                            <w:bookmarkStart w:id="558" w:name="bookmark490"/>
                            <w:bookmarkStart w:id="559" w:name="bookmark489"/>
                            <w:bookmarkStart w:id="560" w:name="bookmark491"/>
                            <w:r>
                              <w:rPr>
                                <w:color w:val="000000"/>
                                <w:spacing w:val="0"/>
                                <w:w w:val="100"/>
                                <w:position w:val="0"/>
                              </w:rPr>
                              <w:t>股东与公司间股权回购协议的裁判路径</w:t>
                            </w:r>
                            <w:bookmarkEnd w:id="558"/>
                            <w:bookmarkEnd w:id="559"/>
                            <w:bookmarkEnd w:id="560"/>
                          </w:p>
                        </w:txbxContent>
                      </wps:txbx>
                      <wps:bodyPr wrap="none" lIns="0" tIns="0" rIns="0" bIns="0">
                        <a:noAutofit/>
                      </wps:bodyPr>
                    </wps:wsp>
                  </a:graphicData>
                </a:graphic>
              </wp:anchor>
            </w:drawing>
          </mc:Choice>
          <mc:Fallback>
            <w:pict>
              <v:shape id="Shape 1077" o:spid="_x0000_s1026" o:spt="202" type="#_x0000_t202" style="position:absolute;left:0pt;margin-left:105.5pt;margin-top:6.5pt;height:18.85pt;width:269.15pt;mso-position-horizontal-relative:page;mso-wrap-distance-bottom:0pt;mso-wrap-distance-top:6.5pt;mso-wrap-style:none;z-index:251660288;mso-width-relative:page;mso-height-relative:page;" filled="f" stroked="f" coordsize="21600,21600" o:gfxdata="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ud1Ei&#10;1wAAAAkBAAAPAAAAAAAAAAEAIAAAACIAAABkcnMvZG93bnJldi54bWxQSwECFAAUAAAACACHTuJA&#10;/kYpH7ABAAB2AwAADgAAAAAAAAABACAAAAAmAQAAZHJzL2Uyb0RvYy54bWxQSwUGAAAAAAYABgBZ&#10;AQAASAUAAAAA&#10;">
                <v:fill on="f" focussize="0,0"/>
                <v:stroke on="f"/>
                <v:imagedata o:title=""/>
                <o:lock v:ext="edit" aspectratio="f"/>
                <v:textbox inset="0mm,0mm,0mm,0mm">
                  <w:txbxContent>
                    <w:p w14:paraId="1295A10D">
                      <w:pPr>
                        <w:pStyle w:val="15"/>
                        <w:keepNext/>
                        <w:keepLines/>
                        <w:widowControl w:val="0"/>
                        <w:shd w:val="clear" w:color="auto" w:fill="auto"/>
                        <w:bidi w:val="0"/>
                        <w:spacing w:before="0" w:after="0" w:line="240" w:lineRule="auto"/>
                        <w:ind w:left="0" w:right="0" w:firstLine="0"/>
                        <w:jc w:val="left"/>
                      </w:pPr>
                      <w:bookmarkStart w:id="558" w:name="bookmark490"/>
                      <w:bookmarkStart w:id="559" w:name="bookmark489"/>
                      <w:bookmarkStart w:id="560" w:name="bookmark491"/>
                      <w:r>
                        <w:rPr>
                          <w:color w:val="000000"/>
                          <w:spacing w:val="0"/>
                          <w:w w:val="100"/>
                          <w:position w:val="0"/>
                        </w:rPr>
                        <w:t>股东与公司间股权回购协议的裁判路径</w:t>
                      </w:r>
                      <w:bookmarkEnd w:id="558"/>
                      <w:bookmarkEnd w:id="559"/>
                      <w:bookmarkEnd w:id="560"/>
                    </w:p>
                  </w:txbxContent>
                </v:textbox>
                <w10:wrap type="topAndBottom"/>
              </v:shape>
            </w:pict>
          </mc:Fallback>
        </mc:AlternateContent>
      </w:r>
    </w:p>
    <w:p w14:paraId="27FBFF73">
      <w:pPr>
        <w:pStyle w:val="17"/>
        <w:keepNext w:val="0"/>
        <w:keepLines w:val="0"/>
        <w:widowControl w:val="0"/>
        <w:shd w:val="clear" w:color="auto" w:fill="auto"/>
        <w:bidi w:val="0"/>
        <w:spacing w:before="0" w:after="440" w:line="329" w:lineRule="exact"/>
        <w:ind w:left="1020" w:right="0" w:firstLine="0"/>
        <w:jc w:val="both"/>
      </w:pPr>
      <w:r>
        <w:drawing>
          <wp:anchor distT="0" distB="0" distL="114300" distR="114300" simplePos="0" relativeHeight="251660288" behindDoc="0" locked="0" layoutInCell="1" allowOverlap="1">
            <wp:simplePos x="0" y="0"/>
            <wp:positionH relativeFrom="page">
              <wp:posOffset>5134610</wp:posOffset>
            </wp:positionH>
            <wp:positionV relativeFrom="paragraph">
              <wp:posOffset>76200</wp:posOffset>
            </wp:positionV>
            <wp:extent cx="615950" cy="615950"/>
            <wp:effectExtent l="0" t="0" r="6350" b="6350"/>
            <wp:wrapSquare wrapText="left"/>
            <wp:docPr id="1079" name="Shape 1079"/>
            <wp:cNvGraphicFramePr/>
            <a:graphic xmlns:a="http://schemas.openxmlformats.org/drawingml/2006/main">
              <a:graphicData uri="http://schemas.openxmlformats.org/drawingml/2006/picture">
                <pic:pic xmlns:pic="http://schemas.openxmlformats.org/drawingml/2006/picture">
                  <pic:nvPicPr>
                    <pic:cNvPr id="1079" name="Shape 1079"/>
                    <pic:cNvPicPr/>
                  </pic:nvPicPr>
                  <pic:blipFill>
                    <a:blip r:embed="rId693"/>
                    <a:stretch>
                      <a:fillRect/>
                    </a:stretch>
                  </pic:blipFill>
                  <pic:spPr>
                    <a:xfrm>
                      <a:off x="0" y="0"/>
                      <a:ext cx="615950" cy="615950"/>
                    </a:xfrm>
                    <a:prstGeom prst="rect">
                      <a:avLst/>
                    </a:prstGeom>
                  </pic:spPr>
                </pic:pic>
              </a:graphicData>
            </a:graphic>
          </wp:anchor>
        </w:drawing>
      </w:r>
      <w:r>
        <w:rPr>
          <w:color w:val="000000"/>
          <w:spacing w:val="0"/>
          <w:w w:val="100"/>
          <w:position w:val="0"/>
        </w:rPr>
        <w:t>江苏华工创业投资有限公司与扬州锻压机床股份有限公司、潘云虎 等请求公司收购股份纠纷案丨江苏省高级人民法院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苏民 再</w:t>
      </w:r>
      <w:r>
        <w:rPr>
          <w:rFonts w:ascii="Times New Roman" w:hAnsi="Times New Roman" w:eastAsia="Times New Roman" w:cs="Times New Roman"/>
          <w:color w:val="000000"/>
          <w:spacing w:val="0"/>
          <w:w w:val="100"/>
          <w:position w:val="0"/>
          <w:sz w:val="19"/>
          <w:szCs w:val="19"/>
        </w:rPr>
        <w:t>62</w:t>
      </w:r>
      <w:r>
        <w:rPr>
          <w:color w:val="000000"/>
          <w:spacing w:val="0"/>
          <w:w w:val="100"/>
          <w:position w:val="0"/>
        </w:rPr>
        <w:t>号民事判决书</w:t>
      </w:r>
    </w:p>
    <w:p w14:paraId="5B8449BB">
      <w:pPr>
        <w:pStyle w:val="35"/>
        <w:keepNext w:val="0"/>
        <w:keepLines w:val="0"/>
        <w:widowControl w:val="0"/>
        <w:shd w:val="clear" w:color="auto" w:fill="auto"/>
        <w:tabs>
          <w:tab w:val="left" w:pos="370"/>
        </w:tabs>
        <w:bidi w:val="0"/>
        <w:spacing w:before="0" w:after="1380" w:line="240" w:lineRule="auto"/>
        <w:ind w:left="0" w:right="0" w:firstLine="0"/>
        <w:jc w:val="right"/>
      </w:pPr>
      <w:r>
        <w:rPr>
          <w:color w:val="000000"/>
          <w:spacing w:val="0"/>
          <w:w w:val="100"/>
          <w:position w:val="0"/>
        </w:rPr>
        <w:t>文</w:t>
      </w:r>
      <w:r>
        <w:rPr>
          <w:rFonts w:ascii="Times New Roman" w:hAnsi="Times New Roman" w:eastAsia="Times New Roman" w:cs="Times New Roman"/>
          <w:b/>
          <w:bCs/>
          <w:color w:val="000000"/>
          <w:spacing w:val="0"/>
          <w:w w:val="100"/>
          <w:position w:val="0"/>
          <w:lang w:val="en-US" w:eastAsia="en-US" w:bidi="en-US"/>
        </w:rPr>
        <w:t>U</w:t>
      </w:r>
      <w:r>
        <w:rPr>
          <w:rFonts w:ascii="Times New Roman" w:hAnsi="Times New Roman" w:eastAsia="Times New Roman" w:cs="Times New Roman"/>
          <w:b/>
          <w:bCs/>
          <w:color w:val="000000"/>
          <w:spacing w:val="0"/>
          <w:w w:val="100"/>
          <w:position w:val="0"/>
          <w:lang w:val="en-US" w:eastAsia="en-US" w:bidi="en-US"/>
        </w:rPr>
        <w:tab/>
      </w:r>
      <w:r>
        <w:rPr>
          <w:color w:val="000000"/>
          <w:spacing w:val="0"/>
          <w:w w:val="100"/>
          <w:position w:val="0"/>
        </w:rPr>
        <w:t>燕北京大学法学院</w:t>
      </w:r>
    </w:p>
    <w:p w14:paraId="54EC2070">
      <w:pPr>
        <w:pStyle w:val="11"/>
        <w:keepNext w:val="0"/>
        <w:keepLines w:val="0"/>
        <w:widowControl w:val="0"/>
        <w:shd w:val="clear" w:color="auto" w:fill="auto"/>
        <w:bidi w:val="0"/>
        <w:spacing w:before="0" w:after="60" w:line="347"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6440F7A">
      <w:pPr>
        <w:pStyle w:val="17"/>
        <w:keepNext w:val="0"/>
        <w:keepLines w:val="0"/>
        <w:widowControl w:val="0"/>
        <w:shd w:val="clear" w:color="auto" w:fill="auto"/>
        <w:bidi w:val="0"/>
        <w:spacing w:before="0" w:after="0" w:line="347" w:lineRule="exact"/>
        <w:ind w:left="0" w:right="0" w:firstLine="42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月，原告江苏华工创业投资有限公司（以下简称华工公司）与被告扬州锻压机 床集团公司（以下简称扬锻公司）和扬锻公司的其他股东签订增资扩股协议,约定原告华工 公司以</w:t>
      </w:r>
      <w:r>
        <w:rPr>
          <w:rFonts w:ascii="Times New Roman" w:hAnsi="Times New Roman" w:eastAsia="Times New Roman" w:cs="Times New Roman"/>
          <w:color w:val="000000"/>
          <w:spacing w:val="0"/>
          <w:w w:val="100"/>
          <w:position w:val="0"/>
          <w:sz w:val="19"/>
          <w:szCs w:val="19"/>
        </w:rPr>
        <w:t>2200</w:t>
      </w:r>
      <w:r>
        <w:rPr>
          <w:color w:val="000000"/>
          <w:spacing w:val="0"/>
          <w:w w:val="100"/>
          <w:position w:val="0"/>
        </w:rPr>
        <w:t xml:space="preserve">万元人民币对扬锻公司进行增资。同日各方签订补充协议，约定若扬锻公司在 </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日前未能在境内资本市场上市或公司主营业务、实际控制人、董事会成员 发生重大变化，华工公司有权要求扬锻公司以现金回购其所持有的全部扬锻公司股份，价 款按以下公式计算:“回购股权价款=投资额+ （投资额</w:t>
      </w:r>
      <w:r>
        <w:rPr>
          <w:rFonts w:ascii="Times New Roman" w:hAnsi="Times New Roman" w:eastAsia="Times New Roman" w:cs="Times New Roman"/>
          <w:color w:val="000000"/>
          <w:spacing w:val="0"/>
          <w:w w:val="100"/>
          <w:position w:val="0"/>
          <w:sz w:val="19"/>
          <w:szCs w:val="19"/>
          <w:lang w:val="en-US" w:eastAsia="en-US" w:bidi="en-US"/>
        </w:rPr>
        <w:t>x8% x</w:t>
      </w:r>
      <w:r>
        <w:rPr>
          <w:color w:val="000000"/>
          <w:spacing w:val="0"/>
          <w:w w:val="100"/>
          <w:position w:val="0"/>
        </w:rPr>
        <w:t xml:space="preserve">投资到公司实际月份数/ </w:t>
      </w:r>
      <w:r>
        <w:rPr>
          <w:rFonts w:ascii="Times New Roman" w:hAnsi="Times New Roman" w:eastAsia="Times New Roman" w:cs="Times New Roman"/>
          <w:color w:val="000000"/>
          <w:spacing w:val="0"/>
          <w:w w:val="100"/>
          <w:position w:val="0"/>
          <w:sz w:val="19"/>
          <w:szCs w:val="19"/>
        </w:rPr>
        <w:t xml:space="preserve">12） </w:t>
      </w:r>
      <w:r>
        <w:rPr>
          <w:color w:val="000000"/>
          <w:spacing w:val="0"/>
          <w:w w:val="100"/>
          <w:position w:val="0"/>
        </w:rPr>
        <w:t>-累计分红。”</w:t>
      </w:r>
    </w:p>
    <w:p w14:paraId="1A0855EF">
      <w:pPr>
        <w:pStyle w:val="17"/>
        <w:keepNext w:val="0"/>
        <w:keepLines w:val="0"/>
        <w:widowControl w:val="0"/>
        <w:shd w:val="clear" w:color="auto" w:fill="auto"/>
        <w:bidi w:val="0"/>
        <w:spacing w:before="0" w:after="0" w:line="347" w:lineRule="exact"/>
        <w:ind w:left="0" w:right="0" w:firstLine="420"/>
        <w:jc w:val="both"/>
      </w:pP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日，扬锻公司召开创立大会，所有股东一致表决同意通过新的公司章 程,其中第</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条规定:</w:t>
      </w:r>
      <w:r>
        <w:rPr>
          <w:color w:val="000000"/>
          <w:spacing w:val="0"/>
          <w:w w:val="100"/>
          <w:position w:val="0"/>
          <w:lang w:val="zh-CN" w:eastAsia="zh-CN" w:bidi="zh-CN"/>
        </w:rPr>
        <w:t>“公司</w:t>
      </w:r>
      <w:r>
        <w:rPr>
          <w:color w:val="000000"/>
          <w:spacing w:val="0"/>
          <w:w w:val="100"/>
          <w:position w:val="0"/>
        </w:rPr>
        <w:t>在下列情况下可以依照法律、行政法规、部门规章、本章程的规 定回购本公司的股份：（一）减少公司注册资本；（二）与持有本公司股份的其他公司合并; （三）将股份奖励给本公司职工；（四）股东因对股东会作出的公司分立、合并决议持异议,要 求公司回购其股份。除上述情形外，公司不进行买卖本公司股份的活动。”</w:t>
      </w:r>
    </w:p>
    <w:p w14:paraId="720C314E">
      <w:pPr>
        <w:pStyle w:val="17"/>
        <w:keepNext w:val="0"/>
        <w:keepLines w:val="0"/>
        <w:widowControl w:val="0"/>
        <w:shd w:val="clear" w:color="auto" w:fill="auto"/>
        <w:bidi w:val="0"/>
        <w:spacing w:before="0" w:after="360" w:line="347" w:lineRule="exact"/>
        <w:ind w:left="0" w:right="0" w:firstLine="420"/>
        <w:jc w:val="both"/>
      </w:pPr>
      <w:r>
        <w:rPr>
          <w:color w:val="000000"/>
          <w:spacing w:val="0"/>
          <w:w w:val="100"/>
          <w:position w:val="0"/>
        </w:rPr>
        <w:t>因证监会暂停首次公开发行股票申报</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月扬锻公司决定申报新三板。</w:t>
      </w:r>
      <w:r>
        <w:rPr>
          <w:rFonts w:ascii="Times New Roman" w:hAnsi="Times New Roman" w:eastAsia="Times New Roman" w:cs="Times New Roman"/>
          <w:color w:val="000000"/>
          <w:spacing w:val="0"/>
          <w:w w:val="100"/>
          <w:position w:val="0"/>
          <w:sz w:val="19"/>
          <w:szCs w:val="19"/>
        </w:rPr>
        <w:t xml:space="preserve">2014 </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月，华工公司致函扬锻公司，要求扬锻公司以现金形式回购其持有的全部公司股份，回 购股权价格同《补充协议》的约定。</w:t>
      </w:r>
    </w:p>
    <w:p w14:paraId="0ECFA050">
      <w:pPr>
        <w:pStyle w:val="11"/>
        <w:keepNext w:val="0"/>
        <w:keepLines w:val="0"/>
        <w:widowControl w:val="0"/>
        <w:shd w:val="clear" w:color="auto" w:fill="auto"/>
        <w:bidi w:val="0"/>
        <w:spacing w:before="0" w:after="60" w:line="347"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22EEDAF">
      <w:pPr>
        <w:pStyle w:val="17"/>
        <w:keepNext w:val="0"/>
        <w:keepLines w:val="0"/>
        <w:widowControl w:val="0"/>
        <w:shd w:val="clear" w:color="auto" w:fill="auto"/>
        <w:bidi w:val="0"/>
        <w:spacing w:before="0" w:after="0" w:line="354" w:lineRule="exact"/>
        <w:ind w:left="0" w:right="0" w:firstLine="420"/>
        <w:jc w:val="both"/>
      </w:pPr>
      <w:r>
        <w:rPr>
          <w:color w:val="000000"/>
          <w:spacing w:val="0"/>
          <w:w w:val="100"/>
          <w:position w:val="0"/>
        </w:rPr>
        <w:t>撤销一审和二审判决，改判扬锻公司履行股权回购协议。</w:t>
      </w:r>
    </w:p>
    <w:p w14:paraId="5AA95C3F">
      <w:pPr>
        <w:pStyle w:val="17"/>
        <w:keepNext w:val="0"/>
        <w:keepLines w:val="0"/>
        <w:widowControl w:val="0"/>
        <w:shd w:val="clear" w:color="auto" w:fill="auto"/>
        <w:bidi w:val="0"/>
        <w:spacing w:before="0" w:after="0" w:line="354" w:lineRule="exact"/>
        <w:ind w:left="0" w:right="0" w:firstLine="420"/>
        <w:jc w:val="both"/>
      </w:pPr>
      <w:r>
        <w:rPr>
          <w:color w:val="000000"/>
          <w:spacing w:val="0"/>
          <w:w w:val="100"/>
          <w:position w:val="0"/>
        </w:rPr>
        <w:t>一审法院认为，股东与公司约定的对赌式股权回购条款，意味着股东在《公司法》第</w:t>
      </w:r>
      <w:r>
        <w:rPr>
          <w:rFonts w:ascii="Times New Roman" w:hAnsi="Times New Roman" w:eastAsia="Times New Roman" w:cs="Times New Roman"/>
          <w:color w:val="000000"/>
          <w:spacing w:val="0"/>
          <w:w w:val="100"/>
          <w:position w:val="0"/>
          <w:sz w:val="19"/>
          <w:szCs w:val="19"/>
        </w:rPr>
        <w:t xml:space="preserve">142 </w:t>
      </w:r>
      <w:r>
        <w:rPr>
          <w:color w:val="000000"/>
          <w:spacing w:val="0"/>
          <w:w w:val="100"/>
          <w:position w:val="0"/>
        </w:rPr>
        <w:t>条规定的法定情形外无需经法定程序即可由公司支付对价而取回财产，实质是股东可以不 承担公司经营风险而当然获得约定利益,违反了《公司法》第</w:t>
      </w:r>
      <w:r>
        <w:rPr>
          <w:rFonts w:ascii="Times New Roman" w:hAnsi="Times New Roman" w:eastAsia="Times New Roman" w:cs="Times New Roman"/>
          <w:color w:val="000000"/>
          <w:spacing w:val="0"/>
          <w:w w:val="100"/>
          <w:position w:val="0"/>
          <w:sz w:val="19"/>
          <w:szCs w:val="19"/>
        </w:rPr>
        <w:t>142</w:t>
      </w:r>
      <w:r>
        <w:rPr>
          <w:color w:val="000000"/>
          <w:spacing w:val="0"/>
          <w:w w:val="100"/>
          <w:position w:val="0"/>
        </w:rPr>
        <w:t>条和《公司法》第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条，约 定无效。二审法院认为公司与股东之间的股权回购约定违反了资本维持原则，约定无效。</w:t>
      </w:r>
    </w:p>
    <w:p w14:paraId="0855BE86">
      <w:pPr>
        <w:pStyle w:val="17"/>
        <w:keepNext w:val="0"/>
        <w:keepLines w:val="0"/>
        <w:widowControl w:val="0"/>
        <w:shd w:val="clear" w:color="auto" w:fill="auto"/>
        <w:bidi w:val="0"/>
        <w:spacing w:before="0" w:after="360" w:line="354" w:lineRule="exact"/>
        <w:ind w:left="0" w:right="0" w:firstLine="420"/>
        <w:jc w:val="both"/>
        <w:sectPr>
          <w:footnotePr>
            <w:numFmt w:val="chicago"/>
          </w:footnotePr>
          <w:type w:val="continuous"/>
          <w:pgSz w:w="10099" w:h="14782"/>
          <w:pgMar w:top="1276" w:right="1037" w:bottom="1134" w:left="1063" w:header="848" w:footer="706" w:gutter="0"/>
          <w:cols w:space="720" w:num="1"/>
          <w:rtlGutter w:val="0"/>
          <w:docGrid w:linePitch="360" w:charSpace="0"/>
        </w:sectPr>
      </w:pPr>
      <w:r>
        <w:rPr>
          <w:color w:val="000000"/>
          <w:spacing w:val="0"/>
          <w:w w:val="100"/>
          <w:position w:val="0"/>
        </w:rPr>
        <w:t xml:space="preserve">再审判决指出，应区分判断合同效力与合同的可履行性。合同签订时公司仍为有限公 </w:t>
      </w:r>
    </w:p>
    <w:p w14:paraId="60557808">
      <w:pPr>
        <w:pStyle w:val="17"/>
        <w:keepNext w:val="0"/>
        <w:keepLines w:val="0"/>
        <w:widowControl w:val="0"/>
        <w:shd w:val="clear" w:color="auto" w:fill="auto"/>
        <w:bidi w:val="0"/>
        <w:spacing w:before="0" w:after="360" w:line="354" w:lineRule="exact"/>
        <w:ind w:left="0" w:right="0" w:firstLine="0"/>
        <w:jc w:val="both"/>
      </w:pPr>
      <w:r>
        <w:rPr>
          <w:color w:val="000000"/>
          <w:spacing w:val="0"/>
          <w:w w:val="100"/>
          <w:position w:val="0"/>
        </w:rPr>
        <w:t>司，《公司法》第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条不适用于判断合同效力。履行法定程序的股权回购并不必然违反资 本维持原则，且双方约定的回购条件合理公平，约定有效。股权回购可通过减资进行，而扬 锻公司的财务情况决定公司以现金支付华工公司的股权回购款，不会导致公司资产的减 损，也不会损害公司的债务清偿能力，股权回购约定具有法律上和事实上的履行可能。</w:t>
      </w:r>
    </w:p>
    <w:p w14:paraId="677C42AC">
      <w:pPr>
        <w:pStyle w:val="11"/>
        <w:keepNext w:val="0"/>
        <w:keepLines w:val="0"/>
        <w:widowControl w:val="0"/>
        <w:shd w:val="clear" w:color="auto" w:fill="auto"/>
        <w:bidi w:val="0"/>
        <w:spacing w:before="0" w:after="140" w:line="342" w:lineRule="exact"/>
        <w:ind w:left="0" w:right="0" w:firstLine="0"/>
        <w:jc w:val="both"/>
      </w:pPr>
      <w:r>
        <w:rPr>
          <w:color w:val="000000"/>
          <w:spacing w:val="0"/>
          <w:w w:val="100"/>
          <w:position w:val="0"/>
        </w:rPr>
        <w:t>■评析</w:t>
      </w:r>
    </w:p>
    <w:p w14:paraId="212A7763">
      <w:pPr>
        <w:pStyle w:val="17"/>
        <w:keepNext w:val="0"/>
        <w:keepLines w:val="0"/>
        <w:widowControl w:val="0"/>
        <w:shd w:val="clear" w:color="auto" w:fill="auto"/>
        <w:bidi w:val="0"/>
        <w:spacing w:before="0" w:after="14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0EDB19CB">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本案中，对股东与公司之间约定特定情形下公司以现金回购股东股权、股东退出公司 的回购协议,再审法院试图将法律上的可履行性（合同效力）与事实上的可履行性相区分。 《公司法》并不禁止减资，只要公司履行法定的减资程序,则回购不违反法律的强制性规定。 至于债权人利益的保护，则视公司当时的财务状况判断减资是否会损害公司的清偿能力。 再审法院的裁判改变了公司对特定股东进行现金补偿、股份回购必然因违反资本维持原则 而无效的既往观点，被视为对赌协议司法裁判的“里程碑</w:t>
      </w:r>
      <w:r>
        <w:rPr>
          <w:color w:val="000000"/>
          <w:spacing w:val="0"/>
          <w:w w:val="100"/>
          <w:position w:val="0"/>
          <w:lang w:val="zh-CN" w:eastAsia="zh-CN" w:bidi="zh-CN"/>
        </w:rPr>
        <w:t>”案例</w:t>
      </w:r>
      <w:r>
        <w:rPr>
          <w:color w:val="000000"/>
          <w:spacing w:val="0"/>
          <w:w w:val="100"/>
          <w:position w:val="0"/>
        </w:rPr>
        <w:t>，显示出商业发达地区法院 对当事人交易安排的尊重，其所提出的</w:t>
      </w:r>
      <w:r>
        <w:rPr>
          <w:color w:val="000000"/>
          <w:spacing w:val="0"/>
          <w:w w:val="100"/>
          <w:position w:val="0"/>
          <w:lang w:val="zh-CN" w:eastAsia="zh-CN" w:bidi="zh-CN"/>
        </w:rPr>
        <w:t>“清</w:t>
      </w:r>
      <w:r>
        <w:rPr>
          <w:color w:val="000000"/>
          <w:spacing w:val="0"/>
          <w:w w:val="100"/>
          <w:position w:val="0"/>
        </w:rPr>
        <w:t>偿能力标准”也比以注册资本作为公司向股东支 付是否合法之唯一尺度的观点有所推进。</w:t>
      </w:r>
    </w:p>
    <w:p w14:paraId="4C9D24E8">
      <w:pPr>
        <w:pStyle w:val="17"/>
        <w:keepNext w:val="0"/>
        <w:keepLines w:val="0"/>
        <w:widowControl w:val="0"/>
        <w:shd w:val="clear" w:color="auto" w:fill="auto"/>
        <w:bidi w:val="0"/>
        <w:spacing w:before="0" w:after="4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规范及学理</w:t>
      </w:r>
    </w:p>
    <w:p w14:paraId="679647C5">
      <w:pPr>
        <w:pStyle w:val="17"/>
        <w:keepNext w:val="0"/>
        <w:keepLines w:val="0"/>
        <w:widowControl w:val="0"/>
        <w:numPr>
          <w:ilvl w:val="0"/>
          <w:numId w:val="30"/>
        </w:numPr>
        <w:shd w:val="clear" w:color="auto" w:fill="auto"/>
        <w:bidi w:val="0"/>
        <w:spacing w:before="0" w:after="0" w:line="342" w:lineRule="exact"/>
        <w:ind w:left="0" w:right="0" w:firstLine="420"/>
        <w:jc w:val="both"/>
      </w:pPr>
      <w:bookmarkStart w:id="138" w:name="bookmark492"/>
      <w:bookmarkEnd w:id="138"/>
      <w:r>
        <w:rPr>
          <w:color w:val="000000"/>
          <w:spacing w:val="0"/>
          <w:w w:val="100"/>
          <w:position w:val="0"/>
        </w:rPr>
        <w:t>有限公司与股份公司股权回购的不同对待及其原理</w:t>
      </w:r>
    </w:p>
    <w:p w14:paraId="23CB236C">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股东出资投入公司后非经减资或清算不得取回是公司法人的基本特征，由此派生出公 司持续经营过程中的资本维持原则，导致回购受到限制。《公司法》第</w:t>
      </w:r>
      <w:r>
        <w:rPr>
          <w:rFonts w:ascii="Times New Roman" w:hAnsi="Times New Roman" w:eastAsia="Times New Roman" w:cs="Times New Roman"/>
          <w:color w:val="000000"/>
          <w:spacing w:val="0"/>
          <w:w w:val="100"/>
          <w:position w:val="0"/>
          <w:sz w:val="17"/>
          <w:szCs w:val="17"/>
        </w:rPr>
        <w:t>74</w:t>
      </w:r>
      <w:r>
        <w:rPr>
          <w:color w:val="000000"/>
          <w:spacing w:val="0"/>
          <w:w w:val="100"/>
          <w:position w:val="0"/>
        </w:rPr>
        <w:t>条和第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条针 对有限责任公司和股份有限公司的回购行为有不同的措辞。第</w:t>
      </w:r>
      <w:r>
        <w:rPr>
          <w:rFonts w:ascii="Times New Roman" w:hAnsi="Times New Roman" w:eastAsia="Times New Roman" w:cs="Times New Roman"/>
          <w:color w:val="000000"/>
          <w:spacing w:val="0"/>
          <w:w w:val="100"/>
          <w:position w:val="0"/>
          <w:sz w:val="17"/>
          <w:szCs w:val="17"/>
        </w:rPr>
        <w:t>74</w:t>
      </w:r>
      <w:r>
        <w:rPr>
          <w:color w:val="000000"/>
          <w:spacing w:val="0"/>
          <w:w w:val="100"/>
          <w:position w:val="0"/>
        </w:rPr>
        <w:t>条正面列举了有限责任 公司在若干情形下应收购相关异议股东的股权。相反，第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 xml:space="preserve">条则是在明确规定股份公司 </w:t>
      </w:r>
      <w:r>
        <w:rPr>
          <w:color w:val="000000"/>
          <w:spacing w:val="0"/>
          <w:w w:val="100"/>
          <w:position w:val="0"/>
          <w:lang w:val="zh-CN" w:eastAsia="zh-CN" w:bidi="zh-CN"/>
        </w:rPr>
        <w:t>“不</w:t>
      </w:r>
      <w:r>
        <w:rPr>
          <w:color w:val="000000"/>
          <w:spacing w:val="0"/>
          <w:w w:val="100"/>
          <w:position w:val="0"/>
        </w:rPr>
        <w:t>得回购股份”的前提下，作为例外列举了股份公司可以回购股份的几种场景。实践中对 于立法的差异化处理有不同理解。一种观点认为《公司法》对有限公司的回购无</w:t>
      </w:r>
      <w:r>
        <w:rPr>
          <w:color w:val="000000"/>
          <w:spacing w:val="0"/>
          <w:w w:val="100"/>
          <w:position w:val="0"/>
          <w:lang w:val="zh-CN" w:eastAsia="zh-CN" w:bidi="zh-CN"/>
        </w:rPr>
        <w:t>“原</w:t>
      </w:r>
      <w:r>
        <w:rPr>
          <w:color w:val="000000"/>
          <w:spacing w:val="0"/>
          <w:w w:val="100"/>
          <w:position w:val="0"/>
        </w:rPr>
        <w:t>则禁 止</w:t>
      </w:r>
      <w:r>
        <w:rPr>
          <w:color w:val="000000"/>
          <w:spacing w:val="0"/>
          <w:w w:val="100"/>
          <w:position w:val="0"/>
          <w:sz w:val="11"/>
          <w:szCs w:val="11"/>
          <w:lang w:val="zh-CN" w:eastAsia="zh-CN" w:bidi="zh-CN"/>
        </w:rPr>
        <w:t>”（邓</w:t>
      </w:r>
      <w:r>
        <w:rPr>
          <w:color w:val="000000"/>
          <w:spacing w:val="0"/>
          <w:w w:val="100"/>
          <w:position w:val="0"/>
          <w:sz w:val="11"/>
          <w:szCs w:val="11"/>
        </w:rPr>
        <w:t>峰:《普通公司法》，中国人民大学出版社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335</w:t>
      </w:r>
      <w:r>
        <w:rPr>
          <w:color w:val="000000"/>
          <w:spacing w:val="0"/>
          <w:w w:val="100"/>
          <w:position w:val="0"/>
          <w:sz w:val="11"/>
          <w:szCs w:val="11"/>
        </w:rPr>
        <w:t>页）。</w:t>
      </w:r>
      <w:r>
        <w:rPr>
          <w:color w:val="000000"/>
          <w:spacing w:val="0"/>
          <w:w w:val="100"/>
          <w:position w:val="0"/>
        </w:rPr>
        <w:t>一些法院也认可有限责任 公司在上述第</w:t>
      </w:r>
      <w:r>
        <w:rPr>
          <w:rFonts w:ascii="Times New Roman" w:hAnsi="Times New Roman" w:eastAsia="Times New Roman" w:cs="Times New Roman"/>
          <w:color w:val="000000"/>
          <w:spacing w:val="0"/>
          <w:w w:val="100"/>
          <w:position w:val="0"/>
          <w:sz w:val="17"/>
          <w:szCs w:val="17"/>
        </w:rPr>
        <w:t>74</w:t>
      </w:r>
      <w:r>
        <w:rPr>
          <w:color w:val="000000"/>
          <w:spacing w:val="0"/>
          <w:w w:val="100"/>
          <w:position w:val="0"/>
        </w:rPr>
        <w:t>条的场景之外进行回购，如员工离职时回购员工股，以及本案中公司通过 减资回购。</w:t>
      </w:r>
    </w:p>
    <w:p w14:paraId="36E882CF">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从域外公司法来看，回购股份是否区分有限公司和股份公司并无一定之规。回购的规 制大体可分为两个维度:一是哪些场景下允许回购;二是回购的财源或额度限制。德国法 区分有限责任公司与股份公司，允许有限公司回购已缴清出资的股份，而对股份公司的回 购则采取“原则禁止、例外允许”的立场。但有限公司与股份公司适用的财源限制是一样 的，即回购必须以不减损资本为前提，同时公司须建立自有股份公积金</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托马斯-莱赛尔、 ［德］吕迪格</w:t>
      </w:r>
      <w:r>
        <w:rPr>
          <w:color w:val="000000"/>
          <w:spacing w:val="0"/>
          <w:w w:val="100"/>
          <w:position w:val="0"/>
          <w:sz w:val="11"/>
          <w:szCs w:val="11"/>
          <w:lang w:val="en-US" w:eastAsia="en-US" w:bidi="en-US"/>
        </w:rPr>
        <w:t>•</w:t>
      </w:r>
      <w:r>
        <w:rPr>
          <w:color w:val="000000"/>
          <w:spacing w:val="0"/>
          <w:w w:val="100"/>
          <w:position w:val="0"/>
          <w:sz w:val="11"/>
          <w:szCs w:val="11"/>
        </w:rPr>
        <w:t>法伊尔：《德国资合公司法》（第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版），高旭军等译，法律出版社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625</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626 </w:t>
      </w:r>
      <w:r>
        <w:rPr>
          <w:color w:val="000000"/>
          <w:spacing w:val="0"/>
          <w:w w:val="100"/>
          <w:position w:val="0"/>
          <w:sz w:val="11"/>
          <w:szCs w:val="11"/>
        </w:rPr>
        <w:t>页）。</w:t>
      </w:r>
      <w:r>
        <w:rPr>
          <w:color w:val="000000"/>
          <w:spacing w:val="0"/>
          <w:w w:val="100"/>
          <w:position w:val="0"/>
        </w:rPr>
        <w:t xml:space="preserve">相反,美国州公司法传统上采取自由回购的立场，并不限制回购场景，但通常要求回购 股份不得减损公司资本或者不得导致公司丧失清偿能力，且这种财源限制并不因公众公司 或闭锁公司而有差异。英国历史上对各类公司均采取“原则禁止、例外允许”的立场，但自 </w:t>
      </w:r>
      <w:r>
        <w:rPr>
          <w:rFonts w:ascii="Times New Roman" w:hAnsi="Times New Roman" w:eastAsia="Times New Roman" w:cs="Times New Roman"/>
          <w:color w:val="000000"/>
          <w:spacing w:val="0"/>
          <w:w w:val="100"/>
          <w:position w:val="0"/>
          <w:sz w:val="17"/>
          <w:szCs w:val="17"/>
        </w:rPr>
        <w:t>1981</w:t>
      </w:r>
      <w:r>
        <w:rPr>
          <w:color w:val="000000"/>
          <w:spacing w:val="0"/>
          <w:w w:val="100"/>
          <w:position w:val="0"/>
        </w:rPr>
        <w:t>年后对封闭公司放松管制,允许在满足法律规定的程序（如董事声明、审计报告以及债 权人等可向法院提出异议）的情形下用资本回购。转变的原因，一是对封闭公司是否还有 必要适用传统的资本管制开始有了不同看法，二是封闭公司通常缺乏可分配利润,股份也 缺乏流动性，若创业者因退休而希望抽回资产，只有允许公司回购其股份才能行得通（［英</w:t>
      </w:r>
      <w:r>
        <w:rPr>
          <w:color w:val="000000"/>
          <w:spacing w:val="0"/>
          <w:w w:val="100"/>
          <w:position w:val="0"/>
          <w:sz w:val="11"/>
          <w:szCs w:val="11"/>
          <w:lang w:val="en-US" w:eastAsia="en-US" w:bidi="en-US"/>
        </w:rPr>
        <w:t xml:space="preserve">］ </w:t>
      </w:r>
      <w:r>
        <w:rPr>
          <w:color w:val="000000"/>
          <w:spacing w:val="0"/>
          <w:w w:val="100"/>
          <w:position w:val="0"/>
          <w:sz w:val="11"/>
          <w:szCs w:val="11"/>
        </w:rPr>
        <w:t>保罗-戴维斯、［英］沙拉-沃辛顿：《现代公司法原理》（上册）（第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sz w:val="11"/>
          <w:szCs w:val="11"/>
        </w:rPr>
        <w:t>版），罗培新译，法律出版社</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326</w:t>
      </w:r>
      <w:r>
        <w:rPr>
          <w:color w:val="000000"/>
          <w:spacing w:val="0"/>
          <w:w w:val="100"/>
          <w:position w:val="0"/>
          <w:sz w:val="11"/>
          <w:szCs w:val="11"/>
        </w:rPr>
        <w:t>页）。</w:t>
      </w:r>
      <w:r>
        <w:rPr>
          <w:color w:val="000000"/>
          <w:spacing w:val="0"/>
          <w:w w:val="100"/>
          <w:position w:val="0"/>
        </w:rPr>
        <w:t>我国公司法区分有限公司与股份公司的做法类似德国法，但无论是第</w:t>
      </w:r>
      <w:r>
        <w:rPr>
          <w:rFonts w:ascii="Times New Roman" w:hAnsi="Times New Roman" w:eastAsia="Times New Roman" w:cs="Times New Roman"/>
          <w:color w:val="000000"/>
          <w:spacing w:val="0"/>
          <w:w w:val="100"/>
          <w:position w:val="0"/>
          <w:sz w:val="17"/>
          <w:szCs w:val="17"/>
        </w:rPr>
        <w:t xml:space="preserve">74 </w:t>
      </w:r>
      <w:r>
        <w:rPr>
          <w:color w:val="000000"/>
          <w:spacing w:val="0"/>
          <w:w w:val="100"/>
          <w:position w:val="0"/>
        </w:rPr>
        <w:t>条还是第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rPr>
        <w:t>条都缺乏对回购财源限制的规定，没有处理回购与资本维持原则之间的关系， 不能不说是一个遗憾。总体来看,各国对回购场景的限制在逐渐放松，以适应公司财务运 作的需求，但同时施加财源限制。</w:t>
      </w:r>
    </w:p>
    <w:p w14:paraId="2106C865">
      <w:pPr>
        <w:pStyle w:val="17"/>
        <w:keepNext w:val="0"/>
        <w:keepLines w:val="0"/>
        <w:widowControl w:val="0"/>
        <w:numPr>
          <w:ilvl w:val="0"/>
          <w:numId w:val="30"/>
        </w:numPr>
        <w:shd w:val="clear" w:color="auto" w:fill="auto"/>
        <w:tabs>
          <w:tab w:val="left" w:pos="702"/>
        </w:tabs>
        <w:bidi w:val="0"/>
        <w:spacing w:before="0" w:after="0" w:line="420" w:lineRule="auto"/>
        <w:ind w:left="0" w:right="0" w:firstLine="420"/>
        <w:jc w:val="both"/>
      </w:pPr>
      <w:bookmarkStart w:id="139" w:name="bookmark493"/>
      <w:bookmarkEnd w:id="139"/>
      <w:r>
        <w:rPr>
          <w:color w:val="000000"/>
          <w:spacing w:val="0"/>
          <w:w w:val="100"/>
          <w:position w:val="0"/>
        </w:rPr>
        <w:t>股权回购的法律上可履行性与事实上可履行性</w:t>
      </w:r>
    </w:p>
    <w:p w14:paraId="012811E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lang w:val="zh-CN" w:eastAsia="zh-CN" w:bidi="zh-CN"/>
        </w:rPr>
        <w:t>“履</w:t>
      </w:r>
      <w:r>
        <w:rPr>
          <w:color w:val="000000"/>
          <w:spacing w:val="0"/>
          <w:w w:val="100"/>
          <w:position w:val="0"/>
        </w:rPr>
        <w:t>行不能</w:t>
      </w:r>
      <w:r>
        <w:rPr>
          <w:color w:val="000000"/>
          <w:spacing w:val="0"/>
          <w:w w:val="100"/>
          <w:position w:val="0"/>
          <w:lang w:val="zh-CN" w:eastAsia="zh-CN" w:bidi="zh-CN"/>
        </w:rPr>
        <w:t>”是</w:t>
      </w:r>
      <w:r>
        <w:rPr>
          <w:color w:val="000000"/>
          <w:spacing w:val="0"/>
          <w:w w:val="100"/>
          <w:position w:val="0"/>
        </w:rPr>
        <w:t>我国合同法下的概念，且区分法律上与事实上的履行不能。所谓法律上 不能履行，是指履行将会违反法律的规定。如债务人破产时,如果强制履行其与某债权人 之间签订的合同，将产生该债权人优先于其他债权人获得受偿的权利，从而与破产法的相 关规定相冲突。所谓事实上不能履行,是指履行在事实上不可能做到,或者已经没有意义。 如货物运输合同中，当货物出现损毁、灭失的情形时，再要求履行已经没有意义，因而只能 要求承运人承担损害赔偿责任。</w:t>
      </w:r>
    </w:p>
    <w:p w14:paraId="7B40950D">
      <w:pPr>
        <w:pStyle w:val="17"/>
        <w:keepNext w:val="0"/>
        <w:keepLines w:val="0"/>
        <w:widowControl w:val="0"/>
        <w:shd w:val="clear" w:color="auto" w:fill="auto"/>
        <w:bidi w:val="0"/>
        <w:spacing w:before="0" w:after="120" w:line="342" w:lineRule="exact"/>
        <w:ind w:left="0" w:right="0" w:firstLine="420"/>
        <w:jc w:val="both"/>
      </w:pPr>
      <w:r>
        <w:rPr>
          <w:color w:val="000000"/>
          <w:spacing w:val="0"/>
          <w:w w:val="100"/>
          <w:position w:val="0"/>
        </w:rPr>
        <w:t>不过,《民法典》第</w:t>
      </w:r>
      <w:r>
        <w:rPr>
          <w:rFonts w:ascii="Times New Roman" w:hAnsi="Times New Roman" w:eastAsia="Times New Roman" w:cs="Times New Roman"/>
          <w:color w:val="000000"/>
          <w:spacing w:val="0"/>
          <w:w w:val="100"/>
          <w:position w:val="0"/>
          <w:sz w:val="17"/>
          <w:szCs w:val="17"/>
        </w:rPr>
        <w:t>580</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款规定的履行不能仅限于非金钱债务，学理上一般也认 为，金钱债务无履行不能</w:t>
      </w:r>
      <w:r>
        <w:rPr>
          <w:color w:val="000000"/>
          <w:spacing w:val="0"/>
          <w:w w:val="100"/>
          <w:position w:val="0"/>
          <w:sz w:val="11"/>
          <w:szCs w:val="11"/>
        </w:rPr>
        <w:t>（王家福主编:《中国民法学-民法债权》，法律出版社</w:t>
      </w:r>
      <w:r>
        <w:rPr>
          <w:rFonts w:ascii="Times New Roman" w:hAnsi="Times New Roman" w:eastAsia="Times New Roman" w:cs="Times New Roman"/>
          <w:color w:val="000000"/>
          <w:spacing w:val="0"/>
          <w:w w:val="100"/>
          <w:position w:val="0"/>
          <w:sz w:val="17"/>
          <w:szCs w:val="17"/>
        </w:rPr>
        <w:t>1991</w:t>
      </w:r>
      <w:r>
        <w:rPr>
          <w:color w:val="000000"/>
          <w:spacing w:val="0"/>
          <w:w w:val="100"/>
          <w:position w:val="0"/>
          <w:sz w:val="11"/>
          <w:szCs w:val="11"/>
        </w:rPr>
        <w:t>年版；王洪亮： 《债法总论》，北京大学出版社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w:t>
      </w:r>
      <w:r>
        <w:rPr>
          <w:color w:val="000000"/>
          <w:spacing w:val="0"/>
          <w:w w:val="100"/>
          <w:position w:val="0"/>
        </w:rPr>
        <w:t>而对赌协议下的回购看起来属于金钱债务，因此有 学者认为，公司因受制于资本维持原则而无法回购应解为</w:t>
      </w:r>
      <w:r>
        <w:rPr>
          <w:color w:val="000000"/>
          <w:spacing w:val="0"/>
          <w:w w:val="100"/>
          <w:position w:val="0"/>
          <w:lang w:val="zh-CN" w:eastAsia="zh-CN" w:bidi="zh-CN"/>
        </w:rPr>
        <w:t>“履</w:t>
      </w:r>
      <w:r>
        <w:rPr>
          <w:color w:val="000000"/>
          <w:spacing w:val="0"/>
          <w:w w:val="100"/>
          <w:position w:val="0"/>
        </w:rPr>
        <w:t>行迟延</w:t>
      </w:r>
      <w:r>
        <w:rPr>
          <w:color w:val="000000"/>
          <w:spacing w:val="0"/>
          <w:w w:val="100"/>
          <w:position w:val="0"/>
          <w:lang w:val="zh-CN" w:eastAsia="zh-CN" w:bidi="zh-CN"/>
        </w:rPr>
        <w:t>”，而</w:t>
      </w:r>
      <w:r>
        <w:rPr>
          <w:color w:val="000000"/>
          <w:spacing w:val="0"/>
          <w:w w:val="100"/>
          <w:position w:val="0"/>
        </w:rPr>
        <w:t>非履行不能</w:t>
      </w:r>
      <w:r>
        <w:rPr>
          <w:color w:val="000000"/>
          <w:spacing w:val="0"/>
          <w:w w:val="100"/>
          <w:position w:val="0"/>
          <w:sz w:val="11"/>
          <w:szCs w:val="11"/>
        </w:rPr>
        <w:t>（潘林: 《重新认识</w:t>
      </w:r>
      <w:r>
        <w:rPr>
          <w:color w:val="000000"/>
          <w:spacing w:val="0"/>
          <w:w w:val="100"/>
          <w:position w:val="0"/>
          <w:sz w:val="11"/>
          <w:szCs w:val="11"/>
          <w:lang w:val="zh-CN" w:eastAsia="zh-CN" w:bidi="zh-CN"/>
        </w:rPr>
        <w:t>“合同”与“</w:t>
      </w:r>
      <w:r>
        <w:rPr>
          <w:color w:val="000000"/>
          <w:spacing w:val="0"/>
          <w:w w:val="100"/>
          <w:position w:val="0"/>
          <w:sz w:val="11"/>
          <w:szCs w:val="11"/>
        </w:rPr>
        <w:t>公司</w:t>
      </w:r>
      <w:r>
        <w:rPr>
          <w:color w:val="000000"/>
          <w:spacing w:val="0"/>
          <w:w w:val="100"/>
          <w:position w:val="0"/>
          <w:sz w:val="11"/>
          <w:szCs w:val="11"/>
          <w:lang w:val="zh-CN" w:eastAsia="zh-CN" w:bidi="zh-CN"/>
        </w:rPr>
        <w:t>”：基</w:t>
      </w:r>
      <w:r>
        <w:rPr>
          <w:color w:val="000000"/>
          <w:spacing w:val="0"/>
          <w:w w:val="100"/>
          <w:position w:val="0"/>
          <w:sz w:val="11"/>
          <w:szCs w:val="11"/>
        </w:rPr>
        <w:t>于“对赌协议</w:t>
      </w:r>
      <w:r>
        <w:rPr>
          <w:color w:val="000000"/>
          <w:spacing w:val="0"/>
          <w:w w:val="100"/>
          <w:position w:val="0"/>
          <w:sz w:val="11"/>
          <w:szCs w:val="11"/>
          <w:lang w:val="zh-CN" w:eastAsia="zh-CN" w:bidi="zh-CN"/>
        </w:rPr>
        <w:t>”类</w:t>
      </w:r>
      <w:r>
        <w:rPr>
          <w:color w:val="000000"/>
          <w:spacing w:val="0"/>
          <w:w w:val="100"/>
          <w:position w:val="0"/>
          <w:sz w:val="11"/>
          <w:szCs w:val="11"/>
        </w:rPr>
        <w:t>案的中美比较研究》，载《中外法学》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 xml:space="preserve">期）。 </w:t>
      </w:r>
      <w:r>
        <w:rPr>
          <w:color w:val="000000"/>
          <w:spacing w:val="0"/>
          <w:w w:val="100"/>
          <w:position w:val="0"/>
        </w:rPr>
        <w:t>本案将法律允许减资视为对赌协议具有</w:t>
      </w:r>
      <w:r>
        <w:rPr>
          <w:color w:val="000000"/>
          <w:spacing w:val="0"/>
          <w:w w:val="100"/>
          <w:position w:val="0"/>
          <w:lang w:val="zh-CN" w:eastAsia="zh-CN" w:bidi="zh-CN"/>
        </w:rPr>
        <w:t>“法律</w:t>
      </w:r>
      <w:r>
        <w:rPr>
          <w:color w:val="000000"/>
          <w:spacing w:val="0"/>
          <w:w w:val="100"/>
          <w:position w:val="0"/>
        </w:rPr>
        <w:t>上的可履行性</w:t>
      </w:r>
      <w:r>
        <w:rPr>
          <w:color w:val="000000"/>
          <w:spacing w:val="0"/>
          <w:w w:val="100"/>
          <w:position w:val="0"/>
          <w:lang w:val="zh-CN" w:eastAsia="zh-CN" w:bidi="zh-CN"/>
        </w:rPr>
        <w:t>”，将</w:t>
      </w:r>
      <w:r>
        <w:rPr>
          <w:color w:val="000000"/>
          <w:spacing w:val="0"/>
          <w:w w:val="100"/>
          <w:position w:val="0"/>
        </w:rPr>
        <w:t xml:space="preserve">公司有清偿能力视为具有 </w:t>
      </w:r>
      <w:r>
        <w:rPr>
          <w:color w:val="000000"/>
          <w:spacing w:val="0"/>
          <w:w w:val="100"/>
          <w:position w:val="0"/>
          <w:lang w:val="zh-CN" w:eastAsia="zh-CN" w:bidi="zh-CN"/>
        </w:rPr>
        <w:t>“事实</w:t>
      </w:r>
      <w:r>
        <w:rPr>
          <w:color w:val="000000"/>
          <w:spacing w:val="0"/>
          <w:w w:val="100"/>
          <w:position w:val="0"/>
        </w:rPr>
        <w:t>上的可履行性</w:t>
      </w:r>
      <w:r>
        <w:rPr>
          <w:color w:val="000000"/>
          <w:spacing w:val="0"/>
          <w:w w:val="100"/>
          <w:position w:val="0"/>
          <w:lang w:val="zh-CN" w:eastAsia="zh-CN" w:bidi="zh-CN"/>
        </w:rPr>
        <w:t>”，这</w:t>
      </w:r>
      <w:r>
        <w:rPr>
          <w:color w:val="000000"/>
          <w:spacing w:val="0"/>
          <w:w w:val="100"/>
          <w:position w:val="0"/>
        </w:rPr>
        <w:t xml:space="preserve">一解释进路并未被《全国法院民商事审判工作会议纪要》［法 </w:t>
      </w:r>
      <w:r>
        <w:rPr>
          <w:rFonts w:ascii="Times New Roman" w:hAnsi="Times New Roman" w:eastAsia="Times New Roman" w:cs="Times New Roman"/>
          <w:color w:val="000000"/>
          <w:spacing w:val="0"/>
          <w:w w:val="100"/>
          <w:position w:val="0"/>
          <w:sz w:val="17"/>
          <w:szCs w:val="17"/>
        </w:rPr>
        <w:t>（2019）254</w:t>
      </w:r>
      <w:r>
        <w:rPr>
          <w:color w:val="000000"/>
          <w:spacing w:val="0"/>
          <w:w w:val="100"/>
          <w:position w:val="0"/>
        </w:rPr>
        <w:t>号］所采纳。资本维持与清偿能力都属于保护债权人利益的底线规制，只是侧重 点不同，因此二者都属于</w:t>
      </w:r>
      <w:r>
        <w:rPr>
          <w:color w:val="000000"/>
          <w:spacing w:val="0"/>
          <w:w w:val="100"/>
          <w:position w:val="0"/>
          <w:lang w:val="zh-CN" w:eastAsia="zh-CN" w:bidi="zh-CN"/>
        </w:rPr>
        <w:t>“法律</w:t>
      </w:r>
      <w:r>
        <w:rPr>
          <w:color w:val="000000"/>
          <w:spacing w:val="0"/>
          <w:w w:val="100"/>
          <w:position w:val="0"/>
        </w:rPr>
        <w:t>上的可履行性</w:t>
      </w:r>
      <w:r>
        <w:rPr>
          <w:color w:val="000000"/>
          <w:spacing w:val="0"/>
          <w:w w:val="100"/>
          <w:position w:val="0"/>
          <w:lang w:val="zh-CN" w:eastAsia="zh-CN" w:bidi="zh-CN"/>
        </w:rPr>
        <w:t>”的</w:t>
      </w:r>
      <w:r>
        <w:rPr>
          <w:color w:val="000000"/>
          <w:spacing w:val="0"/>
          <w:w w:val="100"/>
          <w:position w:val="0"/>
        </w:rPr>
        <w:t>判断依据。更进一步，由于资本维持原则 或清偿能力标准的适用都涉及对公司财务状况的审查与判断,都需要以具体公司的实际情 况为基础，这里似乎并不存在</w:t>
      </w:r>
      <w:r>
        <w:rPr>
          <w:color w:val="000000"/>
          <w:spacing w:val="0"/>
          <w:w w:val="100"/>
          <w:position w:val="0"/>
          <w:lang w:val="zh-CN" w:eastAsia="zh-CN" w:bidi="zh-CN"/>
        </w:rPr>
        <w:t>“法律</w:t>
      </w:r>
      <w:r>
        <w:rPr>
          <w:color w:val="000000"/>
          <w:spacing w:val="0"/>
          <w:w w:val="100"/>
          <w:position w:val="0"/>
        </w:rPr>
        <w:t>上的可履行性</w:t>
      </w:r>
      <w:r>
        <w:rPr>
          <w:color w:val="000000"/>
          <w:spacing w:val="0"/>
          <w:w w:val="100"/>
          <w:position w:val="0"/>
          <w:lang w:val="zh-CN" w:eastAsia="zh-CN" w:bidi="zh-CN"/>
        </w:rPr>
        <w:t>”与“事实</w:t>
      </w:r>
      <w:r>
        <w:rPr>
          <w:color w:val="000000"/>
          <w:spacing w:val="0"/>
          <w:w w:val="100"/>
          <w:position w:val="0"/>
        </w:rPr>
        <w:t>上的可履行性</w:t>
      </w:r>
      <w:r>
        <w:rPr>
          <w:color w:val="000000"/>
          <w:spacing w:val="0"/>
          <w:w w:val="100"/>
          <w:position w:val="0"/>
          <w:lang w:val="zh-CN" w:eastAsia="zh-CN" w:bidi="zh-CN"/>
        </w:rPr>
        <w:t>”之</w:t>
      </w:r>
      <w:r>
        <w:rPr>
          <w:color w:val="000000"/>
          <w:spacing w:val="0"/>
          <w:w w:val="100"/>
          <w:position w:val="0"/>
        </w:rPr>
        <w:t>间的清晰界 分,二者属于一枚货币的两面。</w:t>
      </w:r>
    </w:p>
    <w:p w14:paraId="2946744D">
      <w:pPr>
        <w:pStyle w:val="17"/>
        <w:keepNext w:val="0"/>
        <w:keepLines w:val="0"/>
        <w:widowControl w:val="0"/>
        <w:numPr>
          <w:ilvl w:val="0"/>
          <w:numId w:val="30"/>
        </w:numPr>
        <w:shd w:val="clear" w:color="auto" w:fill="auto"/>
        <w:tabs>
          <w:tab w:val="left" w:pos="702"/>
        </w:tabs>
        <w:bidi w:val="0"/>
        <w:spacing w:before="0" w:after="0" w:line="420" w:lineRule="auto"/>
        <w:ind w:left="0" w:right="0" w:firstLine="420"/>
        <w:jc w:val="both"/>
      </w:pPr>
      <w:bookmarkStart w:id="140" w:name="bookmark494"/>
      <w:bookmarkEnd w:id="140"/>
      <w:r>
        <w:rPr>
          <w:color w:val="000000"/>
          <w:spacing w:val="0"/>
          <w:w w:val="100"/>
          <w:position w:val="0"/>
        </w:rPr>
        <w:t>资本维持规则抑或清偿能力标准</w:t>
      </w:r>
    </w:p>
    <w:p w14:paraId="5D1DA20A">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资本维持原则与清偿能力标准是公司法规制回购行为的两种不同标准，同时也是域外 公司法在分配问题上的两种不同立场。</w:t>
      </w:r>
    </w:p>
    <w:p w14:paraId="32533FB0">
      <w:pPr>
        <w:pStyle w:val="17"/>
        <w:keepNext w:val="0"/>
        <w:keepLines w:val="0"/>
        <w:widowControl w:val="0"/>
        <w:shd w:val="clear" w:color="auto" w:fill="auto"/>
        <w:bidi w:val="0"/>
        <w:spacing w:before="0" w:after="120" w:line="342" w:lineRule="exact"/>
        <w:ind w:left="0" w:right="0" w:firstLine="420"/>
        <w:jc w:val="both"/>
        <w:rPr>
          <w:sz w:val="11"/>
          <w:szCs w:val="11"/>
        </w:rPr>
      </w:pPr>
      <w:r>
        <w:rPr>
          <w:color w:val="000000"/>
          <w:spacing w:val="0"/>
          <w:w w:val="100"/>
          <w:position w:val="0"/>
          <w:sz w:val="18"/>
          <w:szCs w:val="18"/>
        </w:rPr>
        <w:t>资本维持原则属于传统的法定资本制度的重要组成部分。它是一种底线规则，即只要 不损及资本，公司可以自由地向股东进行利润分配、回购股份或以其他方式输送利益;一旦 损及资本，则公司须践行特定的减资程序</w:t>
      </w:r>
      <w:r>
        <w:rPr>
          <w:color w:val="000000"/>
          <w:spacing w:val="0"/>
          <w:w w:val="100"/>
          <w:position w:val="0"/>
          <w:sz w:val="11"/>
          <w:szCs w:val="11"/>
        </w:rPr>
        <w:t>（张保华:《资本维持原则解析——以</w:t>
      </w:r>
      <w:r>
        <w:rPr>
          <w:color w:val="000000"/>
          <w:spacing w:val="0"/>
          <w:w w:val="100"/>
          <w:position w:val="0"/>
          <w:sz w:val="11"/>
          <w:szCs w:val="11"/>
          <w:lang w:val="zh-CN" w:eastAsia="zh-CN" w:bidi="zh-CN"/>
        </w:rPr>
        <w:t>“维持”的误</w:t>
      </w:r>
      <w:r>
        <w:rPr>
          <w:color w:val="000000"/>
          <w:spacing w:val="0"/>
          <w:w w:val="100"/>
          <w:position w:val="0"/>
          <w:sz w:val="11"/>
          <w:szCs w:val="11"/>
        </w:rPr>
        <w:t>读与澄 清为视角》，载《法治研究》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br w:type="page"/>
      </w:r>
    </w:p>
    <w:p w14:paraId="2ED5303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清偿能力包括两种含义:一是资产负债表意义上的清偿能力，又称为</w:t>
      </w:r>
      <w:r>
        <w:rPr>
          <w:color w:val="000000"/>
          <w:spacing w:val="0"/>
          <w:w w:val="100"/>
          <w:position w:val="0"/>
          <w:lang w:val="zh-CN" w:eastAsia="zh-CN" w:bidi="zh-CN"/>
        </w:rPr>
        <w:t>“资不</w:t>
      </w:r>
      <w:r>
        <w:rPr>
          <w:color w:val="000000"/>
          <w:spacing w:val="0"/>
          <w:w w:val="100"/>
          <w:position w:val="0"/>
        </w:rPr>
        <w:t>抵债”(</w:t>
      </w:r>
      <w:r>
        <w:rPr>
          <w:rFonts w:ascii="Times New Roman" w:hAnsi="Times New Roman" w:eastAsia="Times New Roman" w:cs="Times New Roman"/>
          <w:color w:val="000000"/>
          <w:spacing w:val="0"/>
          <w:w w:val="100"/>
          <w:position w:val="0"/>
          <w:sz w:val="19"/>
          <w:szCs w:val="19"/>
          <w:lang w:val="en-US" w:eastAsia="en-US" w:bidi="en-US"/>
        </w:rPr>
        <w:t>bal</w:t>
      </w:r>
      <w:r>
        <w:rPr>
          <w:rFonts w:ascii="Times New Roman" w:hAnsi="Times New Roman" w:eastAsia="Times New Roman" w:cs="Times New Roman"/>
          <w:color w:val="000000"/>
          <w:spacing w:val="0"/>
          <w:w w:val="100"/>
          <w:position w:val="0"/>
          <w:sz w:val="19"/>
          <w:szCs w:val="19"/>
          <w:lang w:val="en-US" w:eastAsia="en-US" w:bidi="en-US"/>
        </w:rPr>
        <w:softHyphen/>
      </w:r>
      <w:r>
        <w:rPr>
          <w:rFonts w:ascii="Times New Roman" w:hAnsi="Times New Roman" w:eastAsia="Times New Roman" w:cs="Times New Roman"/>
          <w:color w:val="000000"/>
          <w:spacing w:val="0"/>
          <w:w w:val="100"/>
          <w:position w:val="0"/>
          <w:sz w:val="19"/>
          <w:szCs w:val="19"/>
          <w:lang w:val="en-US" w:eastAsia="en-US" w:bidi="en-US"/>
        </w:rPr>
        <w:t xml:space="preserve">ance sheet insolvency) </w:t>
      </w:r>
      <w:r>
        <w:rPr>
          <w:color w:val="000000"/>
          <w:spacing w:val="0"/>
          <w:w w:val="100"/>
          <w:position w:val="0"/>
        </w:rPr>
        <w:t>是衡平法或破产法意义上的，指公司不能清偿到期债务</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equity in</w:t>
      </w:r>
      <w:r>
        <w:rPr>
          <w:rFonts w:ascii="Times New Roman" w:hAnsi="Times New Roman" w:eastAsia="Times New Roman" w:cs="Times New Roman"/>
          <w:color w:val="000000"/>
          <w:spacing w:val="0"/>
          <w:w w:val="100"/>
          <w:position w:val="0"/>
          <w:sz w:val="19"/>
          <w:szCs w:val="19"/>
          <w:lang w:val="en-US" w:eastAsia="en-US" w:bidi="en-US"/>
        </w:rPr>
        <w:softHyphen/>
      </w:r>
      <w:r>
        <w:rPr>
          <w:rFonts w:ascii="Times New Roman" w:hAnsi="Times New Roman" w:eastAsia="Times New Roman" w:cs="Times New Roman"/>
          <w:color w:val="000000"/>
          <w:spacing w:val="0"/>
          <w:w w:val="100"/>
          <w:position w:val="0"/>
          <w:sz w:val="19"/>
          <w:szCs w:val="19"/>
          <w:lang w:val="en-US" w:eastAsia="en-US" w:bidi="en-US"/>
        </w:rPr>
        <w:t xml:space="preserve">solvency) </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rFonts w:ascii="Times New Roman" w:hAnsi="Times New Roman" w:eastAsia="Times New Roman" w:cs="Times New Roman"/>
          <w:color w:val="000000"/>
          <w:spacing w:val="0"/>
          <w:w w:val="100"/>
          <w:position w:val="0"/>
          <w:sz w:val="19"/>
          <w:szCs w:val="19"/>
          <w:lang w:val="en-US" w:eastAsia="en-US" w:bidi="en-US"/>
        </w:rPr>
        <w:t xml:space="preserve"> </w:t>
      </w:r>
      <w:r>
        <w:rPr>
          <w:color w:val="000000"/>
          <w:spacing w:val="0"/>
          <w:w w:val="100"/>
          <w:position w:val="0"/>
        </w:rPr>
        <w:t>美国《修订示范商业公司法》采用了上述双重含义，公司进行利润分配、回购或 赎回后，必须满足</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公司的资产总额仍然大于负债总额(若公司发行了清算时有优先权 的优先股，则还需要大于该优先股的金额</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公司能够清偿到期债务。</w:t>
      </w:r>
    </w:p>
    <w:p w14:paraId="1ECD0E28">
      <w:pPr>
        <w:pStyle w:val="17"/>
        <w:keepNext w:val="0"/>
        <w:keepLines w:val="0"/>
        <w:widowControl w:val="0"/>
        <w:shd w:val="clear" w:color="auto" w:fill="auto"/>
        <w:bidi w:val="0"/>
        <w:spacing w:before="0" w:after="120" w:line="345" w:lineRule="exact"/>
        <w:ind w:left="0" w:right="0" w:firstLine="420"/>
        <w:jc w:val="both"/>
      </w:pPr>
      <w:r>
        <w:rPr>
          <w:color w:val="000000"/>
          <w:spacing w:val="0"/>
          <w:w w:val="100"/>
          <w:position w:val="0"/>
        </w:rPr>
        <w:t>无论是资本维持原则还是清偿能力标准，扮演的都是底线规制的角色，以便达成债权 人保护与公司财务运作自由度之间的平衡。不过二者关注的重点不同，资本维持原则关注 公司静态的注册资本额，清偿能力标准则关注公司的现金流以及资产与负债的总体情况, 并不考虑公司的注册资本或所有者权益的结构。现代经济环境下，公司债权人更在意企业 的盈利能力、现金流等，而非企业当初设立时的资本额以及股东的出资情况，因此清偿能力 标准比资本维持原则更具商业上的合理性。《公司法》目前仍然实行资本维持原则，但有学 者建议引入清偿能力标准。</w:t>
      </w:r>
    </w:p>
    <w:p w14:paraId="21AC6D3B">
      <w:pPr>
        <w:pStyle w:val="17"/>
        <w:keepNext w:val="0"/>
        <w:keepLines w:val="0"/>
        <w:widowControl w:val="0"/>
        <w:numPr>
          <w:ilvl w:val="0"/>
          <w:numId w:val="30"/>
        </w:numPr>
        <w:shd w:val="clear" w:color="auto" w:fill="auto"/>
        <w:bidi w:val="0"/>
        <w:spacing w:before="0" w:after="0" w:line="379" w:lineRule="auto"/>
        <w:ind w:left="0" w:right="0" w:firstLine="420"/>
        <w:jc w:val="both"/>
      </w:pPr>
      <w:bookmarkStart w:id="141" w:name="bookmark495"/>
      <w:bookmarkEnd w:id="141"/>
      <w:r>
        <w:rPr>
          <w:color w:val="000000"/>
          <w:spacing w:val="0"/>
          <w:w w:val="100"/>
          <w:position w:val="0"/>
        </w:rPr>
        <w:t>减资与回购之间的关系</w:t>
      </w:r>
    </w:p>
    <w:p w14:paraId="1146030D">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利润分配、回购、减资都意味着公司资产向股东的流出，但它们具有不同的技术特征。 利润分配是股东基于股份而获得的股息红利，它源于公司创造的盈利，因此，这种流出方式 不减少资本，也不会引起股东身份的变化。相反,减资则意味着公司资本减少，同时相关资 本/股份对应的股东身份也不复存在。</w:t>
      </w:r>
    </w:p>
    <w:p w14:paraId="6036C706">
      <w:pPr>
        <w:pStyle w:val="17"/>
        <w:keepNext w:val="0"/>
        <w:keepLines w:val="0"/>
        <w:widowControl w:val="0"/>
        <w:shd w:val="clear" w:color="auto" w:fill="auto"/>
        <w:bidi w:val="0"/>
        <w:spacing w:before="0" w:after="240" w:line="345" w:lineRule="exact"/>
        <w:ind w:left="0" w:right="0" w:firstLine="420"/>
        <w:jc w:val="both"/>
      </w:pPr>
      <w:r>
        <w:rPr>
          <w:color w:val="000000"/>
          <w:spacing w:val="0"/>
          <w:w w:val="100"/>
          <w:position w:val="0"/>
        </w:rPr>
        <w:t>回购的情形则比较复杂。当公司回购股份时，原持有相关股份的投资人不再具有公司 股东的身份。但公司自身对于所回购的股份可以有两种不同的处理方式:一是注销所回购 的股份，由此就相当于减资的效果，回购不过是减资的具体途径而已；二是暂时持有该股 份，以便给员工持股计划或债转股下的行权提供所需的股份。此种情形下，回购或赎回并 不会带来减资的效果，相反，会计上用</w:t>
      </w:r>
      <w:r>
        <w:rPr>
          <w:color w:val="000000"/>
          <w:spacing w:val="0"/>
          <w:w w:val="100"/>
          <w:position w:val="0"/>
          <w:lang w:val="zh-CN" w:eastAsia="zh-CN" w:bidi="zh-CN"/>
        </w:rPr>
        <w:t>“库存</w:t>
      </w:r>
      <w:r>
        <w:rPr>
          <w:color w:val="000000"/>
          <w:spacing w:val="0"/>
          <w:w w:val="100"/>
          <w:position w:val="0"/>
        </w:rPr>
        <w:t>股”来记录这部分公司暂时持有的股份。如图</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所示，回购基于公司是否当即注销所回购的股份而可能类似于利润分配或者归属于减资：</w:t>
      </w:r>
    </w:p>
    <w:p w14:paraId="0A5F6265">
      <w:pPr>
        <w:pStyle w:val="33"/>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rPr>
        <w:t>利润分配:股东身份不受影响，公司资本不减少</w:t>
      </w:r>
    </w:p>
    <w:p w14:paraId="69E08A27">
      <w:pPr>
        <w:widowControl w:val="0"/>
        <w:spacing w:line="1" w:lineRule="exact"/>
        <w:sectPr>
          <w:headerReference r:id="rId467" w:type="default"/>
          <w:headerReference r:id="rId468" w:type="even"/>
          <w:footnotePr>
            <w:numFmt w:val="chicago"/>
          </w:footnotePr>
          <w:pgSz w:w="10099" w:h="14782"/>
          <w:pgMar w:top="1276" w:right="1037" w:bottom="1134" w:left="1063" w:header="0" w:footer="3" w:gutter="0"/>
          <w:pgNumType w:start="396"/>
          <w:cols w:space="720" w:num="1"/>
          <w:rtlGutter w:val="0"/>
          <w:docGrid w:linePitch="360" w:charSpace="0"/>
        </w:sectPr>
      </w:pPr>
      <w:r>
        <mc:AlternateContent>
          <mc:Choice Requires="wps">
            <w:drawing>
              <wp:anchor distT="100330" distB="100965" distL="0" distR="0" simplePos="0" relativeHeight="251660288" behindDoc="0" locked="0" layoutInCell="1" allowOverlap="1">
                <wp:simplePos x="0" y="0"/>
                <wp:positionH relativeFrom="page">
                  <wp:posOffset>2280285</wp:posOffset>
                </wp:positionH>
                <wp:positionV relativeFrom="paragraph">
                  <wp:posOffset>100330</wp:posOffset>
                </wp:positionV>
                <wp:extent cx="521335" cy="146050"/>
                <wp:effectExtent l="0" t="0" r="0" b="0"/>
                <wp:wrapTopAndBottom/>
                <wp:docPr id="1085" name="Shape 1085"/>
                <wp:cNvGraphicFramePr/>
                <a:graphic xmlns:a="http://schemas.openxmlformats.org/drawingml/2006/main">
                  <a:graphicData uri="http://schemas.microsoft.com/office/word/2010/wordprocessingShape">
                    <wps:wsp>
                      <wps:cNvSpPr txBox="1"/>
                      <wps:spPr>
                        <a:xfrm>
                          <a:off x="0" y="0"/>
                          <a:ext cx="521335" cy="146050"/>
                        </a:xfrm>
                        <a:prstGeom prst="rect">
                          <a:avLst/>
                        </a:prstGeom>
                        <a:noFill/>
                      </wps:spPr>
                      <wps:txbx>
                        <w:txbxContent>
                          <w:p w14:paraId="3054F965">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回购、赎回</w:t>
                            </w:r>
                          </w:p>
                        </w:txbxContent>
                      </wps:txbx>
                      <wps:bodyPr wrap="none" lIns="0" tIns="0" rIns="0" bIns="0">
                        <a:noAutofit/>
                      </wps:bodyPr>
                    </wps:wsp>
                  </a:graphicData>
                </a:graphic>
              </wp:anchor>
            </w:drawing>
          </mc:Choice>
          <mc:Fallback>
            <w:pict>
              <v:shape id="Shape 1085" o:spid="_x0000_s1026" o:spt="202" type="#_x0000_t202" style="position:absolute;left:0pt;margin-left:179.55pt;margin-top:7.9pt;height:11.5pt;width:41.05pt;mso-position-horizontal-relative:page;mso-wrap-distance-bottom:7.95pt;mso-wrap-distance-top:7.9pt;mso-wrap-style:none;z-index:251660288;mso-width-relative:page;mso-height-relative:page;" filled="f" stroked="f" coordsize="21600,21600" o:gfxdata="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YhKJLVAAAA&#10;CQEAAA8AAAAAAAAAAQAgAAAAIgAAAGRycy9kb3ducmV2LnhtbFBLAQIUABQAAAAIAIdO4kApy4/j&#10;rgEAAHUDAAAOAAAAAAAAAAEAIAAAACQBAABkcnMvZTJvRG9jLnhtbFBLBQYAAAAABgAGAFkBAABE&#10;BQAAAAA=&#10;">
                <v:fill on="f" focussize="0,0"/>
                <v:stroke on="f"/>
                <v:imagedata o:title=""/>
                <o:lock v:ext="edit" aspectratio="f"/>
                <v:textbox inset="0mm,0mm,0mm,0mm">
                  <w:txbxContent>
                    <w:p w14:paraId="3054F965">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回购、赎回</w:t>
                      </w:r>
                    </w:p>
                  </w:txbxContent>
                </v:textbox>
                <w10:wrap type="topAndBottom"/>
              </v:shape>
            </w:pict>
          </mc:Fallback>
        </mc:AlternateContent>
      </w:r>
      <w:r>
        <mc:AlternateContent>
          <mc:Choice Requires="wps">
            <w:drawing>
              <wp:anchor distT="0" distB="0" distL="0" distR="0" simplePos="0" relativeHeight="251660288" behindDoc="0" locked="0" layoutInCell="1" allowOverlap="1">
                <wp:simplePos x="0" y="0"/>
                <wp:positionH relativeFrom="page">
                  <wp:posOffset>2868295</wp:posOffset>
                </wp:positionH>
                <wp:positionV relativeFrom="paragraph">
                  <wp:posOffset>0</wp:posOffset>
                </wp:positionV>
                <wp:extent cx="1391285" cy="347345"/>
                <wp:effectExtent l="0" t="0" r="0" b="0"/>
                <wp:wrapTopAndBottom/>
                <wp:docPr id="1087" name="Shape 1087"/>
                <wp:cNvGraphicFramePr/>
                <a:graphic xmlns:a="http://schemas.openxmlformats.org/drawingml/2006/main">
                  <a:graphicData uri="http://schemas.microsoft.com/office/word/2010/wordprocessingShape">
                    <wps:wsp>
                      <wps:cNvSpPr txBox="1"/>
                      <wps:spPr>
                        <a:xfrm>
                          <a:off x="0" y="0"/>
                          <a:ext cx="1391285" cy="347345"/>
                        </a:xfrm>
                        <a:prstGeom prst="rect">
                          <a:avLst/>
                        </a:prstGeom>
                        <a:noFill/>
                      </wps:spPr>
                      <wps:txbx>
                        <w:txbxContent>
                          <w:p w14:paraId="7C4C134C">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消灭股东身份+公司不减资</w:t>
                            </w:r>
                          </w:p>
                          <w:p w14:paraId="5E770030">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消灭股东身份+公司减资</w:t>
                            </w:r>
                          </w:p>
                        </w:txbxContent>
                      </wps:txbx>
                      <wps:bodyPr lIns="0" tIns="0" rIns="0" bIns="0">
                        <a:noAutofit/>
                      </wps:bodyPr>
                    </wps:wsp>
                  </a:graphicData>
                </a:graphic>
              </wp:anchor>
            </w:drawing>
          </mc:Choice>
          <mc:Fallback>
            <w:pict>
              <v:shape id="Shape 1087" o:spid="_x0000_s1026" o:spt="202" type="#_x0000_t202" style="position:absolute;left:0pt;margin-left:225.85pt;margin-top:0pt;height:27.35pt;width:109.55pt;mso-position-horizontal-relative:page;mso-wrap-distance-bottom:0pt;mso-wrap-distance-top:0pt;z-index:251660288;mso-width-relative:page;mso-height-relative:page;" filled="f" stroked="f" coordsize="21600,21600" o:gfxdata="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aeP/91gAAAAcBAAAP&#10;AAAAAAAAAAEAIAAAACIAAABkcnMvZG93bnJldi54bWxQSwECFAAUAAAACACHTuJA2tCtf6gBAABq&#10;AwAADgAAAAAAAAABACAAAAAlAQAAZHJzL2Uyb0RvYy54bWxQSwUGAAAAAAYABgBZAQAAPwUAAAAA&#10;">
                <v:fill on="f" focussize="0,0"/>
                <v:stroke on="f"/>
                <v:imagedata o:title=""/>
                <o:lock v:ext="edit" aspectratio="f"/>
                <v:textbox inset="0mm,0mm,0mm,0mm">
                  <w:txbxContent>
                    <w:p w14:paraId="7C4C134C">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消灭股东身份+公司不减资</w:t>
                      </w:r>
                    </w:p>
                    <w:p w14:paraId="5E770030">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消灭股东身份+公司减资</w:t>
                      </w:r>
                    </w:p>
                  </w:txbxContent>
                </v:textbox>
                <w10:wrap type="topAndBottom"/>
              </v:shape>
            </w:pict>
          </mc:Fallback>
        </mc:AlternateContent>
      </w:r>
    </w:p>
    <w:p w14:paraId="4A8912AE">
      <w:pPr>
        <w:pStyle w:val="33"/>
        <w:keepNext w:val="0"/>
        <w:keepLines w:val="0"/>
        <w:widowControl w:val="0"/>
        <w:shd w:val="clear" w:color="auto" w:fill="auto"/>
        <w:bidi w:val="0"/>
        <w:spacing w:before="0" w:after="280" w:line="240" w:lineRule="auto"/>
        <w:ind w:left="0" w:right="0" w:firstLine="0"/>
        <w:jc w:val="center"/>
      </w:pPr>
      <w:r>
        <w:rPr>
          <w:color w:val="000000"/>
          <w:spacing w:val="0"/>
          <w:w w:val="100"/>
          <w:position w:val="0"/>
          <w:lang w:val="en-US" w:eastAsia="en-US" w:bidi="en-US"/>
        </w:rPr>
        <w:t>•</w:t>
      </w:r>
      <w:r>
        <w:rPr>
          <w:color w:val="000000"/>
          <w:spacing w:val="0"/>
          <w:w w:val="100"/>
          <w:position w:val="0"/>
        </w:rPr>
        <w:t>减资：消灭股东身份，公司资本减少</w:t>
      </w:r>
    </w:p>
    <w:p w14:paraId="5315D288">
      <w:pPr>
        <w:pStyle w:val="17"/>
        <w:keepNext w:val="0"/>
        <w:keepLines w:val="0"/>
        <w:widowControl w:val="0"/>
        <w:shd w:val="clear" w:color="auto" w:fill="auto"/>
        <w:bidi w:val="0"/>
        <w:spacing w:before="0" w:after="160" w:line="240" w:lineRule="auto"/>
        <w:ind w:left="0" w:right="0" w:firstLine="0"/>
        <w:jc w:val="center"/>
        <w:rPr>
          <w:sz w:val="17"/>
          <w:szCs w:val="17"/>
        </w:rPr>
      </w:pPr>
      <w:r>
        <w:rPr>
          <w:color w:val="000000"/>
          <w:spacing w:val="0"/>
          <w:w w:val="100"/>
          <w:position w:val="0"/>
          <w:sz w:val="17"/>
          <w:szCs w:val="17"/>
        </w:rPr>
        <w:t>图</w:t>
      </w:r>
      <w:r>
        <w:rPr>
          <w:rFonts w:ascii="Times New Roman" w:hAnsi="Times New Roman" w:eastAsia="Times New Roman" w:cs="Times New Roman"/>
          <w:b/>
          <w:bCs/>
          <w:color w:val="000000"/>
          <w:spacing w:val="0"/>
          <w:w w:val="100"/>
          <w:position w:val="0"/>
          <w:sz w:val="19"/>
          <w:szCs w:val="19"/>
        </w:rPr>
        <w:t>1</w:t>
      </w:r>
      <w:r>
        <w:rPr>
          <w:color w:val="000000"/>
          <w:spacing w:val="0"/>
          <w:w w:val="100"/>
          <w:position w:val="0"/>
          <w:sz w:val="17"/>
          <w:szCs w:val="17"/>
        </w:rPr>
        <w:t>回购与利润分配、减资关系</w:t>
      </w:r>
    </w:p>
    <w:p w14:paraId="770B1AF9">
      <w:pPr>
        <w:pStyle w:val="17"/>
        <w:keepNext w:val="0"/>
        <w:keepLines w:val="0"/>
        <w:widowControl w:val="0"/>
        <w:shd w:val="clear" w:color="auto" w:fill="auto"/>
        <w:bidi w:val="0"/>
        <w:spacing w:before="0" w:after="160" w:line="341" w:lineRule="exact"/>
        <w:ind w:left="0" w:right="0" w:firstLine="420"/>
        <w:jc w:val="both"/>
      </w:pPr>
      <w:r>
        <w:rPr>
          <w:color w:val="000000"/>
          <w:spacing w:val="0"/>
          <w:w w:val="100"/>
          <w:position w:val="0"/>
        </w:rPr>
        <w:t>从这个角度看，本案以减资来论证回购的合法性，逻辑上是有问题的。判决书未说明 公司回购股份之后如何处理;若公司不注销该批股份,则不一定构成减资。</w:t>
      </w:r>
    </w:p>
    <w:p w14:paraId="412EEE5B">
      <w:pPr>
        <w:pStyle w:val="17"/>
        <w:keepNext w:val="0"/>
        <w:keepLines w:val="0"/>
        <w:widowControl w:val="0"/>
        <w:shd w:val="clear" w:color="auto" w:fill="auto"/>
        <w:bidi w:val="0"/>
        <w:spacing w:before="0" w:after="16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6E93A7F3">
      <w:pPr>
        <w:pStyle w:val="17"/>
        <w:keepNext w:val="0"/>
        <w:keepLines w:val="0"/>
        <w:widowControl w:val="0"/>
        <w:shd w:val="clear" w:color="auto" w:fill="auto"/>
        <w:bidi w:val="0"/>
        <w:spacing w:before="0" w:after="160" w:line="343" w:lineRule="exact"/>
        <w:ind w:left="0" w:right="0" w:firstLine="420"/>
        <w:jc w:val="both"/>
        <w:sectPr>
          <w:footnotePr>
            <w:numFmt w:val="chicago"/>
          </w:footnotePr>
          <w:type w:val="continuous"/>
          <w:pgSz w:w="10099" w:h="14782"/>
          <w:pgMar w:top="1288" w:right="1048" w:bottom="1127" w:left="1067" w:header="0" w:footer="3" w:gutter="0"/>
          <w:cols w:space="720" w:num="1"/>
          <w:rtlGutter w:val="0"/>
          <w:docGrid w:linePitch="360" w:charSpace="0"/>
        </w:sectPr>
      </w:pPr>
      <w:r>
        <w:rPr>
          <w:color w:val="000000"/>
          <w:spacing w:val="0"/>
          <w:w w:val="100"/>
          <w:position w:val="0"/>
        </w:rPr>
        <w:t>在本案之前,法院对对赌协议的态度经历了一个变化的过程。最高人民法院在</w:t>
      </w:r>
      <w:r>
        <w:rPr>
          <w:color w:val="000000"/>
          <w:spacing w:val="0"/>
          <w:w w:val="100"/>
          <w:position w:val="0"/>
          <w:lang w:val="zh-CN" w:eastAsia="zh-CN" w:bidi="zh-CN"/>
        </w:rPr>
        <w:t xml:space="preserve">“苏州 </w:t>
      </w:r>
      <w:r>
        <w:rPr>
          <w:color w:val="000000"/>
          <w:spacing w:val="0"/>
          <w:w w:val="100"/>
          <w:position w:val="0"/>
        </w:rPr>
        <w:t>工业园区海富投资有限公司与甘肃世恒有色资源再利用有限公司、香港迪亚有限公司、陆 波增资纠纷再审案</w:t>
      </w:r>
      <w:r>
        <w:rPr>
          <w:rFonts w:ascii="Times New Roman" w:hAnsi="Times New Roman" w:eastAsia="Times New Roman" w:cs="Times New Roman"/>
          <w:color w:val="000000"/>
          <w:spacing w:val="0"/>
          <w:w w:val="100"/>
          <w:position w:val="0"/>
          <w:sz w:val="19"/>
          <w:szCs w:val="19"/>
          <w:lang w:val="en-US" w:eastAsia="en-US" w:bidi="en-US"/>
        </w:rPr>
        <w:t>”[(2012)</w:t>
      </w:r>
      <w:r>
        <w:rPr>
          <w:color w:val="000000"/>
          <w:spacing w:val="0"/>
          <w:w w:val="100"/>
          <w:position w:val="0"/>
          <w:sz w:val="11"/>
          <w:szCs w:val="11"/>
        </w:rPr>
        <w:t>民提字第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sz w:val="11"/>
          <w:szCs w:val="11"/>
        </w:rPr>
        <w:t>号民事判决书]</w:t>
      </w:r>
      <w:r>
        <w:rPr>
          <w:color w:val="000000"/>
          <w:spacing w:val="0"/>
          <w:w w:val="100"/>
          <w:position w:val="0"/>
        </w:rPr>
        <w:t xml:space="preserve">中明确，股东与公司以公司业绩对赌、 </w:t>
      </w:r>
    </w:p>
    <w:p w14:paraId="1508F4E6">
      <w:pPr>
        <w:pStyle w:val="17"/>
        <w:keepNext w:val="0"/>
        <w:keepLines w:val="0"/>
        <w:widowControl w:val="0"/>
        <w:shd w:val="clear" w:color="auto" w:fill="auto"/>
        <w:bidi w:val="0"/>
        <w:spacing w:before="0" w:after="160" w:line="343" w:lineRule="exact"/>
        <w:ind w:left="0" w:right="0" w:firstLine="0"/>
        <w:jc w:val="both"/>
      </w:pPr>
      <w:r>
        <w:rPr>
          <w:color w:val="000000"/>
          <w:spacing w:val="0"/>
          <w:w w:val="100"/>
          <w:position w:val="0"/>
        </w:rPr>
        <w:t>业绩不合约定时由公司对股东进行现金补偿的约定使股东对公司的投资可以取得相对固 定的收益，该收益脱离了公司的经营业绩,损害了公司利益和公司债权人利益，公司与股东 之间对赌约定因违反《公司法》第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条无效。由于最高人民法院同时认定，股东与股东之 间的业绩对赌补偿条款有效，因此被实务界概括为“公司与股东对赌无效，股东与股东对赌 有效”。鉴于此，实践中开创了股东与股东对赌、公司提供担保的做法，以达到实质上公司 与股东对赌之安排。在</w:t>
      </w:r>
      <w:r>
        <w:rPr>
          <w:color w:val="000000"/>
          <w:spacing w:val="0"/>
          <w:w w:val="100"/>
          <w:position w:val="0"/>
          <w:lang w:val="zh-CN" w:eastAsia="zh-CN" w:bidi="zh-CN"/>
        </w:rPr>
        <w:t>“强静</w:t>
      </w:r>
      <w:r>
        <w:rPr>
          <w:color w:val="000000"/>
          <w:spacing w:val="0"/>
          <w:w w:val="100"/>
          <w:position w:val="0"/>
        </w:rPr>
        <w:t xml:space="preserve">延与曹务波等股权转让纠纷再审案” </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最高法民再</w:t>
      </w:r>
      <w:r>
        <w:rPr>
          <w:rFonts w:ascii="Times New Roman" w:hAnsi="Times New Roman" w:eastAsia="Times New Roman" w:cs="Times New Roman"/>
          <w:color w:val="000000"/>
          <w:spacing w:val="0"/>
          <w:w w:val="100"/>
          <w:position w:val="0"/>
          <w:sz w:val="17"/>
          <w:szCs w:val="17"/>
        </w:rPr>
        <w:t>128</w:t>
      </w:r>
      <w:r>
        <w:rPr>
          <w:color w:val="000000"/>
          <w:spacing w:val="0"/>
          <w:w w:val="100"/>
          <w:position w:val="0"/>
        </w:rPr>
        <w:t>号 判决书］中，公司的实际控制人与新股东之间约定，公司若无法在约定时间前完成股票首次 公开发行，实际控制人承诺以现金方式购回新股东所持的公司股权,公司为回购提供连带 担保责任。最高人民法院认为，公司对股东之间的股权回购协议提供担保的行为符合《公 司法》第</w:t>
      </w:r>
      <w:r>
        <w:rPr>
          <w:rFonts w:ascii="Times New Roman" w:hAnsi="Times New Roman" w:eastAsia="Times New Roman" w:cs="Times New Roman"/>
          <w:color w:val="000000"/>
          <w:spacing w:val="0"/>
          <w:w w:val="100"/>
          <w:position w:val="0"/>
          <w:sz w:val="17"/>
          <w:szCs w:val="17"/>
        </w:rPr>
        <w:t>16</w:t>
      </w:r>
      <w:r>
        <w:rPr>
          <w:color w:val="000000"/>
          <w:spacing w:val="0"/>
          <w:w w:val="100"/>
          <w:position w:val="0"/>
        </w:rPr>
        <w:t>条的规定，对公司依法有效。同时最高人民法院还指出，即便公司并未对担保 事项进行股东会决议，但是该担保行为引来新股东的注资,有利于公司的自身经营发展，并 未损害公司及公司中小股东的利益。换言之，最高人民法院已经逐渐认识到，公司与股东 之间的对赌未必损害公司及其债权人利益，但是禁止公司与股东对赌究竟是保护公司其他 股东利益，抑或保护公司债权人利益，其真正的法律依据与逻辑为何，并不清晰。</w:t>
      </w:r>
    </w:p>
    <w:p w14:paraId="32EAFDD0">
      <w:pPr>
        <w:pStyle w:val="17"/>
        <w:keepNext w:val="0"/>
        <w:keepLines w:val="0"/>
        <w:widowControl w:val="0"/>
        <w:shd w:val="clear" w:color="auto" w:fill="auto"/>
        <w:bidi w:val="0"/>
        <w:spacing w:before="0" w:after="160" w:line="340" w:lineRule="exact"/>
        <w:ind w:left="0" w:right="0" w:firstLine="0"/>
        <w:jc w:val="both"/>
      </w:pPr>
      <w:r>
        <w:rPr>
          <w:color w:val="000000"/>
          <w:spacing w:val="0"/>
          <w:w w:val="100"/>
          <w:position w:val="0"/>
        </w:rPr>
        <w:t>困本判决的参考意义及将来的课题</w:t>
      </w:r>
    </w:p>
    <w:p w14:paraId="284C4D5F">
      <w:pPr>
        <w:pStyle w:val="17"/>
        <w:keepNext w:val="0"/>
        <w:keepLines w:val="0"/>
        <w:widowControl w:val="0"/>
        <w:shd w:val="clear" w:color="auto" w:fill="auto"/>
        <w:bidi w:val="0"/>
        <w:spacing w:before="0" w:after="360" w:line="338" w:lineRule="exact"/>
        <w:ind w:left="0" w:right="0" w:firstLine="420"/>
        <w:jc w:val="both"/>
        <w:rPr>
          <w:sz w:val="17"/>
          <w:szCs w:val="17"/>
        </w:rPr>
      </w:pPr>
      <w:r>
        <w:rPr>
          <w:color w:val="000000"/>
          <w:spacing w:val="0"/>
          <w:w w:val="100"/>
          <w:position w:val="0"/>
          <w:sz w:val="18"/>
          <w:szCs w:val="18"/>
        </w:rPr>
        <w:t>本判决承认了投资者与公司对赌的协议之法律效力，但能否履行则以满足资本维持原 则为前提。不过，由于我国公司法的缺陷，判决也存在一定的问题。未来需要理顺回购与减 资的关系,前提是《公司法》第</w:t>
      </w:r>
      <w:r>
        <w:rPr>
          <w:rFonts w:ascii="Times New Roman" w:hAnsi="Times New Roman" w:eastAsia="Times New Roman" w:cs="Times New Roman"/>
          <w:color w:val="000000"/>
          <w:spacing w:val="0"/>
          <w:w w:val="100"/>
          <w:position w:val="0"/>
          <w:sz w:val="17"/>
          <w:szCs w:val="17"/>
        </w:rPr>
        <w:t>74</w:t>
      </w:r>
      <w:r>
        <w:rPr>
          <w:color w:val="000000"/>
          <w:spacing w:val="0"/>
          <w:w w:val="100"/>
          <w:position w:val="0"/>
          <w:sz w:val="18"/>
          <w:szCs w:val="18"/>
        </w:rPr>
        <w:t>条或第</w:t>
      </w:r>
      <w:r>
        <w:rPr>
          <w:rFonts w:ascii="Times New Roman" w:hAnsi="Times New Roman" w:eastAsia="Times New Roman" w:cs="Times New Roman"/>
          <w:color w:val="000000"/>
          <w:spacing w:val="0"/>
          <w:w w:val="100"/>
          <w:position w:val="0"/>
          <w:sz w:val="17"/>
          <w:szCs w:val="17"/>
        </w:rPr>
        <w:t>142</w:t>
      </w:r>
      <w:r>
        <w:rPr>
          <w:color w:val="000000"/>
          <w:spacing w:val="0"/>
          <w:w w:val="100"/>
          <w:position w:val="0"/>
          <w:sz w:val="18"/>
          <w:szCs w:val="18"/>
        </w:rPr>
        <w:t>条直接承认对赌协议下回购的合法性。此外, 法官在哪个时点考虑可履行性、应关注哪些因素等都还有待进一步探</w:t>
      </w:r>
      <w:r>
        <w:rPr>
          <w:rFonts w:ascii="Times New Roman" w:hAnsi="Times New Roman" w:eastAsia="Times New Roman" w:cs="Times New Roman"/>
          <w:color w:val="000000"/>
          <w:spacing w:val="0"/>
          <w:w w:val="100"/>
          <w:position w:val="0"/>
          <w:sz w:val="17"/>
          <w:szCs w:val="17"/>
          <w:lang w:val="en-US" w:eastAsia="en-US" w:bidi="en-US"/>
        </w:rPr>
        <w:t>i</w:t>
      </w:r>
    </w:p>
    <w:p w14:paraId="3819F444">
      <w:pPr>
        <w:pStyle w:val="11"/>
        <w:keepNext w:val="0"/>
        <w:keepLines w:val="0"/>
        <w:widowControl w:val="0"/>
        <w:shd w:val="clear" w:color="auto" w:fill="auto"/>
        <w:bidi w:val="0"/>
        <w:spacing w:before="0" w:after="60" w:line="340" w:lineRule="exact"/>
        <w:ind w:left="180" w:right="0" w:hanging="180"/>
        <w:jc w:val="both"/>
      </w:pPr>
      <w:r>
        <w:rPr>
          <w:color w:val="000000"/>
          <w:spacing w:val="0"/>
          <w:w w:val="100"/>
          <w:position w:val="0"/>
        </w:rPr>
        <w:t>回参考文献</w:t>
      </w:r>
    </w:p>
    <w:p w14:paraId="00D1065A">
      <w:pPr>
        <w:pStyle w:val="17"/>
        <w:keepNext w:val="0"/>
        <w:keepLines w:val="0"/>
        <w:widowControl w:val="0"/>
        <w:shd w:val="clear" w:color="auto" w:fill="auto"/>
        <w:bidi w:val="0"/>
        <w:spacing w:before="0" w:after="0" w:line="317" w:lineRule="exact"/>
        <w:ind w:left="180" w:right="0" w:hanging="180"/>
        <w:jc w:val="both"/>
      </w:pPr>
      <w:r>
        <w:rPr>
          <w:color w:val="000000"/>
          <w:spacing w:val="0"/>
          <w:w w:val="100"/>
          <w:position w:val="0"/>
        </w:rPr>
        <w:t>刘燕:《对赌协议与公司法资本管制：美国实践及其启示》，载《环球法律评论＞</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ABAD682">
      <w:pPr>
        <w:pStyle w:val="17"/>
        <w:keepNext w:val="0"/>
        <w:keepLines w:val="0"/>
        <w:widowControl w:val="0"/>
        <w:shd w:val="clear" w:color="auto" w:fill="auto"/>
        <w:bidi w:val="0"/>
        <w:spacing w:before="0" w:after="0" w:line="317" w:lineRule="exact"/>
        <w:ind w:left="180" w:right="0" w:hanging="180"/>
        <w:jc w:val="both"/>
      </w:pPr>
      <w:r>
        <w:rPr>
          <w:color w:val="000000"/>
          <w:spacing w:val="0"/>
          <w:w w:val="100"/>
          <w:position w:val="0"/>
        </w:rPr>
        <w:t>刘燕:</w:t>
      </w:r>
      <w:r>
        <w:rPr>
          <w:color w:val="000000"/>
          <w:spacing w:val="0"/>
          <w:w w:val="100"/>
          <w:position w:val="0"/>
          <w:lang w:val="zh-CN" w:eastAsia="zh-CN" w:bidi="zh-CN"/>
        </w:rPr>
        <w:t>《“对</w:t>
      </w:r>
      <w:r>
        <w:rPr>
          <w:color w:val="000000"/>
          <w:spacing w:val="0"/>
          <w:w w:val="100"/>
          <w:position w:val="0"/>
        </w:rPr>
        <w:t>赌协议”的裁判路径与政策选择——基于</w:t>
      </w:r>
      <w:r>
        <w:rPr>
          <w:rFonts w:ascii="Times New Roman" w:hAnsi="Times New Roman" w:eastAsia="Times New Roman" w:cs="Times New Roman"/>
          <w:color w:val="000000"/>
          <w:spacing w:val="0"/>
          <w:w w:val="100"/>
          <w:position w:val="0"/>
          <w:sz w:val="17"/>
          <w:szCs w:val="17"/>
          <w:lang w:val="en-US" w:eastAsia="en-US" w:bidi="en-US"/>
        </w:rPr>
        <w:t>PE/VC</w:t>
      </w:r>
      <w:r>
        <w:rPr>
          <w:color w:val="000000"/>
          <w:spacing w:val="0"/>
          <w:w w:val="100"/>
          <w:position w:val="0"/>
        </w:rPr>
        <w:t xml:space="preserve">与公司对赌的场景分析》，载《法学研究》 </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BDB70C3">
      <w:pPr>
        <w:pStyle w:val="17"/>
        <w:keepNext w:val="0"/>
        <w:keepLines w:val="0"/>
        <w:widowControl w:val="0"/>
        <w:shd w:val="clear" w:color="auto" w:fill="auto"/>
        <w:bidi w:val="0"/>
        <w:spacing w:before="0" w:after="0" w:line="317" w:lineRule="exact"/>
        <w:ind w:left="180" w:right="0" w:hanging="180"/>
        <w:jc w:val="both"/>
      </w:pPr>
      <w:r>
        <w:rPr>
          <w:color w:val="000000"/>
          <w:spacing w:val="0"/>
          <w:w w:val="100"/>
          <w:position w:val="0"/>
        </w:rPr>
        <w:t>潘林:《重新认识</w:t>
      </w:r>
      <w:r>
        <w:rPr>
          <w:color w:val="000000"/>
          <w:spacing w:val="0"/>
          <w:w w:val="100"/>
          <w:position w:val="0"/>
          <w:lang w:val="zh-CN" w:eastAsia="zh-CN" w:bidi="zh-CN"/>
        </w:rPr>
        <w:t>“合同</w:t>
      </w:r>
      <w:r>
        <w:rPr>
          <w:color w:val="000000"/>
          <w:spacing w:val="0"/>
          <w:w w:val="100"/>
          <w:position w:val="0"/>
        </w:rPr>
        <w:t>”与</w:t>
      </w:r>
      <w:r>
        <w:rPr>
          <w:color w:val="000000"/>
          <w:spacing w:val="0"/>
          <w:w w:val="100"/>
          <w:position w:val="0"/>
          <w:lang w:val="zh-CN" w:eastAsia="zh-CN" w:bidi="zh-CN"/>
        </w:rPr>
        <w:t>“公司</w:t>
      </w:r>
      <w:r>
        <w:rPr>
          <w:color w:val="000000"/>
          <w:spacing w:val="0"/>
          <w:w w:val="100"/>
          <w:position w:val="0"/>
        </w:rPr>
        <w:t>”：基于</w:t>
      </w:r>
      <w:r>
        <w:rPr>
          <w:color w:val="000000"/>
          <w:spacing w:val="0"/>
          <w:w w:val="100"/>
          <w:position w:val="0"/>
          <w:lang w:val="zh-CN" w:eastAsia="zh-CN" w:bidi="zh-CN"/>
        </w:rPr>
        <w:t>“对赌</w:t>
      </w:r>
      <w:r>
        <w:rPr>
          <w:color w:val="000000"/>
          <w:spacing w:val="0"/>
          <w:w w:val="100"/>
          <w:position w:val="0"/>
        </w:rPr>
        <w:t>协议”类案的中美比较研究》，载《中外法学》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rPr>
        <w:t>期。</w:t>
      </w:r>
    </w:p>
    <w:p w14:paraId="5104FF54">
      <w:pPr>
        <w:pStyle w:val="17"/>
        <w:keepNext w:val="0"/>
        <w:keepLines w:val="0"/>
        <w:widowControl w:val="0"/>
        <w:shd w:val="clear" w:color="auto" w:fill="auto"/>
        <w:bidi w:val="0"/>
        <w:spacing w:before="0" w:after="0" w:line="317" w:lineRule="exact"/>
        <w:ind w:left="180" w:right="0" w:hanging="180"/>
        <w:jc w:val="both"/>
      </w:pPr>
      <w:r>
        <w:rPr>
          <w:color w:val="000000"/>
          <w:spacing w:val="0"/>
          <w:w w:val="100"/>
          <w:position w:val="0"/>
        </w:rPr>
        <w:t>张巍:《资本的规则》，中国法制出版社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5F9DD1F8">
      <w:pPr>
        <w:pStyle w:val="17"/>
        <w:keepNext w:val="0"/>
        <w:keepLines w:val="0"/>
        <w:widowControl w:val="0"/>
        <w:shd w:val="clear" w:color="auto" w:fill="auto"/>
        <w:bidi w:val="0"/>
        <w:spacing w:before="0" w:after="160" w:line="317" w:lineRule="exact"/>
        <w:ind w:left="180" w:right="0" w:hanging="180"/>
        <w:jc w:val="both"/>
        <w:sectPr>
          <w:headerReference r:id="rId469" w:type="default"/>
          <w:headerReference r:id="rId470" w:type="even"/>
          <w:footnotePr>
            <w:numFmt w:val="chicago"/>
          </w:footnotePr>
          <w:pgSz w:w="10099" w:h="14782"/>
          <w:pgMar w:top="1288" w:right="1048" w:bottom="1127" w:left="1067" w:header="0" w:footer="699" w:gutter="0"/>
          <w:pgNumType w:start="415"/>
          <w:cols w:space="720" w:num="1"/>
          <w:rtlGutter w:val="0"/>
          <w:docGrid w:linePitch="360" w:charSpace="0"/>
        </w:sectPr>
      </w:pPr>
      <w:r>
        <w:rPr>
          <w:color w:val="000000"/>
          <w:spacing w:val="0"/>
          <w:w w:val="100"/>
          <w:position w:val="0"/>
        </w:rPr>
        <w:t>张保华：《资本维持原则解析一以“维持”的误读与澄清为视角》，载《法治研究＞</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2AAF88AF">
      <w:pPr>
        <w:widowControl w:val="0"/>
        <w:spacing w:line="74" w:lineRule="exact"/>
        <w:rPr>
          <w:sz w:val="6"/>
          <w:szCs w:val="6"/>
        </w:rPr>
      </w:pPr>
    </w:p>
    <w:p w14:paraId="73B847F1">
      <w:pPr>
        <w:widowControl w:val="0"/>
        <w:spacing w:line="1" w:lineRule="exact"/>
        <w:sectPr>
          <w:headerReference r:id="rId471" w:type="default"/>
          <w:headerReference r:id="rId472" w:type="even"/>
          <w:footnotePr>
            <w:numFmt w:val="chicago"/>
          </w:footnotePr>
          <w:pgSz w:w="10099" w:h="14782"/>
          <w:pgMar w:top="1324" w:right="994" w:bottom="1105" w:left="1109" w:header="0" w:footer="3" w:gutter="0"/>
          <w:cols w:space="720" w:num="1"/>
          <w:rtlGutter w:val="0"/>
          <w:docGrid w:linePitch="360" w:charSpace="0"/>
        </w:sectPr>
      </w:pPr>
    </w:p>
    <w:p w14:paraId="767F5E68">
      <w:pPr>
        <w:widowControl w:val="0"/>
        <w:spacing w:line="1" w:lineRule="exact"/>
      </w:pPr>
      <w:r>
        <mc:AlternateContent>
          <mc:Choice Requires="wps">
            <w:drawing>
              <wp:anchor distT="0" distB="13970" distL="114300" distR="2505075" simplePos="0" relativeHeight="251660288" behindDoc="0" locked="0" layoutInCell="1" allowOverlap="1">
                <wp:simplePos x="0" y="0"/>
                <wp:positionH relativeFrom="page">
                  <wp:posOffset>760095</wp:posOffset>
                </wp:positionH>
                <wp:positionV relativeFrom="paragraph">
                  <wp:posOffset>12700</wp:posOffset>
                </wp:positionV>
                <wp:extent cx="410210" cy="304800"/>
                <wp:effectExtent l="0" t="0" r="0" b="0"/>
                <wp:wrapTopAndBottom/>
                <wp:docPr id="1093" name="Shape 1093"/>
                <wp:cNvGraphicFramePr/>
                <a:graphic xmlns:a="http://schemas.openxmlformats.org/drawingml/2006/main">
                  <a:graphicData uri="http://schemas.microsoft.com/office/word/2010/wordprocessingShape">
                    <wps:wsp>
                      <wps:cNvSpPr txBox="1"/>
                      <wps:spPr>
                        <a:xfrm>
                          <a:off x="0" y="0"/>
                          <a:ext cx="410210" cy="304800"/>
                        </a:xfrm>
                        <a:prstGeom prst="rect">
                          <a:avLst/>
                        </a:prstGeom>
                        <a:noFill/>
                      </wps:spPr>
                      <wps:txbx>
                        <w:txbxContent>
                          <w:p w14:paraId="11EC3A58">
                            <w:pPr>
                              <w:pStyle w:val="27"/>
                              <w:keepNext/>
                              <w:keepLines/>
                              <w:widowControl w:val="0"/>
                              <w:shd w:val="clear" w:color="auto" w:fill="auto"/>
                              <w:bidi w:val="0"/>
                              <w:spacing w:before="0" w:after="0" w:line="240" w:lineRule="auto"/>
                              <w:ind w:left="0" w:right="0" w:firstLine="0"/>
                              <w:jc w:val="both"/>
                            </w:pPr>
                            <w:bookmarkStart w:id="561" w:name="bookmark498"/>
                            <w:bookmarkStart w:id="562" w:name="bookmark497"/>
                            <w:bookmarkStart w:id="563" w:name="bookmark496"/>
                            <w:r>
                              <w:rPr>
                                <w:rFonts w:ascii="Times New Roman" w:hAnsi="Times New Roman" w:eastAsia="Times New Roman" w:cs="Times New Roman"/>
                                <w:color w:val="000000"/>
                                <w:spacing w:val="0"/>
                                <w:w w:val="100"/>
                                <w:position w:val="0"/>
                              </w:rPr>
                              <w:t>081</w:t>
                            </w:r>
                            <w:bookmarkEnd w:id="561"/>
                            <w:bookmarkEnd w:id="562"/>
                            <w:bookmarkEnd w:id="563"/>
                          </w:p>
                        </w:txbxContent>
                      </wps:txbx>
                      <wps:bodyPr wrap="none" lIns="0" tIns="0" rIns="0" bIns="0">
                        <a:noAutofit/>
                      </wps:bodyPr>
                    </wps:wsp>
                  </a:graphicData>
                </a:graphic>
              </wp:anchor>
            </w:drawing>
          </mc:Choice>
          <mc:Fallback>
            <w:pict>
              <v:shape id="Shape 1093" o:spid="_x0000_s1026" o:spt="202" type="#_x0000_t202" style="position:absolute;left:0pt;margin-left:59.85pt;margin-top:1pt;height:24pt;width:32.3pt;mso-position-horizontal-relative:page;mso-wrap-distance-bottom:1.1pt;mso-wrap-distance-top:0pt;mso-wrap-style:none;z-index:251660288;mso-width-relative:page;mso-height-relative:page;" filled="f" stroked="f" coordsize="21600,21600" o:gfxdata="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ZqpYPVAAAA&#10;CAEAAA8AAAAAAAAAAQAgAAAAIgAAAGRycy9kb3ducmV2LnhtbFBLAQIUABQAAAAIAIdO4kB++Udm&#10;rgEAAHUDAAAOAAAAAAAAAAEAIAAAACQBAABkcnMvZTJvRG9jLnhtbFBLBQYAAAAABgAGAFkBAABE&#10;BQAAAAA=&#10;">
                <v:fill on="f" focussize="0,0"/>
                <v:stroke on="f"/>
                <v:imagedata o:title=""/>
                <o:lock v:ext="edit" aspectratio="f"/>
                <v:textbox inset="0mm,0mm,0mm,0mm">
                  <w:txbxContent>
                    <w:p w14:paraId="11EC3A58">
                      <w:pPr>
                        <w:pStyle w:val="27"/>
                        <w:keepNext/>
                        <w:keepLines/>
                        <w:widowControl w:val="0"/>
                        <w:shd w:val="clear" w:color="auto" w:fill="auto"/>
                        <w:bidi w:val="0"/>
                        <w:spacing w:before="0" w:after="0" w:line="240" w:lineRule="auto"/>
                        <w:ind w:left="0" w:right="0" w:firstLine="0"/>
                        <w:jc w:val="both"/>
                      </w:pPr>
                      <w:bookmarkStart w:id="561" w:name="bookmark498"/>
                      <w:bookmarkStart w:id="562" w:name="bookmark497"/>
                      <w:bookmarkStart w:id="563" w:name="bookmark496"/>
                      <w:r>
                        <w:rPr>
                          <w:rFonts w:ascii="Times New Roman" w:hAnsi="Times New Roman" w:eastAsia="Times New Roman" w:cs="Times New Roman"/>
                          <w:color w:val="000000"/>
                          <w:spacing w:val="0"/>
                          <w:w w:val="100"/>
                          <w:position w:val="0"/>
                        </w:rPr>
                        <w:t>081</w:t>
                      </w:r>
                      <w:bookmarkEnd w:id="561"/>
                      <w:bookmarkEnd w:id="562"/>
                      <w:bookmarkEnd w:id="563"/>
                    </w:p>
                  </w:txbxContent>
                </v:textbox>
                <w10:wrap type="topAndBottom"/>
              </v:shape>
            </w:pict>
          </mc:Fallback>
        </mc:AlternateContent>
      </w:r>
      <w:r>
        <mc:AlternateContent>
          <mc:Choice Requires="wps">
            <w:drawing>
              <wp:anchor distT="79375" distB="0" distL="692150" distR="113665" simplePos="0" relativeHeight="251660288" behindDoc="0" locked="0" layoutInCell="1" allowOverlap="1">
                <wp:simplePos x="0" y="0"/>
                <wp:positionH relativeFrom="page">
                  <wp:posOffset>1337945</wp:posOffset>
                </wp:positionH>
                <wp:positionV relativeFrom="paragraph">
                  <wp:posOffset>92075</wp:posOffset>
                </wp:positionV>
                <wp:extent cx="2223770" cy="239395"/>
                <wp:effectExtent l="0" t="0" r="0" b="0"/>
                <wp:wrapTopAndBottom/>
                <wp:docPr id="1095" name="Shape 1095"/>
                <wp:cNvGraphicFramePr/>
                <a:graphic xmlns:a="http://schemas.openxmlformats.org/drawingml/2006/main">
                  <a:graphicData uri="http://schemas.microsoft.com/office/word/2010/wordprocessingShape">
                    <wps:wsp>
                      <wps:cNvSpPr txBox="1"/>
                      <wps:spPr>
                        <a:xfrm>
                          <a:off x="0" y="0"/>
                          <a:ext cx="2223770" cy="239395"/>
                        </a:xfrm>
                        <a:prstGeom prst="rect">
                          <a:avLst/>
                        </a:prstGeom>
                        <a:noFill/>
                      </wps:spPr>
                      <wps:txbx>
                        <w:txbxContent>
                          <w:p w14:paraId="7674C93A">
                            <w:pPr>
                              <w:pStyle w:val="15"/>
                              <w:keepNext/>
                              <w:keepLines/>
                              <w:widowControl w:val="0"/>
                              <w:shd w:val="clear" w:color="auto" w:fill="auto"/>
                              <w:bidi w:val="0"/>
                              <w:spacing w:before="0" w:after="0" w:line="240" w:lineRule="auto"/>
                              <w:ind w:left="0" w:right="0" w:firstLine="0"/>
                              <w:jc w:val="left"/>
                            </w:pPr>
                            <w:bookmarkStart w:id="564" w:name="bookmark499"/>
                            <w:bookmarkStart w:id="565" w:name="bookmark501"/>
                            <w:bookmarkStart w:id="566" w:name="bookmark500"/>
                            <w:r>
                              <w:rPr>
                                <w:color w:val="000000"/>
                                <w:spacing w:val="0"/>
                                <w:w w:val="100"/>
                                <w:position w:val="0"/>
                              </w:rPr>
                              <w:t>独立担保索付欺诈的认定</w:t>
                            </w:r>
                            <w:bookmarkEnd w:id="564"/>
                            <w:bookmarkEnd w:id="565"/>
                            <w:bookmarkEnd w:id="566"/>
                          </w:p>
                        </w:txbxContent>
                      </wps:txbx>
                      <wps:bodyPr wrap="none" lIns="0" tIns="0" rIns="0" bIns="0">
                        <a:noAutofit/>
                      </wps:bodyPr>
                    </wps:wsp>
                  </a:graphicData>
                </a:graphic>
              </wp:anchor>
            </w:drawing>
          </mc:Choice>
          <mc:Fallback>
            <w:pict>
              <v:shape id="Shape 1095" o:spid="_x0000_s1026" o:spt="202" type="#_x0000_t202" style="position:absolute;left:0pt;margin-left:105.35pt;margin-top:7.25pt;height:18.85pt;width:175.1pt;mso-position-horizontal-relative:page;mso-wrap-distance-bottom:0pt;mso-wrap-distance-top:6.25pt;mso-wrap-style:none;z-index:251660288;mso-width-relative:page;mso-height-relative:page;" filled="f" stroked="f" coordsize="21600,21600" o:gfxdata="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aQeX1gAA&#10;AAkBAAAPAAAAAAAAAAEAIAAAACIAAABkcnMvZG93bnJldi54bWxQSwECFAAUAAAACACHTuJA7F46&#10;364BAAB2AwAADgAAAAAAAAABACAAAAAlAQAAZHJzL2Uyb0RvYy54bWxQSwUGAAAAAAYABgBZAQAA&#10;RQUAAAAA&#10;">
                <v:fill on="f" focussize="0,0"/>
                <v:stroke on="f"/>
                <v:imagedata o:title=""/>
                <o:lock v:ext="edit" aspectratio="f"/>
                <v:textbox inset="0mm,0mm,0mm,0mm">
                  <w:txbxContent>
                    <w:p w14:paraId="7674C93A">
                      <w:pPr>
                        <w:pStyle w:val="15"/>
                        <w:keepNext/>
                        <w:keepLines/>
                        <w:widowControl w:val="0"/>
                        <w:shd w:val="clear" w:color="auto" w:fill="auto"/>
                        <w:bidi w:val="0"/>
                        <w:spacing w:before="0" w:after="0" w:line="240" w:lineRule="auto"/>
                        <w:ind w:left="0" w:right="0" w:firstLine="0"/>
                        <w:jc w:val="left"/>
                      </w:pPr>
                      <w:bookmarkStart w:id="564" w:name="bookmark499"/>
                      <w:bookmarkStart w:id="565" w:name="bookmark501"/>
                      <w:bookmarkStart w:id="566" w:name="bookmark500"/>
                      <w:r>
                        <w:rPr>
                          <w:color w:val="000000"/>
                          <w:spacing w:val="0"/>
                          <w:w w:val="100"/>
                          <w:position w:val="0"/>
                        </w:rPr>
                        <w:t>独立担保索付欺诈的认定</w:t>
                      </w:r>
                      <w:bookmarkEnd w:id="564"/>
                      <w:bookmarkEnd w:id="565"/>
                      <w:bookmarkEnd w:id="56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5135245</wp:posOffset>
            </wp:positionH>
            <wp:positionV relativeFrom="paragraph">
              <wp:posOffset>219710</wp:posOffset>
            </wp:positionV>
            <wp:extent cx="615950" cy="621665"/>
            <wp:effectExtent l="0" t="0" r="6350" b="635"/>
            <wp:wrapSquare wrapText="left"/>
            <wp:docPr id="1097" name="Shape 1097"/>
            <wp:cNvGraphicFramePr/>
            <a:graphic xmlns:a="http://schemas.openxmlformats.org/drawingml/2006/main">
              <a:graphicData uri="http://schemas.openxmlformats.org/drawingml/2006/picture">
                <pic:pic xmlns:pic="http://schemas.openxmlformats.org/drawingml/2006/picture">
                  <pic:nvPicPr>
                    <pic:cNvPr id="1097" name="Shape 1097"/>
                    <pic:cNvPicPr/>
                  </pic:nvPicPr>
                  <pic:blipFill>
                    <a:blip r:embed="rId694"/>
                    <a:stretch>
                      <a:fillRect/>
                    </a:stretch>
                  </pic:blipFill>
                  <pic:spPr>
                    <a:xfrm>
                      <a:off x="0" y="0"/>
                      <a:ext cx="615950" cy="621665"/>
                    </a:xfrm>
                    <a:prstGeom prst="rect">
                      <a:avLst/>
                    </a:prstGeom>
                  </pic:spPr>
                </pic:pic>
              </a:graphicData>
            </a:graphic>
          </wp:anchor>
        </w:drawing>
      </w:r>
    </w:p>
    <w:p w14:paraId="4F7697C6">
      <w:pPr>
        <w:pStyle w:val="17"/>
        <w:keepNext w:val="0"/>
        <w:keepLines w:val="0"/>
        <w:widowControl w:val="0"/>
        <w:shd w:val="clear" w:color="auto" w:fill="auto"/>
        <w:bidi w:val="0"/>
        <w:spacing w:before="0" w:after="320" w:line="324" w:lineRule="exact"/>
        <w:ind w:left="1000" w:right="0" w:firstLine="20"/>
        <w:jc w:val="both"/>
      </w:pPr>
      <w:r>
        <w:rPr>
          <w:color w:val="000000"/>
          <w:spacing w:val="0"/>
          <w:w w:val="100"/>
          <w:position w:val="0"/>
        </w:rPr>
        <w:t>安徽省外经建设（集团）有限公司诉东方置业房地产有限公司保函 欺诈纠纷案丨最高人民法院第</w:t>
      </w:r>
      <w:r>
        <w:rPr>
          <w:rFonts w:ascii="Times New Roman" w:hAnsi="Times New Roman" w:eastAsia="Times New Roman" w:cs="Times New Roman"/>
          <w:color w:val="000000"/>
          <w:spacing w:val="0"/>
          <w:w w:val="100"/>
          <w:position w:val="0"/>
          <w:sz w:val="19"/>
          <w:szCs w:val="19"/>
        </w:rPr>
        <w:t>109</w:t>
      </w:r>
      <w:r>
        <w:rPr>
          <w:color w:val="000000"/>
          <w:spacing w:val="0"/>
          <w:w w:val="100"/>
          <w:position w:val="0"/>
        </w:rPr>
        <w:t>号指导性案例</w:t>
      </w:r>
    </w:p>
    <w:p w14:paraId="707BEDA5">
      <w:pPr>
        <w:pStyle w:val="33"/>
        <w:keepNext w:val="0"/>
        <w:keepLines w:val="0"/>
        <w:widowControl w:val="0"/>
        <w:shd w:val="clear" w:color="auto" w:fill="auto"/>
        <w:bidi w:val="0"/>
        <w:spacing w:before="0" w:after="1360" w:line="240" w:lineRule="auto"/>
        <w:ind w:left="0" w:right="0" w:firstLine="0"/>
        <w:jc w:val="right"/>
      </w:pPr>
      <w:r>
        <w:rPr>
          <w:b/>
          <w:bCs/>
          <w:color w:val="000000"/>
          <w:spacing w:val="0"/>
          <w:w w:val="100"/>
          <w:position w:val="0"/>
          <w:sz w:val="18"/>
          <w:szCs w:val="18"/>
        </w:rPr>
        <w:t>李世冈</w:t>
      </w:r>
      <w:r>
        <w:rPr>
          <w:rFonts w:ascii="Times New Roman" w:hAnsi="Times New Roman" w:eastAsia="Times New Roman" w:cs="Times New Roman"/>
          <w:color w:val="000000"/>
          <w:spacing w:val="0"/>
          <w:w w:val="100"/>
          <w:position w:val="0"/>
          <w:sz w:val="26"/>
          <w:szCs w:val="26"/>
        </w:rPr>
        <w:t>II</w:t>
      </w:r>
      <w:r>
        <w:rPr>
          <w:color w:val="000000"/>
          <w:spacing w:val="0"/>
          <w:w w:val="100"/>
          <w:position w:val="0"/>
        </w:rPr>
        <w:t>复旦大学法学院</w:t>
      </w:r>
    </w:p>
    <w:p w14:paraId="46D9D013">
      <w:pPr>
        <w:pStyle w:val="11"/>
        <w:keepNext w:val="0"/>
        <w:keepLines w:val="0"/>
        <w:widowControl w:val="0"/>
        <w:shd w:val="clear" w:color="auto" w:fill="auto"/>
        <w:bidi w:val="0"/>
        <w:spacing w:before="0" w:after="80" w:line="337"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F682EDA">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开发方东方置业房地产有限公司（以下简称甲），与承包方安徽省外经建设（集团）有限 公司（以下简称乙）、施工方安徽外经建设中美洲有限公司（以下简称丙）在哥斯达黎加共和 国就当地某建筑项目签订了《施工合同》。乙向建行安徽省分行（以下简称</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提岀申请，并 以哥斯达黎加银行（以下简称</w:t>
      </w:r>
      <w:r>
        <w:rPr>
          <w:rFonts w:ascii="Times New Roman" w:hAnsi="Times New Roman" w:eastAsia="Times New Roman" w:cs="Times New Roman"/>
          <w:color w:val="000000"/>
          <w:spacing w:val="0"/>
          <w:w w:val="100"/>
          <w:position w:val="0"/>
          <w:sz w:val="19"/>
          <w:szCs w:val="19"/>
          <w:lang w:val="en-US" w:eastAsia="en-US" w:bidi="en-US"/>
        </w:rPr>
        <w:t>B</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作为转开行,开立履约保函。随后,</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开立履约保函,担保 人为</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委托人为乙，受益人为甲，担保金额为</w:t>
      </w:r>
      <w:r>
        <w:rPr>
          <w:rFonts w:ascii="Times New Roman" w:hAnsi="Times New Roman" w:eastAsia="Times New Roman" w:cs="Times New Roman"/>
          <w:color w:val="000000"/>
          <w:spacing w:val="0"/>
          <w:w w:val="100"/>
          <w:position w:val="0"/>
          <w:sz w:val="19"/>
          <w:szCs w:val="19"/>
        </w:rPr>
        <w:t>2, 008, 000</w:t>
      </w:r>
      <w:r>
        <w:rPr>
          <w:color w:val="000000"/>
          <w:spacing w:val="0"/>
          <w:w w:val="100"/>
          <w:position w:val="0"/>
        </w:rPr>
        <w:t>美元。保函是无条件的、不可撤销 的、必须的、见索即付的。执行此保函需要受益人给</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提交一式两份的证明文件，指明执行 此保函的理由，另外由受益人出具公证过的声明指出通知丙因为违约而产生此请求的日 期，并附上保函证明原件和已经出具过的修改件。</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同时向</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开具反担保函，承诺自收到</w:t>
      </w:r>
      <w:r>
        <w:rPr>
          <w:rFonts w:ascii="Times New Roman" w:hAnsi="Times New Roman" w:eastAsia="Times New Roman" w:cs="Times New Roman"/>
          <w:color w:val="000000"/>
          <w:spacing w:val="0"/>
          <w:w w:val="100"/>
          <w:position w:val="0"/>
          <w:sz w:val="19"/>
          <w:szCs w:val="19"/>
          <w:lang w:val="en-US" w:eastAsia="en-US" w:bidi="en-US"/>
        </w:rPr>
        <w:t xml:space="preserve">B </w:t>
      </w:r>
      <w:r>
        <w:rPr>
          <w:color w:val="000000"/>
          <w:spacing w:val="0"/>
          <w:w w:val="100"/>
          <w:position w:val="0"/>
        </w:rPr>
        <w:t>通知后</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日内支付保函项下的款项。反担保函是</w:t>
      </w:r>
      <w:r>
        <w:rPr>
          <w:color w:val="000000"/>
          <w:spacing w:val="0"/>
          <w:w w:val="100"/>
          <w:position w:val="0"/>
          <w:lang w:val="zh-CN" w:eastAsia="zh-CN" w:bidi="zh-CN"/>
        </w:rPr>
        <w:t>“无</w:t>
      </w:r>
      <w:r>
        <w:rPr>
          <w:color w:val="000000"/>
          <w:spacing w:val="0"/>
          <w:w w:val="100"/>
          <w:position w:val="0"/>
        </w:rPr>
        <w:t>条件的、不可撤销的、随时要求支付 的</w:t>
      </w:r>
      <w:r>
        <w:rPr>
          <w:color w:val="000000"/>
          <w:spacing w:val="0"/>
          <w:w w:val="100"/>
          <w:position w:val="0"/>
          <w:lang w:val="zh-CN" w:eastAsia="zh-CN" w:bidi="zh-CN"/>
        </w:rPr>
        <w:t>”，并</w:t>
      </w:r>
      <w:r>
        <w:rPr>
          <w:color w:val="000000"/>
          <w:spacing w:val="0"/>
          <w:w w:val="100"/>
          <w:position w:val="0"/>
        </w:rPr>
        <w:t>约定“遵守国际商会出版的</w:t>
      </w:r>
      <w:r>
        <w:rPr>
          <w:rFonts w:ascii="Times New Roman" w:hAnsi="Times New Roman" w:eastAsia="Times New Roman" w:cs="Times New Roman"/>
          <w:color w:val="000000"/>
          <w:spacing w:val="0"/>
          <w:w w:val="100"/>
          <w:position w:val="0"/>
          <w:sz w:val="19"/>
          <w:szCs w:val="19"/>
        </w:rPr>
        <w:t>458</w:t>
      </w:r>
      <w:r>
        <w:rPr>
          <w:color w:val="000000"/>
          <w:spacing w:val="0"/>
          <w:w w:val="100"/>
          <w:position w:val="0"/>
        </w:rPr>
        <w:t>号《见索即付保函统一规则》”。</w:t>
      </w:r>
    </w:p>
    <w:p w14:paraId="764B06EA">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 xml:space="preserve">施工过程中,有建筑师出具《项目工程检验报告》指出施工项目存在瑕疵。据此，甲向 </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提交索赔声明、违约通知书、违约声明、《项目工程检验报告》等保函兑付文件，要求执行 保函。</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便向</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发出电文,称甲提出索赔、要求支付</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开具的履约保函项下</w:t>
      </w:r>
      <w:r>
        <w:rPr>
          <w:rFonts w:ascii="Times New Roman" w:hAnsi="Times New Roman" w:eastAsia="Times New Roman" w:cs="Times New Roman"/>
          <w:color w:val="000000"/>
          <w:spacing w:val="0"/>
          <w:w w:val="100"/>
          <w:position w:val="0"/>
          <w:sz w:val="19"/>
          <w:szCs w:val="19"/>
        </w:rPr>
        <w:t>2, 008, 000</w:t>
      </w:r>
      <w:r>
        <w:rPr>
          <w:color w:val="000000"/>
          <w:spacing w:val="0"/>
          <w:w w:val="100"/>
          <w:position w:val="0"/>
        </w:rPr>
        <w:t>美 元的款项,</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进而要求</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于指定日期前支付上述款项。</w:t>
      </w:r>
    </w:p>
    <w:p w14:paraId="089CDDBD">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之后,针对甲的索付，一方面，乙向合肥市中级人民法院提起保函欺诈纠纷诉讼，同时 申请中止支付</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的履约保函、</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反担保函项下款项，并得到法院裁定的支持;另一方面，在 哥斯达黎加，应丙申请，当地法院下达临时保护措施禁令，裁定</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暂停执行</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银行的履约保 函;但于次月判决丙申请预防性措施败诉,解除了临时保护措施禁令。于是,</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向甲支付了 履约保函项下款项。此外，丙曾以甲为被申请人提交仲裁请求判定甲拖欠工程款及相应利 息，终止合同并裁决甲赔偿损失,并得到了仲裁裁决的支持。</w:t>
      </w:r>
    </w:p>
    <w:p w14:paraId="69AB0B6D">
      <w:pPr>
        <w:pStyle w:val="17"/>
        <w:keepNext w:val="0"/>
        <w:keepLines w:val="0"/>
        <w:widowControl w:val="0"/>
        <w:shd w:val="clear" w:color="auto" w:fill="auto"/>
        <w:bidi w:val="0"/>
        <w:spacing w:before="0" w:after="200" w:line="358" w:lineRule="exact"/>
        <w:ind w:left="0" w:right="0" w:firstLine="420"/>
        <w:jc w:val="both"/>
        <w:sectPr>
          <w:footnotePr>
            <w:numFmt w:val="chicago"/>
          </w:footnotePr>
          <w:type w:val="continuous"/>
          <w:pgSz w:w="10099" w:h="14782"/>
          <w:pgMar w:top="1324" w:right="994" w:bottom="1105" w:left="1109" w:header="896" w:footer="677" w:gutter="0"/>
          <w:cols w:space="720" w:num="1"/>
          <w:rtlGutter w:val="0"/>
          <w:docGrid w:linePitch="360" w:charSpace="0"/>
        </w:sectPr>
      </w:pPr>
      <w:r>
        <w:rPr>
          <w:color w:val="000000"/>
          <w:spacing w:val="0"/>
          <w:w w:val="100"/>
          <w:position w:val="0"/>
        </w:rPr>
        <w:t>本案，乙诉至合肥市中级人民法院请求判定被告甲构成索付欺诈，银行</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和</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为本案 第三人。</w:t>
      </w:r>
    </w:p>
    <w:p w14:paraId="5EA001CE">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25C14CB1">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撤销一审、二审民事判决。</w:t>
      </w:r>
    </w:p>
    <w:p w14:paraId="17253F95">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本案一审、二审民事判决均认定:甲索付构成欺诈,</w:t>
      </w: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应当止付反担保保函。甲不服二 审判决，向最高人民法院申请再审。最高人民法院作出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最高法民再</w:t>
      </w:r>
      <w:r>
        <w:rPr>
          <w:rFonts w:ascii="Times New Roman" w:hAnsi="Times New Roman" w:eastAsia="Times New Roman" w:cs="Times New Roman"/>
          <w:color w:val="000000"/>
          <w:spacing w:val="0"/>
          <w:w w:val="100"/>
          <w:position w:val="0"/>
          <w:sz w:val="19"/>
          <w:szCs w:val="19"/>
        </w:rPr>
        <w:t>134</w:t>
      </w:r>
      <w:r>
        <w:rPr>
          <w:color w:val="000000"/>
          <w:spacing w:val="0"/>
          <w:w w:val="100"/>
          <w:position w:val="0"/>
        </w:rPr>
        <w:t>号民事判 决:撤销一审、二审民事判决，驳回乙方的诉讼请求。</w:t>
      </w:r>
    </w:p>
    <w:p w14:paraId="602E01E7">
      <w:pPr>
        <w:pStyle w:val="17"/>
        <w:keepNext w:val="0"/>
        <w:keepLines w:val="0"/>
        <w:widowControl w:val="0"/>
        <w:shd w:val="clear" w:color="auto" w:fill="auto"/>
        <w:bidi w:val="0"/>
        <w:spacing w:before="0" w:after="360" w:line="343" w:lineRule="exact"/>
        <w:ind w:left="0" w:right="0"/>
        <w:jc w:val="both"/>
      </w:pPr>
      <w:r>
        <w:rPr>
          <w:color w:val="000000"/>
          <w:spacing w:val="0"/>
          <w:w w:val="100"/>
          <w:position w:val="0"/>
        </w:rPr>
        <w:t>指导案例第</w:t>
      </w:r>
      <w:r>
        <w:rPr>
          <w:rFonts w:ascii="Times New Roman" w:hAnsi="Times New Roman" w:eastAsia="Times New Roman" w:cs="Times New Roman"/>
          <w:color w:val="000000"/>
          <w:spacing w:val="0"/>
          <w:w w:val="100"/>
          <w:position w:val="0"/>
          <w:sz w:val="19"/>
          <w:szCs w:val="19"/>
        </w:rPr>
        <w:t>109</w:t>
      </w:r>
      <w:r>
        <w:rPr>
          <w:color w:val="000000"/>
          <w:spacing w:val="0"/>
          <w:w w:val="100"/>
          <w:position w:val="0"/>
        </w:rPr>
        <w:t>号列明三项裁判要点，集中在独立保函欺诈的认定方面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认定构成 独立保函欺诈在对基础交易进行审查时，应坚持有限及必要原则，审查范围应限于受益人 是否明知基础合同的相对人并不存在基础合同项下的违约事实，以及是否存在受益人明知 自己没有付款请求权的事实;</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受益人在基础合同项下的违约情形，并不影响其按照独立 保函的规定提交单据并进行索款的权利；</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认定独立反担保函项下是否存在欺诈时，即使 独立保函存在欺诈情形，独立保函项下已经善意付款的，人民法院亦不得裁定止付独立反 担保函项下的款项。</w:t>
      </w:r>
    </w:p>
    <w:p w14:paraId="710AA03F">
      <w:pPr>
        <w:pStyle w:val="11"/>
        <w:keepNext w:val="0"/>
        <w:keepLines w:val="0"/>
        <w:widowControl w:val="0"/>
        <w:shd w:val="clear" w:color="auto" w:fill="auto"/>
        <w:bidi w:val="0"/>
        <w:spacing w:before="0" w:after="120" w:line="341" w:lineRule="exact"/>
        <w:ind w:left="0" w:right="0" w:firstLine="0"/>
        <w:jc w:val="left"/>
      </w:pPr>
      <w:r>
        <w:rPr>
          <w:color w:val="000000"/>
          <w:spacing w:val="0"/>
          <w:w w:val="100"/>
          <w:position w:val="0"/>
        </w:rPr>
        <w:t>■评析</w:t>
      </w:r>
    </w:p>
    <w:p w14:paraId="41C2226A">
      <w:pPr>
        <w:pStyle w:val="17"/>
        <w:keepNext w:val="0"/>
        <w:keepLines w:val="0"/>
        <w:widowControl w:val="0"/>
        <w:shd w:val="clear" w:color="auto" w:fill="auto"/>
        <w:bidi w:val="0"/>
        <w:spacing w:before="0" w:after="8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773E7F1E">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本案被告甲的经常居住地在中国域外，本案系涉外案件，民事法律关系的定性适用法 院地法。法院需要依据中国法律对法律关系进行识别,认定为独立保函欺诈纠纷。</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 xml:space="preserve">日生效的最高人民法院《关于审理独立保函纠纷案件若干问题的规定》［法释 </w:t>
      </w:r>
      <w:r>
        <w:rPr>
          <w:rFonts w:ascii="Times New Roman" w:hAnsi="Times New Roman" w:eastAsia="Times New Roman" w:cs="Times New Roman"/>
          <w:color w:val="000000"/>
          <w:spacing w:val="0"/>
          <w:w w:val="100"/>
          <w:position w:val="0"/>
          <w:sz w:val="19"/>
          <w:szCs w:val="19"/>
        </w:rPr>
        <w:t>（2016）24</w:t>
      </w:r>
      <w:r>
        <w:rPr>
          <w:color w:val="000000"/>
          <w:spacing w:val="0"/>
          <w:w w:val="100"/>
          <w:position w:val="0"/>
        </w:rPr>
        <w:t>号］（以下简称《独立保函司法解释》）成为中国法上的依据。在案件管辖上，一审 法院依据侵权行为地行使管辖权。对审理的依据，虽然当事人约定适用《见索即付保函统 一规则》，但是该规则并没有直接规范保函欺诈的认定,也需要适用中国法。法院依据侵权 行为地判定管辖权，这一点值得特别注意。</w:t>
      </w:r>
    </w:p>
    <w:p w14:paraId="4D165564">
      <w:pPr>
        <w:pStyle w:val="17"/>
        <w:keepNext w:val="0"/>
        <w:keepLines w:val="0"/>
        <w:widowControl w:val="0"/>
        <w:shd w:val="clear" w:color="auto" w:fill="auto"/>
        <w:bidi w:val="0"/>
        <w:spacing w:before="0" w:after="180" w:line="341" w:lineRule="exact"/>
        <w:ind w:left="0" w:right="0"/>
        <w:jc w:val="both"/>
      </w:pPr>
      <w:r>
        <w:rPr>
          <w:color w:val="000000"/>
          <w:spacing w:val="0"/>
          <w:w w:val="100"/>
          <w:position w:val="0"/>
        </w:rPr>
        <w:t>判决涉及了独立保函索付欺诈认定中的几种具体情况,具有参考意义:保函欺诈的认 定与证明标准，尤其对基础交易考察的程度;保函欺诈的含义是否与一般民事领域中的欺 诈含义等同;受益人基础交易中存在违约行为是否当然构成索付欺诈;保函索付欺诈可否 当然推定反担保索付也构成欺诈。</w:t>
      </w:r>
    </w:p>
    <w:p w14:paraId="31A596D2">
      <w:pPr>
        <w:pStyle w:val="17"/>
        <w:keepNext w:val="0"/>
        <w:keepLines w:val="0"/>
        <w:widowControl w:val="0"/>
        <w:shd w:val="clear" w:color="auto" w:fill="auto"/>
        <w:bidi w:val="0"/>
        <w:spacing w:before="0" w:after="260" w:line="341"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独立保函欺诈认定的规范及学理</w:t>
      </w:r>
    </w:p>
    <w:p w14:paraId="0A93B3B3">
      <w:pPr>
        <w:pStyle w:val="17"/>
        <w:keepNext w:val="0"/>
        <w:keepLines w:val="0"/>
        <w:widowControl w:val="0"/>
        <w:numPr>
          <w:ilvl w:val="0"/>
          <w:numId w:val="31"/>
        </w:numPr>
        <w:shd w:val="clear" w:color="auto" w:fill="auto"/>
        <w:bidi w:val="0"/>
        <w:spacing w:before="0" w:after="0" w:line="240" w:lineRule="auto"/>
        <w:ind w:left="0" w:right="0"/>
        <w:jc w:val="both"/>
      </w:pPr>
      <w:bookmarkStart w:id="142" w:name="bookmark502"/>
      <w:bookmarkEnd w:id="142"/>
      <w:r>
        <w:rPr>
          <w:color w:val="000000"/>
          <w:spacing w:val="0"/>
          <w:w w:val="100"/>
          <w:position w:val="0"/>
        </w:rPr>
        <w:t>独立保函欺诈认定的法律依据</w:t>
      </w:r>
    </w:p>
    <w:p w14:paraId="0535F877">
      <w:pPr>
        <w:pStyle w:val="17"/>
        <w:keepNext w:val="0"/>
        <w:keepLines w:val="0"/>
        <w:widowControl w:val="0"/>
        <w:shd w:val="clear" w:color="auto" w:fill="auto"/>
        <w:bidi w:val="0"/>
        <w:spacing w:before="0" w:after="0" w:line="386" w:lineRule="exact"/>
        <w:ind w:left="0" w:right="0"/>
        <w:jc w:val="both"/>
      </w:pPr>
      <w:r>
        <w:rPr>
          <w:color w:val="000000"/>
          <w:spacing w:val="0"/>
          <w:w w:val="100"/>
          <w:position w:val="0"/>
        </w:rPr>
        <w:t>从一审到再审，法院处理本案最为主要的实体规范是《独立保函司法解释》，凸显了该 解释的重要意义：</w:t>
      </w:r>
    </w:p>
    <w:p w14:paraId="691A7088">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 xml:space="preserve">第一，本案中，虽然反担保函指明适用国际惯例《见索即付保函统一规则》 </w:t>
      </w:r>
      <w:r>
        <w:rPr>
          <w:rFonts w:ascii="Times New Roman" w:hAnsi="Times New Roman" w:eastAsia="Times New Roman" w:cs="Times New Roman"/>
          <w:color w:val="000000"/>
          <w:spacing w:val="0"/>
          <w:w w:val="100"/>
          <w:position w:val="0"/>
          <w:sz w:val="19"/>
          <w:szCs w:val="19"/>
          <w:lang w:val="en-US" w:eastAsia="en-US" w:bidi="en-US"/>
        </w:rPr>
        <w:t>（URDG458）,</w:t>
      </w:r>
      <w:r>
        <w:rPr>
          <w:color w:val="000000"/>
          <w:spacing w:val="0"/>
          <w:w w:val="100"/>
          <w:position w:val="0"/>
        </w:rPr>
        <w:t>即当事人选择适用国际惯例作为准据法,但是对欺诈索付的认定这类极为关 键的事项,《见索即付保函统一规贝!</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》的新旧版本（</w:t>
      </w:r>
      <w:r>
        <w:rPr>
          <w:rFonts w:ascii="Times New Roman" w:hAnsi="Times New Roman" w:eastAsia="Times New Roman" w:cs="Times New Roman"/>
          <w:color w:val="000000"/>
          <w:spacing w:val="0"/>
          <w:w w:val="100"/>
          <w:position w:val="0"/>
          <w:sz w:val="19"/>
          <w:szCs w:val="19"/>
          <w:lang w:val="en-US" w:eastAsia="en-US" w:bidi="en-US"/>
        </w:rPr>
        <w:t>URDG758.URDG458）</w:t>
      </w:r>
      <w:r>
        <w:rPr>
          <w:color w:val="000000"/>
          <w:spacing w:val="0"/>
          <w:w w:val="100"/>
          <w:position w:val="0"/>
        </w:rPr>
        <w:t>均将其留给各国国 内法去解决。本案很好地证明了该解释的重要意义:它构筑了独立担保的中国规则;在此 领域仅依靠被广泛采用的国际惯例和条约远不能解决全部问题。</w:t>
      </w:r>
    </w:p>
    <w:p w14:paraId="2414A434">
      <w:pPr>
        <w:pStyle w:val="17"/>
        <w:keepNext w:val="0"/>
        <w:keepLines w:val="0"/>
        <w:widowControl w:val="0"/>
        <w:shd w:val="clear" w:color="auto" w:fill="auto"/>
        <w:bidi w:val="0"/>
        <w:spacing w:before="0" w:after="120" w:line="341" w:lineRule="exact"/>
        <w:ind w:left="0" w:right="0"/>
        <w:jc w:val="both"/>
      </w:pPr>
      <w:r>
        <w:rPr>
          <w:color w:val="000000"/>
          <w:spacing w:val="0"/>
          <w:w w:val="100"/>
          <w:position w:val="0"/>
        </w:rPr>
        <w:t>第二，法院将案件识别为保函欺诈纠纷的前提是将保函识别为独立保函，其所依据的 也是《独立保函司法解释》,其详细地给出了独立保函的认定标准:独立担保人不享有基础 交易项下的抗辩;独立担保人的义务是支付一定的金额，且应完全独立于基础交易中的主 债务（第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条）。这两个要件深刻体现和决定了独立担保的</w:t>
      </w:r>
      <w:r>
        <w:rPr>
          <w:color w:val="000000"/>
          <w:spacing w:val="0"/>
          <w:w w:val="100"/>
          <w:position w:val="0"/>
          <w:lang w:val="zh-CN" w:eastAsia="zh-CN" w:bidi="zh-CN"/>
        </w:rPr>
        <w:t>“高</w:t>
      </w:r>
      <w:r>
        <w:rPr>
          <w:color w:val="000000"/>
          <w:spacing w:val="0"/>
          <w:w w:val="100"/>
          <w:position w:val="0"/>
        </w:rPr>
        <w:t>度独立性”。</w:t>
      </w:r>
    </w:p>
    <w:p w14:paraId="07F2E8DC">
      <w:pPr>
        <w:pStyle w:val="17"/>
        <w:keepNext w:val="0"/>
        <w:keepLines w:val="0"/>
        <w:widowControl w:val="0"/>
        <w:numPr>
          <w:ilvl w:val="0"/>
          <w:numId w:val="31"/>
        </w:numPr>
        <w:shd w:val="clear" w:color="auto" w:fill="auto"/>
        <w:tabs>
          <w:tab w:val="left" w:pos="682"/>
        </w:tabs>
        <w:bidi w:val="0"/>
        <w:spacing w:before="0" w:after="0" w:line="374" w:lineRule="auto"/>
        <w:ind w:left="0" w:right="0"/>
        <w:jc w:val="both"/>
      </w:pPr>
      <w:bookmarkStart w:id="143" w:name="bookmark503"/>
      <w:bookmarkEnd w:id="143"/>
      <w:r>
        <w:rPr>
          <w:color w:val="000000"/>
          <w:spacing w:val="0"/>
          <w:w w:val="100"/>
          <w:position w:val="0"/>
        </w:rPr>
        <w:t>保函欺诈的认定与基础交易的考察原则</w:t>
      </w:r>
    </w:p>
    <w:p w14:paraId="262CE9FA">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在判定独立保函索付是否构成欺诈时，当事人常通过基础交易关系进行证明。本案最 高法院从以下三个方面给出了明确的意见：</w:t>
      </w:r>
    </w:p>
    <w:p w14:paraId="48836B90">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第一,关于基础交易的审查的原则，该案中,最高人民法院比较准确地把握了独立保函 的独立性,其裁判理由指出:在审理独立保函及与独立保函相关的反担保案件时</w:t>
      </w:r>
      <w:r>
        <w:rPr>
          <w:color w:val="000000"/>
          <w:spacing w:val="0"/>
          <w:w w:val="100"/>
          <w:position w:val="0"/>
          <w:lang w:val="zh-CN" w:eastAsia="zh-CN" w:bidi="zh-CN"/>
        </w:rPr>
        <w:t>，“应</w:t>
      </w:r>
      <w:r>
        <w:rPr>
          <w:color w:val="000000"/>
          <w:spacing w:val="0"/>
          <w:w w:val="100"/>
          <w:position w:val="0"/>
        </w:rPr>
        <w:t>当坚 持有限原则和必要原则</w:t>
      </w:r>
      <w:r>
        <w:rPr>
          <w:color w:val="000000"/>
          <w:spacing w:val="0"/>
          <w:w w:val="100"/>
          <w:position w:val="0"/>
          <w:lang w:val="zh-CN" w:eastAsia="zh-CN" w:bidi="zh-CN"/>
        </w:rPr>
        <w:t>”，审</w:t>
      </w:r>
      <w:r>
        <w:rPr>
          <w:color w:val="000000"/>
          <w:spacing w:val="0"/>
          <w:w w:val="100"/>
          <w:position w:val="0"/>
        </w:rPr>
        <w:t>查的范围应当限于受益人</w:t>
      </w:r>
      <w:r>
        <w:rPr>
          <w:color w:val="000000"/>
          <w:spacing w:val="0"/>
          <w:w w:val="100"/>
          <w:position w:val="0"/>
          <w:lang w:val="zh-CN" w:eastAsia="zh-CN" w:bidi="zh-CN"/>
        </w:rPr>
        <w:t>“是</w:t>
      </w:r>
      <w:r>
        <w:rPr>
          <w:color w:val="000000"/>
          <w:spacing w:val="0"/>
          <w:w w:val="100"/>
          <w:position w:val="0"/>
        </w:rPr>
        <w:t>否明知</w:t>
      </w:r>
      <w:r>
        <w:rPr>
          <w:color w:val="000000"/>
          <w:spacing w:val="0"/>
          <w:w w:val="100"/>
          <w:position w:val="0"/>
          <w:lang w:val="zh-CN" w:eastAsia="zh-CN" w:bidi="zh-CN"/>
        </w:rPr>
        <w:t>”“基</w:t>
      </w:r>
      <w:r>
        <w:rPr>
          <w:color w:val="000000"/>
          <w:spacing w:val="0"/>
          <w:w w:val="100"/>
          <w:position w:val="0"/>
        </w:rPr>
        <w:t>础合同的相对人并不 存在基础合同项下的违约事实或者不存在其他导致独立保函付款的事实”。</w:t>
      </w:r>
      <w:r>
        <w:rPr>
          <w:color w:val="000000"/>
          <w:spacing w:val="0"/>
          <w:w w:val="100"/>
          <w:position w:val="0"/>
          <w:lang w:val="zh-CN" w:eastAsia="zh-CN" w:bidi="zh-CN"/>
        </w:rPr>
        <w:t>“否则</w:t>
      </w:r>
      <w:r>
        <w:rPr>
          <w:color w:val="000000"/>
          <w:spacing w:val="0"/>
          <w:w w:val="100"/>
          <w:position w:val="0"/>
        </w:rPr>
        <w:t>，对基础 合同的审查将会动摇独立保函’见索即付’的制度价值”。此段表述值得肯定。</w:t>
      </w:r>
    </w:p>
    <w:p w14:paraId="5118DD9F">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第二，最高人民法院认为，受益人基础交易中存在违约行为的不当然构成索付欺诈。 基于独立担保的独立性，受益人基础交易中存在违约行为并不能被当然认定为索付欺诈或 权利滥用。即使受益人因拖欠工程款而被仲裁机构判定为严重违约，也不能因此而否定受 益人依据独立保函在满足索付条件的情况下行使担保权利。</w:t>
      </w:r>
    </w:p>
    <w:p w14:paraId="408772D0">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第三，最高人民法院认为，保函索付欺诈不当然推定反担保索付也构成欺诈。同样是 基于独立性，反担保函受益人的恶意索付,应当区别于保函受益人的恶意索付，不能当然地 从后者直接推定出前者的存在。</w:t>
      </w:r>
      <w:r>
        <w:rPr>
          <w:color w:val="000000"/>
          <w:spacing w:val="0"/>
          <w:w w:val="100"/>
          <w:position w:val="0"/>
          <w:lang w:val="zh-CN" w:eastAsia="zh-CN" w:bidi="zh-CN"/>
        </w:rPr>
        <w:t>“只</w:t>
      </w:r>
      <w:r>
        <w:rPr>
          <w:color w:val="000000"/>
          <w:spacing w:val="0"/>
          <w:w w:val="100"/>
          <w:position w:val="0"/>
        </w:rPr>
        <w:t>有担保行明知受益人系欺诈性索款且违反诚实信用原 则付款，并向反担保行主张独立反担保函项下款项时,才能认定担保行构成独立反担保函 项下的欺诈性索款。”</w:t>
      </w:r>
    </w:p>
    <w:p w14:paraId="355E9F9A">
      <w:pPr>
        <w:pStyle w:val="17"/>
        <w:keepNext w:val="0"/>
        <w:keepLines w:val="0"/>
        <w:widowControl w:val="0"/>
        <w:shd w:val="clear" w:color="auto" w:fill="auto"/>
        <w:bidi w:val="0"/>
        <w:spacing w:before="0" w:after="120" w:line="341" w:lineRule="exact"/>
        <w:ind w:left="0" w:right="0"/>
        <w:jc w:val="both"/>
      </w:pPr>
      <w:r>
        <w:rPr>
          <w:color w:val="000000"/>
          <w:spacing w:val="0"/>
          <w:w w:val="100"/>
          <w:position w:val="0"/>
        </w:rPr>
        <w:t>综上所述,因具有独立性,独立担保原则上排除担保人以基础交易关系对抗受益人（主 债权人）。担保人最为核心的风险控制机制是对受益人“恶意索付</w:t>
      </w:r>
      <w:r>
        <w:rPr>
          <w:color w:val="000000"/>
          <w:spacing w:val="0"/>
          <w:w w:val="100"/>
          <w:position w:val="0"/>
          <w:lang w:val="zh-CN" w:eastAsia="zh-CN" w:bidi="zh-CN"/>
        </w:rPr>
        <w:t>”进行</w:t>
      </w:r>
      <w:r>
        <w:rPr>
          <w:color w:val="000000"/>
          <w:spacing w:val="0"/>
          <w:w w:val="100"/>
          <w:position w:val="0"/>
        </w:rPr>
        <w:t>抗辩。依据《独立 保函司法解释》，如果受益人索付被认定为</w:t>
      </w:r>
      <w:r>
        <w:rPr>
          <w:color w:val="000000"/>
          <w:spacing w:val="0"/>
          <w:w w:val="100"/>
          <w:position w:val="0"/>
          <w:lang w:val="zh-CN" w:eastAsia="zh-CN" w:bidi="zh-CN"/>
        </w:rPr>
        <w:t>“欺诈”或者“滥用</w:t>
      </w:r>
      <w:r>
        <w:rPr>
          <w:color w:val="000000"/>
          <w:spacing w:val="0"/>
          <w:w w:val="100"/>
          <w:position w:val="0"/>
        </w:rPr>
        <w:t>”权利便构成中国法下独立担 保的</w:t>
      </w:r>
      <w:r>
        <w:rPr>
          <w:color w:val="000000"/>
          <w:spacing w:val="0"/>
          <w:w w:val="100"/>
          <w:position w:val="0"/>
          <w:lang w:val="zh-CN" w:eastAsia="zh-CN" w:bidi="zh-CN"/>
        </w:rPr>
        <w:t>“恶</w:t>
      </w:r>
      <w:r>
        <w:rPr>
          <w:color w:val="000000"/>
          <w:spacing w:val="0"/>
          <w:w w:val="100"/>
          <w:position w:val="0"/>
        </w:rPr>
        <w:t>意索付</w:t>
      </w:r>
      <w:r>
        <w:rPr>
          <w:color w:val="000000"/>
          <w:spacing w:val="0"/>
          <w:w w:val="100"/>
          <w:position w:val="0"/>
          <w:lang w:val="zh-CN" w:eastAsia="zh-CN" w:bidi="zh-CN"/>
        </w:rPr>
        <w:t>”，允</w:t>
      </w:r>
      <w:r>
        <w:rPr>
          <w:color w:val="000000"/>
          <w:spacing w:val="0"/>
          <w:w w:val="100"/>
          <w:position w:val="0"/>
        </w:rPr>
        <w:t>许担保人止付（第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条）。笔者认为，中国法从类型化和证据力 两个方面确立了对恶意索付进行抗辩的判断标准:“明显的</w:t>
      </w:r>
      <w:r>
        <w:rPr>
          <w:color w:val="000000"/>
          <w:spacing w:val="0"/>
          <w:w w:val="100"/>
          <w:position w:val="0"/>
          <w:lang w:val="zh-CN" w:eastAsia="zh-CN" w:bidi="zh-CN"/>
        </w:rPr>
        <w:t>”“欺</w:t>
      </w:r>
      <w:r>
        <w:rPr>
          <w:color w:val="000000"/>
          <w:spacing w:val="0"/>
          <w:w w:val="100"/>
          <w:position w:val="0"/>
        </w:rPr>
        <w:t>诈或滥用”。</w:t>
      </w:r>
    </w:p>
    <w:p w14:paraId="3B264F71">
      <w:pPr>
        <w:pStyle w:val="17"/>
        <w:keepNext w:val="0"/>
        <w:keepLines w:val="0"/>
        <w:widowControl w:val="0"/>
        <w:numPr>
          <w:ilvl w:val="0"/>
          <w:numId w:val="31"/>
        </w:numPr>
        <w:shd w:val="clear" w:color="auto" w:fill="auto"/>
        <w:tabs>
          <w:tab w:val="left" w:pos="682"/>
        </w:tabs>
        <w:bidi w:val="0"/>
        <w:spacing w:before="0" w:after="0" w:line="374" w:lineRule="auto"/>
        <w:ind w:left="0" w:right="0"/>
        <w:jc w:val="both"/>
      </w:pPr>
      <w:bookmarkStart w:id="144" w:name="bookmark504"/>
      <w:bookmarkEnd w:id="144"/>
      <w:r>
        <w:rPr>
          <w:color w:val="000000"/>
          <w:spacing w:val="0"/>
          <w:w w:val="100"/>
          <w:position w:val="0"/>
        </w:rPr>
        <w:t>保函</w:t>
      </w:r>
      <w:r>
        <w:rPr>
          <w:color w:val="000000"/>
          <w:spacing w:val="0"/>
          <w:w w:val="100"/>
          <w:position w:val="0"/>
          <w:lang w:val="zh-CN" w:eastAsia="zh-CN" w:bidi="zh-CN"/>
        </w:rPr>
        <w:t>“欺诈”含</w:t>
      </w:r>
      <w:r>
        <w:rPr>
          <w:color w:val="000000"/>
          <w:spacing w:val="0"/>
          <w:w w:val="100"/>
          <w:position w:val="0"/>
        </w:rPr>
        <w:t>义的特殊性</w:t>
      </w:r>
    </w:p>
    <w:p w14:paraId="5A83CF3D">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笔者认为,就独立保函索付中的</w:t>
      </w:r>
      <w:r>
        <w:rPr>
          <w:color w:val="000000"/>
          <w:spacing w:val="0"/>
          <w:w w:val="100"/>
          <w:position w:val="0"/>
          <w:lang w:val="zh-CN" w:eastAsia="zh-CN" w:bidi="zh-CN"/>
        </w:rPr>
        <w:t>“欺诈”宜区</w:t>
      </w:r>
      <w:r>
        <w:rPr>
          <w:color w:val="000000"/>
          <w:spacing w:val="0"/>
          <w:w w:val="100"/>
          <w:position w:val="0"/>
        </w:rPr>
        <w:t>别于民法一般意义上的欺诈，其是一个逐 渐被修正、被扩大的概念;与此相适应的是,恶意索付抗辩事由从</w:t>
      </w:r>
      <w:r>
        <w:rPr>
          <w:color w:val="000000"/>
          <w:spacing w:val="0"/>
          <w:w w:val="100"/>
          <w:position w:val="0"/>
          <w:lang w:val="zh-CN" w:eastAsia="zh-CN" w:bidi="zh-CN"/>
        </w:rPr>
        <w:t>“欺诈”扩充</w:t>
      </w:r>
      <w:r>
        <w:rPr>
          <w:color w:val="000000"/>
          <w:spacing w:val="0"/>
          <w:w w:val="100"/>
          <w:position w:val="0"/>
        </w:rPr>
        <w:t>至“欺诈或滥 用</w:t>
      </w:r>
      <w:r>
        <w:rPr>
          <w:color w:val="000000"/>
          <w:spacing w:val="0"/>
          <w:w w:val="100"/>
          <w:position w:val="0"/>
          <w:lang w:val="zh-CN" w:eastAsia="zh-CN" w:bidi="zh-CN"/>
        </w:rPr>
        <w:t>”更为</w:t>
      </w:r>
      <w:r>
        <w:rPr>
          <w:color w:val="000000"/>
          <w:spacing w:val="0"/>
          <w:w w:val="100"/>
          <w:position w:val="0"/>
        </w:rPr>
        <w:t>合适。</w:t>
      </w:r>
    </w:p>
    <w:p w14:paraId="20B07319">
      <w:pPr>
        <w:pStyle w:val="17"/>
        <w:keepNext w:val="0"/>
        <w:keepLines w:val="0"/>
        <w:widowControl w:val="0"/>
        <w:shd w:val="clear" w:color="auto" w:fill="auto"/>
        <w:bidi w:val="0"/>
        <w:spacing w:before="0" w:after="120" w:line="341" w:lineRule="exact"/>
        <w:ind w:left="0" w:right="0"/>
        <w:jc w:val="both"/>
      </w:pPr>
      <w:r>
        <w:rPr>
          <w:color w:val="000000"/>
          <w:spacing w:val="0"/>
          <w:w w:val="100"/>
          <w:position w:val="0"/>
        </w:rPr>
        <w:t>欺诈与权利滥用是法律制度中常见的两个概念。在独立担保索付的过程中，从理论上 讲，它们是可以相互区别的概念。权利滥用是指，依据基础交易关系，独立担保的债权人在 本不再需要行使担保权利的情况下，强行索付、损害他人利益，违反了权利的目的——担保 主债务;而欺诈是指独立担保人在不具备行使担保权利条件的情况下,釆取欺诈手段,制造 自己具备行使担保权利的假象，进行索付。</w:t>
      </w:r>
    </w:p>
    <w:p w14:paraId="6E31A1AC">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尽管如此，我们发现，当涉及独立担保索付抗辩事由时,欺诈与滥用可一并使用。原因 主要如下：</w:t>
      </w:r>
    </w:p>
    <w:p w14:paraId="40EA82EA">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第一，在独立担保领域，二者有共通之处。主债权人以欺诈手段实现尚不具有行使条 件的权利,有违权利行使的目的，被认为是权利滥用也并非不可，而权利滥用在某些情况下 也可以被认为是欺诈。主债权人明知依据基础交易其本不应行使权利，却告知担保人其享 有权利且要行使之，这也可以被认为是一种“欺诈”。其实,这二者的共通之处是具有相同 的</w:t>
      </w:r>
      <w:r>
        <w:rPr>
          <w:color w:val="000000"/>
          <w:spacing w:val="0"/>
          <w:w w:val="100"/>
          <w:position w:val="0"/>
          <w:lang w:val="zh-CN" w:eastAsia="zh-CN" w:bidi="zh-CN"/>
        </w:rPr>
        <w:t>“恶意”，即</w:t>
      </w:r>
      <w:r>
        <w:rPr>
          <w:color w:val="000000"/>
          <w:spacing w:val="0"/>
          <w:w w:val="100"/>
          <w:position w:val="0"/>
        </w:rPr>
        <w:t>知道或应当知道索付会对他人造成损害,却仍然行使。</w:t>
      </w:r>
    </w:p>
    <w:p w14:paraId="55CCED6E">
      <w:pPr>
        <w:pStyle w:val="17"/>
        <w:keepNext w:val="0"/>
        <w:keepLines w:val="0"/>
        <w:widowControl w:val="0"/>
        <w:shd w:val="clear" w:color="auto" w:fill="auto"/>
        <w:bidi w:val="0"/>
        <w:spacing w:before="0" w:after="0" w:line="341" w:lineRule="exact"/>
        <w:ind w:left="0" w:right="0" w:firstLine="420"/>
        <w:jc w:val="both"/>
        <w:rPr>
          <w:sz w:val="11"/>
          <w:szCs w:val="11"/>
        </w:rPr>
      </w:pPr>
      <w:r>
        <w:rPr>
          <w:color w:val="000000"/>
          <w:spacing w:val="0"/>
          <w:w w:val="100"/>
          <w:position w:val="0"/>
          <w:sz w:val="18"/>
          <w:szCs w:val="18"/>
        </w:rPr>
        <w:t>第二，就止付的法律效果而言，并不因手段上或动机上的差异而有不同的制裁方式。 虽然在理论上</w:t>
      </w:r>
      <w:r>
        <w:rPr>
          <w:color w:val="000000"/>
          <w:spacing w:val="0"/>
          <w:w w:val="100"/>
          <w:position w:val="0"/>
          <w:sz w:val="18"/>
          <w:szCs w:val="18"/>
          <w:lang w:val="zh-CN" w:eastAsia="zh-CN" w:bidi="zh-CN"/>
        </w:rPr>
        <w:t>“欺</w:t>
      </w:r>
      <w:r>
        <w:rPr>
          <w:color w:val="000000"/>
          <w:spacing w:val="0"/>
          <w:w w:val="100"/>
          <w:position w:val="0"/>
          <w:sz w:val="18"/>
          <w:szCs w:val="18"/>
        </w:rPr>
        <w:t>诈强调受益人的主观恶意，而滥用权利则更强调客观的欺诈行为</w:t>
      </w:r>
      <w:r>
        <w:rPr>
          <w:color w:val="000000"/>
          <w:spacing w:val="0"/>
          <w:w w:val="100"/>
          <w:position w:val="0"/>
          <w:sz w:val="18"/>
          <w:szCs w:val="18"/>
          <w:lang w:val="zh-CN" w:eastAsia="zh-CN" w:bidi="zh-CN"/>
        </w:rPr>
        <w:t xml:space="preserve">”，但“就 </w:t>
      </w:r>
      <w:r>
        <w:rPr>
          <w:color w:val="000000"/>
          <w:spacing w:val="0"/>
          <w:w w:val="100"/>
          <w:position w:val="0"/>
          <w:sz w:val="18"/>
          <w:szCs w:val="18"/>
        </w:rPr>
        <w:t>抗辩或止付层面而言,区别欺诈与权利滥用确实并无太多实益</w:t>
      </w:r>
      <w:r>
        <w:rPr>
          <w:color w:val="000000"/>
          <w:spacing w:val="0"/>
          <w:w w:val="100"/>
          <w:position w:val="0"/>
          <w:sz w:val="11"/>
          <w:szCs w:val="11"/>
          <w:lang w:val="zh-CN" w:eastAsia="zh-CN" w:bidi="zh-CN"/>
        </w:rPr>
        <w:t>”（刘</w:t>
      </w:r>
      <w:r>
        <w:rPr>
          <w:color w:val="000000"/>
          <w:spacing w:val="0"/>
          <w:w w:val="100"/>
          <w:position w:val="0"/>
          <w:sz w:val="11"/>
          <w:szCs w:val="11"/>
        </w:rPr>
        <w:t>贵祥:《独立保函纠纷法律 适用刍议》，载《人民法院报》</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rPr>
        <w:t>25</w:t>
      </w:r>
      <w:r>
        <w:rPr>
          <w:color w:val="000000"/>
          <w:spacing w:val="0"/>
          <w:w w:val="100"/>
          <w:position w:val="0"/>
          <w:sz w:val="11"/>
          <w:szCs w:val="11"/>
        </w:rPr>
        <w:t>日）。</w:t>
      </w:r>
    </w:p>
    <w:p w14:paraId="48345C6D">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此外，在实践中,要求独立担保人去查实当事人的主观动机（如是否真有欺诈的主观故 意等）几乎是不可能的，而通过客观现象推定索付具有</w:t>
      </w:r>
      <w:r>
        <w:rPr>
          <w:color w:val="000000"/>
          <w:spacing w:val="0"/>
          <w:w w:val="100"/>
          <w:position w:val="0"/>
          <w:lang w:val="zh-CN" w:eastAsia="zh-CN" w:bidi="zh-CN"/>
        </w:rPr>
        <w:t>“恶意”则</w:t>
      </w:r>
      <w:r>
        <w:rPr>
          <w:color w:val="000000"/>
          <w:spacing w:val="0"/>
          <w:w w:val="100"/>
          <w:position w:val="0"/>
        </w:rPr>
        <w:t>是可行的。因此，恶意应指 受益人知道自己行使权利会损害担保人或主债务人的利益;更为客观的判断标准是受益人 知道自己没有权利。至于是采取欺诈手段，还是忽略权利行使目的而强行索付,已不重要。</w:t>
      </w:r>
    </w:p>
    <w:p w14:paraId="4B60B01F">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综上所述，区分欺诈和权利滥用的意义有限,其法律效果一致，具有共通性，即</w:t>
      </w:r>
      <w:r>
        <w:rPr>
          <w:color w:val="000000"/>
          <w:spacing w:val="0"/>
          <w:w w:val="100"/>
          <w:position w:val="0"/>
          <w:lang w:val="zh-CN" w:eastAsia="zh-CN" w:bidi="zh-CN"/>
        </w:rPr>
        <w:t xml:space="preserve">“恶意”： </w:t>
      </w:r>
      <w:r>
        <w:rPr>
          <w:color w:val="000000"/>
          <w:spacing w:val="0"/>
          <w:w w:val="100"/>
          <w:position w:val="0"/>
        </w:rPr>
        <w:t>受益人知道或者应当知道索付会对他人造成损害。由此，《独立保函司法解释》将</w:t>
      </w:r>
      <w:r>
        <w:rPr>
          <w:color w:val="000000"/>
          <w:spacing w:val="0"/>
          <w:w w:val="100"/>
          <w:position w:val="0"/>
          <w:lang w:val="zh-CN" w:eastAsia="zh-CN" w:bidi="zh-CN"/>
        </w:rPr>
        <w:t>“欺诈”与 “滥用”混</w:t>
      </w:r>
      <w:r>
        <w:rPr>
          <w:color w:val="000000"/>
          <w:spacing w:val="0"/>
          <w:w w:val="100"/>
          <w:position w:val="0"/>
        </w:rPr>
        <w:t>同使用:第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 xml:space="preserve">条在罗列了 </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种属于</w:t>
      </w:r>
      <w:r>
        <w:rPr>
          <w:color w:val="000000"/>
          <w:spacing w:val="0"/>
          <w:w w:val="100"/>
          <w:position w:val="0"/>
          <w:lang w:val="zh-CN" w:eastAsia="zh-CN" w:bidi="zh-CN"/>
        </w:rPr>
        <w:t>“欺诈”的</w:t>
      </w:r>
      <w:r>
        <w:rPr>
          <w:color w:val="000000"/>
          <w:spacing w:val="0"/>
          <w:w w:val="100"/>
          <w:position w:val="0"/>
        </w:rPr>
        <w:t>情形以后，概括性地指出“受益人明 知其没有付款请求权仍滥用该权利</w:t>
      </w:r>
      <w:r>
        <w:rPr>
          <w:color w:val="000000"/>
          <w:spacing w:val="0"/>
          <w:w w:val="100"/>
          <w:position w:val="0"/>
          <w:lang w:val="zh-CN" w:eastAsia="zh-CN" w:bidi="zh-CN"/>
        </w:rPr>
        <w:t>”的其</w:t>
      </w:r>
      <w:r>
        <w:rPr>
          <w:color w:val="000000"/>
          <w:spacing w:val="0"/>
          <w:w w:val="100"/>
          <w:position w:val="0"/>
        </w:rPr>
        <w:t xml:space="preserve">他情形也构成保函“欺诈” </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这一概括性的兜底条 款表明此处</w:t>
      </w:r>
      <w:r>
        <w:rPr>
          <w:color w:val="000000"/>
          <w:spacing w:val="0"/>
          <w:w w:val="100"/>
          <w:position w:val="0"/>
          <w:lang w:val="zh-CN" w:eastAsia="zh-CN" w:bidi="zh-CN"/>
        </w:rPr>
        <w:t>“欺诈”与</w:t>
      </w:r>
      <w:r>
        <w:rPr>
          <w:color w:val="000000"/>
          <w:spacing w:val="0"/>
          <w:w w:val="100"/>
          <w:position w:val="0"/>
        </w:rPr>
        <w:t>滥用系同义，区别于传统民法的欺诈概念。</w:t>
      </w:r>
    </w:p>
    <w:p w14:paraId="1D7933ED">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34F4A8C7">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最高人民法院在“湖南机械进出口公司、海南国际租赁公司与宁波东方投资公司代理 进口合同案</w:t>
      </w:r>
      <w:r>
        <w:rPr>
          <w:rFonts w:ascii="Times New Roman" w:hAnsi="Times New Roman" w:eastAsia="Times New Roman" w:cs="Times New Roman"/>
          <w:color w:val="000000"/>
          <w:spacing w:val="0"/>
          <w:w w:val="100"/>
          <w:position w:val="0"/>
          <w:sz w:val="17"/>
          <w:szCs w:val="17"/>
          <w:lang w:val="en-US" w:eastAsia="en-US" w:bidi="en-US"/>
        </w:rPr>
        <w:t>”［（1998）</w:t>
      </w:r>
      <w:r>
        <w:rPr>
          <w:color w:val="000000"/>
          <w:spacing w:val="0"/>
          <w:w w:val="100"/>
          <w:position w:val="0"/>
          <w:sz w:val="11"/>
          <w:szCs w:val="11"/>
        </w:rPr>
        <w:t>经终字第</w:t>
      </w:r>
      <w:r>
        <w:rPr>
          <w:rFonts w:ascii="Times New Roman" w:hAnsi="Times New Roman" w:eastAsia="Times New Roman" w:cs="Times New Roman"/>
          <w:color w:val="000000"/>
          <w:spacing w:val="0"/>
          <w:w w:val="100"/>
          <w:position w:val="0"/>
          <w:sz w:val="17"/>
          <w:szCs w:val="17"/>
        </w:rPr>
        <w:t>184</w:t>
      </w:r>
      <w:r>
        <w:rPr>
          <w:color w:val="000000"/>
          <w:spacing w:val="0"/>
          <w:w w:val="100"/>
          <w:position w:val="0"/>
          <w:sz w:val="11"/>
          <w:szCs w:val="11"/>
        </w:rPr>
        <w:t>号民事判决书］</w:t>
      </w:r>
      <w:r>
        <w:rPr>
          <w:color w:val="000000"/>
          <w:spacing w:val="0"/>
          <w:w w:val="100"/>
          <w:position w:val="0"/>
        </w:rPr>
        <w:t>中，明确否认了在国内民事活动中采用独立 担保方式的有效性。</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年最高法院在制定《关于适用〈中华人民共和国担保法〉若干问题 的解释》［法释</w:t>
      </w:r>
      <w:r>
        <w:rPr>
          <w:rFonts w:ascii="Times New Roman" w:hAnsi="Times New Roman" w:eastAsia="Times New Roman" w:cs="Times New Roman"/>
          <w:color w:val="000000"/>
          <w:spacing w:val="0"/>
          <w:w w:val="100"/>
          <w:position w:val="0"/>
          <w:sz w:val="19"/>
          <w:szCs w:val="19"/>
        </w:rPr>
        <w:t>（2000）44</w:t>
      </w:r>
      <w:r>
        <w:rPr>
          <w:color w:val="000000"/>
          <w:spacing w:val="0"/>
          <w:w w:val="100"/>
          <w:position w:val="0"/>
        </w:rPr>
        <w:t>号］时也延续了这一态度。</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年《独立保函司法解释》第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条规 定，独立保函不会因为欠缺涉外因素而被判定为无效,正式承认了国内市场中独立保函的 有效性，由此确立了中国法上的独立担保规则。</w:t>
      </w:r>
    </w:p>
    <w:p w14:paraId="71EDA977">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就独立担保索付欺诈的认定，中国法院主要通过扩大解释最高人民法院《关于贯彻执 行〈中华人民共和国民法通则〉若干问题的意见（试行）》第</w:t>
      </w:r>
      <w:r>
        <w:rPr>
          <w:rFonts w:ascii="Times New Roman" w:hAnsi="Times New Roman" w:eastAsia="Times New Roman" w:cs="Times New Roman"/>
          <w:color w:val="000000"/>
          <w:spacing w:val="0"/>
          <w:w w:val="100"/>
          <w:position w:val="0"/>
          <w:sz w:val="19"/>
          <w:szCs w:val="19"/>
        </w:rPr>
        <w:t>68</w:t>
      </w:r>
      <w:r>
        <w:rPr>
          <w:color w:val="000000"/>
          <w:spacing w:val="0"/>
          <w:w w:val="100"/>
          <w:position w:val="0"/>
        </w:rPr>
        <w:t>条有关</w:t>
      </w:r>
      <w:r>
        <w:rPr>
          <w:color w:val="000000"/>
          <w:spacing w:val="0"/>
          <w:w w:val="100"/>
          <w:position w:val="0"/>
          <w:lang w:val="zh-CN" w:eastAsia="zh-CN" w:bidi="zh-CN"/>
        </w:rPr>
        <w:t>“欺诈”的</w:t>
      </w:r>
      <w:r>
        <w:rPr>
          <w:color w:val="000000"/>
          <w:spacing w:val="0"/>
          <w:w w:val="100"/>
          <w:position w:val="0"/>
        </w:rPr>
        <w:t>规定，判定 独立保函索付</w:t>
      </w:r>
      <w:r>
        <w:rPr>
          <w:color w:val="000000"/>
          <w:spacing w:val="0"/>
          <w:w w:val="100"/>
          <w:position w:val="0"/>
          <w:lang w:val="zh-CN" w:eastAsia="zh-CN" w:bidi="zh-CN"/>
        </w:rPr>
        <w:t>“欺诈”的</w:t>
      </w:r>
      <w:r>
        <w:rPr>
          <w:color w:val="000000"/>
          <w:spacing w:val="0"/>
          <w:w w:val="100"/>
          <w:position w:val="0"/>
        </w:rPr>
        <w:t>含义。例如</w:t>
      </w:r>
      <w:r>
        <w:rPr>
          <w:color w:val="000000"/>
          <w:spacing w:val="0"/>
          <w:w w:val="100"/>
          <w:position w:val="0"/>
          <w:lang w:val="zh-CN" w:eastAsia="zh-CN" w:bidi="zh-CN"/>
        </w:rPr>
        <w:t>，“上</w:t>
      </w:r>
      <w:r>
        <w:rPr>
          <w:color w:val="000000"/>
          <w:spacing w:val="0"/>
          <w:w w:val="100"/>
          <w:position w:val="0"/>
        </w:rPr>
        <w:t>海振华重工（集团）股份有限公司诉印度海外银行 香港分行保函欺诈纠纷案</w:t>
      </w:r>
      <w:r>
        <w:rPr>
          <w:color w:val="000000"/>
          <w:spacing w:val="0"/>
          <w:w w:val="100"/>
          <w:position w:val="0"/>
          <w:sz w:val="11"/>
          <w:szCs w:val="11"/>
          <w:lang w:val="zh-CN" w:eastAsia="zh-CN" w:bidi="zh-CN"/>
        </w:rPr>
        <w:t>”［上</w:t>
      </w:r>
      <w:r>
        <w:rPr>
          <w:color w:val="000000"/>
          <w:spacing w:val="0"/>
          <w:w w:val="100"/>
          <w:position w:val="0"/>
          <w:sz w:val="11"/>
          <w:szCs w:val="11"/>
        </w:rPr>
        <w:t>海市第二中级人民法院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沪二中民六（商）初字第</w:t>
      </w:r>
      <w:r>
        <w:rPr>
          <w:rFonts w:ascii="Times New Roman" w:hAnsi="Times New Roman" w:eastAsia="Times New Roman" w:cs="Times New Roman"/>
          <w:color w:val="000000"/>
          <w:spacing w:val="0"/>
          <w:w w:val="100"/>
          <w:position w:val="0"/>
          <w:sz w:val="17"/>
          <w:szCs w:val="17"/>
        </w:rPr>
        <w:t>39</w:t>
      </w:r>
      <w:r>
        <w:rPr>
          <w:color w:val="000000"/>
          <w:spacing w:val="0"/>
          <w:w w:val="100"/>
          <w:position w:val="0"/>
          <w:sz w:val="11"/>
          <w:szCs w:val="11"/>
        </w:rPr>
        <w:t>号民事判 决书］</w:t>
      </w:r>
      <w:r>
        <w:rPr>
          <w:color w:val="000000"/>
          <w:spacing w:val="0"/>
          <w:w w:val="100"/>
          <w:position w:val="0"/>
          <w:lang w:val="zh-CN" w:eastAsia="zh-CN" w:bidi="zh-CN"/>
        </w:rPr>
        <w:t>，“浙</w:t>
      </w:r>
      <w:r>
        <w:rPr>
          <w:color w:val="000000"/>
          <w:spacing w:val="0"/>
          <w:w w:val="100"/>
          <w:position w:val="0"/>
        </w:rPr>
        <w:t>江金盾压力容器有限公司与油金属制造有限公司国际货物买卖合同纠纷案</w:t>
      </w:r>
      <w:r>
        <w:rPr>
          <w:color w:val="000000"/>
          <w:spacing w:val="0"/>
          <w:w w:val="100"/>
          <w:position w:val="0"/>
          <w:sz w:val="11"/>
          <w:szCs w:val="11"/>
          <w:lang w:val="zh-CN" w:eastAsia="zh-CN" w:bidi="zh-CN"/>
        </w:rPr>
        <w:t xml:space="preserve">”［浙 </w:t>
      </w:r>
      <w:r>
        <w:rPr>
          <w:color w:val="000000"/>
          <w:spacing w:val="0"/>
          <w:w w:val="100"/>
          <w:position w:val="0"/>
          <w:sz w:val="11"/>
          <w:szCs w:val="11"/>
        </w:rPr>
        <w:t>江省绍兴市中级人民法院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浙绍商外初字第</w:t>
      </w:r>
      <w:r>
        <w:rPr>
          <w:rFonts w:ascii="Times New Roman" w:hAnsi="Times New Roman" w:eastAsia="Times New Roman" w:cs="Times New Roman"/>
          <w:color w:val="000000"/>
          <w:spacing w:val="0"/>
          <w:w w:val="100"/>
          <w:position w:val="0"/>
          <w:sz w:val="17"/>
          <w:szCs w:val="17"/>
        </w:rPr>
        <w:t>68</w:t>
      </w:r>
      <w:r>
        <w:rPr>
          <w:color w:val="000000"/>
          <w:spacing w:val="0"/>
          <w:w w:val="100"/>
          <w:position w:val="0"/>
          <w:sz w:val="11"/>
          <w:szCs w:val="11"/>
        </w:rPr>
        <w:t>号民事判决书；浙江省高级人民法院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浙商 外终字第</w:t>
      </w:r>
      <w:r>
        <w:rPr>
          <w:rFonts w:ascii="Times New Roman" w:hAnsi="Times New Roman" w:eastAsia="Times New Roman" w:cs="Times New Roman"/>
          <w:color w:val="000000"/>
          <w:spacing w:val="0"/>
          <w:w w:val="100"/>
          <w:position w:val="0"/>
          <w:sz w:val="17"/>
          <w:szCs w:val="17"/>
        </w:rPr>
        <w:t>134</w:t>
      </w:r>
      <w:r>
        <w:rPr>
          <w:color w:val="000000"/>
          <w:spacing w:val="0"/>
          <w:w w:val="100"/>
          <w:position w:val="0"/>
          <w:sz w:val="11"/>
          <w:szCs w:val="11"/>
        </w:rPr>
        <w:t>号民事判决书］。</w:t>
      </w:r>
      <w:r>
        <w:rPr>
          <w:color w:val="000000"/>
          <w:spacing w:val="0"/>
          <w:w w:val="100"/>
          <w:position w:val="0"/>
        </w:rPr>
        <w:t>随着《独立保函司法解释》的出台，其将</w:t>
      </w:r>
      <w:r>
        <w:rPr>
          <w:color w:val="000000"/>
          <w:spacing w:val="0"/>
          <w:w w:val="100"/>
          <w:position w:val="0"/>
          <w:lang w:val="zh-CN" w:eastAsia="zh-CN" w:bidi="zh-CN"/>
        </w:rPr>
        <w:t xml:space="preserve">“欺诈”与“滥用”混同 </w:t>
      </w:r>
      <w:r>
        <w:rPr>
          <w:color w:val="000000"/>
          <w:spacing w:val="0"/>
          <w:w w:val="100"/>
          <w:position w:val="0"/>
        </w:rPr>
        <w:t>使用，进一步表明恶意索付中的</w:t>
      </w:r>
      <w:r>
        <w:rPr>
          <w:color w:val="000000"/>
          <w:spacing w:val="0"/>
          <w:w w:val="100"/>
          <w:position w:val="0"/>
          <w:lang w:val="zh-CN" w:eastAsia="zh-CN" w:bidi="zh-CN"/>
        </w:rPr>
        <w:t>“欺诈”与“滥用”系</w:t>
      </w:r>
      <w:r>
        <w:rPr>
          <w:color w:val="000000"/>
          <w:spacing w:val="0"/>
          <w:w w:val="100"/>
          <w:position w:val="0"/>
        </w:rPr>
        <w:t>同义，区别于传统民法有关意思表示理 论上的</w:t>
      </w:r>
      <w:r>
        <w:rPr>
          <w:color w:val="000000"/>
          <w:spacing w:val="0"/>
          <w:w w:val="100"/>
          <w:position w:val="0"/>
          <w:lang w:val="zh-CN" w:eastAsia="zh-CN" w:bidi="zh-CN"/>
        </w:rPr>
        <w:t>“欺诈”：</w:t>
      </w:r>
      <w:r>
        <w:rPr>
          <w:color w:val="000000"/>
          <w:spacing w:val="0"/>
          <w:w w:val="100"/>
          <w:position w:val="0"/>
        </w:rPr>
        <w:t>知道或应当知道索付会对他人造成损害,却仍然行使。</w:t>
      </w:r>
    </w:p>
    <w:p w14:paraId="31BA6F36">
      <w:pPr>
        <w:pStyle w:val="17"/>
        <w:keepNext w:val="0"/>
        <w:keepLines w:val="0"/>
        <w:widowControl w:val="0"/>
        <w:shd w:val="clear" w:color="auto" w:fill="auto"/>
        <w:bidi w:val="0"/>
        <w:spacing w:before="0" w:after="0" w:line="418" w:lineRule="auto"/>
        <w:ind w:left="0" w:right="0" w:firstLine="0"/>
        <w:jc w:val="left"/>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本判决的参考意义及将来的课题</w:t>
      </w:r>
    </w:p>
    <w:p w14:paraId="4DC98805">
      <w:pPr>
        <w:pStyle w:val="17"/>
        <w:keepNext w:val="0"/>
        <w:keepLines w:val="0"/>
        <w:widowControl w:val="0"/>
        <w:shd w:val="clear" w:color="auto" w:fill="auto"/>
        <w:bidi w:val="0"/>
        <w:spacing w:before="0" w:after="360" w:line="339" w:lineRule="exact"/>
        <w:ind w:left="0" w:right="0"/>
        <w:jc w:val="both"/>
      </w:pPr>
      <w:r>
        <w:rPr>
          <w:color w:val="000000"/>
          <w:spacing w:val="0"/>
          <w:w w:val="100"/>
          <w:position w:val="0"/>
        </w:rPr>
        <w:t>本案对理解《独立保函司法解释》的意义以及独立保函恶意索付（索付欺诈）的认定、法 律关系的定性以及司法管辖等具有重要作用。《独立保函司法解释》构建和填补了中国法 上独立担保制度的空缺,具有重要意义。但是一方面其适用范围有限,另一方面层级有限, 独立担保作为通用担保制度的地位以及与其他制度的平滑衔接，还需要在民法典的层面进 行考察和展开。独立保函的判定以及恶意索付的认定本身是一个开放体系,本案重申了对 基础交易审查的有限原则和必要原则，并对独立保函恶意索付与反担保恶意索付之间的关 系、基础交易中债权人违约与恶意索付的关系等给岀了明确的指导意见，具有重要意义。 此外,法院依据侵权责任案件管辖规则处理保函委托人起诉债权人保函索付欺诈案件的管 辖，可否理解为合同（独立保函）之外第三人对合同当事人可以提起侵权之诉，值得关注。</w:t>
      </w:r>
    </w:p>
    <w:p w14:paraId="53D4D1DC">
      <w:pPr>
        <w:pStyle w:val="11"/>
        <w:keepNext w:val="0"/>
        <w:keepLines w:val="0"/>
        <w:widowControl w:val="0"/>
        <w:shd w:val="clear" w:color="auto" w:fill="auto"/>
        <w:bidi w:val="0"/>
        <w:spacing w:before="0" w:after="80" w:line="339" w:lineRule="exact"/>
        <w:ind w:left="0" w:right="0" w:firstLine="0"/>
        <w:jc w:val="left"/>
      </w:pPr>
      <w:r>
        <w:rPr>
          <w:color w:val="000000"/>
          <w:spacing w:val="0"/>
          <w:w w:val="100"/>
          <w:position w:val="0"/>
        </w:rPr>
        <w:t>回参考文献</w:t>
      </w:r>
    </w:p>
    <w:p w14:paraId="5383D8E6">
      <w:pPr>
        <w:pStyle w:val="33"/>
        <w:keepNext w:val="0"/>
        <w:keepLines w:val="0"/>
        <w:widowControl w:val="0"/>
        <w:shd w:val="clear" w:color="auto" w:fill="auto"/>
        <w:bidi w:val="0"/>
        <w:spacing w:before="0" w:after="0" w:line="316" w:lineRule="exact"/>
        <w:ind w:left="0" w:right="0" w:firstLine="0"/>
        <w:jc w:val="left"/>
      </w:pPr>
      <w:r>
        <w:rPr>
          <w:color w:val="000000"/>
          <w:spacing w:val="0"/>
          <w:w w:val="100"/>
          <w:position w:val="0"/>
        </w:rPr>
        <w:t>刘贵祥:《独立保函纠纷法律适用刍议》，载《人民法院报》</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月</w:t>
      </w:r>
      <w:r>
        <w:rPr>
          <w:rFonts w:ascii="Times New Roman" w:hAnsi="Times New Roman" w:eastAsia="Times New Roman" w:cs="Times New Roman"/>
          <w:color w:val="000000"/>
          <w:spacing w:val="0"/>
          <w:w w:val="100"/>
          <w:position w:val="0"/>
          <w:sz w:val="17"/>
          <w:szCs w:val="17"/>
        </w:rPr>
        <w:t>25</w:t>
      </w:r>
      <w:r>
        <w:rPr>
          <w:color w:val="000000"/>
          <w:spacing w:val="0"/>
          <w:w w:val="100"/>
          <w:position w:val="0"/>
        </w:rPr>
        <w:t>日，第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版。 曹士兵:《中国担保制度与担保方法:根据物权法修订》，中国法制出版社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年版。 王利明：《典型合同立法的发展趋势》，载《法制与社会发展》</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3DFC2C9">
      <w:pPr>
        <w:pStyle w:val="33"/>
        <w:keepNext w:val="0"/>
        <w:keepLines w:val="0"/>
        <w:widowControl w:val="0"/>
        <w:shd w:val="clear" w:color="auto" w:fill="auto"/>
        <w:bidi w:val="0"/>
        <w:spacing w:before="0" w:after="0" w:line="316" w:lineRule="exact"/>
        <w:ind w:left="0" w:right="0" w:firstLine="0"/>
        <w:jc w:val="left"/>
      </w:pPr>
      <w:r>
        <w:rPr>
          <w:color w:val="000000"/>
          <w:spacing w:val="0"/>
          <w:w w:val="100"/>
          <w:position w:val="0"/>
        </w:rPr>
        <w:t>高圣平:《论独立保证的典型化与类型化》，载《武汉大学学报》（哲学社会科学版</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 刘贵祥、沈红雨、黄西武:《涉外商事海事审判若干疑难问题研究》，载《法律适用》</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D5C4F9D">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李国光等：《最高人民法院〈关于适用《中华人民共和国担保法》若干问题的解释〉理解与适用》，吉林人 民出版社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50F0DBD9">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李世刚：《论中国规则下独立担保的功能与定位——以利益与风险分配为视角解读〈独立保函司法解 释〉》，载《上海大学学报》（社会科学版</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995DC24">
      <w:pPr>
        <w:pStyle w:val="33"/>
        <w:keepNext w:val="0"/>
        <w:keepLines w:val="0"/>
        <w:widowControl w:val="0"/>
        <w:shd w:val="clear" w:color="auto" w:fill="auto"/>
        <w:bidi w:val="0"/>
        <w:spacing w:before="0" w:after="40" w:line="300" w:lineRule="exact"/>
        <w:ind w:left="180" w:right="0" w:hanging="180"/>
        <w:jc w:val="both"/>
        <w:sectPr>
          <w:headerReference r:id="rId473" w:type="default"/>
          <w:headerReference r:id="rId474" w:type="even"/>
          <w:footnotePr>
            <w:numFmt w:val="chicago"/>
          </w:footnotePr>
          <w:pgSz w:w="10099" w:h="14782"/>
          <w:pgMar w:top="1324" w:right="994" w:bottom="1105" w:left="1109" w:header="0" w:footer="3" w:gutter="0"/>
          <w:pgNumType w:start="401"/>
          <w:cols w:space="720" w:num="1"/>
          <w:rtlGutter w:val="0"/>
          <w:docGrid w:linePitch="360" w:charSpace="0"/>
        </w:sectPr>
      </w:pPr>
      <w:r>
        <w:rPr>
          <w:color w:val="000000"/>
          <w:spacing w:val="0"/>
          <w:w w:val="100"/>
          <w:position w:val="0"/>
        </w:rPr>
        <w:t>李世刚：《独立担保中国规则的风险控制机制研究</w:t>
      </w:r>
      <w:r>
        <w:rPr>
          <w:color w:val="000000"/>
          <w:spacing w:val="0"/>
          <w:w w:val="100"/>
          <w:position w:val="0"/>
          <w:lang w:val="en-US" w:eastAsia="en-US" w:bidi="en-US"/>
        </w:rPr>
        <w:t>一</w:t>
      </w:r>
      <w:r>
        <w:rPr>
          <w:color w:val="000000"/>
          <w:spacing w:val="0"/>
          <w:w w:val="100"/>
          <w:position w:val="0"/>
        </w:rPr>
        <w:t>以</w:t>
      </w:r>
      <w:r>
        <w:rPr>
          <w:color w:val="000000"/>
          <w:spacing w:val="0"/>
          <w:w w:val="100"/>
          <w:position w:val="0"/>
          <w:lang w:val="zh-CN" w:eastAsia="zh-CN" w:bidi="zh-CN"/>
        </w:rPr>
        <w:t>“独立</w:t>
      </w:r>
      <w:r>
        <w:rPr>
          <w:color w:val="000000"/>
          <w:spacing w:val="0"/>
          <w:w w:val="100"/>
          <w:position w:val="0"/>
        </w:rPr>
        <w:t>保函司法解释</w:t>
      </w:r>
      <w:r>
        <w:rPr>
          <w:color w:val="000000"/>
          <w:spacing w:val="0"/>
          <w:w w:val="100"/>
          <w:position w:val="0"/>
          <w:lang w:val="zh-CN" w:eastAsia="zh-CN" w:bidi="zh-CN"/>
        </w:rPr>
        <w:t>”为</w:t>
      </w:r>
      <w:r>
        <w:rPr>
          <w:color w:val="000000"/>
          <w:spacing w:val="0"/>
          <w:w w:val="100"/>
          <w:position w:val="0"/>
        </w:rPr>
        <w:t>研究对象》，载《法学杂 志》</w:t>
      </w:r>
      <w:r>
        <w:rPr>
          <w:rFonts w:ascii="Times New Roman" w:hAnsi="Times New Roman" w:eastAsia="Times New Roman" w:cs="Times New Roman"/>
          <w:color w:val="000000"/>
          <w:spacing w:val="0"/>
          <w:w w:val="100"/>
          <w:position w:val="0"/>
          <w:sz w:val="17"/>
          <w:szCs w:val="17"/>
        </w:rPr>
        <w:t>2020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50956354">
      <w:pPr>
        <w:widowControl w:val="0"/>
        <w:spacing w:line="64" w:lineRule="exact"/>
        <w:rPr>
          <w:sz w:val="5"/>
          <w:szCs w:val="5"/>
        </w:rPr>
      </w:pPr>
    </w:p>
    <w:p w14:paraId="15A65B4F">
      <w:pPr>
        <w:widowControl w:val="0"/>
        <w:spacing w:line="1" w:lineRule="exact"/>
        <w:sectPr>
          <w:headerReference r:id="rId475" w:type="default"/>
          <w:headerReference r:id="rId476" w:type="even"/>
          <w:footnotePr>
            <w:numFmt w:val="chicago"/>
          </w:footnotePr>
          <w:pgSz w:w="10099" w:h="14782"/>
          <w:pgMar w:top="1319" w:right="1077" w:bottom="1078" w:left="1020" w:header="0" w:footer="3" w:gutter="0"/>
          <w:pgNumType w:start="421"/>
          <w:cols w:space="720" w:num="1"/>
          <w:rtlGutter w:val="0"/>
          <w:docGrid w:linePitch="360" w:charSpace="0"/>
        </w:sectPr>
      </w:pPr>
    </w:p>
    <w:p w14:paraId="42E471B6">
      <w:pPr>
        <w:widowControl w:val="0"/>
        <w:spacing w:line="1" w:lineRule="exact"/>
      </w:pPr>
      <w:r>
        <mc:AlternateContent>
          <mc:Choice Requires="wps">
            <w:drawing>
              <wp:anchor distT="0" distB="15875" distL="0" distR="0" simplePos="0" relativeHeight="251660288" behindDoc="0" locked="0" layoutInCell="1" allowOverlap="1">
                <wp:simplePos x="0" y="0"/>
                <wp:positionH relativeFrom="page">
                  <wp:posOffset>708660</wp:posOffset>
                </wp:positionH>
                <wp:positionV relativeFrom="paragraph">
                  <wp:posOffset>0</wp:posOffset>
                </wp:positionV>
                <wp:extent cx="446405" cy="304800"/>
                <wp:effectExtent l="0" t="0" r="0" b="0"/>
                <wp:wrapTopAndBottom/>
                <wp:docPr id="1103" name="Shape 1103"/>
                <wp:cNvGraphicFramePr/>
                <a:graphic xmlns:a="http://schemas.openxmlformats.org/drawingml/2006/main">
                  <a:graphicData uri="http://schemas.microsoft.com/office/word/2010/wordprocessingShape">
                    <wps:wsp>
                      <wps:cNvSpPr txBox="1"/>
                      <wps:spPr>
                        <a:xfrm>
                          <a:off x="0" y="0"/>
                          <a:ext cx="446405" cy="304800"/>
                        </a:xfrm>
                        <a:prstGeom prst="rect">
                          <a:avLst/>
                        </a:prstGeom>
                        <a:noFill/>
                      </wps:spPr>
                      <wps:txbx>
                        <w:txbxContent>
                          <w:p w14:paraId="37FB1DDB">
                            <w:pPr>
                              <w:pStyle w:val="27"/>
                              <w:keepNext/>
                              <w:keepLines/>
                              <w:widowControl w:val="0"/>
                              <w:shd w:val="clear" w:color="auto" w:fill="auto"/>
                              <w:bidi w:val="0"/>
                              <w:spacing w:before="0" w:after="0" w:line="240" w:lineRule="auto"/>
                              <w:ind w:left="0" w:right="0" w:firstLine="0"/>
                              <w:jc w:val="both"/>
                            </w:pPr>
                            <w:bookmarkStart w:id="567" w:name="bookmark505"/>
                            <w:bookmarkStart w:id="568" w:name="bookmark506"/>
                            <w:bookmarkStart w:id="569" w:name="bookmark507"/>
                            <w:r>
                              <w:rPr>
                                <w:rFonts w:ascii="Times New Roman" w:hAnsi="Times New Roman" w:eastAsia="Times New Roman" w:cs="Times New Roman"/>
                                <w:color w:val="000000"/>
                                <w:spacing w:val="0"/>
                                <w:w w:val="100"/>
                                <w:position w:val="0"/>
                              </w:rPr>
                              <w:t>082</w:t>
                            </w:r>
                            <w:bookmarkEnd w:id="567"/>
                            <w:bookmarkEnd w:id="568"/>
                            <w:bookmarkEnd w:id="569"/>
                          </w:p>
                        </w:txbxContent>
                      </wps:txbx>
                      <wps:bodyPr wrap="none" lIns="0" tIns="0" rIns="0" bIns="0">
                        <a:noAutofit/>
                      </wps:bodyPr>
                    </wps:wsp>
                  </a:graphicData>
                </a:graphic>
              </wp:anchor>
            </w:drawing>
          </mc:Choice>
          <mc:Fallback>
            <w:pict>
              <v:shape id="Shape 1103" o:spid="_x0000_s1026" o:spt="202" type="#_x0000_t202" style="position:absolute;left:0pt;margin-left:55.8pt;margin-top:0pt;height:24pt;width:35.15pt;mso-position-horizontal-relative:page;mso-wrap-distance-bottom:1.25pt;mso-wrap-distance-top:0pt;mso-wrap-style:none;z-index:251660288;mso-width-relative:page;mso-height-relative:page;" filled="f" stroked="f" coordsize="21600,21600" o:gfxdata="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hfe410gAAAAcB&#10;AAAPAAAAAAAAAAEAIAAAACIAAABkcnMvZG93bnJldi54bWxQSwECFAAUAAAACACHTuJAYb7awK8B&#10;AAB1AwAADgAAAAAAAAABACAAAAAhAQAAZHJzL2Uyb0RvYy54bWxQSwUGAAAAAAYABgBZAQAAQgUA&#10;AAAA&#10;">
                <v:fill on="f" focussize="0,0"/>
                <v:stroke on="f"/>
                <v:imagedata o:title=""/>
                <o:lock v:ext="edit" aspectratio="f"/>
                <v:textbox inset="0mm,0mm,0mm,0mm">
                  <w:txbxContent>
                    <w:p w14:paraId="37FB1DDB">
                      <w:pPr>
                        <w:pStyle w:val="27"/>
                        <w:keepNext/>
                        <w:keepLines/>
                        <w:widowControl w:val="0"/>
                        <w:shd w:val="clear" w:color="auto" w:fill="auto"/>
                        <w:bidi w:val="0"/>
                        <w:spacing w:before="0" w:after="0" w:line="240" w:lineRule="auto"/>
                        <w:ind w:left="0" w:right="0" w:firstLine="0"/>
                        <w:jc w:val="both"/>
                      </w:pPr>
                      <w:bookmarkStart w:id="567" w:name="bookmark505"/>
                      <w:bookmarkStart w:id="568" w:name="bookmark506"/>
                      <w:bookmarkStart w:id="569" w:name="bookmark507"/>
                      <w:r>
                        <w:rPr>
                          <w:rFonts w:ascii="Times New Roman" w:hAnsi="Times New Roman" w:eastAsia="Times New Roman" w:cs="Times New Roman"/>
                          <w:color w:val="000000"/>
                          <w:spacing w:val="0"/>
                          <w:w w:val="100"/>
                          <w:position w:val="0"/>
                        </w:rPr>
                        <w:t>082</w:t>
                      </w:r>
                      <w:bookmarkEnd w:id="567"/>
                      <w:bookmarkEnd w:id="568"/>
                      <w:bookmarkEnd w:id="569"/>
                    </w:p>
                  </w:txbxContent>
                </v:textbox>
                <w10:wrap type="topAndBottom"/>
              </v:shape>
            </w:pict>
          </mc:Fallback>
        </mc:AlternateContent>
      </w:r>
      <w:r>
        <mc:AlternateContent>
          <mc:Choice Requires="wps">
            <w:drawing>
              <wp:anchor distT="54610" distB="13335" distL="0" distR="0" simplePos="0" relativeHeight="251660288" behindDoc="0" locked="0" layoutInCell="1" allowOverlap="1">
                <wp:simplePos x="0" y="0"/>
                <wp:positionH relativeFrom="page">
                  <wp:posOffset>1284605</wp:posOffset>
                </wp:positionH>
                <wp:positionV relativeFrom="paragraph">
                  <wp:posOffset>54610</wp:posOffset>
                </wp:positionV>
                <wp:extent cx="3220085" cy="252730"/>
                <wp:effectExtent l="0" t="0" r="0" b="0"/>
                <wp:wrapTopAndBottom/>
                <wp:docPr id="1105" name="Shape 1105"/>
                <wp:cNvGraphicFramePr/>
                <a:graphic xmlns:a="http://schemas.openxmlformats.org/drawingml/2006/main">
                  <a:graphicData uri="http://schemas.microsoft.com/office/word/2010/wordprocessingShape">
                    <wps:wsp>
                      <wps:cNvSpPr txBox="1"/>
                      <wps:spPr>
                        <a:xfrm>
                          <a:off x="0" y="0"/>
                          <a:ext cx="3220085" cy="252730"/>
                        </a:xfrm>
                        <a:prstGeom prst="rect">
                          <a:avLst/>
                        </a:prstGeom>
                        <a:noFill/>
                      </wps:spPr>
                      <wps:txbx>
                        <w:txbxContent>
                          <w:p w14:paraId="1C6A25FF">
                            <w:pPr>
                              <w:pStyle w:val="15"/>
                              <w:keepNext/>
                              <w:keepLines/>
                              <w:widowControl w:val="0"/>
                              <w:shd w:val="clear" w:color="auto" w:fill="auto"/>
                              <w:bidi w:val="0"/>
                              <w:spacing w:before="0" w:after="0" w:line="240" w:lineRule="auto"/>
                              <w:ind w:left="0" w:right="0" w:firstLine="0"/>
                              <w:jc w:val="left"/>
                            </w:pPr>
                            <w:bookmarkStart w:id="570" w:name="bookmark510"/>
                            <w:bookmarkStart w:id="571" w:name="bookmark508"/>
                            <w:bookmarkStart w:id="572" w:name="bookmark509"/>
                            <w:r>
                              <w:rPr>
                                <w:color w:val="000000"/>
                                <w:spacing w:val="0"/>
                                <w:w w:val="100"/>
                                <w:position w:val="0"/>
                              </w:rPr>
                              <w:t>基础合同真实性与保理人权利的实现</w:t>
                            </w:r>
                            <w:bookmarkEnd w:id="570"/>
                            <w:bookmarkEnd w:id="571"/>
                            <w:bookmarkEnd w:id="572"/>
                          </w:p>
                        </w:txbxContent>
                      </wps:txbx>
                      <wps:bodyPr wrap="none" lIns="0" tIns="0" rIns="0" bIns="0">
                        <a:noAutofit/>
                      </wps:bodyPr>
                    </wps:wsp>
                  </a:graphicData>
                </a:graphic>
              </wp:anchor>
            </w:drawing>
          </mc:Choice>
          <mc:Fallback>
            <w:pict>
              <v:shape id="Shape 1105" o:spid="_x0000_s1026" o:spt="202" type="#_x0000_t202" style="position:absolute;left:0pt;margin-left:101.15pt;margin-top:4.3pt;height:19.9pt;width:253.55pt;mso-position-horizontal-relative:page;mso-wrap-distance-bottom:1.05pt;mso-wrap-distance-top:4.3pt;mso-wrap-style:none;z-index:251660288;mso-width-relative:page;mso-height-relative:page;" filled="f" stroked="f" coordsize="21600,21600" o:gfxdata="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jvAdI1gAA&#10;AAgBAAAPAAAAAAAAAAEAIAAAACIAAABkcnMvZG93bnJldi54bWxQSwECFAAUAAAACACHTuJAqafY&#10;Ya4BAAB2AwAADgAAAAAAAAABACAAAAAlAQAAZHJzL2Uyb0RvYy54bWxQSwUGAAAAAAYABgBZAQAA&#10;RQUAAAAA&#10;">
                <v:fill on="f" focussize="0,0"/>
                <v:stroke on="f"/>
                <v:imagedata o:title=""/>
                <o:lock v:ext="edit" aspectratio="f"/>
                <v:textbox inset="0mm,0mm,0mm,0mm">
                  <w:txbxContent>
                    <w:p w14:paraId="1C6A25FF">
                      <w:pPr>
                        <w:pStyle w:val="15"/>
                        <w:keepNext/>
                        <w:keepLines/>
                        <w:widowControl w:val="0"/>
                        <w:shd w:val="clear" w:color="auto" w:fill="auto"/>
                        <w:bidi w:val="0"/>
                        <w:spacing w:before="0" w:after="0" w:line="240" w:lineRule="auto"/>
                        <w:ind w:left="0" w:right="0" w:firstLine="0"/>
                        <w:jc w:val="left"/>
                      </w:pPr>
                      <w:bookmarkStart w:id="570" w:name="bookmark510"/>
                      <w:bookmarkStart w:id="571" w:name="bookmark508"/>
                      <w:bookmarkStart w:id="572" w:name="bookmark509"/>
                      <w:r>
                        <w:rPr>
                          <w:color w:val="000000"/>
                          <w:spacing w:val="0"/>
                          <w:w w:val="100"/>
                          <w:position w:val="0"/>
                        </w:rPr>
                        <w:t>基础合同真实性与保理人权利的实现</w:t>
                      </w:r>
                      <w:bookmarkEnd w:id="570"/>
                      <w:bookmarkEnd w:id="571"/>
                      <w:bookmarkEnd w:id="572"/>
                    </w:p>
                  </w:txbxContent>
                </v:textbox>
                <w10:wrap type="topAndBottom"/>
              </v:shape>
            </w:pict>
          </mc:Fallback>
        </mc:AlternateContent>
      </w:r>
    </w:p>
    <w:p w14:paraId="60B47526">
      <w:pPr>
        <w:pStyle w:val="17"/>
        <w:keepNext w:val="0"/>
        <w:keepLines w:val="0"/>
        <w:widowControl w:val="0"/>
        <w:shd w:val="clear" w:color="auto" w:fill="auto"/>
        <w:bidi w:val="0"/>
        <w:spacing w:before="0" w:after="420" w:line="326" w:lineRule="exact"/>
        <w:ind w:left="1000" w:right="0" w:firstLine="20"/>
        <w:jc w:val="both"/>
      </w:pPr>
      <w:r>
        <w:drawing>
          <wp:anchor distT="0" distB="0" distL="114300" distR="114300" simplePos="0" relativeHeight="251660288" behindDoc="0" locked="0" layoutInCell="1" allowOverlap="1">
            <wp:simplePos x="0" y="0"/>
            <wp:positionH relativeFrom="page">
              <wp:posOffset>5082540</wp:posOffset>
            </wp:positionH>
            <wp:positionV relativeFrom="paragraph">
              <wp:posOffset>63500</wp:posOffset>
            </wp:positionV>
            <wp:extent cx="615950" cy="621665"/>
            <wp:effectExtent l="0" t="0" r="6350" b="635"/>
            <wp:wrapSquare wrapText="left"/>
            <wp:docPr id="1107" name="Shape 1107"/>
            <wp:cNvGraphicFramePr/>
            <a:graphic xmlns:a="http://schemas.openxmlformats.org/drawingml/2006/main">
              <a:graphicData uri="http://schemas.openxmlformats.org/drawingml/2006/picture">
                <pic:pic xmlns:pic="http://schemas.openxmlformats.org/drawingml/2006/picture">
                  <pic:nvPicPr>
                    <pic:cNvPr id="1107" name="Shape 1107"/>
                    <pic:cNvPicPr/>
                  </pic:nvPicPr>
                  <pic:blipFill>
                    <a:blip r:embed="rId695"/>
                    <a:stretch>
                      <a:fillRect/>
                    </a:stretch>
                  </pic:blipFill>
                  <pic:spPr>
                    <a:xfrm>
                      <a:off x="0" y="0"/>
                      <a:ext cx="615950" cy="621665"/>
                    </a:xfrm>
                    <a:prstGeom prst="rect">
                      <a:avLst/>
                    </a:prstGeom>
                  </pic:spPr>
                </pic:pic>
              </a:graphicData>
            </a:graphic>
          </wp:anchor>
        </w:drawing>
      </w:r>
      <w:r>
        <w:rPr>
          <w:color w:val="000000"/>
          <w:spacing w:val="0"/>
          <w:w w:val="100"/>
          <w:position w:val="0"/>
        </w:rPr>
        <w:t>中央储备粮长春直属库有限公司与前郭县阳光村镇银行股份有限 公司、松原市隆瑞祥贸易有限公司合同纠纷丨吉林省高级人民法 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吉民再</w:t>
      </w:r>
      <w:r>
        <w:rPr>
          <w:rFonts w:ascii="Times New Roman" w:hAnsi="Times New Roman" w:eastAsia="Times New Roman" w:cs="Times New Roman"/>
          <w:color w:val="000000"/>
          <w:spacing w:val="0"/>
          <w:w w:val="100"/>
          <w:position w:val="0"/>
          <w:sz w:val="19"/>
          <w:szCs w:val="19"/>
        </w:rPr>
        <w:t>112</w:t>
      </w:r>
      <w:r>
        <w:rPr>
          <w:color w:val="000000"/>
          <w:spacing w:val="0"/>
          <w:w w:val="100"/>
          <w:position w:val="0"/>
        </w:rPr>
        <w:t>号民事判决书</w:t>
      </w:r>
    </w:p>
    <w:p w14:paraId="3735EEE3">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高放</w:t>
      </w:r>
      <w:r>
        <w:rPr>
          <w:color w:val="000000"/>
          <w:spacing w:val="0"/>
          <w:w w:val="100"/>
          <w:position w:val="0"/>
        </w:rPr>
        <w:t>杭州电子科技大学经济学院</w:t>
      </w:r>
    </w:p>
    <w:p w14:paraId="11614974">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89D48F4">
      <w:pPr>
        <w:pStyle w:val="17"/>
        <w:keepNext w:val="0"/>
        <w:keepLines w:val="0"/>
        <w:widowControl w:val="0"/>
        <w:shd w:val="clear" w:color="auto" w:fill="auto"/>
        <w:bidi w:val="0"/>
        <w:spacing w:before="0" w:after="360" w:line="344" w:lineRule="exact"/>
        <w:ind w:left="0" w:right="0" w:firstLine="420"/>
        <w:jc w:val="both"/>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日长春库（一审被告、二审上诉人、再审申请人）与隆瑞祥公司（一审被 告、二审被上诉人）签订《粮食采购合同》，约定向隆瑞祥公司采购</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 xml:space="preserve">年产水稻，合同价款 </w:t>
      </w:r>
      <w:r>
        <w:rPr>
          <w:rFonts w:ascii="Times New Roman" w:hAnsi="Times New Roman" w:eastAsia="Times New Roman" w:cs="Times New Roman"/>
          <w:color w:val="000000"/>
          <w:spacing w:val="0"/>
          <w:w w:val="100"/>
          <w:position w:val="0"/>
          <w:sz w:val="19"/>
          <w:szCs w:val="19"/>
          <w:lang w:val="en-US" w:eastAsia="en-US" w:bidi="en-US"/>
        </w:rPr>
        <w:t>2009.28</w:t>
      </w:r>
      <w:r>
        <w:rPr>
          <w:color w:val="000000"/>
          <w:spacing w:val="0"/>
          <w:w w:val="100"/>
          <w:position w:val="0"/>
        </w:rPr>
        <w:t>万元，同时约定长春库在收到隆瑞祥公司开具的增值税专用发票后</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个月内支付 货款。</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日，长春库向隆瑞祥公司出具《发票收妥确认函》，载明：</w:t>
      </w:r>
      <w:r>
        <w:rPr>
          <w:color w:val="000000"/>
          <w:spacing w:val="0"/>
          <w:w w:val="100"/>
          <w:position w:val="0"/>
          <w:lang w:val="zh-CN" w:eastAsia="zh-CN" w:bidi="zh-CN"/>
        </w:rPr>
        <w:t>“本公</w:t>
      </w:r>
      <w:r>
        <w:rPr>
          <w:color w:val="000000"/>
          <w:spacing w:val="0"/>
          <w:w w:val="100"/>
          <w:position w:val="0"/>
        </w:rPr>
        <w:t>司已共 计收到贵公司销售的货物价值</w:t>
      </w:r>
      <w:r>
        <w:rPr>
          <w:rFonts w:ascii="Times New Roman" w:hAnsi="Times New Roman" w:eastAsia="Times New Roman" w:cs="Times New Roman"/>
          <w:color w:val="000000"/>
          <w:spacing w:val="0"/>
          <w:w w:val="100"/>
          <w:position w:val="0"/>
          <w:sz w:val="19"/>
          <w:szCs w:val="19"/>
          <w:lang w:val="en-US" w:eastAsia="en-US" w:bidi="en-US"/>
        </w:rPr>
        <w:t xml:space="preserve">2009. </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万元，我公司尚未付款。现本公司已收到</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张发 票，发票总金额</w:t>
      </w:r>
      <w:r>
        <w:rPr>
          <w:rFonts w:ascii="Times New Roman" w:hAnsi="Times New Roman" w:eastAsia="Times New Roman" w:cs="Times New Roman"/>
          <w:color w:val="000000"/>
          <w:spacing w:val="0"/>
          <w:w w:val="100"/>
          <w:position w:val="0"/>
          <w:sz w:val="19"/>
          <w:szCs w:val="19"/>
          <w:lang w:val="en-US" w:eastAsia="en-US" w:bidi="en-US"/>
        </w:rPr>
        <w:t>2009.28</w:t>
      </w:r>
      <w:r>
        <w:rPr>
          <w:color w:val="000000"/>
          <w:spacing w:val="0"/>
          <w:w w:val="100"/>
          <w:position w:val="0"/>
        </w:rPr>
        <w:t>万元。</w:t>
      </w:r>
      <w:r>
        <w:rPr>
          <w:color w:val="000000"/>
          <w:spacing w:val="0"/>
          <w:w w:val="100"/>
          <w:position w:val="0"/>
          <w:lang w:val="zh-CN" w:eastAsia="zh-CN" w:bidi="zh-CN"/>
        </w:rPr>
        <w:t>”同日</w:t>
      </w:r>
      <w:r>
        <w:rPr>
          <w:color w:val="000000"/>
          <w:spacing w:val="0"/>
          <w:w w:val="100"/>
          <w:position w:val="0"/>
        </w:rPr>
        <w:t>，阳光银行（一审原告、二审被上诉人、再审被申请人） 与隆瑞祥公司签订《国内保理合同》一份。约定由阳光银行向隆瑞祥公司提供保理融资</w:t>
      </w:r>
      <w:r>
        <w:rPr>
          <w:rFonts w:ascii="Times New Roman" w:hAnsi="Times New Roman" w:eastAsia="Times New Roman" w:cs="Times New Roman"/>
          <w:color w:val="000000"/>
          <w:spacing w:val="0"/>
          <w:w w:val="100"/>
          <w:position w:val="0"/>
          <w:sz w:val="19"/>
          <w:szCs w:val="19"/>
        </w:rPr>
        <w:t xml:space="preserve">500 </w:t>
      </w:r>
      <w:r>
        <w:rPr>
          <w:color w:val="000000"/>
          <w:spacing w:val="0"/>
          <w:w w:val="100"/>
          <w:position w:val="0"/>
        </w:rPr>
        <w:t>万元，融资额以应收账款</w:t>
      </w:r>
      <w:r>
        <w:rPr>
          <w:rFonts w:ascii="Times New Roman" w:hAnsi="Times New Roman" w:eastAsia="Times New Roman" w:cs="Times New Roman"/>
          <w:color w:val="000000"/>
          <w:spacing w:val="0"/>
          <w:w w:val="100"/>
          <w:position w:val="0"/>
          <w:sz w:val="19"/>
          <w:szCs w:val="19"/>
          <w:lang w:val="en-US" w:eastAsia="en-US" w:bidi="en-US"/>
        </w:rPr>
        <w:t>2009.28</w:t>
      </w:r>
      <w:r>
        <w:rPr>
          <w:color w:val="000000"/>
          <w:spacing w:val="0"/>
          <w:w w:val="100"/>
          <w:position w:val="0"/>
        </w:rPr>
        <w:t>万元为基础,该保理为有追索权的明保理业务。同日，隆 瑞祥公司与阳光银行签订《流动资金借款合同》，约定隆瑞祥公司向阳光银行借款</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 元，并约定借款期限</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日）与利息及逾期还款罚息。在签订《流 动资金借款合同》当日，阳光银行向隆瑞祥公司发放了贷款</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万元。同日，隆瑞祥公司向 长春库发出了一份加盖其公章的《应收账款转让通知书》，将隆瑞祥公司与阳光银行签订 《国内保理合同》和把其对长春库总计</w:t>
      </w:r>
      <w:r>
        <w:rPr>
          <w:rFonts w:ascii="Times New Roman" w:hAnsi="Times New Roman" w:eastAsia="Times New Roman" w:cs="Times New Roman"/>
          <w:color w:val="000000"/>
          <w:spacing w:val="0"/>
          <w:w w:val="100"/>
          <w:position w:val="0"/>
          <w:sz w:val="19"/>
          <w:szCs w:val="19"/>
          <w:lang w:val="en-US" w:eastAsia="en-US" w:bidi="en-US"/>
        </w:rPr>
        <w:t xml:space="preserve">2009. </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万元应收账款及该部分应收账款所享有的 权利转让给阳光银行的事实通知了长春库。长春库和阳光银行均在该《应收账款转让通知 书》上加盖了公章。截至一审起诉日，阳光银行尚有</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万余元及相应利息、罚息未得到清 偿，其向长春库和隆瑞祥公司索要未果,遂提起诉讼。至起诉日，长春直属库仍未收到在 《粮食采购合同》中隆瑞祥公司约定交付的标的水稻。</w:t>
      </w:r>
    </w:p>
    <w:p w14:paraId="2D502922">
      <w:pPr>
        <w:pStyle w:val="11"/>
        <w:keepNext w:val="0"/>
        <w:keepLines w:val="0"/>
        <w:widowControl w:val="0"/>
        <w:shd w:val="clear" w:color="auto" w:fill="auto"/>
        <w:bidi w:val="0"/>
        <w:spacing w:before="0" w:after="8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230A88BA">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撤销二审判决及一审判决部分内容，改判隆瑞祥公司向阳光银行偿还贷款并支付利息 和罚息，长春库对隆瑞祥公司不能偿还的部分承担赔偿责任。</w:t>
      </w:r>
    </w:p>
    <w:p w14:paraId="0244A401">
      <w:pPr>
        <w:pStyle w:val="17"/>
        <w:keepNext w:val="0"/>
        <w:keepLines w:val="0"/>
        <w:widowControl w:val="0"/>
        <w:shd w:val="clear" w:color="auto" w:fill="auto"/>
        <w:bidi w:val="0"/>
        <w:spacing w:before="0" w:after="360" w:line="314" w:lineRule="exact"/>
        <w:ind w:left="0" w:right="0" w:firstLine="420"/>
        <w:jc w:val="both"/>
        <w:sectPr>
          <w:footnotePr>
            <w:numFmt w:val="chicago"/>
          </w:footnotePr>
          <w:type w:val="continuous"/>
          <w:pgSz w:w="10099" w:h="14782"/>
          <w:pgMar w:top="1319" w:right="1077" w:bottom="1078" w:left="1020" w:header="891" w:footer="650" w:gutter="0"/>
          <w:cols w:space="720" w:num="1"/>
          <w:rtlGutter w:val="0"/>
          <w:docGrid w:linePitch="360" w:charSpace="0"/>
        </w:sectPr>
      </w:pPr>
      <w:r>
        <w:rPr>
          <w:color w:val="000000"/>
          <w:spacing w:val="0"/>
          <w:w w:val="100"/>
          <w:position w:val="0"/>
        </w:rPr>
        <w:t xml:space="preserve">保理合同中既包含债权转让法律关系，也包含金融借款、应收账款催收等法律关系，并 非单一的债权转让,此类案件不应确定为债权转让合同纠纷。保理合同中的基础债权是否 </w:t>
      </w:r>
    </w:p>
    <w:p w14:paraId="7B760DE8">
      <w:pPr>
        <w:pStyle w:val="17"/>
        <w:keepNext w:val="0"/>
        <w:keepLines w:val="0"/>
        <w:widowControl w:val="0"/>
        <w:shd w:val="clear" w:color="auto" w:fill="auto"/>
        <w:bidi w:val="0"/>
        <w:spacing w:before="0" w:after="360" w:line="314" w:lineRule="exact"/>
        <w:ind w:left="0" w:right="0" w:firstLine="0"/>
        <w:jc w:val="both"/>
      </w:pPr>
      <w:r>
        <w:rPr>
          <w:color w:val="000000"/>
          <w:spacing w:val="0"/>
          <w:w w:val="100"/>
          <w:position w:val="0"/>
        </w:rPr>
        <w:t>真实,属于是否能够履行合同问题，与保理合同的效力无关。保理商不存在缔约过错问题, 且没有违反合同约定，不能以是否尽到审慎义务而判令其承担责任。</w:t>
      </w:r>
    </w:p>
    <w:p w14:paraId="78DE055F">
      <w:pPr>
        <w:pStyle w:val="11"/>
        <w:keepNext w:val="0"/>
        <w:keepLines w:val="0"/>
        <w:widowControl w:val="0"/>
        <w:shd w:val="clear" w:color="auto" w:fill="auto"/>
        <w:bidi w:val="0"/>
        <w:spacing w:before="0" w:after="240" w:line="343" w:lineRule="exact"/>
        <w:ind w:left="0" w:right="0" w:firstLine="0"/>
        <w:jc w:val="both"/>
      </w:pPr>
      <w:r>
        <w:rPr>
          <w:color w:val="000000"/>
          <w:spacing w:val="0"/>
          <w:w w:val="100"/>
          <w:position w:val="0"/>
        </w:rPr>
        <w:t>■评析</w:t>
      </w:r>
    </w:p>
    <w:p w14:paraId="00421BD2">
      <w:pPr>
        <w:pStyle w:val="17"/>
        <w:keepNext w:val="0"/>
        <w:keepLines w:val="0"/>
        <w:widowControl w:val="0"/>
        <w:shd w:val="clear" w:color="auto" w:fill="auto"/>
        <w:bidi w:val="0"/>
        <w:spacing w:before="0" w:after="12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本案争点</w:t>
      </w:r>
    </w:p>
    <w:p w14:paraId="5663A543">
      <w:pPr>
        <w:pStyle w:val="17"/>
        <w:keepNext w:val="0"/>
        <w:keepLines w:val="0"/>
        <w:widowControl w:val="0"/>
        <w:shd w:val="clear" w:color="auto" w:fill="auto"/>
        <w:bidi w:val="0"/>
        <w:spacing w:before="0" w:after="0" w:line="377" w:lineRule="auto"/>
        <w:ind w:left="0" w:right="0" w:firstLine="420"/>
        <w:jc w:val="both"/>
      </w:pP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rPr>
        <w:t>合同效力问题</w:t>
      </w:r>
    </w:p>
    <w:p w14:paraId="1627F99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本案《国内保理合同》的效力认定是判定各方当事人对本案法律责任承担的基础。而 不同类型的合同在效力判定路径上，有显著不同。因此，确定本案《国内保理合同》的效力 判定路径是作出判决的首要任务。由于本案裁判作出时，《民法典》尚未生效，当时并没有 保理合同的规定，因此，再审法官依据银行业规范，认定本案《国内保理合同》同时包含了债 权转让、金融借款、应收账款催收等多种法律关系，并非单一债权转让合同，而是以融资服 务为目的的保理合同。故而,一审与二审法院忽略了保理合同的特殊性，仅以债权转让为 案由判断《国内保理合同》的效力，并不正当。</w:t>
      </w:r>
    </w:p>
    <w:p w14:paraId="0C5993D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再审法院纠正了一审与二审法院就合同效力问题所犯的错误,进一步厘清了审判思 路。保理合同中，债权人将基础合同中的债权转让给保理人,保理人对债权人提供融资服 务后，保理人有权向基础合同的债务人主张清偿。本案长春库认为，由于隆瑞祥公司并未 实际履行《粮食采购合同》中的货物给付义务，且本合同系受隆瑞祥公司卢某欺诈所签订, 在出具《发票收妥确认函》时尚未识破骗局，因此，基础合同并非真实，债权人的应收账款债 权并不存在。一审与二审法院采纳其主张,均认定，在隆瑞祥与长春库之间并未存在真正 买卖合同关系且长春库与隆瑞祥之间不存在有效债权债务的情况下，以此为基础的《国内 保理合同》因失去事实基础而无效。再审法院认为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i</w:t>
      </w:r>
      <w:r>
        <w:rPr>
          <w:color w:val="000000"/>
          <w:spacing w:val="0"/>
          <w:w w:val="100"/>
          <w:position w:val="0"/>
          <w:sz w:val="19"/>
          <w:szCs w:val="19"/>
          <w:lang w:val="en-US" w:eastAsia="en-US" w:bidi="en-US"/>
        </w:rPr>
        <w:t>）</w:t>
      </w:r>
      <w:r>
        <w:rPr>
          <w:color w:val="000000"/>
          <w:spacing w:val="0"/>
          <w:w w:val="100"/>
          <w:position w:val="0"/>
        </w:rPr>
        <w:t>《粮食采购合同》与《国内保理合 同》，均不存在违反《合同法》第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条（《民法典》中已删去该条，代之以第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154</w:t>
      </w:r>
      <w:r>
        <w:rPr>
          <w:color w:val="000000"/>
          <w:spacing w:val="0"/>
          <w:w w:val="100"/>
          <w:position w:val="0"/>
        </w:rPr>
        <w:t>条等）之 情形,故而有效。（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）长春库主张阳光银行在签订保理合同时,有违反银监会《商业银行保 理业务管理暂行办法》的情形，保理合同因此无效。</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但合同无效的认定不得以地方性法 规、行政规章为依据，因此，《商业银行保理业务管理办法》不能作为判定保理合同效力的依 据。基础合同是否为真实交易，只是合同履行中的事实问题,只是确认是否违约的基础。至 于基础债权是否真实，是否会导致保理合同履行不能,也同样属于合同履行及是否违约问 题，与合同效力无关。</w:t>
      </w:r>
    </w:p>
    <w:p w14:paraId="059D1BB3">
      <w:pPr>
        <w:pStyle w:val="17"/>
        <w:keepNext w:val="0"/>
        <w:keepLines w:val="0"/>
        <w:widowControl w:val="0"/>
        <w:shd w:val="clear" w:color="auto" w:fill="auto"/>
        <w:bidi w:val="0"/>
        <w:spacing w:before="0" w:after="140" w:line="343" w:lineRule="exact"/>
        <w:ind w:left="0" w:right="0" w:firstLine="420"/>
        <w:jc w:val="both"/>
        <w:rPr>
          <w:sz w:val="11"/>
          <w:szCs w:val="11"/>
        </w:rPr>
      </w:pPr>
      <w:r>
        <w:rPr>
          <w:color w:val="000000"/>
          <w:spacing w:val="0"/>
          <w:w w:val="100"/>
          <w:position w:val="0"/>
          <w:sz w:val="18"/>
          <w:szCs w:val="18"/>
        </w:rPr>
        <w:t>保理交易结构的核心特征在于基础交易项下应收账款的转让，可谓</w:t>
      </w:r>
      <w:r>
        <w:rPr>
          <w:color w:val="000000"/>
          <w:spacing w:val="0"/>
          <w:w w:val="100"/>
          <w:position w:val="0"/>
          <w:sz w:val="18"/>
          <w:szCs w:val="18"/>
          <w:lang w:val="zh-CN" w:eastAsia="zh-CN" w:bidi="zh-CN"/>
        </w:rPr>
        <w:t>“不</w:t>
      </w:r>
      <w:r>
        <w:rPr>
          <w:color w:val="000000"/>
          <w:spacing w:val="0"/>
          <w:w w:val="100"/>
          <w:position w:val="0"/>
          <w:sz w:val="18"/>
          <w:szCs w:val="18"/>
        </w:rPr>
        <w:t xml:space="preserve">让与，非保理” </w:t>
      </w:r>
      <w:r>
        <w:rPr>
          <w:color w:val="000000"/>
          <w:spacing w:val="0"/>
          <w:w w:val="100"/>
          <w:position w:val="0"/>
          <w:sz w:val="11"/>
          <w:szCs w:val="11"/>
        </w:rPr>
        <w:t>（李宁:《保理合同立法论》，载《法学》</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sz w:val="11"/>
          <w:szCs w:val="11"/>
        </w:rPr>
        <w:t>期）。</w:t>
      </w:r>
      <w:r>
        <w:rPr>
          <w:color w:val="000000"/>
          <w:spacing w:val="0"/>
          <w:w w:val="100"/>
          <w:position w:val="0"/>
          <w:sz w:val="18"/>
          <w:szCs w:val="18"/>
        </w:rPr>
        <w:t xml:space="preserve">就保理合同和债权让与的关系而言，保 理合同是原因行为,保理合同中债权人与保理人就债权让与达成合意，即成为债权人让与 债权的原因，赋予债权人进行债权让与的义务，因此亦为负担行为。债权让与则为独立于 保理合同的处分行为。若不区分债权让与的合意，即保理合同，与债权让与行为的负担性 与处分性，仅将保理合同视为以债权让与处分为核心的处分行为，就会产生因《合同法》第 </w:t>
      </w:r>
      <w:r>
        <w:rPr>
          <w:rFonts w:ascii="Times New Roman" w:hAnsi="Times New Roman" w:eastAsia="Times New Roman" w:cs="Times New Roman"/>
          <w:color w:val="000000"/>
          <w:spacing w:val="0"/>
          <w:w w:val="100"/>
          <w:position w:val="0"/>
          <w:sz w:val="19"/>
          <w:szCs w:val="19"/>
        </w:rPr>
        <w:t>51</w:t>
      </w:r>
      <w:r>
        <w:rPr>
          <w:color w:val="000000"/>
          <w:spacing w:val="0"/>
          <w:w w:val="100"/>
          <w:position w:val="0"/>
          <w:sz w:val="18"/>
          <w:szCs w:val="18"/>
        </w:rPr>
        <w:t>条等无权处分情形可能导致债权让与无效（《民法典》未延续该条文规定），即本案一审 与二审中让与所谓</w:t>
      </w:r>
      <w:r>
        <w:rPr>
          <w:color w:val="000000"/>
          <w:spacing w:val="0"/>
          <w:w w:val="100"/>
          <w:position w:val="0"/>
          <w:sz w:val="18"/>
          <w:szCs w:val="18"/>
          <w:lang w:val="zh-CN" w:eastAsia="zh-CN" w:bidi="zh-CN"/>
        </w:rPr>
        <w:t>“虚</w:t>
      </w:r>
      <w:r>
        <w:rPr>
          <w:color w:val="000000"/>
          <w:spacing w:val="0"/>
          <w:w w:val="100"/>
          <w:position w:val="0"/>
          <w:sz w:val="18"/>
          <w:szCs w:val="18"/>
        </w:rPr>
        <w:t>构债权</w:t>
      </w:r>
      <w:r>
        <w:rPr>
          <w:color w:val="000000"/>
          <w:spacing w:val="0"/>
          <w:w w:val="100"/>
          <w:position w:val="0"/>
          <w:sz w:val="18"/>
          <w:szCs w:val="18"/>
          <w:lang w:val="zh-CN" w:eastAsia="zh-CN" w:bidi="zh-CN"/>
        </w:rPr>
        <w:t>”会</w:t>
      </w:r>
      <w:r>
        <w:rPr>
          <w:color w:val="000000"/>
          <w:spacing w:val="0"/>
          <w:w w:val="100"/>
          <w:position w:val="0"/>
          <w:sz w:val="18"/>
          <w:szCs w:val="18"/>
        </w:rPr>
        <w:t>导致保理合同无效的后果。在本案以前，最高人民法院实 际上对下级人民法院因基础合同无效而判定保理合同无效的判决进行过纠正，如中国工商 银行股份有限公司乌鲁木齐钢城支行与中铁物资集团新疆有限公司、广州诚通金属公司合 同纠纷案</w:t>
      </w:r>
      <w:r>
        <w:rPr>
          <w:color w:val="000000"/>
          <w:spacing w:val="0"/>
          <w:w w:val="100"/>
          <w:position w:val="0"/>
          <w:sz w:val="11"/>
          <w:szCs w:val="11"/>
        </w:rPr>
        <w:t>［最高人民法院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民二终字第</w:t>
      </w:r>
      <w:r>
        <w:rPr>
          <w:rFonts w:ascii="Times New Roman" w:hAnsi="Times New Roman" w:eastAsia="Times New Roman" w:cs="Times New Roman"/>
          <w:color w:val="000000"/>
          <w:spacing w:val="0"/>
          <w:w w:val="100"/>
          <w:position w:val="0"/>
          <w:sz w:val="17"/>
          <w:szCs w:val="17"/>
        </w:rPr>
        <w:t>271</w:t>
      </w:r>
      <w:r>
        <w:rPr>
          <w:color w:val="000000"/>
          <w:spacing w:val="0"/>
          <w:w w:val="100"/>
          <w:position w:val="0"/>
          <w:sz w:val="11"/>
          <w:szCs w:val="11"/>
        </w:rPr>
        <w:t>号民事判决书］。</w:t>
      </w:r>
      <w:r>
        <w:rPr>
          <w:color w:val="000000"/>
          <w:spacing w:val="0"/>
          <w:w w:val="100"/>
          <w:position w:val="0"/>
          <w:sz w:val="18"/>
          <w:szCs w:val="18"/>
        </w:rPr>
        <w:t>其后的裁判也继续沿用这一审 判思路，如锦州辽西小商品批发市场服务有限公司、中国工商银行股份有限公司天津空港 经济区支行合同纠纷案</w:t>
      </w:r>
      <w:r>
        <w:rPr>
          <w:color w:val="000000"/>
          <w:spacing w:val="0"/>
          <w:w w:val="100"/>
          <w:position w:val="0"/>
          <w:sz w:val="11"/>
          <w:szCs w:val="11"/>
        </w:rPr>
        <w:t>［最高人民法院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最高法民终第</w:t>
      </w:r>
      <w:r>
        <w:rPr>
          <w:rFonts w:ascii="Times New Roman" w:hAnsi="Times New Roman" w:eastAsia="Times New Roman" w:cs="Times New Roman"/>
          <w:color w:val="000000"/>
          <w:spacing w:val="0"/>
          <w:w w:val="100"/>
          <w:position w:val="0"/>
          <w:sz w:val="17"/>
          <w:szCs w:val="17"/>
        </w:rPr>
        <w:t>578</w:t>
      </w:r>
      <w:r>
        <w:rPr>
          <w:color w:val="000000"/>
          <w:spacing w:val="0"/>
          <w:w w:val="100"/>
          <w:position w:val="0"/>
          <w:sz w:val="11"/>
          <w:szCs w:val="11"/>
        </w:rPr>
        <w:t>号民事判决书］。</w:t>
      </w:r>
      <w:r>
        <w:rPr>
          <w:color w:val="000000"/>
          <w:spacing w:val="0"/>
          <w:w w:val="100"/>
          <w:position w:val="0"/>
          <w:sz w:val="18"/>
          <w:szCs w:val="18"/>
        </w:rPr>
        <w:t>在本案之后的 地方高院裁判也证明此举已在司法审判实践中被采纳,如陈松奎中共重庆市黔江区委党校 等与买梅菊、石邦会等合同纠纷案</w:t>
      </w:r>
      <w:r>
        <w:rPr>
          <w:color w:val="000000"/>
          <w:spacing w:val="0"/>
          <w:w w:val="100"/>
          <w:position w:val="0"/>
          <w:sz w:val="11"/>
          <w:szCs w:val="11"/>
        </w:rPr>
        <w:t>［重庆市高级人民法院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渝民终</w:t>
      </w:r>
      <w:r>
        <w:rPr>
          <w:rFonts w:ascii="Times New Roman" w:hAnsi="Times New Roman" w:eastAsia="Times New Roman" w:cs="Times New Roman"/>
          <w:color w:val="000000"/>
          <w:spacing w:val="0"/>
          <w:w w:val="100"/>
          <w:position w:val="0"/>
          <w:sz w:val="17"/>
          <w:szCs w:val="17"/>
        </w:rPr>
        <w:t>1358</w:t>
      </w:r>
      <w:r>
        <w:rPr>
          <w:color w:val="000000"/>
          <w:spacing w:val="0"/>
          <w:w w:val="100"/>
          <w:position w:val="0"/>
          <w:sz w:val="11"/>
          <w:szCs w:val="11"/>
        </w:rPr>
        <w:t>号民事判决书］</w:t>
      </w:r>
      <w:r>
        <w:rPr>
          <w:color w:val="000000"/>
          <w:spacing w:val="0"/>
          <w:w w:val="100"/>
          <w:position w:val="0"/>
          <w:sz w:val="18"/>
          <w:szCs w:val="18"/>
        </w:rPr>
        <w:t>，华电 煤业集团运销有限公司、邵东县人合融资担保有限公司金融借款合同纠纷案</w:t>
      </w:r>
      <w:r>
        <w:rPr>
          <w:color w:val="000000"/>
          <w:spacing w:val="0"/>
          <w:w w:val="100"/>
          <w:position w:val="0"/>
          <w:sz w:val="11"/>
          <w:szCs w:val="11"/>
        </w:rPr>
        <w:t>［湖南省高级人 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湘民再</w:t>
      </w:r>
      <w:r>
        <w:rPr>
          <w:rFonts w:ascii="Times New Roman" w:hAnsi="Times New Roman" w:eastAsia="Times New Roman" w:cs="Times New Roman"/>
          <w:color w:val="000000"/>
          <w:spacing w:val="0"/>
          <w:w w:val="100"/>
          <w:position w:val="0"/>
          <w:sz w:val="17"/>
          <w:szCs w:val="17"/>
        </w:rPr>
        <w:t>633</w:t>
      </w:r>
      <w:r>
        <w:rPr>
          <w:color w:val="000000"/>
          <w:spacing w:val="0"/>
          <w:w w:val="100"/>
          <w:position w:val="0"/>
          <w:sz w:val="11"/>
          <w:szCs w:val="11"/>
        </w:rPr>
        <w:t>号民事判决书］等。</w:t>
      </w:r>
    </w:p>
    <w:p w14:paraId="6E125749">
      <w:pPr>
        <w:pStyle w:val="17"/>
        <w:keepNext w:val="0"/>
        <w:keepLines w:val="0"/>
        <w:widowControl w:val="0"/>
        <w:shd w:val="clear" w:color="auto" w:fill="auto"/>
        <w:bidi w:val="0"/>
        <w:spacing w:before="0" w:after="0" w:line="377" w:lineRule="auto"/>
        <w:ind w:left="0" w:right="0"/>
        <w:jc w:val="both"/>
      </w:pPr>
      <w:r>
        <w:rPr>
          <w:rFonts w:ascii="Times New Roman" w:hAnsi="Times New Roman" w:eastAsia="Times New Roman" w:cs="Times New Roman"/>
          <w:color w:val="000000"/>
          <w:spacing w:val="0"/>
          <w:w w:val="100"/>
          <w:position w:val="0"/>
          <w:sz w:val="19"/>
          <w:szCs w:val="19"/>
          <w:lang w:val="en-US" w:eastAsia="en-US" w:bidi="en-US"/>
        </w:rPr>
        <w:t>2.</w:t>
      </w:r>
      <w:r>
        <w:rPr>
          <w:color w:val="000000"/>
          <w:spacing w:val="0"/>
          <w:w w:val="100"/>
          <w:position w:val="0"/>
        </w:rPr>
        <w:t>债务人对保理人债权的清偿责任分担</w:t>
      </w:r>
    </w:p>
    <w:p w14:paraId="4EC1BAB2">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再审程序中,法院明确了债务人应当向保理人承担清偿责任。《国内保理合同》的订 立,以隆瑞祥公司在长春库有基础债权并将该债权转让给阳光银行为前提，所以，在签订了 保理合同、隆瑞祥公司向长春库发出《应收账款转让通知书》并得到长春库盖章确认后，债 权转让完成，阳光银行取得应收账款的相关权利。因此,在向隆瑞祥公司发放</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万元融资 款后,阳光银行有权基于债权让与向债务人长春库主张清偿。《粮食采购合同》《发票妥收 确认函》《应收账款转让通知书》上均加盖了长春库公章，保理人阳光银行有理由相信案涉 应收账款真实存在，故长春库应当在其确认的应收账款金额范围内，向阳光银行履行偿还 隆瑞祥保理融资款本息的责任。</w:t>
      </w:r>
    </w:p>
    <w:p w14:paraId="66BFDE45">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在一审与二审中,法院基于错误判定保理合同的效力，所以未以保理法律关系判定债 务人与债权人对保理人的清偿责任分担。不过，法院认为，隆瑞祥公司基于不真实的债权 向阳光银行进行转让导致合同无效，存在主观过错，因此基于《合同法》第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rPr>
        <w:t>条(《民法典》 第</w:t>
      </w:r>
      <w:r>
        <w:rPr>
          <w:rFonts w:ascii="Times New Roman" w:hAnsi="Times New Roman" w:eastAsia="Times New Roman" w:cs="Times New Roman"/>
          <w:color w:val="000000"/>
          <w:spacing w:val="0"/>
          <w:w w:val="100"/>
          <w:position w:val="0"/>
          <w:sz w:val="19"/>
          <w:szCs w:val="19"/>
        </w:rPr>
        <w:t>500</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条)，应当对阳光银行尚未获清偿的</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万余元融资 款进行返还。长春库明知其与隆瑞祥公司没有发生真实买卖,却出具《发票收妥确认函》确 认已收到货物，在阳光银行向其送达《应收账款转让通知书》并核实债权真实性时，其盖章 予以确认。长春库在签订合同中故意隐瞒与订立合同有关的重要事实,提供虚假情况，使 阳光银行足以相信其与隆瑞祥公司之间存在真实的货物买卖关系，进而向隆瑞祥公司发放 融资款，长春库属于欺诈行为，主观上存在明显过错，侵害了阳光银行的利益，基于侵权责 任的承担规则，给其造成了损失，应对该损失即隆瑞祥公司不能清偿的部分承担赔偿责任。</w:t>
      </w:r>
    </w:p>
    <w:p w14:paraId="392158B5">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再审法院虽纠正了一审与二审法院对合同效力的判定，但在债务人对保理人未实现的 清偿的责任分配上，继续认可了前审法院的裁判。前审法院的整体裁判路径为:基础合同 与保理合同无效，债权让与人作为保理合同的当事人,基于过错导致合同无效而应当向保 理人承担违反权利瑕疵担保义务的违约责任;债务人由于过错而使保理人产生对基础债权 的信任向债权让与人发放融资款致其财产权受侵害，因此基于侵权向保理人未实现的清偿 承担补充责任。但再审法院的裁判路径实有不同:保理合同有效，债权转让已通知债务人 并得到债务人确认，因此债权转让对债务人产生效力，保理人成为应收账款新债权人，有权 向债务人主张应收账款项下的债务清偿，也就是现余</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万余元的本息清偿。由此可见，债 务人承担主要清偿责任。但是，由于再审中债权让与人未提出任何诉讼请求或答辩，保理 人未对原审清偿责任分配提出异议，而原审判定的清偿对保理人的实体权利未有不利影 响，因此维持原判清偿责任的承担。</w:t>
      </w:r>
    </w:p>
    <w:p w14:paraId="52E389A4">
      <w:pPr>
        <w:pStyle w:val="17"/>
        <w:keepNext w:val="0"/>
        <w:keepLines w:val="0"/>
        <w:widowControl w:val="0"/>
        <w:shd w:val="clear" w:color="auto" w:fill="auto"/>
        <w:bidi w:val="0"/>
        <w:spacing w:before="0" w:after="300" w:line="343" w:lineRule="exact"/>
        <w:ind w:left="0" w:right="0" w:firstLine="420"/>
        <w:jc w:val="both"/>
        <w:rPr>
          <w:sz w:val="11"/>
          <w:szCs w:val="11"/>
        </w:rPr>
      </w:pPr>
      <w:r>
        <w:rPr>
          <w:color w:val="000000"/>
          <w:spacing w:val="0"/>
          <w:w w:val="100"/>
          <w:position w:val="0"/>
          <w:sz w:val="18"/>
          <w:szCs w:val="18"/>
        </w:rPr>
        <w:t>保理合同有效，将债权让与通知债务人，债务人确认通知的情况下，保理人取得应收账 款项下全部权利,有权向债务人主张基础合同内的债务清偿。债务人若拒绝清偿，需要有 合法抗辩。债权让与生效后，债务人向保理人主张的抗辩事由，应以基础交易合同为限。本 案中债务人长春库的抗辩理由是保理人在签订保理合同时未尽审慎义务，未能发现基础合 同债权的不真实性。这也是司法实践中常见的债务人拒绝承担清偿责任的主张。本案再 审法院认为，保理人对待转让应收账款债权的审查义务源于《商业银行保理业务暂行管理 办法》等银行内部监管文件，这种审慎义务的要求旨在引导金融机构能够更好地控制风险, 减少提供金融服务过程中的利益损失，其仅为银行业内部的管理规定，不产生对外效力或 对外责任。因此不予支持。最高人民法院在既往裁判中，也持此意见，如中国平煤神马集团 物流有限公司、中国平煤神马能源化工集团有限责任公司金融借款合同纠纷案</w:t>
      </w:r>
      <w:r>
        <w:rPr>
          <w:color w:val="000000"/>
          <w:spacing w:val="0"/>
          <w:w w:val="100"/>
          <w:position w:val="0"/>
          <w:sz w:val="11"/>
          <w:szCs w:val="11"/>
        </w:rPr>
        <w:t>［最高人民法 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最高法民再</w:t>
      </w:r>
      <w:r>
        <w:rPr>
          <w:rFonts w:ascii="Times New Roman" w:hAnsi="Times New Roman" w:eastAsia="Times New Roman" w:cs="Times New Roman"/>
          <w:color w:val="000000"/>
          <w:spacing w:val="0"/>
          <w:w w:val="100"/>
          <w:position w:val="0"/>
          <w:sz w:val="17"/>
          <w:szCs w:val="17"/>
        </w:rPr>
        <w:t>129</w:t>
      </w:r>
      <w:r>
        <w:rPr>
          <w:color w:val="000000"/>
          <w:spacing w:val="0"/>
          <w:w w:val="100"/>
          <w:position w:val="0"/>
          <w:sz w:val="11"/>
          <w:szCs w:val="11"/>
        </w:rPr>
        <w:t>号民事判决书</w:t>
      </w:r>
      <w:r>
        <w:rPr>
          <w:color w:val="000000"/>
          <w:spacing w:val="0"/>
          <w:w w:val="100"/>
          <w:position w:val="0"/>
          <w:sz w:val="11"/>
          <w:szCs w:val="11"/>
          <w:lang w:val="en-US" w:eastAsia="en-US" w:bidi="en-US"/>
        </w:rPr>
        <w:t>］</w:t>
      </w:r>
      <w:r>
        <w:rPr>
          <w:color w:val="000000"/>
          <w:spacing w:val="0"/>
          <w:w w:val="100"/>
          <w:position w:val="0"/>
          <w:sz w:val="11"/>
          <w:szCs w:val="11"/>
        </w:rPr>
        <w:t>。</w:t>
      </w:r>
    </w:p>
    <w:p w14:paraId="37A21086">
      <w:pPr>
        <w:pStyle w:val="17"/>
        <w:keepNext w:val="0"/>
        <w:keepLines w:val="0"/>
        <w:widowControl w:val="0"/>
        <w:shd w:val="clear" w:color="auto" w:fill="auto"/>
        <w:bidi w:val="0"/>
        <w:spacing w:before="0" w:after="14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w:t>
      </w:r>
    </w:p>
    <w:p w14:paraId="176AE80C">
      <w:pPr>
        <w:pStyle w:val="17"/>
        <w:keepNext w:val="0"/>
        <w:keepLines w:val="0"/>
        <w:widowControl w:val="0"/>
        <w:numPr>
          <w:ilvl w:val="0"/>
          <w:numId w:val="32"/>
        </w:numPr>
        <w:shd w:val="clear" w:color="auto" w:fill="auto"/>
        <w:tabs>
          <w:tab w:val="left" w:pos="685"/>
        </w:tabs>
        <w:bidi w:val="0"/>
        <w:spacing w:before="0" w:after="0" w:line="377" w:lineRule="auto"/>
        <w:ind w:left="0" w:right="0" w:firstLine="420"/>
        <w:jc w:val="both"/>
      </w:pPr>
      <w:bookmarkStart w:id="145" w:name="bookmark511"/>
      <w:bookmarkEnd w:id="145"/>
      <w:r>
        <w:rPr>
          <w:color w:val="000000"/>
          <w:spacing w:val="0"/>
          <w:w w:val="100"/>
          <w:position w:val="0"/>
        </w:rPr>
        <w:t>基础合同非真实并不必然导致保理合同无效</w:t>
      </w:r>
    </w:p>
    <w:p w14:paraId="740C30A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保理关系的基本内容和基础合同的债权人、债务人与保理人的权利义务规范，仅见于 效力位阶较低的行政规章</w:t>
      </w:r>
      <w:r>
        <w:rPr>
          <w:color w:val="000000"/>
          <w:spacing w:val="0"/>
          <w:w w:val="100"/>
          <w:position w:val="0"/>
          <w:sz w:val="11"/>
          <w:szCs w:val="11"/>
        </w:rPr>
        <w:t>（李宇：《保理合同立法论》，载《法学》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sz w:val="11"/>
          <w:szCs w:val="11"/>
        </w:rPr>
        <w:t>期）。</w:t>
      </w:r>
      <w:r>
        <w:rPr>
          <w:color w:val="000000"/>
          <w:spacing w:val="0"/>
          <w:w w:val="100"/>
          <w:position w:val="0"/>
        </w:rPr>
        <w:t>根据业内规 则、法院司法审判经验和保理的基本法理,保理合同的本质为以债权让与为典型给付，加之 金融服务的组合,其性质为混合契约。基础合同和保理合同,是两个相互独立的合同,并非 类似主从合同的关系,虽然保理业界通常要求,基础合同应当真实合法有效，但其目的在于 规范商业银行按规定开展保理业务，降低银行放贷信用风险。因此,基础合同非真实并不 必然导致保理合同无效。实际上，涉及了让与虚构债权、特约禁止让与的债权、将来债权的 保理合同，都不必然无效。这也为中小企业活用应收账款，以保理方式进行融资提供了更 多可能。</w:t>
      </w:r>
    </w:p>
    <w:p w14:paraId="1FE3BD0D">
      <w:pPr>
        <w:pStyle w:val="17"/>
        <w:keepNext w:val="0"/>
        <w:keepLines w:val="0"/>
        <w:widowControl w:val="0"/>
        <w:shd w:val="clear" w:color="auto" w:fill="auto"/>
        <w:bidi w:val="0"/>
        <w:spacing w:before="0" w:after="140" w:line="343" w:lineRule="exact"/>
        <w:ind w:left="0" w:right="0" w:firstLine="420"/>
        <w:jc w:val="both"/>
        <w:rPr>
          <w:sz w:val="26"/>
          <w:szCs w:val="26"/>
        </w:rPr>
      </w:pPr>
      <w:r>
        <w:rPr>
          <w:color w:val="000000"/>
          <w:spacing w:val="0"/>
          <w:w w:val="100"/>
          <w:position w:val="0"/>
          <w:sz w:val="18"/>
          <w:szCs w:val="18"/>
        </w:rPr>
        <w:t>《民法典》合同编第十六章已将保理合同作为新类型的有名合同加以规范。第</w:t>
      </w:r>
      <w:r>
        <w:rPr>
          <w:rFonts w:ascii="Times New Roman" w:hAnsi="Times New Roman" w:eastAsia="Times New Roman" w:cs="Times New Roman"/>
          <w:color w:val="000000"/>
          <w:spacing w:val="0"/>
          <w:w w:val="100"/>
          <w:position w:val="0"/>
          <w:sz w:val="19"/>
          <w:szCs w:val="19"/>
        </w:rPr>
        <w:t>761</w:t>
      </w:r>
      <w:r>
        <w:rPr>
          <w:color w:val="000000"/>
          <w:spacing w:val="0"/>
          <w:w w:val="100"/>
          <w:position w:val="0"/>
          <w:sz w:val="18"/>
          <w:szCs w:val="18"/>
        </w:rPr>
        <w:t>条 基本采取了前述债权让与加之金融服务组合对保理合同进行了定义。就本案涉及的债权 标的可能存在虚构的情形，第</w:t>
      </w:r>
      <w:r>
        <w:rPr>
          <w:rFonts w:ascii="Times New Roman" w:hAnsi="Times New Roman" w:eastAsia="Times New Roman" w:cs="Times New Roman"/>
          <w:color w:val="000000"/>
          <w:spacing w:val="0"/>
          <w:w w:val="100"/>
          <w:position w:val="0"/>
          <w:sz w:val="19"/>
          <w:szCs w:val="19"/>
        </w:rPr>
        <w:t>763</w:t>
      </w:r>
      <w:r>
        <w:rPr>
          <w:color w:val="000000"/>
          <w:spacing w:val="0"/>
          <w:w w:val="100"/>
          <w:position w:val="0"/>
          <w:sz w:val="18"/>
          <w:szCs w:val="18"/>
        </w:rPr>
        <w:t>条规定</w:t>
      </w:r>
      <w:r>
        <w:rPr>
          <w:color w:val="000000"/>
          <w:spacing w:val="0"/>
          <w:w w:val="100"/>
          <w:position w:val="0"/>
          <w:sz w:val="18"/>
          <w:szCs w:val="18"/>
          <w:lang w:val="zh-CN" w:eastAsia="zh-CN" w:bidi="zh-CN"/>
        </w:rPr>
        <w:t>，“应</w:t>
      </w:r>
      <w:r>
        <w:rPr>
          <w:color w:val="000000"/>
          <w:spacing w:val="0"/>
          <w:w w:val="100"/>
          <w:position w:val="0"/>
          <w:sz w:val="18"/>
          <w:szCs w:val="18"/>
        </w:rPr>
        <w:t>收账款债权人与债务人虚构应收账款作为转 让标的，与保理人订立保理合同的，应收账款债务人不得以应收账款不存在为由对抗保理 人，但是保理人明知虚构的除外”。并未将基础合同真实性直接与保理合同效力相关联，也 采纳了过往司法实践中的裁判规则，该规定为未来关于类似案件的处理提供了更为直接的 规范依据。</w:t>
      </w:r>
      <w:r>
        <w:rPr>
          <w:color w:val="65656B"/>
          <w:spacing w:val="0"/>
          <w:w w:val="100"/>
          <w:position w:val="0"/>
          <w:sz w:val="18"/>
          <w:szCs w:val="18"/>
        </w:rPr>
        <w:t>文</w:t>
      </w:r>
      <w:r>
        <w:rPr>
          <w:rFonts w:ascii="Times New Roman" w:hAnsi="Times New Roman" w:eastAsia="Times New Roman" w:cs="Times New Roman"/>
          <w:color w:val="454148"/>
          <w:spacing w:val="0"/>
          <w:w w:val="100"/>
          <w:position w:val="0"/>
          <w:sz w:val="38"/>
          <w:szCs w:val="38"/>
          <w:lang w:val="en-US" w:eastAsia="en-US" w:bidi="en-US"/>
        </w:rPr>
        <w:t>JfJdocsriver.com</w:t>
      </w:r>
      <w:r>
        <w:rPr>
          <w:color w:val="65656B"/>
          <w:spacing w:val="0"/>
          <w:w w:val="100"/>
          <w:position w:val="0"/>
          <w:sz w:val="26"/>
          <w:szCs w:val="26"/>
        </w:rPr>
        <w:t>入驻商家巨力袋鼠合作店</w:t>
      </w:r>
    </w:p>
    <w:p w14:paraId="22097888">
      <w:pPr>
        <w:pStyle w:val="17"/>
        <w:keepNext w:val="0"/>
        <w:keepLines w:val="0"/>
        <w:widowControl w:val="0"/>
        <w:numPr>
          <w:ilvl w:val="0"/>
          <w:numId w:val="32"/>
        </w:numPr>
        <w:shd w:val="clear" w:color="auto" w:fill="auto"/>
        <w:tabs>
          <w:tab w:val="left" w:pos="702"/>
        </w:tabs>
        <w:bidi w:val="0"/>
        <w:spacing w:before="0" w:after="0" w:line="377" w:lineRule="auto"/>
        <w:ind w:left="0" w:right="0" w:firstLine="420"/>
        <w:jc w:val="both"/>
      </w:pPr>
      <w:bookmarkStart w:id="146" w:name="bookmark512"/>
      <w:bookmarkEnd w:id="146"/>
      <w:r>
        <w:rPr>
          <w:color w:val="000000"/>
          <w:spacing w:val="0"/>
          <w:w w:val="100"/>
          <w:position w:val="0"/>
        </w:rPr>
        <w:t>债务人对保理人主张清偿的抗辩</w:t>
      </w:r>
    </w:p>
    <w:p w14:paraId="59EDFA15">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债权让与并未改变债权的同一性，债权之上所附着的瑕疵亦随之移转。一经通知债务 人，债权让与即对债务人生效，债务人对让与人的抗辩,即可开始对抗受让人。保理关系与 债权让与一般规则并无不同。抗辩权的形成时间，并不要求债权让与时主张抗辩的事实已 经发生，只要债权让与时在债权关系的内容中该抗辩的原因已经存在，在通知时已存在，即 为足够，不应因债权转让的结果而使债务人陷入不利地位。因保理人在向债务人核实基础 合同债权情形时，债务人除保理合同另有约定外没有义务必须配合,故债务人主张的保理 人未尽审慎审查义务抗辩不能影响债务人承担在已让与债权项下对保理人的清偿责任。 在重庆重铁物流有限公司、平安银行股份有限公司重庆分行合同纠纷案</w:t>
      </w:r>
      <w:r>
        <w:rPr>
          <w:color w:val="000000"/>
          <w:spacing w:val="0"/>
          <w:w w:val="100"/>
          <w:position w:val="0"/>
          <w:sz w:val="11"/>
          <w:szCs w:val="11"/>
        </w:rPr>
        <w:t xml:space="preserve">［最高人民法院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31</w:t>
      </w:r>
      <w:r>
        <w:rPr>
          <w:color w:val="000000"/>
          <w:spacing w:val="0"/>
          <w:w w:val="100"/>
          <w:position w:val="0"/>
          <w:sz w:val="11"/>
          <w:szCs w:val="11"/>
        </w:rPr>
        <w:t>号民事判决书］</w:t>
      </w:r>
      <w:r>
        <w:rPr>
          <w:color w:val="000000"/>
          <w:spacing w:val="0"/>
          <w:w w:val="100"/>
          <w:position w:val="0"/>
        </w:rPr>
        <w:t>中,最高人民法院厘清了相关裁判路径。</w:t>
      </w:r>
    </w:p>
    <w:p w14:paraId="304699BF">
      <w:pPr>
        <w:pStyle w:val="17"/>
        <w:keepNext w:val="0"/>
        <w:keepLines w:val="0"/>
        <w:widowControl w:val="0"/>
        <w:shd w:val="clear" w:color="auto" w:fill="auto"/>
        <w:bidi w:val="0"/>
        <w:spacing w:before="0" w:after="4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本案遗留的问题</w:t>
      </w:r>
    </w:p>
    <w:p w14:paraId="27F7FA14">
      <w:pPr>
        <w:pStyle w:val="17"/>
        <w:keepNext w:val="0"/>
        <w:keepLines w:val="0"/>
        <w:widowControl w:val="0"/>
        <w:shd w:val="clear" w:color="auto" w:fill="auto"/>
        <w:bidi w:val="0"/>
        <w:spacing w:before="0" w:after="340" w:line="340" w:lineRule="exact"/>
        <w:ind w:left="0" w:right="0" w:firstLine="420"/>
        <w:jc w:val="both"/>
      </w:pPr>
      <w:r>
        <w:rPr>
          <w:color w:val="000000"/>
          <w:spacing w:val="0"/>
          <w:w w:val="100"/>
          <w:position w:val="0"/>
        </w:rPr>
        <w:t>基于当事人诉讼请求和利益衡量，本案未进一步明确债务人与债权人对保理人未实现 的本息的清偿顺序。将有追索权的保理定性为</w:t>
      </w:r>
      <w:r>
        <w:rPr>
          <w:color w:val="000000"/>
          <w:spacing w:val="0"/>
          <w:w w:val="100"/>
          <w:position w:val="0"/>
          <w:lang w:val="zh-CN" w:eastAsia="zh-CN" w:bidi="zh-CN"/>
        </w:rPr>
        <w:t>“让</w:t>
      </w:r>
      <w:r>
        <w:rPr>
          <w:color w:val="000000"/>
          <w:spacing w:val="0"/>
          <w:w w:val="100"/>
          <w:position w:val="0"/>
        </w:rPr>
        <w:t>与担保</w:t>
      </w:r>
      <w:r>
        <w:rPr>
          <w:color w:val="000000"/>
          <w:spacing w:val="0"/>
          <w:w w:val="100"/>
          <w:position w:val="0"/>
          <w:lang w:val="zh-CN" w:eastAsia="zh-CN" w:bidi="zh-CN"/>
        </w:rPr>
        <w:t>”或“间</w:t>
      </w:r>
      <w:r>
        <w:rPr>
          <w:color w:val="000000"/>
          <w:spacing w:val="0"/>
          <w:w w:val="100"/>
          <w:position w:val="0"/>
        </w:rPr>
        <w:t>接给付</w:t>
      </w:r>
      <w:r>
        <w:rPr>
          <w:color w:val="000000"/>
          <w:spacing w:val="0"/>
          <w:w w:val="100"/>
          <w:position w:val="0"/>
          <w:lang w:val="zh-CN" w:eastAsia="zh-CN" w:bidi="zh-CN"/>
        </w:rPr>
        <w:t>”，在</w:t>
      </w:r>
      <w:r>
        <w:rPr>
          <w:color w:val="000000"/>
          <w:spacing w:val="0"/>
          <w:w w:val="100"/>
          <w:position w:val="0"/>
        </w:rPr>
        <w:t>债务人以基础 交易不实向保理人进行抗辩时，债务人应否向保理人承担责任，以及债务人与债权人对保 理人的清偿顺序和责任分担，在说理路径上有明显不同。《民法典》保理合同章亦未对这些 内容进行明确规定。不过，《民法典》第</w:t>
      </w:r>
      <w:r>
        <w:rPr>
          <w:rFonts w:ascii="Times New Roman" w:hAnsi="Times New Roman" w:eastAsia="Times New Roman" w:cs="Times New Roman"/>
          <w:color w:val="000000"/>
          <w:spacing w:val="0"/>
          <w:w w:val="100"/>
          <w:position w:val="0"/>
          <w:sz w:val="19"/>
          <w:szCs w:val="19"/>
        </w:rPr>
        <w:t>769</w:t>
      </w:r>
      <w:r>
        <w:rPr>
          <w:color w:val="000000"/>
          <w:spacing w:val="0"/>
          <w:w w:val="100"/>
          <w:position w:val="0"/>
        </w:rPr>
        <w:t>条指出，保理合同章没有规定的,直接适用债权 转让的有关规定。而《民法典》债权转让部分中与此相关的仅有第</w:t>
      </w:r>
      <w:r>
        <w:rPr>
          <w:rFonts w:ascii="Times New Roman" w:hAnsi="Times New Roman" w:eastAsia="Times New Roman" w:cs="Times New Roman"/>
          <w:color w:val="000000"/>
          <w:spacing w:val="0"/>
          <w:w w:val="100"/>
          <w:position w:val="0"/>
          <w:sz w:val="19"/>
          <w:szCs w:val="19"/>
        </w:rPr>
        <w:t>548</w:t>
      </w:r>
      <w:r>
        <w:rPr>
          <w:color w:val="000000"/>
          <w:spacing w:val="0"/>
          <w:w w:val="100"/>
          <w:position w:val="0"/>
        </w:rPr>
        <w:t>条规定:“债务人接 到债权转让通知后,债务人对让与人的抗辩，可以向受让人主张。”《民法典》中新的保理合 同规范的适用与解释，能否解决这一问题，司法审判的裁判效果与裁判路径会发生怎样的 变化，以及《民法典》中债权转让一般规则在保理合同案件中的融合适用，未来可期。</w:t>
      </w:r>
    </w:p>
    <w:p w14:paraId="1005E0D6">
      <w:pPr>
        <w:pStyle w:val="11"/>
        <w:keepNext w:val="0"/>
        <w:keepLines w:val="0"/>
        <w:widowControl w:val="0"/>
        <w:shd w:val="clear" w:color="auto" w:fill="auto"/>
        <w:bidi w:val="0"/>
        <w:spacing w:before="0" w:after="40"/>
        <w:ind w:left="0" w:right="0" w:firstLine="0"/>
        <w:jc w:val="left"/>
      </w:pPr>
      <w:r>
        <w:rPr>
          <w:color w:val="000000"/>
          <w:spacing w:val="0"/>
          <w:w w:val="100"/>
          <w:position w:val="0"/>
        </w:rPr>
        <w:t>回参考文献</w:t>
      </w:r>
    </w:p>
    <w:p w14:paraId="1BAFBD30">
      <w:pPr>
        <w:pStyle w:val="33"/>
        <w:keepNext w:val="0"/>
        <w:keepLines w:val="0"/>
        <w:widowControl w:val="0"/>
        <w:shd w:val="clear" w:color="auto" w:fill="auto"/>
        <w:bidi w:val="0"/>
        <w:spacing w:before="0" w:after="0" w:line="318" w:lineRule="exact"/>
        <w:ind w:left="0" w:right="0" w:firstLine="0"/>
        <w:jc w:val="left"/>
      </w:pPr>
      <w:r>
        <w:rPr>
          <w:color w:val="000000"/>
          <w:spacing w:val="0"/>
          <w:w w:val="100"/>
          <w:position w:val="0"/>
        </w:rPr>
        <w:t>李宇：《保理合同立法论》，载《法学》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w:t>
      </w:r>
    </w:p>
    <w:p w14:paraId="2BF0C528">
      <w:pPr>
        <w:pStyle w:val="33"/>
        <w:keepNext w:val="0"/>
        <w:keepLines w:val="0"/>
        <w:widowControl w:val="0"/>
        <w:shd w:val="clear" w:color="auto" w:fill="auto"/>
        <w:bidi w:val="0"/>
        <w:spacing w:before="0" w:after="0" w:line="318" w:lineRule="exact"/>
        <w:ind w:left="0" w:right="0" w:firstLine="0"/>
        <w:jc w:val="left"/>
      </w:pPr>
      <w:r>
        <w:rPr>
          <w:color w:val="000000"/>
          <w:spacing w:val="0"/>
          <w:w w:val="100"/>
          <w:position w:val="0"/>
        </w:rPr>
        <w:t>韩世远:《合同法总论》（第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lang w:val="zh-CN" w:eastAsia="zh-CN" w:bidi="zh-CN"/>
        </w:rPr>
        <w:t xml:space="preserve">年版’ </w:t>
      </w:r>
      <w:r>
        <w:rPr>
          <w:color w:val="000000"/>
          <w:spacing w:val="0"/>
          <w:w w:val="100"/>
          <w:position w:val="0"/>
        </w:rPr>
        <w:t xml:space="preserve">关丽、丁俊峰、包晓丽:《保理合同纠纷中基础交易合同债务人拒绝付款的司法认定》，载 </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23</w:t>
      </w:r>
      <w:r>
        <w:rPr>
          <w:color w:val="000000"/>
          <w:spacing w:val="0"/>
          <w:w w:val="100"/>
          <w:position w:val="0"/>
        </w:rPr>
        <w:t>期。</w:t>
      </w:r>
    </w:p>
    <w:p w14:paraId="11E9B1DB">
      <w:pPr>
        <w:pStyle w:val="33"/>
        <w:keepNext w:val="0"/>
        <w:keepLines w:val="0"/>
        <w:widowControl w:val="0"/>
        <w:shd w:val="clear" w:color="auto" w:fill="auto"/>
        <w:bidi w:val="0"/>
        <w:spacing w:before="0" w:after="160" w:line="318" w:lineRule="exact"/>
        <w:ind w:left="0" w:right="0" w:firstLine="0"/>
        <w:jc w:val="left"/>
        <w:sectPr>
          <w:headerReference r:id="rId477" w:type="default"/>
          <w:headerReference r:id="rId478" w:type="even"/>
          <w:footnotePr>
            <w:numFmt w:val="chicago"/>
          </w:footnotePr>
          <w:pgSz w:w="10099" w:h="14782"/>
          <w:pgMar w:top="1319" w:right="1077" w:bottom="1078" w:left="1020" w:header="0" w:footer="3" w:gutter="0"/>
          <w:pgNumType w:start="406"/>
          <w:cols w:space="720" w:num="1"/>
          <w:rtlGutter w:val="0"/>
          <w:docGrid w:linePitch="360" w:charSpace="0"/>
        </w:sectPr>
      </w:pPr>
      <w:r>
        <w:rPr>
          <w:color w:val="000000"/>
          <w:spacing w:val="0"/>
          <w:w w:val="100"/>
          <w:position w:val="0"/>
        </w:rPr>
        <w:t>王泽鉴:《民法概要》（第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5A22F9A2">
      <w:pPr>
        <w:widowControl w:val="0"/>
        <w:spacing w:line="1" w:lineRule="exact"/>
      </w:pPr>
      <w:r>
        <w:drawing>
          <wp:anchor distT="0" distB="0" distL="0" distR="0" simplePos="0" relativeHeight="251660288" behindDoc="0" locked="0" layoutInCell="1" allowOverlap="1">
            <wp:simplePos x="0" y="0"/>
            <wp:positionH relativeFrom="page">
              <wp:posOffset>725170</wp:posOffset>
            </wp:positionH>
            <wp:positionV relativeFrom="paragraph">
              <wp:posOffset>0</wp:posOffset>
            </wp:positionV>
            <wp:extent cx="481330" cy="414655"/>
            <wp:effectExtent l="0" t="0" r="1270" b="4445"/>
            <wp:wrapTopAndBottom/>
            <wp:docPr id="1113" name="Shape 1113"/>
            <wp:cNvGraphicFramePr/>
            <a:graphic xmlns:a="http://schemas.openxmlformats.org/drawingml/2006/main">
              <a:graphicData uri="http://schemas.openxmlformats.org/drawingml/2006/picture">
                <pic:pic xmlns:pic="http://schemas.openxmlformats.org/drawingml/2006/picture">
                  <pic:nvPicPr>
                    <pic:cNvPr id="1113" name="Shape 1113"/>
                    <pic:cNvPicPr/>
                  </pic:nvPicPr>
                  <pic:blipFill>
                    <a:blip r:embed="rId696"/>
                    <a:stretch>
                      <a:fillRect/>
                    </a:stretch>
                  </pic:blipFill>
                  <pic:spPr>
                    <a:xfrm>
                      <a:off x="0" y="0"/>
                      <a:ext cx="481330" cy="414655"/>
                    </a:xfrm>
                    <a:prstGeom prst="rect">
                      <a:avLst/>
                    </a:prstGeom>
                  </pic:spPr>
                </pic:pic>
              </a:graphicData>
            </a:graphic>
          </wp:anchor>
        </w:drawing>
      </w:r>
      <w:r>
        <mc:AlternateContent>
          <mc:Choice Requires="wps">
            <w:drawing>
              <wp:anchor distT="125095" distB="41275" distL="0" distR="0" simplePos="0" relativeHeight="251660288" behindDoc="0" locked="0" layoutInCell="1" allowOverlap="1">
                <wp:simplePos x="0" y="0"/>
                <wp:positionH relativeFrom="page">
                  <wp:posOffset>1334770</wp:posOffset>
                </wp:positionH>
                <wp:positionV relativeFrom="paragraph">
                  <wp:posOffset>125095</wp:posOffset>
                </wp:positionV>
                <wp:extent cx="3620770" cy="245110"/>
                <wp:effectExtent l="0" t="0" r="0" b="0"/>
                <wp:wrapTopAndBottom/>
                <wp:docPr id="1115" name="Shape 1115"/>
                <wp:cNvGraphicFramePr/>
                <a:graphic xmlns:a="http://schemas.openxmlformats.org/drawingml/2006/main">
                  <a:graphicData uri="http://schemas.microsoft.com/office/word/2010/wordprocessingShape">
                    <wps:wsp>
                      <wps:cNvSpPr txBox="1"/>
                      <wps:spPr>
                        <a:xfrm>
                          <a:off x="0" y="0"/>
                          <a:ext cx="3620770" cy="245110"/>
                        </a:xfrm>
                        <a:prstGeom prst="rect">
                          <a:avLst/>
                        </a:prstGeom>
                        <a:noFill/>
                      </wps:spPr>
                      <wps:txbx>
                        <w:txbxContent>
                          <w:p w14:paraId="57888653">
                            <w:pPr>
                              <w:pStyle w:val="15"/>
                              <w:keepNext/>
                              <w:keepLines/>
                              <w:widowControl w:val="0"/>
                              <w:shd w:val="clear" w:color="auto" w:fill="auto"/>
                              <w:bidi w:val="0"/>
                              <w:spacing w:before="0" w:after="0" w:line="240" w:lineRule="auto"/>
                              <w:ind w:left="0" w:right="0" w:firstLine="0"/>
                              <w:jc w:val="left"/>
                            </w:pPr>
                            <w:bookmarkStart w:id="573" w:name="bookmark513"/>
                            <w:bookmarkStart w:id="574" w:name="bookmark514"/>
                            <w:bookmarkStart w:id="575" w:name="bookmark515"/>
                            <w:r>
                              <w:rPr>
                                <w:color w:val="000000"/>
                                <w:spacing w:val="0"/>
                                <w:w w:val="100"/>
                                <w:position w:val="0"/>
                              </w:rPr>
                              <w:t>定作人任意解除权的行使与赔偿范围之认定</w:t>
                            </w:r>
                            <w:bookmarkEnd w:id="573"/>
                            <w:bookmarkEnd w:id="574"/>
                            <w:bookmarkEnd w:id="575"/>
                          </w:p>
                        </w:txbxContent>
                      </wps:txbx>
                      <wps:bodyPr wrap="none" lIns="0" tIns="0" rIns="0" bIns="0">
                        <a:noAutofit/>
                      </wps:bodyPr>
                    </wps:wsp>
                  </a:graphicData>
                </a:graphic>
              </wp:anchor>
            </w:drawing>
          </mc:Choice>
          <mc:Fallback>
            <w:pict>
              <v:shape id="Shape 1115" o:spid="_x0000_s1026" o:spt="202" type="#_x0000_t202" style="position:absolute;left:0pt;margin-left:105.1pt;margin-top:9.85pt;height:19.3pt;width:285.1pt;mso-position-horizontal-relative:page;mso-wrap-distance-bottom:3.25pt;mso-wrap-distance-top:9.85pt;mso-wrap-style:none;z-index:251660288;mso-width-relative:page;mso-height-relative:page;" filled="f" stroked="f" coordsize="21600,21600" o:gfxdata="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6m3tzX&#10;AAAACQEAAA8AAAAAAAAAAQAgAAAAIgAAAGRycy9kb3ducmV2LnhtbFBLAQIUABQAAAAIAIdO4kDP&#10;+r69rwEAAHYDAAAOAAAAAAAAAAEAIAAAACYBAABkcnMvZTJvRG9jLnhtbFBLBQYAAAAABgAGAFkB&#10;AABHBQAAAAA=&#10;">
                <v:fill on="f" focussize="0,0"/>
                <v:stroke on="f"/>
                <v:imagedata o:title=""/>
                <o:lock v:ext="edit" aspectratio="f"/>
                <v:textbox inset="0mm,0mm,0mm,0mm">
                  <w:txbxContent>
                    <w:p w14:paraId="57888653">
                      <w:pPr>
                        <w:pStyle w:val="15"/>
                        <w:keepNext/>
                        <w:keepLines/>
                        <w:widowControl w:val="0"/>
                        <w:shd w:val="clear" w:color="auto" w:fill="auto"/>
                        <w:bidi w:val="0"/>
                        <w:spacing w:before="0" w:after="0" w:line="240" w:lineRule="auto"/>
                        <w:ind w:left="0" w:right="0" w:firstLine="0"/>
                        <w:jc w:val="left"/>
                      </w:pPr>
                      <w:bookmarkStart w:id="573" w:name="bookmark513"/>
                      <w:bookmarkStart w:id="574" w:name="bookmark514"/>
                      <w:bookmarkStart w:id="575" w:name="bookmark515"/>
                      <w:r>
                        <w:rPr>
                          <w:color w:val="000000"/>
                          <w:spacing w:val="0"/>
                          <w:w w:val="100"/>
                          <w:position w:val="0"/>
                        </w:rPr>
                        <w:t>定作人任意解除权的行使与赔偿范围之认定</w:t>
                      </w:r>
                      <w:bookmarkEnd w:id="573"/>
                      <w:bookmarkEnd w:id="574"/>
                      <w:bookmarkEnd w:id="575"/>
                    </w:p>
                  </w:txbxContent>
                </v:textbox>
                <w10:wrap type="topAndBottom"/>
              </v:shape>
            </w:pict>
          </mc:Fallback>
        </mc:AlternateContent>
      </w:r>
    </w:p>
    <w:p w14:paraId="5019B9C3">
      <w:pPr>
        <w:pStyle w:val="17"/>
        <w:keepNext w:val="0"/>
        <w:keepLines w:val="0"/>
        <w:widowControl w:val="0"/>
        <w:shd w:val="clear" w:color="auto" w:fill="auto"/>
        <w:bidi w:val="0"/>
        <w:spacing w:before="0" w:after="360" w:line="326" w:lineRule="exact"/>
        <w:ind w:left="1000" w:right="0" w:firstLine="0"/>
        <w:jc w:val="both"/>
      </w:pPr>
      <w:r>
        <w:drawing>
          <wp:anchor distT="0" distB="0" distL="114300" distR="114300" simplePos="0" relativeHeight="251660288" behindDoc="0" locked="0" layoutInCell="1" allowOverlap="1">
            <wp:simplePos x="0" y="0"/>
            <wp:positionH relativeFrom="page">
              <wp:posOffset>5132705</wp:posOffset>
            </wp:positionH>
            <wp:positionV relativeFrom="paragraph">
              <wp:posOffset>88900</wp:posOffset>
            </wp:positionV>
            <wp:extent cx="585470" cy="585470"/>
            <wp:effectExtent l="0" t="0" r="11430" b="11430"/>
            <wp:wrapSquare wrapText="left"/>
            <wp:docPr id="1117" name="Shape 1117"/>
            <wp:cNvGraphicFramePr/>
            <a:graphic xmlns:a="http://schemas.openxmlformats.org/drawingml/2006/main">
              <a:graphicData uri="http://schemas.openxmlformats.org/drawingml/2006/picture">
                <pic:pic xmlns:pic="http://schemas.openxmlformats.org/drawingml/2006/picture">
                  <pic:nvPicPr>
                    <pic:cNvPr id="1117" name="Shape 1117"/>
                    <pic:cNvPicPr/>
                  </pic:nvPicPr>
                  <pic:blipFill>
                    <a:blip r:embed="rId697"/>
                    <a:stretch>
                      <a:fillRect/>
                    </a:stretch>
                  </pic:blipFill>
                  <pic:spPr>
                    <a:xfrm>
                      <a:off x="0" y="0"/>
                      <a:ext cx="585470" cy="585470"/>
                    </a:xfrm>
                    <a:prstGeom prst="rect">
                      <a:avLst/>
                    </a:prstGeom>
                  </pic:spPr>
                </pic:pic>
              </a:graphicData>
            </a:graphic>
          </wp:anchor>
        </w:drawing>
      </w:r>
      <w:r>
        <w:rPr>
          <w:color w:val="000000"/>
          <w:spacing w:val="0"/>
          <w:w w:val="100"/>
          <w:position w:val="0"/>
        </w:rPr>
        <w:t>北京东方宏业家具有限公司诉鄂尔多斯市福泰房地产开发有限责 任公司定作合同纠纷案</w:t>
      </w:r>
      <w:r>
        <w:rPr>
          <w:rFonts w:ascii="Times New Roman" w:hAnsi="Times New Roman" w:eastAsia="Times New Roman" w:cs="Times New Roman"/>
          <w:color w:val="000000"/>
          <w:spacing w:val="0"/>
          <w:w w:val="100"/>
          <w:position w:val="0"/>
          <w:sz w:val="19"/>
          <w:szCs w:val="19"/>
        </w:rPr>
        <w:t>I</w:t>
      </w:r>
      <w:r>
        <w:rPr>
          <w:color w:val="000000"/>
          <w:spacing w:val="0"/>
          <w:w w:val="100"/>
          <w:position w:val="0"/>
        </w:rPr>
        <w:t>北京市第二中级人民法院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rPr>
        <w:t>京</w:t>
      </w:r>
      <w:r>
        <w:rPr>
          <w:rFonts w:ascii="Times New Roman" w:hAnsi="Times New Roman" w:eastAsia="Times New Roman" w:cs="Times New Roman"/>
          <w:color w:val="000000"/>
          <w:spacing w:val="0"/>
          <w:w w:val="100"/>
          <w:position w:val="0"/>
          <w:sz w:val="19"/>
          <w:szCs w:val="19"/>
        </w:rPr>
        <w:t xml:space="preserve">02 </w:t>
      </w:r>
      <w:r>
        <w:rPr>
          <w:color w:val="000000"/>
          <w:spacing w:val="0"/>
          <w:w w:val="100"/>
          <w:position w:val="0"/>
        </w:rPr>
        <w:t>民终</w:t>
      </w:r>
      <w:r>
        <w:rPr>
          <w:rFonts w:ascii="Times New Roman" w:hAnsi="Times New Roman" w:eastAsia="Times New Roman" w:cs="Times New Roman"/>
          <w:color w:val="000000"/>
          <w:spacing w:val="0"/>
          <w:w w:val="100"/>
          <w:position w:val="0"/>
          <w:sz w:val="19"/>
          <w:szCs w:val="19"/>
        </w:rPr>
        <w:t>10573</w:t>
      </w:r>
      <w:r>
        <w:rPr>
          <w:color w:val="000000"/>
          <w:spacing w:val="0"/>
          <w:w w:val="100"/>
          <w:position w:val="0"/>
        </w:rPr>
        <w:t>号民事判决书</w:t>
      </w:r>
    </w:p>
    <w:p w14:paraId="00316E6C">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宁红丽</w:t>
      </w:r>
      <w:r>
        <w:rPr>
          <w:color w:val="000000"/>
          <w:spacing w:val="0"/>
          <w:w w:val="100"/>
          <w:position w:val="0"/>
        </w:rPr>
        <w:t>对外经济贸易大学法学院</w:t>
      </w:r>
    </w:p>
    <w:p w14:paraId="12C52293">
      <w:pPr>
        <w:pStyle w:val="11"/>
        <w:keepNext w:val="0"/>
        <w:keepLines w:val="0"/>
        <w:widowControl w:val="0"/>
        <w:shd w:val="clear" w:color="auto" w:fill="auto"/>
        <w:bidi w:val="0"/>
        <w:spacing w:before="0" w:after="60" w:line="337"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5ECA3B1D">
      <w:pPr>
        <w:pStyle w:val="17"/>
        <w:keepNext w:val="0"/>
        <w:keepLines w:val="0"/>
        <w:widowControl w:val="0"/>
        <w:shd w:val="clear" w:color="auto" w:fill="auto"/>
        <w:bidi w:val="0"/>
        <w:spacing w:before="0" w:after="360" w:line="339" w:lineRule="exact"/>
        <w:ind w:left="0" w:right="0" w:firstLine="42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日，北京东方宏业家具有限公司（以下简称东方宏业公司）与鄂尔多斯 市福泰房地产开发有限责任公司（以下简称福泰公司）签订加工订货合同，由东方宏业公司 为福泰公司加工总价款</w:t>
      </w:r>
      <w:r>
        <w:rPr>
          <w:rFonts w:ascii="Times New Roman" w:hAnsi="Times New Roman" w:eastAsia="Times New Roman" w:cs="Times New Roman"/>
          <w:color w:val="000000"/>
          <w:spacing w:val="0"/>
          <w:w w:val="100"/>
          <w:position w:val="0"/>
          <w:sz w:val="19"/>
          <w:szCs w:val="19"/>
        </w:rPr>
        <w:t>88</w:t>
      </w:r>
      <w:r>
        <w:rPr>
          <w:color w:val="000000"/>
          <w:spacing w:val="0"/>
          <w:w w:val="100"/>
          <w:position w:val="0"/>
        </w:rPr>
        <w:t>万元的家具。合同约定，收到订金之日起</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天到货，由东方宏业 公司负责运输至福泰公司指定地点，合同签订之日起</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日内支付</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万元预付款，家具加工 完毕厂内验收合格后发货前</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日内付</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万元进度款。家具交付方式为，东方宏业公司加工 完毕后，通知福泰公司到其厂内验收合格后，由东方宏业公司将家具送至福泰公司指定地 点。结合合同关于交货时间的约定，东方宏业公司未于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月履行通知验收义务，而 认定其于</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年年底通知福泰公司验收家具。东方宏业公司曾于</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年诉至法院，要求 福泰公司继续履行涉案合同,支付家具款并承担仓储费。福泰公司不同意东方宏业公司的 全部诉讼请求,坚持行使任意解除权解除合同。一审法院驳回了东方宏业公司的诉讼请求。</w:t>
      </w:r>
    </w:p>
    <w:p w14:paraId="624CEEB8">
      <w:pPr>
        <w:pStyle w:val="11"/>
        <w:keepNext w:val="0"/>
        <w:keepLines w:val="0"/>
        <w:widowControl w:val="0"/>
        <w:shd w:val="clear" w:color="auto" w:fill="auto"/>
        <w:bidi w:val="0"/>
        <w:spacing w:before="0" w:after="60" w:line="337"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12787020">
      <w:pPr>
        <w:pStyle w:val="17"/>
        <w:keepNext w:val="0"/>
        <w:keepLines w:val="0"/>
        <w:widowControl w:val="0"/>
        <w:shd w:val="clear" w:color="auto" w:fill="auto"/>
        <w:bidi w:val="0"/>
        <w:spacing w:before="0" w:after="0" w:line="336" w:lineRule="exact"/>
        <w:ind w:left="0" w:right="0" w:firstLine="420"/>
        <w:jc w:val="both"/>
      </w:pPr>
      <w:r>
        <w:rPr>
          <w:color w:val="000000"/>
          <w:spacing w:val="0"/>
          <w:w w:val="100"/>
          <w:position w:val="0"/>
        </w:rPr>
        <w:t>驳回上诉，维持原判。</w:t>
      </w:r>
    </w:p>
    <w:p w14:paraId="2516DC30">
      <w:pPr>
        <w:pStyle w:val="17"/>
        <w:keepNext w:val="0"/>
        <w:keepLines w:val="0"/>
        <w:widowControl w:val="0"/>
        <w:shd w:val="clear" w:color="auto" w:fill="auto"/>
        <w:bidi w:val="0"/>
        <w:spacing w:before="0" w:after="360" w:line="336" w:lineRule="exact"/>
        <w:ind w:left="0" w:right="0" w:firstLine="420"/>
        <w:jc w:val="both"/>
        <w:sectPr>
          <w:headerReference r:id="rId479" w:type="default"/>
          <w:headerReference r:id="rId480" w:type="even"/>
          <w:footnotePr>
            <w:numFmt w:val="chicago"/>
          </w:footnotePr>
          <w:pgSz w:w="10099" w:h="14782"/>
          <w:pgMar w:top="1428" w:right="832" w:bottom="1080" w:left="941" w:header="1000" w:footer="652" w:gutter="0"/>
          <w:pgNumType w:start="426"/>
          <w:cols w:space="720" w:num="1"/>
          <w:rtlGutter w:val="0"/>
          <w:docGrid w:linePitch="360" w:charSpace="0"/>
        </w:sectPr>
      </w:pPr>
      <w:r>
        <w:rPr>
          <w:color w:val="000000"/>
          <w:spacing w:val="0"/>
          <w:w w:val="100"/>
          <w:position w:val="0"/>
        </w:rPr>
        <w:t>涉案合同因福泰公司行使任意解除权而解除。就福泰公司在涉案合同解除后是否应 赔偿东方宏业公司因合同解除而遭受的损失，法院认为，合同解除并不排斥当事人请求赔 偿损失的权利。但本案中东方宏业公司要求福泰公司承担合同解除后的损害赔偿责任，应 以福泰公司对合同解除存在过错为前提。根据查明事实，通知验收系东方宏业公司的义 务,而通知验收是家具交付的必经过程，只有验收后才能继续交付家具。而且，合同约定的 家具交付时间仅为</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天，但东方宏业公司通知福泰公司验收家具的时间比合同约定的交付 家具时间迟延半年以上。因此，导致合同解除的原因是东方宏业公司严重违背了合同约定 的通知验收义务，而非福泰公司拒绝验收家具。虽然涉案合同因福泰公司行使任意解除权 而解除，但福泰公司对合同解除不存在过错，东方宏业公司无权要求其承担合同解除后的 损害赔偿责任。</w:t>
      </w:r>
    </w:p>
    <w:p w14:paraId="7EC46ADC">
      <w:pPr>
        <w:pStyle w:val="11"/>
        <w:keepNext w:val="0"/>
        <w:keepLines w:val="0"/>
        <w:widowControl w:val="0"/>
        <w:shd w:val="clear" w:color="auto" w:fill="auto"/>
        <w:bidi w:val="0"/>
        <w:spacing w:before="0" w:after="260" w:line="240" w:lineRule="auto"/>
        <w:ind w:left="0" w:right="0" w:firstLine="0"/>
        <w:jc w:val="left"/>
      </w:pPr>
      <w:r>
        <w:rPr>
          <w:color w:val="000000"/>
          <w:spacing w:val="0"/>
          <w:w w:val="100"/>
          <w:position w:val="0"/>
        </w:rPr>
        <w:t>■评析</w:t>
      </w:r>
    </w:p>
    <w:p w14:paraId="079D4200">
      <w:pPr>
        <w:pStyle w:val="17"/>
        <w:keepNext w:val="0"/>
        <w:keepLines w:val="0"/>
        <w:widowControl w:val="0"/>
        <w:shd w:val="clear" w:color="auto" w:fill="auto"/>
        <w:bidi w:val="0"/>
        <w:spacing w:before="0" w:after="140" w:line="240"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05A1D3D1">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本案中，因承揽人东方宏业公司迟延履行，定作人福泰公司拒绝继续履行，承揽人起诉 要求其继续履行,而定作人在诉讼中主张解除合同。法院支持承揽合同的定作人有权随时 解除合同;对于福泰公司在涉案合同解除后是否应赔偿东方宏业公司因合同解除而遭受的 损失，法院认为，应以福泰公司对合同解除存在过错为前提。</w:t>
      </w:r>
    </w:p>
    <w:p w14:paraId="5DD9068D">
      <w:pPr>
        <w:pStyle w:val="17"/>
        <w:keepNext w:val="0"/>
        <w:keepLines w:val="0"/>
        <w:widowControl w:val="0"/>
        <w:shd w:val="clear" w:color="auto" w:fill="auto"/>
        <w:bidi w:val="0"/>
        <w:spacing w:before="0" w:after="260" w:line="350" w:lineRule="exact"/>
        <w:ind w:left="0" w:right="0" w:firstLine="420"/>
        <w:jc w:val="both"/>
      </w:pP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条规定了定作人的任意解除权,但对其适用条件和法律效果均语焉 不详，法官须基于个案情形和主观理解对相关争议作出判决，导致该制度在司法实务中分 歧很大。《民法典》第</w:t>
      </w:r>
      <w:r>
        <w:rPr>
          <w:rFonts w:ascii="Times New Roman" w:hAnsi="Times New Roman" w:eastAsia="Times New Roman" w:cs="Times New Roman"/>
          <w:color w:val="000000"/>
          <w:spacing w:val="0"/>
          <w:w w:val="100"/>
          <w:position w:val="0"/>
          <w:sz w:val="19"/>
          <w:szCs w:val="19"/>
        </w:rPr>
        <w:t>787</w:t>
      </w:r>
      <w:r>
        <w:rPr>
          <w:color w:val="000000"/>
          <w:spacing w:val="0"/>
          <w:w w:val="100"/>
          <w:position w:val="0"/>
        </w:rPr>
        <w:t>条虽然在原《合同法》第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条的基础上进行了修改，但仍未能对 该制度的重大理论分歧和实务争议作出回应。本案涉及任意解除权的行使条件和合同解 除后赔偿范围的认定等重要问题，对本案展开分析，对厘清该制度的行使条件与法律效果 有重要的参考意义,并能引发对任意解除权与一般解除权关系的深刻思考。</w:t>
      </w:r>
    </w:p>
    <w:p w14:paraId="1735A83F">
      <w:pPr>
        <w:pStyle w:val="17"/>
        <w:keepNext w:val="0"/>
        <w:keepLines w:val="0"/>
        <w:widowControl w:val="0"/>
        <w:shd w:val="clear" w:color="auto" w:fill="auto"/>
        <w:bidi w:val="0"/>
        <w:spacing w:before="0" w:after="14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规范及学理</w:t>
      </w:r>
    </w:p>
    <w:p w14:paraId="5DC5D0CF">
      <w:pPr>
        <w:pStyle w:val="17"/>
        <w:keepNext w:val="0"/>
        <w:keepLines w:val="0"/>
        <w:widowControl w:val="0"/>
        <w:numPr>
          <w:ilvl w:val="0"/>
          <w:numId w:val="33"/>
        </w:numPr>
        <w:shd w:val="clear" w:color="auto" w:fill="auto"/>
        <w:tabs>
          <w:tab w:val="left" w:pos="685"/>
        </w:tabs>
        <w:bidi w:val="0"/>
        <w:spacing w:before="0" w:after="0" w:line="377" w:lineRule="auto"/>
        <w:ind w:left="0" w:right="0" w:firstLine="420"/>
        <w:jc w:val="left"/>
      </w:pPr>
      <w:bookmarkStart w:id="147" w:name="bookmark516"/>
      <w:bookmarkEnd w:id="147"/>
      <w:r>
        <w:rPr>
          <w:color w:val="000000"/>
          <w:spacing w:val="0"/>
          <w:w w:val="100"/>
          <w:position w:val="0"/>
        </w:rPr>
        <w:t>定作人任意解除权的行使时间</w:t>
      </w:r>
    </w:p>
    <w:p w14:paraId="2D780669">
      <w:pPr>
        <w:pStyle w:val="17"/>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 xml:space="preserve">本案涉及定作人任意解除权的行使时间。根据大陆法系立法例，如《法国民法典》第 </w:t>
      </w:r>
      <w:r>
        <w:rPr>
          <w:rFonts w:ascii="Times New Roman" w:hAnsi="Times New Roman" w:eastAsia="Times New Roman" w:cs="Times New Roman"/>
          <w:color w:val="000000"/>
          <w:spacing w:val="0"/>
          <w:w w:val="100"/>
          <w:position w:val="0"/>
          <w:sz w:val="19"/>
          <w:szCs w:val="19"/>
        </w:rPr>
        <w:t>1794</w:t>
      </w:r>
      <w:r>
        <w:rPr>
          <w:color w:val="000000"/>
          <w:spacing w:val="0"/>
          <w:w w:val="100"/>
          <w:position w:val="0"/>
        </w:rPr>
        <w:t>条、《德国民法典》第</w:t>
      </w:r>
      <w:r>
        <w:rPr>
          <w:rFonts w:ascii="Times New Roman" w:hAnsi="Times New Roman" w:eastAsia="Times New Roman" w:cs="Times New Roman"/>
          <w:color w:val="000000"/>
          <w:spacing w:val="0"/>
          <w:w w:val="100"/>
          <w:position w:val="0"/>
          <w:sz w:val="19"/>
          <w:szCs w:val="19"/>
        </w:rPr>
        <w:t>649</w:t>
      </w:r>
      <w:r>
        <w:rPr>
          <w:color w:val="000000"/>
          <w:spacing w:val="0"/>
          <w:w w:val="100"/>
          <w:position w:val="0"/>
        </w:rPr>
        <w:t>条及《日本民法典》第</w:t>
      </w:r>
      <w:r>
        <w:rPr>
          <w:rFonts w:ascii="Times New Roman" w:hAnsi="Times New Roman" w:eastAsia="Times New Roman" w:cs="Times New Roman"/>
          <w:color w:val="000000"/>
          <w:spacing w:val="0"/>
          <w:w w:val="100"/>
          <w:position w:val="0"/>
          <w:sz w:val="19"/>
          <w:szCs w:val="19"/>
        </w:rPr>
        <w:t>641</w:t>
      </w:r>
      <w:r>
        <w:rPr>
          <w:color w:val="000000"/>
          <w:spacing w:val="0"/>
          <w:w w:val="100"/>
          <w:position w:val="0"/>
        </w:rPr>
        <w:t>条之规定，任意解除权的行使时间 为“工作期间</w:t>
      </w:r>
      <w:r>
        <w:rPr>
          <w:color w:val="000000"/>
          <w:spacing w:val="0"/>
          <w:w w:val="100"/>
          <w:position w:val="0"/>
          <w:lang w:val="zh-CN" w:eastAsia="zh-CN" w:bidi="zh-CN"/>
        </w:rPr>
        <w:t>”或“完</w:t>
      </w:r>
      <w:r>
        <w:rPr>
          <w:color w:val="000000"/>
          <w:spacing w:val="0"/>
          <w:w w:val="100"/>
          <w:position w:val="0"/>
        </w:rPr>
        <w:t>成工作前”。原《合同法》第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条虽然没对这一条件作出明定,但在司 法适用时也应如此解释。为了解决司法实践中对该解除权行使时间的标准不一致的问题, 《民法典》第</w:t>
      </w:r>
      <w:r>
        <w:rPr>
          <w:rFonts w:ascii="Times New Roman" w:hAnsi="Times New Roman" w:eastAsia="Times New Roman" w:cs="Times New Roman"/>
          <w:color w:val="000000"/>
          <w:spacing w:val="0"/>
          <w:w w:val="100"/>
          <w:position w:val="0"/>
          <w:sz w:val="19"/>
          <w:szCs w:val="19"/>
        </w:rPr>
        <w:t>787</w:t>
      </w:r>
      <w:r>
        <w:rPr>
          <w:color w:val="000000"/>
          <w:spacing w:val="0"/>
          <w:w w:val="100"/>
          <w:position w:val="0"/>
        </w:rPr>
        <w:t>条在原《合同法》第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条基础上增设</w:t>
      </w:r>
      <w:r>
        <w:rPr>
          <w:color w:val="000000"/>
          <w:spacing w:val="0"/>
          <w:w w:val="100"/>
          <w:position w:val="0"/>
          <w:lang w:val="zh-CN" w:eastAsia="zh-CN" w:bidi="zh-CN"/>
        </w:rPr>
        <w:t>“承揽</w:t>
      </w:r>
      <w:r>
        <w:rPr>
          <w:color w:val="000000"/>
          <w:spacing w:val="0"/>
          <w:w w:val="100"/>
          <w:position w:val="0"/>
        </w:rPr>
        <w:t>人完成工作前</w:t>
      </w:r>
      <w:r>
        <w:rPr>
          <w:color w:val="000000"/>
          <w:spacing w:val="0"/>
          <w:w w:val="100"/>
          <w:position w:val="0"/>
          <w:lang w:val="zh-CN" w:eastAsia="zh-CN" w:bidi="zh-CN"/>
        </w:rPr>
        <w:t>”，实</w:t>
      </w:r>
      <w:r>
        <w:rPr>
          <w:color w:val="000000"/>
          <w:spacing w:val="0"/>
          <w:w w:val="100"/>
          <w:position w:val="0"/>
        </w:rPr>
        <w:t xml:space="preserve">属必要。本 案中，因承揽人东方宏业公司履行迟延,定作人福泰公司拒绝继续履行，承揽人起诉要求其 继续履行,就合同标的物进行验收,而定作人在诉讼中主张解除合同。据此,本案中定作人 行使任意解除权的时间是在承揽人完成工作之后（承揽人发出验收通知），若按《民法典》第 </w:t>
      </w:r>
      <w:r>
        <w:rPr>
          <w:rFonts w:ascii="Times New Roman" w:hAnsi="Times New Roman" w:eastAsia="Times New Roman" w:cs="Times New Roman"/>
          <w:color w:val="000000"/>
          <w:spacing w:val="0"/>
          <w:w w:val="100"/>
          <w:position w:val="0"/>
          <w:sz w:val="19"/>
          <w:szCs w:val="19"/>
        </w:rPr>
        <w:t>787</w:t>
      </w:r>
      <w:r>
        <w:rPr>
          <w:color w:val="000000"/>
          <w:spacing w:val="0"/>
          <w:w w:val="100"/>
          <w:position w:val="0"/>
        </w:rPr>
        <w:t>条的规定，这时定作人已经不能再行使任意解除权，只能要求法定解除。</w:t>
      </w:r>
    </w:p>
    <w:p w14:paraId="254645F9">
      <w:pPr>
        <w:pStyle w:val="17"/>
        <w:keepNext w:val="0"/>
        <w:keepLines w:val="0"/>
        <w:widowControl w:val="0"/>
        <w:numPr>
          <w:ilvl w:val="0"/>
          <w:numId w:val="33"/>
        </w:numPr>
        <w:shd w:val="clear" w:color="auto" w:fill="auto"/>
        <w:tabs>
          <w:tab w:val="left" w:pos="702"/>
        </w:tabs>
        <w:bidi w:val="0"/>
        <w:spacing w:before="0" w:after="0" w:line="377" w:lineRule="auto"/>
        <w:ind w:left="0" w:right="0" w:firstLine="420"/>
        <w:jc w:val="left"/>
      </w:pPr>
      <w:bookmarkStart w:id="148" w:name="bookmark517"/>
      <w:bookmarkEnd w:id="148"/>
      <w:r>
        <w:rPr>
          <w:color w:val="000000"/>
          <w:spacing w:val="0"/>
          <w:w w:val="100"/>
          <w:position w:val="0"/>
        </w:rPr>
        <w:t>承揽人迟延与定作人任意解除权之行使</w:t>
      </w:r>
    </w:p>
    <w:p w14:paraId="1633ADA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承揽人迟延是否会影响到定作人任意解除权的行使？原《合同法》第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条与《民法 典》第</w:t>
      </w:r>
      <w:r>
        <w:rPr>
          <w:rFonts w:ascii="Times New Roman" w:hAnsi="Times New Roman" w:eastAsia="Times New Roman" w:cs="Times New Roman"/>
          <w:color w:val="000000"/>
          <w:spacing w:val="0"/>
          <w:w w:val="100"/>
          <w:position w:val="0"/>
          <w:sz w:val="19"/>
          <w:szCs w:val="19"/>
        </w:rPr>
        <w:t>787</w:t>
      </w:r>
      <w:r>
        <w:rPr>
          <w:color w:val="000000"/>
          <w:spacing w:val="0"/>
          <w:w w:val="100"/>
          <w:position w:val="0"/>
        </w:rPr>
        <w:t>条均未对此作出规定。学理上一般认为,定作人的赔偿责任是一种法定责任，其 行使不以承揽人有过错为前提，无论是否有过失，只要合同解除造成承揽人的损害，定作人 就要承担赔偿责任</w:t>
      </w:r>
      <w:r>
        <w:rPr>
          <w:color w:val="000000"/>
          <w:spacing w:val="0"/>
          <w:w w:val="100"/>
          <w:position w:val="0"/>
          <w:sz w:val="11"/>
          <w:szCs w:val="11"/>
        </w:rPr>
        <w:t>［王利明：《合同法研究》（第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卷），中国人民大学出版社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439</w:t>
      </w:r>
      <w:r>
        <w:rPr>
          <w:color w:val="000000"/>
          <w:spacing w:val="0"/>
          <w:w w:val="100"/>
          <w:position w:val="0"/>
          <w:sz w:val="11"/>
          <w:szCs w:val="11"/>
        </w:rPr>
        <w:t>页；韩 世远:《合同法学》，高等教育出版社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495</w:t>
      </w:r>
      <w:r>
        <w:rPr>
          <w:color w:val="000000"/>
          <w:spacing w:val="0"/>
          <w:w w:val="100"/>
          <w:position w:val="0"/>
          <w:sz w:val="11"/>
          <w:szCs w:val="11"/>
        </w:rPr>
        <w:t>页］。</w:t>
      </w:r>
      <w:r>
        <w:rPr>
          <w:color w:val="000000"/>
          <w:spacing w:val="0"/>
          <w:w w:val="100"/>
          <w:position w:val="0"/>
        </w:rPr>
        <w:t>而司法实践中，法官面对此种情形时 会根据当事人主观状态的不同作岀不同结论，计有两种不同的处理方案:第一，当事人是否 违约不影响定作人任意解除权之行使，但定作人行使任意解除权后承担损害赔偿责任的条 件是其对合同解除存在过错</w:t>
      </w:r>
      <w:r>
        <w:rPr>
          <w:color w:val="000000"/>
          <w:spacing w:val="0"/>
          <w:w w:val="100"/>
          <w:position w:val="0"/>
          <w:sz w:val="11"/>
          <w:szCs w:val="11"/>
        </w:rPr>
        <w:t xml:space="preserve">（马超雄:《北京二中院判决东方宏业公司诉福泰公司定作合同纠纷 </w:t>
      </w:r>
      <w:r>
        <w:rPr>
          <w:color w:val="000000"/>
          <w:spacing w:val="0"/>
          <w:w w:val="100"/>
          <w:position w:val="0"/>
        </w:rPr>
        <w:t>案</w:t>
      </w:r>
      <w:r>
        <w:rPr>
          <w:color w:val="000000"/>
          <w:spacing w:val="0"/>
          <w:w w:val="100"/>
          <w:position w:val="0"/>
          <w:lang w:val="en-US" w:eastAsia="en-US" w:bidi="en-US"/>
        </w:rPr>
        <w:t>——</w:t>
      </w:r>
      <w:r>
        <w:rPr>
          <w:color w:val="000000"/>
          <w:spacing w:val="0"/>
          <w:w w:val="100"/>
          <w:position w:val="0"/>
          <w:sz w:val="11"/>
          <w:szCs w:val="11"/>
        </w:rPr>
        <w:t>定作人行使任意解除权后承担损害赔偿责任的条件》，载《人民法院报》</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日，第</w:t>
      </w:r>
      <w:r>
        <w:rPr>
          <w:rFonts w:ascii="Times New Roman" w:hAnsi="Times New Roman" w:eastAsia="Times New Roman" w:cs="Times New Roman"/>
          <w:color w:val="000000"/>
          <w:spacing w:val="0"/>
          <w:w w:val="100"/>
          <w:position w:val="0"/>
          <w:sz w:val="17"/>
          <w:szCs w:val="17"/>
        </w:rPr>
        <w:t xml:space="preserve">6 </w:t>
      </w:r>
      <w:r>
        <w:rPr>
          <w:color w:val="000000"/>
          <w:spacing w:val="0"/>
          <w:w w:val="100"/>
          <w:position w:val="0"/>
        </w:rPr>
        <w:t>版）。本案审理法官即采此种观点。第二，承揽人履行迟延不影响定作人任意解除权之行 使，但定作人仍应支付承揽人已完成工作的报酬并赔偿其在合同履行完毕后可能获得的利 益。</w:t>
      </w:r>
    </w:p>
    <w:p w14:paraId="6A8C7F98">
      <w:pPr>
        <w:pStyle w:val="17"/>
        <w:keepNext w:val="0"/>
        <w:keepLines w:val="0"/>
        <w:widowControl w:val="0"/>
        <w:shd w:val="clear" w:color="auto" w:fill="auto"/>
        <w:bidi w:val="0"/>
        <w:spacing w:before="0" w:after="160" w:line="349" w:lineRule="exact"/>
        <w:ind w:left="320" w:right="0" w:firstLine="420"/>
        <w:jc w:val="both"/>
      </w:pPr>
      <w:r>
        <w:rPr>
          <w:color w:val="000000"/>
          <w:spacing w:val="0"/>
          <w:w w:val="100"/>
          <w:position w:val="0"/>
        </w:rPr>
        <w:t>笔者认为,承揽人履行迟延但未达到根本违约程度的，在其完成承揽工作之前,定作人 可行使任意解除权。此时，定作人应依《民法典》第</w:t>
      </w:r>
      <w:r>
        <w:rPr>
          <w:rFonts w:ascii="Times New Roman" w:hAnsi="Times New Roman" w:eastAsia="Times New Roman" w:cs="Times New Roman"/>
          <w:color w:val="000000"/>
          <w:spacing w:val="0"/>
          <w:w w:val="100"/>
          <w:position w:val="0"/>
          <w:sz w:val="19"/>
          <w:szCs w:val="19"/>
        </w:rPr>
        <w:t>787</w:t>
      </w:r>
      <w:r>
        <w:rPr>
          <w:color w:val="000000"/>
          <w:spacing w:val="0"/>
          <w:w w:val="100"/>
          <w:position w:val="0"/>
        </w:rPr>
        <w:t>条的规定承担赔偿责任。承揽人存 在违约行为的，定作人可依过失相抵原理主张减轻赔偿责任。</w:t>
      </w:r>
    </w:p>
    <w:p w14:paraId="585A66CA">
      <w:pPr>
        <w:pStyle w:val="17"/>
        <w:keepNext w:val="0"/>
        <w:keepLines w:val="0"/>
        <w:widowControl w:val="0"/>
        <w:shd w:val="clear" w:color="auto" w:fill="auto"/>
        <w:bidi w:val="0"/>
        <w:spacing w:before="0" w:after="160" w:line="341" w:lineRule="exact"/>
        <w:ind w:left="0" w:right="0" w:firstLine="32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5115BD55">
      <w:pPr>
        <w:pStyle w:val="17"/>
        <w:keepNext w:val="0"/>
        <w:keepLines w:val="0"/>
        <w:widowControl w:val="0"/>
        <w:numPr>
          <w:ilvl w:val="0"/>
          <w:numId w:val="34"/>
        </w:numPr>
        <w:shd w:val="clear" w:color="auto" w:fill="auto"/>
        <w:tabs>
          <w:tab w:val="left" w:pos="985"/>
        </w:tabs>
        <w:bidi w:val="0"/>
        <w:spacing w:before="0" w:after="0" w:line="341" w:lineRule="exact"/>
        <w:ind w:left="0" w:right="0" w:firstLine="720"/>
        <w:jc w:val="both"/>
      </w:pPr>
      <w:bookmarkStart w:id="149" w:name="bookmark518"/>
      <w:bookmarkEnd w:id="149"/>
      <w:r>
        <w:rPr>
          <w:color w:val="000000"/>
          <w:spacing w:val="0"/>
          <w:w w:val="100"/>
          <w:position w:val="0"/>
        </w:rPr>
        <w:t>定作人任意解除权的行使时间</w:t>
      </w:r>
    </w:p>
    <w:p w14:paraId="3419FC7F">
      <w:pPr>
        <w:pStyle w:val="17"/>
        <w:keepNext w:val="0"/>
        <w:keepLines w:val="0"/>
        <w:widowControl w:val="0"/>
        <w:shd w:val="clear" w:color="auto" w:fill="auto"/>
        <w:bidi w:val="0"/>
        <w:spacing w:before="0" w:after="0" w:line="367" w:lineRule="exact"/>
        <w:ind w:left="320" w:right="0" w:firstLine="420"/>
        <w:jc w:val="both"/>
      </w:pPr>
      <w:r>
        <w:rPr>
          <w:color w:val="000000"/>
          <w:spacing w:val="0"/>
          <w:w w:val="100"/>
          <w:position w:val="0"/>
        </w:rPr>
        <w:t>《民法典》颁布之前,由于原《合同法》第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条未对定作人任意解除权的行使时间作明 确规定,司法实践中计有以下方案：</w:t>
      </w:r>
    </w:p>
    <w:p w14:paraId="4397E7C1">
      <w:pPr>
        <w:pStyle w:val="17"/>
        <w:keepNext w:val="0"/>
        <w:keepLines w:val="0"/>
        <w:widowControl w:val="0"/>
        <w:numPr>
          <w:ilvl w:val="0"/>
          <w:numId w:val="35"/>
        </w:numPr>
        <w:shd w:val="clear" w:color="auto" w:fill="auto"/>
        <w:tabs>
          <w:tab w:val="left" w:pos="1161"/>
        </w:tabs>
        <w:bidi w:val="0"/>
        <w:spacing w:before="0" w:after="0" w:line="341" w:lineRule="exact"/>
        <w:ind w:left="320" w:right="0" w:firstLine="420"/>
        <w:jc w:val="both"/>
      </w:pPr>
      <w:bookmarkStart w:id="150" w:name="bookmark519"/>
      <w:bookmarkEnd w:id="150"/>
      <w:r>
        <w:rPr>
          <w:color w:val="000000"/>
          <w:spacing w:val="0"/>
          <w:w w:val="100"/>
          <w:position w:val="0"/>
        </w:rPr>
        <w:t>定作人行使任意解除权应在承揽人完成工作前。在“邹革非与广州爱厨家居承揽 合同纠纷案</w:t>
      </w:r>
      <w:r>
        <w:rPr>
          <w:color w:val="000000"/>
          <w:spacing w:val="0"/>
          <w:w w:val="100"/>
          <w:position w:val="0"/>
          <w:sz w:val="11"/>
          <w:szCs w:val="11"/>
          <w:lang w:val="zh-CN" w:eastAsia="zh-CN" w:bidi="zh-CN"/>
        </w:rPr>
        <w:t>”［广</w:t>
      </w:r>
      <w:r>
        <w:rPr>
          <w:color w:val="000000"/>
          <w:spacing w:val="0"/>
          <w:w w:val="100"/>
          <w:position w:val="0"/>
          <w:sz w:val="11"/>
          <w:szCs w:val="11"/>
        </w:rPr>
        <w:t>东省广州市中级人民法院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粤</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20835</w:t>
      </w:r>
      <w:r>
        <w:rPr>
          <w:color w:val="000000"/>
          <w:spacing w:val="0"/>
          <w:w w:val="100"/>
          <w:position w:val="0"/>
          <w:sz w:val="11"/>
          <w:szCs w:val="11"/>
        </w:rPr>
        <w:t>号民事判决书］</w:t>
      </w:r>
      <w:r>
        <w:rPr>
          <w:color w:val="000000"/>
          <w:spacing w:val="0"/>
          <w:w w:val="100"/>
          <w:position w:val="0"/>
          <w:lang w:val="zh-CN" w:eastAsia="zh-CN" w:bidi="zh-CN"/>
        </w:rPr>
        <w:t>、“北</w:t>
      </w:r>
      <w:r>
        <w:rPr>
          <w:color w:val="000000"/>
          <w:spacing w:val="0"/>
          <w:w w:val="100"/>
          <w:position w:val="0"/>
        </w:rPr>
        <w:t>大荒鑫亚经 贸有限责任公司与北大荒青枫亚麻纺织有限公司加工合同纠纷上诉案</w:t>
      </w:r>
      <w:r>
        <w:rPr>
          <w:color w:val="000000"/>
          <w:spacing w:val="0"/>
          <w:w w:val="100"/>
          <w:position w:val="0"/>
          <w:sz w:val="11"/>
          <w:szCs w:val="11"/>
          <w:lang w:val="zh-CN" w:eastAsia="zh-CN" w:bidi="zh-CN"/>
        </w:rPr>
        <w:t>”［最</w:t>
      </w:r>
      <w:r>
        <w:rPr>
          <w:color w:val="000000"/>
          <w:spacing w:val="0"/>
          <w:w w:val="100"/>
          <w:position w:val="0"/>
          <w:sz w:val="11"/>
          <w:szCs w:val="11"/>
        </w:rPr>
        <w:t xml:space="preserve">高人民法院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民二终字第</w:t>
      </w:r>
      <w:r>
        <w:rPr>
          <w:rFonts w:ascii="Times New Roman" w:hAnsi="Times New Roman" w:eastAsia="Times New Roman" w:cs="Times New Roman"/>
          <w:color w:val="000000"/>
          <w:spacing w:val="0"/>
          <w:w w:val="100"/>
          <w:position w:val="0"/>
          <w:sz w:val="17"/>
          <w:szCs w:val="17"/>
        </w:rPr>
        <w:t>68</w:t>
      </w:r>
      <w:r>
        <w:rPr>
          <w:color w:val="000000"/>
          <w:spacing w:val="0"/>
          <w:w w:val="100"/>
          <w:position w:val="0"/>
          <w:sz w:val="11"/>
          <w:szCs w:val="11"/>
        </w:rPr>
        <w:t>号民事判决书］</w:t>
      </w:r>
      <w:r>
        <w:rPr>
          <w:color w:val="000000"/>
          <w:spacing w:val="0"/>
          <w:w w:val="100"/>
          <w:position w:val="0"/>
        </w:rPr>
        <w:t>中，法院均认为</w:t>
      </w:r>
      <w:r>
        <w:rPr>
          <w:color w:val="000000"/>
          <w:spacing w:val="0"/>
          <w:w w:val="100"/>
          <w:position w:val="0"/>
          <w:lang w:val="zh-CN" w:eastAsia="zh-CN" w:bidi="zh-CN"/>
        </w:rPr>
        <w:t>，“随</w:t>
      </w:r>
      <w:r>
        <w:rPr>
          <w:color w:val="000000"/>
          <w:spacing w:val="0"/>
          <w:w w:val="100"/>
          <w:position w:val="0"/>
        </w:rPr>
        <w:t>时</w:t>
      </w:r>
      <w:r>
        <w:rPr>
          <w:color w:val="000000"/>
          <w:spacing w:val="0"/>
          <w:w w:val="100"/>
          <w:position w:val="0"/>
          <w:lang w:val="zh-CN" w:eastAsia="zh-CN" w:bidi="zh-CN"/>
        </w:rPr>
        <w:t>”实际</w:t>
      </w:r>
      <w:r>
        <w:rPr>
          <w:color w:val="000000"/>
          <w:spacing w:val="0"/>
          <w:w w:val="100"/>
          <w:position w:val="0"/>
        </w:rPr>
        <w:t>是指合同成立生效后，合同履 行完毕前的任何时间。而在</w:t>
      </w:r>
      <w:r>
        <w:rPr>
          <w:color w:val="000000"/>
          <w:spacing w:val="0"/>
          <w:w w:val="100"/>
          <w:position w:val="0"/>
          <w:lang w:val="zh-CN" w:eastAsia="zh-CN" w:bidi="zh-CN"/>
        </w:rPr>
        <w:t>“浙江</w:t>
      </w:r>
      <w:r>
        <w:rPr>
          <w:color w:val="000000"/>
          <w:spacing w:val="0"/>
          <w:w w:val="100"/>
          <w:position w:val="0"/>
        </w:rPr>
        <w:t>博道设计有限公司诉舟山市定海区干览镇人民政府建设 工程设计合同纠纷案</w:t>
      </w:r>
      <w:r>
        <w:rPr>
          <w:color w:val="000000"/>
          <w:spacing w:val="0"/>
          <w:w w:val="100"/>
          <w:position w:val="0"/>
          <w:sz w:val="11"/>
          <w:szCs w:val="11"/>
          <w:lang w:val="zh-CN" w:eastAsia="zh-CN" w:bidi="zh-CN"/>
        </w:rPr>
        <w:t>”［浙</w:t>
      </w:r>
      <w:r>
        <w:rPr>
          <w:color w:val="000000"/>
          <w:spacing w:val="0"/>
          <w:w w:val="100"/>
          <w:position w:val="0"/>
          <w:sz w:val="11"/>
          <w:szCs w:val="11"/>
        </w:rPr>
        <w:t>江省高级人民法院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浙民申</w:t>
      </w:r>
      <w:r>
        <w:rPr>
          <w:rFonts w:ascii="Times New Roman" w:hAnsi="Times New Roman" w:eastAsia="Times New Roman" w:cs="Times New Roman"/>
          <w:color w:val="000000"/>
          <w:spacing w:val="0"/>
          <w:w w:val="100"/>
          <w:position w:val="0"/>
          <w:sz w:val="17"/>
          <w:szCs w:val="17"/>
        </w:rPr>
        <w:t>3286</w:t>
      </w:r>
      <w:r>
        <w:rPr>
          <w:color w:val="000000"/>
          <w:spacing w:val="0"/>
          <w:w w:val="100"/>
          <w:position w:val="0"/>
          <w:sz w:val="11"/>
          <w:szCs w:val="11"/>
        </w:rPr>
        <w:t>号民事裁定书］</w:t>
      </w:r>
      <w:r>
        <w:rPr>
          <w:color w:val="000000"/>
          <w:spacing w:val="0"/>
          <w:w w:val="100"/>
          <w:position w:val="0"/>
          <w:lang w:val="zh-CN" w:eastAsia="zh-CN" w:bidi="zh-CN"/>
        </w:rPr>
        <w:t>、“汤</w:t>
      </w:r>
      <w:r>
        <w:rPr>
          <w:color w:val="000000"/>
          <w:spacing w:val="0"/>
          <w:w w:val="100"/>
          <w:position w:val="0"/>
        </w:rPr>
        <w:t>泉富与宁波 欣联建材有限公司承揽合同纠纷案</w:t>
      </w:r>
      <w:r>
        <w:rPr>
          <w:color w:val="000000"/>
          <w:spacing w:val="0"/>
          <w:w w:val="100"/>
          <w:position w:val="0"/>
          <w:sz w:val="11"/>
          <w:szCs w:val="11"/>
          <w:lang w:val="zh-CN" w:eastAsia="zh-CN" w:bidi="zh-CN"/>
        </w:rPr>
        <w:t>”［浙</w:t>
      </w:r>
      <w:r>
        <w:rPr>
          <w:color w:val="000000"/>
          <w:spacing w:val="0"/>
          <w:w w:val="100"/>
          <w:position w:val="0"/>
          <w:sz w:val="11"/>
          <w:szCs w:val="11"/>
        </w:rPr>
        <w:t>江省宁波市中级人民法院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浙甬商终字第</w:t>
      </w:r>
      <w:r>
        <w:rPr>
          <w:rFonts w:ascii="Times New Roman" w:hAnsi="Times New Roman" w:eastAsia="Times New Roman" w:cs="Times New Roman"/>
          <w:color w:val="000000"/>
          <w:spacing w:val="0"/>
          <w:w w:val="100"/>
          <w:position w:val="0"/>
          <w:sz w:val="17"/>
          <w:szCs w:val="17"/>
        </w:rPr>
        <w:t>533</w:t>
      </w:r>
      <w:r>
        <w:rPr>
          <w:color w:val="000000"/>
          <w:spacing w:val="0"/>
          <w:w w:val="100"/>
          <w:position w:val="0"/>
          <w:sz w:val="11"/>
          <w:szCs w:val="11"/>
        </w:rPr>
        <w:t>号民 事判决书］</w:t>
      </w:r>
      <w:r>
        <w:rPr>
          <w:color w:val="000000"/>
          <w:spacing w:val="0"/>
          <w:w w:val="100"/>
          <w:position w:val="0"/>
          <w:lang w:val="zh-CN" w:eastAsia="zh-CN" w:bidi="zh-CN"/>
        </w:rPr>
        <w:t>、“南</w:t>
      </w:r>
      <w:r>
        <w:rPr>
          <w:color w:val="000000"/>
          <w:spacing w:val="0"/>
          <w:w w:val="100"/>
          <w:position w:val="0"/>
        </w:rPr>
        <w:t>京紫金体育产业股份有限公司与江苏众丰信息科技发展有限公司承揽合同 纠纷案</w:t>
      </w:r>
      <w:r>
        <w:rPr>
          <w:color w:val="000000"/>
          <w:spacing w:val="0"/>
          <w:w w:val="100"/>
          <w:position w:val="0"/>
          <w:sz w:val="11"/>
          <w:szCs w:val="11"/>
          <w:lang w:val="zh-CN" w:eastAsia="zh-CN" w:bidi="zh-CN"/>
        </w:rPr>
        <w:t>”［江</w:t>
      </w:r>
      <w:r>
        <w:rPr>
          <w:color w:val="000000"/>
          <w:spacing w:val="0"/>
          <w:w w:val="100"/>
          <w:position w:val="0"/>
          <w:sz w:val="11"/>
          <w:szCs w:val="11"/>
        </w:rPr>
        <w:t>苏省常州市中级人民法院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苏</w:t>
      </w:r>
      <w:r>
        <w:rPr>
          <w:rFonts w:ascii="Times New Roman" w:hAnsi="Times New Roman" w:eastAsia="Times New Roman" w:cs="Times New Roman"/>
          <w:color w:val="000000"/>
          <w:spacing w:val="0"/>
          <w:w w:val="100"/>
          <w:position w:val="0"/>
          <w:sz w:val="17"/>
          <w:szCs w:val="17"/>
        </w:rPr>
        <w:t>04</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1257</w:t>
      </w:r>
      <w:r>
        <w:rPr>
          <w:color w:val="000000"/>
          <w:spacing w:val="0"/>
          <w:w w:val="100"/>
          <w:position w:val="0"/>
          <w:sz w:val="11"/>
          <w:szCs w:val="11"/>
        </w:rPr>
        <w:t>号民事判决书］等</w:t>
      </w:r>
      <w:r>
        <w:rPr>
          <w:color w:val="000000"/>
          <w:spacing w:val="0"/>
          <w:w w:val="100"/>
          <w:position w:val="0"/>
        </w:rPr>
        <w:t>判决中，法院均认 为，定作人在承揽人已经完成承揽工作后行使任意解除权，是对定作人任意解除权的滥用。</w:t>
      </w:r>
    </w:p>
    <w:p w14:paraId="65A23DB2">
      <w:pPr>
        <w:pStyle w:val="17"/>
        <w:keepNext w:val="0"/>
        <w:keepLines w:val="0"/>
        <w:widowControl w:val="0"/>
        <w:numPr>
          <w:ilvl w:val="0"/>
          <w:numId w:val="35"/>
        </w:numPr>
        <w:shd w:val="clear" w:color="auto" w:fill="auto"/>
        <w:tabs>
          <w:tab w:val="left" w:pos="1166"/>
        </w:tabs>
        <w:bidi w:val="0"/>
        <w:spacing w:before="0" w:after="0" w:line="341" w:lineRule="exact"/>
        <w:ind w:left="320" w:right="0" w:firstLine="420"/>
        <w:jc w:val="both"/>
        <w:rPr>
          <w:sz w:val="11"/>
          <w:szCs w:val="11"/>
        </w:rPr>
      </w:pPr>
      <w:bookmarkStart w:id="151" w:name="bookmark520"/>
      <w:bookmarkEnd w:id="151"/>
      <w:r>
        <w:rPr>
          <w:color w:val="000000"/>
          <w:spacing w:val="0"/>
          <w:w w:val="100"/>
          <w:position w:val="0"/>
          <w:sz w:val="18"/>
          <w:szCs w:val="18"/>
        </w:rPr>
        <w:t>定作人应当在</w:t>
      </w:r>
      <w:r>
        <w:rPr>
          <w:color w:val="000000"/>
          <w:spacing w:val="0"/>
          <w:w w:val="100"/>
          <w:position w:val="0"/>
          <w:sz w:val="18"/>
          <w:szCs w:val="18"/>
          <w:lang w:val="zh-CN" w:eastAsia="zh-CN" w:bidi="zh-CN"/>
        </w:rPr>
        <w:t>“合同</w:t>
      </w:r>
      <w:r>
        <w:rPr>
          <w:color w:val="000000"/>
          <w:spacing w:val="0"/>
          <w:w w:val="100"/>
          <w:position w:val="0"/>
          <w:sz w:val="18"/>
          <w:szCs w:val="18"/>
        </w:rPr>
        <w:t>有效期</w:t>
      </w:r>
      <w:r>
        <w:rPr>
          <w:color w:val="000000"/>
          <w:spacing w:val="0"/>
          <w:w w:val="100"/>
          <w:position w:val="0"/>
          <w:sz w:val="18"/>
          <w:szCs w:val="18"/>
          <w:lang w:val="zh-CN" w:eastAsia="zh-CN" w:bidi="zh-CN"/>
        </w:rPr>
        <w:t>”内</w:t>
      </w:r>
      <w:r>
        <w:rPr>
          <w:color w:val="000000"/>
          <w:spacing w:val="0"/>
          <w:w w:val="100"/>
          <w:position w:val="0"/>
          <w:sz w:val="18"/>
          <w:szCs w:val="18"/>
        </w:rPr>
        <w:t>行使解除权。实践中有判决认为，定作人应当在“合 同有效期</w:t>
      </w:r>
      <w:r>
        <w:rPr>
          <w:color w:val="000000"/>
          <w:spacing w:val="0"/>
          <w:w w:val="100"/>
          <w:position w:val="0"/>
          <w:sz w:val="18"/>
          <w:szCs w:val="18"/>
          <w:lang w:val="zh-CN" w:eastAsia="zh-CN" w:bidi="zh-CN"/>
        </w:rPr>
        <w:t>”内行</w:t>
      </w:r>
      <w:r>
        <w:rPr>
          <w:color w:val="000000"/>
          <w:spacing w:val="0"/>
          <w:w w:val="100"/>
          <w:position w:val="0"/>
          <w:sz w:val="18"/>
          <w:szCs w:val="18"/>
        </w:rPr>
        <w:t>使任意解除权</w:t>
      </w:r>
      <w:r>
        <w:rPr>
          <w:color w:val="000000"/>
          <w:spacing w:val="0"/>
          <w:w w:val="100"/>
          <w:position w:val="0"/>
          <w:sz w:val="11"/>
          <w:szCs w:val="11"/>
        </w:rPr>
        <w:t xml:space="preserve">(陈望来:《承揽合同的随时解除札留置权如何确定》，载《中国审判》 </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p>
    <w:p w14:paraId="0B27B2E2">
      <w:pPr>
        <w:pStyle w:val="17"/>
        <w:keepNext w:val="0"/>
        <w:keepLines w:val="0"/>
        <w:widowControl w:val="0"/>
        <w:numPr>
          <w:ilvl w:val="0"/>
          <w:numId w:val="35"/>
        </w:numPr>
        <w:shd w:val="clear" w:color="auto" w:fill="auto"/>
        <w:tabs>
          <w:tab w:val="left" w:pos="1161"/>
        </w:tabs>
        <w:bidi w:val="0"/>
        <w:spacing w:before="0" w:after="0" w:line="341" w:lineRule="exact"/>
        <w:ind w:left="320" w:right="0" w:firstLine="420"/>
        <w:jc w:val="both"/>
      </w:pPr>
      <w:bookmarkStart w:id="152" w:name="bookmark521"/>
      <w:bookmarkEnd w:id="152"/>
      <w:r>
        <w:rPr>
          <w:color w:val="000000"/>
          <w:spacing w:val="0"/>
          <w:w w:val="100"/>
          <w:position w:val="0"/>
        </w:rPr>
        <w:t>合同履行完毕后，定作人仍可行使任意解除权。司法实践中也有个别判决认为，合 同履行完毕后，定作人仍享有任意解除权，但应支付约定的全部报酬或价款。如“北京金华 汉新技术有限责任公司与北京东方华艺模塑有限公司承揽合同纠纷案</w:t>
      </w:r>
      <w:r>
        <w:rPr>
          <w:color w:val="000000"/>
          <w:spacing w:val="0"/>
          <w:w w:val="100"/>
          <w:position w:val="0"/>
          <w:sz w:val="11"/>
          <w:szCs w:val="11"/>
          <w:lang w:val="zh-CN" w:eastAsia="zh-CN" w:bidi="zh-CN"/>
        </w:rPr>
        <w:t>”［北</w:t>
      </w:r>
      <w:r>
        <w:rPr>
          <w:color w:val="000000"/>
          <w:spacing w:val="0"/>
          <w:w w:val="100"/>
          <w:position w:val="0"/>
          <w:sz w:val="11"/>
          <w:szCs w:val="11"/>
        </w:rPr>
        <w:t>京市第二中级人 民法院</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二中民终字第</w:t>
      </w:r>
      <w:r>
        <w:rPr>
          <w:rFonts w:ascii="Times New Roman" w:hAnsi="Times New Roman" w:eastAsia="Times New Roman" w:cs="Times New Roman"/>
          <w:color w:val="000000"/>
          <w:spacing w:val="0"/>
          <w:w w:val="100"/>
          <w:position w:val="0"/>
          <w:sz w:val="17"/>
          <w:szCs w:val="17"/>
        </w:rPr>
        <w:t>22781</w:t>
      </w:r>
      <w:r>
        <w:rPr>
          <w:color w:val="000000"/>
          <w:spacing w:val="0"/>
          <w:w w:val="100"/>
          <w:position w:val="0"/>
          <w:sz w:val="11"/>
          <w:szCs w:val="11"/>
        </w:rPr>
        <w:t>号民事判決书］</w:t>
      </w:r>
      <w:r>
        <w:rPr>
          <w:color w:val="000000"/>
          <w:spacing w:val="0"/>
          <w:w w:val="100"/>
          <w:position w:val="0"/>
          <w:lang w:val="zh-CN" w:eastAsia="zh-CN" w:bidi="zh-CN"/>
        </w:rPr>
        <w:t>、“深</w:t>
      </w:r>
      <w:r>
        <w:rPr>
          <w:color w:val="000000"/>
          <w:spacing w:val="0"/>
          <w:w w:val="100"/>
          <w:position w:val="0"/>
        </w:rPr>
        <w:t>圳掌华科技有限公司与惠州英诺达光电 科技有限公司买卖合同纠纷案”</w:t>
      </w:r>
      <w:r>
        <w:rPr>
          <w:color w:val="000000"/>
          <w:spacing w:val="0"/>
          <w:w w:val="100"/>
          <w:position w:val="0"/>
          <w:sz w:val="11"/>
          <w:szCs w:val="11"/>
        </w:rPr>
        <w:t>［广东省深圳市中级人民法院民事判决书</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 xml:space="preserve">深中法商终字第 </w:t>
      </w:r>
      <w:r>
        <w:rPr>
          <w:rFonts w:ascii="Times New Roman" w:hAnsi="Times New Roman" w:eastAsia="Times New Roman" w:cs="Times New Roman"/>
          <w:color w:val="000000"/>
          <w:spacing w:val="0"/>
          <w:w w:val="100"/>
          <w:position w:val="0"/>
          <w:sz w:val="17"/>
          <w:szCs w:val="17"/>
        </w:rPr>
        <w:t>1785</w:t>
      </w:r>
      <w:r>
        <w:rPr>
          <w:color w:val="000000"/>
          <w:spacing w:val="0"/>
          <w:w w:val="100"/>
          <w:position w:val="0"/>
          <w:sz w:val="11"/>
          <w:szCs w:val="11"/>
        </w:rPr>
        <w:t>号］</w:t>
      </w:r>
      <w:r>
        <w:rPr>
          <w:color w:val="000000"/>
          <w:spacing w:val="0"/>
          <w:w w:val="100"/>
          <w:position w:val="0"/>
        </w:rPr>
        <w:t>等均持此种观点。</w:t>
      </w:r>
    </w:p>
    <w:p w14:paraId="27B3A824">
      <w:pPr>
        <w:pStyle w:val="17"/>
        <w:keepNext w:val="0"/>
        <w:keepLines w:val="0"/>
        <w:widowControl w:val="0"/>
        <w:numPr>
          <w:ilvl w:val="0"/>
          <w:numId w:val="34"/>
        </w:numPr>
        <w:shd w:val="clear" w:color="auto" w:fill="auto"/>
        <w:tabs>
          <w:tab w:val="left" w:pos="999"/>
        </w:tabs>
        <w:bidi w:val="0"/>
        <w:spacing w:before="0" w:after="0" w:line="341" w:lineRule="exact"/>
        <w:ind w:left="0" w:right="0" w:firstLine="720"/>
        <w:jc w:val="both"/>
      </w:pPr>
      <w:bookmarkStart w:id="153" w:name="bookmark522"/>
      <w:bookmarkEnd w:id="153"/>
      <w:r>
        <w:rPr>
          <w:color w:val="000000"/>
          <w:spacing w:val="0"/>
          <w:w w:val="100"/>
          <w:position w:val="0"/>
        </w:rPr>
        <w:t>定作人行使任意解除权的损害赔偿</w:t>
      </w:r>
    </w:p>
    <w:p w14:paraId="625AE132">
      <w:pPr>
        <w:pStyle w:val="17"/>
        <w:keepNext w:val="0"/>
        <w:keepLines w:val="0"/>
        <w:widowControl w:val="0"/>
        <w:shd w:val="clear" w:color="auto" w:fill="auto"/>
        <w:bidi w:val="0"/>
        <w:spacing w:before="0" w:after="0" w:line="341" w:lineRule="exact"/>
        <w:ind w:left="0" w:right="0" w:firstLine="720"/>
        <w:jc w:val="both"/>
      </w:pPr>
      <w:r>
        <w:rPr>
          <w:color w:val="000000"/>
          <w:spacing w:val="0"/>
          <w:w w:val="100"/>
          <w:position w:val="0"/>
        </w:rPr>
        <w:t>定作人行使任意解除权的损害赔偿，在司法实践中有以下几种处理方案：</w:t>
      </w:r>
    </w:p>
    <w:p w14:paraId="6745860E">
      <w:pPr>
        <w:pStyle w:val="17"/>
        <w:keepNext w:val="0"/>
        <w:keepLines w:val="0"/>
        <w:widowControl w:val="0"/>
        <w:shd w:val="clear" w:color="auto" w:fill="auto"/>
        <w:bidi w:val="0"/>
        <w:spacing w:before="0" w:after="0" w:line="341" w:lineRule="exact"/>
        <w:ind w:left="320" w:right="0" w:firstLine="420"/>
        <w:jc w:val="both"/>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定作人行使任意解除权后，依照一般法定解除主张其法律效果。根据此思路，当事 人依据原《合同法》第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条解除合同后自然可主张原《合同法》第</w:t>
      </w:r>
      <w:r>
        <w:rPr>
          <w:rFonts w:ascii="Times New Roman" w:hAnsi="Times New Roman" w:eastAsia="Times New Roman" w:cs="Times New Roman"/>
          <w:color w:val="000000"/>
          <w:spacing w:val="0"/>
          <w:w w:val="100"/>
          <w:position w:val="0"/>
          <w:sz w:val="19"/>
          <w:szCs w:val="19"/>
        </w:rPr>
        <w:t>97</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 xml:space="preserve">566 </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款)规定的解除后果，主要体现为法院支持定作人在任意解除合同后要求返还定作 款的诉讼请求。如“贵州航天天马机电科技有限公司与重庆同力重型机器制造有限公司承 揽合同纠纷案</w:t>
      </w:r>
      <w:r>
        <w:rPr>
          <w:color w:val="000000"/>
          <w:spacing w:val="0"/>
          <w:w w:val="100"/>
          <w:position w:val="0"/>
          <w:sz w:val="11"/>
          <w:szCs w:val="11"/>
          <w:lang w:val="zh-CN" w:eastAsia="zh-CN" w:bidi="zh-CN"/>
        </w:rPr>
        <w:t>”［重</w:t>
      </w:r>
      <w:r>
        <w:rPr>
          <w:color w:val="000000"/>
          <w:spacing w:val="0"/>
          <w:w w:val="100"/>
          <w:position w:val="0"/>
          <w:sz w:val="11"/>
          <w:szCs w:val="11"/>
        </w:rPr>
        <w:t>庆市高级人民法院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渝高法民终字第</w:t>
      </w:r>
      <w:r>
        <w:rPr>
          <w:rFonts w:ascii="Times New Roman" w:hAnsi="Times New Roman" w:eastAsia="Times New Roman" w:cs="Times New Roman"/>
          <w:color w:val="000000"/>
          <w:spacing w:val="0"/>
          <w:w w:val="100"/>
          <w:position w:val="0"/>
          <w:sz w:val="17"/>
          <w:szCs w:val="17"/>
        </w:rPr>
        <w:t>00112</w:t>
      </w:r>
      <w:r>
        <w:rPr>
          <w:color w:val="000000"/>
          <w:spacing w:val="0"/>
          <w:w w:val="100"/>
          <w:position w:val="0"/>
          <w:sz w:val="11"/>
          <w:szCs w:val="11"/>
        </w:rPr>
        <w:t>号民事判决书］、</w:t>
      </w:r>
      <w:r>
        <w:rPr>
          <w:color w:val="000000"/>
          <w:spacing w:val="0"/>
          <w:w w:val="100"/>
          <w:position w:val="0"/>
          <w:lang w:val="zh-CN" w:eastAsia="zh-CN" w:bidi="zh-CN"/>
        </w:rPr>
        <w:t>“杨留</w:t>
      </w:r>
      <w:r>
        <w:rPr>
          <w:color w:val="000000"/>
          <w:spacing w:val="0"/>
          <w:w w:val="100"/>
          <w:position w:val="0"/>
        </w:rPr>
        <w:t>青等诉 温州市瓯海新桥小个子美食火锅店承揽合同纠纷案”</w:t>
      </w:r>
      <w:r>
        <w:rPr>
          <w:color w:val="000000"/>
          <w:spacing w:val="0"/>
          <w:w w:val="100"/>
          <w:position w:val="0"/>
          <w:lang w:val="en-US" w:eastAsia="en-US" w:bidi="en-US"/>
        </w:rPr>
        <w:t>［</w:t>
      </w:r>
      <w:r>
        <w:rPr>
          <w:color w:val="000000"/>
          <w:spacing w:val="0"/>
          <w:w w:val="100"/>
          <w:position w:val="0"/>
          <w:sz w:val="11"/>
          <w:szCs w:val="11"/>
        </w:rPr>
        <w:t>浙江省温州市中级人民法院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03</w:t>
      </w:r>
      <w:r>
        <w:rPr>
          <w:color w:val="000000"/>
          <w:spacing w:val="0"/>
          <w:w w:val="100"/>
          <w:position w:val="0"/>
          <w:sz w:val="11"/>
          <w:szCs w:val="11"/>
        </w:rPr>
        <w:t>民 终</w:t>
      </w:r>
      <w:r>
        <w:rPr>
          <w:rFonts w:ascii="Times New Roman" w:hAnsi="Times New Roman" w:eastAsia="Times New Roman" w:cs="Times New Roman"/>
          <w:color w:val="000000"/>
          <w:spacing w:val="0"/>
          <w:w w:val="100"/>
          <w:position w:val="0"/>
          <w:sz w:val="17"/>
          <w:szCs w:val="17"/>
        </w:rPr>
        <w:t>720</w:t>
      </w:r>
      <w:r>
        <w:rPr>
          <w:color w:val="000000"/>
          <w:spacing w:val="0"/>
          <w:w w:val="100"/>
          <w:position w:val="0"/>
          <w:sz w:val="11"/>
          <w:szCs w:val="11"/>
        </w:rPr>
        <w:t>号民事判决书］、</w:t>
      </w:r>
      <w:r>
        <w:rPr>
          <w:color w:val="000000"/>
          <w:spacing w:val="0"/>
          <w:w w:val="100"/>
          <w:position w:val="0"/>
          <w:lang w:val="zh-CN" w:eastAsia="zh-CN" w:bidi="zh-CN"/>
        </w:rPr>
        <w:t>“六瞳</w:t>
      </w:r>
      <w:r>
        <w:rPr>
          <w:color w:val="000000"/>
          <w:spacing w:val="0"/>
          <w:w w:val="100"/>
          <w:position w:val="0"/>
        </w:rPr>
        <w:t>国际文化传媒（北京）有限公司与北京美思优唐文化传播有限公司 承揽合同纠纷案</w:t>
      </w:r>
      <w:r>
        <w:rPr>
          <w:color w:val="000000"/>
          <w:spacing w:val="0"/>
          <w:w w:val="100"/>
          <w:position w:val="0"/>
          <w:sz w:val="11"/>
          <w:szCs w:val="11"/>
          <w:lang w:val="zh-CN" w:eastAsia="zh-CN" w:bidi="zh-CN"/>
        </w:rPr>
        <w:t>”［北</w:t>
      </w:r>
      <w:r>
        <w:rPr>
          <w:color w:val="000000"/>
          <w:spacing w:val="0"/>
          <w:w w:val="100"/>
          <w:position w:val="0"/>
          <w:sz w:val="11"/>
          <w:szCs w:val="11"/>
        </w:rPr>
        <w:t>京市第三中级人民法院（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03</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9028</w:t>
      </w:r>
      <w:r>
        <w:rPr>
          <w:color w:val="000000"/>
          <w:spacing w:val="0"/>
          <w:w w:val="100"/>
          <w:position w:val="0"/>
          <w:sz w:val="11"/>
          <w:szCs w:val="11"/>
        </w:rPr>
        <w:t>号民事判决书］</w:t>
      </w:r>
      <w:r>
        <w:rPr>
          <w:color w:val="000000"/>
          <w:spacing w:val="0"/>
          <w:w w:val="100"/>
          <w:position w:val="0"/>
        </w:rPr>
        <w:t>等均持此种观点。</w:t>
      </w:r>
    </w:p>
    <w:p w14:paraId="70D8EECE">
      <w:pPr>
        <w:pStyle w:val="17"/>
        <w:keepNext w:val="0"/>
        <w:keepLines w:val="0"/>
        <w:widowControl w:val="0"/>
        <w:shd w:val="clear" w:color="auto" w:fill="auto"/>
        <w:bidi w:val="0"/>
        <w:spacing w:before="0" w:after="0" w:line="340" w:lineRule="exact"/>
        <w:ind w:left="0" w:right="0" w:firstLine="42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条所规定的</w:t>
      </w:r>
      <w:r>
        <w:rPr>
          <w:color w:val="000000"/>
          <w:spacing w:val="0"/>
          <w:w w:val="100"/>
          <w:position w:val="0"/>
          <w:lang w:val="zh-CN" w:eastAsia="zh-CN" w:bidi="zh-CN"/>
        </w:rPr>
        <w:t>“赔</w:t>
      </w:r>
      <w:r>
        <w:rPr>
          <w:color w:val="000000"/>
          <w:spacing w:val="0"/>
          <w:w w:val="100"/>
          <w:position w:val="0"/>
        </w:rPr>
        <w:t>偿损失</w:t>
      </w:r>
      <w:r>
        <w:rPr>
          <w:color w:val="000000"/>
          <w:spacing w:val="0"/>
          <w:w w:val="100"/>
          <w:position w:val="0"/>
          <w:lang w:val="zh-CN" w:eastAsia="zh-CN" w:bidi="zh-CN"/>
        </w:rPr>
        <w:t>”的</w:t>
      </w:r>
      <w:r>
        <w:rPr>
          <w:color w:val="000000"/>
          <w:spacing w:val="0"/>
          <w:w w:val="100"/>
          <w:position w:val="0"/>
        </w:rPr>
        <w:t>范围。关于此</w:t>
      </w:r>
      <w:r>
        <w:rPr>
          <w:color w:val="000000"/>
          <w:spacing w:val="0"/>
          <w:w w:val="100"/>
          <w:position w:val="0"/>
          <w:lang w:val="zh-CN" w:eastAsia="zh-CN" w:bidi="zh-CN"/>
        </w:rPr>
        <w:t>“损失”范围</w:t>
      </w:r>
      <w:r>
        <w:rPr>
          <w:color w:val="000000"/>
          <w:spacing w:val="0"/>
          <w:w w:val="100"/>
          <w:position w:val="0"/>
        </w:rPr>
        <w:t>的认定，立 法例中存在德国民法釆纳的</w:t>
      </w:r>
      <w:r>
        <w:rPr>
          <w:color w:val="000000"/>
          <w:spacing w:val="0"/>
          <w:w w:val="100"/>
          <w:position w:val="0"/>
          <w:lang w:val="zh-CN" w:eastAsia="zh-CN" w:bidi="zh-CN"/>
        </w:rPr>
        <w:t>“报酬</w:t>
      </w:r>
      <w:r>
        <w:rPr>
          <w:color w:val="000000"/>
          <w:spacing w:val="0"/>
          <w:w w:val="100"/>
          <w:position w:val="0"/>
        </w:rPr>
        <w:t>请求权</w:t>
      </w:r>
      <w:r>
        <w:rPr>
          <w:color w:val="000000"/>
          <w:spacing w:val="0"/>
          <w:w w:val="100"/>
          <w:position w:val="0"/>
          <w:lang w:val="zh-CN" w:eastAsia="zh-CN" w:bidi="zh-CN"/>
        </w:rPr>
        <w:t>”模式</w:t>
      </w:r>
      <w:r>
        <w:rPr>
          <w:color w:val="000000"/>
          <w:spacing w:val="0"/>
          <w:w w:val="100"/>
          <w:position w:val="0"/>
        </w:rPr>
        <w:t>与法国、瑞士、日本、意大利民法以及我国台 湾地区</w:t>
      </w:r>
      <w:r>
        <w:rPr>
          <w:color w:val="000000"/>
          <w:spacing w:val="0"/>
          <w:w w:val="100"/>
          <w:position w:val="0"/>
          <w:lang w:val="zh-CN" w:eastAsia="zh-CN" w:bidi="zh-CN"/>
        </w:rPr>
        <w:t>“民法”采</w:t>
      </w:r>
      <w:r>
        <w:rPr>
          <w:color w:val="000000"/>
          <w:spacing w:val="0"/>
          <w:w w:val="100"/>
          <w:position w:val="0"/>
        </w:rPr>
        <w:t>纳的</w:t>
      </w:r>
      <w:r>
        <w:rPr>
          <w:color w:val="000000"/>
          <w:spacing w:val="0"/>
          <w:w w:val="100"/>
          <w:position w:val="0"/>
          <w:lang w:val="zh-CN" w:eastAsia="zh-CN" w:bidi="zh-CN"/>
        </w:rPr>
        <w:t>“损害</w:t>
      </w:r>
      <w:r>
        <w:rPr>
          <w:color w:val="000000"/>
          <w:spacing w:val="0"/>
          <w:w w:val="100"/>
          <w:position w:val="0"/>
        </w:rPr>
        <w:t>赔偿”模式。与此对应，司法实践中也存在</w:t>
      </w:r>
      <w:r>
        <w:rPr>
          <w:color w:val="000000"/>
          <w:spacing w:val="0"/>
          <w:w w:val="100"/>
          <w:position w:val="0"/>
          <w:lang w:val="zh-CN" w:eastAsia="zh-CN" w:bidi="zh-CN"/>
        </w:rPr>
        <w:t>“直接</w:t>
      </w:r>
      <w:r>
        <w:rPr>
          <w:color w:val="000000"/>
          <w:spacing w:val="0"/>
          <w:w w:val="100"/>
          <w:position w:val="0"/>
        </w:rPr>
        <w:t>损失说</w:t>
      </w:r>
      <w:r>
        <w:rPr>
          <w:color w:val="000000"/>
          <w:spacing w:val="0"/>
          <w:w w:val="100"/>
          <w:position w:val="0"/>
          <w:lang w:val="zh-CN" w:eastAsia="zh-CN" w:bidi="zh-CN"/>
        </w:rPr>
        <w:t xml:space="preserve">”和“履 </w:t>
      </w:r>
      <w:r>
        <w:rPr>
          <w:color w:val="000000"/>
          <w:spacing w:val="0"/>
          <w:w w:val="100"/>
          <w:position w:val="0"/>
        </w:rPr>
        <w:t>行利益说”两种不同观点：</w:t>
      </w:r>
    </w:p>
    <w:p w14:paraId="606D4DE1">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第一,直接损失说。此种观点认为，定作人行使任意解除权是</w:t>
      </w:r>
      <w:r>
        <w:rPr>
          <w:color w:val="000000"/>
          <w:spacing w:val="0"/>
          <w:w w:val="100"/>
          <w:position w:val="0"/>
          <w:lang w:val="zh-CN" w:eastAsia="zh-CN" w:bidi="zh-CN"/>
        </w:rPr>
        <w:t>“法定</w:t>
      </w:r>
      <w:r>
        <w:rPr>
          <w:color w:val="000000"/>
          <w:spacing w:val="0"/>
          <w:w w:val="100"/>
          <w:position w:val="0"/>
        </w:rPr>
        <w:t>权利”，因此无须承 担违约责任,其不应向承揽人赔偿预期利益损失，仅需赔偿实际利益损失。</w:t>
      </w:r>
      <w:r>
        <w:rPr>
          <w:color w:val="000000"/>
          <w:spacing w:val="0"/>
          <w:w w:val="100"/>
          <w:position w:val="0"/>
          <w:lang w:val="zh-CN" w:eastAsia="zh-CN" w:bidi="zh-CN"/>
        </w:rPr>
        <w:t>“杨</w:t>
      </w:r>
      <w:r>
        <w:rPr>
          <w:color w:val="000000"/>
          <w:spacing w:val="0"/>
          <w:w w:val="100"/>
          <w:position w:val="0"/>
        </w:rPr>
        <w:t>留青等诉温 州市瓯海新桥小个子美食火锅店承揽合同纠纷案</w:t>
      </w:r>
      <w:r>
        <w:rPr>
          <w:color w:val="000000"/>
          <w:spacing w:val="0"/>
          <w:w w:val="100"/>
          <w:position w:val="0"/>
          <w:sz w:val="11"/>
          <w:szCs w:val="11"/>
          <w:lang w:val="zh-CN" w:eastAsia="zh-CN" w:bidi="zh-CN"/>
        </w:rPr>
        <w:t>”［浙</w:t>
      </w:r>
      <w:r>
        <w:rPr>
          <w:color w:val="000000"/>
          <w:spacing w:val="0"/>
          <w:w w:val="100"/>
          <w:position w:val="0"/>
          <w:sz w:val="11"/>
          <w:szCs w:val="11"/>
        </w:rPr>
        <w:t>江省温州市中级人民法院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03</w:t>
      </w:r>
      <w:r>
        <w:rPr>
          <w:color w:val="000000"/>
          <w:spacing w:val="0"/>
          <w:w w:val="100"/>
          <w:position w:val="0"/>
          <w:sz w:val="11"/>
          <w:szCs w:val="11"/>
        </w:rPr>
        <w:t>民 终</w:t>
      </w:r>
      <w:r>
        <w:rPr>
          <w:rFonts w:ascii="Times New Roman" w:hAnsi="Times New Roman" w:eastAsia="Times New Roman" w:cs="Times New Roman"/>
          <w:color w:val="000000"/>
          <w:spacing w:val="0"/>
          <w:w w:val="100"/>
          <w:position w:val="0"/>
          <w:sz w:val="17"/>
          <w:szCs w:val="17"/>
        </w:rPr>
        <w:t>720</w:t>
      </w:r>
      <w:r>
        <w:rPr>
          <w:color w:val="000000"/>
          <w:spacing w:val="0"/>
          <w:w w:val="100"/>
          <w:position w:val="0"/>
          <w:sz w:val="11"/>
          <w:szCs w:val="11"/>
        </w:rPr>
        <w:t>号民事判决书］、</w:t>
      </w:r>
      <w:r>
        <w:rPr>
          <w:color w:val="000000"/>
          <w:spacing w:val="0"/>
          <w:w w:val="100"/>
          <w:position w:val="0"/>
          <w:lang w:val="zh-CN" w:eastAsia="zh-CN" w:bidi="zh-CN"/>
        </w:rPr>
        <w:t>“聊城</w:t>
      </w:r>
      <w:r>
        <w:rPr>
          <w:color w:val="000000"/>
          <w:spacing w:val="0"/>
          <w:w w:val="100"/>
          <w:position w:val="0"/>
        </w:rPr>
        <w:t>市东昌府区昌盛纺织有限公司与青岛三剑线业工贸中心承揽合 同纠纷案</w:t>
      </w:r>
      <w:r>
        <w:rPr>
          <w:color w:val="000000"/>
          <w:spacing w:val="0"/>
          <w:w w:val="100"/>
          <w:position w:val="0"/>
          <w:sz w:val="11"/>
          <w:szCs w:val="11"/>
          <w:lang w:val="zh-CN" w:eastAsia="zh-CN" w:bidi="zh-CN"/>
        </w:rPr>
        <w:t>”［山</w:t>
      </w:r>
      <w:r>
        <w:rPr>
          <w:color w:val="000000"/>
          <w:spacing w:val="0"/>
          <w:w w:val="100"/>
          <w:position w:val="0"/>
          <w:sz w:val="11"/>
          <w:szCs w:val="11"/>
        </w:rPr>
        <w:t>东省青岛市中级人民法院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鲁</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7146</w:t>
      </w:r>
      <w:r>
        <w:rPr>
          <w:color w:val="000000"/>
          <w:spacing w:val="0"/>
          <w:w w:val="100"/>
          <w:position w:val="0"/>
          <w:sz w:val="11"/>
          <w:szCs w:val="11"/>
        </w:rPr>
        <w:t>号民事判决书］</w:t>
      </w:r>
      <w:r>
        <w:rPr>
          <w:color w:val="000000"/>
          <w:spacing w:val="0"/>
          <w:w w:val="100"/>
          <w:position w:val="0"/>
          <w:lang w:val="zh-CN" w:eastAsia="zh-CN" w:bidi="zh-CN"/>
        </w:rPr>
        <w:t>、“宁</w:t>
      </w:r>
      <w:r>
        <w:rPr>
          <w:color w:val="000000"/>
          <w:spacing w:val="0"/>
          <w:w w:val="100"/>
          <w:position w:val="0"/>
        </w:rPr>
        <w:t>波鑫合利斯服 饰有限公司与国际环球（哈尔滨）时装有限公司定作合同纠纷案”</w:t>
      </w:r>
      <w:r>
        <w:rPr>
          <w:color w:val="000000"/>
          <w:spacing w:val="0"/>
          <w:w w:val="100"/>
          <w:position w:val="0"/>
          <w:lang w:val="en-US" w:eastAsia="en-US" w:bidi="en-US"/>
        </w:rPr>
        <w:t>［</w:t>
      </w:r>
      <w:r>
        <w:rPr>
          <w:color w:val="000000"/>
          <w:spacing w:val="0"/>
          <w:w w:val="100"/>
          <w:position w:val="0"/>
          <w:sz w:val="11"/>
          <w:szCs w:val="11"/>
        </w:rPr>
        <w:t xml:space="preserve">浙江省宁波市中级人民法院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1027</w:t>
      </w:r>
      <w:r>
        <w:rPr>
          <w:color w:val="000000"/>
          <w:spacing w:val="0"/>
          <w:w w:val="100"/>
          <w:position w:val="0"/>
          <w:sz w:val="11"/>
          <w:szCs w:val="11"/>
        </w:rPr>
        <w:t>号民事判决书］</w:t>
      </w:r>
      <w:r>
        <w:rPr>
          <w:color w:val="000000"/>
          <w:spacing w:val="0"/>
          <w:w w:val="100"/>
          <w:position w:val="0"/>
          <w:lang w:val="zh-CN" w:eastAsia="zh-CN" w:bidi="zh-CN"/>
        </w:rPr>
        <w:t>、“荆</w:t>
      </w:r>
      <w:r>
        <w:rPr>
          <w:color w:val="000000"/>
          <w:spacing w:val="0"/>
          <w:w w:val="100"/>
          <w:position w:val="0"/>
        </w:rPr>
        <w:t>州市泛亚石油化工有限公司、成都赛普瑞兴科技有 限公司承揽合同纠纷案</w:t>
      </w:r>
      <w:r>
        <w:rPr>
          <w:color w:val="000000"/>
          <w:spacing w:val="0"/>
          <w:w w:val="100"/>
          <w:position w:val="0"/>
          <w:sz w:val="11"/>
          <w:szCs w:val="11"/>
          <w:lang w:val="zh-CN" w:eastAsia="zh-CN" w:bidi="zh-CN"/>
        </w:rPr>
        <w:t>”［四</w:t>
      </w:r>
      <w:r>
        <w:rPr>
          <w:color w:val="000000"/>
          <w:spacing w:val="0"/>
          <w:w w:val="100"/>
          <w:position w:val="0"/>
          <w:sz w:val="11"/>
          <w:szCs w:val="11"/>
        </w:rPr>
        <w:t>川省高级人民法院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川民终</w:t>
      </w:r>
      <w:r>
        <w:rPr>
          <w:rFonts w:ascii="Times New Roman" w:hAnsi="Times New Roman" w:eastAsia="Times New Roman" w:cs="Times New Roman"/>
          <w:color w:val="000000"/>
          <w:spacing w:val="0"/>
          <w:w w:val="100"/>
          <w:position w:val="0"/>
          <w:sz w:val="17"/>
          <w:szCs w:val="17"/>
        </w:rPr>
        <w:t>941</w:t>
      </w:r>
      <w:r>
        <w:rPr>
          <w:color w:val="000000"/>
          <w:spacing w:val="0"/>
          <w:w w:val="100"/>
          <w:position w:val="0"/>
          <w:sz w:val="11"/>
          <w:szCs w:val="11"/>
        </w:rPr>
        <w:t>号民事判决书］</w:t>
      </w:r>
      <w:r>
        <w:rPr>
          <w:color w:val="000000"/>
          <w:spacing w:val="0"/>
          <w:w w:val="100"/>
          <w:position w:val="0"/>
        </w:rPr>
        <w:t>均持此种观点。</w:t>
      </w:r>
    </w:p>
    <w:p w14:paraId="0EBC0056">
      <w:pPr>
        <w:pStyle w:val="17"/>
        <w:keepNext w:val="0"/>
        <w:keepLines w:val="0"/>
        <w:widowControl w:val="0"/>
        <w:shd w:val="clear" w:color="auto" w:fill="auto"/>
        <w:bidi w:val="0"/>
        <w:spacing w:before="0" w:after="180" w:line="340" w:lineRule="exact"/>
        <w:ind w:left="0" w:right="0" w:firstLine="420"/>
        <w:jc w:val="both"/>
      </w:pPr>
      <w:r>
        <w:rPr>
          <w:color w:val="000000"/>
          <w:spacing w:val="0"/>
          <w:w w:val="100"/>
          <w:position w:val="0"/>
        </w:rPr>
        <w:t>第二,履行利益说。此观点认为，定作人行使任意解除权时,对承揽人未履行的部分，也 要赔偿其履行利益的损失。司法实践中，</w:t>
      </w:r>
      <w:r>
        <w:rPr>
          <w:color w:val="000000"/>
          <w:spacing w:val="0"/>
          <w:w w:val="100"/>
          <w:position w:val="0"/>
          <w:lang w:val="zh-CN" w:eastAsia="zh-CN" w:bidi="zh-CN"/>
        </w:rPr>
        <w:t>“宁波</w:t>
      </w:r>
      <w:r>
        <w:rPr>
          <w:color w:val="000000"/>
          <w:spacing w:val="0"/>
          <w:w w:val="100"/>
          <w:position w:val="0"/>
        </w:rPr>
        <w:t>戈凌蓝服饰实业有限公司与宁波海曙天诚 创易广告传媒有限公司承揽合同纠纷上诉案”</w:t>
      </w:r>
      <w:r>
        <w:rPr>
          <w:color w:val="000000"/>
          <w:spacing w:val="0"/>
          <w:w w:val="100"/>
          <w:position w:val="0"/>
          <w:sz w:val="11"/>
          <w:szCs w:val="11"/>
        </w:rPr>
        <w:t>［浙江省宁波市中级人民法院</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浙甬商外终字 第</w:t>
      </w:r>
      <w:r>
        <w:rPr>
          <w:rFonts w:ascii="Times New Roman" w:hAnsi="Times New Roman" w:eastAsia="Times New Roman" w:cs="Times New Roman"/>
          <w:color w:val="000000"/>
          <w:spacing w:val="0"/>
          <w:w w:val="100"/>
          <w:position w:val="0"/>
          <w:sz w:val="17"/>
          <w:szCs w:val="17"/>
        </w:rPr>
        <w:t>14</w:t>
      </w:r>
      <w:r>
        <w:rPr>
          <w:color w:val="000000"/>
          <w:spacing w:val="0"/>
          <w:w w:val="100"/>
          <w:position w:val="0"/>
          <w:sz w:val="11"/>
          <w:szCs w:val="11"/>
        </w:rPr>
        <w:t>号民事判决书］、</w:t>
      </w:r>
      <w:r>
        <w:rPr>
          <w:color w:val="000000"/>
          <w:spacing w:val="0"/>
          <w:w w:val="100"/>
          <w:position w:val="0"/>
          <w:lang w:val="zh-CN" w:eastAsia="zh-CN" w:bidi="zh-CN"/>
        </w:rPr>
        <w:t>“路桥</w:t>
      </w:r>
      <w:r>
        <w:rPr>
          <w:color w:val="000000"/>
          <w:spacing w:val="0"/>
          <w:w w:val="100"/>
          <w:position w:val="0"/>
        </w:rPr>
        <w:t>华南工程有限公司与中铁武桥重工股份有限公司等加工承揽合 同纠纷案”</w:t>
      </w:r>
      <w:r>
        <w:rPr>
          <w:color w:val="000000"/>
          <w:spacing w:val="0"/>
          <w:w w:val="100"/>
          <w:position w:val="0"/>
          <w:lang w:val="en-US" w:eastAsia="en-US" w:bidi="en-US"/>
        </w:rPr>
        <w:t>［</w:t>
      </w:r>
      <w:r>
        <w:rPr>
          <w:color w:val="000000"/>
          <w:spacing w:val="0"/>
          <w:w w:val="100"/>
          <w:position w:val="0"/>
          <w:sz w:val="11"/>
          <w:szCs w:val="11"/>
        </w:rPr>
        <w:t>河南省高级人民法院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豫法民三终字第</w:t>
      </w:r>
      <w:r>
        <w:rPr>
          <w:rFonts w:ascii="Times New Roman" w:hAnsi="Times New Roman" w:eastAsia="Times New Roman" w:cs="Times New Roman"/>
          <w:color w:val="000000"/>
          <w:spacing w:val="0"/>
          <w:w w:val="100"/>
          <w:position w:val="0"/>
          <w:sz w:val="17"/>
          <w:szCs w:val="17"/>
        </w:rPr>
        <w:t>00036</w:t>
      </w:r>
      <w:r>
        <w:rPr>
          <w:color w:val="000000"/>
          <w:spacing w:val="0"/>
          <w:w w:val="100"/>
          <w:position w:val="0"/>
          <w:sz w:val="11"/>
          <w:szCs w:val="11"/>
        </w:rPr>
        <w:t>号判决书</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5486</w:t>
      </w:r>
      <w:r>
        <w:rPr>
          <w:color w:val="000000"/>
          <w:spacing w:val="0"/>
          <w:w w:val="100"/>
          <w:position w:val="0"/>
        </w:rPr>
        <w:t>淮安钟凯丽装饰 工程有限公司与晋云妹、刘星装饰装修合同纠纷案</w:t>
      </w:r>
      <w:r>
        <w:rPr>
          <w:color w:val="000000"/>
          <w:spacing w:val="0"/>
          <w:w w:val="100"/>
          <w:position w:val="0"/>
          <w:sz w:val="11"/>
          <w:szCs w:val="11"/>
        </w:rPr>
        <w:t>［江苏省淮安市淮阴区人民法院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 xml:space="preserve">苏 </w:t>
      </w:r>
      <w:r>
        <w:rPr>
          <w:rFonts w:ascii="Times New Roman" w:hAnsi="Times New Roman" w:eastAsia="Times New Roman" w:cs="Times New Roman"/>
          <w:color w:val="000000"/>
          <w:spacing w:val="0"/>
          <w:w w:val="100"/>
          <w:position w:val="0"/>
          <w:sz w:val="17"/>
          <w:szCs w:val="17"/>
        </w:rPr>
        <w:t>0804</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5486</w:t>
      </w:r>
      <w:r>
        <w:rPr>
          <w:color w:val="000000"/>
          <w:spacing w:val="0"/>
          <w:w w:val="100"/>
          <w:position w:val="0"/>
          <w:sz w:val="11"/>
          <w:szCs w:val="11"/>
        </w:rPr>
        <w:t>号民事判决书］、</w:t>
      </w:r>
      <w:r>
        <w:rPr>
          <w:color w:val="000000"/>
          <w:spacing w:val="0"/>
          <w:w w:val="100"/>
          <w:position w:val="0"/>
          <w:lang w:val="zh-CN" w:eastAsia="zh-CN" w:bidi="zh-CN"/>
        </w:rPr>
        <w:t>“江苏</w:t>
      </w:r>
      <w:r>
        <w:rPr>
          <w:color w:val="000000"/>
          <w:spacing w:val="0"/>
          <w:w w:val="100"/>
          <w:position w:val="0"/>
        </w:rPr>
        <w:t>杰富宏泰阀门有限公司与南通天星铸锻有限公司承揽合 同纠纷案</w:t>
      </w:r>
      <w:r>
        <w:rPr>
          <w:color w:val="000000"/>
          <w:spacing w:val="0"/>
          <w:w w:val="100"/>
          <w:position w:val="0"/>
          <w:sz w:val="11"/>
          <w:szCs w:val="11"/>
          <w:lang w:val="zh-CN" w:eastAsia="zh-CN" w:bidi="zh-CN"/>
        </w:rPr>
        <w:t>”［江</w:t>
      </w:r>
      <w:r>
        <w:rPr>
          <w:color w:val="000000"/>
          <w:spacing w:val="0"/>
          <w:w w:val="100"/>
          <w:position w:val="0"/>
          <w:sz w:val="11"/>
          <w:szCs w:val="11"/>
        </w:rPr>
        <w:t>苏省海安县人民法院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安曲商初字第</w:t>
      </w:r>
      <w:r>
        <w:rPr>
          <w:rFonts w:ascii="Times New Roman" w:hAnsi="Times New Roman" w:eastAsia="Times New Roman" w:cs="Times New Roman"/>
          <w:color w:val="000000"/>
          <w:spacing w:val="0"/>
          <w:w w:val="100"/>
          <w:position w:val="0"/>
          <w:sz w:val="17"/>
          <w:szCs w:val="17"/>
        </w:rPr>
        <w:t>00057</w:t>
      </w:r>
      <w:r>
        <w:rPr>
          <w:color w:val="000000"/>
          <w:spacing w:val="0"/>
          <w:w w:val="100"/>
          <w:position w:val="0"/>
          <w:sz w:val="11"/>
          <w:szCs w:val="11"/>
        </w:rPr>
        <w:t>号民事判决书］</w:t>
      </w:r>
      <w:r>
        <w:rPr>
          <w:color w:val="000000"/>
          <w:spacing w:val="0"/>
          <w:w w:val="100"/>
          <w:position w:val="0"/>
          <w:lang w:val="zh-CN" w:eastAsia="zh-CN" w:bidi="zh-CN"/>
        </w:rPr>
        <w:t>、“中</w:t>
      </w:r>
      <w:r>
        <w:rPr>
          <w:color w:val="000000"/>
          <w:spacing w:val="0"/>
          <w:w w:val="100"/>
          <w:position w:val="0"/>
        </w:rPr>
        <w:t>铁武桥重工股 份有限公司诉挪威</w:t>
      </w:r>
      <w:r>
        <w:rPr>
          <w:rFonts w:ascii="Times New Roman" w:hAnsi="Times New Roman" w:eastAsia="Times New Roman" w:cs="Times New Roman"/>
          <w:color w:val="000000"/>
          <w:spacing w:val="0"/>
          <w:w w:val="100"/>
          <w:position w:val="0"/>
          <w:sz w:val="17"/>
          <w:szCs w:val="17"/>
          <w:lang w:val="en-US" w:eastAsia="en-US" w:bidi="en-US"/>
        </w:rPr>
        <w:t>NRS AS</w:t>
      </w:r>
      <w:r>
        <w:rPr>
          <w:color w:val="000000"/>
          <w:spacing w:val="0"/>
          <w:w w:val="100"/>
          <w:position w:val="0"/>
        </w:rPr>
        <w:t>公司等加工承揽合同纠纷案</w:t>
      </w:r>
      <w:r>
        <w:rPr>
          <w:color w:val="000000"/>
          <w:spacing w:val="0"/>
          <w:w w:val="100"/>
          <w:position w:val="0"/>
          <w:sz w:val="11"/>
          <w:szCs w:val="11"/>
          <w:lang w:val="zh-CN" w:eastAsia="zh-CN" w:bidi="zh-CN"/>
        </w:rPr>
        <w:t>”「河</w:t>
      </w:r>
      <w:r>
        <w:rPr>
          <w:color w:val="000000"/>
          <w:spacing w:val="0"/>
          <w:w w:val="100"/>
          <w:position w:val="0"/>
          <w:sz w:val="11"/>
          <w:szCs w:val="11"/>
        </w:rPr>
        <w:t>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豫法民 三终字第</w:t>
      </w:r>
      <w:r>
        <w:rPr>
          <w:rFonts w:ascii="Times New Roman" w:hAnsi="Times New Roman" w:eastAsia="Times New Roman" w:cs="Times New Roman"/>
          <w:color w:val="000000"/>
          <w:spacing w:val="0"/>
          <w:w w:val="100"/>
          <w:position w:val="0"/>
          <w:sz w:val="17"/>
          <w:szCs w:val="17"/>
        </w:rPr>
        <w:t>36</w:t>
      </w:r>
      <w:r>
        <w:rPr>
          <w:color w:val="000000"/>
          <w:spacing w:val="0"/>
          <w:w w:val="100"/>
          <w:position w:val="0"/>
          <w:sz w:val="11"/>
          <w:szCs w:val="11"/>
        </w:rPr>
        <w:t>号判决书］</w:t>
      </w:r>
      <w:r>
        <w:rPr>
          <w:color w:val="000000"/>
          <w:spacing w:val="0"/>
          <w:w w:val="100"/>
          <w:position w:val="0"/>
        </w:rPr>
        <w:t>等判决持此种观点</w:t>
      </w:r>
    </w:p>
    <w:p w14:paraId="2C025A34">
      <w:pPr>
        <w:pStyle w:val="17"/>
        <w:keepNext w:val="0"/>
        <w:keepLines w:val="0"/>
        <w:widowControl w:val="0"/>
        <w:shd w:val="clear" w:color="auto" w:fill="auto"/>
        <w:bidi w:val="0"/>
        <w:spacing w:before="0" w:after="140" w:line="340" w:lineRule="exact"/>
        <w:ind w:left="0" w:right="0" w:firstLine="0"/>
        <w:jc w:val="left"/>
      </w:pPr>
      <w:r>
        <w:rPr>
          <w:color w:val="000000"/>
          <w:spacing w:val="0"/>
          <w:w w:val="100"/>
          <w:position w:val="0"/>
          <w:lang w:val="en-US" w:eastAsia="en-US" w:bidi="en-US"/>
        </w:rPr>
        <w:t>®</w:t>
      </w:r>
      <w:r>
        <w:rPr>
          <w:color w:val="000000"/>
          <w:spacing w:val="0"/>
          <w:w w:val="100"/>
          <w:position w:val="0"/>
        </w:rPr>
        <w:t>本裁定的参考意义及将来的课题</w:t>
      </w:r>
    </w:p>
    <w:p w14:paraId="02CD89A7">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本案提出了原《合同法》第</w:t>
      </w:r>
      <w:r>
        <w:rPr>
          <w:rFonts w:ascii="Times New Roman" w:hAnsi="Times New Roman" w:eastAsia="Times New Roman" w:cs="Times New Roman"/>
          <w:color w:val="000000"/>
          <w:spacing w:val="0"/>
          <w:w w:val="100"/>
          <w:position w:val="0"/>
          <w:sz w:val="19"/>
          <w:szCs w:val="19"/>
        </w:rPr>
        <w:t>268</w:t>
      </w:r>
      <w:r>
        <w:rPr>
          <w:color w:val="000000"/>
          <w:spacing w:val="0"/>
          <w:w w:val="100"/>
          <w:position w:val="0"/>
        </w:rPr>
        <w:t>条在司法适用中的普遍问题。虽该判决仍存在探讨与 改善空间,但仍有相当的分析价值,对本案进行深入研究，能为《民法典》出台后该制度的适 用提供有效参照。尤其是在《民法典》对定作人任意解除权的行使时间作出明确规定的背 景下，本案判决中未能充分关注定作人任意解除权行使时间存在的问题,就更为凸显。本 判决涉及将来的研究课题包括:承揽人违约与任意解除权的行使、承揽合同任意解除后定 作人损害赔偿范围的认定以及任意解除权与一般法定解除权的关系等。</w:t>
      </w:r>
    </w:p>
    <w:p w14:paraId="2CB9D4E1">
      <w:pPr>
        <w:pStyle w:val="11"/>
        <w:keepNext w:val="0"/>
        <w:keepLines w:val="0"/>
        <w:widowControl w:val="0"/>
        <w:shd w:val="clear" w:color="auto" w:fill="auto"/>
        <w:bidi w:val="0"/>
        <w:spacing w:before="0" w:after="180" w:line="340" w:lineRule="exact"/>
        <w:ind w:left="0" w:right="0" w:firstLine="0"/>
        <w:jc w:val="left"/>
      </w:pPr>
      <w:r>
        <w:rPr>
          <w:color w:val="000000"/>
          <w:spacing w:val="0"/>
          <w:w w:val="100"/>
          <w:position w:val="0"/>
        </w:rPr>
        <w:t>回参考文献</w:t>
      </w:r>
    </w:p>
    <w:p w14:paraId="11214A9B">
      <w:pPr>
        <w:pStyle w:val="33"/>
        <w:keepNext w:val="0"/>
        <w:keepLines w:val="0"/>
        <w:widowControl w:val="0"/>
        <w:shd w:val="clear" w:color="auto" w:fill="auto"/>
        <w:bidi w:val="0"/>
        <w:spacing w:before="0" w:after="180" w:line="240" w:lineRule="auto"/>
        <w:ind w:left="0" w:right="0" w:firstLine="0"/>
        <w:jc w:val="left"/>
      </w:pPr>
      <w:r>
        <w:rPr>
          <w:color w:val="000000"/>
          <w:spacing w:val="0"/>
          <w:w w:val="100"/>
          <w:position w:val="0"/>
        </w:rPr>
        <w:t>黄茂荣:《债法各论》（第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册），中国政法大学出版社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54C1255B">
      <w:pPr>
        <w:pStyle w:val="33"/>
        <w:keepNext w:val="0"/>
        <w:keepLines w:val="0"/>
        <w:widowControl w:val="0"/>
        <w:shd w:val="clear" w:color="auto" w:fill="auto"/>
        <w:bidi w:val="0"/>
        <w:spacing w:before="0" w:after="0" w:line="295" w:lineRule="exact"/>
        <w:ind w:left="0" w:right="0" w:firstLine="340"/>
        <w:jc w:val="left"/>
      </w:pPr>
      <w:r>
        <w:rPr>
          <w:color w:val="000000"/>
          <w:spacing w:val="0"/>
          <w:w w:val="100"/>
          <w:position w:val="0"/>
        </w:rPr>
        <w:t>韩世远:《合同法学》，高等教育出版社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11724237">
      <w:pPr>
        <w:pStyle w:val="33"/>
        <w:keepNext w:val="0"/>
        <w:keepLines w:val="0"/>
        <w:widowControl w:val="0"/>
        <w:shd w:val="clear" w:color="auto" w:fill="auto"/>
        <w:bidi w:val="0"/>
        <w:spacing w:before="0" w:after="0" w:line="295" w:lineRule="exact"/>
        <w:ind w:left="0" w:right="0" w:firstLine="340"/>
        <w:jc w:val="left"/>
      </w:pPr>
      <w:r>
        <w:rPr>
          <w:color w:val="000000"/>
          <w:spacing w:val="0"/>
          <w:w w:val="100"/>
          <w:position w:val="0"/>
        </w:rPr>
        <w:t>王利明：《合同法研究》（第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卷），中国人民大学出版社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年版。</w:t>
      </w:r>
    </w:p>
    <w:p w14:paraId="0F84ED4E">
      <w:pPr>
        <w:pStyle w:val="33"/>
        <w:keepNext w:val="0"/>
        <w:keepLines w:val="0"/>
        <w:widowControl w:val="0"/>
        <w:shd w:val="clear" w:color="auto" w:fill="auto"/>
        <w:bidi w:val="0"/>
        <w:spacing w:before="0" w:after="0" w:line="295" w:lineRule="exact"/>
        <w:ind w:left="0" w:right="0" w:firstLine="340"/>
        <w:jc w:val="left"/>
      </w:pPr>
      <w:r>
        <w:rPr>
          <w:color w:val="000000"/>
          <w:spacing w:val="0"/>
          <w:w w:val="100"/>
          <w:position w:val="0"/>
        </w:rPr>
        <w:t>蔡恒、骆电：《我国〈合同法〉上任意解除权的理解与适用》，载《法律适用》</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期。</w:t>
      </w:r>
    </w:p>
    <w:p w14:paraId="5A510B72">
      <w:pPr>
        <w:pStyle w:val="33"/>
        <w:keepNext w:val="0"/>
        <w:keepLines w:val="0"/>
        <w:widowControl w:val="0"/>
        <w:shd w:val="clear" w:color="auto" w:fill="auto"/>
        <w:bidi w:val="0"/>
        <w:spacing w:before="0" w:after="0" w:line="295" w:lineRule="exact"/>
        <w:ind w:left="520" w:right="0" w:hanging="180"/>
        <w:jc w:val="left"/>
      </w:pPr>
      <w:r>
        <w:rPr>
          <w:color w:val="000000"/>
          <w:spacing w:val="0"/>
          <w:w w:val="100"/>
          <w:position w:val="0"/>
        </w:rPr>
        <w:t>陆青:《论法定解除事由的规范体系——以一般规范与特别规范的关系为中心》，载《华东政法大学学 报》</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14B54FD">
      <w:pPr>
        <w:pStyle w:val="33"/>
        <w:keepNext w:val="0"/>
        <w:keepLines w:val="0"/>
        <w:widowControl w:val="0"/>
        <w:shd w:val="clear" w:color="auto" w:fill="auto"/>
        <w:bidi w:val="0"/>
        <w:spacing w:before="0" w:after="0" w:line="295" w:lineRule="exact"/>
        <w:ind w:left="0" w:right="0" w:firstLine="340"/>
        <w:jc w:val="left"/>
      </w:pPr>
      <w:r>
        <w:rPr>
          <w:color w:val="000000"/>
          <w:spacing w:val="0"/>
          <w:w w:val="100"/>
          <w:position w:val="0"/>
        </w:rPr>
        <w:t>周江洪:《委托合同任意解除的损害赔偿》，载《法学研究》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4626DC7E">
      <w:pPr>
        <w:pStyle w:val="33"/>
        <w:keepNext w:val="0"/>
        <w:keepLines w:val="0"/>
        <w:widowControl w:val="0"/>
        <w:shd w:val="clear" w:color="auto" w:fill="auto"/>
        <w:bidi w:val="0"/>
        <w:spacing w:before="0" w:after="0" w:line="295" w:lineRule="exact"/>
        <w:ind w:left="0" w:right="0" w:firstLine="340"/>
        <w:jc w:val="left"/>
        <w:sectPr>
          <w:headerReference r:id="rId481" w:type="default"/>
          <w:headerReference r:id="rId482" w:type="even"/>
          <w:footnotePr>
            <w:numFmt w:val="chicago"/>
          </w:footnotePr>
          <w:pgSz w:w="10099" w:h="14782"/>
          <w:pgMar w:top="1428" w:right="832" w:bottom="1080" w:left="941" w:header="0" w:footer="3" w:gutter="0"/>
          <w:pgNumType w:start="411"/>
          <w:cols w:space="720" w:num="1"/>
          <w:rtlGutter w:val="0"/>
          <w:docGrid w:linePitch="360" w:charSpace="0"/>
        </w:sectPr>
      </w:pPr>
      <w:r>
        <w:rPr>
          <w:color w:val="000000"/>
          <w:spacing w:val="0"/>
          <w:w w:val="100"/>
          <w:position w:val="0"/>
        </w:rPr>
        <w:t>王文军:《论继续性合同的解除》，载《法商研究》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057A64E">
      <w:pPr>
        <w:widowControl w:val="0"/>
        <w:spacing w:line="46" w:lineRule="exact"/>
        <w:rPr>
          <w:sz w:val="4"/>
          <w:szCs w:val="4"/>
        </w:rPr>
      </w:pPr>
    </w:p>
    <w:p w14:paraId="64EB2795">
      <w:pPr>
        <w:widowControl w:val="0"/>
        <w:spacing w:line="1" w:lineRule="exact"/>
        <w:sectPr>
          <w:headerReference r:id="rId483" w:type="default"/>
          <w:headerReference r:id="rId484" w:type="even"/>
          <w:footnotePr>
            <w:numFmt w:val="chicago"/>
          </w:footnotePr>
          <w:pgSz w:w="10099" w:h="14782"/>
          <w:pgMar w:top="1268" w:right="1081" w:bottom="1144" w:left="1019" w:header="0" w:footer="3" w:gutter="0"/>
          <w:pgNumType w:start="431"/>
          <w:cols w:space="720" w:num="1"/>
          <w:rtlGutter w:val="0"/>
          <w:docGrid w:linePitch="360" w:charSpace="0"/>
        </w:sectPr>
      </w:pPr>
    </w:p>
    <w:p w14:paraId="511D7498">
      <w:pPr>
        <w:widowControl w:val="0"/>
        <w:spacing w:line="1" w:lineRule="exact"/>
      </w:pPr>
      <w:r>
        <mc:AlternateContent>
          <mc:Choice Requires="wps">
            <w:drawing>
              <wp:anchor distT="0" distB="26035" distL="0" distR="0" simplePos="0" relativeHeight="251660288" behindDoc="0" locked="0" layoutInCell="1" allowOverlap="1">
                <wp:simplePos x="0" y="0"/>
                <wp:positionH relativeFrom="page">
                  <wp:posOffset>711835</wp:posOffset>
                </wp:positionH>
                <wp:positionV relativeFrom="paragraph">
                  <wp:posOffset>0</wp:posOffset>
                </wp:positionV>
                <wp:extent cx="449580" cy="304800"/>
                <wp:effectExtent l="0" t="0" r="0" b="0"/>
                <wp:wrapTopAndBottom/>
                <wp:docPr id="1123" name="Shape 1123"/>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609C6CC">
                            <w:pPr>
                              <w:pStyle w:val="27"/>
                              <w:keepNext/>
                              <w:keepLines/>
                              <w:widowControl w:val="0"/>
                              <w:shd w:val="clear" w:color="auto" w:fill="auto"/>
                              <w:bidi w:val="0"/>
                              <w:spacing w:before="0" w:after="0" w:line="240" w:lineRule="auto"/>
                              <w:ind w:left="0" w:right="0" w:firstLine="0"/>
                              <w:jc w:val="left"/>
                            </w:pPr>
                            <w:bookmarkStart w:id="576" w:name="bookmark523"/>
                            <w:bookmarkStart w:id="577" w:name="bookmark524"/>
                            <w:bookmarkStart w:id="578" w:name="bookmark525"/>
                            <w:r>
                              <w:rPr>
                                <w:rFonts w:ascii="Times New Roman" w:hAnsi="Times New Roman" w:eastAsia="Times New Roman" w:cs="Times New Roman"/>
                                <w:color w:val="000000"/>
                                <w:spacing w:val="0"/>
                                <w:w w:val="100"/>
                                <w:position w:val="0"/>
                              </w:rPr>
                              <w:t>084</w:t>
                            </w:r>
                            <w:bookmarkEnd w:id="576"/>
                            <w:bookmarkEnd w:id="577"/>
                            <w:bookmarkEnd w:id="578"/>
                          </w:p>
                        </w:txbxContent>
                      </wps:txbx>
                      <wps:bodyPr wrap="none" lIns="0" tIns="0" rIns="0" bIns="0">
                        <a:noAutofit/>
                      </wps:bodyPr>
                    </wps:wsp>
                  </a:graphicData>
                </a:graphic>
              </wp:anchor>
            </w:drawing>
          </mc:Choice>
          <mc:Fallback>
            <w:pict>
              <v:shape id="Shape 1123" o:spid="_x0000_s1026" o:spt="202" type="#_x0000_t202" style="position:absolute;left:0pt;margin-left:56.05pt;margin-top:0pt;height:24pt;width:35.4pt;mso-position-horizontal-relative:page;mso-wrap-distance-bottom:2.05pt;mso-wrap-distance-top:0pt;mso-wrap-style:none;z-index:251660288;mso-width-relative:page;mso-height-relative:page;" filled="f" stroked="f" coordsize="21600,21600" o:gfxdata="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D80ov0wAAAAcB&#10;AAAPAAAAAAAAAAEAIAAAACIAAABkcnMvZG93bnJldi54bWxQSwECFAAUAAAACACHTuJAI1fpEK4B&#10;AAB1AwAADgAAAAAAAAABACAAAAAiAQAAZHJzL2Uyb0RvYy54bWxQSwUGAAAAAAYABgBZAQAAQgUA&#10;AAAA&#10;">
                <v:fill on="f" focussize="0,0"/>
                <v:stroke on="f"/>
                <v:imagedata o:title=""/>
                <o:lock v:ext="edit" aspectratio="f"/>
                <v:textbox inset="0mm,0mm,0mm,0mm">
                  <w:txbxContent>
                    <w:p w14:paraId="7609C6CC">
                      <w:pPr>
                        <w:pStyle w:val="27"/>
                        <w:keepNext/>
                        <w:keepLines/>
                        <w:widowControl w:val="0"/>
                        <w:shd w:val="clear" w:color="auto" w:fill="auto"/>
                        <w:bidi w:val="0"/>
                        <w:spacing w:before="0" w:after="0" w:line="240" w:lineRule="auto"/>
                        <w:ind w:left="0" w:right="0" w:firstLine="0"/>
                        <w:jc w:val="left"/>
                      </w:pPr>
                      <w:bookmarkStart w:id="576" w:name="bookmark523"/>
                      <w:bookmarkStart w:id="577" w:name="bookmark524"/>
                      <w:bookmarkStart w:id="578" w:name="bookmark525"/>
                      <w:r>
                        <w:rPr>
                          <w:rFonts w:ascii="Times New Roman" w:hAnsi="Times New Roman" w:eastAsia="Times New Roman" w:cs="Times New Roman"/>
                          <w:color w:val="000000"/>
                          <w:spacing w:val="0"/>
                          <w:w w:val="100"/>
                          <w:position w:val="0"/>
                        </w:rPr>
                        <w:t>084</w:t>
                      </w:r>
                      <w:bookmarkEnd w:id="576"/>
                      <w:bookmarkEnd w:id="577"/>
                      <w:bookmarkEnd w:id="578"/>
                    </w:p>
                  </w:txbxContent>
                </v:textbox>
                <w10:wrap type="topAndBottom"/>
              </v:shape>
            </w:pict>
          </mc:Fallback>
        </mc:AlternateContent>
      </w:r>
      <w:r>
        <mc:AlternateContent>
          <mc:Choice Requires="wps">
            <w:drawing>
              <wp:anchor distT="90170" distB="0" distL="0" distR="0" simplePos="0" relativeHeight="251660288" behindDoc="0" locked="0" layoutInCell="1" allowOverlap="1">
                <wp:simplePos x="0" y="0"/>
                <wp:positionH relativeFrom="page">
                  <wp:posOffset>1289685</wp:posOffset>
                </wp:positionH>
                <wp:positionV relativeFrom="paragraph">
                  <wp:posOffset>90170</wp:posOffset>
                </wp:positionV>
                <wp:extent cx="3018790" cy="240665"/>
                <wp:effectExtent l="0" t="0" r="0" b="0"/>
                <wp:wrapTopAndBottom/>
                <wp:docPr id="1125" name="Shape 1125"/>
                <wp:cNvGraphicFramePr/>
                <a:graphic xmlns:a="http://schemas.openxmlformats.org/drawingml/2006/main">
                  <a:graphicData uri="http://schemas.microsoft.com/office/word/2010/wordprocessingShape">
                    <wps:wsp>
                      <wps:cNvSpPr txBox="1"/>
                      <wps:spPr>
                        <a:xfrm>
                          <a:off x="0" y="0"/>
                          <a:ext cx="3018790" cy="240665"/>
                        </a:xfrm>
                        <a:prstGeom prst="rect">
                          <a:avLst/>
                        </a:prstGeom>
                        <a:noFill/>
                      </wps:spPr>
                      <wps:txbx>
                        <w:txbxContent>
                          <w:p w14:paraId="47535275">
                            <w:pPr>
                              <w:pStyle w:val="15"/>
                              <w:keepNext/>
                              <w:keepLines/>
                              <w:widowControl w:val="0"/>
                              <w:shd w:val="clear" w:color="auto" w:fill="auto"/>
                              <w:bidi w:val="0"/>
                              <w:spacing w:before="0" w:after="0" w:line="240" w:lineRule="auto"/>
                              <w:ind w:left="0" w:right="0" w:firstLine="0"/>
                              <w:jc w:val="left"/>
                            </w:pPr>
                            <w:bookmarkStart w:id="579" w:name="bookmark527"/>
                            <w:bookmarkStart w:id="580" w:name="bookmark526"/>
                            <w:bookmarkStart w:id="581" w:name="bookmark528"/>
                            <w:r>
                              <w:rPr>
                                <w:color w:val="000000"/>
                                <w:spacing w:val="0"/>
                                <w:w w:val="100"/>
                                <w:position w:val="0"/>
                              </w:rPr>
                              <w:t>借用资质承揽建设工程的法律责任</w:t>
                            </w:r>
                            <w:bookmarkEnd w:id="579"/>
                            <w:bookmarkEnd w:id="580"/>
                            <w:bookmarkEnd w:id="581"/>
                          </w:p>
                        </w:txbxContent>
                      </wps:txbx>
                      <wps:bodyPr wrap="none" lIns="0" tIns="0" rIns="0" bIns="0">
                        <a:noAutofit/>
                      </wps:bodyPr>
                    </wps:wsp>
                  </a:graphicData>
                </a:graphic>
              </wp:anchor>
            </w:drawing>
          </mc:Choice>
          <mc:Fallback>
            <w:pict>
              <v:shape id="Shape 1125" o:spid="_x0000_s1026" o:spt="202" type="#_x0000_t202" style="position:absolute;left:0pt;margin-left:101.55pt;margin-top:7.1pt;height:18.95pt;width:237.7pt;mso-position-horizontal-relative:page;mso-wrap-distance-bottom:0pt;mso-wrap-distance-top:7.1pt;mso-wrap-style:none;z-index:251660288;mso-width-relative:page;mso-height-relative:page;" filled="f" stroked="f" coordsize="21600,21600" o:gfxdata="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xHZXdYA&#10;AAAJAQAADwAAAAAAAAABACAAAAAiAAAAZHJzL2Rvd25yZXYueG1sUEsBAhQAFAAAAAgAh07iQJez&#10;EBevAQAAdgMAAA4AAAAAAAAAAQAgAAAAJQEAAGRycy9lMm9Eb2MueG1sUEsFBgAAAAAGAAYAWQEA&#10;AEYFAAAAAA==&#10;">
                <v:fill on="f" focussize="0,0"/>
                <v:stroke on="f"/>
                <v:imagedata o:title=""/>
                <o:lock v:ext="edit" aspectratio="f"/>
                <v:textbox inset="0mm,0mm,0mm,0mm">
                  <w:txbxContent>
                    <w:p w14:paraId="47535275">
                      <w:pPr>
                        <w:pStyle w:val="15"/>
                        <w:keepNext/>
                        <w:keepLines/>
                        <w:widowControl w:val="0"/>
                        <w:shd w:val="clear" w:color="auto" w:fill="auto"/>
                        <w:bidi w:val="0"/>
                        <w:spacing w:before="0" w:after="0" w:line="240" w:lineRule="auto"/>
                        <w:ind w:left="0" w:right="0" w:firstLine="0"/>
                        <w:jc w:val="left"/>
                      </w:pPr>
                      <w:bookmarkStart w:id="579" w:name="bookmark527"/>
                      <w:bookmarkStart w:id="580" w:name="bookmark526"/>
                      <w:bookmarkStart w:id="581" w:name="bookmark528"/>
                      <w:r>
                        <w:rPr>
                          <w:color w:val="000000"/>
                          <w:spacing w:val="0"/>
                          <w:w w:val="100"/>
                          <w:position w:val="0"/>
                        </w:rPr>
                        <w:t>借用资质承揽建设工程的法律责任</w:t>
                      </w:r>
                      <w:bookmarkEnd w:id="579"/>
                      <w:bookmarkEnd w:id="580"/>
                      <w:bookmarkEnd w:id="581"/>
                    </w:p>
                  </w:txbxContent>
                </v:textbox>
                <w10:wrap type="topAndBottom"/>
              </v:shape>
            </w:pict>
          </mc:Fallback>
        </mc:AlternateContent>
      </w:r>
    </w:p>
    <w:p w14:paraId="4E51182D">
      <w:pPr>
        <w:pStyle w:val="17"/>
        <w:keepNext w:val="0"/>
        <w:keepLines w:val="0"/>
        <w:widowControl w:val="0"/>
        <w:shd w:val="clear" w:color="auto" w:fill="auto"/>
        <w:bidi w:val="0"/>
        <w:spacing w:before="0" w:after="420" w:line="335" w:lineRule="exact"/>
        <w:ind w:left="1000" w:right="0" w:firstLine="0"/>
        <w:jc w:val="both"/>
      </w:pPr>
      <w:r>
        <w:drawing>
          <wp:anchor distT="0" distB="0" distL="114300" distR="114300" simplePos="0" relativeHeight="251660288" behindDoc="0" locked="0" layoutInCell="1" allowOverlap="1">
            <wp:simplePos x="0" y="0"/>
            <wp:positionH relativeFrom="page">
              <wp:posOffset>5081270</wp:posOffset>
            </wp:positionH>
            <wp:positionV relativeFrom="paragraph">
              <wp:posOffset>63500</wp:posOffset>
            </wp:positionV>
            <wp:extent cx="615950" cy="615950"/>
            <wp:effectExtent l="0" t="0" r="6350" b="6350"/>
            <wp:wrapSquare wrapText="left"/>
            <wp:docPr id="1127" name="Shape 1127"/>
            <wp:cNvGraphicFramePr/>
            <a:graphic xmlns:a="http://schemas.openxmlformats.org/drawingml/2006/main">
              <a:graphicData uri="http://schemas.openxmlformats.org/drawingml/2006/picture">
                <pic:pic xmlns:pic="http://schemas.openxmlformats.org/drawingml/2006/picture">
                  <pic:nvPicPr>
                    <pic:cNvPr id="1127" name="Shape 1127"/>
                    <pic:cNvPicPr/>
                  </pic:nvPicPr>
                  <pic:blipFill>
                    <a:blip r:embed="rId698"/>
                    <a:stretch>
                      <a:fillRect/>
                    </a:stretch>
                  </pic:blipFill>
                  <pic:spPr>
                    <a:xfrm>
                      <a:off x="0" y="0"/>
                      <a:ext cx="615950" cy="615950"/>
                    </a:xfrm>
                    <a:prstGeom prst="rect">
                      <a:avLst/>
                    </a:prstGeom>
                  </pic:spPr>
                </pic:pic>
              </a:graphicData>
            </a:graphic>
          </wp:anchor>
        </w:drawing>
      </w:r>
      <w:r>
        <w:rPr>
          <w:color w:val="000000"/>
          <w:spacing w:val="0"/>
          <w:w w:val="100"/>
          <w:position w:val="0"/>
        </w:rPr>
        <w:t>莫志华、深圳市东深工程有限公司与东莞市长富广场房地产开发有 限公司建设工程合同纠纷案丨《最高人民法院公报》</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 xml:space="preserve">11 </w:t>
      </w:r>
      <w:r>
        <w:rPr>
          <w:color w:val="000000"/>
          <w:spacing w:val="0"/>
          <w:w w:val="100"/>
          <w:position w:val="0"/>
        </w:rPr>
        <w:t>期</w:t>
      </w:r>
    </w:p>
    <w:p w14:paraId="439F12A8">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 xml:space="preserve">黄 </w:t>
      </w: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东南大学法学院</w:t>
      </w:r>
    </w:p>
    <w:p w14:paraId="4B5048E6">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FE4EA36">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日，莫志华与东深公司订立《长富商贸广场工程合作协议书》（以下简称 《合作协议书》），约定莫志华以东深公司的名义与建设单位签订商贸广场工程施工合同，东 深公司的权利义务由莫志华实际享有和承担，莫志华向东深公司缴纳工程造价</w:t>
      </w:r>
      <w:r>
        <w:rPr>
          <w:rFonts w:ascii="Times New Roman" w:hAnsi="Times New Roman" w:eastAsia="Times New Roman" w:cs="Times New Roman"/>
          <w:color w:val="000000"/>
          <w:spacing w:val="0"/>
          <w:w w:val="100"/>
          <w:position w:val="0"/>
          <w:sz w:val="19"/>
          <w:szCs w:val="19"/>
          <w:lang w:val="en-US" w:eastAsia="en-US" w:bidi="en-US"/>
        </w:rPr>
        <w:t xml:space="preserve">1.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的费 用作为东深公司的工程管理费。</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月起,东深公司分别与长富广场公司订立《长富 广场工程初步协议》、《东莞市建设工程施工合同》以及《大朗长富商贸广场工程施工合同》</w:t>
      </w:r>
      <w:r>
        <w:rPr>
          <w:rFonts w:ascii="Times New Roman" w:hAnsi="Times New Roman" w:eastAsia="Times New Roman" w:cs="Times New Roman"/>
          <w:color w:val="000000"/>
          <w:spacing w:val="0"/>
          <w:w w:val="100"/>
          <w:position w:val="0"/>
          <w:sz w:val="19"/>
          <w:szCs w:val="19"/>
          <w:lang w:val="en-US" w:eastAsia="en-US" w:bidi="en-US"/>
        </w:rPr>
        <w:t xml:space="preserve">O </w:t>
      </w:r>
      <w:r>
        <w:rPr>
          <w:color w:val="000000"/>
          <w:spacing w:val="0"/>
          <w:w w:val="100"/>
          <w:position w:val="0"/>
        </w:rPr>
        <w:t>上述协议签订后，莫志华于</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日开始施工，在工程施工过程中，由于材料涨价 等原因，莫志华、东深公司与长富广场公司多次协商未果，在东莞市建设局的协调下，东深 公司承诺退场。</w:t>
      </w:r>
    </w:p>
    <w:p w14:paraId="13FBA8E9">
      <w:pPr>
        <w:pStyle w:val="17"/>
        <w:keepNext w:val="0"/>
        <w:keepLines w:val="0"/>
        <w:widowControl w:val="0"/>
        <w:shd w:val="clear" w:color="auto" w:fill="auto"/>
        <w:bidi w:val="0"/>
        <w:spacing w:before="0" w:after="360" w:line="346" w:lineRule="exact"/>
        <w:ind w:left="0" w:right="0" w:firstLine="420"/>
        <w:jc w:val="both"/>
      </w:pPr>
      <w:r>
        <w:rPr>
          <w:color w:val="000000"/>
          <w:spacing w:val="0"/>
          <w:w w:val="100"/>
          <w:position w:val="0"/>
        </w:rPr>
        <w:t>由于对已完成工程的造价产生争议，莫志华、东深公司遂提起诉讼。东深公司认为其 与长富广场公司所签订的合同因涉及挂靠而无效，因此按照合同结算工程造价缺乏合理 性，应当按实结算工程造价。长富广场公司则反诉要求莫志华、东深公司支付逾期完工的 违约金，并赔偿损失。</w:t>
      </w:r>
    </w:p>
    <w:p w14:paraId="41B37255">
      <w:pPr>
        <w:pStyle w:val="11"/>
        <w:keepNext w:val="0"/>
        <w:keepLines w:val="0"/>
        <w:widowControl w:val="0"/>
        <w:shd w:val="clear" w:color="auto" w:fill="auto"/>
        <w:bidi w:val="0"/>
        <w:spacing w:before="0" w:after="80" w:line="346"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0F5F783D">
      <w:pPr>
        <w:pStyle w:val="17"/>
        <w:keepNext w:val="0"/>
        <w:keepLines w:val="0"/>
        <w:widowControl w:val="0"/>
        <w:shd w:val="clear" w:color="auto" w:fill="auto"/>
        <w:bidi w:val="0"/>
        <w:spacing w:before="0" w:after="0" w:line="346" w:lineRule="exact"/>
        <w:ind w:left="0" w:right="0"/>
        <w:jc w:val="both"/>
      </w:pPr>
      <w:r>
        <w:rPr>
          <w:color w:val="000000"/>
          <w:spacing w:val="0"/>
          <w:w w:val="100"/>
          <w:position w:val="0"/>
        </w:rPr>
        <w:t>撤销二审判决，部分维持一审判决。</w:t>
      </w:r>
    </w:p>
    <w:p w14:paraId="03DD9A09">
      <w:pPr>
        <w:pStyle w:val="17"/>
        <w:keepNext w:val="0"/>
        <w:keepLines w:val="0"/>
        <w:widowControl w:val="0"/>
        <w:shd w:val="clear" w:color="auto" w:fill="auto"/>
        <w:bidi w:val="0"/>
        <w:spacing w:before="0" w:after="0" w:line="338" w:lineRule="exact"/>
        <w:ind w:left="0" w:right="0" w:firstLine="420"/>
        <w:jc w:val="both"/>
        <w:sectPr>
          <w:footnotePr>
            <w:numFmt w:val="chicago"/>
          </w:footnotePr>
          <w:type w:val="continuous"/>
          <w:pgSz w:w="10099" w:h="14782"/>
          <w:pgMar w:top="1268" w:right="1081" w:bottom="1144" w:left="1019" w:header="840" w:footer="716" w:gutter="0"/>
          <w:cols w:space="720" w:num="1"/>
          <w:rtlGutter w:val="0"/>
          <w:docGrid w:linePitch="360" w:charSpace="0"/>
        </w:sectPr>
      </w:pPr>
      <w:r>
        <w:rPr>
          <w:color w:val="000000"/>
          <w:spacing w:val="0"/>
          <w:w w:val="100"/>
          <w:position w:val="0"/>
        </w:rPr>
        <w:t>由于莫志华与东深公司在诉讼中自认莫志华挂靠东深公司承建涉案工程的事实，《建 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条规定</w:t>
      </w:r>
      <w:r>
        <w:rPr>
          <w:color w:val="000000"/>
          <w:spacing w:val="0"/>
          <w:w w:val="100"/>
          <w:position w:val="0"/>
          <w:lang w:val="zh-CN" w:eastAsia="zh-CN" w:bidi="zh-CN"/>
        </w:rPr>
        <w:t>，“禁</w:t>
      </w:r>
      <w:r>
        <w:rPr>
          <w:color w:val="000000"/>
          <w:spacing w:val="0"/>
          <w:w w:val="100"/>
          <w:position w:val="0"/>
        </w:rPr>
        <w:t xml:space="preserve">止建筑施工企业以任何形式允许其他单位或者个人使用本企业的 资质证书、营业执照，以本企业的名义承揽工程”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莫志华作为自然人，不具有承包建筑工 程的资质，莫志华挂靠有资质的建筑施工企业东深公司承包工程，违反了上述法律的强制 性规定。根据《合同法》第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w:t>
      </w:r>
      <w:r>
        <w:rPr>
          <w:color w:val="000000"/>
          <w:spacing w:val="0"/>
          <w:w w:val="100"/>
          <w:position w:val="0"/>
          <w:lang w:val="zh-CN" w:eastAsia="zh-CN" w:bidi="zh-CN"/>
        </w:rPr>
        <w:t>“有下</w:t>
      </w:r>
      <w:r>
        <w:rPr>
          <w:color w:val="000000"/>
          <w:spacing w:val="0"/>
          <w:w w:val="100"/>
          <w:position w:val="0"/>
        </w:rPr>
        <w:t>列情形之一的，合同无效：……（五）违反法律、 行政法规的强制性规定”（《民法典》第</w:t>
      </w:r>
      <w:r>
        <w:rPr>
          <w:rFonts w:ascii="Times New Roman" w:hAnsi="Times New Roman" w:eastAsia="Times New Roman" w:cs="Times New Roman"/>
          <w:color w:val="000000"/>
          <w:spacing w:val="0"/>
          <w:w w:val="100"/>
          <w:position w:val="0"/>
          <w:sz w:val="19"/>
          <w:szCs w:val="19"/>
        </w:rPr>
        <w:t>153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款）及最高人民法院《关于审理建设工程 施工合同纠纷案件适用法律问题的解释》［法释</w:t>
      </w:r>
      <w:r>
        <w:rPr>
          <w:rFonts w:ascii="Times New Roman" w:hAnsi="Times New Roman" w:eastAsia="Times New Roman" w:cs="Times New Roman"/>
          <w:color w:val="000000"/>
          <w:spacing w:val="0"/>
          <w:w w:val="100"/>
          <w:position w:val="0"/>
          <w:sz w:val="19"/>
          <w:szCs w:val="19"/>
        </w:rPr>
        <w:t>（2004）14</w:t>
      </w:r>
      <w:r>
        <w:rPr>
          <w:color w:val="000000"/>
          <w:spacing w:val="0"/>
          <w:w w:val="100"/>
          <w:position w:val="0"/>
        </w:rPr>
        <w:t>号］（以下简称《建设工程施工合 同司法解释一》）第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w:t>
      </w:r>
      <w:r>
        <w:rPr>
          <w:color w:val="000000"/>
          <w:spacing w:val="0"/>
          <w:w w:val="100"/>
          <w:position w:val="0"/>
          <w:lang w:val="zh-CN" w:eastAsia="zh-CN" w:bidi="zh-CN"/>
        </w:rPr>
        <w:t>“建设</w:t>
      </w:r>
      <w:r>
        <w:rPr>
          <w:color w:val="000000"/>
          <w:spacing w:val="0"/>
          <w:w w:val="100"/>
          <w:position w:val="0"/>
        </w:rPr>
        <w:t xml:space="preserve">工程施工合同具有下列情形之一的，应当根据合同法五十二 </w:t>
      </w:r>
    </w:p>
    <w:p w14:paraId="6B900CFC">
      <w:pPr>
        <w:pStyle w:val="17"/>
        <w:keepNext w:val="0"/>
        <w:keepLines w:val="0"/>
        <w:widowControl w:val="0"/>
        <w:shd w:val="clear" w:color="auto" w:fill="auto"/>
        <w:bidi w:val="0"/>
        <w:spacing w:before="0" w:after="0" w:line="338" w:lineRule="exact"/>
        <w:ind w:left="0" w:right="0" w:firstLine="0"/>
        <w:jc w:val="both"/>
      </w:pPr>
      <w:r>
        <w:rPr>
          <w:color w:val="000000"/>
          <w:spacing w:val="0"/>
          <w:w w:val="100"/>
          <w:position w:val="0"/>
        </w:rPr>
        <w:t>条第（五）项的规定，认定无效:……（二）没有资质的实际施工人借用有资质的建筑施工企 业名义的</w:t>
      </w:r>
      <w:r>
        <w:rPr>
          <w:color w:val="000000"/>
          <w:spacing w:val="0"/>
          <w:w w:val="100"/>
          <w:position w:val="0"/>
          <w:lang w:val="zh-CN" w:eastAsia="zh-CN" w:bidi="zh-CN"/>
        </w:rPr>
        <w:t>……”因此</w:t>
      </w:r>
      <w:r>
        <w:rPr>
          <w:color w:val="000000"/>
          <w:spacing w:val="0"/>
          <w:w w:val="100"/>
          <w:position w:val="0"/>
        </w:rPr>
        <w:t>，东深公司与长富广场公司签订的三份施工协议应认定为无效。</w:t>
      </w:r>
    </w:p>
    <w:p w14:paraId="2D5A3556">
      <w:pPr>
        <w:pStyle w:val="17"/>
        <w:keepNext w:val="0"/>
        <w:keepLines w:val="0"/>
        <w:widowControl w:val="0"/>
        <w:shd w:val="clear" w:color="auto" w:fill="auto"/>
        <w:bidi w:val="0"/>
        <w:spacing w:before="0" w:after="360" w:line="341" w:lineRule="exact"/>
        <w:ind w:left="0" w:right="0" w:firstLine="440"/>
        <w:jc w:val="both"/>
      </w:pPr>
      <w:r>
        <w:rPr>
          <w:color w:val="000000"/>
          <w:spacing w:val="0"/>
          <w:w w:val="100"/>
          <w:position w:val="0"/>
        </w:rPr>
        <w:t>因合同无效，不存在违约的问题，长富广场公司不得根据合同主张莫志华、东深公司逾 期完工的违约责任。鉴于建筑工程的特殊性，虽然合同无效,但莫志华与东深公司的劳动 和建筑材料已经物化在涉案工程中，依据《建设工程施工合同司法解释一》第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793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款），建设工程无效合同参照有效合同处理,应当参照合同约定来计算涉 案工程款。莫志华与东深公司主张应据实结算工程款，其主张缺乏依据。莫志华与东深公 司不应获得比合同有效时更多的利益。涉案工程款应当依据合同约定结算。</w:t>
      </w:r>
    </w:p>
    <w:p w14:paraId="00B7B617">
      <w:pPr>
        <w:pStyle w:val="11"/>
        <w:keepNext w:val="0"/>
        <w:keepLines w:val="0"/>
        <w:widowControl w:val="0"/>
        <w:shd w:val="clear" w:color="auto" w:fill="auto"/>
        <w:bidi w:val="0"/>
        <w:spacing w:before="0" w:after="220" w:line="339" w:lineRule="exact"/>
        <w:ind w:left="0" w:right="0" w:firstLine="0"/>
        <w:jc w:val="both"/>
      </w:pPr>
      <w:r>
        <w:rPr>
          <w:color w:val="000000"/>
          <w:spacing w:val="0"/>
          <w:w w:val="100"/>
          <w:position w:val="0"/>
        </w:rPr>
        <w:t>■评析</w:t>
      </w:r>
    </w:p>
    <w:p w14:paraId="0BEE72DE">
      <w:pPr>
        <w:pStyle w:val="17"/>
        <w:keepNext w:val="0"/>
        <w:keepLines w:val="0"/>
        <w:widowControl w:val="0"/>
        <w:shd w:val="clear" w:color="auto" w:fill="auto"/>
        <w:bidi w:val="0"/>
        <w:spacing w:before="0" w:after="0" w:line="372"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本判决的思路和裁判意义</w:t>
      </w:r>
    </w:p>
    <w:p w14:paraId="14087828">
      <w:pPr>
        <w:pStyle w:val="17"/>
        <w:keepNext w:val="0"/>
        <w:keepLines w:val="0"/>
        <w:widowControl w:val="0"/>
        <w:shd w:val="clear" w:color="auto" w:fill="auto"/>
        <w:bidi w:val="0"/>
        <w:spacing w:before="0" w:after="0" w:line="339" w:lineRule="exact"/>
        <w:ind w:left="0" w:right="0" w:firstLine="440"/>
        <w:jc w:val="both"/>
      </w:pPr>
      <w:r>
        <w:rPr>
          <w:color w:val="000000"/>
          <w:spacing w:val="0"/>
          <w:w w:val="100"/>
          <w:position w:val="0"/>
        </w:rPr>
        <w:t>本案中，由于莫志华和东深公司自认存在挂靠施工关系,根据《建设工程施工合同司法 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项，东深公司与长富广场公司签订的建设工程施工合同无效。但莫志华 和东深公司的劳动和建筑材料已经物化在涉案工程中,此时涉及无效合同的不当得利返还 问题。根据《建设工程施工合同司法解释一》第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条，返还的范围可以参考合同关于工程价 款的约定。本案中，法院委托的造价咨询公司作出了两份工程造价鉴定书，一份是按照当 事人在合同中约定的计价办法、包干价和调幅比例进行结算,另一份则是按实际完成的工 程量及建筑工程类别，参照定额及材差结算。两种计价方式下，按实结算的金额比合同约 定的工程价款高出</w:t>
      </w:r>
      <w:r>
        <w:rPr>
          <w:rFonts w:ascii="Times New Roman" w:hAnsi="Times New Roman" w:eastAsia="Times New Roman" w:cs="Times New Roman"/>
          <w:color w:val="000000"/>
          <w:spacing w:val="0"/>
          <w:w w:val="100"/>
          <w:position w:val="0"/>
          <w:sz w:val="19"/>
          <w:szCs w:val="19"/>
        </w:rPr>
        <w:t>1700</w:t>
      </w:r>
      <w:r>
        <w:rPr>
          <w:color w:val="000000"/>
          <w:spacing w:val="0"/>
          <w:w w:val="100"/>
          <w:position w:val="0"/>
        </w:rPr>
        <w:t>余万元。再审法院未支持莫志华和东深公司据实结算工程款的主 张，认为其不应获得比合同有效时更多的利益,判决涉案工程款应当依据合同约定结算。</w:t>
      </w:r>
    </w:p>
    <w:p w14:paraId="068C14DC">
      <w:pPr>
        <w:pStyle w:val="17"/>
        <w:keepNext w:val="0"/>
        <w:keepLines w:val="0"/>
        <w:widowControl w:val="0"/>
        <w:shd w:val="clear" w:color="auto" w:fill="auto"/>
        <w:bidi w:val="0"/>
        <w:spacing w:before="0" w:after="0" w:line="339" w:lineRule="exact"/>
        <w:ind w:left="0" w:right="0" w:firstLine="440"/>
        <w:jc w:val="both"/>
      </w:pPr>
      <w:r>
        <w:rPr>
          <w:color w:val="000000"/>
          <w:spacing w:val="0"/>
          <w:w w:val="100"/>
          <w:position w:val="0"/>
        </w:rPr>
        <w:t>此外，一审期间，就莫志华和东深公司逾期完工的情况，长富广场公司反诉请求其支付 逾期完工的违约金和其他损失,但因合同无效，一审法院没有支持该反诉请求。</w:t>
      </w:r>
    </w:p>
    <w:p w14:paraId="596B1CF5">
      <w:pPr>
        <w:pStyle w:val="17"/>
        <w:keepNext w:val="0"/>
        <w:keepLines w:val="0"/>
        <w:widowControl w:val="0"/>
        <w:shd w:val="clear" w:color="auto" w:fill="auto"/>
        <w:bidi w:val="0"/>
        <w:spacing w:before="0" w:after="0" w:line="339" w:lineRule="exact"/>
        <w:ind w:left="0" w:right="0" w:firstLine="440"/>
        <w:jc w:val="both"/>
      </w:pPr>
      <w:r>
        <w:rPr>
          <w:color w:val="000000"/>
          <w:spacing w:val="0"/>
          <w:w w:val="100"/>
          <w:position w:val="0"/>
        </w:rPr>
        <w:t>同时，根据一审、二审和再审所确认的证据和事实，长富广场公司并不知悉莫志华和东 深公司之间的挂靠关系，在合同的签订和履行过程中与长富广场公司发生法律关系的只有 东深公司。对此,再审法院认为，莫志华和东深公司应对合同无效承担全部责任，但是，由于 双方仅对工程款的计算数额存在争议,且均未提起损害赔偿之诉,过错责任的认定并不影 响涉案工程款数额的计算。</w:t>
      </w:r>
    </w:p>
    <w:p w14:paraId="7533B38A">
      <w:pPr>
        <w:pStyle w:val="17"/>
        <w:keepNext w:val="0"/>
        <w:keepLines w:val="0"/>
        <w:widowControl w:val="0"/>
        <w:shd w:val="clear" w:color="auto" w:fill="auto"/>
        <w:bidi w:val="0"/>
        <w:spacing w:before="0" w:after="220" w:line="339" w:lineRule="exact"/>
        <w:ind w:left="0" w:right="0" w:firstLine="440"/>
        <w:jc w:val="both"/>
      </w:pPr>
      <w:r>
        <w:rPr>
          <w:color w:val="000000"/>
          <w:spacing w:val="0"/>
          <w:w w:val="100"/>
          <w:position w:val="0"/>
        </w:rPr>
        <w:t>裁判效果上,以涉案建设工程施工合同无效为起点,再审法院认为承包人不应获得比 合同有效时更多的利益，判决根据合同约定计算涉案工程价款。就本案而言，这种观点有 合理之处，但就本案事实来看，合同无效的过错全部在于承包人，案件处理结果却令过错方 取得了全部工程价款（包括施工利润、风险和税金），发包人不能根据合同请求违约损害赔 偿,也无法获得工程保修，却支付了全部工程对价。发包人仅可根据原《合同法》第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 xml:space="preserve">条第 </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句（《民法典》第</w:t>
      </w:r>
      <w:r>
        <w:rPr>
          <w:rFonts w:ascii="Times New Roman" w:hAnsi="Times New Roman" w:eastAsia="Times New Roman" w:cs="Times New Roman"/>
          <w:color w:val="000000"/>
          <w:spacing w:val="0"/>
          <w:w w:val="100"/>
          <w:position w:val="0"/>
          <w:sz w:val="19"/>
          <w:szCs w:val="19"/>
        </w:rPr>
        <w:t>157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句）的规定向承包人主张缔约过失责任，因其未主张缔约过失 的损害赔偿，所以发包人在该案中未获任何救济。</w:t>
      </w:r>
    </w:p>
    <w:p w14:paraId="6757E3CC">
      <w:pPr>
        <w:pStyle w:val="17"/>
        <w:keepNext w:val="0"/>
        <w:keepLines w:val="0"/>
        <w:widowControl w:val="0"/>
        <w:shd w:val="clear" w:color="auto" w:fill="auto"/>
        <w:bidi w:val="0"/>
        <w:spacing w:before="0" w:after="140" w:line="341"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借用资质承揽建设工程的规范和学理</w:t>
      </w:r>
    </w:p>
    <w:p w14:paraId="22163EC2">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根据《建设工程施工合同司法解释一》第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项和第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条的规定，没有资质的实际 施工人借用有资质的建筑施工企业名义与他人签订建设工程施工合同的行为无效。因此， 法院将借用他人名义订立的建设工程施工合同均认定为无效。司法解释的法律依据是《建 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款的禁止性规定。借用资质的行为违反了上述法律的强制性规定，根据 《合同法》第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项，合同无效。</w:t>
      </w:r>
    </w:p>
    <w:p w14:paraId="5E45A308">
      <w:pPr>
        <w:pStyle w:val="17"/>
        <w:keepNext w:val="0"/>
        <w:keepLines w:val="0"/>
        <w:widowControl w:val="0"/>
        <w:shd w:val="clear" w:color="auto" w:fill="auto"/>
        <w:bidi w:val="0"/>
        <w:spacing w:before="0" w:after="0" w:line="341" w:lineRule="exact"/>
        <w:ind w:left="0" w:right="0"/>
        <w:jc w:val="both"/>
        <w:rPr>
          <w:sz w:val="11"/>
          <w:szCs w:val="11"/>
        </w:rPr>
      </w:pPr>
      <w:r>
        <w:rPr>
          <w:color w:val="000000"/>
          <w:spacing w:val="0"/>
          <w:w w:val="100"/>
          <w:position w:val="0"/>
          <w:sz w:val="18"/>
          <w:szCs w:val="18"/>
        </w:rPr>
        <w:t>借用资质承揽工程涉及传统民法中</w:t>
      </w:r>
      <w:r>
        <w:rPr>
          <w:color w:val="000000"/>
          <w:spacing w:val="0"/>
          <w:w w:val="100"/>
          <w:position w:val="0"/>
          <w:sz w:val="18"/>
          <w:szCs w:val="18"/>
          <w:lang w:val="zh-CN" w:eastAsia="zh-CN" w:bidi="zh-CN"/>
        </w:rPr>
        <w:t>“用他</w:t>
      </w:r>
      <w:r>
        <w:rPr>
          <w:color w:val="000000"/>
          <w:spacing w:val="0"/>
          <w:w w:val="100"/>
          <w:position w:val="0"/>
          <w:sz w:val="18"/>
          <w:szCs w:val="18"/>
        </w:rPr>
        <w:t>人名义</w:t>
      </w:r>
      <w:r>
        <w:rPr>
          <w:color w:val="000000"/>
          <w:spacing w:val="0"/>
          <w:w w:val="100"/>
          <w:position w:val="0"/>
          <w:sz w:val="18"/>
          <w:szCs w:val="18"/>
          <w:lang w:val="zh-CN" w:eastAsia="zh-CN" w:bidi="zh-CN"/>
        </w:rPr>
        <w:t>”进行</w:t>
      </w:r>
      <w:r>
        <w:rPr>
          <w:color w:val="000000"/>
          <w:spacing w:val="0"/>
          <w:w w:val="100"/>
          <w:position w:val="0"/>
          <w:sz w:val="18"/>
          <w:szCs w:val="18"/>
        </w:rPr>
        <w:t>活动的行为。</w:t>
      </w:r>
      <w:r>
        <w:rPr>
          <w:color w:val="000000"/>
          <w:spacing w:val="0"/>
          <w:w w:val="100"/>
          <w:position w:val="0"/>
          <w:sz w:val="18"/>
          <w:szCs w:val="18"/>
          <w:lang w:val="zh-CN" w:eastAsia="zh-CN" w:bidi="zh-CN"/>
        </w:rPr>
        <w:t>“用他</w:t>
      </w:r>
      <w:r>
        <w:rPr>
          <w:color w:val="000000"/>
          <w:spacing w:val="0"/>
          <w:w w:val="100"/>
          <w:position w:val="0"/>
          <w:sz w:val="18"/>
          <w:szCs w:val="18"/>
        </w:rPr>
        <w:t>人名义</w:t>
      </w:r>
      <w:r>
        <w:rPr>
          <w:color w:val="000000"/>
          <w:spacing w:val="0"/>
          <w:w w:val="100"/>
          <w:position w:val="0"/>
          <w:sz w:val="18"/>
          <w:szCs w:val="18"/>
          <w:lang w:val="zh-CN" w:eastAsia="zh-CN" w:bidi="zh-CN"/>
        </w:rPr>
        <w:t xml:space="preserve">”在 </w:t>
      </w:r>
      <w:r>
        <w:rPr>
          <w:color w:val="000000"/>
          <w:spacing w:val="0"/>
          <w:w w:val="100"/>
          <w:position w:val="0"/>
          <w:sz w:val="18"/>
          <w:szCs w:val="18"/>
        </w:rPr>
        <w:t>实践中可区分为使用未特定化的他人名义、借用他人名义和冒用他人名义三种类型，本案 借用资质承包建设工程就是其中的借用他人名义实施行为。借用他人名义,是指行为人借 用一特定存在的他人名义进行法律行为，并使人产生他就是该特定人的认识的情形。此时 的问题是，意思表示是否对行为人本人产生效果，或是否对被行为人借用名义的人产生效 果。如果行为人并不声明他是为被其借用名义的人活动（以他人名义），而是表示他是为自 己活动，却把他人的名字作为自己的名字告诉交易相对人，从而使相对人认为他就是该他 人。此时，问题的关键在于交易相对人如何看待该法律行为,如果他的意愿是与名义被借 用之人缔结合同、而非与行为人，那么该法律行为就对名义被借用之人发生效力</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卡 尔-拉伦茨:《德国民法通论》，王晓晔等译，法律出版社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lang w:val="en-US" w:eastAsia="en-US" w:bidi="en-US"/>
        </w:rPr>
        <w:t>837.843</w:t>
      </w:r>
      <w:r>
        <w:rPr>
          <w:color w:val="000000"/>
          <w:spacing w:val="0"/>
          <w:w w:val="100"/>
          <w:position w:val="0"/>
          <w:sz w:val="11"/>
          <w:szCs w:val="11"/>
        </w:rPr>
        <w:t>页）。</w:t>
      </w:r>
      <w:r>
        <w:rPr>
          <w:color w:val="000000"/>
          <w:spacing w:val="0"/>
          <w:w w:val="100"/>
          <w:position w:val="0"/>
          <w:sz w:val="18"/>
          <w:szCs w:val="18"/>
        </w:rPr>
        <w:t>针对名义被借 用之人的效果意思存在与否的问题，日本多数判例认为，既然出借了名义，那么此人至少有 将自己作为交易行为的当事人也不要紧的意思。此时,意思与表示之间并不存在不一致， 不构成心里保留，契约有效;但如果交易相对人知道出借名义的事实,那么就没有保护其信 赖的必要，此时表意人因其意思表示非真意而无效，其与交易相对人之间的契约无效</w:t>
      </w:r>
      <w:r>
        <w:rPr>
          <w:color w:val="000000"/>
          <w:spacing w:val="0"/>
          <w:w w:val="100"/>
          <w:position w:val="0"/>
          <w:sz w:val="11"/>
          <w:szCs w:val="11"/>
          <w:lang w:val="en-US" w:eastAsia="en-US" w:bidi="en-US"/>
        </w:rPr>
        <w:t>（［</w:t>
      </w:r>
      <w:r>
        <w:rPr>
          <w:color w:val="000000"/>
          <w:spacing w:val="0"/>
          <w:w w:val="100"/>
          <w:position w:val="0"/>
          <w:sz w:val="11"/>
          <w:szCs w:val="11"/>
        </w:rPr>
        <w:t>日</w:t>
      </w:r>
      <w:r>
        <w:rPr>
          <w:color w:val="000000"/>
          <w:spacing w:val="0"/>
          <w:w w:val="100"/>
          <w:position w:val="0"/>
          <w:sz w:val="11"/>
          <w:szCs w:val="11"/>
          <w:lang w:val="en-US" w:eastAsia="en-US" w:bidi="en-US"/>
        </w:rPr>
        <w:t xml:space="preserve">］ </w:t>
      </w:r>
      <w:r>
        <w:rPr>
          <w:color w:val="000000"/>
          <w:spacing w:val="0"/>
          <w:w w:val="100"/>
          <w:position w:val="0"/>
          <w:sz w:val="11"/>
          <w:szCs w:val="11"/>
        </w:rPr>
        <w:t>山本敬三：《民法讲义</w:t>
      </w:r>
      <w:r>
        <w:rPr>
          <w:rFonts w:ascii="Times New Roman" w:hAnsi="Times New Roman" w:eastAsia="Times New Roman" w:cs="Times New Roman"/>
          <w:color w:val="000000"/>
          <w:spacing w:val="0"/>
          <w:w w:val="100"/>
          <w:position w:val="0"/>
          <w:sz w:val="17"/>
          <w:szCs w:val="17"/>
        </w:rPr>
        <w:t xml:space="preserve">I </w:t>
      </w:r>
      <w:r>
        <w:rPr>
          <w:color w:val="000000"/>
          <w:spacing w:val="0"/>
          <w:w w:val="100"/>
          <w:position w:val="0"/>
          <w:sz w:val="11"/>
          <w:szCs w:val="11"/>
          <w:lang w:val="zh-CN" w:eastAsia="zh-CN" w:bidi="zh-CN"/>
        </w:rPr>
        <w:t>•总</w:t>
      </w:r>
      <w:r>
        <w:rPr>
          <w:color w:val="000000"/>
          <w:spacing w:val="0"/>
          <w:w w:val="100"/>
          <w:position w:val="0"/>
          <w:sz w:val="11"/>
          <w:szCs w:val="11"/>
        </w:rPr>
        <w:t>则》，解亘译,北京大学出版社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120</w:t>
      </w:r>
      <w:r>
        <w:rPr>
          <w:color w:val="000000"/>
          <w:spacing w:val="0"/>
          <w:w w:val="100"/>
          <w:position w:val="0"/>
          <w:sz w:val="11"/>
          <w:szCs w:val="11"/>
        </w:rPr>
        <w:t>页）。</w:t>
      </w:r>
    </w:p>
    <w:p w14:paraId="206458F7">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具体到借用资质承揽建设工程的情形，出借资质的施工企业允许借用人以其名义与发 包人签订建设工程施工合同，在发包人善意无过失的前提下,建设工程施工合同效力的判 断仅以发包人的意愿为准，由于发包人的意愿是和出借资质的施工企业订立合同，而非与 借用资质的行为人，因此合同对出借资质的施工企业发生效力。出借资质的施工企业本身 虽然没有承担法律行为效果的意愿，但由于此时决定行为效果的并非意思自治,而是信赖 保护，故而建设工程施工合同可以在发包人和出借资质的施工企业之间成立并生效。</w:t>
      </w:r>
    </w:p>
    <w:p w14:paraId="1A3AD2CB">
      <w:pPr>
        <w:pStyle w:val="17"/>
        <w:keepNext w:val="0"/>
        <w:keepLines w:val="0"/>
        <w:widowControl w:val="0"/>
        <w:shd w:val="clear" w:color="auto" w:fill="auto"/>
        <w:bidi w:val="0"/>
        <w:spacing w:before="0" w:after="80" w:line="341" w:lineRule="exact"/>
        <w:ind w:left="0" w:right="0"/>
        <w:jc w:val="both"/>
        <w:rPr>
          <w:sz w:val="11"/>
          <w:szCs w:val="11"/>
        </w:rPr>
      </w:pPr>
      <w:r>
        <w:rPr>
          <w:color w:val="000000"/>
          <w:spacing w:val="0"/>
          <w:w w:val="100"/>
          <w:position w:val="0"/>
          <w:sz w:val="18"/>
          <w:szCs w:val="18"/>
        </w:rPr>
        <w:t>对于存在于发包人和岀借资质的施工企业之间的施工合同而言，有没有违反《建筑法》 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sz w:val="18"/>
          <w:szCs w:val="18"/>
        </w:rPr>
        <w:t>条从而触发原《合同法》第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项的无效情形？从《建筑法》第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款的文 义看，该款禁止的是出借资质人和借用资质人之间以</w:t>
      </w:r>
      <w:r>
        <w:rPr>
          <w:color w:val="000000"/>
          <w:spacing w:val="0"/>
          <w:w w:val="100"/>
          <w:position w:val="0"/>
          <w:sz w:val="18"/>
          <w:szCs w:val="18"/>
          <w:lang w:val="zh-CN" w:eastAsia="zh-CN" w:bidi="zh-CN"/>
        </w:rPr>
        <w:t>“借用</w:t>
      </w:r>
      <w:r>
        <w:rPr>
          <w:color w:val="000000"/>
          <w:spacing w:val="0"/>
          <w:w w:val="100"/>
          <w:position w:val="0"/>
          <w:sz w:val="18"/>
          <w:szCs w:val="18"/>
        </w:rPr>
        <w:t>名义”为内容的法律行为。本案 中，莫志华与东深公司签订的《合作协议书》约定，由莫志华以东深公司的名义与建设单位 签订工程施工合同，东深公司的权利义务由莫志华实际享有和承担，莫志华向东深公司缴 纳工程造价</w:t>
      </w:r>
      <w:r>
        <w:rPr>
          <w:rFonts w:ascii="Times New Roman" w:hAnsi="Times New Roman" w:eastAsia="Times New Roman" w:cs="Times New Roman"/>
          <w:color w:val="000000"/>
          <w:spacing w:val="0"/>
          <w:w w:val="100"/>
          <w:position w:val="0"/>
          <w:sz w:val="19"/>
          <w:szCs w:val="19"/>
        </w:rPr>
        <w:t>1.5%</w:t>
      </w:r>
      <w:r>
        <w:rPr>
          <w:color w:val="000000"/>
          <w:spacing w:val="0"/>
          <w:w w:val="100"/>
          <w:position w:val="0"/>
          <w:sz w:val="18"/>
          <w:szCs w:val="18"/>
        </w:rPr>
        <w:t>的费用作为东深公司的工程管理费。该协议内容正是《建筑法》第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sz w:val="18"/>
          <w:szCs w:val="18"/>
        </w:rPr>
        <w:t>条 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款所禁止的，从而根据原《合同法》第</w:t>
      </w:r>
      <w:r>
        <w:rPr>
          <w:rFonts w:ascii="Times New Roman" w:hAnsi="Times New Roman" w:eastAsia="Times New Roman" w:cs="Times New Roman"/>
          <w:color w:val="000000"/>
          <w:spacing w:val="0"/>
          <w:w w:val="100"/>
          <w:position w:val="0"/>
          <w:sz w:val="19"/>
          <w:szCs w:val="19"/>
        </w:rPr>
        <w:t>52</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8"/>
          <w:szCs w:val="18"/>
        </w:rPr>
        <w:t>项，《合作协议书》无效</w:t>
      </w:r>
      <w:r>
        <w:rPr>
          <w:color w:val="000000"/>
          <w:spacing w:val="0"/>
          <w:w w:val="100"/>
          <w:position w:val="0"/>
          <w:sz w:val="11"/>
          <w:szCs w:val="11"/>
        </w:rPr>
        <w:t>［本案相关判决，广 东省东莞市中级人民法院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东中法民二终字第</w:t>
      </w:r>
      <w:r>
        <w:rPr>
          <w:rFonts w:ascii="Times New Roman" w:hAnsi="Times New Roman" w:eastAsia="Times New Roman" w:cs="Times New Roman"/>
          <w:color w:val="000000"/>
          <w:spacing w:val="0"/>
          <w:w w:val="100"/>
          <w:position w:val="0"/>
          <w:sz w:val="17"/>
          <w:szCs w:val="17"/>
        </w:rPr>
        <w:t>312</w:t>
      </w:r>
      <w:r>
        <w:rPr>
          <w:color w:val="000000"/>
          <w:spacing w:val="0"/>
          <w:w w:val="100"/>
          <w:position w:val="0"/>
          <w:sz w:val="11"/>
          <w:szCs w:val="11"/>
        </w:rPr>
        <w:t>号民事判决书］。</w:t>
      </w:r>
    </w:p>
    <w:p w14:paraId="2F102EBD">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根据《建设工程施工合同司法解释一》第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项，东深公司与长富广场公司之间的 建设工程施工合同也是无效的。《建筑法》禁止建筑施工企业以任何形式允许其他单位或 者个人使用本企业的资质证书、营业执照，以本企业的名义承揽工程。建筑行业中,借用具 备法定资质条件的建筑施工企业名义对外承揽工程是普遍现象,这是违反法律禁止性规定 的违法行为。该现象的普遍存在，规避了行政管理机关对建筑施工企业资质条件的管理, 扰乱建筑市场的正常秩序，严重影响了建设工程的质量。为遏制违法行为，规范建筑市场, 维护经济秩序，本条司法解释明确规定借用具有法定资质企业名义对外承揽工程的合同无 </w:t>
      </w:r>
      <w:r>
        <w:rPr>
          <w:color w:val="000000"/>
          <w:spacing w:val="0"/>
          <w:w w:val="100"/>
          <w:position w:val="0"/>
          <w:sz w:val="11"/>
          <w:szCs w:val="11"/>
        </w:rPr>
        <w:t>效（最高人民法院民事审判第一庭编著:《最高人民法院建设工程施工合同司法解释的理解与适用》，人 民法院出版社</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sz w:val="11"/>
          <w:szCs w:val="11"/>
        </w:rPr>
        <w:t>页）°</w:t>
      </w:r>
      <w:r>
        <w:rPr>
          <w:color w:val="000000"/>
          <w:spacing w:val="0"/>
          <w:w w:val="100"/>
          <w:position w:val="0"/>
        </w:rPr>
        <w:t>通过最咼人民法院的解释,大致可以看岀：第一，最高人民 法院认为《建筑法》第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款的禁止性规定的射程范围不仅包括</w:t>
      </w:r>
      <w:r>
        <w:rPr>
          <w:color w:val="000000"/>
          <w:spacing w:val="0"/>
          <w:w w:val="100"/>
          <w:position w:val="0"/>
          <w:lang w:val="zh-CN" w:eastAsia="zh-CN" w:bidi="zh-CN"/>
        </w:rPr>
        <w:t>“借用</w:t>
      </w:r>
      <w:r>
        <w:rPr>
          <w:color w:val="000000"/>
          <w:spacing w:val="0"/>
          <w:w w:val="100"/>
          <w:position w:val="0"/>
        </w:rPr>
        <w:t>资质”行为本 身，还包括借用资质人和其他交易相对人所实施的法律行为;第二，最高人民法院希望借由 本条达成的主要社会效果在于，通过合同无效的不利评价规范借用资质人的行为,进而维 护行政管理机关对建筑施工企业资质条件的管理。</w:t>
      </w:r>
    </w:p>
    <w:p w14:paraId="0519B6CE">
      <w:pPr>
        <w:pStyle w:val="17"/>
        <w:keepNext w:val="0"/>
        <w:keepLines w:val="0"/>
        <w:widowControl w:val="0"/>
        <w:shd w:val="clear" w:color="auto" w:fill="auto"/>
        <w:bidi w:val="0"/>
        <w:spacing w:before="0" w:after="280" w:line="345" w:lineRule="exact"/>
        <w:ind w:left="0" w:right="0" w:firstLine="420"/>
        <w:jc w:val="both"/>
      </w:pPr>
      <w:r>
        <w:rPr>
          <w:color w:val="000000"/>
          <w:spacing w:val="0"/>
          <w:w w:val="100"/>
          <w:position w:val="0"/>
        </w:rPr>
        <w:t>关于以上两点值得注意的是，第一，《建筑法》第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款所禁止的是以有关</w:t>
      </w:r>
      <w:r>
        <w:rPr>
          <w:color w:val="000000"/>
          <w:spacing w:val="0"/>
          <w:w w:val="100"/>
          <w:position w:val="0"/>
          <w:lang w:val="zh-CN" w:eastAsia="zh-CN" w:bidi="zh-CN"/>
        </w:rPr>
        <w:t xml:space="preserve">“出借 </w:t>
      </w:r>
      <w:r>
        <w:rPr>
          <w:color w:val="000000"/>
          <w:spacing w:val="0"/>
          <w:w w:val="100"/>
          <w:position w:val="0"/>
        </w:rPr>
        <w:t>资质</w:t>
      </w:r>
      <w:r>
        <w:rPr>
          <w:color w:val="000000"/>
          <w:spacing w:val="0"/>
          <w:w w:val="100"/>
          <w:position w:val="0"/>
          <w:lang w:val="zh-CN" w:eastAsia="zh-CN" w:bidi="zh-CN"/>
        </w:rPr>
        <w:t>”或“借</w:t>
      </w:r>
      <w:r>
        <w:rPr>
          <w:color w:val="000000"/>
          <w:spacing w:val="0"/>
          <w:w w:val="100"/>
          <w:position w:val="0"/>
        </w:rPr>
        <w:t>用资质</w:t>
      </w:r>
      <w:r>
        <w:rPr>
          <w:color w:val="000000"/>
          <w:spacing w:val="0"/>
          <w:w w:val="100"/>
          <w:position w:val="0"/>
          <w:lang w:val="zh-CN" w:eastAsia="zh-CN" w:bidi="zh-CN"/>
        </w:rPr>
        <w:t>”为内</w:t>
      </w:r>
      <w:r>
        <w:rPr>
          <w:color w:val="000000"/>
          <w:spacing w:val="0"/>
          <w:w w:val="100"/>
          <w:position w:val="0"/>
        </w:rPr>
        <w:t>容的法律行为，基于法律行为的相对性，该项禁止性规范的效力不 应穿透其本身所指向的法律行为,借用资质人对外实施的法律行为的效果不在该规范的射 程范围内。第二，虽然最高人民法院非常看重合同无效对借用资质人的负面效果,但在案 件的实际处理中，借用资质人往往可通过</w:t>
      </w:r>
      <w:r>
        <w:rPr>
          <w:color w:val="000000"/>
          <w:spacing w:val="0"/>
          <w:w w:val="100"/>
          <w:position w:val="0"/>
          <w:lang w:val="zh-CN" w:eastAsia="zh-CN" w:bidi="zh-CN"/>
        </w:rPr>
        <w:t>“建</w:t>
      </w:r>
      <w:r>
        <w:rPr>
          <w:color w:val="000000"/>
          <w:spacing w:val="0"/>
          <w:w w:val="100"/>
          <w:position w:val="0"/>
        </w:rPr>
        <w:t>设工程无效合同参照有效合同处理</w:t>
      </w:r>
      <w:r>
        <w:rPr>
          <w:color w:val="000000"/>
          <w:spacing w:val="0"/>
          <w:w w:val="100"/>
          <w:position w:val="0"/>
          <w:lang w:val="zh-CN" w:eastAsia="zh-CN" w:bidi="zh-CN"/>
        </w:rPr>
        <w:t>”的</w:t>
      </w:r>
      <w:r>
        <w:rPr>
          <w:color w:val="000000"/>
          <w:spacing w:val="0"/>
          <w:w w:val="100"/>
          <w:position w:val="0"/>
        </w:rPr>
        <w:t>原则获 得全部工程价款、收取完整丰厚的工程利润。同时因为合同无效，出借资质人无须承担有 效合同下的工程质量责任和工期责任。因此，在该类案件中,借用资质人和出借资质人常 常主动拿出借用资质的证据、自认借用资质的行为，其目的在于既可以摆脱施工合同中对 自己不利的条款的拘束，又可以主张参照合同约定支付工程价款，甚至主张按实结算、获取 更多利益。因此，宣告合同无效并不能遏制借用资质行为，反倒损害了交易相对人的合法 权益。</w:t>
      </w:r>
    </w:p>
    <w:p w14:paraId="7B828784">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本判决的影响及将来的课题</w:t>
      </w:r>
    </w:p>
    <w:p w14:paraId="2233C2A5">
      <w:pPr>
        <w:pStyle w:val="17"/>
        <w:keepNext w:val="0"/>
        <w:keepLines w:val="0"/>
        <w:widowControl w:val="0"/>
        <w:shd w:val="clear" w:color="auto" w:fill="auto"/>
        <w:bidi w:val="0"/>
        <w:spacing w:before="0" w:after="140" w:line="342" w:lineRule="exact"/>
        <w:ind w:left="0" w:right="0" w:firstLine="420"/>
        <w:jc w:val="both"/>
        <w:sectPr>
          <w:headerReference r:id="rId485" w:type="default"/>
          <w:headerReference r:id="rId486" w:type="even"/>
          <w:footnotePr>
            <w:numFmt w:val="chicago"/>
          </w:footnotePr>
          <w:pgSz w:w="10099" w:h="14782"/>
          <w:pgMar w:top="1268" w:right="1081" w:bottom="1144" w:left="1019" w:header="0" w:footer="3" w:gutter="0"/>
          <w:pgNumType w:start="416"/>
          <w:cols w:space="720" w:num="1"/>
          <w:rtlGutter w:val="0"/>
          <w:docGrid w:linePitch="360" w:charSpace="0"/>
        </w:sectPr>
      </w:pPr>
      <w:r>
        <w:rPr>
          <w:color w:val="000000"/>
          <w:spacing w:val="0"/>
          <w:w w:val="100"/>
          <w:position w:val="0"/>
        </w:rPr>
        <w:t>本案作为公报案例，将在法律适用上发挥指导作用。从案件处理的实际效果上看，对 借用资质的莫志华而言，可以根据《建设工程施工合同司法解释一》第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条参照合同约定请 求发包人支付工程款。但对发包人长富广场公司而言,施工合同有效，意味着可以根据合 法有效的施工合同条款追究东深公司的工期、质量和安全等违约责任,而如果合同无效,违 约条款就无从谈起。长富广场公司无法追究东深公司的违约责任,却仍需参照施工合同的 约定支付工程价款。以施工合同无效为案件审判的起点,导致无辜的发包人承受了所有的 不利益、有过错的出借资质人随时可以从合同责任中脱离，以及和发包人没有合同关系的 借用资质人可以根据他人之间的合同主张完整的工程价款。行政管理机关对建筑施工企 业资质的管理被完全架空，借用资质行为无法遏制。本案的法律效果和社会效果值得反 思。</w:t>
      </w:r>
    </w:p>
    <w:p w14:paraId="40FAFBA4">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回归传统民法</w:t>
      </w:r>
      <w:r>
        <w:rPr>
          <w:color w:val="000000"/>
          <w:spacing w:val="0"/>
          <w:w w:val="100"/>
          <w:position w:val="0"/>
          <w:lang w:val="zh-CN" w:eastAsia="zh-CN" w:bidi="zh-CN"/>
        </w:rPr>
        <w:t>“借</w:t>
      </w:r>
      <w:r>
        <w:rPr>
          <w:color w:val="000000"/>
          <w:spacing w:val="0"/>
          <w:w w:val="100"/>
          <w:position w:val="0"/>
        </w:rPr>
        <w:t>用他人名义”进行活动的行为理论，应将该活动区分为两个内容不同 的法律行为，一个是以</w:t>
      </w:r>
      <w:r>
        <w:rPr>
          <w:color w:val="000000"/>
          <w:spacing w:val="0"/>
          <w:w w:val="100"/>
          <w:position w:val="0"/>
          <w:lang w:val="zh-CN" w:eastAsia="zh-CN" w:bidi="zh-CN"/>
        </w:rPr>
        <w:t>“借用</w:t>
      </w:r>
      <w:r>
        <w:rPr>
          <w:color w:val="000000"/>
          <w:spacing w:val="0"/>
          <w:w w:val="100"/>
          <w:position w:val="0"/>
        </w:rPr>
        <w:t>名义”为内容的法律行为;另一个是借用名义人和其他交易相 对人实施的法律行为。前一法律行为受《建筑法》第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款的规制,应评价为无效，后 一法律行为的效果，不在《建筑法》第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款的射程范围内。《建设工程施工合同司法 解释一》第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项的解释是对《建筑法》第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款所禁止的</w:t>
      </w:r>
      <w:r>
        <w:rPr>
          <w:color w:val="000000"/>
          <w:spacing w:val="0"/>
          <w:w w:val="100"/>
          <w:position w:val="0"/>
          <w:lang w:val="zh-CN" w:eastAsia="zh-CN" w:bidi="zh-CN"/>
        </w:rPr>
        <w:t>“借</w:t>
      </w:r>
      <w:r>
        <w:rPr>
          <w:color w:val="000000"/>
          <w:spacing w:val="0"/>
          <w:w w:val="100"/>
          <w:position w:val="0"/>
        </w:rPr>
        <w:t>用资质</w:t>
      </w:r>
      <w:r>
        <w:rPr>
          <w:color w:val="000000"/>
          <w:spacing w:val="0"/>
          <w:w w:val="100"/>
          <w:position w:val="0"/>
          <w:lang w:val="zh-CN" w:eastAsia="zh-CN" w:bidi="zh-CN"/>
        </w:rPr>
        <w:t>”行</w:t>
      </w:r>
      <w:r>
        <w:rPr>
          <w:color w:val="000000"/>
          <w:spacing w:val="0"/>
          <w:w w:val="100"/>
          <w:position w:val="0"/>
        </w:rPr>
        <w:t>为的误 读，将该禁止性规范不适当地穿透辐射到其他法律行为的效果上，从而引发一系列纠纷处 理上的困难和逻辑的不自洽。</w:t>
      </w:r>
    </w:p>
    <w:p w14:paraId="1E38E7E0">
      <w:pPr>
        <w:pStyle w:val="17"/>
        <w:keepNext w:val="0"/>
        <w:keepLines w:val="0"/>
        <w:widowControl w:val="0"/>
        <w:shd w:val="clear" w:color="auto" w:fill="auto"/>
        <w:bidi w:val="0"/>
        <w:spacing w:before="0" w:after="360" w:line="343" w:lineRule="exact"/>
        <w:ind w:left="0" w:right="0" w:firstLine="420"/>
        <w:jc w:val="both"/>
      </w:pPr>
      <w:r>
        <w:rPr>
          <w:color w:val="000000"/>
          <w:spacing w:val="0"/>
          <w:w w:val="100"/>
          <w:position w:val="0"/>
        </w:rPr>
        <w:t>建设工程合同中，需要系统探讨公法禁令对合同效力的影响。对于借用资质承揽建设 工程的情形，应区分评价不同法律行为的效果，重新处理发包人、岀借资质人以及实际履行 合同的借用资质人之间的关系和法律责任的承担问题。</w:t>
      </w:r>
    </w:p>
    <w:p w14:paraId="3756447C">
      <w:pPr>
        <w:pStyle w:val="11"/>
        <w:keepNext w:val="0"/>
        <w:keepLines w:val="0"/>
        <w:widowControl w:val="0"/>
        <w:shd w:val="clear" w:color="auto" w:fill="auto"/>
        <w:bidi w:val="0"/>
        <w:spacing w:before="0" w:after="60" w:line="343" w:lineRule="exact"/>
        <w:ind w:left="0" w:right="0" w:firstLine="0"/>
        <w:jc w:val="left"/>
      </w:pPr>
      <w:r>
        <w:rPr>
          <w:color w:val="000000"/>
          <w:spacing w:val="0"/>
          <w:w w:val="100"/>
          <w:position w:val="0"/>
        </w:rPr>
        <w:t>回参考文献</w:t>
      </w:r>
    </w:p>
    <w:p w14:paraId="310269D9">
      <w:pPr>
        <w:pStyle w:val="33"/>
        <w:keepNext w:val="0"/>
        <w:keepLines w:val="0"/>
        <w:widowControl w:val="0"/>
        <w:shd w:val="clear" w:color="auto" w:fill="auto"/>
        <w:bidi w:val="0"/>
        <w:spacing w:before="0" w:after="0" w:line="298" w:lineRule="exact"/>
        <w:ind w:left="0" w:right="0" w:firstLine="0"/>
        <w:jc w:val="left"/>
      </w:pPr>
      <w:r>
        <w:rPr>
          <w:color w:val="000000"/>
          <w:spacing w:val="0"/>
          <w:w w:val="100"/>
          <w:position w:val="0"/>
        </w:rPr>
        <w:t>王利明：《民法总则研究》（第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74EAE002">
      <w:pPr>
        <w:pStyle w:val="33"/>
        <w:keepNext w:val="0"/>
        <w:keepLines w:val="0"/>
        <w:widowControl w:val="0"/>
        <w:shd w:val="clear" w:color="auto" w:fill="auto"/>
        <w:bidi w:val="0"/>
        <w:spacing w:before="0" w:after="0" w:line="298" w:lineRule="exact"/>
        <w:ind w:left="0" w:right="0" w:firstLine="0"/>
        <w:jc w:val="left"/>
      </w:pPr>
      <w:r>
        <w:rPr>
          <w:color w:val="000000"/>
          <w:spacing w:val="0"/>
          <w:w w:val="100"/>
          <w:position w:val="0"/>
        </w:rPr>
        <w:t>朱庆育:《民法总论》，北京大学出版社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6995D668">
      <w:pPr>
        <w:pStyle w:val="33"/>
        <w:keepNext w:val="0"/>
        <w:keepLines w:val="0"/>
        <w:widowControl w:val="0"/>
        <w:shd w:val="clear" w:color="auto" w:fill="auto"/>
        <w:bidi w:val="0"/>
        <w:spacing w:before="0" w:after="0" w:line="298" w:lineRule="exact"/>
        <w:ind w:left="200" w:right="0" w:hanging="200"/>
        <w:jc w:val="both"/>
      </w:pPr>
      <w:r>
        <w:rPr>
          <w:color w:val="000000"/>
          <w:spacing w:val="0"/>
          <w:w w:val="100"/>
          <w:position w:val="0"/>
        </w:rPr>
        <w:t>最高人民法院民事审判第一庭编著:《最高人民法院建设工程施工合同司法解释的理解与适用》，人民 法院出版社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3DCFDAC3">
      <w:pPr>
        <w:pStyle w:val="33"/>
        <w:keepNext w:val="0"/>
        <w:keepLines w:val="0"/>
        <w:widowControl w:val="0"/>
        <w:shd w:val="clear" w:color="auto" w:fill="auto"/>
        <w:bidi w:val="0"/>
        <w:spacing w:before="0" w:after="40" w:line="298" w:lineRule="exact"/>
        <w:ind w:left="0" w:right="0" w:firstLine="0"/>
        <w:jc w:val="left"/>
        <w:sectPr>
          <w:headerReference r:id="rId487" w:type="default"/>
          <w:headerReference r:id="rId488" w:type="even"/>
          <w:footnotePr>
            <w:numFmt w:val="chicago"/>
          </w:footnotePr>
          <w:pgSz w:w="10099" w:h="14782"/>
          <w:pgMar w:top="1268" w:right="1081" w:bottom="1144" w:left="1019" w:header="0" w:footer="716" w:gutter="0"/>
          <w:pgNumType w:start="435"/>
          <w:cols w:space="720" w:num="1"/>
          <w:rtlGutter w:val="0"/>
          <w:docGrid w:linePitch="360" w:charSpace="0"/>
        </w:sectPr>
      </w:pPr>
      <w:r>
        <w:rPr>
          <w:color w:val="000000"/>
          <w:spacing w:val="0"/>
          <w:w w:val="100"/>
          <w:position w:val="0"/>
        </w:rPr>
        <w:t>［德］卡尔-拉伦茨:《德国民法通论》，王晓晔等译，法律出版社</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年版。</w:t>
      </w:r>
    </w:p>
    <w:p w14:paraId="3B47BE76">
      <w:pPr>
        <w:widowControl w:val="0"/>
        <w:spacing w:line="1" w:lineRule="exact"/>
      </w:pPr>
      <w:r>
        <w:drawing>
          <wp:anchor distT="0" distB="0" distL="0" distR="0" simplePos="0" relativeHeight="251660288" behindDoc="0" locked="0" layoutInCell="1" allowOverlap="1">
            <wp:simplePos x="0" y="0"/>
            <wp:positionH relativeFrom="page">
              <wp:posOffset>716915</wp:posOffset>
            </wp:positionH>
            <wp:positionV relativeFrom="paragraph">
              <wp:posOffset>0</wp:posOffset>
            </wp:positionV>
            <wp:extent cx="481330" cy="408305"/>
            <wp:effectExtent l="0" t="0" r="1270" b="10795"/>
            <wp:wrapTopAndBottom/>
            <wp:docPr id="1137" name="Shape 1137"/>
            <wp:cNvGraphicFramePr/>
            <a:graphic xmlns:a="http://schemas.openxmlformats.org/drawingml/2006/main">
              <a:graphicData uri="http://schemas.openxmlformats.org/drawingml/2006/picture">
                <pic:pic xmlns:pic="http://schemas.openxmlformats.org/drawingml/2006/picture">
                  <pic:nvPicPr>
                    <pic:cNvPr id="1137" name="Shape 1137"/>
                    <pic:cNvPicPr/>
                  </pic:nvPicPr>
                  <pic:blipFill>
                    <a:blip r:embed="rId699"/>
                    <a:stretch>
                      <a:fillRect/>
                    </a:stretch>
                  </pic:blipFill>
                  <pic:spPr>
                    <a:xfrm>
                      <a:off x="0" y="0"/>
                      <a:ext cx="481330" cy="408305"/>
                    </a:xfrm>
                    <a:prstGeom prst="rect">
                      <a:avLst/>
                    </a:prstGeom>
                  </pic:spPr>
                </pic:pic>
              </a:graphicData>
            </a:graphic>
          </wp:anchor>
        </w:drawing>
      </w:r>
      <w:r>
        <mc:AlternateContent>
          <mc:Choice Requires="wps">
            <w:drawing>
              <wp:anchor distT="125095" distB="45085" distL="0" distR="0" simplePos="0" relativeHeight="251660288" behindDoc="0" locked="0" layoutInCell="1" allowOverlap="1">
                <wp:simplePos x="0" y="0"/>
                <wp:positionH relativeFrom="page">
                  <wp:posOffset>1329690</wp:posOffset>
                </wp:positionH>
                <wp:positionV relativeFrom="paragraph">
                  <wp:posOffset>125095</wp:posOffset>
                </wp:positionV>
                <wp:extent cx="2816225" cy="234950"/>
                <wp:effectExtent l="0" t="0" r="0" b="0"/>
                <wp:wrapTopAndBottom/>
                <wp:docPr id="1139" name="Shape 1139"/>
                <wp:cNvGraphicFramePr/>
                <a:graphic xmlns:a="http://schemas.openxmlformats.org/drawingml/2006/main">
                  <a:graphicData uri="http://schemas.microsoft.com/office/word/2010/wordprocessingShape">
                    <wps:wsp>
                      <wps:cNvSpPr txBox="1"/>
                      <wps:spPr>
                        <a:xfrm>
                          <a:off x="0" y="0"/>
                          <a:ext cx="2816225" cy="234950"/>
                        </a:xfrm>
                        <a:prstGeom prst="rect">
                          <a:avLst/>
                        </a:prstGeom>
                        <a:noFill/>
                      </wps:spPr>
                      <wps:txbx>
                        <w:txbxContent>
                          <w:p w14:paraId="2CC8CCBF">
                            <w:pPr>
                              <w:pStyle w:val="15"/>
                              <w:keepNext/>
                              <w:keepLines/>
                              <w:widowControl w:val="0"/>
                              <w:shd w:val="clear" w:color="auto" w:fill="auto"/>
                              <w:bidi w:val="0"/>
                              <w:spacing w:before="0" w:after="0" w:line="240" w:lineRule="auto"/>
                              <w:ind w:left="0" w:right="0" w:firstLine="0"/>
                              <w:jc w:val="left"/>
                            </w:pPr>
                            <w:bookmarkStart w:id="582" w:name="bookmark531"/>
                            <w:bookmarkStart w:id="583" w:name="bookmark530"/>
                            <w:bookmarkStart w:id="584" w:name="bookmark529"/>
                            <w:r>
                              <w:rPr>
                                <w:color w:val="000000"/>
                                <w:spacing w:val="0"/>
                                <w:w w:val="100"/>
                                <w:position w:val="0"/>
                              </w:rPr>
                              <w:t>货运代理转委托行为的效力规则</w:t>
                            </w:r>
                            <w:bookmarkEnd w:id="582"/>
                            <w:bookmarkEnd w:id="583"/>
                            <w:bookmarkEnd w:id="584"/>
                          </w:p>
                        </w:txbxContent>
                      </wps:txbx>
                      <wps:bodyPr wrap="none" lIns="0" tIns="0" rIns="0" bIns="0">
                        <a:noAutofit/>
                      </wps:bodyPr>
                    </wps:wsp>
                  </a:graphicData>
                </a:graphic>
              </wp:anchor>
            </w:drawing>
          </mc:Choice>
          <mc:Fallback>
            <w:pict>
              <v:shape id="Shape 1139" o:spid="_x0000_s1026" o:spt="202" type="#_x0000_t202" style="position:absolute;left:0pt;margin-left:104.7pt;margin-top:9.85pt;height:18.5pt;width:221.75pt;mso-position-horizontal-relative:page;mso-wrap-distance-bottom:3.55pt;mso-wrap-distance-top:9.85pt;mso-wrap-style:none;z-index:251660288;mso-width-relative:page;mso-height-relative:page;" filled="f" stroked="f" coordsize="21600,21600" o:gfxdata="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EUvZ4&#10;1wAAAAkBAAAPAAAAAAAAAAEAIAAAACIAAABkcnMvZG93bnJldi54bWxQSwECFAAUAAAACACHTuJA&#10;Pixr5LABAAB2AwAADgAAAAAAAAABACAAAAAmAQAAZHJzL2Uyb0RvYy54bWxQSwUGAAAAAAYABgBZ&#10;AQAASAUAAAAA&#10;">
                <v:fill on="f" focussize="0,0"/>
                <v:stroke on="f"/>
                <v:imagedata o:title=""/>
                <o:lock v:ext="edit" aspectratio="f"/>
                <v:textbox inset="0mm,0mm,0mm,0mm">
                  <w:txbxContent>
                    <w:p w14:paraId="2CC8CCBF">
                      <w:pPr>
                        <w:pStyle w:val="15"/>
                        <w:keepNext/>
                        <w:keepLines/>
                        <w:widowControl w:val="0"/>
                        <w:shd w:val="clear" w:color="auto" w:fill="auto"/>
                        <w:bidi w:val="0"/>
                        <w:spacing w:before="0" w:after="0" w:line="240" w:lineRule="auto"/>
                        <w:ind w:left="0" w:right="0" w:firstLine="0"/>
                        <w:jc w:val="left"/>
                      </w:pPr>
                      <w:bookmarkStart w:id="582" w:name="bookmark531"/>
                      <w:bookmarkStart w:id="583" w:name="bookmark530"/>
                      <w:bookmarkStart w:id="584" w:name="bookmark529"/>
                      <w:r>
                        <w:rPr>
                          <w:color w:val="000000"/>
                          <w:spacing w:val="0"/>
                          <w:w w:val="100"/>
                          <w:position w:val="0"/>
                        </w:rPr>
                        <w:t>货运代理转委托行为的效力规则</w:t>
                      </w:r>
                      <w:bookmarkEnd w:id="582"/>
                      <w:bookmarkEnd w:id="583"/>
                      <w:bookmarkEnd w:id="584"/>
                    </w:p>
                  </w:txbxContent>
                </v:textbox>
                <w10:wrap type="topAndBottom"/>
              </v:shape>
            </w:pict>
          </mc:Fallback>
        </mc:AlternateContent>
      </w:r>
    </w:p>
    <w:p w14:paraId="1C3BF978">
      <w:pPr>
        <w:pStyle w:val="17"/>
        <w:keepNext w:val="0"/>
        <w:keepLines w:val="0"/>
        <w:widowControl w:val="0"/>
        <w:shd w:val="clear" w:color="auto" w:fill="auto"/>
        <w:bidi w:val="0"/>
        <w:spacing w:before="0" w:after="380" w:line="338" w:lineRule="exact"/>
        <w:ind w:left="1000" w:right="0" w:firstLine="0"/>
        <w:jc w:val="both"/>
      </w:pPr>
      <w:r>
        <w:drawing>
          <wp:anchor distT="0" distB="0" distL="114300" distR="114300" simplePos="0" relativeHeight="251660288" behindDoc="0" locked="0" layoutInCell="1" allowOverlap="1">
            <wp:simplePos x="0" y="0"/>
            <wp:positionH relativeFrom="page">
              <wp:posOffset>5126990</wp:posOffset>
            </wp:positionH>
            <wp:positionV relativeFrom="paragraph">
              <wp:posOffset>279400</wp:posOffset>
            </wp:positionV>
            <wp:extent cx="579120" cy="585470"/>
            <wp:effectExtent l="0" t="0" r="5080" b="11430"/>
            <wp:wrapSquare wrapText="left"/>
            <wp:docPr id="1141" name="Shape 1141"/>
            <wp:cNvGraphicFramePr/>
            <a:graphic xmlns:a="http://schemas.openxmlformats.org/drawingml/2006/main">
              <a:graphicData uri="http://schemas.openxmlformats.org/drawingml/2006/picture">
                <pic:pic xmlns:pic="http://schemas.openxmlformats.org/drawingml/2006/picture">
                  <pic:nvPicPr>
                    <pic:cNvPr id="1141" name="Shape 1141"/>
                    <pic:cNvPicPr/>
                  </pic:nvPicPr>
                  <pic:blipFill>
                    <a:blip r:embed="rId700"/>
                    <a:stretch>
                      <a:fillRect/>
                    </a:stretch>
                  </pic:blipFill>
                  <pic:spPr>
                    <a:xfrm>
                      <a:off x="0" y="0"/>
                      <a:ext cx="579120" cy="585470"/>
                    </a:xfrm>
                    <a:prstGeom prst="rect">
                      <a:avLst/>
                    </a:prstGeom>
                  </pic:spPr>
                </pic:pic>
              </a:graphicData>
            </a:graphic>
          </wp:anchor>
        </w:drawing>
      </w:r>
      <w:r>
        <w:rPr>
          <w:color w:val="000000"/>
          <w:spacing w:val="0"/>
          <w:w w:val="100"/>
          <w:position w:val="0"/>
        </w:rPr>
        <w:t>宁波维度纺织品有限公司与建峰（上海）国际货运代理有限公司、 建峰（上海）国际货运代理有限公司宁波分公司海上、通海水域货 物运输合同纠纷丨浙江省高级人民法院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浙海终字第</w:t>
      </w:r>
      <w:r>
        <w:rPr>
          <w:rFonts w:ascii="Times New Roman" w:hAnsi="Times New Roman" w:eastAsia="Times New Roman" w:cs="Times New Roman"/>
          <w:color w:val="000000"/>
          <w:spacing w:val="0"/>
          <w:w w:val="100"/>
          <w:position w:val="0"/>
          <w:sz w:val="19"/>
          <w:szCs w:val="19"/>
        </w:rPr>
        <w:t xml:space="preserve">102 </w:t>
      </w:r>
      <w:r>
        <w:rPr>
          <w:color w:val="000000"/>
          <w:spacing w:val="0"/>
          <w:w w:val="100"/>
          <w:position w:val="0"/>
        </w:rPr>
        <w:t>号民事判决书</w:t>
      </w:r>
    </w:p>
    <w:p w14:paraId="1DE87CF5">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方新军</w:t>
      </w:r>
      <w:r>
        <w:rPr>
          <w:color w:val="000000"/>
          <w:spacing w:val="0"/>
          <w:w w:val="100"/>
          <w:position w:val="0"/>
        </w:rPr>
        <w:t>苏州大学王健法学院</w:t>
      </w:r>
    </w:p>
    <w:p w14:paraId="18772146">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5C225AAF">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宁波维度纺织品有限公司（以下简称维度公司）委托宁波富豪公司进岀口有限公司（以 下简称富豪公司）作为外贸代理人，为其办理一批服装的出口业务。富豪公司委托宁波飞 轮物流有限公司（以下简称飞轮公司）办理相关订舱事宜,飞轮公司以无船承运人的身份向 富豪公司签发提单。飞轮公司又以自己的名义委托建峰（上海）国际货运代理有限公司（以 下简称建峰公司）订舱,建峰公司作为无船承运人向飞轮公司签发了记名提单。飞轮公司 随后收回了自己的提单,并将建峰公司的提单通过富豪公司转交给了维度公司。货物岀运 后，因国外客户未付款赎单,最终导致涉案货物在目的港灭失。维度公司起诉要求建峰公 司赔偿因无单放货导致的货款损失。宁波海事法院一审判决认为:根据《合同法》第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 的规定，在飞轮公司披露了建峰公司后,维度公司可以行使飞轮公司对建峰公司的权利。 同时维度公司合法持有建峰公司签发的正本提单，作为正本提单持有人，可以要求承运人 承担责任。由此判决建峰公司赔付维度公司相应货款等相关损失。</w:t>
      </w:r>
    </w:p>
    <w:p w14:paraId="50BC1293">
      <w:pPr>
        <w:pStyle w:val="17"/>
        <w:keepNext w:val="0"/>
        <w:keepLines w:val="0"/>
        <w:widowControl w:val="0"/>
        <w:shd w:val="clear" w:color="auto" w:fill="auto"/>
        <w:bidi w:val="0"/>
        <w:spacing w:before="0" w:after="220" w:line="339" w:lineRule="exact"/>
        <w:ind w:left="0" w:right="0" w:firstLine="420"/>
        <w:jc w:val="both"/>
      </w:pPr>
      <w:r>
        <w:rPr>
          <w:color w:val="000000"/>
          <w:spacing w:val="0"/>
          <w:w w:val="100"/>
          <w:position w:val="0"/>
        </w:rPr>
        <w:t>建峰公司提起上诉。其主要理由如下:第一，飞轮公司是以自己的名义向建峰公司订 舱，维度公司和建峰公司之间不存在合同关系。一审判决适用原《合同法》第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条，曲解 了建峰公司、维度公司和飞轮公司之间的法律关系。第二，飞轮公司作为无船承运人已经 向维度公司签发了提单，一审判决认为飞轮公司和维度公司之间属于委托合同关系显然有 误，两者已经构成海上货物运输合同关系。第三，建峰公司出具给飞轮公司的提单是记名 提单，不具有可转让性,即使维度公司持有该提单，也不享有提单权利。第四，因维度公司和 国外买家存在贸易纠纷，导致货物到港后无人提货，最后由进口国海关进行了处理。建峰 公司一直向飞轮公司披露上述情况，尽到了告知义务，建峰公司不应承担无单放货的责 任。</w:t>
      </w:r>
    </w:p>
    <w:p w14:paraId="5128C456">
      <w:pPr>
        <w:pStyle w:val="11"/>
        <w:keepNext w:val="0"/>
        <w:keepLines w:val="0"/>
        <w:widowControl w:val="0"/>
        <w:shd w:val="clear" w:color="auto" w:fill="auto"/>
        <w:bidi w:val="0"/>
        <w:spacing w:before="0" w:after="80" w:line="342" w:lineRule="exact"/>
        <w:ind w:left="0" w:right="0" w:firstLine="0"/>
        <w:jc w:val="left"/>
      </w:pPr>
      <w:r>
        <w:rPr>
          <w:rFonts w:ascii="Times New Roman" w:hAnsi="Times New Roman" w:eastAsia="Times New Roman" w:cs="Times New Roman"/>
          <w:b/>
          <w:bCs/>
          <w:color w:val="000000"/>
          <w:spacing w:val="0"/>
          <w:w w:val="100"/>
          <w:position w:val="0"/>
          <w:sz w:val="19"/>
          <w:szCs w:val="19"/>
        </w:rPr>
        <w:t>II</w:t>
      </w:r>
      <w:r>
        <w:rPr>
          <w:color w:val="000000"/>
          <w:spacing w:val="0"/>
          <w:w w:val="100"/>
          <w:position w:val="0"/>
        </w:rPr>
        <w:t>判决要旨</w:t>
      </w:r>
    </w:p>
    <w:p w14:paraId="6D13B7F8">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驳回上诉，维持原判。</w:t>
      </w:r>
    </w:p>
    <w:p w14:paraId="1720E0B3">
      <w:pPr>
        <w:pStyle w:val="17"/>
        <w:keepNext w:val="0"/>
        <w:keepLines w:val="0"/>
        <w:widowControl w:val="0"/>
        <w:shd w:val="clear" w:color="auto" w:fill="auto"/>
        <w:bidi w:val="0"/>
        <w:spacing w:before="0" w:after="360" w:line="342" w:lineRule="exact"/>
        <w:ind w:left="0" w:right="0" w:firstLine="420"/>
        <w:jc w:val="both"/>
      </w:pPr>
      <w:r>
        <w:rPr>
          <w:color w:val="000000"/>
          <w:spacing w:val="0"/>
          <w:w w:val="100"/>
          <w:position w:val="0"/>
        </w:rPr>
        <w:t>首先，对于维度公司的诉讼主体资格问题。浙江省高级人民法院（以下简称浙江省高 院）认为，维度公司系实际托运人,维度公司与富豪公司、飞轮公司分别系委托与再委托的 关系。飞轮公司的再委托并未超越委托人的授权范围，且飞轮公司在收回了自己的提单 后，把建峰公司签发的提单通过富豪公司交给了维度公司，维度公司并无异议，因此，根据 原《合同法》第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条的规定,维度公司可以行使飞轮公司对建峰公司的权利。虽然建峰公 司签发的提单系记名提单,但由于维度公司系案涉货物的实际托运人，其从承运人处原始 取得并持有提单并不属于提单转让范畴，系合法持有建峰公司签发的正本提单，为正本提 单持有人。其次,对于建峰公司是否应承担无单放货的责任问题。浙江省高院认为,在案证 据只能证明案涉货物曾经进入目的港的海关监管仓库,难以证明案涉货物系被目的港海关 处理的事实,故建峰公司仍应承担无单放货的责</w:t>
      </w:r>
    </w:p>
    <w:p w14:paraId="7723163D">
      <w:pPr>
        <w:pStyle w:val="11"/>
        <w:keepNext w:val="0"/>
        <w:keepLines w:val="0"/>
        <w:widowControl w:val="0"/>
        <w:shd w:val="clear" w:color="auto" w:fill="auto"/>
        <w:bidi w:val="0"/>
        <w:spacing w:before="0" w:after="80" w:line="342" w:lineRule="exact"/>
        <w:ind w:left="0" w:right="0" w:firstLine="0"/>
        <w:jc w:val="both"/>
      </w:pPr>
      <w:r>
        <w:rPr>
          <w:rFonts w:ascii="Times New Roman" w:hAnsi="Times New Roman" w:eastAsia="Times New Roman" w:cs="Times New Roman"/>
          <w:b/>
          <w:bCs/>
          <w:color w:val="000000"/>
          <w:spacing w:val="0"/>
          <w:w w:val="100"/>
          <w:position w:val="0"/>
          <w:sz w:val="19"/>
          <w:szCs w:val="19"/>
        </w:rPr>
        <w:t>II</w:t>
      </w:r>
      <w:r>
        <w:rPr>
          <w:color w:val="000000"/>
          <w:spacing w:val="0"/>
          <w:w w:val="100"/>
          <w:position w:val="0"/>
        </w:rPr>
        <w:t>评析</w:t>
      </w:r>
    </w:p>
    <w:p w14:paraId="1B7E8EAD">
      <w:pPr>
        <w:pStyle w:val="17"/>
        <w:keepNext w:val="0"/>
        <w:keepLines w:val="0"/>
        <w:widowControl w:val="0"/>
        <w:shd w:val="clear" w:color="auto" w:fill="auto"/>
        <w:bidi w:val="0"/>
        <w:spacing w:before="0" w:after="80" w:line="342" w:lineRule="exact"/>
        <w:ind w:left="0" w:right="0" w:firstLine="0"/>
        <w:jc w:val="both"/>
      </w:pPr>
      <w:r>
        <w:rPr>
          <w:color w:val="000000"/>
          <w:spacing w:val="0"/>
          <w:w w:val="100"/>
          <w:position w:val="0"/>
        </w:rPr>
        <w:t>田本判决的思路和意义</w:t>
      </w:r>
    </w:p>
    <w:p w14:paraId="086BD428">
      <w:pPr>
        <w:pStyle w:val="17"/>
        <w:keepNext w:val="0"/>
        <w:keepLines w:val="0"/>
        <w:widowControl w:val="0"/>
        <w:shd w:val="clear" w:color="auto" w:fill="auto"/>
        <w:bidi w:val="0"/>
        <w:spacing w:before="0" w:after="160" w:line="344" w:lineRule="exact"/>
        <w:ind w:left="0" w:right="0" w:firstLine="420"/>
        <w:jc w:val="both"/>
      </w:pPr>
      <w:r>
        <w:rPr>
          <w:color w:val="000000"/>
          <w:spacing w:val="0"/>
          <w:w w:val="100"/>
          <w:position w:val="0"/>
        </w:rPr>
        <w:t>本案中，法院适用原《合同法》第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条允许维度公司直接起诉建峰公司，完全突破了 合同的相对性。原《合同法》当初引入第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925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条的目的是解 决外贸代理问题，在本案中外贸代理人富豪公司几乎完全消失。飞轮公司向富豪公司签发 无船承运人提单,其与富豪公司之间成立运输合同;建峰公司向飞轮公司签发记名提单，建 峰公司和飞轮公司之间成立运输合同。维度公司和建峰公司之间没有直接的法律关系。 而且建峰公司也是无船承运人,其必然要和具体的承运人签订运输合同。如果适用原《合 同法》第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条打破合同相对性，为什么不一破到底直接让维度公司起诉真正的承运人？ 该案裁判思路在中国非常典型，厘清其中的法律适用问题对于货运代理转委托案件的处理 具有重要意义。</w:t>
      </w:r>
    </w:p>
    <w:p w14:paraId="175ED315">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[ill</w:t>
      </w:r>
      <w:r>
        <w:rPr>
          <w:color w:val="000000"/>
          <w:spacing w:val="0"/>
          <w:w w:val="100"/>
          <w:position w:val="0"/>
        </w:rPr>
        <w:t>司法实践状况</w:t>
      </w:r>
    </w:p>
    <w:p w14:paraId="448A3B05">
      <w:pPr>
        <w:pStyle w:val="17"/>
        <w:keepNext w:val="0"/>
        <w:keepLines w:val="0"/>
        <w:widowControl w:val="0"/>
        <w:shd w:val="clear" w:color="auto" w:fill="auto"/>
        <w:bidi w:val="0"/>
        <w:spacing w:before="0" w:after="0" w:line="341" w:lineRule="exact"/>
        <w:ind w:left="0" w:right="0" w:firstLine="420"/>
        <w:jc w:val="both"/>
        <w:sectPr>
          <w:headerReference r:id="rId491" w:type="first"/>
          <w:headerReference r:id="rId489" w:type="default"/>
          <w:headerReference r:id="rId490" w:type="even"/>
          <w:footnotePr>
            <w:numFmt w:val="chicago"/>
          </w:footnotePr>
          <w:pgSz w:w="10099" w:h="14782"/>
          <w:pgMar w:top="1300" w:right="995" w:bottom="1095" w:left="1107" w:header="0" w:footer="3" w:gutter="0"/>
          <w:cols w:space="720" w:num="1"/>
          <w:titlePg/>
          <w:rtlGutter w:val="0"/>
          <w:docGrid w:linePitch="360" w:charSpace="0"/>
        </w:sectPr>
      </w:pPr>
      <w:r>
        <w:rPr>
          <w:color w:val="000000"/>
          <w:spacing w:val="0"/>
          <w:w w:val="100"/>
          <w:position w:val="0"/>
        </w:rPr>
        <w:t>在货运代理实务中，货主通常会将货物运输事务委托给货运代理人办理，这一关系网 络可表述为:货主一货代一承运人。货运代理人接受委托后,往往会将货代事务转委托给 另一货运代理人处理，这一关系网络可表述为:货主一货代</w:t>
      </w:r>
      <w:r>
        <w:rPr>
          <w:rFonts w:ascii="Times New Roman" w:hAnsi="Times New Roman" w:eastAsia="Times New Roman" w:cs="Times New Roman"/>
          <w:color w:val="000000"/>
          <w:spacing w:val="0"/>
          <w:w w:val="100"/>
          <w:position w:val="0"/>
          <w:sz w:val="19"/>
          <w:szCs w:val="19"/>
          <w:lang w:val="en-US" w:eastAsia="en-US" w:bidi="en-US"/>
        </w:rPr>
        <w:t>1</w:t>
      </w:r>
      <w:r>
        <w:rPr>
          <w:color w:val="000000"/>
          <w:spacing w:val="0"/>
          <w:w w:val="100"/>
          <w:position w:val="0"/>
          <w:lang w:val="en-US" w:eastAsia="en-US" w:bidi="en-US"/>
        </w:rPr>
        <w:t>一</w:t>
      </w:r>
      <w:r>
        <w:rPr>
          <w:color w:val="000000"/>
          <w:spacing w:val="0"/>
          <w:w w:val="100"/>
          <w:position w:val="0"/>
        </w:rPr>
        <w:t>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一承运人。目前，各地 法院对于货运代理转委托案件的处理却千差万别，同案不同判的现象非常严重。上海市高 级人民法院于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年发布《关于审理货运代理合同纠纷案件若干问题的解答》（以下简称 上海高院解答）认为,“依据《合同法》第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条的规定,受托人将货运代理事务全部或部分 转委托第三人处理，经委托人同意的，委托人和第三人之间直接成立货运代理合同关系。 转委托未经同意的，委托人与受托人、受托人与第三人之间成立各自独立的法律关系。第 三人包括货运代理人、报关公司、仓储公司、集装箱车队等处理货运代理事务的人</w:t>
      </w:r>
      <w:r>
        <w:rPr>
          <w:color w:val="000000"/>
          <w:spacing w:val="0"/>
          <w:w w:val="100"/>
          <w:position w:val="0"/>
          <w:lang w:val="zh-CN" w:eastAsia="zh-CN" w:bidi="zh-CN"/>
        </w:rPr>
        <w:t>。”上</w:t>
      </w:r>
      <w:r>
        <w:rPr>
          <w:color w:val="000000"/>
          <w:spacing w:val="0"/>
          <w:w w:val="100"/>
          <w:position w:val="0"/>
        </w:rPr>
        <w:t xml:space="preserve">海市 </w:t>
      </w:r>
    </w:p>
    <w:p w14:paraId="20B756F6">
      <w:pPr>
        <w:pStyle w:val="17"/>
        <w:keepNext w:val="0"/>
        <w:keepLines w:val="0"/>
        <w:widowControl w:val="0"/>
        <w:shd w:val="clear" w:color="auto" w:fill="auto"/>
        <w:bidi w:val="0"/>
        <w:spacing w:before="0" w:after="0" w:line="341" w:lineRule="exact"/>
        <w:ind w:left="0" w:right="0" w:firstLine="0"/>
        <w:jc w:val="both"/>
      </w:pPr>
      <w:r>
        <w:rPr>
          <w:color w:val="000000"/>
          <w:spacing w:val="0"/>
          <w:w w:val="100"/>
          <w:position w:val="0"/>
        </w:rPr>
        <w:t>高级人民法院认为适用原《合同法》第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条解决货运代理转委托案件的理由是:货运代理 合同属于无名合同，应该参照适用与其最相类似的委托合同的规定。但是，货运代理人在 传统大陆法系属于承揽运送人，承揽运送人又属于行纪人之一种，上海市高级人民法院并 未考虑货运代理案件参照适用行纪合同规定的可能性。</w:t>
      </w:r>
    </w:p>
    <w:p w14:paraId="12E658C9">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针对货运代理转委托案件是否可以适用原《合同法》第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与货代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之间的 货运代理合同是否可以直接约束货主和货代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的问题，上海市高级人民法院认为，第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 中的“第三人</w:t>
      </w:r>
      <w:r>
        <w:rPr>
          <w:color w:val="000000"/>
          <w:spacing w:val="0"/>
          <w:w w:val="100"/>
          <w:position w:val="0"/>
          <w:lang w:val="zh-CN" w:eastAsia="zh-CN" w:bidi="zh-CN"/>
        </w:rPr>
        <w:t>”是货</w:t>
      </w:r>
      <w:r>
        <w:rPr>
          <w:color w:val="000000"/>
          <w:spacing w:val="0"/>
          <w:w w:val="100"/>
          <w:position w:val="0"/>
        </w:rPr>
        <w:t>代接受货主委托与其缔结运输合同的一方当事人，不包括第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条中的 次受托人。第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条中的</w:t>
      </w:r>
      <w:r>
        <w:rPr>
          <w:color w:val="000000"/>
          <w:spacing w:val="0"/>
          <w:w w:val="100"/>
          <w:position w:val="0"/>
          <w:lang w:val="zh-CN" w:eastAsia="zh-CN" w:bidi="zh-CN"/>
        </w:rPr>
        <w:t>“合同”不</w:t>
      </w:r>
      <w:r>
        <w:rPr>
          <w:color w:val="000000"/>
          <w:spacing w:val="0"/>
          <w:w w:val="100"/>
          <w:position w:val="0"/>
        </w:rPr>
        <w:t>应被理解为委托合同本身,而是委托合同中要求受托人 代理委托人去缔结的</w:t>
      </w:r>
      <w:r>
        <w:rPr>
          <w:color w:val="000000"/>
          <w:spacing w:val="0"/>
          <w:w w:val="100"/>
          <w:position w:val="0"/>
          <w:lang w:val="zh-CN" w:eastAsia="zh-CN" w:bidi="zh-CN"/>
        </w:rPr>
        <w:t>“合</w:t>
      </w:r>
      <w:r>
        <w:rPr>
          <w:color w:val="000000"/>
          <w:spacing w:val="0"/>
          <w:w w:val="100"/>
          <w:position w:val="0"/>
        </w:rPr>
        <w:t>同”。第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条中的</w:t>
      </w:r>
      <w:r>
        <w:rPr>
          <w:color w:val="000000"/>
          <w:spacing w:val="0"/>
          <w:w w:val="100"/>
          <w:position w:val="0"/>
          <w:lang w:val="zh-CN" w:eastAsia="zh-CN" w:bidi="zh-CN"/>
        </w:rPr>
        <w:t>“授权”是指“授予</w:t>
      </w:r>
      <w:r>
        <w:rPr>
          <w:color w:val="000000"/>
          <w:spacing w:val="0"/>
          <w:w w:val="100"/>
          <w:position w:val="0"/>
        </w:rPr>
        <w:t>代理权</w:t>
      </w:r>
      <w:r>
        <w:rPr>
          <w:color w:val="000000"/>
          <w:spacing w:val="0"/>
          <w:w w:val="100"/>
          <w:position w:val="0"/>
          <w:lang w:val="zh-CN" w:eastAsia="zh-CN" w:bidi="zh-CN"/>
        </w:rPr>
        <w:t>”，而</w:t>
      </w:r>
      <w:r>
        <w:rPr>
          <w:color w:val="000000"/>
          <w:spacing w:val="0"/>
          <w:w w:val="100"/>
          <w:position w:val="0"/>
        </w:rPr>
        <w:t>不是</w:t>
      </w:r>
      <w:r>
        <w:rPr>
          <w:color w:val="000000"/>
          <w:spacing w:val="0"/>
          <w:w w:val="100"/>
          <w:position w:val="0"/>
          <w:lang w:val="zh-CN" w:eastAsia="zh-CN" w:bidi="zh-CN"/>
        </w:rPr>
        <w:t>“授</w:t>
      </w:r>
      <w:r>
        <w:rPr>
          <w:color w:val="000000"/>
          <w:spacing w:val="0"/>
          <w:w w:val="100"/>
          <w:position w:val="0"/>
        </w:rPr>
        <w:t>予转委 托权”。上海市高级人民法院认为第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条在货代和承运人之间有适用的可能，在货代之 间的转委托行为中则没有适用的余地。对于第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条是否可以适用货运代理转委托案件, 上海市高级人民法院未置可否。</w:t>
      </w:r>
    </w:p>
    <w:p w14:paraId="41F49B68">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最高人民法院（以下简称最高院</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年发布《关于审理海上货运代理纠纷案件若干问 题的规定》［法释</w:t>
      </w:r>
      <w:r>
        <w:rPr>
          <w:rFonts w:ascii="Times New Roman" w:hAnsi="Times New Roman" w:eastAsia="Times New Roman" w:cs="Times New Roman"/>
          <w:color w:val="000000"/>
          <w:spacing w:val="0"/>
          <w:w w:val="100"/>
          <w:position w:val="0"/>
          <w:sz w:val="19"/>
          <w:szCs w:val="19"/>
        </w:rPr>
        <w:t>（2012）3</w:t>
      </w:r>
      <w:r>
        <w:rPr>
          <w:color w:val="000000"/>
          <w:spacing w:val="0"/>
          <w:w w:val="100"/>
          <w:position w:val="0"/>
        </w:rPr>
        <w:t>号］。其第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条规定：</w:t>
      </w:r>
      <w:r>
        <w:rPr>
          <w:color w:val="000000"/>
          <w:spacing w:val="0"/>
          <w:w w:val="100"/>
          <w:position w:val="0"/>
          <w:lang w:val="zh-CN" w:eastAsia="zh-CN" w:bidi="zh-CN"/>
        </w:rPr>
        <w:t>“委托</w:t>
      </w:r>
      <w:r>
        <w:rPr>
          <w:color w:val="000000"/>
          <w:spacing w:val="0"/>
          <w:w w:val="100"/>
          <w:position w:val="0"/>
        </w:rPr>
        <w:t>人与货运代理企业约定了转委托权 限，当事人就权限范围内的海上货运事务主张委托人同意转委托的,人民法院应予支持。 没有约定转委托权限，货运代理企业或第三人以委托人知道货运代理企业将海上货运代理 事务转委托或部分转委托第三人处理而未表示反对为由，主张委托人同意转委托的，人民 法院不予支持，但委托人的行为明确表明其接受转委托的除外</w:t>
      </w:r>
      <w:r>
        <w:rPr>
          <w:color w:val="000000"/>
          <w:spacing w:val="0"/>
          <w:w w:val="100"/>
          <w:position w:val="0"/>
          <w:lang w:val="zh-CN" w:eastAsia="zh-CN" w:bidi="zh-CN"/>
        </w:rPr>
        <w:t>。”最</w:t>
      </w:r>
      <w:r>
        <w:rPr>
          <w:color w:val="000000"/>
          <w:spacing w:val="0"/>
          <w:w w:val="100"/>
          <w:position w:val="0"/>
        </w:rPr>
        <w:t>高院的法官明确指岀该 条规定的解释依据就是原《合同法》的第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条。关于第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条能否适用于货运代理合同， 最高院专门和全国人大法工委进行了沟通，最终的结论是:</w:t>
      </w:r>
      <w:r>
        <w:rPr>
          <w:color w:val="000000"/>
          <w:spacing w:val="0"/>
          <w:w w:val="100"/>
          <w:position w:val="0"/>
          <w:lang w:val="zh-CN" w:eastAsia="zh-CN" w:bidi="zh-CN"/>
        </w:rPr>
        <w:t>“在</w:t>
      </w:r>
      <w:r>
        <w:rPr>
          <w:color w:val="000000"/>
          <w:spacing w:val="0"/>
          <w:w w:val="100"/>
          <w:position w:val="0"/>
        </w:rPr>
        <w:t>目前的司法实践中,无论是 海事审判还是涉外商事审判，对该条的理解和适用均存在疑问，需要统一考虑，必要时请全 国人大法工委作出解释</w:t>
      </w:r>
      <w:r>
        <w:rPr>
          <w:color w:val="000000"/>
          <w:spacing w:val="0"/>
          <w:w w:val="100"/>
          <w:position w:val="0"/>
          <w:sz w:val="11"/>
          <w:szCs w:val="11"/>
          <w:lang w:val="zh-CN" w:eastAsia="zh-CN" w:bidi="zh-CN"/>
        </w:rPr>
        <w:t>”（万</w:t>
      </w:r>
      <w:r>
        <w:rPr>
          <w:color w:val="000000"/>
          <w:spacing w:val="0"/>
          <w:w w:val="100"/>
          <w:position w:val="0"/>
          <w:sz w:val="11"/>
          <w:szCs w:val="11"/>
        </w:rPr>
        <w:t>鄂湘、陆效龙、余晓汉:《最高人民法院</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sz w:val="11"/>
          <w:szCs w:val="11"/>
        </w:rPr>
        <w:t>年海事海商审判综述》，载 《环球法律评论》</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1"/>
          <w:szCs w:val="11"/>
        </w:rPr>
        <w:t>期）。</w:t>
      </w:r>
      <w:r>
        <w:rPr>
          <w:color w:val="000000"/>
          <w:spacing w:val="0"/>
          <w:w w:val="100"/>
          <w:position w:val="0"/>
        </w:rPr>
        <w:t>对于第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条是否可以适用于货运代理合同，最高院同样未 予考虑。</w:t>
      </w:r>
    </w:p>
    <w:p w14:paraId="4B75CE87">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货运代理转委托行为的规范及学理</w:t>
      </w:r>
    </w:p>
    <w:p w14:paraId="7B24C5AF">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在货运代理人以自己的名义进行法律行为时，最高院和上海市高级人民法院一致认为 应该适用原《合同法》中有关委托合同的规定,这种理解值得商榷。在中国，货运代理人既 可以以货主的名义,也可以以自己的名义进行法律行为，法院应该区分货运代理人进行法 律行为的名义，以此为标准来处理货运代理合同的相关纠纷。</w:t>
      </w:r>
    </w:p>
    <w:p w14:paraId="35740101">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当货主委托货代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办理货物运输事宜时，货主对货代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既可能授予代理权，也可能没有 授予代理权。只有在货主对货代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授予代理权时，货代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对外才能够以货主的名义进行法 律行为。如果货主没有对货代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授予代理权，货代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只能以自己的名义对外进行民事法律 行为,否则构成无权代理。因此，委任合同可以区分为有代理权的委任和无代理权的委任。 在前者，委任合同是基础合同，它调整的是委任人和受任人之间的内部关系;代理权的授予 是与委任合同相区分的单方行为,它是内部关系和外部关系的媒介;受任人以委任人的名 义对外进行法律行为是委任合同的实行行为,它涉及的是委任人和第三人之间的外部关 系。在后者，行纪合同涉及的同样是委任人和受任人之间的内部关系，因此行纪合同在本 质上属于无代理权的委任合同之一种。它是关于受任人以自己的名义完成委任人的委托 事项，委任人支付报酬的约定;受任人（行纪人）以自己的名义与第三人签订合同以完成委 托事务，则是行纪合同的实行行为。两者的核心差异是有无代理权的授予。</w:t>
      </w:r>
    </w:p>
    <w:p w14:paraId="54C0DA31">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具体到货运代理转委托行为，也应根据货代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、贷代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是否获得授权以及进行具体法律 行为的名义，确定其行为性质与法律适用。货主授予货代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代理权，货代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转委托货代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完 成货主委托事项的，首先应该考虑货代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是否授予货代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代理权。如果授予代理权,应该再 考虑货代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是以自己的名义还是以货主的名义授予货代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代理权。按照德国联邦最高法院 关于复代理类型划分的理论，无论是以货主的名义还是自己的名义授予货代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代理权都属 于复代理，前者是直接复代理，后者是间接复代理，这种划分方式符合货运代理行业的发展 趋势</w:t>
      </w:r>
      <w:r>
        <w:rPr>
          <w:color w:val="000000"/>
          <w:spacing w:val="0"/>
          <w:w w:val="100"/>
          <w:position w:val="0"/>
          <w:sz w:val="11"/>
          <w:szCs w:val="11"/>
        </w:rPr>
        <w:t>［陈甦主编:《民法总则评注》（下册），法律出版社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1197</w:t>
      </w:r>
      <w:r>
        <w:rPr>
          <w:color w:val="000000"/>
          <w:spacing w:val="0"/>
          <w:w w:val="100"/>
          <w:position w:val="0"/>
          <w:sz w:val="11"/>
          <w:szCs w:val="11"/>
        </w:rPr>
        <w:t>页］。</w:t>
      </w:r>
      <w:r>
        <w:rPr>
          <w:color w:val="000000"/>
          <w:spacing w:val="0"/>
          <w:w w:val="100"/>
          <w:position w:val="0"/>
        </w:rPr>
        <w:t>但是按照我国通说， 只有货代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以自己的名义授权货代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代理权才为复代理，货代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以货主的名义只能是单纯 的一般代理</w:t>
      </w:r>
      <w:r>
        <w:rPr>
          <w:color w:val="000000"/>
          <w:spacing w:val="0"/>
          <w:w w:val="100"/>
          <w:position w:val="0"/>
          <w:sz w:val="11"/>
          <w:szCs w:val="11"/>
        </w:rPr>
        <w:t>［梁慧星:《民法总论》（第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227</w:t>
      </w:r>
      <w:r>
        <w:rPr>
          <w:color w:val="000000"/>
          <w:spacing w:val="0"/>
          <w:w w:val="100"/>
          <w:position w:val="0"/>
          <w:sz w:val="11"/>
          <w:szCs w:val="11"/>
        </w:rPr>
        <w:t>页］。我</w:t>
      </w:r>
      <w:r>
        <w:rPr>
          <w:color w:val="000000"/>
          <w:spacing w:val="0"/>
          <w:w w:val="100"/>
          <w:position w:val="0"/>
        </w:rPr>
        <w:t>国的通说未对 复代理人进行法律行为的名义进行区分,不符合复代理的复杂状况。如果货代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未授予货 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以货代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的名义与第三人进行法律行为，则属于无权代理。</w:t>
      </w:r>
    </w:p>
    <w:p w14:paraId="2B8249CD">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如果货主在委托货代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处理运输事务时未授予其代理权，此时货代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委托货代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处理 相关运输事务的，仍然要区分货代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是否授予货代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代理权以及以谁的名义。如果货代</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以自己的名义授予货代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代理权的,这是单纯的代理问题，货代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的行为与货主无关。如果 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以货主的名义授予货代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代理权的，此时构成无权的复代理，除非货主事后追认，或 者符合表见代理的构成要件，否则货代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的行为与货主无关。如果货代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委托货代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处理 货物运输事务，但是未授予货代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代理权，此时货代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以货代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的名义进行法律行为的，同 样是无权代理问题,但是表见代理有可能存在。</w:t>
      </w:r>
    </w:p>
    <w:p w14:paraId="60F9F372">
      <w:pPr>
        <w:pStyle w:val="17"/>
        <w:keepNext w:val="0"/>
        <w:keepLines w:val="0"/>
        <w:widowControl w:val="0"/>
        <w:shd w:val="clear" w:color="auto" w:fill="auto"/>
        <w:bidi w:val="0"/>
        <w:spacing w:before="0" w:after="0" w:line="351" w:lineRule="exact"/>
        <w:ind w:left="0" w:right="0" w:firstLine="420"/>
        <w:jc w:val="both"/>
      </w:pPr>
      <w:r>
        <w:rPr>
          <w:color w:val="000000"/>
          <w:spacing w:val="0"/>
          <w:w w:val="100"/>
          <w:position w:val="0"/>
        </w:rPr>
        <w:t>上述关于复代理类型的分析都是建立在货代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不是以自己的名义与第三人进行法律行 为的基础上，这使分析可以在代理的框架内展开。实务中，货代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基本上都是以自己的名义 与第三人进行法律行为，这已成为货运代理行业的常态。问题是，无论货主是否授予货代</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代理权，也无论货代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是否授予货代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以自己的名义与第三人从事的法律行 为，其法律效果如何？</w:t>
      </w:r>
    </w:p>
    <w:p w14:paraId="17A089E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以自己的名义与第三人进行法律行为，在大陆法系被称作相继承揽运送，承揽运 送人和相继承揽运送人之间成立合同关系，委托人只有在承揽运送人转让债权或者是基于 侵权，才可以向相继承揽运送人主张权利。由于货运代理的表述在我国已经约定俗成，因 此在我国的语境中可以将相继承揽运送表述为相继货运代理。在相继货运代理的情形下， 仍然应该基于名义标准参照适用行纪合同的规定，尽管原《合同法》行纪合同章没有关于转 委托的规定，但并不意味着要参照适用委托合同章第</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条的规定。因为根据原《合同法》 第</w:t>
      </w:r>
      <w:r>
        <w:rPr>
          <w:rFonts w:ascii="Times New Roman" w:hAnsi="Times New Roman" w:eastAsia="Times New Roman" w:cs="Times New Roman"/>
          <w:color w:val="000000"/>
          <w:spacing w:val="0"/>
          <w:w w:val="100"/>
          <w:position w:val="0"/>
          <w:sz w:val="19"/>
          <w:szCs w:val="19"/>
        </w:rPr>
        <w:t>61</w:t>
      </w:r>
      <w:r>
        <w:rPr>
          <w:color w:val="000000"/>
          <w:spacing w:val="0"/>
          <w:w w:val="100"/>
          <w:position w:val="0"/>
        </w:rPr>
        <w:t xml:space="preserve">条的规定，当事人对合同内容没有约定或者约定不明确的，可以按照交易习惯确定。 </w:t>
      </w:r>
      <w:r>
        <w:rPr>
          <w:color w:val="000000"/>
          <w:spacing w:val="0"/>
          <w:w w:val="100"/>
          <w:position w:val="0"/>
          <w:lang w:val="zh-CN" w:eastAsia="zh-CN" w:bidi="zh-CN"/>
        </w:rPr>
        <w:t>“层</w:t>
      </w:r>
      <w:r>
        <w:rPr>
          <w:color w:val="000000"/>
          <w:spacing w:val="0"/>
          <w:w w:val="100"/>
          <w:position w:val="0"/>
        </w:rPr>
        <w:t>层转托，认人不认单</w:t>
      </w:r>
      <w:r>
        <w:rPr>
          <w:color w:val="000000"/>
          <w:spacing w:val="0"/>
          <w:w w:val="100"/>
          <w:position w:val="0"/>
          <w:lang w:val="zh-CN" w:eastAsia="zh-CN" w:bidi="zh-CN"/>
        </w:rPr>
        <w:t>”早已</w:t>
      </w:r>
      <w:r>
        <w:rPr>
          <w:color w:val="000000"/>
          <w:spacing w:val="0"/>
          <w:w w:val="100"/>
          <w:position w:val="0"/>
        </w:rPr>
        <w:t>成为货运代理行业的惯例。在货运代理转委托案件中，无论</w:t>
      </w:r>
      <w:r>
        <w:rPr>
          <w:color w:val="000000"/>
          <w:spacing w:val="0"/>
          <w:w w:val="100"/>
          <w:position w:val="0"/>
        </w:rPr>
        <w:br w:type="page"/>
      </w:r>
      <w:r>
        <w:rPr>
          <w:color w:val="000000"/>
          <w:spacing w:val="0"/>
          <w:w w:val="100"/>
          <w:position w:val="0"/>
        </w:rPr>
        <w:t>委托人是否同意,受托人以自己的名义进行转委托的，只在货代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和第三人之间产生直接的 合同关系，如果因为第三人的原因导致合同不能履行或者履行有瑕疵的，应该根据《合同 法》第</w:t>
      </w:r>
      <w:r>
        <w:rPr>
          <w:rFonts w:ascii="Times New Roman" w:hAnsi="Times New Roman" w:eastAsia="Times New Roman" w:cs="Times New Roman"/>
          <w:color w:val="000000"/>
          <w:spacing w:val="0"/>
          <w:w w:val="100"/>
          <w:position w:val="0"/>
          <w:sz w:val="19"/>
          <w:szCs w:val="19"/>
        </w:rPr>
        <w:t>121</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593</w:t>
      </w:r>
      <w:r>
        <w:rPr>
          <w:color w:val="000000"/>
          <w:spacing w:val="0"/>
          <w:w w:val="100"/>
          <w:position w:val="0"/>
        </w:rPr>
        <w:t>条）的规定，由货代</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对货主或者货代</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承担违约责任，然后 再向第三人追偿，原《合同法》第</w:t>
      </w:r>
      <w:r>
        <w:rPr>
          <w:rFonts w:ascii="Times New Roman" w:hAnsi="Times New Roman" w:eastAsia="Times New Roman" w:cs="Times New Roman"/>
          <w:color w:val="000000"/>
          <w:spacing w:val="0"/>
          <w:w w:val="100"/>
          <w:position w:val="0"/>
          <w:sz w:val="19"/>
          <w:szCs w:val="19"/>
        </w:rPr>
        <w:t>402,403</w:t>
      </w:r>
      <w:r>
        <w:rPr>
          <w:color w:val="000000"/>
          <w:spacing w:val="0"/>
          <w:w w:val="100"/>
          <w:position w:val="0"/>
        </w:rPr>
        <w:t>条不能适用货运代理转委托案件。</w:t>
      </w:r>
    </w:p>
    <w:p w14:paraId="1AF191F1">
      <w:pPr>
        <w:pStyle w:val="17"/>
        <w:keepNext w:val="0"/>
        <w:keepLines w:val="0"/>
        <w:widowControl w:val="0"/>
        <w:shd w:val="clear" w:color="auto" w:fill="auto"/>
        <w:bidi w:val="0"/>
        <w:spacing w:before="0" w:after="0" w:line="338" w:lineRule="exact"/>
        <w:ind w:left="0" w:right="0" w:firstLine="440"/>
        <w:jc w:val="both"/>
      </w:pPr>
      <w:r>
        <w:rPr>
          <w:color w:val="000000"/>
          <w:spacing w:val="0"/>
          <w:w w:val="100"/>
          <w:position w:val="0"/>
        </w:rPr>
        <w:t>同时,根据货运代理行业的惯例，承揽运送人签发运输单证、固定运费时,其应该被视 为实际承运人，这是介入权拟制。此时货运代理人和委托人之间成立运输合同，至于货运 代理人和谁签订实际的运输合同，和委托人没有法律关系。货运代理转委托行为的法律效 力如图</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所示：</w:t>
      </w:r>
    </w:p>
    <w:p w14:paraId="3988282B">
      <w:pPr>
        <w:widowControl w:val="0"/>
        <w:spacing w:line="1" w:lineRule="exact"/>
        <w:sectPr>
          <w:headerReference r:id="rId492" w:type="default"/>
          <w:headerReference r:id="rId493" w:type="even"/>
          <w:footnotePr>
            <w:numFmt w:val="chicago"/>
          </w:footnotePr>
          <w:pgSz w:w="10099" w:h="14782"/>
          <w:pgMar w:top="1300" w:right="995" w:bottom="1095" w:left="1107" w:header="0" w:footer="3" w:gutter="0"/>
          <w:pgNumType w:start="422"/>
          <w:cols w:space="720" w:num="1"/>
          <w:rtlGutter w:val="0"/>
          <w:docGrid w:linePitch="360" w:charSpace="0"/>
        </w:sectPr>
      </w:pPr>
      <w:r>
        <mc:AlternateContent>
          <mc:Choice Requires="wps">
            <w:drawing>
              <wp:anchor distT="154305" distB="814070" distL="0" distR="0" simplePos="0" relativeHeight="251660288" behindDoc="0" locked="0" layoutInCell="1" allowOverlap="1">
                <wp:simplePos x="0" y="0"/>
                <wp:positionH relativeFrom="page">
                  <wp:posOffset>758825</wp:posOffset>
                </wp:positionH>
                <wp:positionV relativeFrom="paragraph">
                  <wp:posOffset>154305</wp:posOffset>
                </wp:positionV>
                <wp:extent cx="585470" cy="320040"/>
                <wp:effectExtent l="0" t="0" r="0" b="0"/>
                <wp:wrapTopAndBottom/>
                <wp:docPr id="1151" name="Shape 1151"/>
                <wp:cNvGraphicFramePr/>
                <a:graphic xmlns:a="http://schemas.openxmlformats.org/drawingml/2006/main">
                  <a:graphicData uri="http://schemas.microsoft.com/office/word/2010/wordprocessingShape">
                    <wps:wsp>
                      <wps:cNvSpPr txBox="1"/>
                      <wps:spPr>
                        <a:xfrm>
                          <a:off x="0" y="0"/>
                          <a:ext cx="585470" cy="320040"/>
                        </a:xfrm>
                        <a:prstGeom prst="rect">
                          <a:avLst/>
                        </a:prstGeom>
                        <a:noFill/>
                      </wps:spPr>
                      <wps:txbx>
                        <w:txbxContent>
                          <w:p w14:paraId="2FA25C35">
                            <w:pPr>
                              <w:pStyle w:val="33"/>
                              <w:keepNext w:val="0"/>
                              <w:keepLines w:val="0"/>
                              <w:widowControl w:val="0"/>
                              <w:shd w:val="clear" w:color="auto" w:fill="auto"/>
                              <w:bidi w:val="0"/>
                              <w:spacing w:before="0" w:after="0" w:line="242" w:lineRule="exact"/>
                              <w:ind w:left="0" w:right="0" w:firstLine="0"/>
                              <w:jc w:val="left"/>
                            </w:pPr>
                            <w:r>
                              <w:rPr>
                                <w:color w:val="000000"/>
                                <w:spacing w:val="0"/>
                                <w:w w:val="100"/>
                                <w:position w:val="0"/>
                              </w:rPr>
                              <w:t>货主授予货 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代理权</w:t>
                            </w:r>
                          </w:p>
                        </w:txbxContent>
                      </wps:txbx>
                      <wps:bodyPr lIns="0" tIns="0" rIns="0" bIns="0">
                        <a:noAutofit/>
                      </wps:bodyPr>
                    </wps:wsp>
                  </a:graphicData>
                </a:graphic>
              </wp:anchor>
            </w:drawing>
          </mc:Choice>
          <mc:Fallback>
            <w:pict>
              <v:shape id="Shape 1151" o:spid="_x0000_s1026" o:spt="202" type="#_x0000_t202" style="position:absolute;left:0pt;margin-left:59.75pt;margin-top:12.15pt;height:25.2pt;width:46.1pt;mso-position-horizontal-relative:page;mso-wrap-distance-bottom:64.1pt;mso-wrap-distance-top:12.15pt;z-index:251660288;mso-width-relative:page;mso-height-relative:page;" filled="f" stroked="f" coordsize="21600,21600" o:gfxdata="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jFH4U2AAAAAkBAAAP&#10;AAAAAAAAAAEAIAAAACIAAABkcnMvZG93bnJldi54bWxQSwECFAAUAAAACACHTuJAFa3wLaYBAABp&#10;AwAADgAAAAAAAAABACAAAAAnAQAAZHJzL2Uyb0RvYy54bWxQSwUGAAAAAAYABgBZAQAAPwUAAAAA&#10;">
                <v:fill on="f" focussize="0,0"/>
                <v:stroke on="f"/>
                <v:imagedata o:title=""/>
                <o:lock v:ext="edit" aspectratio="f"/>
                <v:textbox inset="0mm,0mm,0mm,0mm">
                  <w:txbxContent>
                    <w:p w14:paraId="2FA25C35">
                      <w:pPr>
                        <w:pStyle w:val="33"/>
                        <w:keepNext w:val="0"/>
                        <w:keepLines w:val="0"/>
                        <w:widowControl w:val="0"/>
                        <w:shd w:val="clear" w:color="auto" w:fill="auto"/>
                        <w:bidi w:val="0"/>
                        <w:spacing w:before="0" w:after="0" w:line="242" w:lineRule="exact"/>
                        <w:ind w:left="0" w:right="0" w:firstLine="0"/>
                        <w:jc w:val="left"/>
                      </w:pPr>
                      <w:r>
                        <w:rPr>
                          <w:color w:val="000000"/>
                          <w:spacing w:val="0"/>
                          <w:w w:val="100"/>
                          <w:position w:val="0"/>
                        </w:rPr>
                        <w:t>货主授予货 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代理权</w:t>
                      </w:r>
                    </w:p>
                  </w:txbxContent>
                </v:textbox>
                <w10:wrap type="topAndBottom"/>
              </v:shape>
            </w:pict>
          </mc:Fallback>
        </mc:AlternateContent>
      </w:r>
      <w:r>
        <mc:AlternateContent>
          <mc:Choice Requires="wps">
            <w:drawing>
              <wp:anchor distT="105410" distB="927100" distL="0" distR="0" simplePos="0" relativeHeight="251660288" behindDoc="0" locked="0" layoutInCell="1" allowOverlap="1">
                <wp:simplePos x="0" y="0"/>
                <wp:positionH relativeFrom="page">
                  <wp:posOffset>1398905</wp:posOffset>
                </wp:positionH>
                <wp:positionV relativeFrom="paragraph">
                  <wp:posOffset>105410</wp:posOffset>
                </wp:positionV>
                <wp:extent cx="1315085" cy="255905"/>
                <wp:effectExtent l="0" t="0" r="0" b="0"/>
                <wp:wrapTopAndBottom/>
                <wp:docPr id="1153" name="Shape 1153"/>
                <wp:cNvGraphicFramePr/>
                <a:graphic xmlns:a="http://schemas.openxmlformats.org/drawingml/2006/main">
                  <a:graphicData uri="http://schemas.microsoft.com/office/word/2010/wordprocessingShape">
                    <wps:wsp>
                      <wps:cNvSpPr txBox="1"/>
                      <wps:spPr>
                        <a:xfrm>
                          <a:off x="0" y="0"/>
                          <a:ext cx="1315085" cy="255905"/>
                        </a:xfrm>
                        <a:prstGeom prst="rect">
                          <a:avLst/>
                        </a:prstGeom>
                        <a:noFill/>
                      </wps:spPr>
                      <wps:txbx>
                        <w:txbxContent>
                          <w:p w14:paraId="50C00F48">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代理权</w:t>
                            </w:r>
                            <w:r>
                              <w:rPr>
                                <w:rFonts w:ascii="Times New Roman" w:hAnsi="Times New Roman" w:eastAsia="Times New Roman" w:cs="Times New Roman"/>
                                <w:color w:val="000000"/>
                                <w:spacing w:val="0"/>
                                <w:w w:val="100"/>
                                <w:position w:val="0"/>
                                <w:sz w:val="17"/>
                                <w:szCs w:val="17"/>
                                <w:lang w:val="en-US" w:eastAsia="en-US" w:bidi="en-US"/>
                              </w:rPr>
                              <w:t>［</w:t>
                            </w:r>
                          </w:p>
                        </w:txbxContent>
                      </wps:txbx>
                      <wps:bodyPr wrap="none" lIns="0" tIns="0" rIns="0" bIns="0">
                        <a:noAutofit/>
                      </wps:bodyPr>
                    </wps:wsp>
                  </a:graphicData>
                </a:graphic>
              </wp:anchor>
            </w:drawing>
          </mc:Choice>
          <mc:Fallback>
            <w:pict>
              <v:shape id="Shape 1153" o:spid="_x0000_s1026" o:spt="202" type="#_x0000_t202" style="position:absolute;left:0pt;margin-left:110.15pt;margin-top:8.3pt;height:20.15pt;width:103.55pt;mso-position-horizontal-relative:page;mso-wrap-distance-bottom:73pt;mso-wrap-distance-top:8.3pt;mso-wrap-style:none;z-index:251660288;mso-width-relative:page;mso-height-relative:page;" filled="f" stroked="f" coordsize="21600,21600" o:gfxdata="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9PeR9cA&#10;AAAJAQAADwAAAAAAAAABACAAAAAiAAAAZHJzL2Rvd25yZXYueG1sUEsBAhQAFAAAAAgAh07iQNOd&#10;FTSuAQAAdgMAAA4AAAAAAAAAAQAgAAAAJgEAAGRycy9lMm9Eb2MueG1sUEsFBgAAAAAGAAYAWQEA&#10;AEYFAAAAAA==&#10;">
                <v:fill on="f" focussize="0,0"/>
                <v:stroke on="f"/>
                <v:imagedata o:title=""/>
                <o:lock v:ext="edit" aspectratio="f"/>
                <v:textbox inset="0mm,0mm,0mm,0mm">
                  <w:txbxContent>
                    <w:p w14:paraId="50C00F48">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代理权</w:t>
                      </w:r>
                      <w:r>
                        <w:rPr>
                          <w:rFonts w:ascii="Times New Roman" w:hAnsi="Times New Roman" w:eastAsia="Times New Roman" w:cs="Times New Roman"/>
                          <w:color w:val="000000"/>
                          <w:spacing w:val="0"/>
                          <w:w w:val="100"/>
                          <w:position w:val="0"/>
                          <w:sz w:val="17"/>
                          <w:szCs w:val="17"/>
                          <w:lang w:val="en-US" w:eastAsia="en-US" w:bidi="en-US"/>
                        </w:rPr>
                        <w:t>［</w:t>
                      </w:r>
                    </w:p>
                  </w:txbxContent>
                </v:textbox>
                <w10:wrap type="topAndBottom"/>
              </v:shape>
            </w:pict>
          </mc:Fallback>
        </mc:AlternateContent>
      </w:r>
      <w:r>
        <mc:AlternateContent>
          <mc:Choice Requires="wps">
            <w:drawing>
              <wp:anchor distT="50800" distB="893445" distL="0" distR="0" simplePos="0" relativeHeight="251660288" behindDoc="0" locked="0" layoutInCell="1" allowOverlap="1">
                <wp:simplePos x="0" y="0"/>
                <wp:positionH relativeFrom="page">
                  <wp:posOffset>2715895</wp:posOffset>
                </wp:positionH>
                <wp:positionV relativeFrom="paragraph">
                  <wp:posOffset>50800</wp:posOffset>
                </wp:positionV>
                <wp:extent cx="1299845" cy="344170"/>
                <wp:effectExtent l="0" t="0" r="0" b="0"/>
                <wp:wrapTopAndBottom/>
                <wp:docPr id="1155" name="Shape 1155"/>
                <wp:cNvGraphicFramePr/>
                <a:graphic xmlns:a="http://schemas.openxmlformats.org/drawingml/2006/main">
                  <a:graphicData uri="http://schemas.microsoft.com/office/word/2010/wordprocessingShape">
                    <wps:wsp>
                      <wps:cNvSpPr txBox="1"/>
                      <wps:spPr>
                        <a:xfrm>
                          <a:off x="0" y="0"/>
                          <a:ext cx="1299845" cy="344170"/>
                        </a:xfrm>
                        <a:prstGeom prst="rect">
                          <a:avLst/>
                        </a:prstGeom>
                        <a:noFill/>
                      </wps:spPr>
                      <wps:txbx>
                        <w:txbxContent>
                          <w:p w14:paraId="604F6509">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以货主的名义:直接复代理</w:t>
                            </w:r>
                          </w:p>
                          <w:p w14:paraId="6C0C347F">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以自己的名义：间接复代理</w:t>
                            </w:r>
                          </w:p>
                        </w:txbxContent>
                      </wps:txbx>
                      <wps:bodyPr lIns="0" tIns="0" rIns="0" bIns="0">
                        <a:noAutofit/>
                      </wps:bodyPr>
                    </wps:wsp>
                  </a:graphicData>
                </a:graphic>
              </wp:anchor>
            </w:drawing>
          </mc:Choice>
          <mc:Fallback>
            <w:pict>
              <v:shape id="Shape 1155" o:spid="_x0000_s1026" o:spt="202" type="#_x0000_t202" style="position:absolute;left:0pt;margin-left:213.85pt;margin-top:4pt;height:27.1pt;width:102.35pt;mso-position-horizontal-relative:page;mso-wrap-distance-bottom:70.35pt;mso-wrap-distance-top:4pt;z-index:251660288;mso-width-relative:page;mso-height-relative:page;" filled="f" stroked="f" coordsize="21600,21600" o:gfxdata="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ZK+jYAAAACAEA&#10;AA8AAAAAAAAAAQAgAAAAIgAAAGRycy9kb3ducmV2LnhtbFBLAQIUABQAAAAIAIdO4kBpB4xeqAEA&#10;AGoDAAAOAAAAAAAAAAEAIAAAACcBAABkcnMvZTJvRG9jLnhtbFBLBQYAAAAABgAGAFkBAABBBQAA&#10;AAA=&#10;">
                <v:fill on="f" focussize="0,0"/>
                <v:stroke on="f"/>
                <v:imagedata o:title=""/>
                <o:lock v:ext="edit" aspectratio="f"/>
                <v:textbox inset="0mm,0mm,0mm,0mm">
                  <w:txbxContent>
                    <w:p w14:paraId="604F6509">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以货主的名义:直接复代理</w:t>
                      </w:r>
                    </w:p>
                    <w:p w14:paraId="6C0C347F">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以自己的名义：间接复代理</w:t>
                      </w:r>
                    </w:p>
                  </w:txbxContent>
                </v:textbox>
                <w10:wrap type="topAndBottom"/>
              </v:shape>
            </w:pict>
          </mc:Fallback>
        </mc:AlternateContent>
      </w:r>
      <w:r>
        <mc:AlternateContent>
          <mc:Choice Requires="wps">
            <w:drawing>
              <wp:anchor distT="453390" distB="687070" distL="0" distR="0" simplePos="0" relativeHeight="251660288" behindDoc="0" locked="0" layoutInCell="1" allowOverlap="1">
                <wp:simplePos x="0" y="0"/>
                <wp:positionH relativeFrom="page">
                  <wp:posOffset>1323975</wp:posOffset>
                </wp:positionH>
                <wp:positionV relativeFrom="paragraph">
                  <wp:posOffset>453390</wp:posOffset>
                </wp:positionV>
                <wp:extent cx="3169920" cy="147955"/>
                <wp:effectExtent l="0" t="0" r="0" b="0"/>
                <wp:wrapTopAndBottom/>
                <wp:docPr id="1157" name="Shape 1157"/>
                <wp:cNvGraphicFramePr/>
                <a:graphic xmlns:a="http://schemas.openxmlformats.org/drawingml/2006/main">
                  <a:graphicData uri="http://schemas.microsoft.com/office/word/2010/wordprocessingShape">
                    <wps:wsp>
                      <wps:cNvSpPr txBox="1"/>
                      <wps:spPr>
                        <a:xfrm>
                          <a:off x="0" y="0"/>
                          <a:ext cx="3169920" cy="147955"/>
                        </a:xfrm>
                        <a:prstGeom prst="rect">
                          <a:avLst/>
                        </a:prstGeom>
                        <a:noFill/>
                      </wps:spPr>
                      <wps:txbx>
                        <w:txbxContent>
                          <w:p w14:paraId="5FC5DB46">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L</w:t>
                            </w: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未授予货代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的名义一无权代理</w:t>
                            </w:r>
                          </w:p>
                        </w:txbxContent>
                      </wps:txbx>
                      <wps:bodyPr wrap="none" lIns="0" tIns="0" rIns="0" bIns="0">
                        <a:noAutofit/>
                      </wps:bodyPr>
                    </wps:wsp>
                  </a:graphicData>
                </a:graphic>
              </wp:anchor>
            </w:drawing>
          </mc:Choice>
          <mc:Fallback>
            <w:pict>
              <v:shape id="Shape 1157" o:spid="_x0000_s1026" o:spt="202" type="#_x0000_t202" style="position:absolute;left:0pt;margin-left:104.25pt;margin-top:35.7pt;height:11.65pt;width:249.6pt;mso-position-horizontal-relative:page;mso-wrap-distance-bottom:54.1pt;mso-wrap-distance-top:35.7pt;mso-wrap-style:none;z-index:251660288;mso-width-relative:page;mso-height-relative:page;" filled="f" stroked="f" coordsize="21600,21600" o:gfxdata="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w1q17X&#10;AAAACQEAAA8AAAAAAAAAAQAgAAAAIgAAAGRycy9kb3ducmV2LnhtbFBLAQIUABQAAAAIAIdO4kBd&#10;flTYrwEAAHYDAAAOAAAAAAAAAAEAIAAAACYBAABkcnMvZTJvRG9jLnhtbFBLBQYAAAAABgAGAFkB&#10;AABHBQAAAAA=&#10;">
                <v:fill on="f" focussize="0,0"/>
                <v:stroke on="f"/>
                <v:imagedata o:title=""/>
                <o:lock v:ext="edit" aspectratio="f"/>
                <v:textbox inset="0mm,0mm,0mm,0mm">
                  <w:txbxContent>
                    <w:p w14:paraId="5FC5DB46">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L</w:t>
                      </w: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未授予货代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的名义一无权代理</w:t>
                      </w:r>
                    </w:p>
                  </w:txbxContent>
                </v:textbox>
                <w10:wrap type="topAndBottom"/>
              </v:shape>
            </w:pict>
          </mc:Fallback>
        </mc:AlternateContent>
      </w:r>
      <w:r>
        <mc:AlternateContent>
          <mc:Choice Requires="wps">
            <w:drawing>
              <wp:anchor distT="842010" distB="127635" distL="0" distR="0" simplePos="0" relativeHeight="251660288" behindDoc="0" locked="0" layoutInCell="1" allowOverlap="1">
                <wp:simplePos x="0" y="0"/>
                <wp:positionH relativeFrom="page">
                  <wp:posOffset>758825</wp:posOffset>
                </wp:positionH>
                <wp:positionV relativeFrom="paragraph">
                  <wp:posOffset>842010</wp:posOffset>
                </wp:positionV>
                <wp:extent cx="693420" cy="318770"/>
                <wp:effectExtent l="0" t="0" r="0" b="0"/>
                <wp:wrapTopAndBottom/>
                <wp:docPr id="1159" name="Shape 1159"/>
                <wp:cNvGraphicFramePr/>
                <a:graphic xmlns:a="http://schemas.openxmlformats.org/drawingml/2006/main">
                  <a:graphicData uri="http://schemas.microsoft.com/office/word/2010/wordprocessingShape">
                    <wps:wsp>
                      <wps:cNvSpPr txBox="1"/>
                      <wps:spPr>
                        <a:xfrm>
                          <a:off x="0" y="0"/>
                          <a:ext cx="693420" cy="318770"/>
                        </a:xfrm>
                        <a:prstGeom prst="rect">
                          <a:avLst/>
                        </a:prstGeom>
                        <a:noFill/>
                      </wps:spPr>
                      <wps:txbx>
                        <w:txbxContent>
                          <w:p w14:paraId="1E84FE77">
                            <w:pPr>
                              <w:pStyle w:val="33"/>
                              <w:keepNext w:val="0"/>
                              <w:keepLines w:val="0"/>
                              <w:widowControl w:val="0"/>
                              <w:shd w:val="clear" w:color="auto" w:fill="auto"/>
                              <w:bidi w:val="0"/>
                              <w:spacing w:before="0" w:after="0" w:line="240" w:lineRule="exact"/>
                              <w:ind w:left="0" w:right="0" w:firstLine="0"/>
                              <w:jc w:val="center"/>
                            </w:pPr>
                            <w:r>
                              <w:rPr>
                                <w:color w:val="000000"/>
                                <w:spacing w:val="0"/>
                                <w:w w:val="100"/>
                                <w:position w:val="0"/>
                              </w:rPr>
                              <w:t>货主未授予货</w:t>
                            </w:r>
                            <w:r>
                              <w:rPr>
                                <w:color w:val="000000"/>
                                <w:spacing w:val="0"/>
                                <w:w w:val="100"/>
                                <w:position w:val="0"/>
                              </w:rPr>
                              <w:br w:type="textWrapping"/>
                            </w:r>
                            <w:r>
                              <w:rPr>
                                <w:color w:val="000000"/>
                                <w:spacing w:val="0"/>
                                <w:w w:val="100"/>
                                <w:position w:val="0"/>
                              </w:rPr>
                              <w:t>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代理权</w:t>
                            </w:r>
                          </w:p>
                        </w:txbxContent>
                      </wps:txbx>
                      <wps:bodyPr lIns="0" tIns="0" rIns="0" bIns="0">
                        <a:noAutofit/>
                      </wps:bodyPr>
                    </wps:wsp>
                  </a:graphicData>
                </a:graphic>
              </wp:anchor>
            </w:drawing>
          </mc:Choice>
          <mc:Fallback>
            <w:pict>
              <v:shape id="Shape 1159" o:spid="_x0000_s1026" o:spt="202" type="#_x0000_t202" style="position:absolute;left:0pt;margin-left:59.75pt;margin-top:66.3pt;height:25.1pt;width:54.6pt;mso-position-horizontal-relative:page;mso-wrap-distance-bottom:10.05pt;mso-wrap-distance-top:66.3pt;z-index:251660288;mso-width-relative:page;mso-height-relative:page;" filled="f" stroked="f" coordsize="21600,21600" o:gfxdata="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DdQFe2QAAAAsB&#10;AAAPAAAAAAAAAAEAIAAAACIAAABkcnMvZG93bnJldi54bWxQSwECFAAUAAAACACHTuJAl9PCEKgB&#10;AABpAwAADgAAAAAAAAABACAAAAAoAQAAZHJzL2Uyb0RvYy54bWxQSwUGAAAAAAYABgBZAQAAQgUA&#10;AAAA&#10;">
                <v:fill on="f" focussize="0,0"/>
                <v:stroke on="f"/>
                <v:imagedata o:title=""/>
                <o:lock v:ext="edit" aspectratio="f"/>
                <v:textbox inset="0mm,0mm,0mm,0mm">
                  <w:txbxContent>
                    <w:p w14:paraId="1E84FE77">
                      <w:pPr>
                        <w:pStyle w:val="33"/>
                        <w:keepNext w:val="0"/>
                        <w:keepLines w:val="0"/>
                        <w:widowControl w:val="0"/>
                        <w:shd w:val="clear" w:color="auto" w:fill="auto"/>
                        <w:bidi w:val="0"/>
                        <w:spacing w:before="0" w:after="0" w:line="240" w:lineRule="exact"/>
                        <w:ind w:left="0" w:right="0" w:firstLine="0"/>
                        <w:jc w:val="center"/>
                      </w:pPr>
                      <w:r>
                        <w:rPr>
                          <w:color w:val="000000"/>
                          <w:spacing w:val="0"/>
                          <w:w w:val="100"/>
                          <w:position w:val="0"/>
                        </w:rPr>
                        <w:t>货主未授予货</w:t>
                      </w:r>
                      <w:r>
                        <w:rPr>
                          <w:color w:val="000000"/>
                          <w:spacing w:val="0"/>
                          <w:w w:val="100"/>
                          <w:position w:val="0"/>
                        </w:rPr>
                        <w:br w:type="textWrapping"/>
                      </w:r>
                      <w:r>
                        <w:rPr>
                          <w:color w:val="000000"/>
                          <w:spacing w:val="0"/>
                          <w:w w:val="100"/>
                          <w:position w:val="0"/>
                        </w:rPr>
                        <w:t>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代理权</w:t>
                      </w:r>
                    </w:p>
                  </w:txbxContent>
                </v:textbox>
                <w10:wrap type="topAndBottom"/>
              </v:shape>
            </w:pict>
          </mc:Fallback>
        </mc:AlternateContent>
      </w:r>
      <w:r>
        <mc:AlternateContent>
          <mc:Choice Requires="wps">
            <w:drawing>
              <wp:anchor distT="797560" distB="234950" distL="0" distR="0" simplePos="0" relativeHeight="251660288" behindDoc="0" locked="0" layoutInCell="1" allowOverlap="1">
                <wp:simplePos x="0" y="0"/>
                <wp:positionH relativeFrom="page">
                  <wp:posOffset>1508760</wp:posOffset>
                </wp:positionH>
                <wp:positionV relativeFrom="paragraph">
                  <wp:posOffset>797560</wp:posOffset>
                </wp:positionV>
                <wp:extent cx="1318260" cy="255905"/>
                <wp:effectExtent l="0" t="0" r="0" b="0"/>
                <wp:wrapTopAndBottom/>
                <wp:docPr id="1161" name="Shape 1161"/>
                <wp:cNvGraphicFramePr/>
                <a:graphic xmlns:a="http://schemas.openxmlformats.org/drawingml/2006/main">
                  <a:graphicData uri="http://schemas.microsoft.com/office/word/2010/wordprocessingShape">
                    <wps:wsp>
                      <wps:cNvSpPr txBox="1"/>
                      <wps:spPr>
                        <a:xfrm>
                          <a:off x="0" y="0"/>
                          <a:ext cx="1318260" cy="255905"/>
                        </a:xfrm>
                        <a:prstGeom prst="rect">
                          <a:avLst/>
                        </a:prstGeom>
                        <a:noFill/>
                      </wps:spPr>
                      <wps:txbx>
                        <w:txbxContent>
                          <w:p w14:paraId="5889CBAA">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代理权</w:t>
                            </w:r>
                            <w:r>
                              <w:rPr>
                                <w:rFonts w:ascii="Times New Roman" w:hAnsi="Times New Roman" w:eastAsia="Times New Roman" w:cs="Times New Roman"/>
                                <w:color w:val="000000"/>
                                <w:spacing w:val="0"/>
                                <w:w w:val="100"/>
                                <w:position w:val="0"/>
                                <w:sz w:val="17"/>
                                <w:szCs w:val="17"/>
                                <w:lang w:val="en-US" w:eastAsia="en-US" w:bidi="en-US"/>
                              </w:rPr>
                              <w:t>［</w:t>
                            </w:r>
                          </w:p>
                        </w:txbxContent>
                      </wps:txbx>
                      <wps:bodyPr wrap="none" lIns="0" tIns="0" rIns="0" bIns="0">
                        <a:noAutofit/>
                      </wps:bodyPr>
                    </wps:wsp>
                  </a:graphicData>
                </a:graphic>
              </wp:anchor>
            </w:drawing>
          </mc:Choice>
          <mc:Fallback>
            <w:pict>
              <v:shape id="Shape 1161" o:spid="_x0000_s1026" o:spt="202" type="#_x0000_t202" style="position:absolute;left:0pt;margin-left:118.8pt;margin-top:62.8pt;height:20.15pt;width:103.8pt;mso-position-horizontal-relative:page;mso-wrap-distance-bottom:18.5pt;mso-wrap-distance-top:62.8pt;mso-wrap-style:none;z-index:251660288;mso-width-relative:page;mso-height-relative:page;" filled="f" stroked="f" coordsize="21600,21600" o:gfxdata="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GGTXLY&#10;AAAACwEAAA8AAAAAAAAAAQAgAAAAIgAAAGRycy9kb3ducmV2LnhtbFBLAQIUABQAAAAIAIdO4kDP&#10;fm7IrgEAAHYDAAAOAAAAAAAAAAEAIAAAACcBAABkcnMvZTJvRG9jLnhtbFBLBQYAAAAABgAGAFkB&#10;AABHBQAAAAA=&#10;">
                <v:fill on="f" focussize="0,0"/>
                <v:stroke on="f"/>
                <v:imagedata o:title=""/>
                <o:lock v:ext="edit" aspectratio="f"/>
                <v:textbox inset="0mm,0mm,0mm,0mm">
                  <w:txbxContent>
                    <w:p w14:paraId="5889CBAA">
                      <w:pPr>
                        <w:pStyle w:val="33"/>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代理权</w:t>
                      </w:r>
                      <w:r>
                        <w:rPr>
                          <w:rFonts w:ascii="Times New Roman" w:hAnsi="Times New Roman" w:eastAsia="Times New Roman" w:cs="Times New Roman"/>
                          <w:color w:val="000000"/>
                          <w:spacing w:val="0"/>
                          <w:w w:val="100"/>
                          <w:position w:val="0"/>
                          <w:sz w:val="17"/>
                          <w:szCs w:val="17"/>
                          <w:lang w:val="en-US" w:eastAsia="en-US" w:bidi="en-US"/>
                        </w:rPr>
                        <w:t>［</w:t>
                      </w:r>
                    </w:p>
                  </w:txbxContent>
                </v:textbox>
                <w10:wrap type="topAndBottom"/>
              </v:shape>
            </w:pict>
          </mc:Fallback>
        </mc:AlternateContent>
      </w:r>
      <w:r>
        <mc:AlternateContent>
          <mc:Choice Requires="wps">
            <w:drawing>
              <wp:anchor distT="663575" distB="201295" distL="0" distR="0" simplePos="0" relativeHeight="251660288" behindDoc="0" locked="0" layoutInCell="1" allowOverlap="1">
                <wp:simplePos x="0" y="0"/>
                <wp:positionH relativeFrom="page">
                  <wp:posOffset>2828290</wp:posOffset>
                </wp:positionH>
                <wp:positionV relativeFrom="paragraph">
                  <wp:posOffset>663575</wp:posOffset>
                </wp:positionV>
                <wp:extent cx="1409700" cy="423545"/>
                <wp:effectExtent l="0" t="0" r="0" b="0"/>
                <wp:wrapTopAndBottom/>
                <wp:docPr id="1163" name="Shape 1163"/>
                <wp:cNvGraphicFramePr/>
                <a:graphic xmlns:a="http://schemas.openxmlformats.org/drawingml/2006/main">
                  <a:graphicData uri="http://schemas.microsoft.com/office/word/2010/wordprocessingShape">
                    <wps:wsp>
                      <wps:cNvSpPr txBox="1"/>
                      <wps:spPr>
                        <a:xfrm>
                          <a:off x="0" y="0"/>
                          <a:ext cx="1409700" cy="423545"/>
                        </a:xfrm>
                        <a:prstGeom prst="rect">
                          <a:avLst/>
                        </a:prstGeom>
                        <a:noFill/>
                      </wps:spPr>
                      <wps:txbx>
                        <w:txbxContent>
                          <w:p w14:paraId="2FA5632E">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以货主的名义:无权的复代理 以自己的名义：一般代理</w:t>
                            </w:r>
                          </w:p>
                        </w:txbxContent>
                      </wps:txbx>
                      <wps:bodyPr lIns="0" tIns="0" rIns="0" bIns="0">
                        <a:noAutofit/>
                      </wps:bodyPr>
                    </wps:wsp>
                  </a:graphicData>
                </a:graphic>
              </wp:anchor>
            </w:drawing>
          </mc:Choice>
          <mc:Fallback>
            <w:pict>
              <v:shape id="Shape 1163" o:spid="_x0000_s1026" o:spt="202" type="#_x0000_t202" style="position:absolute;left:0pt;margin-left:222.7pt;margin-top:52.25pt;height:33.35pt;width:111pt;mso-position-horizontal-relative:page;mso-wrap-distance-bottom:15.85pt;mso-wrap-distance-top:52.25pt;z-index:251660288;mso-width-relative:page;mso-height-relative:page;" filled="f" stroked="f" coordsize="21600,21600" o:gfxdata="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hkpRrtkAAAALAQAA&#10;DwAAAAAAAAABACAAAAAiAAAAZHJzL2Rvd25yZXYueG1sUEsBAhQAFAAAAAgAh07iQBV1nKKmAQAA&#10;agMAAA4AAAAAAAAAAQAgAAAAKAEAAGRycy9lMm9Eb2MueG1sUEsFBgAAAAAGAAYAWQEAAEAFAAAA&#10;AA==&#10;">
                <v:fill on="f" focussize="0,0"/>
                <v:stroke on="f"/>
                <v:imagedata o:title=""/>
                <o:lock v:ext="edit" aspectratio="f"/>
                <v:textbox inset="0mm,0mm,0mm,0mm">
                  <w:txbxContent>
                    <w:p w14:paraId="2FA5632E">
                      <w:pPr>
                        <w:pStyle w:val="33"/>
                        <w:keepNext w:val="0"/>
                        <w:keepLines w:val="0"/>
                        <w:widowControl w:val="0"/>
                        <w:shd w:val="clear" w:color="auto" w:fill="auto"/>
                        <w:bidi w:val="0"/>
                        <w:spacing w:before="0" w:after="0" w:line="322" w:lineRule="exact"/>
                        <w:ind w:left="0" w:right="0" w:firstLine="0"/>
                        <w:jc w:val="left"/>
                      </w:pPr>
                      <w:r>
                        <w:rPr>
                          <w:color w:val="000000"/>
                          <w:spacing w:val="0"/>
                          <w:w w:val="100"/>
                          <w:position w:val="0"/>
                        </w:rPr>
                        <w:t>以货主的名义:无权的复代理 以自己的名义：一般代理</w:t>
                      </w:r>
                    </w:p>
                  </w:txbxContent>
                </v:textbox>
                <w10:wrap type="topAndBottom"/>
              </v:shape>
            </w:pict>
          </mc:Fallback>
        </mc:AlternateContent>
      </w:r>
      <w:r>
        <mc:AlternateContent>
          <mc:Choice Requires="wps">
            <w:drawing>
              <wp:anchor distT="396875" distB="265430" distL="0" distR="0" simplePos="0" relativeHeight="251660288" behindDoc="0" locked="0" layoutInCell="1" allowOverlap="1">
                <wp:simplePos x="0" y="0"/>
                <wp:positionH relativeFrom="page">
                  <wp:posOffset>4638675</wp:posOffset>
                </wp:positionH>
                <wp:positionV relativeFrom="paragraph">
                  <wp:posOffset>396875</wp:posOffset>
                </wp:positionV>
                <wp:extent cx="1126490" cy="626110"/>
                <wp:effectExtent l="0" t="0" r="0" b="0"/>
                <wp:wrapTopAndBottom/>
                <wp:docPr id="1165" name="Shape 1165"/>
                <wp:cNvGraphicFramePr/>
                <a:graphic xmlns:a="http://schemas.openxmlformats.org/drawingml/2006/main">
                  <a:graphicData uri="http://schemas.microsoft.com/office/word/2010/wordprocessingShape">
                    <wps:wsp>
                      <wps:cNvSpPr txBox="1"/>
                      <wps:spPr>
                        <a:xfrm>
                          <a:off x="0" y="0"/>
                          <a:ext cx="1126490" cy="626110"/>
                        </a:xfrm>
                        <a:prstGeom prst="rect">
                          <a:avLst/>
                        </a:prstGeom>
                        <a:noFill/>
                      </wps:spPr>
                      <wps:txbx>
                        <w:txbxContent>
                          <w:p w14:paraId="17257D39">
                            <w:pPr>
                              <w:pStyle w:val="33"/>
                              <w:keepNext w:val="0"/>
                              <w:keepLines w:val="0"/>
                              <w:widowControl w:val="0"/>
                              <w:shd w:val="clear" w:color="auto" w:fill="auto"/>
                              <w:bidi w:val="0"/>
                              <w:spacing w:before="0" w:after="0" w:line="328" w:lineRule="exact"/>
                              <w:ind w:left="0" w:right="0" w:firstLine="0"/>
                              <w:jc w:val="center"/>
                            </w:pP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以自己的名义与</w:t>
                            </w:r>
                            <w:r>
                              <w:rPr>
                                <w:color w:val="000000"/>
                                <w:spacing w:val="0"/>
                                <w:w w:val="100"/>
                                <w:position w:val="0"/>
                              </w:rPr>
                              <w:br w:type="textWrapping"/>
                            </w:r>
                            <w:r>
                              <w:rPr>
                                <w:color w:val="000000"/>
                                <w:spacing w:val="0"/>
                                <w:w w:val="100"/>
                                <w:position w:val="0"/>
                              </w:rPr>
                              <w:t>第三人从事法律行为：</w:t>
                            </w:r>
                            <w:r>
                              <w:rPr>
                                <w:color w:val="000000"/>
                                <w:spacing w:val="0"/>
                                <w:w w:val="100"/>
                                <w:position w:val="0"/>
                              </w:rPr>
                              <w:br w:type="textWrapping"/>
                            </w:r>
                            <w:r>
                              <w:rPr>
                                <w:color w:val="000000"/>
                                <w:spacing w:val="0"/>
                                <w:w w:val="100"/>
                                <w:position w:val="0"/>
                              </w:rPr>
                              <w:t>适用行纪合同的规定</w:t>
                            </w:r>
                          </w:p>
                        </w:txbxContent>
                      </wps:txbx>
                      <wps:bodyPr lIns="0" tIns="0" rIns="0" bIns="0">
                        <a:noAutofit/>
                      </wps:bodyPr>
                    </wps:wsp>
                  </a:graphicData>
                </a:graphic>
              </wp:anchor>
            </w:drawing>
          </mc:Choice>
          <mc:Fallback>
            <w:pict>
              <v:shape id="Shape 1165" o:spid="_x0000_s1026" o:spt="202" type="#_x0000_t202" style="position:absolute;left:0pt;margin-left:365.25pt;margin-top:31.25pt;height:49.3pt;width:88.7pt;mso-position-horizontal-relative:page;mso-wrap-distance-bottom:20.9pt;mso-wrap-distance-top:31.25pt;z-index:251660288;mso-width-relative:page;mso-height-relative:page;" filled="f" stroked="f" coordsize="21600,21600" o:gfxdata="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OHCrGNkAAAAKAQAA&#10;DwAAAAAAAAABACAAAAAiAAAAZHJzL2Rvd25yZXYueG1sUEsBAhQAFAAAAAgAh07iQJl1goGmAQAA&#10;agMAAA4AAAAAAAAAAQAgAAAAKAEAAGRycy9lMm9Eb2MueG1sUEsFBgAAAAAGAAYAWQEAAEAFAAAA&#10;AA==&#10;">
                <v:fill on="f" focussize="0,0"/>
                <v:stroke on="f"/>
                <v:imagedata o:title=""/>
                <o:lock v:ext="edit" aspectratio="f"/>
                <v:textbox inset="0mm,0mm,0mm,0mm">
                  <w:txbxContent>
                    <w:p w14:paraId="17257D39">
                      <w:pPr>
                        <w:pStyle w:val="33"/>
                        <w:keepNext w:val="0"/>
                        <w:keepLines w:val="0"/>
                        <w:widowControl w:val="0"/>
                        <w:shd w:val="clear" w:color="auto" w:fill="auto"/>
                        <w:bidi w:val="0"/>
                        <w:spacing w:before="0" w:after="0" w:line="328" w:lineRule="exact"/>
                        <w:ind w:left="0" w:right="0" w:firstLine="0"/>
                        <w:jc w:val="center"/>
                      </w:pP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以自己的名义与</w:t>
                      </w:r>
                      <w:r>
                        <w:rPr>
                          <w:color w:val="000000"/>
                          <w:spacing w:val="0"/>
                          <w:w w:val="100"/>
                          <w:position w:val="0"/>
                        </w:rPr>
                        <w:br w:type="textWrapping"/>
                      </w:r>
                      <w:r>
                        <w:rPr>
                          <w:color w:val="000000"/>
                          <w:spacing w:val="0"/>
                          <w:w w:val="100"/>
                          <w:position w:val="0"/>
                        </w:rPr>
                        <w:t>第三人从事法律行为：</w:t>
                      </w:r>
                      <w:r>
                        <w:rPr>
                          <w:color w:val="000000"/>
                          <w:spacing w:val="0"/>
                          <w:w w:val="100"/>
                          <w:position w:val="0"/>
                        </w:rPr>
                        <w:br w:type="textWrapping"/>
                      </w:r>
                      <w:r>
                        <w:rPr>
                          <w:color w:val="000000"/>
                          <w:spacing w:val="0"/>
                          <w:w w:val="100"/>
                          <w:position w:val="0"/>
                        </w:rPr>
                        <w:t>适用行纪合同的规定</w:t>
                      </w:r>
                    </w:p>
                  </w:txbxContent>
                </v:textbox>
                <w10:wrap type="topAndBottom"/>
              </v:shape>
            </w:pict>
          </mc:Fallback>
        </mc:AlternateContent>
      </w:r>
      <w:r>
        <mc:AlternateContent>
          <mc:Choice Requires="wps">
            <w:drawing>
              <wp:anchor distT="1141730" distB="635" distL="0" distR="0" simplePos="0" relativeHeight="251660288" behindDoc="0" locked="0" layoutInCell="1" allowOverlap="1">
                <wp:simplePos x="0" y="0"/>
                <wp:positionH relativeFrom="page">
                  <wp:posOffset>1437005</wp:posOffset>
                </wp:positionH>
                <wp:positionV relativeFrom="paragraph">
                  <wp:posOffset>1141730</wp:posOffset>
                </wp:positionV>
                <wp:extent cx="3235325" cy="146050"/>
                <wp:effectExtent l="0" t="0" r="0" b="0"/>
                <wp:wrapTopAndBottom/>
                <wp:docPr id="1167" name="Shape 1167"/>
                <wp:cNvGraphicFramePr/>
                <a:graphic xmlns:a="http://schemas.openxmlformats.org/drawingml/2006/main">
                  <a:graphicData uri="http://schemas.microsoft.com/office/word/2010/wordprocessingShape">
                    <wps:wsp>
                      <wps:cNvSpPr txBox="1"/>
                      <wps:spPr>
                        <a:xfrm>
                          <a:off x="0" y="0"/>
                          <a:ext cx="3235325" cy="146050"/>
                        </a:xfrm>
                        <a:prstGeom prst="rect">
                          <a:avLst/>
                        </a:prstGeom>
                        <a:noFill/>
                      </wps:spPr>
                      <wps:txbx>
                        <w:txbxContent>
                          <w:p w14:paraId="52AC93ED">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L</w:t>
                            </w: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未授予货代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的名义一无权代理」</w:t>
                            </w:r>
                          </w:p>
                        </w:txbxContent>
                      </wps:txbx>
                      <wps:bodyPr wrap="none" lIns="0" tIns="0" rIns="0" bIns="0">
                        <a:noAutofit/>
                      </wps:bodyPr>
                    </wps:wsp>
                  </a:graphicData>
                </a:graphic>
              </wp:anchor>
            </w:drawing>
          </mc:Choice>
          <mc:Fallback>
            <w:pict>
              <v:shape id="Shape 1167" o:spid="_x0000_s1026" o:spt="202" type="#_x0000_t202" style="position:absolute;left:0pt;margin-left:113.15pt;margin-top:89.9pt;height:11.5pt;width:254.75pt;mso-position-horizontal-relative:page;mso-wrap-distance-bottom:0.05pt;mso-wrap-distance-top:89.9pt;mso-wrap-style:none;z-index:251660288;mso-width-relative:page;mso-height-relative:page;" filled="f" stroked="f" coordsize="21600,21600" o:gfxdata="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daV8H&#10;1wAAAAsBAAAPAAAAAAAAAAEAIAAAACIAAABkcnMvZG93bnJldi54bWxQSwECFAAUAAAACACHTuJA&#10;5gfjErABAAB2AwAADgAAAAAAAAABACAAAAAmAQAAZHJzL2Uyb0RvYy54bWxQSwUGAAAAAAYABgBZ&#10;AQAASAUAAAAA&#10;">
                <v:fill on="f" focussize="0,0"/>
                <v:stroke on="f"/>
                <v:imagedata o:title=""/>
                <o:lock v:ext="edit" aspectratio="f"/>
                <v:textbox inset="0mm,0mm,0mm,0mm">
                  <w:txbxContent>
                    <w:p w14:paraId="52AC93ED">
                      <w:pPr>
                        <w:pStyle w:val="3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L</w:t>
                      </w:r>
                      <w:r>
                        <w:rPr>
                          <w:color w:val="000000"/>
                          <w:spacing w:val="0"/>
                          <w:w w:val="100"/>
                          <w:position w:val="0"/>
                        </w:rPr>
                        <w:t>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未授予货代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代理权:货代</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以货代</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的名义一无权代理」</w:t>
                      </w:r>
                    </w:p>
                  </w:txbxContent>
                </v:textbox>
                <w10:wrap type="topAndBottom"/>
              </v:shape>
            </w:pict>
          </mc:Fallback>
        </mc:AlternateContent>
      </w:r>
    </w:p>
    <w:p w14:paraId="4ADD0271">
      <w:pPr>
        <w:widowControl w:val="0"/>
        <w:spacing w:line="127" w:lineRule="exact"/>
        <w:rPr>
          <w:sz w:val="10"/>
          <w:szCs w:val="10"/>
        </w:rPr>
      </w:pPr>
    </w:p>
    <w:p w14:paraId="58098052">
      <w:pPr>
        <w:widowControl w:val="0"/>
        <w:spacing w:line="1" w:lineRule="exact"/>
        <w:sectPr>
          <w:footnotePr>
            <w:numFmt w:val="chicago"/>
          </w:footnotePr>
          <w:type w:val="continuous"/>
          <w:pgSz w:w="10099" w:h="14782"/>
          <w:pgMar w:top="1310" w:right="0" w:bottom="1097" w:left="0" w:header="0" w:footer="3" w:gutter="0"/>
          <w:cols w:space="720" w:num="1"/>
          <w:rtlGutter w:val="0"/>
          <w:docGrid w:linePitch="360" w:charSpace="0"/>
        </w:sectPr>
      </w:pPr>
    </w:p>
    <w:p w14:paraId="575DF0D1">
      <w:pPr>
        <w:pStyle w:val="17"/>
        <w:keepNext w:val="0"/>
        <w:keepLines w:val="0"/>
        <w:widowControl w:val="0"/>
        <w:shd w:val="clear" w:color="auto" w:fill="auto"/>
        <w:bidi w:val="0"/>
        <w:spacing w:before="0" w:after="340" w:line="240" w:lineRule="auto"/>
        <w:ind w:left="0" w:right="0" w:firstLine="0"/>
        <w:jc w:val="center"/>
        <w:rPr>
          <w:sz w:val="17"/>
          <w:szCs w:val="17"/>
        </w:rPr>
      </w:pPr>
      <w:r>
        <w:rPr>
          <w:color w:val="000000"/>
          <w:spacing w:val="0"/>
          <w:w w:val="100"/>
          <w:position w:val="0"/>
          <w:sz w:val="17"/>
          <w:szCs w:val="17"/>
        </w:rPr>
        <w:t>图</w:t>
      </w:r>
      <w:r>
        <w:rPr>
          <w:rFonts w:ascii="Times New Roman" w:hAnsi="Times New Roman" w:eastAsia="Times New Roman" w:cs="Times New Roman"/>
          <w:b/>
          <w:bCs/>
          <w:color w:val="000000"/>
          <w:spacing w:val="0"/>
          <w:w w:val="100"/>
          <w:position w:val="0"/>
          <w:sz w:val="19"/>
          <w:szCs w:val="19"/>
        </w:rPr>
        <w:t>1</w:t>
      </w:r>
      <w:r>
        <w:rPr>
          <w:color w:val="000000"/>
          <w:spacing w:val="0"/>
          <w:w w:val="100"/>
          <w:position w:val="0"/>
          <w:sz w:val="17"/>
          <w:szCs w:val="17"/>
        </w:rPr>
        <w:t>货运代理转委托行为的法律效力</w:t>
      </w:r>
    </w:p>
    <w:p w14:paraId="31A03CEA">
      <w:pPr>
        <w:pStyle w:val="17"/>
        <w:keepNext w:val="0"/>
        <w:keepLines w:val="0"/>
        <w:widowControl w:val="0"/>
        <w:shd w:val="clear" w:color="auto" w:fill="auto"/>
        <w:bidi w:val="0"/>
        <w:spacing w:before="0" w:after="140" w:line="340"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本判决的参考意义及将来的课题</w:t>
      </w:r>
    </w:p>
    <w:p w14:paraId="3B0A7C00">
      <w:pPr>
        <w:pStyle w:val="17"/>
        <w:keepNext w:val="0"/>
        <w:keepLines w:val="0"/>
        <w:widowControl w:val="0"/>
        <w:shd w:val="clear" w:color="auto" w:fill="auto"/>
        <w:bidi w:val="0"/>
        <w:spacing w:before="0" w:after="340" w:line="340" w:lineRule="exact"/>
        <w:ind w:left="0" w:right="0"/>
        <w:jc w:val="both"/>
      </w:pPr>
      <w:r>
        <w:rPr>
          <w:color w:val="000000"/>
          <w:spacing w:val="0"/>
          <w:w w:val="100"/>
          <w:position w:val="0"/>
        </w:rPr>
        <w:t>本判决中,浙江省高院参照适用委托合同的规定处理货运代理转委托案件，在具体的 解释论上,未能厘清代理、委托、行纪、复代理、转委托、相继货运代理、介入权拟制这些概念 之间的区别和联系。原《合同法》第</w:t>
      </w:r>
      <w:r>
        <w:rPr>
          <w:rFonts w:ascii="Times New Roman" w:hAnsi="Times New Roman" w:eastAsia="Times New Roman" w:cs="Times New Roman"/>
          <w:color w:val="000000"/>
          <w:spacing w:val="0"/>
          <w:w w:val="100"/>
          <w:position w:val="0"/>
          <w:sz w:val="19"/>
          <w:szCs w:val="19"/>
        </w:rPr>
        <w:t>402,403</w:t>
      </w:r>
      <w:r>
        <w:rPr>
          <w:color w:val="000000"/>
          <w:spacing w:val="0"/>
          <w:w w:val="100"/>
          <w:position w:val="0"/>
        </w:rPr>
        <w:t>条在司法实践中已经引发了诸多乱象,有学者 主张，应该将第</w:t>
      </w:r>
      <w:r>
        <w:rPr>
          <w:rFonts w:ascii="Times New Roman" w:hAnsi="Times New Roman" w:eastAsia="Times New Roman" w:cs="Times New Roman"/>
          <w:color w:val="000000"/>
          <w:spacing w:val="0"/>
          <w:w w:val="100"/>
          <w:position w:val="0"/>
          <w:sz w:val="19"/>
          <w:szCs w:val="19"/>
        </w:rPr>
        <w:t>402</w:t>
      </w:r>
      <w:r>
        <w:rPr>
          <w:color w:val="000000"/>
          <w:spacing w:val="0"/>
          <w:w w:val="100"/>
          <w:position w:val="0"/>
        </w:rPr>
        <w:t>条彻底删除，第</w:t>
      </w:r>
      <w:r>
        <w:rPr>
          <w:rFonts w:ascii="Times New Roman" w:hAnsi="Times New Roman" w:eastAsia="Times New Roman" w:cs="Times New Roman"/>
          <w:color w:val="000000"/>
          <w:spacing w:val="0"/>
          <w:w w:val="100"/>
          <w:position w:val="0"/>
          <w:sz w:val="19"/>
          <w:szCs w:val="19"/>
        </w:rPr>
        <w:t>403</w:t>
      </w:r>
      <w:r>
        <w:rPr>
          <w:color w:val="000000"/>
          <w:spacing w:val="0"/>
          <w:w w:val="100"/>
          <w:position w:val="0"/>
        </w:rPr>
        <w:t xml:space="preserve">条则可以通过改变体系位置和明确限制条件予以保 </w:t>
      </w:r>
      <w:r>
        <w:rPr>
          <w:color w:val="000000"/>
          <w:spacing w:val="0"/>
          <w:w w:val="100"/>
          <w:position w:val="0"/>
          <w:sz w:val="11"/>
          <w:szCs w:val="11"/>
        </w:rPr>
        <w:t>留（方新军：《民法典编纂视野下合同法第</w:t>
      </w:r>
      <w:r>
        <w:rPr>
          <w:rFonts w:ascii="Times New Roman" w:hAnsi="Times New Roman" w:eastAsia="Times New Roman" w:cs="Times New Roman"/>
          <w:color w:val="000000"/>
          <w:spacing w:val="0"/>
          <w:w w:val="100"/>
          <w:position w:val="0"/>
          <w:sz w:val="17"/>
          <w:szCs w:val="17"/>
        </w:rPr>
        <w:t>402</w:t>
      </w:r>
      <w:r>
        <w:rPr>
          <w:color w:val="000000"/>
          <w:spacing w:val="0"/>
          <w:w w:val="100"/>
          <w:position w:val="0"/>
          <w:sz w:val="11"/>
          <w:szCs w:val="11"/>
        </w:rPr>
        <w:t>条、第</w:t>
      </w:r>
      <w:r>
        <w:rPr>
          <w:rFonts w:ascii="Times New Roman" w:hAnsi="Times New Roman" w:eastAsia="Times New Roman" w:cs="Times New Roman"/>
          <w:color w:val="000000"/>
          <w:spacing w:val="0"/>
          <w:w w:val="100"/>
          <w:position w:val="0"/>
          <w:sz w:val="17"/>
          <w:szCs w:val="17"/>
        </w:rPr>
        <w:t>403</w:t>
      </w:r>
      <w:r>
        <w:rPr>
          <w:color w:val="000000"/>
          <w:spacing w:val="0"/>
          <w:w w:val="100"/>
          <w:position w:val="0"/>
          <w:sz w:val="11"/>
          <w:szCs w:val="11"/>
        </w:rPr>
        <w:t>条的存废》，载《法学研究》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 xml:space="preserve">期）。 </w:t>
      </w: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925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926</w:t>
      </w:r>
      <w:r>
        <w:rPr>
          <w:color w:val="000000"/>
          <w:spacing w:val="0"/>
          <w:w w:val="100"/>
          <w:position w:val="0"/>
        </w:rPr>
        <w:t>条保留了这两条规定,在解释论上研究如何避免这两个条文在体系上 的过度外溢以及由此引发的价值冲突是非常紧迫的课题。</w:t>
      </w:r>
    </w:p>
    <w:p w14:paraId="42FAE9CC">
      <w:pPr>
        <w:pStyle w:val="11"/>
        <w:keepNext w:val="0"/>
        <w:keepLines w:val="0"/>
        <w:widowControl w:val="0"/>
        <w:shd w:val="clear" w:color="auto" w:fill="auto"/>
        <w:bidi w:val="0"/>
        <w:spacing w:before="0" w:after="40"/>
        <w:ind w:left="0" w:right="0" w:firstLine="0"/>
        <w:jc w:val="both"/>
      </w:pPr>
      <w:r>
        <w:rPr>
          <w:i/>
          <w:iCs/>
          <w:color w:val="000000"/>
          <w:spacing w:val="0"/>
          <w:w w:val="100"/>
          <w:position w:val="0"/>
        </w:rPr>
        <w:t>回</w:t>
      </w:r>
      <w:r>
        <w:rPr>
          <w:color w:val="000000"/>
          <w:spacing w:val="0"/>
          <w:w w:val="100"/>
          <w:position w:val="0"/>
        </w:rPr>
        <w:t>参考文献</w:t>
      </w:r>
    </w:p>
    <w:p w14:paraId="36A62D45">
      <w:pPr>
        <w:pStyle w:val="33"/>
        <w:keepNext w:val="0"/>
        <w:keepLines w:val="0"/>
        <w:widowControl w:val="0"/>
        <w:shd w:val="clear" w:color="auto" w:fill="auto"/>
        <w:bidi w:val="0"/>
        <w:spacing w:before="0" w:after="0" w:line="319" w:lineRule="exact"/>
        <w:ind w:left="0" w:right="0" w:firstLine="0"/>
        <w:jc w:val="left"/>
      </w:pPr>
      <w:r>
        <w:rPr>
          <w:color w:val="000000"/>
          <w:spacing w:val="0"/>
          <w:w w:val="100"/>
          <w:position w:val="0"/>
        </w:rPr>
        <w:t>梁慧星:《民法总则》（第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110BBB7E">
      <w:pPr>
        <w:pStyle w:val="33"/>
        <w:keepNext w:val="0"/>
        <w:keepLines w:val="0"/>
        <w:widowControl w:val="0"/>
        <w:shd w:val="clear" w:color="auto" w:fill="auto"/>
        <w:bidi w:val="0"/>
        <w:spacing w:before="0" w:after="0" w:line="319" w:lineRule="exact"/>
        <w:ind w:left="0" w:right="0" w:firstLine="0"/>
        <w:jc w:val="left"/>
      </w:pPr>
      <w:r>
        <w:rPr>
          <w:color w:val="000000"/>
          <w:spacing w:val="0"/>
          <w:w w:val="100"/>
          <w:position w:val="0"/>
        </w:rPr>
        <w:t>陈甦主编:《民法总则评注》（下册），法律出版社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0022619C">
      <w:pPr>
        <w:pStyle w:val="33"/>
        <w:keepNext w:val="0"/>
        <w:keepLines w:val="0"/>
        <w:widowControl w:val="0"/>
        <w:shd w:val="clear" w:color="auto" w:fill="auto"/>
        <w:bidi w:val="0"/>
        <w:spacing w:before="0" w:after="0" w:line="319" w:lineRule="exact"/>
        <w:ind w:left="0" w:right="0" w:firstLine="0"/>
        <w:jc w:val="left"/>
      </w:pPr>
      <w:r>
        <w:rPr>
          <w:color w:val="000000"/>
          <w:spacing w:val="0"/>
          <w:w w:val="100"/>
          <w:position w:val="0"/>
        </w:rPr>
        <w:t>方新军：《货运代理转委托行为的类型区分及法律效力》，载《法学研究》</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29479E7">
      <w:pPr>
        <w:pStyle w:val="33"/>
        <w:keepNext w:val="0"/>
        <w:keepLines w:val="0"/>
        <w:widowControl w:val="0"/>
        <w:shd w:val="clear" w:color="auto" w:fill="auto"/>
        <w:bidi w:val="0"/>
        <w:spacing w:before="0" w:after="0" w:line="319" w:lineRule="exact"/>
        <w:ind w:left="0" w:right="0" w:firstLine="0"/>
        <w:jc w:val="left"/>
      </w:pPr>
      <w:r>
        <w:rPr>
          <w:color w:val="000000"/>
          <w:spacing w:val="0"/>
          <w:w w:val="100"/>
          <w:position w:val="0"/>
        </w:rPr>
        <w:t>方新军:《民法典编纂视野下合同法第</w:t>
      </w:r>
      <w:r>
        <w:rPr>
          <w:rFonts w:ascii="Times New Roman" w:hAnsi="Times New Roman" w:eastAsia="Times New Roman" w:cs="Times New Roman"/>
          <w:color w:val="000000"/>
          <w:spacing w:val="0"/>
          <w:w w:val="100"/>
          <w:position w:val="0"/>
          <w:sz w:val="17"/>
          <w:szCs w:val="17"/>
        </w:rPr>
        <w:t>402</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403</w:t>
      </w:r>
      <w:r>
        <w:rPr>
          <w:color w:val="000000"/>
          <w:spacing w:val="0"/>
          <w:w w:val="100"/>
          <w:position w:val="0"/>
        </w:rPr>
        <w:t>条的存废》，载《法学研究》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DFA587F">
      <w:pPr>
        <w:pStyle w:val="33"/>
        <w:keepNext w:val="0"/>
        <w:keepLines w:val="0"/>
        <w:widowControl w:val="0"/>
        <w:shd w:val="clear" w:color="auto" w:fill="auto"/>
        <w:bidi w:val="0"/>
        <w:spacing w:before="0" w:after="240" w:line="319" w:lineRule="exact"/>
        <w:ind w:left="180" w:right="0" w:hanging="180"/>
        <w:jc w:val="both"/>
        <w:sectPr>
          <w:footnotePr>
            <w:numFmt w:val="chicago"/>
          </w:footnotePr>
          <w:type w:val="continuous"/>
          <w:pgSz w:w="10099" w:h="14782"/>
          <w:pgMar w:top="1310" w:right="1036" w:bottom="1097" w:left="1059" w:header="0" w:footer="3" w:gutter="0"/>
          <w:cols w:space="720" w:num="1"/>
          <w:rtlGutter w:val="0"/>
          <w:docGrid w:linePitch="360" w:charSpace="0"/>
        </w:sectPr>
      </w:pPr>
      <w:r>
        <w:rPr>
          <w:color w:val="000000"/>
          <w:spacing w:val="0"/>
          <w:w w:val="100"/>
          <w:position w:val="0"/>
        </w:rPr>
        <w:t>万鄂湘、陆效龙、余晓汉：《最高人民法院</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年海事海商审判综述》，载《环球法律评论》</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rPr>
        <w:t>期。</w:t>
      </w:r>
    </w:p>
    <w:p w14:paraId="7460EC5E">
      <w:pPr>
        <w:widowControl w:val="0"/>
        <w:spacing w:line="1" w:lineRule="exact"/>
      </w:pPr>
      <w:r>
        <mc:AlternateContent>
          <mc:Choice Requires="wps">
            <w:drawing>
              <wp:anchor distT="0" distB="19685" distL="0" distR="0" simplePos="0" relativeHeight="251660288" behindDoc="0" locked="0" layoutInCell="1" allowOverlap="1">
                <wp:simplePos x="0" y="0"/>
                <wp:positionH relativeFrom="page">
                  <wp:posOffset>756920</wp:posOffset>
                </wp:positionH>
                <wp:positionV relativeFrom="paragraph">
                  <wp:posOffset>0</wp:posOffset>
                </wp:positionV>
                <wp:extent cx="449580" cy="304800"/>
                <wp:effectExtent l="0" t="0" r="0" b="0"/>
                <wp:wrapTopAndBottom/>
                <wp:docPr id="1169" name="Shape 116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78E04ED0">
                            <w:pPr>
                              <w:pStyle w:val="27"/>
                              <w:keepNext/>
                              <w:keepLines/>
                              <w:widowControl w:val="0"/>
                              <w:shd w:val="clear" w:color="auto" w:fill="auto"/>
                              <w:bidi w:val="0"/>
                              <w:spacing w:before="0" w:after="0" w:line="240" w:lineRule="auto"/>
                              <w:ind w:left="0" w:right="0" w:firstLine="0"/>
                              <w:jc w:val="both"/>
                            </w:pPr>
                            <w:bookmarkStart w:id="585" w:name="bookmark532"/>
                            <w:bookmarkStart w:id="586" w:name="bookmark533"/>
                            <w:bookmarkStart w:id="587" w:name="bookmark534"/>
                            <w:r>
                              <w:rPr>
                                <w:rFonts w:ascii="Times New Roman" w:hAnsi="Times New Roman" w:eastAsia="Times New Roman" w:cs="Times New Roman"/>
                                <w:color w:val="000000"/>
                                <w:spacing w:val="0"/>
                                <w:w w:val="100"/>
                                <w:position w:val="0"/>
                                <w:lang w:val="zh-TW" w:eastAsia="zh-TW" w:bidi="zh-TW"/>
                              </w:rPr>
                              <w:t>086</w:t>
                            </w:r>
                            <w:bookmarkEnd w:id="585"/>
                            <w:bookmarkEnd w:id="586"/>
                            <w:bookmarkEnd w:id="587"/>
                          </w:p>
                        </w:txbxContent>
                      </wps:txbx>
                      <wps:bodyPr wrap="none" lIns="0" tIns="0" rIns="0" bIns="0">
                        <a:noAutofit/>
                      </wps:bodyPr>
                    </wps:wsp>
                  </a:graphicData>
                </a:graphic>
              </wp:anchor>
            </w:drawing>
          </mc:Choice>
          <mc:Fallback>
            <w:pict>
              <v:shape id="Shape 1169" o:spid="_x0000_s1026" o:spt="202" type="#_x0000_t202" style="position:absolute;left:0pt;margin-left:59.6pt;margin-top:0pt;height:24pt;width:35.4pt;mso-position-horizontal-relative:page;mso-wrap-distance-bottom:1.55pt;mso-wrap-distance-top:0pt;mso-wrap-style:none;z-index:251660288;mso-width-relative:page;mso-height-relative:page;" filled="f" stroked="f" coordsize="21600,21600" o:gfxdata="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zMCtH0wAAAAcB&#10;AAAPAAAAAAAAAAEAIAAAACIAAABkcnMvZG93bnJldi54bWxQSwECFAAUAAAACACHTuJAx15Ema4B&#10;AAB1AwAADgAAAAAAAAABACAAAAAiAQAAZHJzL2Uyb0RvYy54bWxQSwUGAAAAAAYABgBZAQAAQgUA&#10;AAAA&#10;">
                <v:fill on="f" focussize="0,0"/>
                <v:stroke on="f"/>
                <v:imagedata o:title=""/>
                <o:lock v:ext="edit" aspectratio="f"/>
                <v:textbox inset="0mm,0mm,0mm,0mm">
                  <w:txbxContent>
                    <w:p w14:paraId="78E04ED0">
                      <w:pPr>
                        <w:pStyle w:val="27"/>
                        <w:keepNext/>
                        <w:keepLines/>
                        <w:widowControl w:val="0"/>
                        <w:shd w:val="clear" w:color="auto" w:fill="auto"/>
                        <w:bidi w:val="0"/>
                        <w:spacing w:before="0" w:after="0" w:line="240" w:lineRule="auto"/>
                        <w:ind w:left="0" w:right="0" w:firstLine="0"/>
                        <w:jc w:val="both"/>
                      </w:pPr>
                      <w:bookmarkStart w:id="585" w:name="bookmark532"/>
                      <w:bookmarkStart w:id="586" w:name="bookmark533"/>
                      <w:bookmarkStart w:id="587" w:name="bookmark534"/>
                      <w:r>
                        <w:rPr>
                          <w:rFonts w:ascii="Times New Roman" w:hAnsi="Times New Roman" w:eastAsia="Times New Roman" w:cs="Times New Roman"/>
                          <w:color w:val="000000"/>
                          <w:spacing w:val="0"/>
                          <w:w w:val="100"/>
                          <w:position w:val="0"/>
                          <w:lang w:val="zh-TW" w:eastAsia="zh-TW" w:bidi="zh-TW"/>
                        </w:rPr>
                        <w:t>086</w:t>
                      </w:r>
                      <w:bookmarkEnd w:id="585"/>
                      <w:bookmarkEnd w:id="586"/>
                      <w:bookmarkEnd w:id="587"/>
                    </w:p>
                  </w:txbxContent>
                </v:textbox>
                <w10:wrap type="topAndBottom"/>
              </v:shape>
            </w:pict>
          </mc:Fallback>
        </mc:AlternateContent>
      </w:r>
      <w:r>
        <mc:AlternateContent>
          <mc:Choice Requires="wps">
            <w:drawing>
              <wp:anchor distT="82550" distB="0" distL="0" distR="0" simplePos="0" relativeHeight="251660288" behindDoc="0" locked="0" layoutInCell="1" allowOverlap="1">
                <wp:simplePos x="0" y="0"/>
                <wp:positionH relativeFrom="page">
                  <wp:posOffset>1336040</wp:posOffset>
                </wp:positionH>
                <wp:positionV relativeFrom="paragraph">
                  <wp:posOffset>82550</wp:posOffset>
                </wp:positionV>
                <wp:extent cx="1423670" cy="242570"/>
                <wp:effectExtent l="0" t="0" r="0" b="0"/>
                <wp:wrapTopAndBottom/>
                <wp:docPr id="1171" name="Shape 1171"/>
                <wp:cNvGraphicFramePr/>
                <a:graphic xmlns:a="http://schemas.openxmlformats.org/drawingml/2006/main">
                  <a:graphicData uri="http://schemas.microsoft.com/office/word/2010/wordprocessingShape">
                    <wps:wsp>
                      <wps:cNvSpPr txBox="1"/>
                      <wps:spPr>
                        <a:xfrm>
                          <a:off x="0" y="0"/>
                          <a:ext cx="1423670" cy="242570"/>
                        </a:xfrm>
                        <a:prstGeom prst="rect">
                          <a:avLst/>
                        </a:prstGeom>
                        <a:noFill/>
                      </wps:spPr>
                      <wps:txbx>
                        <w:txbxContent>
                          <w:p w14:paraId="07572E46">
                            <w:pPr>
                              <w:pStyle w:val="15"/>
                              <w:keepNext/>
                              <w:keepLines/>
                              <w:widowControl w:val="0"/>
                              <w:shd w:val="clear" w:color="auto" w:fill="auto"/>
                              <w:bidi w:val="0"/>
                              <w:spacing w:before="0" w:after="0" w:line="240" w:lineRule="auto"/>
                              <w:ind w:left="0" w:right="0" w:firstLine="0"/>
                              <w:jc w:val="left"/>
                            </w:pPr>
                            <w:bookmarkStart w:id="588" w:name="bookmark536"/>
                            <w:bookmarkStart w:id="589" w:name="bookmark535"/>
                            <w:bookmarkStart w:id="590" w:name="bookmark537"/>
                            <w:r>
                              <w:rPr>
                                <w:color w:val="000000"/>
                                <w:spacing w:val="0"/>
                                <w:w w:val="100"/>
                                <w:position w:val="0"/>
                              </w:rPr>
                              <w:t>合伙关系的认定</w:t>
                            </w:r>
                            <w:bookmarkEnd w:id="588"/>
                            <w:bookmarkEnd w:id="589"/>
                            <w:bookmarkEnd w:id="590"/>
                          </w:p>
                        </w:txbxContent>
                      </wps:txbx>
                      <wps:bodyPr wrap="none" lIns="0" tIns="0" rIns="0" bIns="0">
                        <a:noAutofit/>
                      </wps:bodyPr>
                    </wps:wsp>
                  </a:graphicData>
                </a:graphic>
              </wp:anchor>
            </w:drawing>
          </mc:Choice>
          <mc:Fallback>
            <w:pict>
              <v:shape id="Shape 1171" o:spid="_x0000_s1026" o:spt="202" type="#_x0000_t202" style="position:absolute;left:0pt;margin-left:105.2pt;margin-top:6.5pt;height:19.1pt;width:112.1pt;mso-position-horizontal-relative:page;mso-wrap-distance-bottom:0pt;mso-wrap-distance-top:6.5pt;mso-wrap-style:none;z-index:251660288;mso-width-relative:page;mso-height-relative:page;" filled="f" stroked="f" coordsize="21600,21600" o:gfxdata="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a1TcHWAAAA&#10;CQEAAA8AAAAAAAAAAQAgAAAAIgAAAGRycy9kb3ducmV2LnhtbFBLAQIUABQAAAAIAIdO4kCcy1tN&#10;rQEAAHYDAAAOAAAAAAAAAAEAIAAAACUBAABkcnMvZTJvRG9jLnhtbFBLBQYAAAAABgAGAFkBAABE&#10;BQAAAAA=&#10;">
                <v:fill on="f" focussize="0,0"/>
                <v:stroke on="f"/>
                <v:imagedata o:title=""/>
                <o:lock v:ext="edit" aspectratio="f"/>
                <v:textbox inset="0mm,0mm,0mm,0mm">
                  <w:txbxContent>
                    <w:p w14:paraId="07572E46">
                      <w:pPr>
                        <w:pStyle w:val="15"/>
                        <w:keepNext/>
                        <w:keepLines/>
                        <w:widowControl w:val="0"/>
                        <w:shd w:val="clear" w:color="auto" w:fill="auto"/>
                        <w:bidi w:val="0"/>
                        <w:spacing w:before="0" w:after="0" w:line="240" w:lineRule="auto"/>
                        <w:ind w:left="0" w:right="0" w:firstLine="0"/>
                        <w:jc w:val="left"/>
                      </w:pPr>
                      <w:bookmarkStart w:id="588" w:name="bookmark536"/>
                      <w:bookmarkStart w:id="589" w:name="bookmark535"/>
                      <w:bookmarkStart w:id="590" w:name="bookmark537"/>
                      <w:r>
                        <w:rPr>
                          <w:color w:val="000000"/>
                          <w:spacing w:val="0"/>
                          <w:w w:val="100"/>
                          <w:position w:val="0"/>
                        </w:rPr>
                        <w:t>合伙关系的认定</w:t>
                      </w:r>
                      <w:bookmarkEnd w:id="588"/>
                      <w:bookmarkEnd w:id="589"/>
                      <w:bookmarkEnd w:id="590"/>
                    </w:p>
                  </w:txbxContent>
                </v:textbox>
                <w10:wrap type="topAndBottom"/>
              </v:shape>
            </w:pict>
          </mc:Fallback>
        </mc:AlternateContent>
      </w:r>
    </w:p>
    <w:p w14:paraId="054C5B35">
      <w:pPr>
        <w:pStyle w:val="17"/>
        <w:keepNext w:val="0"/>
        <w:keepLines w:val="0"/>
        <w:widowControl w:val="0"/>
        <w:shd w:val="clear" w:color="auto" w:fill="auto"/>
        <w:bidi w:val="0"/>
        <w:spacing w:before="0" w:after="400" w:line="352" w:lineRule="exact"/>
        <w:ind w:left="1020" w:right="0" w:firstLine="0"/>
        <w:jc w:val="both"/>
      </w:pPr>
      <w:r>
        <w:rPr>
          <w:color w:val="000000"/>
          <w:spacing w:val="0"/>
          <w:w w:val="100"/>
          <w:position w:val="0"/>
        </w:rPr>
        <w:t>刘永林、内蒙古金泽煤业有限责任公司与吕文斌、大连金泽矿业有 限公司合伙协议纠纷案丨最高人民法院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民提字第</w:t>
      </w:r>
      <w:r>
        <w:rPr>
          <w:rFonts w:ascii="Times New Roman" w:hAnsi="Times New Roman" w:eastAsia="Times New Roman" w:cs="Times New Roman"/>
          <w:color w:val="000000"/>
          <w:spacing w:val="0"/>
          <w:w w:val="100"/>
          <w:position w:val="0"/>
          <w:sz w:val="19"/>
          <w:szCs w:val="19"/>
        </w:rPr>
        <w:t>69</w:t>
      </w:r>
      <w:r>
        <w:rPr>
          <w:color w:val="000000"/>
          <w:spacing w:val="0"/>
          <w:w w:val="100"/>
          <w:position w:val="0"/>
        </w:rPr>
        <w:t>号民 事判决书</w:t>
      </w:r>
    </w:p>
    <w:p w14:paraId="3BAF2111">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rPr>
        <w:t>严城浙江财经大学法学院</w:t>
      </w:r>
    </w:p>
    <w:p w14:paraId="586074E2">
      <w:pPr>
        <w:pStyle w:val="11"/>
        <w:keepNext w:val="0"/>
        <w:keepLines w:val="0"/>
        <w:widowControl w:val="0"/>
        <w:shd w:val="clear" w:color="auto" w:fill="auto"/>
        <w:bidi w:val="0"/>
        <w:spacing w:before="0" w:after="80" w:line="346"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1E679A8E">
      <w:pPr>
        <w:pStyle w:val="17"/>
        <w:keepNext w:val="0"/>
        <w:keepLines w:val="0"/>
        <w:widowControl w:val="0"/>
        <w:shd w:val="clear" w:color="auto" w:fill="auto"/>
        <w:bidi w:val="0"/>
        <w:spacing w:before="0" w:after="0" w:line="346" w:lineRule="exact"/>
        <w:ind w:left="0" w:right="0" w:firstLine="420"/>
        <w:jc w:val="both"/>
      </w:pP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日，刘永林与广利公司签订协议书,约定以</w:t>
      </w:r>
      <w:r>
        <w:rPr>
          <w:rFonts w:ascii="Times New Roman" w:hAnsi="Times New Roman" w:eastAsia="Times New Roman" w:cs="Times New Roman"/>
          <w:color w:val="000000"/>
          <w:spacing w:val="0"/>
          <w:w w:val="100"/>
          <w:position w:val="0"/>
          <w:sz w:val="19"/>
          <w:szCs w:val="19"/>
        </w:rPr>
        <w:t>1640</w:t>
      </w:r>
      <w:r>
        <w:rPr>
          <w:color w:val="000000"/>
          <w:spacing w:val="0"/>
          <w:w w:val="100"/>
          <w:position w:val="0"/>
        </w:rPr>
        <w:t>万元购买广利公司的某 煤矿。因刘永林无力支付全部款项，遂与吕文斌约定共同投资购矿,但未签订书面协议。截 至</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日双方共向广利公司支付</w:t>
      </w:r>
      <w:r>
        <w:rPr>
          <w:rFonts w:ascii="Times New Roman" w:hAnsi="Times New Roman" w:eastAsia="Times New Roman" w:cs="Times New Roman"/>
          <w:color w:val="000000"/>
          <w:spacing w:val="0"/>
          <w:w w:val="100"/>
          <w:position w:val="0"/>
          <w:sz w:val="19"/>
          <w:szCs w:val="19"/>
        </w:rPr>
        <w:t>940</w:t>
      </w:r>
      <w:r>
        <w:rPr>
          <w:color w:val="000000"/>
          <w:spacing w:val="0"/>
          <w:w w:val="100"/>
          <w:position w:val="0"/>
        </w:rPr>
        <w:t>万元，其中刘永林支付</w:t>
      </w:r>
      <w:r>
        <w:rPr>
          <w:rFonts w:ascii="Times New Roman" w:hAnsi="Times New Roman" w:eastAsia="Times New Roman" w:cs="Times New Roman"/>
          <w:color w:val="000000"/>
          <w:spacing w:val="0"/>
          <w:w w:val="100"/>
          <w:position w:val="0"/>
          <w:sz w:val="19"/>
          <w:szCs w:val="19"/>
        </w:rPr>
        <w:t>400</w:t>
      </w:r>
      <w:r>
        <w:rPr>
          <w:color w:val="000000"/>
          <w:spacing w:val="0"/>
          <w:w w:val="100"/>
          <w:position w:val="0"/>
        </w:rPr>
        <w:t>万元，吕文斌 支付</w:t>
      </w:r>
      <w:r>
        <w:rPr>
          <w:rFonts w:ascii="Times New Roman" w:hAnsi="Times New Roman" w:eastAsia="Times New Roman" w:cs="Times New Roman"/>
          <w:color w:val="000000"/>
          <w:spacing w:val="0"/>
          <w:w w:val="100"/>
          <w:position w:val="0"/>
          <w:sz w:val="19"/>
          <w:szCs w:val="19"/>
        </w:rPr>
        <w:t>540</w:t>
      </w:r>
      <w:r>
        <w:rPr>
          <w:color w:val="000000"/>
          <w:spacing w:val="0"/>
          <w:w w:val="100"/>
          <w:position w:val="0"/>
        </w:rPr>
        <w:t>万元。后因双方就投资份额产生争议，吕文斌向鄂尔多斯中院起诉请求确认其占 有煤矿</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的份额。吕文斌在诉讼中称双方曾口头约定吕文斌占煤矿</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 xml:space="preserve">份额，刘永林占 </w:t>
      </w:r>
      <w:r>
        <w:rPr>
          <w:rFonts w:ascii="Times New Roman" w:hAnsi="Times New Roman" w:eastAsia="Times New Roman" w:cs="Times New Roman"/>
          <w:color w:val="000000"/>
          <w:spacing w:val="0"/>
          <w:w w:val="100"/>
          <w:position w:val="0"/>
          <w:sz w:val="19"/>
          <w:szCs w:val="19"/>
        </w:rPr>
        <w:t>51%</w:t>
      </w:r>
      <w:r>
        <w:rPr>
          <w:color w:val="000000"/>
          <w:spacing w:val="0"/>
          <w:w w:val="100"/>
          <w:position w:val="0"/>
        </w:rPr>
        <w:t>份额，刘永林否认该口头约定。诉讼中双方均未举证证明剩余</w:t>
      </w:r>
      <w:r>
        <w:rPr>
          <w:rFonts w:ascii="Times New Roman" w:hAnsi="Times New Roman" w:eastAsia="Times New Roman" w:cs="Times New Roman"/>
          <w:color w:val="000000"/>
          <w:spacing w:val="0"/>
          <w:w w:val="100"/>
          <w:position w:val="0"/>
          <w:sz w:val="19"/>
          <w:szCs w:val="19"/>
        </w:rPr>
        <w:t>700</w:t>
      </w:r>
      <w:r>
        <w:rPr>
          <w:color w:val="000000"/>
          <w:spacing w:val="0"/>
          <w:w w:val="100"/>
          <w:position w:val="0"/>
        </w:rPr>
        <w:t>万元由谁支付。一 审法院支持吕文斌的诉讼请求。</w:t>
      </w:r>
    </w:p>
    <w:p w14:paraId="1B0DC5AA">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刘永林向内蒙古自治区高级人民法院（以下简称内蒙古高院）提出上诉。内蒙古自治 区高级人民法院认为吕文斌出资的</w:t>
      </w:r>
      <w:r>
        <w:rPr>
          <w:rFonts w:ascii="Times New Roman" w:hAnsi="Times New Roman" w:eastAsia="Times New Roman" w:cs="Times New Roman"/>
          <w:color w:val="000000"/>
          <w:spacing w:val="0"/>
          <w:w w:val="100"/>
          <w:position w:val="0"/>
          <w:sz w:val="19"/>
          <w:szCs w:val="19"/>
        </w:rPr>
        <w:t>540</w:t>
      </w:r>
      <w:r>
        <w:rPr>
          <w:color w:val="000000"/>
          <w:spacing w:val="0"/>
          <w:w w:val="100"/>
          <w:position w:val="0"/>
        </w:rPr>
        <w:t>万元占全部矿款额</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1640</w:t>
      </w:r>
      <w:r>
        <w:rPr>
          <w:color w:val="000000"/>
          <w:spacing w:val="0"/>
          <w:w w:val="100"/>
          <w:position w:val="0"/>
        </w:rPr>
        <w:t>万元）的</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判决确认吕 文斌所占份额为</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。吕文斌向最高人民法院申请再审，最高人民法院指令内蒙古高院再 审。内蒙古高院发回鄂尔多斯中院重审。鄂尔多斯中院重审时依然支持了吕文斌的诉讼 请求。刘永林向内蒙古高院提起上诉,内蒙古高院维持了鄂尔多斯中院的判决。</w:t>
      </w:r>
    </w:p>
    <w:p w14:paraId="2083153A">
      <w:pPr>
        <w:pStyle w:val="17"/>
        <w:keepNext w:val="0"/>
        <w:keepLines w:val="0"/>
        <w:widowControl w:val="0"/>
        <w:shd w:val="clear" w:color="auto" w:fill="auto"/>
        <w:bidi w:val="0"/>
        <w:spacing w:before="0" w:after="340" w:line="353" w:lineRule="exact"/>
        <w:ind w:left="0" w:right="0" w:firstLine="420"/>
        <w:jc w:val="both"/>
      </w:pPr>
      <w:r>
        <w:rPr>
          <w:color w:val="000000"/>
          <w:spacing w:val="0"/>
          <w:w w:val="100"/>
          <w:position w:val="0"/>
        </w:rPr>
        <w:t>刘永林向最高人民法申请再审，最高人民法院认为，根据现有证据可以证明剩余</w:t>
      </w:r>
      <w:r>
        <w:rPr>
          <w:rFonts w:ascii="Times New Roman" w:hAnsi="Times New Roman" w:eastAsia="Times New Roman" w:cs="Times New Roman"/>
          <w:color w:val="000000"/>
          <w:spacing w:val="0"/>
          <w:w w:val="100"/>
          <w:position w:val="0"/>
          <w:sz w:val="19"/>
          <w:szCs w:val="19"/>
        </w:rPr>
        <w:t>700</w:t>
      </w:r>
      <w:r>
        <w:rPr>
          <w:color w:val="000000"/>
          <w:spacing w:val="0"/>
          <w:w w:val="100"/>
          <w:position w:val="0"/>
        </w:rPr>
        <w:t>万 元购矿款由案涉煤矿支付,故刘永林与吕文斌的共同出资额为</w:t>
      </w:r>
      <w:r>
        <w:rPr>
          <w:rFonts w:ascii="Times New Roman" w:hAnsi="Times New Roman" w:eastAsia="Times New Roman" w:cs="Times New Roman"/>
          <w:color w:val="000000"/>
          <w:spacing w:val="0"/>
          <w:w w:val="100"/>
          <w:position w:val="0"/>
          <w:sz w:val="19"/>
          <w:szCs w:val="19"/>
        </w:rPr>
        <w:t>940</w:t>
      </w:r>
      <w:r>
        <w:rPr>
          <w:color w:val="000000"/>
          <w:spacing w:val="0"/>
          <w:w w:val="100"/>
          <w:position w:val="0"/>
        </w:rPr>
        <w:t>万元（其中吕文斌出资 为</w:t>
      </w:r>
      <w:r>
        <w:rPr>
          <w:rFonts w:ascii="Times New Roman" w:hAnsi="Times New Roman" w:eastAsia="Times New Roman" w:cs="Times New Roman"/>
          <w:color w:val="000000"/>
          <w:spacing w:val="0"/>
          <w:w w:val="100"/>
          <w:position w:val="0"/>
          <w:sz w:val="19"/>
          <w:szCs w:val="19"/>
        </w:rPr>
        <w:t>540</w:t>
      </w:r>
      <w:r>
        <w:rPr>
          <w:color w:val="000000"/>
          <w:spacing w:val="0"/>
          <w:w w:val="100"/>
          <w:position w:val="0"/>
        </w:rPr>
        <w:t>万元）。鉴于吕文斌的实际出资比例高于其坚持主张的</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份额，故判决支持吕文 斌的诉讼请求。</w:t>
      </w:r>
    </w:p>
    <w:p w14:paraId="38A80B17">
      <w:pPr>
        <w:pStyle w:val="11"/>
        <w:keepNext w:val="0"/>
        <w:keepLines w:val="0"/>
        <w:widowControl w:val="0"/>
        <w:shd w:val="clear" w:color="auto" w:fill="auto"/>
        <w:bidi w:val="0"/>
        <w:spacing w:before="0" w:after="220" w:line="346"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75761FED">
      <w:pPr>
        <w:pStyle w:val="17"/>
        <w:keepNext w:val="0"/>
        <w:keepLines w:val="0"/>
        <w:widowControl w:val="0"/>
        <w:shd w:val="clear" w:color="auto" w:fill="auto"/>
        <w:bidi w:val="0"/>
        <w:spacing w:before="0" w:after="0" w:line="240" w:lineRule="auto"/>
        <w:ind w:left="0" w:right="0"/>
        <w:jc w:val="both"/>
      </w:pPr>
      <w:r>
        <w:rPr>
          <w:color w:val="000000"/>
          <w:spacing w:val="0"/>
          <w:w w:val="100"/>
          <w:position w:val="0"/>
        </w:rPr>
        <w:t>维持原审判决。</w:t>
      </w:r>
    </w:p>
    <w:p w14:paraId="5B387A00">
      <w:pPr>
        <w:pStyle w:val="17"/>
        <w:keepNext w:val="0"/>
        <w:keepLines w:val="0"/>
        <w:widowControl w:val="0"/>
        <w:shd w:val="clear" w:color="auto" w:fill="auto"/>
        <w:bidi w:val="0"/>
        <w:spacing w:before="0" w:after="340" w:line="364" w:lineRule="exact"/>
        <w:ind w:left="0" w:right="0" w:firstLine="420"/>
        <w:jc w:val="both"/>
        <w:sectPr>
          <w:headerReference r:id="rId494" w:type="default"/>
          <w:headerReference r:id="rId495" w:type="even"/>
          <w:footnotePr>
            <w:numFmt w:val="chicago"/>
          </w:footnotePr>
          <w:pgSz w:w="10099" w:h="14782"/>
          <w:pgMar w:top="1310" w:right="1036" w:bottom="1097" w:left="1059" w:header="882" w:footer="669" w:gutter="0"/>
          <w:pgNumType w:start="441"/>
          <w:cols w:space="720" w:num="1"/>
          <w:rtlGutter w:val="0"/>
          <w:docGrid w:linePitch="360" w:charSpace="0"/>
        </w:sectPr>
      </w:pPr>
      <w:r>
        <w:rPr>
          <w:color w:val="000000"/>
          <w:spacing w:val="0"/>
          <w:w w:val="100"/>
          <w:position w:val="0"/>
        </w:rPr>
        <w:t>当事人双方虽然没有签订书面合伙协议，但双方存在共同投资的事实,并且又有两个 以上无利害关系人证明有口头合伙协议的，人民法院应当认定形成了合伙关系。而各自合 伙份额的确定，应以双方各自实际出资数额占双方共同出资总额的比例来计算。</w:t>
      </w:r>
    </w:p>
    <w:p w14:paraId="16CE0E45">
      <w:pPr>
        <w:pStyle w:val="11"/>
        <w:keepNext w:val="0"/>
        <w:keepLines w:val="0"/>
        <w:widowControl w:val="0"/>
        <w:shd w:val="clear" w:color="auto" w:fill="auto"/>
        <w:bidi w:val="0"/>
        <w:spacing w:before="0" w:after="120" w:line="346" w:lineRule="exact"/>
        <w:ind w:left="0" w:right="0" w:firstLine="0"/>
        <w:jc w:val="left"/>
      </w:pPr>
      <w:r>
        <w:rPr>
          <w:color w:val="000000"/>
          <w:spacing w:val="0"/>
          <w:w w:val="100"/>
          <w:position w:val="0"/>
        </w:rPr>
        <w:t>■评析</w:t>
      </w:r>
    </w:p>
    <w:p w14:paraId="09611AF9">
      <w:pPr>
        <w:pStyle w:val="17"/>
        <w:keepNext w:val="0"/>
        <w:keepLines w:val="0"/>
        <w:widowControl w:val="0"/>
        <w:shd w:val="clear" w:color="auto" w:fill="auto"/>
        <w:bidi w:val="0"/>
        <w:spacing w:before="0" w:after="120" w:line="346"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7776CD5B">
      <w:pPr>
        <w:pStyle w:val="17"/>
        <w:keepNext w:val="0"/>
        <w:keepLines w:val="0"/>
        <w:widowControl w:val="0"/>
        <w:shd w:val="clear" w:color="auto" w:fill="auto"/>
        <w:bidi w:val="0"/>
        <w:spacing w:before="0" w:after="180" w:line="345" w:lineRule="exact"/>
        <w:ind w:left="0" w:right="0" w:firstLine="420"/>
        <w:jc w:val="both"/>
      </w:pPr>
      <w:r>
        <w:rPr>
          <w:color w:val="000000"/>
          <w:spacing w:val="0"/>
          <w:w w:val="100"/>
          <w:position w:val="0"/>
        </w:rPr>
        <w:t>当事人之间未签订书面合伙协议，此时如何认定合伙关系的成立，最高人民法院以《关 于贯彻执行〈中华人民共和国民法通则〉若干问题的意见》（以下简称《民通意见》）第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 为依据，认为不仅要具备</w:t>
      </w:r>
      <w:r>
        <w:rPr>
          <w:color w:val="000000"/>
          <w:spacing w:val="0"/>
          <w:w w:val="100"/>
          <w:position w:val="0"/>
          <w:lang w:val="zh-CN" w:eastAsia="zh-CN" w:bidi="zh-CN"/>
        </w:rPr>
        <w:t>“合伙</w:t>
      </w:r>
      <w:r>
        <w:rPr>
          <w:color w:val="000000"/>
          <w:spacing w:val="0"/>
          <w:w w:val="100"/>
          <w:position w:val="0"/>
        </w:rPr>
        <w:t>的其他条件”，又要</w:t>
      </w:r>
      <w:r>
        <w:rPr>
          <w:color w:val="000000"/>
          <w:spacing w:val="0"/>
          <w:w w:val="100"/>
          <w:position w:val="0"/>
          <w:lang w:val="zh-CN" w:eastAsia="zh-CN" w:bidi="zh-CN"/>
        </w:rPr>
        <w:t>“有两</w:t>
      </w:r>
      <w:r>
        <w:rPr>
          <w:color w:val="000000"/>
          <w:spacing w:val="0"/>
          <w:w w:val="100"/>
          <w:position w:val="0"/>
        </w:rPr>
        <w:t>个以上无利害关系人证明有口头合 伙协议”。至于何为具备</w:t>
      </w:r>
      <w:r>
        <w:rPr>
          <w:color w:val="000000"/>
          <w:spacing w:val="0"/>
          <w:w w:val="100"/>
          <w:position w:val="0"/>
          <w:lang w:val="zh-CN" w:eastAsia="zh-CN" w:bidi="zh-CN"/>
        </w:rPr>
        <w:t>“合</w:t>
      </w:r>
      <w:r>
        <w:rPr>
          <w:color w:val="000000"/>
          <w:spacing w:val="0"/>
          <w:w w:val="100"/>
          <w:position w:val="0"/>
        </w:rPr>
        <w:t>伙的其他要件</w:t>
      </w:r>
      <w:r>
        <w:rPr>
          <w:color w:val="000000"/>
          <w:spacing w:val="0"/>
          <w:w w:val="100"/>
          <w:position w:val="0"/>
          <w:lang w:val="zh-CN" w:eastAsia="zh-CN" w:bidi="zh-CN"/>
        </w:rPr>
        <w:t>”，或</w:t>
      </w:r>
      <w:r>
        <w:rPr>
          <w:color w:val="000000"/>
          <w:spacing w:val="0"/>
          <w:w w:val="100"/>
          <w:position w:val="0"/>
        </w:rPr>
        <w:t>者说须具备合伙的哪些实质要件，最高人民 法院认为具备当事人共同出资的事实足矣。最高人民法院的此项立场，对各级法院在处理 同类问题时具有一定的审判指导意义。</w:t>
      </w:r>
    </w:p>
    <w:p w14:paraId="5CAF8ED9">
      <w:pPr>
        <w:pStyle w:val="17"/>
        <w:keepNext w:val="0"/>
        <w:keepLines w:val="0"/>
        <w:widowControl w:val="0"/>
        <w:shd w:val="clear" w:color="auto" w:fill="auto"/>
        <w:bidi w:val="0"/>
        <w:spacing w:before="0" w:after="120" w:line="346"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合伙关系认定的规范及学理</w:t>
      </w:r>
    </w:p>
    <w:p w14:paraId="3A88EF6D">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原《民法通则》第</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条将</w:t>
      </w:r>
      <w:r>
        <w:rPr>
          <w:color w:val="000000"/>
          <w:spacing w:val="0"/>
          <w:w w:val="100"/>
          <w:position w:val="0"/>
          <w:lang w:val="zh-CN" w:eastAsia="zh-CN" w:bidi="zh-CN"/>
        </w:rPr>
        <w:t>“个</w:t>
      </w:r>
      <w:r>
        <w:rPr>
          <w:color w:val="000000"/>
          <w:spacing w:val="0"/>
          <w:w w:val="100"/>
          <w:position w:val="0"/>
        </w:rPr>
        <w:t>人合伙</w:t>
      </w:r>
      <w:r>
        <w:rPr>
          <w:color w:val="000000"/>
          <w:spacing w:val="0"/>
          <w:w w:val="100"/>
          <w:position w:val="0"/>
          <w:lang w:val="zh-CN" w:eastAsia="zh-CN" w:bidi="zh-CN"/>
        </w:rPr>
        <w:t>”定义</w:t>
      </w:r>
      <w:r>
        <w:rPr>
          <w:color w:val="000000"/>
          <w:spacing w:val="0"/>
          <w:w w:val="100"/>
          <w:position w:val="0"/>
        </w:rPr>
        <w:t>为“两个以上公民按照协议，各自提供资金、 实物、技术等，合伙经营、共同劳动”。据此，个人合伙是以两个或两个以上自然人之间的协 议为基础，以共同出资、经营为主要内容的一种人的集合和财产的集合。该条指出合伙的 三项构成要件:合伙协议、共同出资和共同经营。其成为判断合伙关系成立与否的重要依 据。</w:t>
      </w:r>
    </w:p>
    <w:p w14:paraId="40FA8E29">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因民事合伙协议并无书面形式的强制性要求，实践中多以当事人之间未签订书面合伙 协议为典型。一旦产生合伙纠纷,法院依据何种标准查明合伙关系成立与否便成为问题。 基于此，最高人民法院《民通意见》第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条就此予以专门规范。其中第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rPr>
        <w:t>条规定 了合伙人的界定标准主要有三点:合伙协议、共同出资、参与盈余分配。第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条规定了未签 订合伙协议情形下的合伙关系认定标准，即“具备合伙的其他条件，又有两个以上无利害关 系人证明有口头合伙协议的</w:t>
      </w:r>
      <w:r>
        <w:rPr>
          <w:color w:val="000000"/>
          <w:spacing w:val="0"/>
          <w:w w:val="100"/>
          <w:position w:val="0"/>
          <w:lang w:val="zh-CN" w:eastAsia="zh-CN" w:bidi="zh-CN"/>
        </w:rPr>
        <w:t>”，便</w:t>
      </w:r>
      <w:r>
        <w:rPr>
          <w:color w:val="000000"/>
          <w:spacing w:val="0"/>
          <w:w w:val="100"/>
          <w:position w:val="0"/>
        </w:rPr>
        <w:t>可推定当事人之间具有合伙关系。所谓“合伙的其他条 件</w:t>
      </w:r>
      <w:r>
        <w:rPr>
          <w:color w:val="000000"/>
          <w:spacing w:val="0"/>
          <w:w w:val="100"/>
          <w:position w:val="0"/>
          <w:lang w:val="zh-CN" w:eastAsia="zh-CN" w:bidi="zh-CN"/>
        </w:rPr>
        <w:t>”，是</w:t>
      </w:r>
      <w:r>
        <w:rPr>
          <w:color w:val="000000"/>
          <w:spacing w:val="0"/>
          <w:w w:val="100"/>
          <w:position w:val="0"/>
        </w:rPr>
        <w:t>指第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rPr>
        <w:t>条所列的三项标准。据此，最高人民法院改变了原《民法通则》的立场，强调 了参与盈余分配在认定合伙上的重要性。</w:t>
      </w:r>
    </w:p>
    <w:p w14:paraId="74B51E95">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967</w:t>
      </w:r>
      <w:r>
        <w:rPr>
          <w:color w:val="000000"/>
          <w:spacing w:val="0"/>
          <w:w w:val="100"/>
          <w:position w:val="0"/>
        </w:rPr>
        <w:t>条将合伙合同定义为</w:t>
      </w:r>
      <w:r>
        <w:rPr>
          <w:color w:val="000000"/>
          <w:spacing w:val="0"/>
          <w:w w:val="100"/>
          <w:position w:val="0"/>
          <w:lang w:val="zh-CN" w:eastAsia="zh-CN" w:bidi="zh-CN"/>
        </w:rPr>
        <w:t>“两个</w:t>
      </w:r>
      <w:r>
        <w:rPr>
          <w:color w:val="000000"/>
          <w:spacing w:val="0"/>
          <w:w w:val="100"/>
          <w:position w:val="0"/>
        </w:rPr>
        <w:t>以上合伙人为了共同的事业目的,订立的 共享利益、共担风险的协议”。该定义所揭示的合伙关系的成立要件与此前差别较大，具体 有三项:合伙协议、共同（的事业）目的、利益共享和风险共担。紧随其后规定合伙人出资义 务,但未将其视为合伙的必要特征。不过对于参与市场交易的外部合伙而言,通常要具备 一定的合伙财产，也即离不开合伙人的岀资义务。</w:t>
      </w:r>
    </w:p>
    <w:p w14:paraId="7F7FD75A">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对于未签订（书面）合伙协议时如何认定合伙关系的成立与否，学界鲜有针对性研究, 盖此问题极具实践弹性。例如，即使存在一方当事人的付款事实，但因双方并无明确的合 伙协议，就该付款行为的性质是出资关系、借贷关系还是垫付款关系并不明确。故学界的 任务主要在厘清判断合伙关系成立与否的实质要件。</w:t>
      </w:r>
    </w:p>
    <w:p w14:paraId="4631D8C6">
      <w:pPr>
        <w:pStyle w:val="25"/>
        <w:keepNext w:val="0"/>
        <w:keepLines w:val="0"/>
        <w:widowControl w:val="0"/>
        <w:shd w:val="clear" w:color="auto" w:fill="auto"/>
        <w:bidi w:val="0"/>
        <w:spacing w:before="0" w:after="0" w:line="325" w:lineRule="exact"/>
        <w:ind w:left="0" w:right="0" w:firstLine="420"/>
        <w:jc w:val="both"/>
        <w:sectPr>
          <w:headerReference r:id="rId496" w:type="default"/>
          <w:headerReference r:id="rId497" w:type="even"/>
          <w:footnotePr>
            <w:numFmt w:val="chicago"/>
          </w:footnotePr>
          <w:pgSz w:w="10099" w:h="14782"/>
          <w:pgMar w:top="1310" w:right="1036" w:bottom="1097" w:left="1059" w:header="0" w:footer="669" w:gutter="0"/>
          <w:pgNumType w:start="426"/>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具备哪些要件即可构成合伙关系，国内外学说并不一致。德国通说认为,合伙的构成 要件主要有三个:合伙协议、共同目的和促成（共同目的的）义务</w:t>
      </w:r>
      <w:r>
        <w:rPr>
          <w:rFonts w:ascii="Times New Roman" w:hAnsi="Times New Roman" w:eastAsia="Times New Roman" w:cs="Times New Roman"/>
          <w:color w:val="000000"/>
          <w:spacing w:val="0"/>
          <w:w w:val="100"/>
          <w:position w:val="0"/>
          <w:lang w:val="en-US" w:eastAsia="en-US" w:bidi="en-US"/>
        </w:rPr>
        <w:t>（Palandt, Biirgerliches Gesetz- buch, 27. Aufl. C. H. Beck 2017, Sprau §705, Rn. 1</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Ulmer/Schafer, MiiKoBGB, 6. Auflage, 2013, </w:t>
      </w:r>
    </w:p>
    <w:p w14:paraId="7009E9EE">
      <w:pPr>
        <w:pStyle w:val="25"/>
        <w:keepNext w:val="0"/>
        <w:keepLines w:val="0"/>
        <w:widowControl w:val="0"/>
        <w:shd w:val="clear" w:color="auto" w:fill="auto"/>
        <w:bidi w:val="0"/>
        <w:spacing w:before="0" w:after="0" w:line="325" w:lineRule="exact"/>
        <w:ind w:left="0" w:right="0" w:firstLine="0"/>
        <w:jc w:val="both"/>
        <w:rPr>
          <w:sz w:val="18"/>
          <w:szCs w:val="18"/>
        </w:rPr>
      </w:pPr>
      <w:r>
        <w:rPr>
          <w:rStyle w:val="16"/>
          <w:rFonts w:ascii="Times New Roman" w:hAnsi="Times New Roman" w:eastAsia="Times New Roman" w:cs="Times New Roman"/>
          <w:b w:val="0"/>
          <w:bCs w:val="0"/>
          <w:i w:val="0"/>
          <w:iCs w:val="0"/>
          <w:smallCaps w:val="0"/>
          <w:strike w:val="0"/>
          <w:sz w:val="17"/>
          <w:szCs w:val="17"/>
        </w:rPr>
        <w:t xml:space="preserve">§705 , </w:t>
      </w:r>
      <w:r>
        <w:rPr>
          <w:rStyle w:val="16"/>
          <w:rFonts w:ascii="Times New Roman" w:hAnsi="Times New Roman" w:eastAsia="Times New Roman" w:cs="Times New Roman"/>
          <w:b w:val="0"/>
          <w:bCs w:val="0"/>
          <w:i w:val="0"/>
          <w:iCs w:val="0"/>
          <w:smallCaps w:val="0"/>
          <w:strike w:val="0"/>
          <w:sz w:val="17"/>
          <w:szCs w:val="17"/>
          <w:lang w:val="en-US" w:eastAsia="en-US" w:bidi="en-US"/>
        </w:rPr>
        <w:t>Rn. 128ff</w:t>
      </w:r>
      <w:r>
        <w:rPr>
          <w:rStyle w:val="16"/>
          <w:b w:val="0"/>
          <w:bCs w:val="0"/>
          <w:i w:val="0"/>
          <w:iCs w:val="0"/>
          <w:smallCaps w:val="0"/>
          <w:strike w:val="0"/>
          <w:sz w:val="17"/>
          <w:szCs w:val="17"/>
          <w:lang w:val="en-US" w:eastAsia="en-US" w:bidi="en-US"/>
        </w:rPr>
        <w:t>；</w:t>
      </w:r>
      <w:r>
        <w:rPr>
          <w:rStyle w:val="16"/>
          <w:rFonts w:ascii="Times New Roman" w:hAnsi="Times New Roman" w:eastAsia="Times New Roman" w:cs="Times New Roman"/>
          <w:b w:val="0"/>
          <w:bCs w:val="0"/>
          <w:i w:val="0"/>
          <w:iCs w:val="0"/>
          <w:smallCaps w:val="0"/>
          <w:strike w:val="0"/>
          <w:sz w:val="17"/>
          <w:szCs w:val="17"/>
          <w:lang w:val="en-US" w:eastAsia="en-US" w:bidi="en-US"/>
        </w:rPr>
        <w:t xml:space="preserve"> Stefan Habermeier, Staudinger, 2003, BGB § 705, Rn. 1） </w:t>
      </w:r>
      <w:r>
        <w:rPr>
          <w:rStyle w:val="16"/>
          <w:rFonts w:ascii="Times New Roman" w:hAnsi="Times New Roman" w:eastAsia="Times New Roman" w:cs="Times New Roman"/>
          <w:b w:val="0"/>
          <w:bCs w:val="0"/>
          <w:i w:val="0"/>
          <w:iCs w:val="0"/>
          <w:smallCaps w:val="0"/>
          <w:strike w:val="0"/>
          <w:sz w:val="17"/>
          <w:szCs w:val="17"/>
          <w:vertAlign w:val="subscript"/>
          <w:lang w:val="en-US" w:eastAsia="en-US" w:bidi="en-US"/>
        </w:rPr>
        <w:t>o</w:t>
      </w:r>
      <w:r>
        <w:rPr>
          <w:rStyle w:val="16"/>
          <w:rFonts w:ascii="Times New Roman" w:hAnsi="Times New Roman" w:eastAsia="Times New Roman" w:cs="Times New Roman"/>
          <w:b w:val="0"/>
          <w:bCs w:val="0"/>
          <w:i w:val="0"/>
          <w:iCs w:val="0"/>
          <w:smallCaps w:val="0"/>
          <w:strike w:val="0"/>
          <w:sz w:val="17"/>
          <w:szCs w:val="17"/>
          <w:lang w:val="en-US" w:eastAsia="en-US" w:bidi="en-US"/>
        </w:rPr>
        <w:t xml:space="preserve"> </w:t>
      </w:r>
      <w:r>
        <w:rPr>
          <w:rStyle w:val="16"/>
          <w:b w:val="0"/>
          <w:bCs w:val="0"/>
          <w:i w:val="0"/>
          <w:iCs w:val="0"/>
          <w:smallCaps w:val="0"/>
          <w:strike w:val="0"/>
        </w:rPr>
        <w:t>日本学者我妻荣教 授亦采相似观点，主张合伙的成立须具备合伙协议、共同目的和促成义务</w:t>
      </w:r>
      <w:r>
        <w:rPr>
          <w:rStyle w:val="16"/>
          <w:b w:val="0"/>
          <w:bCs w:val="0"/>
          <w:i w:val="0"/>
          <w:iCs w:val="0"/>
          <w:smallCaps w:val="0"/>
          <w:strike w:val="0"/>
          <w:sz w:val="11"/>
          <w:szCs w:val="11"/>
        </w:rPr>
        <w:t>（［日</w:t>
      </w:r>
      <w:r>
        <w:rPr>
          <w:rStyle w:val="16"/>
          <w:b w:val="0"/>
          <w:bCs w:val="0"/>
          <w:i w:val="0"/>
          <w:iCs w:val="0"/>
          <w:smallCaps w:val="0"/>
          <w:strike w:val="0"/>
          <w:sz w:val="11"/>
          <w:szCs w:val="11"/>
          <w:lang w:val="en-US" w:eastAsia="en-US" w:bidi="en-US"/>
        </w:rPr>
        <w:t>］</w:t>
      </w:r>
      <w:r>
        <w:rPr>
          <w:rStyle w:val="16"/>
          <w:b w:val="0"/>
          <w:bCs w:val="0"/>
          <w:i w:val="0"/>
          <w:iCs w:val="0"/>
          <w:smallCaps w:val="0"/>
          <w:strike w:val="0"/>
          <w:sz w:val="11"/>
          <w:szCs w:val="11"/>
        </w:rPr>
        <w:t>我妻荣:《我妻 荣民法讲义</w:t>
      </w:r>
      <w:r>
        <w:rPr>
          <w:rStyle w:val="16"/>
          <w:b w:val="0"/>
          <w:bCs w:val="0"/>
          <w:i w:val="0"/>
          <w:iCs w:val="0"/>
          <w:smallCaps w:val="0"/>
          <w:strike w:val="0"/>
          <w:sz w:val="11"/>
          <w:szCs w:val="11"/>
          <w:lang w:val="en-US" w:eastAsia="en-US" w:bidi="en-US"/>
        </w:rPr>
        <w:t>一</w:t>
      </w:r>
      <w:r>
        <w:rPr>
          <w:rStyle w:val="16"/>
          <w:b w:val="0"/>
          <w:bCs w:val="0"/>
          <w:i w:val="0"/>
          <w:iCs w:val="0"/>
          <w:smallCaps w:val="0"/>
          <w:strike w:val="0"/>
          <w:sz w:val="11"/>
          <w:szCs w:val="11"/>
        </w:rPr>
        <w:t>债法各论》（中卷二），周江洪译，中国法制出版社</w:t>
      </w:r>
      <w:r>
        <w:rPr>
          <w:rStyle w:val="16"/>
          <w:rFonts w:ascii="Times New Roman" w:hAnsi="Times New Roman" w:eastAsia="Times New Roman" w:cs="Times New Roman"/>
          <w:b w:val="0"/>
          <w:bCs w:val="0"/>
          <w:i w:val="0"/>
          <w:iCs w:val="0"/>
          <w:smallCaps w:val="0"/>
          <w:strike w:val="0"/>
          <w:sz w:val="17"/>
          <w:szCs w:val="17"/>
        </w:rPr>
        <w:t>2008</w:t>
      </w:r>
      <w:r>
        <w:rPr>
          <w:rStyle w:val="16"/>
          <w:b w:val="0"/>
          <w:bCs w:val="0"/>
          <w:i w:val="0"/>
          <w:iCs w:val="0"/>
          <w:smallCaps w:val="0"/>
          <w:strike w:val="0"/>
          <w:sz w:val="11"/>
          <w:szCs w:val="11"/>
        </w:rPr>
        <w:t>年版，第</w:t>
      </w:r>
      <w:r>
        <w:rPr>
          <w:rStyle w:val="16"/>
          <w:rFonts w:ascii="Times New Roman" w:hAnsi="Times New Roman" w:eastAsia="Times New Roman" w:cs="Times New Roman"/>
          <w:b w:val="0"/>
          <w:bCs w:val="0"/>
          <w:i w:val="0"/>
          <w:iCs w:val="0"/>
          <w:smallCaps w:val="0"/>
          <w:strike w:val="0"/>
          <w:sz w:val="17"/>
          <w:szCs w:val="17"/>
        </w:rPr>
        <w:t>238</w:t>
      </w:r>
      <w:r>
        <w:rPr>
          <w:rStyle w:val="16"/>
          <w:b w:val="0"/>
          <w:bCs w:val="0"/>
          <w:i w:val="0"/>
          <w:iCs w:val="0"/>
          <w:smallCaps w:val="0"/>
          <w:strike w:val="0"/>
          <w:sz w:val="11"/>
          <w:szCs w:val="11"/>
        </w:rPr>
        <w:t>页以下）。</w:t>
      </w:r>
      <w:r>
        <w:rPr>
          <w:rStyle w:val="16"/>
          <w:b w:val="0"/>
          <w:bCs w:val="0"/>
          <w:i w:val="0"/>
          <w:iCs w:val="0"/>
          <w:smallCaps w:val="0"/>
          <w:strike w:val="0"/>
        </w:rPr>
        <w:t>我国台 湾地区</w:t>
      </w:r>
      <w:r>
        <w:rPr>
          <w:rStyle w:val="16"/>
          <w:b w:val="0"/>
          <w:bCs w:val="0"/>
          <w:i w:val="0"/>
          <w:iCs w:val="0"/>
          <w:smallCaps w:val="0"/>
          <w:strike w:val="0"/>
          <w:lang w:val="zh-CN" w:eastAsia="zh-CN" w:bidi="zh-CN"/>
        </w:rPr>
        <w:t>“民法”从</w:t>
      </w:r>
      <w:r>
        <w:rPr>
          <w:rStyle w:val="16"/>
          <w:b w:val="0"/>
          <w:bCs w:val="0"/>
          <w:i w:val="0"/>
          <w:iCs w:val="0"/>
          <w:smallCaps w:val="0"/>
          <w:strike w:val="0"/>
        </w:rPr>
        <w:t>团体主义立场规范民事合伙制度概括出合伙的三项构成要件:合伙契约、 经营共同事业为目的、共同出资</w:t>
      </w:r>
      <w:r>
        <w:rPr>
          <w:rStyle w:val="16"/>
          <w:b w:val="0"/>
          <w:bCs w:val="0"/>
          <w:i w:val="0"/>
          <w:iCs w:val="0"/>
          <w:smallCaps w:val="0"/>
          <w:strike w:val="0"/>
          <w:sz w:val="11"/>
          <w:szCs w:val="11"/>
        </w:rPr>
        <w:t>（梅仲协:《民法要义》，中国政法大学出版社</w:t>
      </w:r>
      <w:r>
        <w:rPr>
          <w:rStyle w:val="16"/>
          <w:rFonts w:ascii="Times New Roman" w:hAnsi="Times New Roman" w:eastAsia="Times New Roman" w:cs="Times New Roman"/>
          <w:b w:val="0"/>
          <w:bCs w:val="0"/>
          <w:i w:val="0"/>
          <w:iCs w:val="0"/>
          <w:smallCaps w:val="0"/>
          <w:strike w:val="0"/>
          <w:sz w:val="17"/>
          <w:szCs w:val="17"/>
        </w:rPr>
        <w:t>1998</w:t>
      </w:r>
      <w:r>
        <w:rPr>
          <w:rStyle w:val="16"/>
          <w:b w:val="0"/>
          <w:bCs w:val="0"/>
          <w:i w:val="0"/>
          <w:iCs w:val="0"/>
          <w:smallCaps w:val="0"/>
          <w:strike w:val="0"/>
          <w:sz w:val="11"/>
          <w:szCs w:val="11"/>
        </w:rPr>
        <w:t>年版，第</w:t>
      </w:r>
      <w:r>
        <w:rPr>
          <w:rStyle w:val="16"/>
          <w:rFonts w:ascii="Times New Roman" w:hAnsi="Times New Roman" w:eastAsia="Times New Roman" w:cs="Times New Roman"/>
          <w:b w:val="0"/>
          <w:bCs w:val="0"/>
          <w:i w:val="0"/>
          <w:iCs w:val="0"/>
          <w:smallCaps w:val="0"/>
          <w:strike w:val="0"/>
          <w:sz w:val="17"/>
          <w:szCs w:val="17"/>
        </w:rPr>
        <w:t>463</w:t>
      </w:r>
      <w:r>
        <w:rPr>
          <w:rStyle w:val="16"/>
          <w:b w:val="0"/>
          <w:bCs w:val="0"/>
          <w:i w:val="0"/>
          <w:iCs w:val="0"/>
          <w:smallCaps w:val="0"/>
          <w:strike w:val="0"/>
          <w:sz w:val="11"/>
          <w:szCs w:val="11"/>
        </w:rPr>
        <w:t xml:space="preserve">页）。 </w:t>
      </w:r>
      <w:r>
        <w:rPr>
          <w:rStyle w:val="16"/>
          <w:b w:val="0"/>
          <w:bCs w:val="0"/>
          <w:i w:val="0"/>
          <w:iCs w:val="0"/>
          <w:smallCaps w:val="0"/>
          <w:strike w:val="0"/>
        </w:rPr>
        <w:t>可见，域外及我国台湾地区学界就合伙的成立要件基本存在共识，也即合伙协议、共同目 的、促成共同目的的义务。也有少数观点主张利益共享亦为其必要构成。</w:t>
      </w:r>
    </w:p>
    <w:p w14:paraId="1E599F04">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我国大陆地区学者对如何认定合伙关系观点分歧较大。有的从原《民法通则》第</w:t>
      </w:r>
      <w:r>
        <w:rPr>
          <w:rFonts w:ascii="Times New Roman" w:hAnsi="Times New Roman" w:eastAsia="Times New Roman" w:cs="Times New Roman"/>
          <w:color w:val="000000"/>
          <w:spacing w:val="0"/>
          <w:w w:val="100"/>
          <w:position w:val="0"/>
          <w:sz w:val="17"/>
          <w:szCs w:val="17"/>
        </w:rPr>
        <w:t>30</w:t>
      </w:r>
      <w:r>
        <w:rPr>
          <w:color w:val="000000"/>
          <w:spacing w:val="0"/>
          <w:w w:val="100"/>
          <w:position w:val="0"/>
        </w:rPr>
        <w:t>条 合伙定义出发，认为合伙的主要特征有四:合伙协议而设立的共同出资、共同经营、共享收 益、共担风险的组织</w:t>
      </w:r>
      <w:r>
        <w:rPr>
          <w:color w:val="000000"/>
          <w:spacing w:val="0"/>
          <w:w w:val="100"/>
          <w:position w:val="0"/>
          <w:sz w:val="11"/>
          <w:szCs w:val="11"/>
        </w:rPr>
        <w:t>（王利明：《论民法典对合伙协议与合伙组织体的规范》，载《甘肃社会科学》</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r>
        <w:rPr>
          <w:color w:val="000000"/>
          <w:spacing w:val="0"/>
          <w:w w:val="100"/>
          <w:position w:val="0"/>
        </w:rPr>
        <w:t>有的认为合伙的主要特征是:合伙合同、合伙的组织性、合伙财产和责任能力</w:t>
      </w:r>
      <w:r>
        <w:rPr>
          <w:color w:val="000000"/>
          <w:spacing w:val="0"/>
          <w:w w:val="100"/>
          <w:position w:val="0"/>
          <w:sz w:val="11"/>
          <w:szCs w:val="11"/>
        </w:rPr>
        <w:t>（朱 玮、何旺翔:《合伙民事主体资格再探究》，载《学海》</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，因此特别强调合伙的组织性和 责任能力;有的强调合伙合同和共同共有关系两项特征</w:t>
      </w:r>
      <w:r>
        <w:rPr>
          <w:color w:val="000000"/>
          <w:spacing w:val="0"/>
          <w:w w:val="100"/>
          <w:position w:val="0"/>
          <w:sz w:val="11"/>
          <w:szCs w:val="11"/>
        </w:rPr>
        <w:t>（李永军:《民事合伙的组织性质疑》，载 《法商研究》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r>
        <w:rPr>
          <w:color w:val="000000"/>
          <w:spacing w:val="0"/>
          <w:w w:val="100"/>
          <w:position w:val="0"/>
        </w:rPr>
        <w:t>将共同共有关系视为贯穿民事合伙的关键特征;有的认为民事合 伙的核心构成要件主要是合伙合同和共同目的</w:t>
      </w:r>
      <w:r>
        <w:rPr>
          <w:color w:val="000000"/>
          <w:spacing w:val="0"/>
          <w:w w:val="100"/>
          <w:position w:val="0"/>
          <w:sz w:val="11"/>
          <w:szCs w:val="11"/>
        </w:rPr>
        <w:t>［龙卫球:《民法总论》（第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 xml:space="preserve">版），中国法制出版社 </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415</w:t>
      </w:r>
      <w:r>
        <w:rPr>
          <w:color w:val="000000"/>
          <w:spacing w:val="0"/>
          <w:w w:val="100"/>
          <w:position w:val="0"/>
          <w:sz w:val="11"/>
          <w:szCs w:val="11"/>
        </w:rPr>
        <w:t>页］;</w:t>
      </w:r>
      <w:r>
        <w:rPr>
          <w:color w:val="000000"/>
          <w:spacing w:val="0"/>
          <w:w w:val="100"/>
          <w:position w:val="0"/>
        </w:rPr>
        <w:t>还有认为合伙应具备债务合同、共同目的、属人性三项要件</w:t>
      </w:r>
      <w:r>
        <w:rPr>
          <w:color w:val="000000"/>
          <w:spacing w:val="0"/>
          <w:w w:val="100"/>
          <w:position w:val="0"/>
          <w:sz w:val="11"/>
          <w:szCs w:val="11"/>
        </w:rPr>
        <w:t>［严城:《民法 典合同编（草案）合伙合同一章的成功与不足》，载《法治研究》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学说主张之所以分 歧较大，实乃未区分合伙的必要构成和非必要构成所致。笔者认为，合伙协议、共同目的、共 同出资、合伙的组织关系、共同经营、利益共享与风险共担等皆为构成合伙的要件,只不过 合伙协议、共同目的和促成共同目的义务这三项要件对于认定合伙关系不可或缺。合伙的 组织性并非合伙的必要构成，因为对于不参与市场交易的内部合伙而言，该组织关系只不 过是一种纯粹的债务合同关系。即使对于参与对外交往的外部合伙而言，共同目的为因， 基于该共同目的而形成的组织关系为果。同时，利益共享和损失共担亦非合伙的必要构 成。所有的合伙人并非就经济性目的上具有同样的利益追求，尚不足以否定合伙，盖合伙 人在追求共同的经济目的下的各自动机可能并不相同。而共同共有关系同样并非外部合 伙的成立要件，而是合伙成立后各合伙人为了推动共同事业目的的实现而产生的必然后 果。基于合伙协议或者合伙人决议而定的共同目的，以及各合伙人为实现共同目的所负的 促成义务才是合伙的核心构成，其他要件如出资义务等实为这两项要件的衍生后果。</w:t>
      </w:r>
    </w:p>
    <w:p w14:paraId="0A2E64FC">
      <w:pPr>
        <w:pStyle w:val="17"/>
        <w:keepNext w:val="0"/>
        <w:keepLines w:val="0"/>
        <w:widowControl w:val="0"/>
        <w:shd w:val="clear" w:color="auto" w:fill="auto"/>
        <w:bidi w:val="0"/>
        <w:spacing w:before="0" w:after="300" w:line="344" w:lineRule="exact"/>
        <w:ind w:left="0" w:right="0" w:firstLine="420"/>
        <w:jc w:val="both"/>
      </w:pPr>
      <w:r>
        <w:rPr>
          <w:color w:val="000000"/>
          <w:spacing w:val="0"/>
          <w:w w:val="100"/>
          <w:position w:val="0"/>
        </w:rPr>
        <w:t>另外，尽管有观点认为，参与者在事先缺乏合伙协议情况下满足合伙人的活动也可以 产生所谓</w:t>
      </w:r>
      <w:r>
        <w:rPr>
          <w:color w:val="000000"/>
          <w:spacing w:val="0"/>
          <w:w w:val="100"/>
          <w:position w:val="0"/>
          <w:lang w:val="zh-CN" w:eastAsia="zh-CN" w:bidi="zh-CN"/>
        </w:rPr>
        <w:t>“事实</w:t>
      </w:r>
      <w:r>
        <w:rPr>
          <w:color w:val="000000"/>
          <w:spacing w:val="0"/>
          <w:w w:val="100"/>
          <w:position w:val="0"/>
        </w:rPr>
        <w:t>上的合伙关系</w:t>
      </w:r>
      <w:r>
        <w:rPr>
          <w:rFonts w:ascii="Times New Roman" w:hAnsi="Times New Roman" w:eastAsia="Times New Roman" w:cs="Times New Roman"/>
          <w:color w:val="000000"/>
          <w:spacing w:val="0"/>
          <w:w w:val="100"/>
          <w:position w:val="0"/>
          <w:sz w:val="17"/>
          <w:szCs w:val="17"/>
          <w:lang w:val="en-US" w:eastAsia="en-US" w:bidi="en-US"/>
        </w:rPr>
        <w:t xml:space="preserve">"（Haupt,Gesellschaftsrecht, </w:t>
      </w:r>
      <w:r>
        <w:rPr>
          <w:rFonts w:ascii="Times New Roman" w:hAnsi="Times New Roman" w:eastAsia="Times New Roman" w:cs="Times New Roman"/>
          <w:color w:val="000000"/>
          <w:spacing w:val="0"/>
          <w:w w:val="100"/>
          <w:position w:val="0"/>
          <w:sz w:val="17"/>
          <w:szCs w:val="17"/>
        </w:rPr>
        <w:t xml:space="preserve">3 </w:t>
      </w:r>
      <w:r>
        <w:rPr>
          <w:rFonts w:ascii="Times New Roman" w:hAnsi="Times New Roman" w:eastAsia="Times New Roman" w:cs="Times New Roman"/>
          <w:color w:val="000000"/>
          <w:spacing w:val="0"/>
          <w:w w:val="100"/>
          <w:position w:val="0"/>
          <w:sz w:val="17"/>
          <w:szCs w:val="17"/>
          <w:lang w:val="en-US" w:eastAsia="en-US" w:bidi="en-US"/>
        </w:rPr>
        <w:t xml:space="preserve">Aulf. </w:t>
      </w:r>
      <w:r>
        <w:rPr>
          <w:rFonts w:ascii="Times New Roman" w:hAnsi="Times New Roman" w:eastAsia="Times New Roman" w:cs="Times New Roman"/>
          <w:color w:val="000000"/>
          <w:spacing w:val="0"/>
          <w:w w:val="100"/>
          <w:position w:val="0"/>
          <w:sz w:val="17"/>
          <w:szCs w:val="17"/>
        </w:rPr>
        <w:t xml:space="preserve">, 1944, </w:t>
      </w:r>
      <w:r>
        <w:rPr>
          <w:rFonts w:ascii="Times New Roman" w:hAnsi="Times New Roman" w:eastAsia="Times New Roman" w:cs="Times New Roman"/>
          <w:color w:val="000000"/>
          <w:spacing w:val="0"/>
          <w:w w:val="100"/>
          <w:position w:val="0"/>
          <w:sz w:val="17"/>
          <w:szCs w:val="17"/>
          <w:lang w:val="en-US" w:eastAsia="en-US" w:bidi="en-US"/>
        </w:rPr>
        <w:t>S. 6）</w:t>
      </w:r>
      <w:r>
        <w:rPr>
          <w:rFonts w:ascii="Times New Roman" w:hAnsi="Times New Roman" w:eastAsia="Times New Roman" w:cs="Times New Roman"/>
          <w:color w:val="000000"/>
          <w:spacing w:val="0"/>
          <w:w w:val="100"/>
          <w:position w:val="0"/>
          <w:sz w:val="17"/>
          <w:szCs w:val="17"/>
          <w:vertAlign w:val="subscript"/>
          <w:lang w:val="en-US" w:eastAsia="en-US" w:bidi="en-US"/>
        </w:rPr>
        <w:t>o</w:t>
      </w:r>
      <w:r>
        <w:rPr>
          <w:color w:val="000000"/>
          <w:spacing w:val="0"/>
          <w:w w:val="100"/>
          <w:position w:val="0"/>
        </w:rPr>
        <w:t>但这种观点值 得商榷。原《民通意见》第</w:t>
      </w:r>
      <w:r>
        <w:rPr>
          <w:rFonts w:ascii="Times New Roman" w:hAnsi="Times New Roman" w:eastAsia="Times New Roman" w:cs="Times New Roman"/>
          <w:color w:val="000000"/>
          <w:spacing w:val="0"/>
          <w:w w:val="100"/>
          <w:position w:val="0"/>
          <w:sz w:val="17"/>
          <w:szCs w:val="17"/>
        </w:rPr>
        <w:t>50</w:t>
      </w:r>
      <w:r>
        <w:rPr>
          <w:color w:val="000000"/>
          <w:spacing w:val="0"/>
          <w:w w:val="100"/>
          <w:position w:val="0"/>
        </w:rPr>
        <w:t>条就未签订合伙合同情形下的合伙关系的推定并非承认</w:t>
      </w:r>
      <w:r>
        <w:rPr>
          <w:color w:val="000000"/>
          <w:spacing w:val="0"/>
          <w:w w:val="100"/>
          <w:position w:val="0"/>
          <w:lang w:val="zh-CN" w:eastAsia="zh-CN" w:bidi="zh-CN"/>
        </w:rPr>
        <w:t xml:space="preserve">“事 </w:t>
      </w:r>
      <w:r>
        <w:rPr>
          <w:color w:val="000000"/>
          <w:spacing w:val="0"/>
          <w:w w:val="100"/>
          <w:position w:val="0"/>
        </w:rPr>
        <w:t>实上的合伙关系</w:t>
      </w:r>
      <w:r>
        <w:rPr>
          <w:color w:val="000000"/>
          <w:spacing w:val="0"/>
          <w:w w:val="100"/>
          <w:position w:val="0"/>
          <w:lang w:val="zh-CN" w:eastAsia="zh-CN" w:bidi="zh-CN"/>
        </w:rPr>
        <w:t>”理论</w:t>
      </w:r>
      <w:r>
        <w:rPr>
          <w:color w:val="000000"/>
          <w:spacing w:val="0"/>
          <w:w w:val="100"/>
          <w:position w:val="0"/>
        </w:rPr>
        <w:t>，而是通过合伙人的相关行为解释出当事人之间已经通过默示方式 缔结了旨在确定共同目的和设定追求共同目的的而彼此互负协作义务的合伙协议。</w:t>
      </w:r>
    </w:p>
    <w:p w14:paraId="79C90009">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492EF6BA">
      <w:pPr>
        <w:pStyle w:val="17"/>
        <w:keepNext w:val="0"/>
        <w:keepLines w:val="0"/>
        <w:widowControl w:val="0"/>
        <w:shd w:val="clear" w:color="auto" w:fill="auto"/>
        <w:bidi w:val="0"/>
        <w:spacing w:before="0" w:after="0" w:line="344" w:lineRule="exact"/>
        <w:ind w:left="0" w:right="0" w:firstLine="420"/>
        <w:jc w:val="both"/>
        <w:sectPr>
          <w:headerReference r:id="rId498" w:type="default"/>
          <w:headerReference r:id="rId499" w:type="even"/>
          <w:footnotePr>
            <w:numFmt w:val="chicago"/>
          </w:footnotePr>
          <w:pgSz w:w="10099" w:h="14782"/>
          <w:pgMar w:top="1310" w:right="1036" w:bottom="1097" w:left="1059" w:header="0" w:footer="669" w:gutter="0"/>
          <w:pgNumType w:start="443"/>
          <w:cols w:space="720" w:num="1"/>
          <w:rtlGutter w:val="0"/>
          <w:docGrid w:linePitch="360" w:charSpace="0"/>
        </w:sectPr>
      </w:pPr>
      <w:r>
        <w:rPr>
          <w:color w:val="000000"/>
          <w:spacing w:val="0"/>
          <w:w w:val="100"/>
          <w:position w:val="0"/>
        </w:rPr>
        <w:t>前文提到，在不存在书面协议的情况下,《民通意见》第</w:t>
      </w:r>
      <w:r>
        <w:rPr>
          <w:rFonts w:ascii="Times New Roman" w:hAnsi="Times New Roman" w:eastAsia="Times New Roman" w:cs="Times New Roman"/>
          <w:color w:val="000000"/>
          <w:spacing w:val="0"/>
          <w:w w:val="100"/>
          <w:position w:val="0"/>
          <w:sz w:val="17"/>
          <w:szCs w:val="17"/>
        </w:rPr>
        <w:t>50</w:t>
      </w:r>
      <w:r>
        <w:rPr>
          <w:color w:val="000000"/>
          <w:spacing w:val="0"/>
          <w:w w:val="100"/>
          <w:position w:val="0"/>
        </w:rPr>
        <w:t xml:space="preserve">条确立了合伙关系认定的两 </w:t>
      </w:r>
    </w:p>
    <w:p w14:paraId="594F26A8">
      <w:pPr>
        <w:pStyle w:val="17"/>
        <w:keepNext w:val="0"/>
        <w:keepLines w:val="0"/>
        <w:widowControl w:val="0"/>
        <w:shd w:val="clear" w:color="auto" w:fill="auto"/>
        <w:bidi w:val="0"/>
        <w:spacing w:before="0" w:after="0" w:line="344" w:lineRule="exact"/>
        <w:ind w:left="0" w:right="0" w:firstLine="0"/>
        <w:jc w:val="both"/>
        <w:rPr>
          <w:sz w:val="11"/>
          <w:szCs w:val="11"/>
        </w:rPr>
      </w:pPr>
      <w:r>
        <w:rPr>
          <w:color w:val="000000"/>
          <w:spacing w:val="0"/>
          <w:w w:val="100"/>
          <w:position w:val="0"/>
          <w:sz w:val="18"/>
          <w:szCs w:val="18"/>
        </w:rPr>
        <w:t>项标准:一是要具备</w:t>
      </w:r>
      <w:r>
        <w:rPr>
          <w:color w:val="000000"/>
          <w:spacing w:val="0"/>
          <w:w w:val="100"/>
          <w:position w:val="0"/>
          <w:sz w:val="18"/>
          <w:szCs w:val="18"/>
          <w:lang w:val="zh-CN" w:eastAsia="zh-CN" w:bidi="zh-CN"/>
        </w:rPr>
        <w:t>“合伙</w:t>
      </w:r>
      <w:r>
        <w:rPr>
          <w:color w:val="000000"/>
          <w:spacing w:val="0"/>
          <w:w w:val="100"/>
          <w:position w:val="0"/>
          <w:sz w:val="18"/>
          <w:szCs w:val="18"/>
        </w:rPr>
        <w:t>的其他条件”（合伙关系认定的实质要件），二是要具备</w:t>
      </w:r>
      <w:r>
        <w:rPr>
          <w:color w:val="000000"/>
          <w:spacing w:val="0"/>
          <w:w w:val="100"/>
          <w:position w:val="0"/>
          <w:sz w:val="18"/>
          <w:szCs w:val="18"/>
          <w:lang w:val="zh-CN" w:eastAsia="zh-CN" w:bidi="zh-CN"/>
        </w:rPr>
        <w:t>“有</w:t>
      </w:r>
      <w:r>
        <w:rPr>
          <w:color w:val="000000"/>
          <w:spacing w:val="0"/>
          <w:w w:val="100"/>
          <w:position w:val="0"/>
          <w:sz w:val="18"/>
          <w:szCs w:val="18"/>
        </w:rPr>
        <w:t>两个以 上无利害关系人证明有口头合伙协议”（口头合伙协议存在与否的证明要件）。司法实践 中，多数法院放弃证明要件，更注重于实质要件的认定，以当事人之间具备共同出资、共同 经营、共担债务中的两个以上特征即可。如果当事人之间存在真实的口头合伙协议，那么 两个以上无利害关系人的证明只是在证据层面还原合伙协议存在的真实性。但实践中问 题更多的是当事人之间并未口头约定合伙协议或者约定不明确，或者即使存在口头合伙协 议但无利害关系人在场的情形。如在“涂茂福、涂家辉合伙协议纠纷案”</w:t>
      </w:r>
      <w:r>
        <w:rPr>
          <w:color w:val="000000"/>
          <w:spacing w:val="0"/>
          <w:w w:val="100"/>
          <w:position w:val="0"/>
          <w:sz w:val="11"/>
          <w:szCs w:val="11"/>
        </w:rPr>
        <w:t>［福建省高级人民法 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闽民申</w:t>
      </w:r>
      <w:r>
        <w:rPr>
          <w:rFonts w:ascii="Times New Roman" w:hAnsi="Times New Roman" w:eastAsia="Times New Roman" w:cs="Times New Roman"/>
          <w:color w:val="000000"/>
          <w:spacing w:val="0"/>
          <w:w w:val="100"/>
          <w:position w:val="0"/>
          <w:sz w:val="17"/>
          <w:szCs w:val="17"/>
        </w:rPr>
        <w:t>1145</w:t>
      </w:r>
      <w:r>
        <w:rPr>
          <w:color w:val="000000"/>
          <w:spacing w:val="0"/>
          <w:w w:val="100"/>
          <w:position w:val="0"/>
          <w:sz w:val="11"/>
          <w:szCs w:val="11"/>
        </w:rPr>
        <w:t>号民事判决书］</w:t>
      </w:r>
      <w:r>
        <w:rPr>
          <w:color w:val="000000"/>
          <w:spacing w:val="0"/>
          <w:w w:val="100"/>
          <w:position w:val="0"/>
          <w:sz w:val="18"/>
          <w:szCs w:val="18"/>
        </w:rPr>
        <w:t>中，法院认为</w:t>
      </w:r>
      <w:r>
        <w:rPr>
          <w:color w:val="000000"/>
          <w:spacing w:val="0"/>
          <w:w w:val="100"/>
          <w:position w:val="0"/>
          <w:sz w:val="18"/>
          <w:szCs w:val="18"/>
          <w:lang w:val="zh-CN" w:eastAsia="zh-CN" w:bidi="zh-CN"/>
        </w:rPr>
        <w:t>“罗</w:t>
      </w:r>
      <w:r>
        <w:rPr>
          <w:color w:val="000000"/>
          <w:spacing w:val="0"/>
          <w:w w:val="100"/>
          <w:position w:val="0"/>
          <w:sz w:val="18"/>
          <w:szCs w:val="18"/>
        </w:rPr>
        <w:t>东根、涂茂福、阴志荣和黄恒贵之间虽未 签订书面合伙协议,但罗东根对涉案项目工程有出资，并参与了项目的施工管理，具备合伙 条件</w:t>
      </w:r>
      <w:r>
        <w:rPr>
          <w:color w:val="000000"/>
          <w:spacing w:val="0"/>
          <w:w w:val="100"/>
          <w:position w:val="0"/>
          <w:sz w:val="18"/>
          <w:szCs w:val="18"/>
          <w:lang w:val="zh-CN" w:eastAsia="zh-CN" w:bidi="zh-CN"/>
        </w:rPr>
        <w:t>。”在</w:t>
      </w:r>
      <w:r>
        <w:rPr>
          <w:color w:val="000000"/>
          <w:spacing w:val="0"/>
          <w:w w:val="100"/>
          <w:position w:val="0"/>
          <w:sz w:val="11"/>
          <w:szCs w:val="11"/>
          <w:lang w:val="zh-CN" w:eastAsia="zh-CN" w:bidi="zh-CN"/>
        </w:rPr>
        <w:t>“王</w:t>
      </w:r>
      <w:r>
        <w:rPr>
          <w:color w:val="000000"/>
          <w:spacing w:val="0"/>
          <w:w w:val="100"/>
          <w:position w:val="0"/>
          <w:sz w:val="18"/>
          <w:szCs w:val="18"/>
        </w:rPr>
        <w:t>济贫与王国利、陈宜镜、吴奇合伙协议纠纷案</w:t>
      </w:r>
      <w:r>
        <w:rPr>
          <w:color w:val="000000"/>
          <w:spacing w:val="0"/>
          <w:w w:val="100"/>
          <w:position w:val="0"/>
          <w:sz w:val="11"/>
          <w:szCs w:val="11"/>
          <w:lang w:val="zh-CN" w:eastAsia="zh-CN" w:bidi="zh-CN"/>
        </w:rPr>
        <w:t>”［四</w:t>
      </w:r>
      <w:r>
        <w:rPr>
          <w:color w:val="000000"/>
          <w:spacing w:val="0"/>
          <w:w w:val="100"/>
          <w:position w:val="0"/>
          <w:sz w:val="11"/>
          <w:szCs w:val="11"/>
        </w:rPr>
        <w:t>川省高级人民法院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川民 终字第</w:t>
      </w:r>
      <w:r>
        <w:rPr>
          <w:rFonts w:ascii="Times New Roman" w:hAnsi="Times New Roman" w:eastAsia="Times New Roman" w:cs="Times New Roman"/>
          <w:color w:val="000000"/>
          <w:spacing w:val="0"/>
          <w:w w:val="100"/>
          <w:position w:val="0"/>
          <w:sz w:val="17"/>
          <w:szCs w:val="17"/>
        </w:rPr>
        <w:t>233</w:t>
      </w:r>
      <w:r>
        <w:rPr>
          <w:color w:val="000000"/>
          <w:spacing w:val="0"/>
          <w:w w:val="100"/>
          <w:position w:val="0"/>
          <w:sz w:val="11"/>
          <w:szCs w:val="11"/>
        </w:rPr>
        <w:t>号民事判决书］</w:t>
      </w:r>
      <w:r>
        <w:rPr>
          <w:color w:val="000000"/>
          <w:spacing w:val="0"/>
          <w:w w:val="100"/>
          <w:position w:val="0"/>
          <w:sz w:val="18"/>
          <w:szCs w:val="18"/>
        </w:rPr>
        <w:t>中，法院认为“本案当事人之间虽无书面合伙协议，但根据本案当事 人已共同出资、成立西昌丽豪假日酒店，并已实际共同经营的事实，可以认定本案当事人已 形成事实上的合伙关系”。还有法院认为只要存在共同出资以及合伙人身份转让的，同样 构成合伙关系，如“宋云山与李维军合同纠纷案</w:t>
      </w:r>
      <w:r>
        <w:rPr>
          <w:color w:val="000000"/>
          <w:spacing w:val="0"/>
          <w:w w:val="100"/>
          <w:position w:val="0"/>
          <w:sz w:val="11"/>
          <w:szCs w:val="11"/>
          <w:lang w:val="zh-CN" w:eastAsia="zh-CN" w:bidi="zh-CN"/>
        </w:rPr>
        <w:t>”［陕</w:t>
      </w:r>
      <w:r>
        <w:rPr>
          <w:color w:val="000000"/>
          <w:spacing w:val="0"/>
          <w:w w:val="100"/>
          <w:position w:val="0"/>
          <w:sz w:val="11"/>
          <w:szCs w:val="11"/>
        </w:rPr>
        <w:t>西省高级人民法院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 xml:space="preserve">陕民一终字第 </w:t>
      </w:r>
      <w:r>
        <w:rPr>
          <w:rFonts w:ascii="Times New Roman" w:hAnsi="Times New Roman" w:eastAsia="Times New Roman" w:cs="Times New Roman"/>
          <w:color w:val="000000"/>
          <w:spacing w:val="0"/>
          <w:w w:val="100"/>
          <w:position w:val="0"/>
          <w:sz w:val="17"/>
          <w:szCs w:val="17"/>
        </w:rPr>
        <w:t>00058</w:t>
      </w:r>
      <w:r>
        <w:rPr>
          <w:color w:val="000000"/>
          <w:spacing w:val="0"/>
          <w:w w:val="100"/>
          <w:position w:val="0"/>
          <w:sz w:val="11"/>
          <w:szCs w:val="11"/>
        </w:rPr>
        <w:t>号民事判决书］。</w:t>
      </w:r>
    </w:p>
    <w:p w14:paraId="0EB9E654">
      <w:pPr>
        <w:pStyle w:val="17"/>
        <w:keepNext w:val="0"/>
        <w:keepLines w:val="0"/>
        <w:widowControl w:val="0"/>
        <w:shd w:val="clear" w:color="auto" w:fill="auto"/>
        <w:bidi w:val="0"/>
        <w:spacing w:before="0" w:after="300" w:line="342" w:lineRule="exact"/>
        <w:ind w:left="0" w:right="0" w:firstLine="440"/>
        <w:jc w:val="both"/>
      </w:pPr>
      <w:r>
        <w:rPr>
          <w:color w:val="000000"/>
          <w:spacing w:val="0"/>
          <w:w w:val="100"/>
          <w:position w:val="0"/>
        </w:rPr>
        <w:t>当然,也有部分法院在具备证明要件的前提下,对实质要件有所松动，仅强调共同出资 要件。除本案外，在</w:t>
      </w:r>
      <w:r>
        <w:rPr>
          <w:color w:val="000000"/>
          <w:spacing w:val="0"/>
          <w:w w:val="100"/>
          <w:position w:val="0"/>
          <w:lang w:val="zh-CN" w:eastAsia="zh-CN" w:bidi="zh-CN"/>
        </w:rPr>
        <w:t>“张</w:t>
      </w:r>
      <w:r>
        <w:rPr>
          <w:color w:val="000000"/>
          <w:spacing w:val="0"/>
          <w:w w:val="100"/>
          <w:position w:val="0"/>
        </w:rPr>
        <w:t>广安与周启超、兰考县中医院等合伙协议纠纷案</w:t>
      </w:r>
      <w:r>
        <w:rPr>
          <w:color w:val="000000"/>
          <w:spacing w:val="0"/>
          <w:w w:val="100"/>
          <w:position w:val="0"/>
          <w:sz w:val="11"/>
          <w:szCs w:val="11"/>
          <w:lang w:val="zh-CN" w:eastAsia="zh-CN" w:bidi="zh-CN"/>
        </w:rPr>
        <w:t>”［河</w:t>
      </w:r>
      <w:r>
        <w:rPr>
          <w:color w:val="000000"/>
          <w:spacing w:val="0"/>
          <w:w w:val="100"/>
          <w:position w:val="0"/>
          <w:sz w:val="11"/>
          <w:szCs w:val="11"/>
        </w:rPr>
        <w:t>南省高级人民法 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豫法民三终字第</w:t>
      </w:r>
      <w:r>
        <w:rPr>
          <w:rFonts w:ascii="Times New Roman" w:hAnsi="Times New Roman" w:eastAsia="Times New Roman" w:cs="Times New Roman"/>
          <w:color w:val="000000"/>
          <w:spacing w:val="0"/>
          <w:w w:val="100"/>
          <w:position w:val="0"/>
          <w:sz w:val="17"/>
          <w:szCs w:val="17"/>
        </w:rPr>
        <w:t>95</w:t>
      </w:r>
      <w:r>
        <w:rPr>
          <w:color w:val="000000"/>
          <w:spacing w:val="0"/>
          <w:w w:val="100"/>
          <w:position w:val="0"/>
          <w:sz w:val="11"/>
          <w:szCs w:val="11"/>
        </w:rPr>
        <w:t>号民事判决书］</w:t>
      </w:r>
      <w:r>
        <w:rPr>
          <w:color w:val="000000"/>
          <w:spacing w:val="0"/>
          <w:w w:val="100"/>
          <w:position w:val="0"/>
        </w:rPr>
        <w:t>中，法院认为：</w:t>
      </w:r>
      <w:r>
        <w:rPr>
          <w:color w:val="000000"/>
          <w:spacing w:val="0"/>
          <w:w w:val="100"/>
          <w:position w:val="0"/>
          <w:lang w:val="zh-CN" w:eastAsia="zh-CN" w:bidi="zh-CN"/>
        </w:rPr>
        <w:t>“虽然</w:t>
      </w:r>
      <w:r>
        <w:rPr>
          <w:color w:val="000000"/>
          <w:spacing w:val="0"/>
          <w:w w:val="100"/>
          <w:position w:val="0"/>
        </w:rPr>
        <w:t>张广安与地生金公司、周启超 之间关于垫资兰考县中医院整体迁建项目没有订立书面合伙协议，但是张广安与地生金公 司、周启超共同为兰考县中医院整体迁建项目出资及退款，三方具备合伙的条件和特征,且 兰考县中医院、王洪亮、黄某、韩奇证明三方为合伙关系</w:t>
      </w:r>
      <w:r>
        <w:rPr>
          <w:color w:val="000000"/>
          <w:spacing w:val="0"/>
          <w:w w:val="100"/>
          <w:position w:val="0"/>
          <w:lang w:val="zh-CN" w:eastAsia="zh-CN" w:bidi="zh-CN"/>
        </w:rPr>
        <w:t>。”也</w:t>
      </w:r>
      <w:r>
        <w:rPr>
          <w:color w:val="000000"/>
          <w:spacing w:val="0"/>
          <w:w w:val="100"/>
          <w:position w:val="0"/>
        </w:rPr>
        <w:t>有法院认为，即使具备实质要 件，只要不具备证明要件的，亦不能构成合伙关系。在“邓国亮、邓国球等与张森、唐武强合 伙协议纠纷案</w:t>
      </w:r>
      <w:r>
        <w:rPr>
          <w:color w:val="000000"/>
          <w:spacing w:val="0"/>
          <w:w w:val="100"/>
          <w:position w:val="0"/>
          <w:sz w:val="11"/>
          <w:szCs w:val="11"/>
          <w:lang w:val="zh-CN" w:eastAsia="zh-CN" w:bidi="zh-CN"/>
        </w:rPr>
        <w:t>”［广</w:t>
      </w:r>
      <w:r>
        <w:rPr>
          <w:color w:val="000000"/>
          <w:spacing w:val="0"/>
          <w:w w:val="100"/>
          <w:position w:val="0"/>
          <w:sz w:val="11"/>
          <w:szCs w:val="11"/>
        </w:rPr>
        <w:t>西壮族自治区高级人民法院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桂民提字第</w:t>
      </w:r>
      <w:r>
        <w:rPr>
          <w:rFonts w:ascii="Times New Roman" w:hAnsi="Times New Roman" w:eastAsia="Times New Roman" w:cs="Times New Roman"/>
          <w:color w:val="000000"/>
          <w:spacing w:val="0"/>
          <w:w w:val="100"/>
          <w:position w:val="0"/>
          <w:sz w:val="17"/>
          <w:szCs w:val="17"/>
        </w:rPr>
        <w:t>99</w:t>
      </w:r>
      <w:r>
        <w:rPr>
          <w:color w:val="000000"/>
          <w:spacing w:val="0"/>
          <w:w w:val="100"/>
          <w:position w:val="0"/>
          <w:sz w:val="11"/>
          <w:szCs w:val="11"/>
        </w:rPr>
        <w:t>号民事判决书］中</w:t>
      </w:r>
      <w:r>
        <w:rPr>
          <w:color w:val="000000"/>
          <w:spacing w:val="0"/>
          <w:w w:val="100"/>
          <w:position w:val="0"/>
        </w:rPr>
        <w:t>，法院认为 案涉双方虽具备合伙的其他条件,但相关证人证言不足以证明双方有口头合伙协议，故不 具备《民通意见》第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条规定的证明要件，不应认定存在合伙关系。</w:t>
      </w:r>
    </w:p>
    <w:p w14:paraId="6D6DF1DB">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本判决的影响及将来的课题</w:t>
      </w:r>
    </w:p>
    <w:p w14:paraId="25717FB0">
      <w:pPr>
        <w:pStyle w:val="17"/>
        <w:keepNext w:val="0"/>
        <w:keepLines w:val="0"/>
        <w:widowControl w:val="0"/>
        <w:shd w:val="clear" w:color="auto" w:fill="auto"/>
        <w:bidi w:val="0"/>
        <w:spacing w:before="0" w:after="0" w:line="342" w:lineRule="exact"/>
        <w:ind w:left="0" w:right="0" w:firstLine="440"/>
        <w:jc w:val="both"/>
      </w:pPr>
      <w:r>
        <w:rPr>
          <w:color w:val="000000"/>
          <w:spacing w:val="0"/>
          <w:w w:val="100"/>
          <w:position w:val="0"/>
        </w:rPr>
        <w:t>当实践中合伙人之间因未签署书面合伙协议，或者即使有口头合伙协议亦无法査明 时，法院必须根据成立合伙关系的实质要件，尤其是共同目的和促成义务两项要件,结合具 体案情对共同目的及合伙人的促成义务作动态把握,从而认定个案中的合伙关系成立与 否。本案中最高人民法院仅从案件事实中抽取出“共同出资</w:t>
      </w:r>
      <w:r>
        <w:rPr>
          <w:color w:val="000000"/>
          <w:spacing w:val="0"/>
          <w:w w:val="100"/>
          <w:position w:val="0"/>
          <w:lang w:val="zh-CN" w:eastAsia="zh-CN" w:bidi="zh-CN"/>
        </w:rPr>
        <w:t>”这</w:t>
      </w:r>
      <w:r>
        <w:rPr>
          <w:color w:val="000000"/>
          <w:spacing w:val="0"/>
          <w:w w:val="100"/>
          <w:position w:val="0"/>
        </w:rPr>
        <w:t>一要件，便认定存在合伙关 系，尚有进一步检讨空间。毕竟共同目的才是合伙的根本，因为存在共同目的才有各合伙 人推动合伙关系发展的共同岀资义务，但从共同岀资中尚不足以推导出合伙人之间的共同 目的。若法院不作进一步审查,就不能查清各方出资的方式行为的性质究竟是投资性出 借、投资性</w:t>
      </w:r>
      <w:r>
        <w:rPr>
          <w:color w:val="000000"/>
          <w:spacing w:val="0"/>
          <w:w w:val="100"/>
          <w:position w:val="0"/>
          <w:lang w:val="zh-CN" w:eastAsia="zh-CN" w:bidi="zh-CN"/>
        </w:rPr>
        <w:t>“入股”（入</w:t>
      </w:r>
      <w:r>
        <w:rPr>
          <w:color w:val="000000"/>
          <w:spacing w:val="0"/>
          <w:w w:val="100"/>
          <w:position w:val="0"/>
        </w:rPr>
        <w:t>伙）用益租赁等。因此，笔者认为，法官应审查当事人出资的目的，而 不能仅以共同出资为由裁定合伙关系成立。事实上，即使没有</w:t>
      </w:r>
      <w:r>
        <w:rPr>
          <w:color w:val="000000"/>
          <w:spacing w:val="0"/>
          <w:w w:val="100"/>
          <w:position w:val="0"/>
          <w:lang w:val="zh-CN" w:eastAsia="zh-CN" w:bidi="zh-CN"/>
        </w:rPr>
        <w:t>“共</w:t>
      </w:r>
      <w:r>
        <w:rPr>
          <w:color w:val="000000"/>
          <w:spacing w:val="0"/>
          <w:w w:val="100"/>
          <w:position w:val="0"/>
        </w:rPr>
        <w:t>同出资</w:t>
      </w:r>
      <w:r>
        <w:rPr>
          <w:color w:val="000000"/>
          <w:spacing w:val="0"/>
          <w:w w:val="100"/>
          <w:position w:val="0"/>
          <w:lang w:val="zh-CN" w:eastAsia="zh-CN" w:bidi="zh-CN"/>
        </w:rPr>
        <w:t>”，如</w:t>
      </w:r>
      <w:r>
        <w:rPr>
          <w:color w:val="000000"/>
          <w:spacing w:val="0"/>
          <w:w w:val="100"/>
          <w:position w:val="0"/>
        </w:rPr>
        <w:t>果当事人仅 提供劳务给付，但彼此约定利益共享和风险共担的同样构成合伙关系，盖其通过共同管理 以实现共同的盈利目的。当然，即使延续本案裁判立场，未来司法实践是否会对“共同出 资</w:t>
      </w:r>
      <w:r>
        <w:rPr>
          <w:color w:val="000000"/>
          <w:spacing w:val="0"/>
          <w:w w:val="100"/>
          <w:position w:val="0"/>
          <w:lang w:val="zh-CN" w:eastAsia="zh-CN" w:bidi="zh-CN"/>
        </w:rPr>
        <w:t>”作进</w:t>
      </w:r>
      <w:r>
        <w:rPr>
          <w:color w:val="000000"/>
          <w:spacing w:val="0"/>
          <w:w w:val="100"/>
          <w:position w:val="0"/>
        </w:rPr>
        <w:t>一步解释，把重心从“出资</w:t>
      </w:r>
      <w:r>
        <w:rPr>
          <w:color w:val="000000"/>
          <w:spacing w:val="0"/>
          <w:w w:val="100"/>
          <w:position w:val="0"/>
          <w:lang w:val="zh-CN" w:eastAsia="zh-CN" w:bidi="zh-CN"/>
        </w:rPr>
        <w:t>”转向“共同</w:t>
      </w:r>
      <w:r>
        <w:rPr>
          <w:color w:val="000000"/>
          <w:spacing w:val="0"/>
          <w:w w:val="100"/>
          <w:position w:val="0"/>
        </w:rPr>
        <w:t>”，更关注合伙共同体的本质属性，尚有进一 步观察之余地。值得补充的是,在共同出资的情况下，若一方提供出资,但不参加合伙经营、 劳动,对内不承担合伙的债务风险，但对财务账簿保有查阅权，对事务执行人保有监督权, 此时依然可能具有合伙的共同目的，而不宜以并未共同经营为由认定为借贷关系。共同目 的为本，共同经营为辅。两者不能本末倒置，自不多言。</w:t>
      </w:r>
    </w:p>
    <w:p w14:paraId="24541252">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从“裁判要旨”看，本案判决除强调</w:t>
      </w:r>
      <w:r>
        <w:rPr>
          <w:color w:val="000000"/>
          <w:spacing w:val="0"/>
          <w:w w:val="100"/>
          <w:position w:val="0"/>
          <w:lang w:val="zh-CN" w:eastAsia="zh-CN" w:bidi="zh-CN"/>
        </w:rPr>
        <w:t>“共</w:t>
      </w:r>
      <w:r>
        <w:rPr>
          <w:color w:val="000000"/>
          <w:spacing w:val="0"/>
          <w:w w:val="100"/>
          <w:position w:val="0"/>
        </w:rPr>
        <w:t>同出资</w:t>
      </w:r>
      <w:r>
        <w:rPr>
          <w:color w:val="000000"/>
          <w:spacing w:val="0"/>
          <w:w w:val="100"/>
          <w:position w:val="0"/>
          <w:lang w:val="zh-CN" w:eastAsia="zh-CN" w:bidi="zh-CN"/>
        </w:rPr>
        <w:t>”外,</w:t>
      </w:r>
      <w:r>
        <w:rPr>
          <w:color w:val="000000"/>
          <w:spacing w:val="0"/>
          <w:w w:val="100"/>
          <w:position w:val="0"/>
        </w:rPr>
        <w:t>似乎也重申了《民通意见》第</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条所 规定的</w:t>
      </w:r>
      <w:r>
        <w:rPr>
          <w:color w:val="000000"/>
          <w:spacing w:val="0"/>
          <w:w w:val="100"/>
          <w:position w:val="0"/>
          <w:lang w:val="zh-CN" w:eastAsia="zh-CN" w:bidi="zh-CN"/>
        </w:rPr>
        <w:t>“有两</w:t>
      </w:r>
      <w:r>
        <w:rPr>
          <w:color w:val="000000"/>
          <w:spacing w:val="0"/>
          <w:w w:val="100"/>
          <w:position w:val="0"/>
        </w:rPr>
        <w:t>个以上无利害关系人证明有口头合伙协议</w:t>
      </w:r>
      <w:r>
        <w:rPr>
          <w:color w:val="000000"/>
          <w:spacing w:val="0"/>
          <w:w w:val="100"/>
          <w:position w:val="0"/>
          <w:lang w:val="zh-CN" w:eastAsia="zh-CN" w:bidi="zh-CN"/>
        </w:rPr>
        <w:t>”这</w:t>
      </w:r>
      <w:r>
        <w:rPr>
          <w:color w:val="000000"/>
          <w:spacing w:val="0"/>
          <w:w w:val="100"/>
          <w:position w:val="0"/>
        </w:rPr>
        <w:t>一认定合伙关系的要件。但对 前述司法实践的梳理表明,仅以无法证明当事人之间订有口头合伙协议否认合伙关系的成 立,显然有失偏颇。如果法院基于案件事实查明当事人共同追求某项事业目的，并为之作 出努力的，似乎同样应认定合伙关系的成立。随着《民法典》的出台和原《民法通则》的同步 废止,《民通意见》规定的这一证明要件是否还有存续的必要，颇值深思。</w:t>
      </w:r>
    </w:p>
    <w:p w14:paraId="24F07418">
      <w:pPr>
        <w:pStyle w:val="11"/>
        <w:keepNext w:val="0"/>
        <w:keepLines w:val="0"/>
        <w:widowControl w:val="0"/>
        <w:shd w:val="clear" w:color="auto" w:fill="auto"/>
        <w:bidi w:val="0"/>
        <w:spacing w:before="0" w:after="60" w:line="340" w:lineRule="exact"/>
        <w:ind w:left="0" w:right="0" w:firstLine="0"/>
        <w:jc w:val="both"/>
      </w:pPr>
      <w:r>
        <w:rPr>
          <w:color w:val="000000"/>
          <w:spacing w:val="0"/>
          <w:w w:val="100"/>
          <w:position w:val="0"/>
        </w:rPr>
        <w:t>回参考文献</w:t>
      </w:r>
    </w:p>
    <w:p w14:paraId="30BB6001">
      <w:pPr>
        <w:pStyle w:val="33"/>
        <w:keepNext w:val="0"/>
        <w:keepLines w:val="0"/>
        <w:widowControl w:val="0"/>
        <w:shd w:val="clear" w:color="auto" w:fill="auto"/>
        <w:bidi w:val="0"/>
        <w:spacing w:before="0" w:after="0" w:line="309" w:lineRule="exact"/>
        <w:ind w:left="0" w:right="0" w:firstLine="0"/>
        <w:jc w:val="both"/>
      </w:pPr>
      <w:r>
        <w:rPr>
          <w:color w:val="000000"/>
          <w:spacing w:val="0"/>
          <w:w w:val="100"/>
          <w:position w:val="0"/>
        </w:rPr>
        <w:t>［日］我妻荣:《我妻荣民法讲义——债法各论》（中卷二），周江洪译，中国法制出版社</w:t>
      </w:r>
      <w:r>
        <w:rPr>
          <w:rFonts w:ascii="Times New Roman" w:hAnsi="Times New Roman" w:eastAsia="Times New Roman" w:cs="Times New Roman"/>
          <w:color w:val="000000"/>
          <w:spacing w:val="0"/>
          <w:w w:val="100"/>
          <w:position w:val="0"/>
          <w:sz w:val="17"/>
          <w:szCs w:val="17"/>
        </w:rPr>
        <w:t>2008</w:t>
      </w:r>
      <w:r>
        <w:rPr>
          <w:color w:val="000000"/>
          <w:spacing w:val="0"/>
          <w:w w:val="100"/>
          <w:position w:val="0"/>
        </w:rPr>
        <w:t>年必 梅仲协:《民法要义》，中国政法大学出版社</w:t>
      </w:r>
      <w:r>
        <w:rPr>
          <w:rFonts w:ascii="Times New Roman" w:hAnsi="Times New Roman" w:eastAsia="Times New Roman" w:cs="Times New Roman"/>
          <w:color w:val="000000"/>
          <w:spacing w:val="0"/>
          <w:w w:val="100"/>
          <w:position w:val="0"/>
          <w:sz w:val="17"/>
          <w:szCs w:val="17"/>
        </w:rPr>
        <w:t>1998</w:t>
      </w:r>
      <w:r>
        <w:rPr>
          <w:color w:val="000000"/>
          <w:spacing w:val="0"/>
          <w:w w:val="100"/>
          <w:position w:val="0"/>
        </w:rPr>
        <w:t>年版。</w:t>
      </w:r>
    </w:p>
    <w:p w14:paraId="6A0C9E8C">
      <w:pPr>
        <w:pStyle w:val="33"/>
        <w:keepNext w:val="0"/>
        <w:keepLines w:val="0"/>
        <w:widowControl w:val="0"/>
        <w:shd w:val="clear" w:color="auto" w:fill="auto"/>
        <w:bidi w:val="0"/>
        <w:spacing w:before="0" w:after="0" w:line="309" w:lineRule="exact"/>
        <w:ind w:left="0" w:right="0" w:firstLine="0"/>
        <w:jc w:val="left"/>
      </w:pPr>
      <w:r>
        <w:rPr>
          <w:color w:val="000000"/>
          <w:spacing w:val="0"/>
          <w:w w:val="100"/>
          <w:position w:val="0"/>
        </w:rPr>
        <w:t>王利明：《论民法典对合伙协议与合伙组织体的规范》，载《甘肃社会科学》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 房绍坤、张旭昕:《民法典制定背景下的合伙立法》，载《吉林大学社会科学学报》</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1B2493E">
      <w:pPr>
        <w:pStyle w:val="33"/>
        <w:keepNext w:val="0"/>
        <w:keepLines w:val="0"/>
        <w:widowControl w:val="0"/>
        <w:shd w:val="clear" w:color="auto" w:fill="auto"/>
        <w:bidi w:val="0"/>
        <w:spacing w:before="0" w:after="40" w:line="309" w:lineRule="exact"/>
        <w:ind w:left="160" w:right="0" w:hanging="160"/>
        <w:jc w:val="both"/>
        <w:sectPr>
          <w:headerReference r:id="rId502" w:type="first"/>
          <w:headerReference r:id="rId500" w:type="default"/>
          <w:headerReference r:id="rId501" w:type="even"/>
          <w:footnotePr>
            <w:numFmt w:val="chicago"/>
          </w:footnotePr>
          <w:pgSz w:w="10099" w:h="14782"/>
          <w:pgMar w:top="1310" w:right="1036" w:bottom="1097" w:left="1059" w:header="0" w:footer="3" w:gutter="0"/>
          <w:pgNumType w:start="428"/>
          <w:cols w:space="720" w:num="1"/>
          <w:titlePg/>
          <w:rtlGutter w:val="0"/>
          <w:docGrid w:linePitch="360" w:charSpace="0"/>
        </w:sectPr>
      </w:pPr>
      <w:r>
        <w:rPr>
          <w:color w:val="000000"/>
          <w:spacing w:val="0"/>
          <w:w w:val="100"/>
          <w:position w:val="0"/>
        </w:rPr>
        <w:t>李永军：《民事合伙的组织性质疑</w:t>
      </w:r>
      <w:r>
        <w:rPr>
          <w:color w:val="000000"/>
          <w:spacing w:val="0"/>
          <w:w w:val="100"/>
          <w:position w:val="0"/>
          <w:lang w:val="en-US" w:eastAsia="en-US" w:bidi="en-US"/>
        </w:rPr>
        <w:t>一一</w:t>
      </w:r>
      <w:r>
        <w:rPr>
          <w:color w:val="000000"/>
          <w:spacing w:val="0"/>
          <w:w w:val="100"/>
          <w:position w:val="0"/>
        </w:rPr>
        <w:t>兼评〈民法总则〉及〈民法典各分编（草案）〉》，载《法商研究》</w:t>
      </w:r>
      <w:r>
        <w:rPr>
          <w:rFonts w:ascii="Times New Roman" w:hAnsi="Times New Roman" w:eastAsia="Times New Roman" w:cs="Times New Roman"/>
          <w:color w:val="000000"/>
          <w:spacing w:val="0"/>
          <w:w w:val="100"/>
          <w:position w:val="0"/>
          <w:sz w:val="17"/>
          <w:szCs w:val="17"/>
        </w:rPr>
        <w:t xml:space="preserve">2019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D35D46A">
      <w:pPr>
        <w:widowControl w:val="0"/>
        <w:spacing w:line="1" w:lineRule="exact"/>
      </w:pPr>
      <w:r>
        <w:drawing>
          <wp:anchor distT="0" distB="0" distL="0" distR="0" simplePos="0" relativeHeight="251660288" behindDoc="0" locked="0" layoutInCell="1" allowOverlap="1">
            <wp:simplePos x="0" y="0"/>
            <wp:positionH relativeFrom="page">
              <wp:posOffset>751205</wp:posOffset>
            </wp:positionH>
            <wp:positionV relativeFrom="paragraph">
              <wp:posOffset>0</wp:posOffset>
            </wp:positionV>
            <wp:extent cx="481330" cy="408305"/>
            <wp:effectExtent l="0" t="0" r="1270" b="10795"/>
            <wp:wrapTopAndBottom/>
            <wp:docPr id="1187" name="Shape 1187"/>
            <wp:cNvGraphicFramePr/>
            <a:graphic xmlns:a="http://schemas.openxmlformats.org/drawingml/2006/main">
              <a:graphicData uri="http://schemas.openxmlformats.org/drawingml/2006/picture">
                <pic:pic xmlns:pic="http://schemas.openxmlformats.org/drawingml/2006/picture">
                  <pic:nvPicPr>
                    <pic:cNvPr id="1187" name="Shape 1187"/>
                    <pic:cNvPicPr/>
                  </pic:nvPicPr>
                  <pic:blipFill>
                    <a:blip r:embed="rId701"/>
                    <a:stretch>
                      <a:fillRect/>
                    </a:stretch>
                  </pic:blipFill>
                  <pic:spPr>
                    <a:xfrm>
                      <a:off x="0" y="0"/>
                      <a:ext cx="481330" cy="408305"/>
                    </a:xfrm>
                    <a:prstGeom prst="rect">
                      <a:avLst/>
                    </a:prstGeom>
                  </pic:spPr>
                </pic:pic>
              </a:graphicData>
            </a:graphic>
          </wp:anchor>
        </w:drawing>
      </w:r>
      <w:r>
        <mc:AlternateContent>
          <mc:Choice Requires="wps">
            <w:drawing>
              <wp:anchor distT="121920" distB="43815" distL="0" distR="0" simplePos="0" relativeHeight="251660288" behindDoc="0" locked="0" layoutInCell="1" allowOverlap="1">
                <wp:simplePos x="0" y="0"/>
                <wp:positionH relativeFrom="page">
                  <wp:posOffset>1363980</wp:posOffset>
                </wp:positionH>
                <wp:positionV relativeFrom="paragraph">
                  <wp:posOffset>121920</wp:posOffset>
                </wp:positionV>
                <wp:extent cx="3641090" cy="242570"/>
                <wp:effectExtent l="0" t="0" r="0" b="0"/>
                <wp:wrapTopAndBottom/>
                <wp:docPr id="1189" name="Shape 1189"/>
                <wp:cNvGraphicFramePr/>
                <a:graphic xmlns:a="http://schemas.openxmlformats.org/drawingml/2006/main">
                  <a:graphicData uri="http://schemas.microsoft.com/office/word/2010/wordprocessingShape">
                    <wps:wsp>
                      <wps:cNvSpPr txBox="1"/>
                      <wps:spPr>
                        <a:xfrm>
                          <a:off x="0" y="0"/>
                          <a:ext cx="3641090" cy="242570"/>
                        </a:xfrm>
                        <a:prstGeom prst="rect">
                          <a:avLst/>
                        </a:prstGeom>
                        <a:noFill/>
                      </wps:spPr>
                      <wps:txbx>
                        <w:txbxContent>
                          <w:p w14:paraId="6B00206F">
                            <w:pPr>
                              <w:pStyle w:val="15"/>
                              <w:keepNext/>
                              <w:keepLines/>
                              <w:widowControl w:val="0"/>
                              <w:shd w:val="clear" w:color="auto" w:fill="auto"/>
                              <w:bidi w:val="0"/>
                              <w:spacing w:before="0" w:after="0" w:line="240" w:lineRule="auto"/>
                              <w:ind w:left="0" w:right="0" w:firstLine="0"/>
                              <w:jc w:val="left"/>
                            </w:pPr>
                            <w:bookmarkStart w:id="591" w:name="bookmark538"/>
                            <w:bookmarkStart w:id="592" w:name="bookmark540"/>
                            <w:bookmarkStart w:id="593" w:name="bookmark539"/>
                            <w:r>
                              <w:rPr>
                                <w:color w:val="000000"/>
                                <w:spacing w:val="0"/>
                                <w:w w:val="100"/>
                                <w:position w:val="0"/>
                              </w:rPr>
                              <w:t>不当得利当事人确定和善意得利人返还范</w:t>
                            </w:r>
                            <w:bookmarkEnd w:id="591"/>
                            <w:bookmarkEnd w:id="592"/>
                            <w:bookmarkEnd w:id="593"/>
                          </w:p>
                        </w:txbxContent>
                      </wps:txbx>
                      <wps:bodyPr wrap="none" lIns="0" tIns="0" rIns="0" bIns="0">
                        <a:noAutofit/>
                      </wps:bodyPr>
                    </wps:wsp>
                  </a:graphicData>
                </a:graphic>
              </wp:anchor>
            </w:drawing>
          </mc:Choice>
          <mc:Fallback>
            <w:pict>
              <v:shape id="Shape 1189" o:spid="_x0000_s1026" o:spt="202" type="#_x0000_t202" style="position:absolute;left:0pt;margin-left:107.4pt;margin-top:9.6pt;height:19.1pt;width:286.7pt;mso-position-horizontal-relative:page;mso-wrap-distance-bottom:3.45pt;mso-wrap-distance-top:9.6pt;mso-wrap-style:none;z-index:251660288;mso-width-relative:page;mso-height-relative:page;" filled="f" stroked="f" coordsize="21600,21600" o:gfxdata="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egLL&#10;1wAAAAkBAAAPAAAAAAAAAAEAIAAAACIAAABkcnMvZG93bnJldi54bWxQSwECFAAUAAAACACHTuJA&#10;/ce/VrABAAB2AwAADgAAAAAAAAABACAAAAAmAQAAZHJzL2Uyb0RvYy54bWxQSwUGAAAAAAYABgBZ&#10;AQAASAUAAAAA&#10;">
                <v:fill on="f" focussize="0,0"/>
                <v:stroke on="f"/>
                <v:imagedata o:title=""/>
                <o:lock v:ext="edit" aspectratio="f"/>
                <v:textbox inset="0mm,0mm,0mm,0mm">
                  <w:txbxContent>
                    <w:p w14:paraId="6B00206F">
                      <w:pPr>
                        <w:pStyle w:val="15"/>
                        <w:keepNext/>
                        <w:keepLines/>
                        <w:widowControl w:val="0"/>
                        <w:shd w:val="clear" w:color="auto" w:fill="auto"/>
                        <w:bidi w:val="0"/>
                        <w:spacing w:before="0" w:after="0" w:line="240" w:lineRule="auto"/>
                        <w:ind w:left="0" w:right="0" w:firstLine="0"/>
                        <w:jc w:val="left"/>
                      </w:pPr>
                      <w:bookmarkStart w:id="591" w:name="bookmark538"/>
                      <w:bookmarkStart w:id="592" w:name="bookmark540"/>
                      <w:bookmarkStart w:id="593" w:name="bookmark539"/>
                      <w:r>
                        <w:rPr>
                          <w:color w:val="000000"/>
                          <w:spacing w:val="0"/>
                          <w:w w:val="100"/>
                          <w:position w:val="0"/>
                        </w:rPr>
                        <w:t>不当得利当事人确定和善意得利人返还范</w:t>
                      </w:r>
                      <w:bookmarkEnd w:id="591"/>
                      <w:bookmarkEnd w:id="592"/>
                      <w:bookmarkEnd w:id="593"/>
                    </w:p>
                  </w:txbxContent>
                </v:textbox>
                <w10:wrap type="topAndBottom"/>
              </v:shape>
            </w:pict>
          </mc:Fallback>
        </mc:AlternateContent>
      </w:r>
    </w:p>
    <w:p w14:paraId="28B98BF9">
      <w:pPr>
        <w:pStyle w:val="15"/>
        <w:keepNext/>
        <w:keepLines/>
        <w:widowControl w:val="0"/>
        <w:shd w:val="clear" w:color="auto" w:fill="auto"/>
        <w:bidi w:val="0"/>
        <w:spacing w:before="0" w:after="0" w:line="240" w:lineRule="auto"/>
        <w:ind w:left="0" w:right="0" w:firstLine="1000"/>
        <w:jc w:val="left"/>
      </w:pPr>
      <w:bookmarkStart w:id="154" w:name="bookmark541"/>
      <w:bookmarkStart w:id="155" w:name="bookmark542"/>
      <w:bookmarkStart w:id="156" w:name="bookmark543"/>
      <w:r>
        <w:rPr>
          <w:color w:val="000000"/>
          <w:spacing w:val="0"/>
          <w:w w:val="100"/>
          <w:position w:val="0"/>
        </w:rPr>
        <w:t>围规则</w:t>
      </w:r>
      <w:bookmarkEnd w:id="154"/>
      <w:bookmarkEnd w:id="155"/>
      <w:bookmarkEnd w:id="156"/>
    </w:p>
    <w:p w14:paraId="25AD7AA9">
      <w:pPr>
        <w:pStyle w:val="17"/>
        <w:keepNext w:val="0"/>
        <w:keepLines w:val="0"/>
        <w:widowControl w:val="0"/>
        <w:shd w:val="clear" w:color="auto" w:fill="auto"/>
        <w:bidi w:val="0"/>
        <w:spacing w:before="0" w:after="360" w:line="336" w:lineRule="exact"/>
        <w:ind w:left="1000" w:right="0" w:firstLine="20"/>
        <w:jc w:val="both"/>
      </w:pPr>
      <w:r>
        <w:drawing>
          <wp:anchor distT="0" distB="0" distL="114300" distR="114300" simplePos="0" relativeHeight="251660288" behindDoc="0" locked="0" layoutInCell="1" allowOverlap="1">
            <wp:simplePos x="0" y="0"/>
            <wp:positionH relativeFrom="page">
              <wp:posOffset>5198110</wp:posOffset>
            </wp:positionH>
            <wp:positionV relativeFrom="paragraph">
              <wp:posOffset>76200</wp:posOffset>
            </wp:positionV>
            <wp:extent cx="548640" cy="548640"/>
            <wp:effectExtent l="0" t="0" r="10160" b="10160"/>
            <wp:wrapSquare wrapText="left"/>
            <wp:docPr id="1191" name="Shape 1191"/>
            <wp:cNvGraphicFramePr/>
            <a:graphic xmlns:a="http://schemas.openxmlformats.org/drawingml/2006/main">
              <a:graphicData uri="http://schemas.openxmlformats.org/drawingml/2006/picture">
                <pic:pic xmlns:pic="http://schemas.openxmlformats.org/drawingml/2006/picture">
                  <pic:nvPicPr>
                    <pic:cNvPr id="1191" name="Shape 1191"/>
                    <pic:cNvPicPr/>
                  </pic:nvPicPr>
                  <pic:blipFill>
                    <a:blip r:embed="rId702"/>
                    <a:stretch>
                      <a:fillRect/>
                    </a:stretch>
                  </pic:blipFill>
                  <pic:spPr>
                    <a:xfrm>
                      <a:off x="0" y="0"/>
                      <a:ext cx="548640" cy="548640"/>
                    </a:xfrm>
                    <a:prstGeom prst="rect">
                      <a:avLst/>
                    </a:prstGeom>
                  </pic:spPr>
                </pic:pic>
              </a:graphicData>
            </a:graphic>
          </wp:anchor>
        </w:drawing>
      </w:r>
      <w:r>
        <w:rPr>
          <w:color w:val="000000"/>
          <w:spacing w:val="0"/>
          <w:w w:val="100"/>
          <w:position w:val="0"/>
        </w:rPr>
        <w:t>刘忠友与南昌市市政建设有限公司、江西省福振路桥建筑工程有限 公司建设工程合同纠纷案丨最高人民法院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最高法民再</w:t>
      </w:r>
      <w:r>
        <w:rPr>
          <w:rFonts w:ascii="Times New Roman" w:hAnsi="Times New Roman" w:eastAsia="Times New Roman" w:cs="Times New Roman"/>
          <w:color w:val="000000"/>
          <w:spacing w:val="0"/>
          <w:w w:val="100"/>
          <w:position w:val="0"/>
          <w:sz w:val="19"/>
          <w:szCs w:val="19"/>
        </w:rPr>
        <w:t xml:space="preserve">287 </w:t>
      </w:r>
      <w:r>
        <w:rPr>
          <w:color w:val="000000"/>
          <w:spacing w:val="0"/>
          <w:w w:val="100"/>
          <w:position w:val="0"/>
        </w:rPr>
        <w:t>号民事判决书</w:t>
      </w:r>
    </w:p>
    <w:p w14:paraId="1BE39DAA">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赵文杰</w:t>
      </w:r>
      <w:r>
        <w:rPr>
          <w:color w:val="000000"/>
          <w:spacing w:val="0"/>
          <w:w w:val="100"/>
          <w:position w:val="0"/>
        </w:rPr>
        <w:t>华东政法大学法律学院</w:t>
      </w:r>
    </w:p>
    <w:p w14:paraId="5414F201">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06A5DE9">
      <w:pPr>
        <w:pStyle w:val="17"/>
        <w:keepNext w:val="0"/>
        <w:keepLines w:val="0"/>
        <w:widowControl w:val="0"/>
        <w:shd w:val="clear" w:color="auto" w:fill="auto"/>
        <w:bidi w:val="0"/>
        <w:spacing w:before="0" w:after="360" w:line="338" w:lineRule="exact"/>
        <w:ind w:left="0" w:right="0"/>
        <w:jc w:val="both"/>
        <w:sectPr>
          <w:headerReference r:id="rId503" w:type="default"/>
          <w:headerReference r:id="rId504" w:type="even"/>
          <w:footnotePr>
            <w:numFmt w:val="chicago"/>
          </w:footnotePr>
          <w:pgSz w:w="10099" w:h="14782"/>
          <w:pgMar w:top="1332" w:right="989" w:bottom="1082" w:left="1108" w:header="904" w:footer="654" w:gutter="0"/>
          <w:pgNumType w:start="446"/>
          <w:cols w:space="720" w:num="1"/>
          <w:rtlGutter w:val="0"/>
          <w:docGrid w:linePitch="360" w:charSpace="0"/>
        </w:sectPr>
      </w:pP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日，甲方江西省福振路桥建筑工程有限公司（以下简称路桥公司）与乙方 刘忠友、案外人辛国强签订一份《项目施工管理目标责任书（承包合同书）》，合同约定:</w:t>
      </w:r>
      <w:r>
        <w:rPr>
          <w:color w:val="000000"/>
          <w:spacing w:val="0"/>
          <w:w w:val="100"/>
          <w:position w:val="0"/>
          <w:lang w:val="zh-CN" w:eastAsia="zh-CN" w:bidi="zh-CN"/>
        </w:rPr>
        <w:t xml:space="preserve">“乙 </w:t>
      </w:r>
      <w:r>
        <w:rPr>
          <w:color w:val="000000"/>
          <w:spacing w:val="0"/>
          <w:w w:val="100"/>
          <w:position w:val="0"/>
        </w:rPr>
        <w:t>方作为</w:t>
      </w:r>
      <w:r>
        <w:rPr>
          <w:rFonts w:ascii="Times New Roman" w:hAnsi="Times New Roman" w:eastAsia="Times New Roman" w:cs="Times New Roman"/>
          <w:color w:val="000000"/>
          <w:spacing w:val="0"/>
          <w:w w:val="100"/>
          <w:position w:val="0"/>
          <w:sz w:val="19"/>
          <w:szCs w:val="19"/>
          <w:lang w:val="en-US" w:eastAsia="en-US" w:bidi="en-US"/>
        </w:rPr>
        <w:t>G320</w:t>
      </w:r>
      <w:r>
        <w:rPr>
          <w:color w:val="000000"/>
          <w:spacing w:val="0"/>
          <w:w w:val="100"/>
          <w:position w:val="0"/>
        </w:rPr>
        <w:t>国道进贤绕城新线</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标段工程的实际承包方行使项目经理的权利和义务，代 表甲方实施上述工程项目的施工管理。第一笔融资款到位后，优先偿还刘忠友</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万 元……</w:t>
      </w:r>
      <w:r>
        <w:rPr>
          <w:color w:val="000000"/>
          <w:spacing w:val="0"/>
          <w:w w:val="100"/>
          <w:position w:val="0"/>
          <w:lang w:val="zh-CN" w:eastAsia="zh-CN" w:bidi="zh-CN"/>
        </w:rPr>
        <w:t>”刘忠</w:t>
      </w:r>
      <w:r>
        <w:rPr>
          <w:color w:val="000000"/>
          <w:spacing w:val="0"/>
          <w:w w:val="100"/>
          <w:position w:val="0"/>
        </w:rPr>
        <w:t>友陆续汇给路桥公司</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万元，充作工程保证金。路桥公司于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12 </w:t>
      </w:r>
      <w:r>
        <w:rPr>
          <w:color w:val="000000"/>
          <w:spacing w:val="0"/>
          <w:w w:val="100"/>
          <w:position w:val="0"/>
        </w:rPr>
        <w:t>日将其中</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万元转入南昌市市政建设有限公司（以下简称市政公司）</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市政公司于次日 将该</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万元转入辛国强掌控的江西博世强生物工程有限公司（以下简称博世强公司），转 款事由为“进贤产业园道路排水工程投标保证金”。刘忠友在约定工程迟迟未开工的情况 下，于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日到市政公司对账，发现辛国强所称将</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万元转到市政公司的事 实系虚假,遂要求路桥公司返还</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 xml:space="preserve">万元合同保证金。路桥公司于同日出具承诺书，载明: </w:t>
      </w:r>
      <w:r>
        <w:rPr>
          <w:color w:val="000000"/>
          <w:spacing w:val="0"/>
          <w:w w:val="100"/>
          <w:position w:val="0"/>
          <w:lang w:val="zh-CN" w:eastAsia="zh-CN" w:bidi="zh-CN"/>
        </w:rPr>
        <w:t>“我</w:t>
      </w:r>
      <w:r>
        <w:rPr>
          <w:color w:val="000000"/>
          <w:spacing w:val="0"/>
          <w:w w:val="100"/>
          <w:position w:val="0"/>
        </w:rPr>
        <w:t>公司中标承建的进贤</w:t>
      </w:r>
      <w:r>
        <w:rPr>
          <w:rFonts w:ascii="Times New Roman" w:hAnsi="Times New Roman" w:eastAsia="Times New Roman" w:cs="Times New Roman"/>
          <w:color w:val="000000"/>
          <w:spacing w:val="0"/>
          <w:w w:val="100"/>
          <w:position w:val="0"/>
          <w:sz w:val="19"/>
          <w:szCs w:val="19"/>
          <w:lang w:val="en-US" w:eastAsia="en-US" w:bidi="en-US"/>
        </w:rPr>
        <w:t>G320</w:t>
      </w:r>
      <w:r>
        <w:rPr>
          <w:color w:val="000000"/>
          <w:spacing w:val="0"/>
          <w:w w:val="100"/>
          <w:position w:val="0"/>
        </w:rPr>
        <w:t>绕城公路新线</w:t>
      </w: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标段，于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日与刘忠友、辛国强 签订了内部承包协议，该工程保证金由刘忠友向我公司交纳保证金</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万元，由于种种原 因，该工程近期无法实施。故双方签订的内部协议也无法履行，因此本公司承诺于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 xml:space="preserve">年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日退回刘忠友保证金</w:t>
      </w:r>
      <w:r>
        <w:rPr>
          <w:rFonts w:ascii="Times New Roman" w:hAnsi="Times New Roman" w:eastAsia="Times New Roman" w:cs="Times New Roman"/>
          <w:color w:val="000000"/>
          <w:spacing w:val="0"/>
          <w:w w:val="100"/>
          <w:position w:val="0"/>
          <w:sz w:val="19"/>
          <w:szCs w:val="19"/>
        </w:rPr>
        <w:t>1200</w:t>
      </w:r>
      <w:r>
        <w:rPr>
          <w:color w:val="000000"/>
          <w:spacing w:val="0"/>
          <w:w w:val="100"/>
          <w:position w:val="0"/>
        </w:rPr>
        <w:t>万元、</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日前归还</w:t>
      </w:r>
      <w:r>
        <w:rPr>
          <w:rFonts w:ascii="Times New Roman" w:hAnsi="Times New Roman" w:eastAsia="Times New Roman" w:cs="Times New Roman"/>
          <w:color w:val="000000"/>
          <w:spacing w:val="0"/>
          <w:w w:val="100"/>
          <w:position w:val="0"/>
          <w:sz w:val="19"/>
          <w:szCs w:val="19"/>
        </w:rPr>
        <w:t>800</w:t>
      </w:r>
      <w:r>
        <w:rPr>
          <w:color w:val="000000"/>
          <w:spacing w:val="0"/>
          <w:w w:val="100"/>
          <w:position w:val="0"/>
        </w:rPr>
        <w:t>万元，以上款项的利息 按月息</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及交退款的实际天数计息,亦于</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月底前付清</w:t>
      </w:r>
      <w:r>
        <w:rPr>
          <w:color w:val="000000"/>
          <w:spacing w:val="0"/>
          <w:w w:val="100"/>
          <w:position w:val="0"/>
          <w:lang w:val="zh-CN" w:eastAsia="zh-CN" w:bidi="zh-CN"/>
        </w:rPr>
        <w:t>。”路</w:t>
      </w:r>
      <w:r>
        <w:rPr>
          <w:color w:val="000000"/>
          <w:spacing w:val="0"/>
          <w:w w:val="100"/>
          <w:position w:val="0"/>
        </w:rPr>
        <w:t>桥公司出具承诺书 后，陆续向刘忠友归还</w:t>
      </w:r>
      <w:r>
        <w:rPr>
          <w:rFonts w:ascii="Times New Roman" w:hAnsi="Times New Roman" w:eastAsia="Times New Roman" w:cs="Times New Roman"/>
          <w:color w:val="000000"/>
          <w:spacing w:val="0"/>
          <w:w w:val="100"/>
          <w:position w:val="0"/>
          <w:sz w:val="19"/>
          <w:szCs w:val="19"/>
          <w:lang w:val="en-US" w:eastAsia="en-US" w:bidi="en-US"/>
        </w:rPr>
        <w:t>H20</w:t>
      </w:r>
      <w:r>
        <w:rPr>
          <w:color w:val="000000"/>
          <w:spacing w:val="0"/>
          <w:w w:val="100"/>
          <w:position w:val="0"/>
        </w:rPr>
        <w:t>万元。由于余款迟迟未还,刘忠友起诉要求路桥公司赔偿经济 损失</w:t>
      </w:r>
      <w:r>
        <w:rPr>
          <w:rFonts w:ascii="Times New Roman" w:hAnsi="Times New Roman" w:eastAsia="Times New Roman" w:cs="Times New Roman"/>
          <w:color w:val="000000"/>
          <w:spacing w:val="0"/>
          <w:w w:val="100"/>
          <w:position w:val="0"/>
          <w:sz w:val="19"/>
          <w:szCs w:val="19"/>
        </w:rPr>
        <w:t>880</w:t>
      </w:r>
      <w:r>
        <w:rPr>
          <w:color w:val="000000"/>
          <w:spacing w:val="0"/>
          <w:w w:val="100"/>
          <w:position w:val="0"/>
        </w:rPr>
        <w:t>万元及利息</w:t>
      </w:r>
      <w:r>
        <w:rPr>
          <w:rFonts w:ascii="Times New Roman" w:hAnsi="Times New Roman" w:eastAsia="Times New Roman" w:cs="Times New Roman"/>
          <w:color w:val="000000"/>
          <w:spacing w:val="0"/>
          <w:w w:val="100"/>
          <w:position w:val="0"/>
          <w:sz w:val="19"/>
          <w:szCs w:val="19"/>
        </w:rPr>
        <w:t>98</w:t>
      </w:r>
      <w:r>
        <w:rPr>
          <w:color w:val="000000"/>
          <w:spacing w:val="0"/>
          <w:w w:val="100"/>
          <w:position w:val="0"/>
        </w:rPr>
        <w:t>万元,并要求判令市政公司对路桥公司应承担的</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万元及利息承 担连带返还责任。一审法院认为市政公司与刘忠友之间不存在直接合同关系，也未获得实 际利益，基于合同相对性原则,驳回了刘忠友对市政公司的请求。二审法院认定，市政公司 认为其与辛国强合伙投标另一工程的投标保证金，并将</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万元按辛国强指示以</w:t>
      </w:r>
      <w:r>
        <w:rPr>
          <w:color w:val="000000"/>
          <w:spacing w:val="0"/>
          <w:w w:val="100"/>
          <w:position w:val="0"/>
          <w:lang w:val="zh-CN" w:eastAsia="zh-CN" w:bidi="zh-CN"/>
        </w:rPr>
        <w:t>“投</w:t>
      </w:r>
      <w:r>
        <w:rPr>
          <w:color w:val="000000"/>
          <w:spacing w:val="0"/>
          <w:w w:val="100"/>
          <w:position w:val="0"/>
        </w:rPr>
        <w:t>标保 证金</w:t>
      </w:r>
      <w:r>
        <w:rPr>
          <w:color w:val="000000"/>
          <w:spacing w:val="0"/>
          <w:w w:val="100"/>
          <w:position w:val="0"/>
          <w:lang w:val="zh-CN" w:eastAsia="zh-CN" w:bidi="zh-CN"/>
        </w:rPr>
        <w:t>”的</w:t>
      </w:r>
      <w:r>
        <w:rPr>
          <w:color w:val="000000"/>
          <w:spacing w:val="0"/>
          <w:w w:val="100"/>
          <w:position w:val="0"/>
        </w:rPr>
        <w:t>用途转到博世强公司，而以刘忠友、辛国强合伙体名义由路桥公司转出的</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 仍存放在市政公司。市政公司负有返还</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万元及利息的义务，支持了刘忠友的请求。市 政公司不服二审判决，向最高人民法院（以下简称最高院）申请再审。</w:t>
      </w:r>
    </w:p>
    <w:p w14:paraId="54967B63">
      <w:pPr>
        <w:pStyle w:val="11"/>
        <w:keepNext w:val="0"/>
        <w:keepLines w:val="0"/>
        <w:widowControl w:val="0"/>
        <w:shd w:val="clear" w:color="auto" w:fill="auto"/>
        <w:bidi w:val="0"/>
        <w:spacing w:before="0" w:after="100" w:line="341" w:lineRule="exact"/>
        <w:ind w:left="0" w:right="0" w:firstLine="0"/>
        <w:jc w:val="left"/>
      </w:pPr>
      <w:r>
        <w:rPr>
          <w:rFonts w:ascii="Times New Roman" w:hAnsi="Times New Roman" w:eastAsia="Times New Roman" w:cs="Times New Roman"/>
          <w:b/>
          <w:bCs/>
          <w:color w:val="000000"/>
          <w:spacing w:val="0"/>
          <w:w w:val="100"/>
          <w:position w:val="0"/>
          <w:sz w:val="19"/>
          <w:szCs w:val="19"/>
        </w:rPr>
        <w:t>I</w:t>
      </w:r>
      <w:r>
        <w:rPr>
          <w:color w:val="000000"/>
          <w:spacing w:val="0"/>
          <w:w w:val="100"/>
          <w:position w:val="0"/>
        </w:rPr>
        <w:t>判决要旨</w:t>
      </w:r>
    </w:p>
    <w:p w14:paraId="2DAEA807">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撤销二审判决，维持一审判决。</w:t>
      </w:r>
    </w:p>
    <w:p w14:paraId="0BBC4EF0">
      <w:pPr>
        <w:pStyle w:val="17"/>
        <w:keepNext w:val="0"/>
        <w:keepLines w:val="0"/>
        <w:widowControl w:val="0"/>
        <w:numPr>
          <w:ilvl w:val="0"/>
          <w:numId w:val="36"/>
        </w:numPr>
        <w:shd w:val="clear" w:color="auto" w:fill="auto"/>
        <w:tabs>
          <w:tab w:val="left" w:pos="678"/>
        </w:tabs>
        <w:bidi w:val="0"/>
        <w:spacing w:before="0" w:after="0" w:line="348" w:lineRule="exact"/>
        <w:ind w:left="0" w:right="0" w:firstLine="420"/>
        <w:jc w:val="both"/>
      </w:pPr>
      <w:bookmarkStart w:id="157" w:name="bookmark544"/>
      <w:bookmarkEnd w:id="157"/>
      <w:r>
        <w:rPr>
          <w:color w:val="000000"/>
          <w:spacing w:val="0"/>
          <w:w w:val="100"/>
          <w:position w:val="0"/>
        </w:rPr>
        <w:t>市政公司取得</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万元利益是基于辛国强虚构的合伙投标进贤产业园排水工程，刘 忠友受到</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万元损失是基于辛国强虚构的进贤</w:t>
      </w:r>
      <w:r>
        <w:rPr>
          <w:rFonts w:ascii="Times New Roman" w:hAnsi="Times New Roman" w:eastAsia="Times New Roman" w:cs="Times New Roman"/>
          <w:color w:val="000000"/>
          <w:spacing w:val="0"/>
          <w:w w:val="100"/>
          <w:position w:val="0"/>
          <w:sz w:val="19"/>
          <w:szCs w:val="19"/>
          <w:lang w:val="en-US" w:eastAsia="en-US" w:bidi="en-US"/>
        </w:rPr>
        <w:t>G320</w:t>
      </w:r>
      <w:r>
        <w:rPr>
          <w:color w:val="000000"/>
          <w:spacing w:val="0"/>
          <w:w w:val="100"/>
          <w:position w:val="0"/>
        </w:rPr>
        <w:t>绕城公路工程，似乎不属于严格意 义上的同一原因事实，但整体而言，前述两个虚构行为系辛国强同一合同诈骗犯罪活动的 不同环节，基于公平理念和社会一般观念,应认定两者具有实质上的牵连关系，足以成立因 果关系。基于上述构成要件层面的分析，市政公司和刘忠友之间成立不当得利。</w:t>
      </w:r>
    </w:p>
    <w:p w14:paraId="3AAF7AB8">
      <w:pPr>
        <w:pStyle w:val="17"/>
        <w:keepNext w:val="0"/>
        <w:keepLines w:val="0"/>
        <w:widowControl w:val="0"/>
        <w:numPr>
          <w:ilvl w:val="0"/>
          <w:numId w:val="36"/>
        </w:numPr>
        <w:shd w:val="clear" w:color="auto" w:fill="auto"/>
        <w:tabs>
          <w:tab w:val="left" w:pos="678"/>
        </w:tabs>
        <w:bidi w:val="0"/>
        <w:spacing w:before="0" w:after="320" w:line="360" w:lineRule="exact"/>
        <w:ind w:left="0" w:right="0" w:firstLine="420"/>
        <w:jc w:val="both"/>
      </w:pPr>
      <w:bookmarkStart w:id="158" w:name="bookmark545"/>
      <w:bookmarkEnd w:id="158"/>
      <w:r>
        <w:rPr>
          <w:color w:val="000000"/>
          <w:spacing w:val="0"/>
          <w:w w:val="100"/>
          <w:position w:val="0"/>
        </w:rPr>
        <w:t>市政公司作为善意受益人，因其在收到</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万元的次日即将该款转出,所受利益已不 存在,不应向刘忠友负有返还义务£ .三=畔</w:t>
      </w:r>
    </w:p>
    <w:p w14:paraId="2994DE47">
      <w:pPr>
        <w:pStyle w:val="11"/>
        <w:keepNext w:val="0"/>
        <w:keepLines w:val="0"/>
        <w:widowControl w:val="0"/>
        <w:shd w:val="clear" w:color="auto" w:fill="auto"/>
        <w:bidi w:val="0"/>
        <w:spacing w:before="0" w:after="100" w:line="341" w:lineRule="exact"/>
        <w:ind w:left="0" w:right="0" w:firstLine="0"/>
        <w:jc w:val="both"/>
      </w:pPr>
      <w:r>
        <w:rPr>
          <w:rFonts w:ascii="Times New Roman" w:hAnsi="Times New Roman" w:eastAsia="Times New Roman" w:cs="Times New Roman"/>
          <w:b/>
          <w:bCs/>
          <w:color w:val="000000"/>
          <w:spacing w:val="0"/>
          <w:w w:val="100"/>
          <w:position w:val="0"/>
          <w:sz w:val="19"/>
          <w:szCs w:val="19"/>
        </w:rPr>
        <w:t>I</w:t>
      </w:r>
      <w:r>
        <w:rPr>
          <w:color w:val="000000"/>
          <w:spacing w:val="0"/>
          <w:w w:val="100"/>
          <w:position w:val="0"/>
        </w:rPr>
        <w:t>评析</w:t>
      </w:r>
    </w:p>
    <w:p w14:paraId="12BB42CD">
      <w:pPr>
        <w:pStyle w:val="17"/>
        <w:keepNext w:val="0"/>
        <w:keepLines w:val="0"/>
        <w:widowControl w:val="0"/>
        <w:shd w:val="clear" w:color="auto" w:fill="auto"/>
        <w:bidi w:val="0"/>
        <w:spacing w:before="0" w:after="100" w:line="341" w:lineRule="exact"/>
        <w:ind w:left="0" w:right="0" w:firstLine="0"/>
        <w:jc w:val="both"/>
      </w:pPr>
      <w:r>
        <w:rPr>
          <w:color w:val="000000"/>
          <w:spacing w:val="0"/>
          <w:w w:val="100"/>
          <w:position w:val="0"/>
        </w:rPr>
        <w:t>田本判决的思路和意义</w:t>
      </w:r>
    </w:p>
    <w:p w14:paraId="21D08663">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本案中，最高院一方面认为应区分给付和非给付两类不当得利，在给付不当得利中，应 就给付行为发生当时判断是否构成不当得利，本案中确实存在两个合同关系（刘忠友和路 桥公司的承包合同、辛国强和市政公司的合伙合同），刘忠友遭受</w:t>
      </w:r>
      <w:r>
        <w:rPr>
          <w:color w:val="000000"/>
          <w:spacing w:val="0"/>
          <w:w w:val="100"/>
          <w:position w:val="0"/>
          <w:lang w:val="zh-CN" w:eastAsia="zh-CN" w:bidi="zh-CN"/>
        </w:rPr>
        <w:t>“损失”和市</w:t>
      </w:r>
      <w:r>
        <w:rPr>
          <w:color w:val="000000"/>
          <w:spacing w:val="0"/>
          <w:w w:val="100"/>
          <w:position w:val="0"/>
        </w:rPr>
        <w:t>政公司获得利 益也并非基于同一合同关系;另一方面又认为两个合同都是辛国强诈骗的手段，依公平理 念和社会一般观念,刘忠友受损和市政公司得利之间具有法律上因果关系。因此,市政公 司和刘忠友之间成立不当得利关系。</w:t>
      </w:r>
    </w:p>
    <w:p w14:paraId="3FC88D2A">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在认定不当得利请求权成立后，尚需确定返还范围。针对市政公司提出的已将</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 元转出，所获利益不存在之抗辩,最高院认为现行法中并无善意得利人得利丧失抗辩的规 定。这属于违反规划的应规定而未规定的情况，是开放法律漏洞，可通过类推适用填补。 《民法典》第</w:t>
      </w:r>
      <w:r>
        <w:rPr>
          <w:rFonts w:ascii="Times New Roman" w:hAnsi="Times New Roman" w:eastAsia="Times New Roman" w:cs="Times New Roman"/>
          <w:color w:val="000000"/>
          <w:spacing w:val="0"/>
          <w:w w:val="100"/>
          <w:position w:val="0"/>
          <w:sz w:val="19"/>
          <w:szCs w:val="19"/>
        </w:rPr>
        <w:t>461</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459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460</w:t>
      </w:r>
      <w:r>
        <w:rPr>
          <w:color w:val="000000"/>
          <w:spacing w:val="0"/>
          <w:w w:val="100"/>
          <w:position w:val="0"/>
        </w:rPr>
        <w:t>条中就损害赔偿、费用偿还等问题根据占有人的善恶 意做区分处理，该法理亦可类推于受益人返还义务范围的确定上:如受益人主观上是善意 的，其返还义务的范围应以现存利益为限,无现存利益的，不再负有不当利益的返还义务； 如受益人主观上为恶意，即使无现存利益,也不能免除其返还所受不当利益的义务。此外， 最高院还认为这一规则在比较法上亦有充分支持。</w:t>
      </w:r>
    </w:p>
    <w:p w14:paraId="46DCE50A">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值得注意的是，最高院一方面维持了一审法院的判决结果;另一方面却并未采信其维 持合同相对性的理由。在不当得利事实构成的认定上,一方面认为应区分给付不当得利和 非给付不当得利;另一方面却仍依统一的要件，即“民事主体一方取得利益、取得利益没有 法律根据、取得利益致使民事主体他方受到损失”。</w:t>
      </w:r>
    </w:p>
    <w:p w14:paraId="52FA7E4A">
      <w:pPr>
        <w:pStyle w:val="17"/>
        <w:keepNext w:val="0"/>
        <w:keepLines w:val="0"/>
        <w:widowControl w:val="0"/>
        <w:shd w:val="clear" w:color="auto" w:fill="auto"/>
        <w:bidi w:val="0"/>
        <w:spacing w:before="0" w:after="100" w:line="341" w:lineRule="exact"/>
        <w:ind w:left="0" w:right="0" w:firstLine="420"/>
        <w:jc w:val="both"/>
      </w:pPr>
      <w:r>
        <w:rPr>
          <w:color w:val="000000"/>
          <w:spacing w:val="0"/>
          <w:w w:val="100"/>
          <w:position w:val="0"/>
        </w:rPr>
        <w:t>综上所述，最高院虽意识到了区分类型处理不当得利的必要性,但未在事实构成上贯 彻该区分。在得利返还范围上，最高院识别出存在开放漏洞,并通过体系解释和比较法解 释予以填补。尽管对作为前提的开放漏洞是否存在、体系解释的论证是否充分、比较法解 释是否过于粗疏等存在不同见解,最高院在本判决中体现出的方法论自觉和开放的借鉴态 度，是值得肯定的。</w:t>
      </w:r>
    </w:p>
    <w:p w14:paraId="64D36922">
      <w:pPr>
        <w:pStyle w:val="17"/>
        <w:keepNext w:val="0"/>
        <w:keepLines w:val="0"/>
        <w:widowControl w:val="0"/>
        <w:shd w:val="clear" w:color="auto" w:fill="auto"/>
        <w:bidi w:val="0"/>
        <w:spacing w:before="0" w:after="160" w:line="342"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不当得利当事人确定和善意得利人返还范围的规则与学理</w:t>
      </w:r>
    </w:p>
    <w:p w14:paraId="6BB99D1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在涉及多人的不当得利案件中，如何确定适格当事人一直是理论和实务中的难点问 题。这一问题的解决和不当得利事实构成的认识密切相关。就此，主要存在两种观点:一种 观点认为不当得利的事实构成是统一的，为一方受有利益、他人受损（借他人代价）、受有利 益和他人</w:t>
      </w:r>
      <w:r>
        <w:rPr>
          <w:color w:val="000000"/>
          <w:spacing w:val="0"/>
          <w:w w:val="100"/>
          <w:position w:val="0"/>
          <w:lang w:val="zh-CN" w:eastAsia="zh-CN" w:bidi="zh-CN"/>
        </w:rPr>
        <w:t>“损失”之</w:t>
      </w:r>
      <w:r>
        <w:rPr>
          <w:color w:val="000000"/>
          <w:spacing w:val="0"/>
          <w:w w:val="100"/>
          <w:position w:val="0"/>
        </w:rPr>
        <w:t>间有直接因果关系、无法律上原因,该学说可称为统一说</w:t>
      </w:r>
      <w:r>
        <w:rPr>
          <w:color w:val="000000"/>
          <w:spacing w:val="0"/>
          <w:w w:val="100"/>
          <w:position w:val="0"/>
          <w:sz w:val="11"/>
          <w:szCs w:val="11"/>
        </w:rPr>
        <w:t>（张广兴:《债法总 论》，法律出版社</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97 ~ 106</w:t>
      </w:r>
      <w:r>
        <w:rPr>
          <w:color w:val="000000"/>
          <w:spacing w:val="0"/>
          <w:w w:val="100"/>
          <w:position w:val="0"/>
          <w:sz w:val="11"/>
          <w:szCs w:val="11"/>
        </w:rPr>
        <w:t>页；张俊浩主编：《民法学原理》，中国政法大学出版社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年 版，第</w:t>
      </w:r>
      <w:r>
        <w:rPr>
          <w:rFonts w:ascii="Times New Roman" w:hAnsi="Times New Roman" w:eastAsia="Times New Roman" w:cs="Times New Roman"/>
          <w:color w:val="000000"/>
          <w:spacing w:val="0"/>
          <w:w w:val="100"/>
          <w:position w:val="0"/>
          <w:sz w:val="17"/>
          <w:szCs w:val="17"/>
        </w:rPr>
        <w:t>649</w:t>
      </w:r>
      <w:r>
        <w:rPr>
          <w:color w:val="000000"/>
          <w:spacing w:val="0"/>
          <w:w w:val="100"/>
          <w:position w:val="0"/>
          <w:sz w:val="11"/>
          <w:szCs w:val="11"/>
        </w:rPr>
        <w:t>页；王利明主编：《民法》，中国人民大学出版社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494 ~495</w:t>
      </w:r>
      <w:r>
        <w:rPr>
          <w:color w:val="000000"/>
          <w:spacing w:val="0"/>
          <w:w w:val="100"/>
          <w:position w:val="0"/>
          <w:sz w:val="11"/>
          <w:szCs w:val="11"/>
        </w:rPr>
        <w:t>页；崔建远、韩世远、于 敏:《债法》，清华大学出版社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184</w:t>
      </w:r>
      <w:r>
        <w:rPr>
          <w:color w:val="000000"/>
          <w:spacing w:val="0"/>
          <w:w w:val="100"/>
          <w:position w:val="0"/>
          <w:sz w:val="11"/>
          <w:szCs w:val="11"/>
        </w:rPr>
        <w:t>页；李宇：《民法总则要义：规范释论与判例集注》，法律 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lang w:val="en-US" w:eastAsia="en-US" w:bidi="en-US"/>
        </w:rPr>
        <w:t>379 -381</w:t>
      </w:r>
      <w:r>
        <w:rPr>
          <w:color w:val="000000"/>
          <w:spacing w:val="0"/>
          <w:w w:val="100"/>
          <w:position w:val="0"/>
          <w:sz w:val="11"/>
          <w:szCs w:val="11"/>
        </w:rPr>
        <w:t>页）。</w:t>
      </w:r>
      <w:r>
        <w:rPr>
          <w:color w:val="000000"/>
          <w:spacing w:val="0"/>
          <w:w w:val="100"/>
          <w:position w:val="0"/>
        </w:rPr>
        <w:t xml:space="preserve">另一种观点认为应根据不当得利的发生原因区分不当得 利的事实构成，大略可分为给付型不当得利和非给付不当得利。该学说可称为非统一说［史 </w:t>
      </w:r>
      <w:r>
        <w:rPr>
          <w:color w:val="000000"/>
          <w:spacing w:val="0"/>
          <w:w w:val="100"/>
          <w:position w:val="0"/>
          <w:sz w:val="11"/>
          <w:szCs w:val="11"/>
        </w:rPr>
        <w:t>尚宽:《债法总论》，中国政法大学出版社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77</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83</w:t>
      </w:r>
      <w:r>
        <w:rPr>
          <w:color w:val="000000"/>
          <w:spacing w:val="0"/>
          <w:w w:val="100"/>
          <w:position w:val="0"/>
          <w:sz w:val="11"/>
          <w:szCs w:val="11"/>
        </w:rPr>
        <w:t>页；王泽鉴：《不当得利》（第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版），北京 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35 ~ 38</w:t>
      </w:r>
      <w:r>
        <w:rPr>
          <w:color w:val="000000"/>
          <w:spacing w:val="0"/>
          <w:w w:val="100"/>
          <w:position w:val="0"/>
          <w:sz w:val="11"/>
          <w:szCs w:val="11"/>
        </w:rPr>
        <w:t>页］。</w:t>
      </w:r>
      <w:r>
        <w:rPr>
          <w:color w:val="000000"/>
          <w:spacing w:val="0"/>
          <w:w w:val="100"/>
          <w:position w:val="0"/>
        </w:rPr>
        <w:t>给付型不当得利的事实构成为一方受有利益、因给付获 利、给付目的落空（无法律上原因）。非给付不当得利并非一个类型的不当得利，而是侵害 型不当得利、单纯去除型不当得利等类型的合称;除一方受有利益、非因给付获利、借他人 代价、他人代价和受有利益之间有因果关系这些要件同一外，就何为无法律上原因有不同 的判定标准。给付型不当得利和非给付不当得利是互斥关系,在判定不当得利返还义务人 方面，给付型不当得利依托给付概念，非给付不当得利仰赖法律上因果关系（直接因果关 系）。由于原《民法通则》第</w:t>
      </w:r>
      <w:r>
        <w:rPr>
          <w:rFonts w:ascii="Times New Roman" w:hAnsi="Times New Roman" w:eastAsia="Times New Roman" w:cs="Times New Roman"/>
          <w:color w:val="000000"/>
          <w:spacing w:val="0"/>
          <w:w w:val="100"/>
          <w:position w:val="0"/>
          <w:sz w:val="19"/>
          <w:szCs w:val="19"/>
        </w:rPr>
        <w:t>92</w:t>
      </w:r>
      <w:r>
        <w:rPr>
          <w:color w:val="000000"/>
          <w:spacing w:val="0"/>
          <w:w w:val="100"/>
          <w:position w:val="0"/>
        </w:rPr>
        <w:t>条和原《民法总则》第</w:t>
      </w:r>
      <w:r>
        <w:rPr>
          <w:rFonts w:ascii="Times New Roman" w:hAnsi="Times New Roman" w:eastAsia="Times New Roman" w:cs="Times New Roman"/>
          <w:color w:val="000000"/>
          <w:spacing w:val="0"/>
          <w:w w:val="100"/>
          <w:position w:val="0"/>
          <w:sz w:val="19"/>
          <w:szCs w:val="19"/>
        </w:rPr>
        <w:t>122</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122</w:t>
      </w:r>
      <w:r>
        <w:rPr>
          <w:color w:val="000000"/>
          <w:spacing w:val="0"/>
          <w:w w:val="100"/>
          <w:position w:val="0"/>
        </w:rPr>
        <w:t>条）的文义中 未做</w:t>
      </w:r>
      <w:r>
        <w:rPr>
          <w:color w:val="000000"/>
          <w:spacing w:val="0"/>
          <w:w w:val="100"/>
          <w:position w:val="0"/>
          <w:lang w:val="zh-CN" w:eastAsia="zh-CN" w:bidi="zh-CN"/>
        </w:rPr>
        <w:t>“给付”和“其</w:t>
      </w:r>
      <w:r>
        <w:rPr>
          <w:color w:val="000000"/>
          <w:spacing w:val="0"/>
          <w:w w:val="100"/>
          <w:position w:val="0"/>
        </w:rPr>
        <w:t>他方式</w:t>
      </w:r>
      <w:r>
        <w:rPr>
          <w:color w:val="000000"/>
          <w:spacing w:val="0"/>
          <w:w w:val="100"/>
          <w:position w:val="0"/>
          <w:lang w:val="zh-CN" w:eastAsia="zh-CN" w:bidi="zh-CN"/>
        </w:rPr>
        <w:t>”的</w:t>
      </w:r>
      <w:r>
        <w:rPr>
          <w:color w:val="000000"/>
          <w:spacing w:val="0"/>
          <w:w w:val="100"/>
          <w:position w:val="0"/>
        </w:rPr>
        <w:t>区分,在解释不当得利事实构成时，一般不因发生事由而做区 别对待。但是，在我国台湾地区和德国学说的影响下,非统一说已渐成主流</w:t>
      </w:r>
      <w:r>
        <w:rPr>
          <w:color w:val="000000"/>
          <w:spacing w:val="0"/>
          <w:w w:val="100"/>
          <w:position w:val="0"/>
          <w:sz w:val="11"/>
          <w:szCs w:val="11"/>
        </w:rPr>
        <w:t>（傅广宇:</w:t>
      </w:r>
      <w:r>
        <w:rPr>
          <w:color w:val="000000"/>
          <w:spacing w:val="0"/>
          <w:w w:val="100"/>
          <w:position w:val="0"/>
          <w:sz w:val="11"/>
          <w:szCs w:val="11"/>
          <w:lang w:val="zh-CN" w:eastAsia="zh-CN" w:bidi="zh-CN"/>
        </w:rPr>
        <w:t>《“中</w:t>
      </w:r>
      <w:r>
        <w:rPr>
          <w:color w:val="000000"/>
          <w:spacing w:val="0"/>
          <w:w w:val="100"/>
          <w:position w:val="0"/>
          <w:sz w:val="11"/>
          <w:szCs w:val="11"/>
        </w:rPr>
        <w:t>国 民法典</w:t>
      </w:r>
      <w:r>
        <w:rPr>
          <w:color w:val="000000"/>
          <w:spacing w:val="0"/>
          <w:w w:val="100"/>
          <w:position w:val="0"/>
          <w:sz w:val="11"/>
          <w:szCs w:val="11"/>
          <w:lang w:val="zh-CN" w:eastAsia="zh-CN" w:bidi="zh-CN"/>
        </w:rPr>
        <w:t>”与</w:t>
      </w:r>
      <w:r>
        <w:rPr>
          <w:color w:val="000000"/>
          <w:spacing w:val="0"/>
          <w:w w:val="100"/>
          <w:position w:val="0"/>
          <w:sz w:val="11"/>
          <w:szCs w:val="11"/>
        </w:rPr>
        <w:t>不当得利：回顾与前瞻》，载《华东政法大学学报》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学说上的继受并没有 对立法和司法产生根本影响。立法方面,不仅原《民法总则》第</w:t>
      </w:r>
      <w:r>
        <w:rPr>
          <w:rFonts w:ascii="Times New Roman" w:hAnsi="Times New Roman" w:eastAsia="Times New Roman" w:cs="Times New Roman"/>
          <w:color w:val="000000"/>
          <w:spacing w:val="0"/>
          <w:w w:val="100"/>
          <w:position w:val="0"/>
          <w:sz w:val="19"/>
          <w:szCs w:val="19"/>
        </w:rPr>
        <w:t>122</w:t>
      </w:r>
      <w:r>
        <w:rPr>
          <w:color w:val="000000"/>
          <w:spacing w:val="0"/>
          <w:w w:val="100"/>
          <w:position w:val="0"/>
        </w:rPr>
        <w:t xml:space="preserve">条仍采原《民法通则》第 </w:t>
      </w:r>
      <w:r>
        <w:rPr>
          <w:rFonts w:ascii="Times New Roman" w:hAnsi="Times New Roman" w:eastAsia="Times New Roman" w:cs="Times New Roman"/>
          <w:color w:val="000000"/>
          <w:spacing w:val="0"/>
          <w:w w:val="100"/>
          <w:position w:val="0"/>
          <w:sz w:val="19"/>
          <w:szCs w:val="19"/>
        </w:rPr>
        <w:t>92</w:t>
      </w:r>
      <w:r>
        <w:rPr>
          <w:color w:val="000000"/>
          <w:spacing w:val="0"/>
          <w:w w:val="100"/>
          <w:position w:val="0"/>
        </w:rPr>
        <w:t>条的统一表述，《民法典》第</w:t>
      </w:r>
      <w:r>
        <w:rPr>
          <w:rFonts w:ascii="Times New Roman" w:hAnsi="Times New Roman" w:eastAsia="Times New Roman" w:cs="Times New Roman"/>
          <w:color w:val="000000"/>
          <w:spacing w:val="0"/>
          <w:w w:val="100"/>
          <w:position w:val="0"/>
          <w:sz w:val="19"/>
          <w:szCs w:val="19"/>
        </w:rPr>
        <w:t>985</w:t>
      </w:r>
      <w:r>
        <w:rPr>
          <w:color w:val="000000"/>
          <w:spacing w:val="0"/>
          <w:w w:val="100"/>
          <w:position w:val="0"/>
        </w:rPr>
        <w:t>条也依旧采用非常抽象的表达</w:t>
      </w:r>
      <w:r>
        <w:rPr>
          <w:color w:val="000000"/>
          <w:spacing w:val="0"/>
          <w:w w:val="100"/>
          <w:position w:val="0"/>
          <w:lang w:val="zh-CN" w:eastAsia="zh-CN" w:bidi="zh-CN"/>
        </w:rPr>
        <w:t>，“得</w:t>
      </w:r>
      <w:r>
        <w:rPr>
          <w:color w:val="000000"/>
          <w:spacing w:val="0"/>
          <w:w w:val="100"/>
          <w:position w:val="0"/>
        </w:rPr>
        <w:t xml:space="preserve">利人没有法律根据取 得不当利益的，受损失的人可以请求得利人返还取得的利益”，并没有在法律条文中引入 </w:t>
      </w:r>
      <w:r>
        <w:rPr>
          <w:color w:val="000000"/>
          <w:spacing w:val="0"/>
          <w:w w:val="100"/>
          <w:position w:val="0"/>
          <w:lang w:val="zh-CN" w:eastAsia="zh-CN" w:bidi="zh-CN"/>
        </w:rPr>
        <w:t>“给付”和“其</w:t>
      </w:r>
      <w:r>
        <w:rPr>
          <w:color w:val="000000"/>
          <w:spacing w:val="0"/>
          <w:w w:val="100"/>
          <w:position w:val="0"/>
        </w:rPr>
        <w:t>他方式</w:t>
      </w:r>
      <w:r>
        <w:rPr>
          <w:color w:val="000000"/>
          <w:spacing w:val="0"/>
          <w:w w:val="100"/>
          <w:position w:val="0"/>
          <w:lang w:val="zh-CN" w:eastAsia="zh-CN" w:bidi="zh-CN"/>
        </w:rPr>
        <w:t>”等</w:t>
      </w:r>
      <w:r>
        <w:rPr>
          <w:color w:val="000000"/>
          <w:spacing w:val="0"/>
          <w:w w:val="100"/>
          <w:position w:val="0"/>
        </w:rPr>
        <w:t>原因的区分。司法方面,裁判文书显示司法机关虽然体认不当得利 类型区分的必要性,但难谓完全认识到区分对事实构成的影响，出现了承认给付和非给付 不当得利区分的同时，又在给付型不当得利中使用法律上因果关系这一非给付不当得利中 的事实构成,而未以给付关系来判定不当得利的返还债务人的齟辭。合理的处理应当是: 在给付型不当得利中，以给付关系作为判定当事人的根据。唯有如此,方能贯彻意思自治、 后果自负的原则，让给付人承担自己择定之给付受领人的破产风险,返还义务人可保有对 给付人的抗辩,当事人不受对方和第三人之间关系的侵扰。</w:t>
      </w:r>
    </w:p>
    <w:p w14:paraId="37F1B265">
      <w:pPr>
        <w:pStyle w:val="17"/>
        <w:keepNext w:val="0"/>
        <w:keepLines w:val="0"/>
        <w:widowControl w:val="0"/>
        <w:shd w:val="clear" w:color="auto" w:fill="auto"/>
        <w:bidi w:val="0"/>
        <w:spacing w:before="0" w:after="80" w:line="342" w:lineRule="exact"/>
        <w:ind w:left="0" w:right="0" w:firstLine="420"/>
        <w:jc w:val="both"/>
      </w:pPr>
      <w:r>
        <w:rPr>
          <w:color w:val="000000"/>
          <w:spacing w:val="0"/>
          <w:w w:val="100"/>
          <w:position w:val="0"/>
        </w:rPr>
        <w:t>就善意得利人能否主张在现存利益范围内返还，《民法典》颁布之前的法律和司法解释 一直未作明确规定。原《民法通则》第</w:t>
      </w:r>
      <w:r>
        <w:rPr>
          <w:rFonts w:ascii="Times New Roman" w:hAnsi="Times New Roman" w:eastAsia="Times New Roman" w:cs="Times New Roman"/>
          <w:color w:val="000000"/>
          <w:spacing w:val="0"/>
          <w:w w:val="100"/>
          <w:position w:val="0"/>
          <w:sz w:val="19"/>
          <w:szCs w:val="19"/>
        </w:rPr>
        <w:t>92</w:t>
      </w:r>
      <w:r>
        <w:rPr>
          <w:color w:val="000000"/>
          <w:spacing w:val="0"/>
          <w:w w:val="100"/>
          <w:position w:val="0"/>
        </w:rPr>
        <w:t>条、《民通意见》第</w:t>
      </w:r>
      <w:r>
        <w:rPr>
          <w:rFonts w:ascii="Times New Roman" w:hAnsi="Times New Roman" w:eastAsia="Times New Roman" w:cs="Times New Roman"/>
          <w:color w:val="000000"/>
          <w:spacing w:val="0"/>
          <w:w w:val="100"/>
          <w:position w:val="0"/>
          <w:sz w:val="19"/>
          <w:szCs w:val="19"/>
        </w:rPr>
        <w:t>131</w:t>
      </w:r>
      <w:r>
        <w:rPr>
          <w:color w:val="000000"/>
          <w:spacing w:val="0"/>
          <w:w w:val="100"/>
          <w:position w:val="0"/>
        </w:rPr>
        <w:t>条、原《合同法》第</w:t>
      </w:r>
      <w:r>
        <w:rPr>
          <w:rFonts w:ascii="Times New Roman" w:hAnsi="Times New Roman" w:eastAsia="Times New Roman" w:cs="Times New Roman"/>
          <w:color w:val="000000"/>
          <w:spacing w:val="0"/>
          <w:w w:val="100"/>
          <w:position w:val="0"/>
          <w:sz w:val="19"/>
          <w:szCs w:val="19"/>
        </w:rPr>
        <w:t>58</w:t>
      </w:r>
      <w:r>
        <w:rPr>
          <w:color w:val="000000"/>
          <w:spacing w:val="0"/>
          <w:w w:val="100"/>
          <w:position w:val="0"/>
        </w:rPr>
        <w:t>条、原 《民法总贝</w:t>
      </w:r>
      <w:r>
        <w:rPr>
          <w:rFonts w:ascii="Times New Roman" w:hAnsi="Times New Roman" w:eastAsia="Times New Roman" w:cs="Times New Roman"/>
          <w:color w:val="000000"/>
          <w:spacing w:val="0"/>
          <w:w w:val="100"/>
          <w:position w:val="0"/>
          <w:sz w:val="19"/>
          <w:szCs w:val="19"/>
        </w:rPr>
        <w:t>0</w:t>
      </w:r>
      <w:r>
        <w:rPr>
          <w:color w:val="000000"/>
          <w:spacing w:val="0"/>
          <w:w w:val="100"/>
          <w:position w:val="0"/>
        </w:rPr>
        <w:t>》第</w:t>
      </w:r>
      <w:r>
        <w:rPr>
          <w:rFonts w:ascii="Times New Roman" w:hAnsi="Times New Roman" w:eastAsia="Times New Roman" w:cs="Times New Roman"/>
          <w:color w:val="000000"/>
          <w:spacing w:val="0"/>
          <w:w w:val="100"/>
          <w:position w:val="0"/>
          <w:sz w:val="19"/>
          <w:szCs w:val="19"/>
        </w:rPr>
        <w:t>122</w:t>
      </w:r>
      <w:r>
        <w:rPr>
          <w:color w:val="000000"/>
          <w:spacing w:val="0"/>
          <w:w w:val="100"/>
          <w:position w:val="0"/>
        </w:rPr>
        <w:t>条都只是规定了返还取得的不当利益（原物和孳息），并未言明初始取得 的利益在返还义务届期不复存在时,得利人究竟按现状返还,还是返还初始取得的全部利</w:t>
      </w:r>
    </w:p>
    <w:p w14:paraId="213827D5">
      <w:pPr>
        <w:pStyle w:val="17"/>
        <w:keepNext w:val="0"/>
        <w:keepLines w:val="0"/>
        <w:widowControl w:val="0"/>
        <w:shd w:val="clear" w:color="auto" w:fill="auto"/>
        <w:bidi w:val="0"/>
        <w:spacing w:before="0" w:after="0" w:line="342" w:lineRule="exact"/>
        <w:ind w:left="0" w:right="0" w:firstLine="0"/>
        <w:jc w:val="both"/>
      </w:pPr>
      <w:r>
        <w:rPr>
          <w:color w:val="000000"/>
          <w:spacing w:val="0"/>
          <w:w w:val="100"/>
          <w:position w:val="0"/>
        </w:rPr>
        <w:t>益。通说认为应区分得利人的善恶意为不同对待,善意得利人仅需按现状返还，恶意得利 人则需返还取得的全部利益</w:t>
      </w:r>
      <w:r>
        <w:rPr>
          <w:color w:val="000000"/>
          <w:spacing w:val="0"/>
          <w:w w:val="100"/>
          <w:position w:val="0"/>
          <w:sz w:val="11"/>
          <w:szCs w:val="11"/>
        </w:rPr>
        <w:t>（崔建远:《债法总论》，法律出版社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302</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305</w:t>
      </w:r>
      <w:r>
        <w:rPr>
          <w:color w:val="000000"/>
          <w:spacing w:val="0"/>
          <w:w w:val="100"/>
          <w:position w:val="0"/>
          <w:sz w:val="11"/>
          <w:szCs w:val="11"/>
        </w:rPr>
        <w:t>页；李永军： 《合同法》，法律出版社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407</w:t>
      </w:r>
      <w:r>
        <w:rPr>
          <w:color w:val="000000"/>
          <w:spacing w:val="0"/>
          <w:w w:val="100"/>
          <w:position w:val="0"/>
          <w:sz w:val="11"/>
          <w:szCs w:val="11"/>
        </w:rPr>
        <w:t>页）。</w:t>
      </w:r>
      <w:r>
        <w:rPr>
          <w:color w:val="000000"/>
          <w:spacing w:val="0"/>
          <w:w w:val="100"/>
          <w:position w:val="0"/>
        </w:rPr>
        <w:t>对既有之规范,有两种观点:一种观点认为存在开 放漏洞，因为现行法律中未做应为的区分规定</w:t>
      </w:r>
      <w:r>
        <w:rPr>
          <w:color w:val="000000"/>
          <w:spacing w:val="0"/>
          <w:w w:val="100"/>
          <w:position w:val="0"/>
          <w:sz w:val="11"/>
          <w:szCs w:val="11"/>
        </w:rPr>
        <w:t>（张广兴:《债法总论》，法律出版社</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sz w:val="11"/>
          <w:szCs w:val="11"/>
        </w:rPr>
        <w:t xml:space="preserve">年版，第 </w:t>
      </w:r>
      <w:r>
        <w:rPr>
          <w:rFonts w:ascii="Times New Roman" w:hAnsi="Times New Roman" w:eastAsia="Times New Roman" w:cs="Times New Roman"/>
          <w:color w:val="000000"/>
          <w:spacing w:val="0"/>
          <w:w w:val="100"/>
          <w:position w:val="0"/>
          <w:sz w:val="17"/>
          <w:szCs w:val="17"/>
          <w:lang w:val="en-US" w:eastAsia="en-US" w:bidi="en-US"/>
        </w:rPr>
        <w:t>109-110</w:t>
      </w:r>
      <w:r>
        <w:rPr>
          <w:color w:val="000000"/>
          <w:spacing w:val="0"/>
          <w:w w:val="100"/>
          <w:position w:val="0"/>
          <w:sz w:val="11"/>
          <w:szCs w:val="11"/>
        </w:rPr>
        <w:t>页）；</w:t>
      </w:r>
      <w:r>
        <w:rPr>
          <w:color w:val="000000"/>
          <w:spacing w:val="0"/>
          <w:w w:val="100"/>
          <w:position w:val="0"/>
        </w:rPr>
        <w:t>另一种观点认为不存在漏洞，其理由是对《民法通则》第</w:t>
      </w:r>
      <w:r>
        <w:rPr>
          <w:rFonts w:ascii="Times New Roman" w:hAnsi="Times New Roman" w:eastAsia="Times New Roman" w:cs="Times New Roman"/>
          <w:color w:val="000000"/>
          <w:spacing w:val="0"/>
          <w:w w:val="100"/>
          <w:position w:val="0"/>
          <w:sz w:val="19"/>
          <w:szCs w:val="19"/>
        </w:rPr>
        <w:t>92</w:t>
      </w:r>
      <w:r>
        <w:rPr>
          <w:color w:val="000000"/>
          <w:spacing w:val="0"/>
          <w:w w:val="100"/>
          <w:position w:val="0"/>
        </w:rPr>
        <w:t>条做目的性解释可 得出“益损相抵”的原理，因为不当得利旨在取缔不当利益,不可因此加损害于返还义务人。 该解释足以得出善意得利人的返还范围限于现存利益的结论</w:t>
      </w:r>
      <w:r>
        <w:rPr>
          <w:color w:val="000000"/>
          <w:spacing w:val="0"/>
          <w:w w:val="100"/>
          <w:position w:val="0"/>
          <w:sz w:val="11"/>
          <w:szCs w:val="11"/>
        </w:rPr>
        <w:t>［孙维飞:《（</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最高法民再</w:t>
      </w:r>
      <w:r>
        <w:rPr>
          <w:rFonts w:ascii="Times New Roman" w:hAnsi="Times New Roman" w:eastAsia="Times New Roman" w:cs="Times New Roman"/>
          <w:color w:val="000000"/>
          <w:spacing w:val="0"/>
          <w:w w:val="100"/>
          <w:position w:val="0"/>
          <w:sz w:val="17"/>
          <w:szCs w:val="17"/>
        </w:rPr>
        <w:t xml:space="preserve">287 </w:t>
      </w:r>
      <w:r>
        <w:rPr>
          <w:color w:val="000000"/>
          <w:spacing w:val="0"/>
          <w:w w:val="100"/>
          <w:position w:val="0"/>
          <w:sz w:val="11"/>
          <w:szCs w:val="11"/>
        </w:rPr>
        <w:t>号民事判决（不当得利返还范围）法学方法评析》，载清格法律研习社:</w:t>
      </w:r>
      <w:r>
        <w:rPr>
          <w:rFonts w:ascii="Times New Roman" w:hAnsi="Times New Roman" w:eastAsia="Times New Roman" w:cs="Times New Roman"/>
          <w:color w:val="000000"/>
          <w:spacing w:val="0"/>
          <w:w w:val="100"/>
          <w:position w:val="0"/>
          <w:sz w:val="17"/>
          <w:szCs w:val="17"/>
          <w:lang w:val="en-US" w:eastAsia="en-US" w:bidi="en-US"/>
        </w:rPr>
        <w:t>https</w:t>
      </w:r>
      <w:r>
        <w:rPr>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 xml:space="preserve">//mp. weixin. qq. com/s/ wOR </w:t>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lang w:val="en-US" w:eastAsia="en-US" w:bidi="en-US"/>
        </w:rPr>
        <w:t xml:space="preserve">bipks </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000000"/>
          <w:spacing w:val="0"/>
          <w:w w:val="100"/>
          <w:position w:val="0"/>
          <w:sz w:val="17"/>
          <w:szCs w:val="17"/>
          <w:lang w:val="en-US" w:eastAsia="en-US" w:bidi="en-US"/>
        </w:rPr>
        <w:t>N0hLhmf5G2yw,2018</w:t>
      </w:r>
      <w:r>
        <w:rPr>
          <w:color w:val="000000"/>
          <w:spacing w:val="0"/>
          <w:w w:val="100"/>
          <w:position w:val="0"/>
          <w:sz w:val="11"/>
          <w:szCs w:val="11"/>
        </w:rPr>
        <w:t>年</w:t>
      </w:r>
      <w:r>
        <w:rPr>
          <w:rFonts w:ascii="Times New Roman" w:hAnsi="Times New Roman" w:eastAsia="Times New Roman" w:cs="Times New Roman"/>
          <w:color w:val="000000"/>
          <w:spacing w:val="0"/>
          <w:w w:val="100"/>
          <w:position w:val="0"/>
          <w:sz w:val="17"/>
          <w:szCs w:val="17"/>
          <w:lang w:val="en-US" w:eastAsia="en-US" w:bidi="en-US"/>
        </w:rPr>
        <w:t>10</w:t>
      </w:r>
      <w:r>
        <w:rPr>
          <w:color w:val="000000"/>
          <w:spacing w:val="0"/>
          <w:w w:val="100"/>
          <w:position w:val="0"/>
          <w:sz w:val="11"/>
          <w:szCs w:val="11"/>
        </w:rPr>
        <w:t>月</w:t>
      </w:r>
      <w:r>
        <w:rPr>
          <w:rFonts w:ascii="Times New Roman" w:hAnsi="Times New Roman" w:eastAsia="Times New Roman" w:cs="Times New Roman"/>
          <w:color w:val="000000"/>
          <w:spacing w:val="0"/>
          <w:w w:val="100"/>
          <w:position w:val="0"/>
          <w:sz w:val="17"/>
          <w:szCs w:val="17"/>
          <w:lang w:val="en-US" w:eastAsia="en-US" w:bidi="en-US"/>
        </w:rPr>
        <w:t>28</w:t>
      </w:r>
      <w:r>
        <w:rPr>
          <w:color w:val="000000"/>
          <w:spacing w:val="0"/>
          <w:w w:val="100"/>
          <w:position w:val="0"/>
          <w:sz w:val="11"/>
          <w:szCs w:val="11"/>
        </w:rPr>
        <w:t>日最后访问］。</w:t>
      </w:r>
      <w:r>
        <w:rPr>
          <w:color w:val="000000"/>
          <w:spacing w:val="0"/>
          <w:w w:val="100"/>
          <w:position w:val="0"/>
        </w:rPr>
        <w:t>《民法典》第</w:t>
      </w:r>
      <w:r>
        <w:rPr>
          <w:rFonts w:ascii="Times New Roman" w:hAnsi="Times New Roman" w:eastAsia="Times New Roman" w:cs="Times New Roman"/>
          <w:color w:val="000000"/>
          <w:spacing w:val="0"/>
          <w:w w:val="100"/>
          <w:position w:val="0"/>
          <w:sz w:val="17"/>
          <w:szCs w:val="17"/>
        </w:rPr>
        <w:t>986</w:t>
      </w:r>
      <w:r>
        <w:rPr>
          <w:color w:val="000000"/>
          <w:spacing w:val="0"/>
          <w:w w:val="100"/>
          <w:position w:val="0"/>
        </w:rPr>
        <w:t>条对此作出了明 确规定，其内容为:</w:t>
      </w:r>
      <w:r>
        <w:rPr>
          <w:color w:val="000000"/>
          <w:spacing w:val="0"/>
          <w:w w:val="100"/>
          <w:position w:val="0"/>
          <w:lang w:val="zh-CN" w:eastAsia="zh-CN" w:bidi="zh-CN"/>
        </w:rPr>
        <w:t>“得利</w:t>
      </w:r>
      <w:r>
        <w:rPr>
          <w:color w:val="000000"/>
          <w:spacing w:val="0"/>
          <w:w w:val="100"/>
          <w:position w:val="0"/>
        </w:rPr>
        <w:t>人不知道且不应当知道获得的利益没有法律根据，取得的利益已 经不存在的，不承担返还该利益的义务</w:t>
      </w:r>
      <w:r>
        <w:rPr>
          <w:color w:val="000000"/>
          <w:spacing w:val="0"/>
          <w:w w:val="100"/>
          <w:position w:val="0"/>
          <w:lang w:val="zh-CN" w:eastAsia="zh-CN" w:bidi="zh-CN"/>
        </w:rPr>
        <w:t>。”故</w:t>
      </w:r>
      <w:r>
        <w:rPr>
          <w:color w:val="000000"/>
          <w:spacing w:val="0"/>
          <w:w w:val="100"/>
          <w:position w:val="0"/>
        </w:rPr>
        <w:t>随着《民法典》的颁行，这一理论争议已经消弭。</w:t>
      </w:r>
    </w:p>
    <w:p w14:paraId="4C10E264">
      <w:pPr>
        <w:pStyle w:val="17"/>
        <w:keepNext w:val="0"/>
        <w:keepLines w:val="0"/>
        <w:widowControl w:val="0"/>
        <w:shd w:val="clear" w:color="auto" w:fill="auto"/>
        <w:bidi w:val="0"/>
        <w:spacing w:before="0" w:after="280" w:line="346" w:lineRule="exact"/>
        <w:ind w:left="0" w:right="0" w:firstLine="420"/>
        <w:jc w:val="both"/>
      </w:pPr>
      <w:r>
        <w:rPr>
          <w:color w:val="000000"/>
          <w:spacing w:val="0"/>
          <w:w w:val="100"/>
          <w:position w:val="0"/>
        </w:rPr>
        <w:t>除此之外，最高院认为只要将</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万元转出给博世强公司即构成所得利益的丧失，似误 解了所得利益丧失的判定。所得利益丧失以得利人的整体利益状况为观察对象，判定初始 所获是否还存于得利人财产中。在本案中，市政公司将从路桥公司转来的</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万元再转给 博世强公司，有两种可能:一种是履行和博世强公司之间有效的合同;另一种是误偿对博世 强公司不存在的债务。若为前者,市政公司转出</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万元会导致其对博世强公司的</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 金钱债务的消灭，在其财产内仍有</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万元的增益。若为后者,市政公司转出</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万元后对 博世强公司取得不当得利返还债权，其财产中有</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万元债权的增益。无论如何，不能因市 政公司转出初始获得的</w:t>
      </w:r>
      <w:r>
        <w:rPr>
          <w:rFonts w:ascii="Times New Roman" w:hAnsi="Times New Roman" w:eastAsia="Times New Roman" w:cs="Times New Roman"/>
          <w:color w:val="000000"/>
          <w:spacing w:val="0"/>
          <w:w w:val="100"/>
          <w:position w:val="0"/>
          <w:sz w:val="19"/>
          <w:szCs w:val="19"/>
        </w:rPr>
        <w:t>600</w:t>
      </w:r>
      <w:r>
        <w:rPr>
          <w:color w:val="000000"/>
          <w:spacing w:val="0"/>
          <w:w w:val="100"/>
          <w:position w:val="0"/>
        </w:rPr>
        <w:t>万元就径直认为该得利在其财产中不存在，而要视得利人整体 财产是否还有增益而定。</w:t>
      </w:r>
    </w:p>
    <w:p w14:paraId="6D8842B7">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655128D1">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在牵涉多人的不当得利案件中，最高院间或认为，若得利人是因有效合同获得利益的， 则其获得利益具有法律上的原因，不构成不当得利。如在</w:t>
      </w:r>
      <w:r>
        <w:rPr>
          <w:color w:val="000000"/>
          <w:spacing w:val="0"/>
          <w:w w:val="100"/>
          <w:position w:val="0"/>
          <w:lang w:val="zh-CN" w:eastAsia="zh-CN" w:bidi="zh-CN"/>
        </w:rPr>
        <w:t>“黎明</w:t>
      </w:r>
      <w:r>
        <w:rPr>
          <w:color w:val="000000"/>
          <w:spacing w:val="0"/>
          <w:w w:val="100"/>
          <w:position w:val="0"/>
        </w:rPr>
        <w:t>、新疆维吾尔自治区烟草公 司不当得利纠纷案</w:t>
      </w:r>
      <w:r>
        <w:rPr>
          <w:color w:val="000000"/>
          <w:spacing w:val="0"/>
          <w:w w:val="100"/>
          <w:position w:val="0"/>
          <w:sz w:val="11"/>
          <w:szCs w:val="11"/>
          <w:lang w:val="zh-CN" w:eastAsia="zh-CN" w:bidi="zh-CN"/>
        </w:rPr>
        <w:t>”［最</w:t>
      </w:r>
      <w:r>
        <w:rPr>
          <w:color w:val="000000"/>
          <w:spacing w:val="0"/>
          <w:w w:val="100"/>
          <w:position w:val="0"/>
          <w:sz w:val="11"/>
          <w:szCs w:val="11"/>
        </w:rPr>
        <w:t>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最高法民终</w:t>
      </w:r>
      <w:r>
        <w:rPr>
          <w:rFonts w:ascii="Times New Roman" w:hAnsi="Times New Roman" w:eastAsia="Times New Roman" w:cs="Times New Roman"/>
          <w:color w:val="000000"/>
          <w:spacing w:val="0"/>
          <w:w w:val="100"/>
          <w:position w:val="0"/>
          <w:sz w:val="17"/>
          <w:szCs w:val="17"/>
        </w:rPr>
        <w:t>157</w:t>
      </w:r>
      <w:r>
        <w:rPr>
          <w:color w:val="000000"/>
          <w:spacing w:val="0"/>
          <w:w w:val="100"/>
          <w:position w:val="0"/>
          <w:sz w:val="11"/>
          <w:szCs w:val="11"/>
        </w:rPr>
        <w:t>号民事判决书］</w:t>
      </w:r>
      <w:r>
        <w:rPr>
          <w:color w:val="000000"/>
          <w:spacing w:val="0"/>
          <w:w w:val="100"/>
          <w:position w:val="0"/>
        </w:rPr>
        <w:t xml:space="preserve">中，裁判理由述明： </w:t>
      </w:r>
      <w:r>
        <w:rPr>
          <w:color w:val="000000"/>
          <w:spacing w:val="0"/>
          <w:w w:val="100"/>
          <w:position w:val="0"/>
          <w:lang w:val="zh-CN" w:eastAsia="zh-CN" w:bidi="zh-CN"/>
        </w:rPr>
        <w:t>“《土</w:t>
      </w:r>
      <w:r>
        <w:rPr>
          <w:color w:val="000000"/>
          <w:spacing w:val="0"/>
          <w:w w:val="100"/>
          <w:position w:val="0"/>
        </w:rPr>
        <w:t>地承包协议书》系温泉县人民政府与新疆烟叶公司所签订，系双方真实意思表示，合法 有效。温泉县人民政府作为合同的一方，取得合同利益不存在不当得利的情形。……黎明 不是《土地承包协议书》的合同相对方,对温泉县人民政府主张不当得利的依据不足，一审 判决认定不当，本院予以纠正</w:t>
      </w:r>
      <w:r>
        <w:rPr>
          <w:color w:val="000000"/>
          <w:spacing w:val="0"/>
          <w:w w:val="100"/>
          <w:position w:val="0"/>
          <w:lang w:val="zh-CN" w:eastAsia="zh-CN" w:bidi="zh-CN"/>
        </w:rPr>
        <w:t>。”即</w:t>
      </w:r>
      <w:r>
        <w:rPr>
          <w:color w:val="000000"/>
          <w:spacing w:val="0"/>
          <w:w w:val="100"/>
          <w:position w:val="0"/>
        </w:rPr>
        <w:t>在给付型不当得利中，未以损益间因果关系为判定返还 义务人的标准，而是以合同给付关系为判定依据。</w:t>
      </w:r>
    </w:p>
    <w:p w14:paraId="6A246D22">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本判决的影响及将来的课题</w:t>
      </w:r>
    </w:p>
    <w:p w14:paraId="3DA2DDD0">
      <w:pPr>
        <w:pStyle w:val="17"/>
        <w:keepNext w:val="0"/>
        <w:keepLines w:val="0"/>
        <w:widowControl w:val="0"/>
        <w:shd w:val="clear" w:color="auto" w:fill="auto"/>
        <w:bidi w:val="0"/>
        <w:spacing w:before="0" w:after="360" w:line="344" w:lineRule="exact"/>
        <w:ind w:left="0" w:right="0" w:firstLine="420"/>
        <w:jc w:val="both"/>
        <w:sectPr>
          <w:headerReference r:id="rId505" w:type="default"/>
          <w:headerReference r:id="rId506" w:type="even"/>
          <w:footnotePr>
            <w:numFmt w:val="chicago"/>
          </w:footnotePr>
          <w:pgSz w:w="10099" w:h="14782"/>
          <w:pgMar w:top="1332" w:right="989" w:bottom="1082" w:left="1108" w:header="0" w:footer="3" w:gutter="0"/>
          <w:pgNumType w:start="431"/>
          <w:cols w:space="720" w:num="1"/>
          <w:rtlGutter w:val="0"/>
          <w:docGrid w:linePitch="360" w:charSpace="0"/>
        </w:sectPr>
      </w:pPr>
      <w:r>
        <w:rPr>
          <w:color w:val="000000"/>
          <w:spacing w:val="0"/>
          <w:w w:val="100"/>
          <w:position w:val="0"/>
        </w:rPr>
        <w:t xml:space="preserve">本判决表明最高院已经认为应区分给付型不当得利和非给付不当得利去处理不当得 利的当事人确定问题，但是仍未脱离统一说，未能将给付关系作为判定给付型不当得利中 当事人的依据。由此导致非统一说本应带来的尊重当事人自主决定后果、简化和稳定裁判 标准的功能几乎消失殆尽。不得不谓得其形，而失其神。即便要仍采因果关系作为认定依 </w:t>
      </w:r>
    </w:p>
    <w:p w14:paraId="6E97793C">
      <w:pPr>
        <w:pStyle w:val="17"/>
        <w:keepNext w:val="0"/>
        <w:keepLines w:val="0"/>
        <w:widowControl w:val="0"/>
        <w:shd w:val="clear" w:color="auto" w:fill="auto"/>
        <w:bidi w:val="0"/>
        <w:spacing w:before="0" w:after="360" w:line="344" w:lineRule="exact"/>
        <w:ind w:left="0" w:right="0" w:firstLine="0"/>
        <w:jc w:val="both"/>
      </w:pPr>
      <w:r>
        <w:rPr>
          <w:color w:val="000000"/>
          <w:spacing w:val="0"/>
          <w:w w:val="100"/>
          <w:position w:val="0"/>
        </w:rPr>
        <w:t>据,最高院在本案中突破了传统的直接财货变动的判定标准，而以</w:t>
      </w:r>
      <w:r>
        <w:rPr>
          <w:color w:val="000000"/>
          <w:spacing w:val="0"/>
          <w:w w:val="100"/>
          <w:position w:val="0"/>
          <w:lang w:val="zh-CN" w:eastAsia="zh-CN" w:bidi="zh-CN"/>
        </w:rPr>
        <w:t>“基</w:t>
      </w:r>
      <w:r>
        <w:rPr>
          <w:color w:val="000000"/>
          <w:spacing w:val="0"/>
          <w:w w:val="100"/>
          <w:position w:val="0"/>
        </w:rPr>
        <w:t>于公平理念和社会一 般观念，应当认定两者之间具有实质上的牵连关系</w:t>
      </w:r>
      <w:r>
        <w:rPr>
          <w:color w:val="000000"/>
          <w:spacing w:val="0"/>
          <w:w w:val="100"/>
          <w:position w:val="0"/>
          <w:lang w:val="zh-CN" w:eastAsia="zh-CN" w:bidi="zh-CN"/>
        </w:rPr>
        <w:t>”为由</w:t>
      </w:r>
      <w:r>
        <w:rPr>
          <w:color w:val="000000"/>
          <w:spacing w:val="0"/>
          <w:w w:val="100"/>
          <w:position w:val="0"/>
        </w:rPr>
        <w:t>，认定成立法律上的因果关系。但 突破直接财货变动变动标准后，如何认定实质上的关系有待进一步澄清和论证，裁判标准 统一的困难也大大增加。在得利返还范围确定上，本案依得利人善恶意区分对待是一大进 步,但就得利是否真的不复存在并未作出令人信服的论证。此外,在双务合同中，善意得利 人的得利丧失抗辩在多大程度上要受到限制是今后仍需探讨的问题。</w:t>
      </w:r>
    </w:p>
    <w:p w14:paraId="46C09E5D">
      <w:pPr>
        <w:pStyle w:val="11"/>
        <w:keepNext w:val="0"/>
        <w:keepLines w:val="0"/>
        <w:widowControl w:val="0"/>
        <w:shd w:val="clear" w:color="auto" w:fill="auto"/>
        <w:bidi w:val="0"/>
        <w:spacing w:before="0" w:after="200" w:line="339" w:lineRule="exact"/>
        <w:ind w:left="0" w:right="0" w:firstLine="0"/>
        <w:jc w:val="left"/>
      </w:pPr>
      <w:r>
        <w:rPr>
          <w:i/>
          <w:iCs/>
          <w:color w:val="000000"/>
          <w:spacing w:val="0"/>
          <w:w w:val="100"/>
          <w:position w:val="0"/>
        </w:rPr>
        <w:t>回</w:t>
      </w:r>
      <w:r>
        <w:rPr>
          <w:color w:val="000000"/>
          <w:spacing w:val="0"/>
          <w:w w:val="100"/>
          <w:position w:val="0"/>
        </w:rPr>
        <w:t>参考文献</w:t>
      </w:r>
    </w:p>
    <w:p w14:paraId="1358ECA5">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王泽鉴:《不当得利》（第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版），北京大学出版社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36F0AACA">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史尚宽:《债法总论》，中国政法大学出版社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29DFEF28">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张广兴:《债法总论》，法律出版社</w:t>
      </w:r>
      <w:r>
        <w:rPr>
          <w:rFonts w:ascii="Times New Roman" w:hAnsi="Times New Roman" w:eastAsia="Times New Roman" w:cs="Times New Roman"/>
          <w:color w:val="000000"/>
          <w:spacing w:val="0"/>
          <w:w w:val="100"/>
          <w:position w:val="0"/>
          <w:sz w:val="17"/>
          <w:szCs w:val="17"/>
        </w:rPr>
        <w:t>1997</w:t>
      </w:r>
      <w:r>
        <w:rPr>
          <w:color w:val="000000"/>
          <w:spacing w:val="0"/>
          <w:w w:val="100"/>
          <w:position w:val="0"/>
        </w:rPr>
        <w:t>年版。</w:t>
      </w:r>
    </w:p>
    <w:p w14:paraId="28F450B6">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张俊浩主编:《民法学原理》，中国政法大学出版社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0CBCACB2">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王利明主编：《民法》，中国人民大学出版社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rPr>
        <w:t>年版。</w:t>
      </w:r>
    </w:p>
    <w:p w14:paraId="306F237B">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李永军:《合同法》，法律出版社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3EED22C9">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崔建远、韩世远、于敏:《债法》，清华大学出版社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0597D38E">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崔建远:《债法总论》，法律出版社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1F69D39A">
      <w:pPr>
        <w:pStyle w:val="33"/>
        <w:keepNext w:val="0"/>
        <w:keepLines w:val="0"/>
        <w:widowControl w:val="0"/>
        <w:shd w:val="clear" w:color="auto" w:fill="auto"/>
        <w:bidi w:val="0"/>
        <w:spacing w:before="0" w:after="140" w:line="240" w:lineRule="auto"/>
        <w:ind w:left="0" w:right="0" w:firstLine="0"/>
        <w:jc w:val="left"/>
      </w:pPr>
      <w:r>
        <w:rPr>
          <w:color w:val="000000"/>
          <w:spacing w:val="0"/>
          <w:w w:val="100"/>
          <w:position w:val="0"/>
        </w:rPr>
        <w:t>李宇：《民法总则要义:规范释论与判解集注》，法律出版社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64DDE773">
      <w:pPr>
        <w:pStyle w:val="33"/>
        <w:keepNext w:val="0"/>
        <w:keepLines w:val="0"/>
        <w:widowControl w:val="0"/>
        <w:shd w:val="clear" w:color="auto" w:fill="auto"/>
        <w:bidi w:val="0"/>
        <w:spacing w:before="0" w:after="140" w:line="240" w:lineRule="auto"/>
        <w:ind w:left="0" w:right="0" w:firstLine="0"/>
        <w:jc w:val="left"/>
        <w:sectPr>
          <w:headerReference r:id="rId507" w:type="default"/>
          <w:headerReference r:id="rId508" w:type="even"/>
          <w:footnotePr>
            <w:numFmt w:val="chicago"/>
          </w:footnotePr>
          <w:type w:val="continuous"/>
          <w:pgSz w:w="10099" w:h="14782"/>
          <w:pgMar w:top="1332" w:right="989" w:bottom="1082" w:left="1108" w:header="0" w:footer="654" w:gutter="0"/>
          <w:cols w:space="720" w:num="1"/>
          <w:rtlGutter w:val="0"/>
          <w:docGrid w:linePitch="360" w:charSpace="0"/>
        </w:sectPr>
      </w:pPr>
      <w:r>
        <w:rPr>
          <w:color w:val="000000"/>
          <w:spacing w:val="0"/>
          <w:w w:val="100"/>
          <w:position w:val="0"/>
        </w:rPr>
        <w:t>傅广宇:</w:t>
      </w:r>
      <w:r>
        <w:rPr>
          <w:color w:val="000000"/>
          <w:spacing w:val="0"/>
          <w:w w:val="100"/>
          <w:position w:val="0"/>
          <w:lang w:val="zh-CN" w:eastAsia="zh-CN" w:bidi="zh-CN"/>
        </w:rPr>
        <w:t>《“中</w:t>
      </w:r>
      <w:r>
        <w:rPr>
          <w:color w:val="000000"/>
          <w:spacing w:val="0"/>
          <w:w w:val="100"/>
          <w:position w:val="0"/>
        </w:rPr>
        <w:t>国民法典”与不当得利：回顾与前瞻》，载《华东政法大学学报》</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9740CCD">
      <w:pPr>
        <w:widowControl w:val="0"/>
        <w:spacing w:line="1" w:lineRule="exact"/>
      </w:pPr>
      <w:r>
        <w:drawing>
          <wp:anchor distT="0" distB="0" distL="114300" distR="3645535" simplePos="0" relativeHeight="251660288" behindDoc="0" locked="0" layoutInCell="1" allowOverlap="1">
            <wp:simplePos x="0" y="0"/>
            <wp:positionH relativeFrom="page">
              <wp:posOffset>649605</wp:posOffset>
            </wp:positionH>
            <wp:positionV relativeFrom="paragraph">
              <wp:posOffset>12700</wp:posOffset>
            </wp:positionV>
            <wp:extent cx="518160" cy="450850"/>
            <wp:effectExtent l="0" t="0" r="2540" b="6350"/>
            <wp:wrapTopAndBottom/>
            <wp:docPr id="1201" name="Shape 1201"/>
            <wp:cNvGraphicFramePr/>
            <a:graphic xmlns:a="http://schemas.openxmlformats.org/drawingml/2006/main">
              <a:graphicData uri="http://schemas.openxmlformats.org/drawingml/2006/picture">
                <pic:pic xmlns:pic="http://schemas.openxmlformats.org/drawingml/2006/picture">
                  <pic:nvPicPr>
                    <pic:cNvPr id="1201" name="Shape 1201"/>
                    <pic:cNvPicPr/>
                  </pic:nvPicPr>
                  <pic:blipFill>
                    <a:blip r:embed="rId703"/>
                    <a:stretch>
                      <a:fillRect/>
                    </a:stretch>
                  </pic:blipFill>
                  <pic:spPr>
                    <a:xfrm>
                      <a:off x="0" y="0"/>
                      <a:ext cx="518160" cy="450850"/>
                    </a:xfrm>
                    <a:prstGeom prst="rect">
                      <a:avLst/>
                    </a:prstGeom>
                  </pic:spPr>
                </pic:pic>
              </a:graphicData>
            </a:graphic>
          </wp:anchor>
        </w:drawing>
      </w:r>
      <w:r>
        <mc:AlternateContent>
          <mc:Choice Requires="wps">
            <w:drawing>
              <wp:anchor distT="155575" distB="63500" distL="745490" distR="114300" simplePos="0" relativeHeight="251660288" behindDoc="0" locked="0" layoutInCell="1" allowOverlap="1">
                <wp:simplePos x="0" y="0"/>
                <wp:positionH relativeFrom="page">
                  <wp:posOffset>1280795</wp:posOffset>
                </wp:positionH>
                <wp:positionV relativeFrom="paragraph">
                  <wp:posOffset>168275</wp:posOffset>
                </wp:positionV>
                <wp:extent cx="3415030" cy="231775"/>
                <wp:effectExtent l="0" t="0" r="0" b="0"/>
                <wp:wrapTopAndBottom/>
                <wp:docPr id="1203" name="Shape 1203"/>
                <wp:cNvGraphicFramePr/>
                <a:graphic xmlns:a="http://schemas.openxmlformats.org/drawingml/2006/main">
                  <a:graphicData uri="http://schemas.microsoft.com/office/word/2010/wordprocessingShape">
                    <wps:wsp>
                      <wps:cNvSpPr txBox="1"/>
                      <wps:spPr>
                        <a:xfrm>
                          <a:off x="0" y="0"/>
                          <a:ext cx="3415030" cy="231775"/>
                        </a:xfrm>
                        <a:prstGeom prst="rect">
                          <a:avLst/>
                        </a:prstGeom>
                        <a:noFill/>
                      </wps:spPr>
                      <wps:txbx>
                        <w:txbxContent>
                          <w:p w14:paraId="5FC6CB6D">
                            <w:pPr>
                              <w:pStyle w:val="15"/>
                              <w:keepNext/>
                              <w:keepLines/>
                              <w:widowControl w:val="0"/>
                              <w:shd w:val="clear" w:color="auto" w:fill="auto"/>
                              <w:bidi w:val="0"/>
                              <w:spacing w:before="0" w:after="0" w:line="240" w:lineRule="auto"/>
                              <w:ind w:left="0" w:right="0" w:firstLine="0"/>
                              <w:jc w:val="left"/>
                            </w:pPr>
                            <w:bookmarkStart w:id="594" w:name="bookmark546"/>
                            <w:bookmarkStart w:id="595" w:name="bookmark547"/>
                            <w:bookmarkStart w:id="596" w:name="bookmark548"/>
                            <w:r>
                              <w:rPr>
                                <w:color w:val="000000"/>
                                <w:spacing w:val="0"/>
                                <w:w w:val="100"/>
                                <w:position w:val="0"/>
                              </w:rPr>
                              <w:t>受害人特殊体质与损害赔偿责任的减轻</w:t>
                            </w:r>
                            <w:bookmarkEnd w:id="594"/>
                            <w:bookmarkEnd w:id="595"/>
                            <w:bookmarkEnd w:id="596"/>
                          </w:p>
                        </w:txbxContent>
                      </wps:txbx>
                      <wps:bodyPr wrap="none" lIns="0" tIns="0" rIns="0" bIns="0">
                        <a:noAutofit/>
                      </wps:bodyPr>
                    </wps:wsp>
                  </a:graphicData>
                </a:graphic>
              </wp:anchor>
            </w:drawing>
          </mc:Choice>
          <mc:Fallback>
            <w:pict>
              <v:shape id="Shape 1203" o:spid="_x0000_s1026" o:spt="202" type="#_x0000_t202" style="position:absolute;left:0pt;margin-left:100.85pt;margin-top:13.25pt;height:18.25pt;width:268.9pt;mso-position-horizontal-relative:page;mso-wrap-distance-bottom:5pt;mso-wrap-distance-top:12.25pt;mso-wrap-style:none;z-index:251660288;mso-width-relative:page;mso-height-relative:page;" filled="f" stroked="f" coordsize="21600,21600" o:gfxdata="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OmJ1V1gAA&#10;AAkBAAAPAAAAAAAAAAEAIAAAACIAAABkcnMvZG93bnJldi54bWxQSwECFAAUAAAACACHTuJAtev1&#10;C64BAAB2AwAADgAAAAAAAAABACAAAAAlAQAAZHJzL2Uyb0RvYy54bWxQSwUGAAAAAAYABgBZAQAA&#10;RQUAAAAA&#10;">
                <v:fill on="f" focussize="0,0"/>
                <v:stroke on="f"/>
                <v:imagedata o:title=""/>
                <o:lock v:ext="edit" aspectratio="f"/>
                <v:textbox inset="0mm,0mm,0mm,0mm">
                  <w:txbxContent>
                    <w:p w14:paraId="5FC6CB6D">
                      <w:pPr>
                        <w:pStyle w:val="15"/>
                        <w:keepNext/>
                        <w:keepLines/>
                        <w:widowControl w:val="0"/>
                        <w:shd w:val="clear" w:color="auto" w:fill="auto"/>
                        <w:bidi w:val="0"/>
                        <w:spacing w:before="0" w:after="0" w:line="240" w:lineRule="auto"/>
                        <w:ind w:left="0" w:right="0" w:firstLine="0"/>
                        <w:jc w:val="left"/>
                      </w:pPr>
                      <w:bookmarkStart w:id="594" w:name="bookmark546"/>
                      <w:bookmarkStart w:id="595" w:name="bookmark547"/>
                      <w:bookmarkStart w:id="596" w:name="bookmark548"/>
                      <w:r>
                        <w:rPr>
                          <w:color w:val="000000"/>
                          <w:spacing w:val="0"/>
                          <w:w w:val="100"/>
                          <w:position w:val="0"/>
                        </w:rPr>
                        <w:t>受害人特殊体质与损害赔偿责任的减轻</w:t>
                      </w:r>
                      <w:bookmarkEnd w:id="594"/>
                      <w:bookmarkEnd w:id="595"/>
                      <w:bookmarkEnd w:id="596"/>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5069205</wp:posOffset>
            </wp:positionH>
            <wp:positionV relativeFrom="paragraph">
              <wp:posOffset>301625</wp:posOffset>
            </wp:positionV>
            <wp:extent cx="628015" cy="628015"/>
            <wp:effectExtent l="0" t="0" r="6985" b="6985"/>
            <wp:wrapSquare wrapText="left"/>
            <wp:docPr id="1205" name="Shape 1205"/>
            <wp:cNvGraphicFramePr/>
            <a:graphic xmlns:a="http://schemas.openxmlformats.org/drawingml/2006/main">
              <a:graphicData uri="http://schemas.openxmlformats.org/drawingml/2006/picture">
                <pic:pic xmlns:pic="http://schemas.openxmlformats.org/drawingml/2006/picture">
                  <pic:nvPicPr>
                    <pic:cNvPr id="1205" name="Shape 1205"/>
                    <pic:cNvPicPr/>
                  </pic:nvPicPr>
                  <pic:blipFill>
                    <a:blip r:embed="rId704"/>
                    <a:stretch>
                      <a:fillRect/>
                    </a:stretch>
                  </pic:blipFill>
                  <pic:spPr>
                    <a:xfrm>
                      <a:off x="0" y="0"/>
                      <a:ext cx="628015" cy="628015"/>
                    </a:xfrm>
                    <a:prstGeom prst="rect">
                      <a:avLst/>
                    </a:prstGeom>
                  </pic:spPr>
                </pic:pic>
              </a:graphicData>
            </a:graphic>
          </wp:anchor>
        </w:drawing>
      </w:r>
    </w:p>
    <w:p w14:paraId="29EB9311">
      <w:pPr>
        <w:pStyle w:val="17"/>
        <w:keepNext w:val="0"/>
        <w:keepLines w:val="0"/>
        <w:widowControl w:val="0"/>
        <w:shd w:val="clear" w:color="auto" w:fill="auto"/>
        <w:bidi w:val="0"/>
        <w:spacing w:before="0" w:after="360" w:line="329" w:lineRule="exact"/>
        <w:ind w:left="1000" w:right="0" w:firstLine="0"/>
        <w:jc w:val="both"/>
      </w:pPr>
      <w:r>
        <w:rPr>
          <w:color w:val="000000"/>
          <w:spacing w:val="0"/>
          <w:w w:val="100"/>
          <w:position w:val="0"/>
        </w:rPr>
        <w:t>荣宝英诉王阳、永诚财产保险股份有限公司江阴支公司机动车交通 事故责任纠纷案丨最高人民法院第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号指导案例</w:t>
      </w:r>
    </w:p>
    <w:p w14:paraId="0F069B50">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sz w:val="18"/>
          <w:szCs w:val="18"/>
        </w:rPr>
        <w:t>程啸</w:t>
      </w:r>
      <w:r>
        <w:rPr>
          <w:color w:val="000000"/>
          <w:spacing w:val="0"/>
          <w:w w:val="100"/>
          <w:position w:val="0"/>
        </w:rPr>
        <w:t>清华大学法学院</w:t>
      </w:r>
    </w:p>
    <w:p w14:paraId="02322CAE">
      <w:pPr>
        <w:pStyle w:val="11"/>
        <w:keepNext w:val="0"/>
        <w:keepLines w:val="0"/>
        <w:widowControl w:val="0"/>
        <w:shd w:val="clear" w:color="auto" w:fill="auto"/>
        <w:bidi w:val="0"/>
        <w:spacing w:before="0" w:after="80" w:line="337"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6C8410AA">
      <w:pPr>
        <w:pStyle w:val="17"/>
        <w:keepNext w:val="0"/>
        <w:keepLines w:val="0"/>
        <w:widowControl w:val="0"/>
        <w:shd w:val="clear" w:color="auto" w:fill="auto"/>
        <w:bidi w:val="0"/>
        <w:spacing w:before="0" w:after="460" w:line="336" w:lineRule="exact"/>
        <w:ind w:left="0" w:right="0"/>
        <w:jc w:val="both"/>
      </w:pPr>
      <w:r>
        <w:rPr>
          <w:color w:val="000000"/>
          <w:spacing w:val="0"/>
          <w:w w:val="100"/>
          <w:position w:val="0"/>
        </w:rPr>
        <w:t>王阳驾驶轿车碰擦行人荣宝英致其受伤。交警大队认定王阳负事故全部责任，荣宝英 无责。司法鉴定结论:荣宝英左棧骨远端骨折的伤残等级评定为十级;左下肢损伤的伤残 等级评定为九级。损伤参与度评定为</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其个人体质的因素占</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。原告荣宝英起诉被 告王阳与永诚保险公司，要求赔偿医疗费用、残疾赔偿金、精神损害抚慰金等费用。被告永 诚保险公司辩称:因鉴定意见结论中载明</w:t>
      </w:r>
      <w:r>
        <w:rPr>
          <w:color w:val="000000"/>
          <w:spacing w:val="0"/>
          <w:w w:val="100"/>
          <w:position w:val="0"/>
          <w:lang w:val="zh-CN" w:eastAsia="zh-CN" w:bidi="zh-CN"/>
        </w:rPr>
        <w:t>“损</w:t>
      </w:r>
      <w:r>
        <w:rPr>
          <w:color w:val="000000"/>
          <w:spacing w:val="0"/>
          <w:w w:val="100"/>
          <w:position w:val="0"/>
        </w:rPr>
        <w:t>伤参与度评定为</w:t>
      </w:r>
      <w:r>
        <w:rPr>
          <w:rFonts w:ascii="Times New Roman" w:hAnsi="Times New Roman" w:eastAsia="Times New Roman" w:cs="Times New Roman"/>
          <w:color w:val="000000"/>
          <w:spacing w:val="0"/>
          <w:w w:val="100"/>
          <w:position w:val="0"/>
          <w:sz w:val="19"/>
          <w:szCs w:val="19"/>
        </w:rPr>
        <w:t>75%,</w:t>
      </w:r>
      <w:r>
        <w:rPr>
          <w:color w:val="000000"/>
          <w:spacing w:val="0"/>
          <w:w w:val="100"/>
          <w:position w:val="0"/>
        </w:rPr>
        <w:t xml:space="preserve">其个人体质的因素占 </w:t>
      </w:r>
      <w:r>
        <w:rPr>
          <w:rFonts w:ascii="Times New Roman" w:hAnsi="Times New Roman" w:eastAsia="Times New Roman" w:cs="Times New Roman"/>
          <w:color w:val="000000"/>
          <w:spacing w:val="0"/>
          <w:w w:val="100"/>
          <w:position w:val="0"/>
          <w:sz w:val="19"/>
          <w:szCs w:val="19"/>
        </w:rPr>
        <w:t>25%”</w:t>
      </w:r>
      <w:r>
        <w:rPr>
          <w:color w:val="000000"/>
          <w:spacing w:val="0"/>
          <w:w w:val="100"/>
          <w:position w:val="0"/>
          <w:sz w:val="19"/>
          <w:szCs w:val="19"/>
        </w:rPr>
        <w:t>，</w:t>
      </w:r>
      <w:r>
        <w:rPr>
          <w:color w:val="000000"/>
          <w:spacing w:val="0"/>
          <w:w w:val="100"/>
          <w:position w:val="0"/>
        </w:rPr>
        <w:t>故确定残疾赔偿金应当乘以损伤参与度系数</w:t>
      </w:r>
      <w:r>
        <w:rPr>
          <w:rFonts w:ascii="Times New Roman" w:hAnsi="Times New Roman" w:eastAsia="Times New Roman" w:cs="Times New Roman"/>
          <w:color w:val="000000"/>
          <w:spacing w:val="0"/>
          <w:w w:val="100"/>
          <w:position w:val="0"/>
          <w:sz w:val="19"/>
          <w:szCs w:val="19"/>
        </w:rPr>
        <w:t>0.75</w:t>
      </w:r>
      <w:r>
        <w:rPr>
          <w:color w:val="000000"/>
          <w:spacing w:val="0"/>
          <w:w w:val="100"/>
          <w:position w:val="0"/>
        </w:rPr>
        <w:t>。</w:t>
      </w:r>
    </w:p>
    <w:p w14:paraId="46357C7B">
      <w:pPr>
        <w:pStyle w:val="11"/>
        <w:keepNext w:val="0"/>
        <w:keepLines w:val="0"/>
        <w:widowControl w:val="0"/>
        <w:shd w:val="clear" w:color="auto" w:fill="auto"/>
        <w:bidi w:val="0"/>
        <w:spacing w:before="0" w:after="0" w:line="360" w:lineRule="auto"/>
        <w:ind w:left="0" w:right="0" w:firstLine="0"/>
        <w:jc w:val="both"/>
      </w:pPr>
      <w:r>
        <w:rPr>
          <w:rFonts w:ascii="Times New Roman" w:hAnsi="Times New Roman" w:eastAsia="Times New Roman" w:cs="Times New Roman"/>
          <w:color w:val="000000"/>
          <w:spacing w:val="0"/>
          <w:w w:val="100"/>
          <w:position w:val="0"/>
          <w:sz w:val="19"/>
          <w:szCs w:val="19"/>
        </w:rPr>
        <w:t>8</w:t>
      </w:r>
      <w:r>
        <w:rPr>
          <w:color w:val="000000"/>
          <w:spacing w:val="0"/>
          <w:w w:val="100"/>
          <w:position w:val="0"/>
        </w:rPr>
        <w:t>判决要旨</w:t>
      </w:r>
    </w:p>
    <w:p w14:paraId="058F37C0">
      <w:pPr>
        <w:pStyle w:val="17"/>
        <w:keepNext w:val="0"/>
        <w:keepLines w:val="0"/>
        <w:widowControl w:val="0"/>
        <w:shd w:val="clear" w:color="auto" w:fill="auto"/>
        <w:bidi w:val="0"/>
        <w:spacing w:before="0" w:after="360" w:line="337" w:lineRule="exact"/>
        <w:ind w:left="0" w:right="0"/>
        <w:jc w:val="both"/>
      </w:pPr>
      <w:r>
        <w:rPr>
          <w:color w:val="000000"/>
          <w:spacing w:val="0"/>
          <w:w w:val="100"/>
          <w:position w:val="0"/>
        </w:rPr>
        <w:t>虽然受害人的体质状况对损害后果的发生具有一定的影响，但这不是法律规定的过 错,受害人不应因个人体质状况对交通事故导致的伤残存在一定影响而自负相应责任。受 害人骨质疏松仅是事故造成后果的客观因素，并无法律上的因果关系。因此，受害人对于 损害的发生或者扩大没有过错，不存在减轻或者免除赔偿责任的法定情形。</w:t>
      </w:r>
    </w:p>
    <w:p w14:paraId="72EA5789">
      <w:pPr>
        <w:pStyle w:val="11"/>
        <w:keepNext w:val="0"/>
        <w:keepLines w:val="0"/>
        <w:widowControl w:val="0"/>
        <w:shd w:val="clear" w:color="auto" w:fill="auto"/>
        <w:bidi w:val="0"/>
        <w:spacing w:before="0" w:after="80" w:line="337" w:lineRule="exact"/>
        <w:ind w:left="0" w:right="0" w:firstLine="0"/>
        <w:jc w:val="both"/>
      </w:pPr>
      <w:r>
        <w:rPr>
          <w:color w:val="000000"/>
          <w:spacing w:val="0"/>
          <w:w w:val="100"/>
          <w:position w:val="0"/>
        </w:rPr>
        <w:t>■评析</w:t>
      </w:r>
    </w:p>
    <w:p w14:paraId="3267FAD1">
      <w:pPr>
        <w:pStyle w:val="17"/>
        <w:keepNext w:val="0"/>
        <w:keepLines w:val="0"/>
        <w:widowControl w:val="0"/>
        <w:shd w:val="clear" w:color="auto" w:fill="auto"/>
        <w:bidi w:val="0"/>
        <w:spacing w:before="0" w:after="80" w:line="337"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061B070F">
      <w:pPr>
        <w:pStyle w:val="17"/>
        <w:keepNext w:val="0"/>
        <w:keepLines w:val="0"/>
        <w:widowControl w:val="0"/>
        <w:shd w:val="clear" w:color="auto" w:fill="auto"/>
        <w:bidi w:val="0"/>
        <w:spacing w:before="0" w:after="160" w:line="338" w:lineRule="exact"/>
        <w:ind w:left="0" w:right="0"/>
        <w:jc w:val="both"/>
      </w:pPr>
      <w:r>
        <w:rPr>
          <w:color w:val="000000"/>
          <w:spacing w:val="0"/>
          <w:w w:val="100"/>
          <w:position w:val="0"/>
        </w:rPr>
        <w:t>本案核心争议在于，残疾赔偿金是否需要因为受害人自身体质对损伤的参与度而相应 扣减。一审法院采肯定的观点。二审法院认为，虽然受害人的体质状况对损害后果的发生 具有一定的影响，但这并非法律规定的过错，受害人不应因个人体质状况对交通事故导致 的伤残存在一定影响而自负相应责任。本案判决的意义在于，从因果关系和过错的角度对 受害人特殊体质给予了正确的法律评价。</w:t>
      </w:r>
    </w:p>
    <w:p w14:paraId="2950E667">
      <w:pPr>
        <w:pStyle w:val="17"/>
        <w:keepNext w:val="0"/>
        <w:keepLines w:val="0"/>
        <w:widowControl w:val="0"/>
        <w:shd w:val="clear" w:color="auto" w:fill="auto"/>
        <w:bidi w:val="0"/>
        <w:spacing w:before="0" w:after="160" w:line="337"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受害人特殊体质在侵权法上的意义</w:t>
      </w:r>
    </w:p>
    <w:p w14:paraId="2490BCD2">
      <w:pPr>
        <w:pStyle w:val="17"/>
        <w:keepNext w:val="0"/>
        <w:keepLines w:val="0"/>
        <w:widowControl w:val="0"/>
        <w:shd w:val="clear" w:color="auto" w:fill="auto"/>
        <w:bidi w:val="0"/>
        <w:spacing w:before="0" w:after="0" w:line="329" w:lineRule="exact"/>
        <w:ind w:left="0" w:right="0"/>
        <w:jc w:val="both"/>
        <w:sectPr>
          <w:headerReference r:id="rId509" w:type="default"/>
          <w:headerReference r:id="rId510" w:type="even"/>
          <w:footnotePr>
            <w:numFmt w:val="chicago"/>
          </w:footnotePr>
          <w:pgSz w:w="10099" w:h="14782"/>
          <w:pgMar w:top="1315" w:right="1084" w:bottom="1100" w:left="1013" w:header="887" w:footer="672" w:gutter="0"/>
          <w:pgNumType w:start="451"/>
          <w:cols w:space="720" w:num="1"/>
          <w:rtlGutter w:val="0"/>
          <w:docGrid w:linePitch="360" w:charSpace="0"/>
        </w:sectPr>
      </w:pPr>
      <w:r>
        <w:rPr>
          <w:color w:val="000000"/>
          <w:spacing w:val="0"/>
          <w:w w:val="100"/>
          <w:position w:val="0"/>
        </w:rPr>
        <w:t xml:space="preserve">特殊体质是指自然人具有的异于常人的体质，如先天心脏病、过敏症，或后天形成的心 肌梗塞、骨质疏松等。在侵权法上,只有当受害人的特殊体质与侵权行为结合，共同造成人 </w:t>
      </w:r>
    </w:p>
    <w:p w14:paraId="08A43B98">
      <w:pPr>
        <w:pStyle w:val="17"/>
        <w:keepNext w:val="0"/>
        <w:keepLines w:val="0"/>
        <w:widowControl w:val="0"/>
        <w:shd w:val="clear" w:color="auto" w:fill="auto"/>
        <w:bidi w:val="0"/>
        <w:spacing w:before="0" w:after="0" w:line="329" w:lineRule="exact"/>
        <w:ind w:left="0" w:right="0" w:firstLine="0"/>
        <w:jc w:val="both"/>
      </w:pPr>
      <w:r>
        <w:rPr>
          <w:color w:val="000000"/>
          <w:spacing w:val="0"/>
          <w:w w:val="100"/>
          <w:position w:val="0"/>
        </w:rPr>
        <w:t>身伤亡或导致损害后果的扩大，侵权法才需要对之作出评价。如果损害完全是其受害人自 身体质所致,不存在他人的侵权行为,则纵然受害人的体质再特殊,也不成立侵权责任，更 无需讨论减轻赔偿责任的问题。</w:t>
      </w:r>
    </w:p>
    <w:p w14:paraId="538DC439">
      <w:pPr>
        <w:pStyle w:val="17"/>
        <w:keepNext w:val="0"/>
        <w:keepLines w:val="0"/>
        <w:widowControl w:val="0"/>
        <w:shd w:val="clear" w:color="auto" w:fill="auto"/>
        <w:bidi w:val="0"/>
        <w:spacing w:before="0" w:after="280" w:line="343" w:lineRule="exact"/>
        <w:ind w:left="0" w:right="0" w:firstLine="420"/>
        <w:jc w:val="both"/>
      </w:pPr>
      <w:r>
        <w:rPr>
          <w:color w:val="000000"/>
          <w:spacing w:val="0"/>
          <w:w w:val="100"/>
          <w:position w:val="0"/>
        </w:rPr>
        <w:t>侵权法中讨论受害人特殊体质的思考过程应当是:首先，受害人具有特殊体质；其次, 加害人侵害了（作为或不作为）受害人的生命权、身体权或健康权，造成了人身伤亡。因此, 侵权法中受害人的特殊体质，是指受害人自身具有的与加害行为相互结合而造成或扩大了 人身伤亡的损害后果的、异于常人的生理或心理状况，具体分为:其一，受害人先天性的特 殊体质，即由于遗传因素决定的人的生命有机体易患某种疾病或者已经罹患了某种疾病, 人体的反应会异常严重的体质状况，如过敏性体质、血友病、先天性薄颅骨病、先天性心脏 病等。其二，受害人后天性特殊体质，即非因遗传因素而导致的身体器官或者机能与正常 人的差异，如受害人罹患的心脏病、高血压、糖尿病、冠心病、肺癌等疾病，或因年老而出现骨 质增生、骨质疏松、颈椎退行性病变等。</w:t>
      </w:r>
    </w:p>
    <w:p w14:paraId="7C8D9696">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受害人特殊体质对因果关系的影响</w:t>
      </w:r>
    </w:p>
    <w:p w14:paraId="06218C20">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因果关系不仅是侵权法规定的基本内容，而且构成了几乎所有赔偿责任成立要件的基 础。一个人对某一损害的责任只能建立在这个人与该损害存在联系的基础上。讨论受害 人特殊体质能否减轻加害人的赔偿责任时，核心是分析该特殊体质对于加害行为与损害后 果之间的因果关系是否产生影响以及何种影响。有些法院认为，既然通过鉴定证明受害人 的特殊体质确实对于人身伤亡的发生或扩大具有原因力，就应认可该特殊体质与损害后果 的因果关系，进而按照损伤参与度即比例因果关系相应地减轻赔偿责任，否则难谓公平合 理</w:t>
      </w:r>
      <w:r>
        <w:rPr>
          <w:color w:val="000000"/>
          <w:spacing w:val="0"/>
          <w:w w:val="100"/>
          <w:position w:val="0"/>
          <w:sz w:val="11"/>
          <w:szCs w:val="11"/>
        </w:rPr>
        <w:t>［北京市第二中级人民法院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02</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6675</w:t>
      </w:r>
      <w:r>
        <w:rPr>
          <w:color w:val="000000"/>
          <w:spacing w:val="0"/>
          <w:w w:val="100"/>
          <w:position w:val="0"/>
          <w:sz w:val="11"/>
          <w:szCs w:val="11"/>
        </w:rPr>
        <w:t>号民事判决书］。</w:t>
      </w:r>
      <w:r>
        <w:rPr>
          <w:color w:val="000000"/>
          <w:spacing w:val="0"/>
          <w:w w:val="100"/>
          <w:position w:val="0"/>
        </w:rPr>
        <w:t>然而，第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号指导案例却给 出了否定性回答。该案判决认为，即便受害人的特殊体质确实与侵权行为相互结合而造成 或扩大了损害后果,这种事实上存在的因果联系也不是法律因果关系，不能据此减轻赔偿 责任。</w:t>
      </w:r>
    </w:p>
    <w:p w14:paraId="47FD31C6">
      <w:pPr>
        <w:pStyle w:val="17"/>
        <w:keepNext w:val="0"/>
        <w:keepLines w:val="0"/>
        <w:widowControl w:val="0"/>
        <w:shd w:val="clear" w:color="auto" w:fill="auto"/>
        <w:bidi w:val="0"/>
        <w:spacing w:before="0" w:after="280" w:line="341" w:lineRule="exact"/>
        <w:ind w:left="0" w:right="0" w:firstLine="420"/>
        <w:jc w:val="both"/>
      </w:pPr>
      <w:r>
        <w:rPr>
          <w:color w:val="000000"/>
          <w:spacing w:val="0"/>
          <w:w w:val="100"/>
          <w:position w:val="0"/>
        </w:rPr>
        <w:t>笔者认为，应在区分受害人特殊体质与损害的因果关系类型的基础上,分别讨论特殊 体质与损害后果之间是否存在法律上的因果关系。依据平等对待原则，既然侵权法在确定 单个或数个加害人是否以及如何承担赔偿责任时，要考虑因果关系、过错及各加害行为的 原因力等要件</w:t>
      </w:r>
      <w:r>
        <w:rPr>
          <w:color w:val="000000"/>
          <w:spacing w:val="0"/>
          <w:w w:val="100"/>
          <w:position w:val="0"/>
          <w:sz w:val="11"/>
          <w:szCs w:val="11"/>
        </w:rPr>
        <w:t>（张新宝、明俊:《侵权法上的原因力理论研究》，载《中国法学》</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r>
        <w:rPr>
          <w:color w:val="000000"/>
          <w:spacing w:val="0"/>
          <w:w w:val="100"/>
          <w:position w:val="0"/>
        </w:rPr>
        <w:t>那么， 在加害人与受害人的角色反转，受害人的行为或危险源被审查时，可能导致一方对具有法 律相关性的损害承担责任的任何事由也应当可以（全部或部分地）减轻责任。</w:t>
      </w:r>
    </w:p>
    <w:p w14:paraId="33918094">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rPr>
        <w:t>0</w:t>
      </w:r>
      <w:r>
        <w:rPr>
          <w:color w:val="000000"/>
          <w:spacing w:val="0"/>
          <w:w w:val="100"/>
          <w:position w:val="0"/>
        </w:rPr>
        <w:t>三种类型的因果关系及赔偿责任的确定</w:t>
      </w:r>
    </w:p>
    <w:p w14:paraId="396097BA">
      <w:pPr>
        <w:pStyle w:val="17"/>
        <w:keepNext w:val="0"/>
        <w:keepLines w:val="0"/>
        <w:widowControl w:val="0"/>
        <w:numPr>
          <w:ilvl w:val="0"/>
          <w:numId w:val="37"/>
        </w:numPr>
        <w:shd w:val="clear" w:color="auto" w:fill="auto"/>
        <w:bidi w:val="0"/>
        <w:spacing w:before="0" w:after="0" w:line="341" w:lineRule="exact"/>
        <w:ind w:left="0" w:right="0" w:firstLine="420"/>
        <w:jc w:val="both"/>
        <w:rPr>
          <w:sz w:val="11"/>
          <w:szCs w:val="11"/>
        </w:rPr>
      </w:pPr>
      <w:bookmarkStart w:id="159" w:name="bookmark549"/>
      <w:bookmarkEnd w:id="159"/>
      <w:r>
        <w:rPr>
          <w:color w:val="000000"/>
          <w:spacing w:val="0"/>
          <w:w w:val="100"/>
          <w:position w:val="0"/>
          <w:sz w:val="18"/>
          <w:szCs w:val="18"/>
        </w:rPr>
        <w:t>受害人有的某种特殊体质与加害行为相互结合，侵害了受害人的生命权。换言之，如 果受害人无此特殊体质，纵有加害行为也不会侵害受害人的生命权,无须承担赔偿责任。 此种因果关系属于</w:t>
      </w:r>
      <w:r>
        <w:rPr>
          <w:color w:val="000000"/>
          <w:spacing w:val="0"/>
          <w:w w:val="100"/>
          <w:position w:val="0"/>
          <w:sz w:val="18"/>
          <w:szCs w:val="18"/>
          <w:lang w:val="zh-CN" w:eastAsia="zh-CN" w:bidi="zh-CN"/>
        </w:rPr>
        <w:t>“共同</w:t>
      </w:r>
      <w:r>
        <w:rPr>
          <w:color w:val="000000"/>
          <w:spacing w:val="0"/>
          <w:w w:val="100"/>
          <w:position w:val="0"/>
          <w:sz w:val="18"/>
          <w:szCs w:val="18"/>
        </w:rPr>
        <w:t>因果关系”。实践中，最典型的案件是</w:t>
      </w:r>
      <w:r>
        <w:rPr>
          <w:color w:val="000000"/>
          <w:spacing w:val="0"/>
          <w:w w:val="100"/>
          <w:position w:val="0"/>
          <w:sz w:val="18"/>
          <w:szCs w:val="18"/>
          <w:lang w:val="zh-CN" w:eastAsia="zh-CN" w:bidi="zh-CN"/>
        </w:rPr>
        <w:t>“蜜蜂</w:t>
      </w:r>
      <w:r>
        <w:rPr>
          <w:color w:val="000000"/>
          <w:spacing w:val="0"/>
          <w:w w:val="100"/>
          <w:position w:val="0"/>
          <w:sz w:val="18"/>
          <w:szCs w:val="18"/>
        </w:rPr>
        <w:t>蛰死人案”。该案受害 人具有严重的蜂毒过敏性体质，被加害人饲养的蜜蜂中的一只叮歡因严重过敏死亡</w:t>
      </w:r>
      <w:r>
        <w:rPr>
          <w:color w:val="000000"/>
          <w:spacing w:val="0"/>
          <w:w w:val="100"/>
          <w:position w:val="0"/>
          <w:sz w:val="11"/>
          <w:szCs w:val="11"/>
        </w:rPr>
        <w:t>［合肥 市中级人民法院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合民一终字第</w:t>
      </w:r>
      <w:r>
        <w:rPr>
          <w:rFonts w:ascii="Times New Roman" w:hAnsi="Times New Roman" w:eastAsia="Times New Roman" w:cs="Times New Roman"/>
          <w:color w:val="000000"/>
          <w:spacing w:val="0"/>
          <w:w w:val="100"/>
          <w:position w:val="0"/>
          <w:sz w:val="17"/>
          <w:szCs w:val="17"/>
        </w:rPr>
        <w:t>00571</w:t>
      </w:r>
      <w:r>
        <w:rPr>
          <w:color w:val="000000"/>
          <w:spacing w:val="0"/>
          <w:w w:val="100"/>
          <w:position w:val="0"/>
          <w:sz w:val="11"/>
          <w:szCs w:val="11"/>
        </w:rPr>
        <w:t>号民事判决书］。</w:t>
      </w:r>
      <w:r>
        <w:rPr>
          <w:color w:val="000000"/>
          <w:spacing w:val="0"/>
          <w:w w:val="100"/>
          <w:position w:val="0"/>
          <w:sz w:val="18"/>
          <w:szCs w:val="18"/>
        </w:rPr>
        <w:t>司法实践一种观点认为，本类型因 果关系中受害人特殊体质并不中断加害行为与权益被侵害的责任成立因果关系，然而对该 特殊体质能否减轻赔偿责任，则有不同看法。第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号指导案例认为,受害人年老骨质疏松 等特殊体质仅为</w:t>
      </w:r>
      <w:r>
        <w:rPr>
          <w:color w:val="000000"/>
          <w:spacing w:val="0"/>
          <w:w w:val="100"/>
          <w:position w:val="0"/>
          <w:sz w:val="18"/>
          <w:szCs w:val="18"/>
          <w:lang w:val="zh-CN" w:eastAsia="zh-CN" w:bidi="zh-CN"/>
        </w:rPr>
        <w:t>“事故</w:t>
      </w:r>
      <w:r>
        <w:rPr>
          <w:color w:val="000000"/>
          <w:spacing w:val="0"/>
          <w:w w:val="100"/>
          <w:position w:val="0"/>
          <w:sz w:val="18"/>
          <w:szCs w:val="18"/>
        </w:rPr>
        <w:t>造成后果的客观因素</w:t>
      </w:r>
      <w:r>
        <w:rPr>
          <w:color w:val="000000"/>
          <w:spacing w:val="0"/>
          <w:w w:val="100"/>
          <w:position w:val="0"/>
          <w:sz w:val="18"/>
          <w:szCs w:val="18"/>
          <w:lang w:val="zh-CN" w:eastAsia="zh-CN" w:bidi="zh-CN"/>
        </w:rPr>
        <w:t>”，不</w:t>
      </w:r>
      <w:r>
        <w:rPr>
          <w:color w:val="000000"/>
          <w:spacing w:val="0"/>
          <w:w w:val="100"/>
          <w:position w:val="0"/>
          <w:sz w:val="18"/>
          <w:szCs w:val="18"/>
        </w:rPr>
        <w:t>属于法律因果关系。另一种观点认为，鉴 于损害后果的发生如此异常，而</w:t>
      </w:r>
      <w:r>
        <w:rPr>
          <w:color w:val="000000"/>
          <w:spacing w:val="0"/>
          <w:w w:val="100"/>
          <w:position w:val="0"/>
          <w:sz w:val="18"/>
          <w:szCs w:val="18"/>
          <w:lang w:val="zh-CN" w:eastAsia="zh-CN" w:bidi="zh-CN"/>
        </w:rPr>
        <w:t>“欠</w:t>
      </w:r>
      <w:r>
        <w:rPr>
          <w:color w:val="000000"/>
          <w:spacing w:val="0"/>
          <w:w w:val="100"/>
          <w:position w:val="0"/>
          <w:sz w:val="18"/>
          <w:szCs w:val="18"/>
        </w:rPr>
        <w:t>缺最低限度抵抗力为一般生活危险，乃个人的悲剧与不 幸，受害人应无奈地接受命运之安排，而不能将本该由自身承担的不幸转嫁给偶然遭遇的 侵权人</w:t>
      </w:r>
      <w:r>
        <w:rPr>
          <w:color w:val="000000"/>
          <w:spacing w:val="0"/>
          <w:w w:val="100"/>
          <w:position w:val="0"/>
          <w:sz w:val="11"/>
          <w:szCs w:val="11"/>
          <w:lang w:val="zh-CN" w:eastAsia="zh-CN" w:bidi="zh-CN"/>
        </w:rPr>
        <w:t>”(孙</w:t>
      </w:r>
      <w:r>
        <w:rPr>
          <w:color w:val="000000"/>
          <w:spacing w:val="0"/>
          <w:w w:val="100"/>
          <w:position w:val="0"/>
          <w:sz w:val="11"/>
          <w:szCs w:val="11"/>
        </w:rPr>
        <w:t>鹏:</w:t>
      </w:r>
      <w:r>
        <w:rPr>
          <w:color w:val="000000"/>
          <w:spacing w:val="0"/>
          <w:w w:val="100"/>
          <w:position w:val="0"/>
          <w:sz w:val="11"/>
          <w:szCs w:val="11"/>
          <w:lang w:val="zh-CN" w:eastAsia="zh-CN" w:bidi="zh-CN"/>
        </w:rPr>
        <w:t>《“蛋</w:t>
      </w:r>
      <w:r>
        <w:rPr>
          <w:color w:val="000000"/>
          <w:spacing w:val="0"/>
          <w:w w:val="100"/>
          <w:position w:val="0"/>
          <w:sz w:val="11"/>
          <w:szCs w:val="11"/>
        </w:rPr>
        <w:t>壳脑袋规则</w:t>
      </w:r>
      <w:r>
        <w:rPr>
          <w:color w:val="000000"/>
          <w:spacing w:val="0"/>
          <w:w w:val="100"/>
          <w:position w:val="0"/>
          <w:sz w:val="11"/>
          <w:szCs w:val="11"/>
          <w:lang w:val="zh-CN" w:eastAsia="zh-CN" w:bidi="zh-CN"/>
        </w:rPr>
        <w:t>”之</w:t>
      </w:r>
      <w:r>
        <w:rPr>
          <w:color w:val="000000"/>
          <w:spacing w:val="0"/>
          <w:w w:val="100"/>
          <w:position w:val="0"/>
          <w:sz w:val="11"/>
          <w:szCs w:val="11"/>
        </w:rPr>
        <w:t>反思与解构》，载《中国法学》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p>
    <w:p w14:paraId="21C87DE6">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笔者认为，在本类型因果关系中受害人特殊体质不应减轻加害人的赔偿责任。一方 面,生命权、健康权、身体权等人格权在性质上为绝对权，且属于在法益位阶上处于最高层 次的权利，故此应当享有最为广泛的保护。基于平等原则,法律上对任何自然人的生命权、 健康权、身体权的保护力度都应相同。如果加害人不违反不侵害他人绝对权的义务，无论 受害人的体质多么特殊、如何异常，也与加害人无关。故此，要求加害人对于损害后果承担 全部责任，难谓不公。另一方面,赔偿功能是侵权法最基本的功能。每个自然人的生理和心 理状况各不相同，加害人无权挑剔受害人。无论侵权人主观上的可非难程度如何,均不应 影响损害赔偿的范围与数额。即便侵权人仅具有最轻微的过失,但造成了严重的损害，也 要承担全部的赔偿责任。</w:t>
      </w:r>
    </w:p>
    <w:p w14:paraId="6E3E631A">
      <w:pPr>
        <w:pStyle w:val="17"/>
        <w:keepNext w:val="0"/>
        <w:keepLines w:val="0"/>
        <w:widowControl w:val="0"/>
        <w:numPr>
          <w:ilvl w:val="0"/>
          <w:numId w:val="37"/>
        </w:numPr>
        <w:shd w:val="clear" w:color="auto" w:fill="auto"/>
        <w:bidi w:val="0"/>
        <w:spacing w:before="0" w:after="0" w:line="343" w:lineRule="exact"/>
        <w:ind w:left="0" w:right="0"/>
        <w:jc w:val="both"/>
        <w:rPr>
          <w:sz w:val="11"/>
          <w:szCs w:val="11"/>
        </w:rPr>
      </w:pPr>
      <w:bookmarkStart w:id="160" w:name="bookmark550"/>
      <w:bookmarkEnd w:id="160"/>
      <w:r>
        <w:rPr>
          <w:color w:val="000000"/>
          <w:spacing w:val="0"/>
          <w:w w:val="100"/>
          <w:position w:val="0"/>
          <w:sz w:val="18"/>
          <w:szCs w:val="18"/>
        </w:rPr>
        <w:t>受害人有特殊体质，加害人实行了侵害受害人健康权的行为，即便受害人无此体质， 该加害行为单独发生通常亦足以侵害受害人的健康权并造成损害，只是因受害人具有的特 殊体质，故此损害后果更大或更严重。该因果关系与前一种因果关系同属共同因果关系， 均为受害人特殊体质与加害行为合力导致了损害。区别在于:本类型的因果关系中，即便 没有受害人的特殊体质，加害行为单独发生也会侵害受害人的健康权，无非损害程度会轻 一些。本类型的因果关系最为常见，尤其是在机动车交通事故责任中，第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号指导案例即 属本类型。有些法院认为，此时应当根据受害人所受损害的类型分别判断，即对医疗费、护 理费等不应考虑特殊体质而减轻赔偿责任。因为受害人虽具有特殊体质,但该体质并不意 味着受害人就要住院治疗而支付医疗费和护理费。另外，残疾赔偿金与精神损害抚慰金应 考虑受害人特殊体质而相应地减轻赔偿责任，因为受害人特殊体质影响了伤残等级及相应 的精神损害程度</w:t>
      </w:r>
      <w:r>
        <w:rPr>
          <w:color w:val="000000"/>
          <w:spacing w:val="0"/>
          <w:w w:val="100"/>
          <w:position w:val="0"/>
          <w:sz w:val="11"/>
          <w:szCs w:val="11"/>
        </w:rPr>
        <w:t>［芜湖市中级人民法院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芜中民一终字第</w:t>
      </w:r>
      <w:r>
        <w:rPr>
          <w:rFonts w:ascii="Times New Roman" w:hAnsi="Times New Roman" w:eastAsia="Times New Roman" w:cs="Times New Roman"/>
          <w:color w:val="000000"/>
          <w:spacing w:val="0"/>
          <w:w w:val="100"/>
          <w:position w:val="0"/>
          <w:sz w:val="17"/>
          <w:szCs w:val="17"/>
        </w:rPr>
        <w:t>01052</w:t>
      </w:r>
      <w:r>
        <w:rPr>
          <w:color w:val="000000"/>
          <w:spacing w:val="0"/>
          <w:w w:val="100"/>
          <w:position w:val="0"/>
          <w:sz w:val="11"/>
          <w:szCs w:val="11"/>
        </w:rPr>
        <w:t>号民事判决书］。</w:t>
      </w:r>
    </w:p>
    <w:p w14:paraId="402C8981">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笔者认为，应当区分受害人的不同损害类型分别讨论受害人特殊体质对赔偿责任的影 响,更符合责任范围因果关系的要求。受害人因生命权、健康权或身体权被侵害而遭受的 损害分为财产损失与精神损害。财产损失又可分为所受损害与所失利益。所受损害是指 现存利益的积极减少，如受害人为治疗和康复而支出的医疗费、护理费、交通费等,辅助器 具费用以及丧葬费；所失利益是指受害人于侵害事由时虽未发生,但倘无该侵害事由，将来 可以取得的财产利益，如误工损失、残疾赔偿金与死亡赔偿金。就所受损害而言，倘在加害 行为发生前，受害人虽有特殊体质却并未因此而实际支出这些费用，现在因加害行为，受害 人不得不遭受医疗费、护理费、交通费等损害，那么这些损害与权益被侵害存在因果关系， 加害人应承担赔偿责任。此时，不应考虑受害人特殊体质而减轻赔偿责任。反之，如果在加 害行为发生前特殊体质已使受害人正在治疗而支出医疗费等,则应当区分受害人本应承担 的医疗费等费用与加害行为发生后扩大的那部分费用,后者才与权益被侵害具有相当因果 关系,应由加害人承担赔偿责任。</w:t>
      </w:r>
    </w:p>
    <w:p w14:paraId="6EC53325">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同理,就所失利益中的残疾赔偿金，必须考虑的是,受害人的特殊体质在加害行为发生 之前是否已降低了受害人劳动能力。如回答是肯定的,加害行为只是在此基础上进一步降 低了受害人的劳动能力，则该被降低部分的损失才与权益被侵害有因果关系，加害人应就 这部分劳动能力的下降承担赔偿责任（支付相应的残疾赔偿金）</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rPr>
        <w:t>反之，如果受害人虽有特 殊体质，但并未对其劳动能力产生影响，则即便该特殊体质使得损害后果扩大或更严重，加 害人也应就受害人劳动能力下降引起的损害支付全部的残疾赔偿金。在第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号指导案例 中，受害人荣宝英虽患有骨质疏松的特殊体质,但并无证据证明该特殊体质在交通事故发 生前已经导致了其劳动能力的下降，故不应以该特殊体质为由减轻残疾赔偿金。至于精神 损害赔偿金，则不能因受害人的特殊体质而减少。因为精神损害赔偿的主要功能是补偿与 抚慰，受害人特殊体质不应成为减少精神损害赔偿责任的原因。</w:t>
      </w:r>
    </w:p>
    <w:p w14:paraId="70326866">
      <w:pPr>
        <w:pStyle w:val="17"/>
        <w:keepNext w:val="0"/>
        <w:keepLines w:val="0"/>
        <w:widowControl w:val="0"/>
        <w:numPr>
          <w:ilvl w:val="0"/>
          <w:numId w:val="37"/>
        </w:numPr>
        <w:shd w:val="clear" w:color="auto" w:fill="auto"/>
        <w:bidi w:val="0"/>
        <w:spacing w:before="0" w:after="0" w:line="342" w:lineRule="exact"/>
        <w:ind w:left="0" w:right="0" w:firstLine="420"/>
        <w:jc w:val="both"/>
        <w:rPr>
          <w:sz w:val="11"/>
          <w:szCs w:val="11"/>
        </w:rPr>
      </w:pPr>
      <w:bookmarkStart w:id="161" w:name="bookmark551"/>
      <w:bookmarkEnd w:id="161"/>
      <w:r>
        <w:rPr>
          <w:color w:val="000000"/>
          <w:spacing w:val="0"/>
          <w:w w:val="100"/>
          <w:position w:val="0"/>
          <w:sz w:val="18"/>
          <w:szCs w:val="18"/>
        </w:rPr>
        <w:t>在加害行为发生前，受害人的特殊体质已经无可避免地会导致受害人残疾或死亡，而 加害行为的发生超越特殊体质提前实现了这一结果。此类因果关系属于“假设的因果关 系”，即损害已因某一加害人之行为而发生了，但即便该加害行为不存在，损害的全部或一 部也会因为另外一个与加害人无关的原因而发生。在假设的因果关系中，存在两个与损害 有关的原因:一个是实际引发损害的加害行为</w:t>
      </w:r>
      <w:r>
        <w:rPr>
          <w:color w:val="000000"/>
          <w:spacing w:val="0"/>
          <w:w w:val="100"/>
          <w:position w:val="0"/>
          <w:sz w:val="11"/>
          <w:szCs w:val="11"/>
        </w:rPr>
        <w:t>（如交通事故、殴打他人等侵权行为）</w:t>
      </w:r>
      <w:r>
        <w:rPr>
          <w:color w:val="000000"/>
          <w:spacing w:val="0"/>
          <w:w w:val="100"/>
          <w:position w:val="0"/>
          <w:sz w:val="18"/>
          <w:szCs w:val="18"/>
        </w:rPr>
        <w:t>，即“真正原 因”；另一个是并未实际发生，但如果真的发生也能造成同一损害的原因即</w:t>
      </w:r>
      <w:r>
        <w:rPr>
          <w:color w:val="000000"/>
          <w:spacing w:val="0"/>
          <w:w w:val="100"/>
          <w:position w:val="0"/>
          <w:sz w:val="18"/>
          <w:szCs w:val="18"/>
          <w:lang w:val="zh-CN" w:eastAsia="zh-CN" w:bidi="zh-CN"/>
        </w:rPr>
        <w:t>“假</w:t>
      </w:r>
      <w:r>
        <w:rPr>
          <w:color w:val="000000"/>
          <w:spacing w:val="0"/>
          <w:w w:val="100"/>
          <w:position w:val="0"/>
          <w:sz w:val="18"/>
          <w:szCs w:val="18"/>
        </w:rPr>
        <w:t>设原因</w:t>
      </w:r>
      <w:r>
        <w:rPr>
          <w:color w:val="000000"/>
          <w:spacing w:val="0"/>
          <w:w w:val="100"/>
          <w:position w:val="0"/>
          <w:sz w:val="18"/>
          <w:szCs w:val="18"/>
          <w:lang w:val="zh-CN" w:eastAsia="zh-CN" w:bidi="zh-CN"/>
        </w:rPr>
        <w:t>”或 “保</w:t>
      </w:r>
      <w:r>
        <w:rPr>
          <w:color w:val="000000"/>
          <w:spacing w:val="0"/>
          <w:w w:val="100"/>
          <w:position w:val="0"/>
          <w:sz w:val="18"/>
          <w:szCs w:val="18"/>
        </w:rPr>
        <w:t>留原因</w:t>
      </w:r>
      <w:r>
        <w:rPr>
          <w:color w:val="000000"/>
          <w:spacing w:val="0"/>
          <w:w w:val="100"/>
          <w:position w:val="0"/>
          <w:sz w:val="18"/>
          <w:szCs w:val="18"/>
          <w:lang w:val="zh-CN" w:eastAsia="zh-CN" w:bidi="zh-CN"/>
        </w:rPr>
        <w:t>”，该</w:t>
      </w:r>
      <w:r>
        <w:rPr>
          <w:color w:val="000000"/>
          <w:spacing w:val="0"/>
          <w:w w:val="100"/>
          <w:position w:val="0"/>
          <w:sz w:val="18"/>
          <w:szCs w:val="18"/>
        </w:rPr>
        <w:t>原因可能来自第三人，也可能来自受害人自身,最典型的情形就是受害人已 患绝症或病入膏肓，死亡乃该自身疾病所不可避免的结果，现在仅仅因为第三人的侵权行 为的发生（机动车交通事故），提前导致了受害人的死亡</w:t>
      </w:r>
      <w:r>
        <w:rPr>
          <w:color w:val="000000"/>
          <w:spacing w:val="0"/>
          <w:w w:val="100"/>
          <w:position w:val="0"/>
          <w:sz w:val="11"/>
          <w:szCs w:val="11"/>
        </w:rPr>
        <w:t>［吉安市中级人民法院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吉中民一 终字第</w:t>
      </w:r>
      <w:r>
        <w:rPr>
          <w:rFonts w:ascii="Times New Roman" w:hAnsi="Times New Roman" w:eastAsia="Times New Roman" w:cs="Times New Roman"/>
          <w:color w:val="000000"/>
          <w:spacing w:val="0"/>
          <w:w w:val="100"/>
          <w:position w:val="0"/>
          <w:sz w:val="17"/>
          <w:szCs w:val="17"/>
        </w:rPr>
        <w:t>526</w:t>
      </w:r>
      <w:r>
        <w:rPr>
          <w:color w:val="000000"/>
          <w:spacing w:val="0"/>
          <w:w w:val="100"/>
          <w:position w:val="0"/>
          <w:sz w:val="11"/>
          <w:szCs w:val="11"/>
        </w:rPr>
        <w:t>号民事判决书］。</w:t>
      </w:r>
    </w:p>
    <w:p w14:paraId="635285B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笔者认为，在受害人特殊体质作为假设原因即损害体质的情形中，应根据加害人赔偿 义务的意义、目的以及损害的不同类型，分别考虑特殊体质对损害范围的影响问题。首先, 就受害人因生命权、健康权被侵害而遭受的医疗费等所受损害而言，应由加害人承担赔偿 责任。倘若加害人能够证明，在侵权行为发生前受害人已因特殊体质而住院治疗并正在支 出医疗费等费用,侵权行为并未导致上述费用的增加，则该所受损害与受害人的权益被侵 害之间不存在因果关系,侵权人不应承担赔偿责任。其次,就死亡赔偿金、残疾赔偿金这些 所失利益而言，由于受害人在加害行为发生之前已有的特殊体质会导致这样的一种结 局</w:t>
      </w:r>
      <w:r>
        <w:rPr>
          <w:color w:val="000000"/>
          <w:spacing w:val="0"/>
          <w:w w:val="100"/>
          <w:position w:val="0"/>
          <w:lang w:val="en-US" w:eastAsia="en-US" w:bidi="en-US"/>
        </w:rPr>
        <w:t>一一</w:t>
      </w:r>
      <w:r>
        <w:rPr>
          <w:color w:val="000000"/>
          <w:spacing w:val="0"/>
          <w:w w:val="100"/>
          <w:position w:val="0"/>
        </w:rPr>
        <w:t>即便没有损害事故，受害人的生存期限或者劳动能力也必然会减少,故此，受害人或 其近亲属能够获得的赔偿仅限于真正原因（如交通事故）与假设原因（受害人的特殊体质） 这一区间的损害。例如，在受害人罹患肺癌而死于交通事故的案例中，受害人顶多生存几 天而已，故死亡赔偿金应以这几天为限。最后，因侵权人的过错程度，侵害的手段、场合、行 为方式等具体情节,侵权行为所造成的后果等是确定精神损害赔偿数额的考虑因素，故受 害人特殊体质不应单独影响精神损害赔偿数额。</w:t>
      </w:r>
    </w:p>
    <w:p w14:paraId="3E48A319">
      <w:pPr>
        <w:pStyle w:val="17"/>
        <w:keepNext w:val="0"/>
        <w:keepLines w:val="0"/>
        <w:widowControl w:val="0"/>
        <w:shd w:val="clear" w:color="auto" w:fill="auto"/>
        <w:bidi w:val="0"/>
        <w:spacing w:before="0" w:after="160" w:line="340"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本判决的影响及将来的课题</w:t>
      </w:r>
    </w:p>
    <w:p w14:paraId="61BAF747">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本案判决解决了司法实践中就受害人特殊体质能否减轻赔偿责任的巨大争议，该案例 也成为最高人民法院颁布的</w:t>
      </w:r>
      <w:r>
        <w:rPr>
          <w:rFonts w:ascii="Times New Roman" w:hAnsi="Times New Roman" w:eastAsia="Times New Roman" w:cs="Times New Roman"/>
          <w:color w:val="000000"/>
          <w:spacing w:val="0"/>
          <w:w w:val="100"/>
          <w:position w:val="0"/>
          <w:sz w:val="17"/>
          <w:szCs w:val="17"/>
          <w:lang w:val="en-US" w:eastAsia="en-US" w:bidi="en-US"/>
        </w:rPr>
        <w:t>wo</w:t>
      </w:r>
      <w:r>
        <w:rPr>
          <w:color w:val="000000"/>
          <w:spacing w:val="0"/>
          <w:w w:val="100"/>
          <w:position w:val="0"/>
        </w:rPr>
        <w:t>多个指导案例中被适用次数最多的案例</w:t>
      </w:r>
      <w:r>
        <w:rPr>
          <w:color w:val="000000"/>
          <w:spacing w:val="0"/>
          <w:w w:val="100"/>
          <w:position w:val="0"/>
          <w:sz w:val="11"/>
          <w:szCs w:val="11"/>
        </w:rPr>
        <w:t>［《最高人民法院指 导案例</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1"/>
          <w:szCs w:val="11"/>
        </w:rPr>
        <w:t>号司法应用报告</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w:t>
      </w:r>
      <w:r>
        <w:rPr>
          <w:color w:val="000000"/>
          <w:spacing w:val="0"/>
          <w:w w:val="100"/>
          <w:position w:val="0"/>
        </w:rPr>
        <w:t>值得继续讨论的问题是，在受害人已经或应当知道自己 存在特殊体质的情况下，其是否负有更高的照顾保护自己的注意义务以避免因该特殊体质 而引起损害的发生或造成损害的扩大。</w:t>
      </w:r>
    </w:p>
    <w:p w14:paraId="771651A2">
      <w:pPr>
        <w:pStyle w:val="11"/>
        <w:keepNext w:val="0"/>
        <w:keepLines w:val="0"/>
        <w:widowControl w:val="0"/>
        <w:shd w:val="clear" w:color="auto" w:fill="auto"/>
        <w:bidi w:val="0"/>
        <w:spacing w:before="0" w:after="40" w:line="340" w:lineRule="exact"/>
        <w:ind w:left="0" w:right="0" w:firstLine="0"/>
        <w:jc w:val="left"/>
      </w:pPr>
      <w:r>
        <w:rPr>
          <w:color w:val="000000"/>
          <w:spacing w:val="0"/>
          <w:w w:val="100"/>
          <w:position w:val="0"/>
        </w:rPr>
        <w:t>回参考文献</w:t>
      </w:r>
    </w:p>
    <w:p w14:paraId="39F95BF4">
      <w:pPr>
        <w:pStyle w:val="33"/>
        <w:keepNext w:val="0"/>
        <w:keepLines w:val="0"/>
        <w:widowControl w:val="0"/>
        <w:shd w:val="clear" w:color="auto" w:fill="auto"/>
        <w:bidi w:val="0"/>
        <w:spacing w:before="0" w:after="0" w:line="319" w:lineRule="exact"/>
        <w:ind w:left="0" w:right="0" w:firstLine="0"/>
        <w:jc w:val="left"/>
      </w:pPr>
      <w:r>
        <w:rPr>
          <w:color w:val="000000"/>
          <w:spacing w:val="0"/>
          <w:w w:val="100"/>
          <w:position w:val="0"/>
        </w:rPr>
        <w:t>王泽鉴:《损害赔偿》，北京大学出版社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66CA7F87">
      <w:pPr>
        <w:pStyle w:val="33"/>
        <w:keepNext w:val="0"/>
        <w:keepLines w:val="0"/>
        <w:widowControl w:val="0"/>
        <w:shd w:val="clear" w:color="auto" w:fill="auto"/>
        <w:bidi w:val="0"/>
        <w:spacing w:before="0" w:after="160" w:line="319" w:lineRule="exact"/>
        <w:ind w:left="0" w:right="0" w:firstLine="0"/>
        <w:jc w:val="left"/>
        <w:sectPr>
          <w:headerReference r:id="rId511" w:type="default"/>
          <w:headerReference r:id="rId512" w:type="even"/>
          <w:footnotePr>
            <w:numFmt w:val="chicago"/>
          </w:footnotePr>
          <w:pgSz w:w="10099" w:h="14782"/>
          <w:pgMar w:top="1315" w:right="1084" w:bottom="1100" w:left="1013" w:header="0" w:footer="3" w:gutter="0"/>
          <w:pgNumType w:start="436"/>
          <w:cols w:space="720" w:num="1"/>
          <w:rtlGutter w:val="0"/>
          <w:docGrid w:linePitch="360" w:charSpace="0"/>
        </w:sectPr>
      </w:pPr>
      <w:r>
        <w:rPr>
          <w:color w:val="000000"/>
          <w:spacing w:val="0"/>
          <w:w w:val="100"/>
          <w:position w:val="0"/>
        </w:rPr>
        <w:t>张新宝、明俊:《侵权法上的原因力理论研究》，载《中国法学》</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孙鹏:</w:t>
      </w:r>
      <w:r>
        <w:rPr>
          <w:color w:val="000000"/>
          <w:spacing w:val="0"/>
          <w:w w:val="100"/>
          <w:position w:val="0"/>
          <w:lang w:val="zh-CN" w:eastAsia="zh-CN" w:bidi="zh-CN"/>
        </w:rPr>
        <w:t>《“蛋</w:t>
      </w:r>
      <w:r>
        <w:rPr>
          <w:color w:val="000000"/>
          <w:spacing w:val="0"/>
          <w:w w:val="100"/>
          <w:position w:val="0"/>
        </w:rPr>
        <w:t>壳脑袋规则</w:t>
      </w:r>
      <w:r>
        <w:rPr>
          <w:color w:val="000000"/>
          <w:spacing w:val="0"/>
          <w:w w:val="100"/>
          <w:position w:val="0"/>
          <w:lang w:val="zh-CN" w:eastAsia="zh-CN" w:bidi="zh-CN"/>
        </w:rPr>
        <w:t>”之</w:t>
      </w:r>
      <w:r>
        <w:rPr>
          <w:color w:val="000000"/>
          <w:spacing w:val="0"/>
          <w:w w:val="100"/>
          <w:position w:val="0"/>
        </w:rPr>
        <w:t>反思与解构》，载《中国法学》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10E75D1A">
      <w:pPr>
        <w:widowControl w:val="0"/>
        <w:spacing w:line="179" w:lineRule="exact"/>
        <w:rPr>
          <w:sz w:val="14"/>
          <w:szCs w:val="14"/>
        </w:rPr>
      </w:pPr>
    </w:p>
    <w:p w14:paraId="0CB66328">
      <w:pPr>
        <w:widowControl w:val="0"/>
        <w:spacing w:line="1" w:lineRule="exact"/>
        <w:sectPr>
          <w:headerReference r:id="rId513" w:type="default"/>
          <w:headerReference r:id="rId514" w:type="even"/>
          <w:footnotePr>
            <w:numFmt w:val="chicago"/>
          </w:footnotePr>
          <w:pgSz w:w="10099" w:h="14782"/>
          <w:pgMar w:top="1321" w:right="980" w:bottom="1075" w:left="1117" w:header="0" w:footer="3" w:gutter="0"/>
          <w:pgNumType w:start="456"/>
          <w:cols w:space="720" w:num="1"/>
          <w:rtlGutter w:val="0"/>
          <w:docGrid w:linePitch="360" w:charSpace="0"/>
        </w:sectPr>
      </w:pPr>
    </w:p>
    <w:p w14:paraId="744662F7">
      <w:pPr>
        <w:widowControl w:val="0"/>
        <w:spacing w:line="1" w:lineRule="exact"/>
      </w:pPr>
      <w:r>
        <mc:AlternateContent>
          <mc:Choice Requires="wps">
            <w:drawing>
              <wp:anchor distT="0" distB="27940" distL="0" distR="0" simplePos="0" relativeHeight="251660288" behindDoc="0" locked="0" layoutInCell="1" allowOverlap="1">
                <wp:simplePos x="0" y="0"/>
                <wp:positionH relativeFrom="page">
                  <wp:posOffset>775970</wp:posOffset>
                </wp:positionH>
                <wp:positionV relativeFrom="paragraph">
                  <wp:posOffset>0</wp:posOffset>
                </wp:positionV>
                <wp:extent cx="449580" cy="304800"/>
                <wp:effectExtent l="0" t="0" r="0" b="0"/>
                <wp:wrapTopAndBottom/>
                <wp:docPr id="1211" name="Shape 1211"/>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0032096A">
                            <w:pPr>
                              <w:pStyle w:val="27"/>
                              <w:keepNext/>
                              <w:keepLines/>
                              <w:widowControl w:val="0"/>
                              <w:shd w:val="clear" w:color="auto" w:fill="auto"/>
                              <w:bidi w:val="0"/>
                              <w:spacing w:before="0" w:after="0" w:line="240" w:lineRule="auto"/>
                              <w:ind w:left="0" w:right="0" w:firstLine="0"/>
                              <w:jc w:val="both"/>
                            </w:pPr>
                            <w:bookmarkStart w:id="597" w:name="bookmark552"/>
                            <w:bookmarkStart w:id="598" w:name="bookmark553"/>
                            <w:bookmarkStart w:id="599" w:name="bookmark554"/>
                            <w:r>
                              <w:rPr>
                                <w:rFonts w:ascii="Times New Roman" w:hAnsi="Times New Roman" w:eastAsia="Times New Roman" w:cs="Times New Roman"/>
                                <w:color w:val="000000"/>
                                <w:spacing w:val="0"/>
                                <w:w w:val="100"/>
                                <w:position w:val="0"/>
                              </w:rPr>
                              <w:t>089</w:t>
                            </w:r>
                            <w:bookmarkEnd w:id="597"/>
                            <w:bookmarkEnd w:id="598"/>
                            <w:bookmarkEnd w:id="599"/>
                          </w:p>
                        </w:txbxContent>
                      </wps:txbx>
                      <wps:bodyPr wrap="none" lIns="0" tIns="0" rIns="0" bIns="0">
                        <a:noAutofit/>
                      </wps:bodyPr>
                    </wps:wsp>
                  </a:graphicData>
                </a:graphic>
              </wp:anchor>
            </w:drawing>
          </mc:Choice>
          <mc:Fallback>
            <w:pict>
              <v:shape id="Shape 1211" o:spid="_x0000_s1026" o:spt="202" type="#_x0000_t202" style="position:absolute;left:0pt;margin-left:61.1pt;margin-top:0pt;height:24pt;width:35.4pt;mso-position-horizontal-relative:page;mso-wrap-distance-bottom:2.2pt;mso-wrap-distance-top:0pt;mso-wrap-style:none;z-index:251660288;mso-width-relative:page;mso-height-relative:page;" filled="f" stroked="f" coordsize="21600,21600" o:gfxdata="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k2bWn0wAAAAcB&#10;AAAPAAAAAAAAAAEAIAAAACIAAABkcnMvZG93bnJldi54bWxQSwECFAAUAAAACACHTuJAZxFmo64B&#10;AAB1AwAADgAAAAAAAAABACAAAAAiAQAAZHJzL2Uyb0RvYy54bWxQSwUGAAAAAAYABgBZAQAAQgUA&#10;AAAA&#10;">
                <v:fill on="f" focussize="0,0"/>
                <v:stroke on="f"/>
                <v:imagedata o:title=""/>
                <o:lock v:ext="edit" aspectratio="f"/>
                <v:textbox inset="0mm,0mm,0mm,0mm">
                  <w:txbxContent>
                    <w:p w14:paraId="0032096A">
                      <w:pPr>
                        <w:pStyle w:val="27"/>
                        <w:keepNext/>
                        <w:keepLines/>
                        <w:widowControl w:val="0"/>
                        <w:shd w:val="clear" w:color="auto" w:fill="auto"/>
                        <w:bidi w:val="0"/>
                        <w:spacing w:before="0" w:after="0" w:line="240" w:lineRule="auto"/>
                        <w:ind w:left="0" w:right="0" w:firstLine="0"/>
                        <w:jc w:val="both"/>
                      </w:pPr>
                      <w:bookmarkStart w:id="597" w:name="bookmark552"/>
                      <w:bookmarkStart w:id="598" w:name="bookmark553"/>
                      <w:bookmarkStart w:id="599" w:name="bookmark554"/>
                      <w:r>
                        <w:rPr>
                          <w:rFonts w:ascii="Times New Roman" w:hAnsi="Times New Roman" w:eastAsia="Times New Roman" w:cs="Times New Roman"/>
                          <w:color w:val="000000"/>
                          <w:spacing w:val="0"/>
                          <w:w w:val="100"/>
                          <w:position w:val="0"/>
                        </w:rPr>
                        <w:t>089</w:t>
                      </w:r>
                      <w:bookmarkEnd w:id="597"/>
                      <w:bookmarkEnd w:id="598"/>
                      <w:bookmarkEnd w:id="599"/>
                    </w:p>
                  </w:txbxContent>
                </v:textbox>
                <w10:wrap type="topAndBottom"/>
              </v:shape>
            </w:pict>
          </mc:Fallback>
        </mc:AlternateContent>
      </w:r>
      <w:r>
        <mc:AlternateContent>
          <mc:Choice Requires="wps">
            <w:drawing>
              <wp:anchor distT="79375" distB="12700" distL="0" distR="0" simplePos="0" relativeHeight="251660288" behindDoc="0" locked="0" layoutInCell="1" allowOverlap="1">
                <wp:simplePos x="0" y="0"/>
                <wp:positionH relativeFrom="page">
                  <wp:posOffset>1355090</wp:posOffset>
                </wp:positionH>
                <wp:positionV relativeFrom="paragraph">
                  <wp:posOffset>79375</wp:posOffset>
                </wp:positionV>
                <wp:extent cx="2620010" cy="240665"/>
                <wp:effectExtent l="0" t="0" r="0" b="0"/>
                <wp:wrapTopAndBottom/>
                <wp:docPr id="1213" name="Shape 1213"/>
                <wp:cNvGraphicFramePr/>
                <a:graphic xmlns:a="http://schemas.openxmlformats.org/drawingml/2006/main">
                  <a:graphicData uri="http://schemas.microsoft.com/office/word/2010/wordprocessingShape">
                    <wps:wsp>
                      <wps:cNvSpPr txBox="1"/>
                      <wps:spPr>
                        <a:xfrm>
                          <a:off x="0" y="0"/>
                          <a:ext cx="2620010" cy="240665"/>
                        </a:xfrm>
                        <a:prstGeom prst="rect">
                          <a:avLst/>
                        </a:prstGeom>
                        <a:noFill/>
                      </wps:spPr>
                      <wps:txbx>
                        <w:txbxContent>
                          <w:p w14:paraId="2DBF08C3">
                            <w:pPr>
                              <w:pStyle w:val="15"/>
                              <w:keepNext/>
                              <w:keepLines/>
                              <w:widowControl w:val="0"/>
                              <w:shd w:val="clear" w:color="auto" w:fill="auto"/>
                              <w:bidi w:val="0"/>
                              <w:spacing w:before="0" w:after="0" w:line="240" w:lineRule="auto"/>
                              <w:ind w:left="0" w:right="0" w:firstLine="0"/>
                              <w:jc w:val="left"/>
                            </w:pPr>
                            <w:bookmarkStart w:id="600" w:name="bookmark556"/>
                            <w:bookmarkStart w:id="601" w:name="bookmark557"/>
                            <w:bookmarkStart w:id="602" w:name="bookmark555"/>
                            <w:r>
                              <w:rPr>
                                <w:color w:val="000000"/>
                                <w:spacing w:val="0"/>
                                <w:w w:val="100"/>
                                <w:position w:val="0"/>
                              </w:rPr>
                              <w:t>数人侵权责任规则的检索顺序</w:t>
                            </w:r>
                            <w:bookmarkEnd w:id="600"/>
                            <w:bookmarkEnd w:id="601"/>
                            <w:bookmarkEnd w:id="602"/>
                          </w:p>
                        </w:txbxContent>
                      </wps:txbx>
                      <wps:bodyPr wrap="none" lIns="0" tIns="0" rIns="0" bIns="0">
                        <a:noAutofit/>
                      </wps:bodyPr>
                    </wps:wsp>
                  </a:graphicData>
                </a:graphic>
              </wp:anchor>
            </w:drawing>
          </mc:Choice>
          <mc:Fallback>
            <w:pict>
              <v:shape id="Shape 1213" o:spid="_x0000_s1026" o:spt="202" type="#_x0000_t202" style="position:absolute;left:0pt;margin-left:106.7pt;margin-top:6.25pt;height:18.95pt;width:206.3pt;mso-position-horizontal-relative:page;mso-wrap-distance-bottom:1pt;mso-wrap-distance-top:6.25pt;mso-wrap-style:none;z-index:251660288;mso-width-relative:page;mso-height-relative:page;" filled="f" stroked="f" coordsize="21600,21600" o:gfxdata="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LYGY/WAAAA&#10;CQEAAA8AAAAAAAAAAQAgAAAAIgAAAGRycy9kb3ducmV2LnhtbFBLAQIUABQAAAAIAIdO4kCytRqW&#10;rQEAAHYDAAAOAAAAAAAAAAEAIAAAACUBAABkcnMvZTJvRG9jLnhtbFBLBQYAAAAABgAGAFkBAABE&#10;BQAAAAA=&#10;">
                <v:fill on="f" focussize="0,0"/>
                <v:stroke on="f"/>
                <v:imagedata o:title=""/>
                <o:lock v:ext="edit" aspectratio="f"/>
                <v:textbox inset="0mm,0mm,0mm,0mm">
                  <w:txbxContent>
                    <w:p w14:paraId="2DBF08C3">
                      <w:pPr>
                        <w:pStyle w:val="15"/>
                        <w:keepNext/>
                        <w:keepLines/>
                        <w:widowControl w:val="0"/>
                        <w:shd w:val="clear" w:color="auto" w:fill="auto"/>
                        <w:bidi w:val="0"/>
                        <w:spacing w:before="0" w:after="0" w:line="240" w:lineRule="auto"/>
                        <w:ind w:left="0" w:right="0" w:firstLine="0"/>
                        <w:jc w:val="left"/>
                      </w:pPr>
                      <w:bookmarkStart w:id="600" w:name="bookmark556"/>
                      <w:bookmarkStart w:id="601" w:name="bookmark557"/>
                      <w:bookmarkStart w:id="602" w:name="bookmark555"/>
                      <w:r>
                        <w:rPr>
                          <w:color w:val="000000"/>
                          <w:spacing w:val="0"/>
                          <w:w w:val="100"/>
                          <w:position w:val="0"/>
                        </w:rPr>
                        <w:t>数人侵权责任规则的检索顺序</w:t>
                      </w:r>
                      <w:bookmarkEnd w:id="600"/>
                      <w:bookmarkEnd w:id="601"/>
                      <w:bookmarkEnd w:id="602"/>
                    </w:p>
                  </w:txbxContent>
                </v:textbox>
                <w10:wrap type="topAndBottom"/>
              </v:shape>
            </w:pict>
          </mc:Fallback>
        </mc:AlternateContent>
      </w:r>
    </w:p>
    <w:p w14:paraId="6C358A00">
      <w:pPr>
        <w:pStyle w:val="15"/>
        <w:keepNext/>
        <w:keepLines/>
        <w:widowControl w:val="0"/>
        <w:shd w:val="clear" w:color="auto" w:fill="auto"/>
        <w:bidi w:val="0"/>
        <w:spacing w:before="0" w:after="0" w:line="240" w:lineRule="auto"/>
        <w:ind w:left="0" w:right="0" w:firstLine="1000"/>
        <w:jc w:val="left"/>
      </w:pPr>
      <w:bookmarkStart w:id="162" w:name="bookmark559"/>
      <w:bookmarkStart w:id="163" w:name="bookmark558"/>
      <w:bookmarkStart w:id="164" w:name="bookmark560"/>
      <w:r>
        <w:rPr>
          <w:color w:val="000000"/>
          <w:spacing w:val="0"/>
          <w:w w:val="100"/>
          <w:position w:val="0"/>
        </w:rPr>
        <w:t>及共同过失的认定</w:t>
      </w:r>
      <w:bookmarkEnd w:id="162"/>
      <w:bookmarkEnd w:id="163"/>
      <w:bookmarkEnd w:id="164"/>
    </w:p>
    <w:p w14:paraId="76BEB048">
      <w:pPr>
        <w:pStyle w:val="17"/>
        <w:keepNext w:val="0"/>
        <w:keepLines w:val="0"/>
        <w:widowControl w:val="0"/>
        <w:shd w:val="clear" w:color="auto" w:fill="auto"/>
        <w:bidi w:val="0"/>
        <w:spacing w:before="0" w:after="420" w:line="347" w:lineRule="exact"/>
        <w:ind w:left="1000" w:right="0" w:firstLine="0"/>
        <w:jc w:val="left"/>
      </w:pPr>
      <w:r>
        <w:rPr>
          <w:color w:val="000000"/>
          <w:spacing w:val="0"/>
          <w:w w:val="100"/>
          <w:position w:val="0"/>
        </w:rPr>
        <w:t>杨丐俊与中国工商银行股份有限公司澧县支行、兴业银行股份有限 公司长沙分行等财产损害赔偿纠纷案丨最高人民法院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2014）</w:t>
      </w:r>
      <w:r>
        <w:rPr>
          <w:color w:val="000000"/>
          <w:spacing w:val="0"/>
          <w:w w:val="100"/>
          <w:position w:val="0"/>
        </w:rPr>
        <w:t>民 提字第</w:t>
      </w:r>
      <w:r>
        <w:rPr>
          <w:rFonts w:ascii="Times New Roman" w:hAnsi="Times New Roman" w:eastAsia="Times New Roman" w:cs="Times New Roman"/>
          <w:color w:val="000000"/>
          <w:spacing w:val="0"/>
          <w:w w:val="100"/>
          <w:position w:val="0"/>
          <w:sz w:val="19"/>
          <w:szCs w:val="19"/>
        </w:rPr>
        <w:t>159</w:t>
      </w:r>
      <w:r>
        <w:rPr>
          <w:color w:val="000000"/>
          <w:spacing w:val="0"/>
          <w:w w:val="100"/>
          <w:position w:val="0"/>
        </w:rPr>
        <w:t>号民事判决书</w:t>
      </w:r>
    </w:p>
    <w:p w14:paraId="22809646">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曹险峰</w:t>
      </w:r>
      <w:r>
        <w:rPr>
          <w:color w:val="000000"/>
          <w:spacing w:val="0"/>
          <w:w w:val="100"/>
          <w:position w:val="0"/>
        </w:rPr>
        <w:t>吉林大学法学院</w:t>
      </w:r>
    </w:p>
    <w:p w14:paraId="29B870A3">
      <w:pPr>
        <w:pStyle w:val="11"/>
        <w:keepNext w:val="0"/>
        <w:keepLines w:val="0"/>
        <w:widowControl w:val="0"/>
        <w:shd w:val="clear" w:color="auto" w:fill="auto"/>
        <w:bidi w:val="0"/>
        <w:spacing w:before="0" w:after="10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453B7843">
      <w:pPr>
        <w:pStyle w:val="17"/>
        <w:keepNext w:val="0"/>
        <w:keepLines w:val="0"/>
        <w:widowControl w:val="0"/>
        <w:shd w:val="clear" w:color="auto" w:fill="auto"/>
        <w:bidi w:val="0"/>
        <w:spacing w:before="0" w:after="0" w:line="344" w:lineRule="exact"/>
        <w:ind w:left="0" w:right="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日，被申请人天云公司（一审被告）法定代表人代文清与再审申请人杨 丐俊（一审原告、二审被上诉人），签定一份金额为</w:t>
      </w:r>
      <w:r>
        <w:rPr>
          <w:rFonts w:ascii="Times New Roman" w:hAnsi="Times New Roman" w:eastAsia="Times New Roman" w:cs="Times New Roman"/>
          <w:color w:val="000000"/>
          <w:spacing w:val="0"/>
          <w:w w:val="100"/>
          <w:position w:val="0"/>
          <w:sz w:val="19"/>
          <w:szCs w:val="19"/>
        </w:rPr>
        <w:t>3000</w:t>
      </w:r>
      <w:r>
        <w:rPr>
          <w:color w:val="000000"/>
          <w:spacing w:val="0"/>
          <w:w w:val="100"/>
          <w:position w:val="0"/>
        </w:rPr>
        <w:t>万元的《借用资金协议书》，专用于 天云公司增资扩股。天云公司在担保单位处由法定代表人签字并加盖公司印章。借款最 终转入天云公司在被申请人澧县工行（一审被告、二审上诉人）的账户。</w:t>
      </w:r>
    </w:p>
    <w:p w14:paraId="305F0997">
      <w:pPr>
        <w:pStyle w:val="17"/>
        <w:keepNext w:val="0"/>
        <w:keepLines w:val="0"/>
        <w:widowControl w:val="0"/>
        <w:shd w:val="clear" w:color="auto" w:fill="auto"/>
        <w:bidi w:val="0"/>
        <w:spacing w:before="0" w:after="0" w:line="344" w:lineRule="exact"/>
        <w:ind w:left="0" w:right="0"/>
        <w:jc w:val="both"/>
      </w:pPr>
      <w:r>
        <w:rPr>
          <w:rFonts w:ascii="Times New Roman" w:hAnsi="Times New Roman" w:eastAsia="Times New Roman" w:cs="Times New Roman"/>
          <w:color w:val="000000"/>
          <w:spacing w:val="0"/>
          <w:w w:val="100"/>
          <w:position w:val="0"/>
          <w:sz w:val="19"/>
          <w:szCs w:val="19"/>
        </w:rPr>
        <w:t>2007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日，天云公司与正祥公司签订虚假的钢材购销合同，以存款质押向澧县 工行申请开立银行承兑汇票。</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日，澧县工行开出一张金额为</w:t>
      </w:r>
      <w:r>
        <w:rPr>
          <w:rFonts w:ascii="Times New Roman" w:hAnsi="Times New Roman" w:eastAsia="Times New Roman" w:cs="Times New Roman"/>
          <w:color w:val="000000"/>
          <w:spacing w:val="0"/>
          <w:w w:val="100"/>
          <w:position w:val="0"/>
          <w:sz w:val="19"/>
          <w:szCs w:val="19"/>
        </w:rPr>
        <w:t>2500</w:t>
      </w:r>
      <w:r>
        <w:rPr>
          <w:color w:val="000000"/>
          <w:spacing w:val="0"/>
          <w:w w:val="100"/>
          <w:position w:val="0"/>
        </w:rPr>
        <w:t>万元的汇票，出票 人为天云公司、收款人为正祥公司、付款行是澧县工行。</w:t>
      </w:r>
    </w:p>
    <w:p w14:paraId="426F7303">
      <w:pPr>
        <w:pStyle w:val="17"/>
        <w:keepNext w:val="0"/>
        <w:keepLines w:val="0"/>
        <w:widowControl w:val="0"/>
        <w:shd w:val="clear" w:color="auto" w:fill="auto"/>
        <w:bidi w:val="0"/>
        <w:spacing w:before="0" w:after="0" w:line="344" w:lineRule="exact"/>
        <w:ind w:left="0" w:right="0"/>
        <w:jc w:val="both"/>
      </w:pP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25</w:t>
      </w:r>
      <w:r>
        <w:rPr>
          <w:color w:val="000000"/>
          <w:spacing w:val="0"/>
          <w:w w:val="100"/>
          <w:position w:val="0"/>
        </w:rPr>
        <w:t>日当晚，澧县工行副行长周菜等人陪同天云公司人员赶赴长沙，第二日先后向 长沙市株洲农业银行（被拒）、被申请人兴业银行长沙分行（一审被告、二审上诉人）申请贴 现。杨丐俊发现天云公司账户上的资金被动用，向常德市公安局报案。澧县工行受理天云 公司要求其在答复贴现行查询时,应注明</w:t>
      </w:r>
      <w:r>
        <w:rPr>
          <w:color w:val="000000"/>
          <w:spacing w:val="0"/>
          <w:w w:val="100"/>
          <w:position w:val="0"/>
          <w:lang w:val="zh-CN" w:eastAsia="zh-CN" w:bidi="zh-CN"/>
        </w:rPr>
        <w:t>“出票</w:t>
      </w:r>
      <w:r>
        <w:rPr>
          <w:color w:val="000000"/>
          <w:spacing w:val="0"/>
          <w:w w:val="100"/>
          <w:position w:val="0"/>
        </w:rPr>
        <w:t>单位要求收款单位不得在银行贴现</w:t>
      </w:r>
      <w:r>
        <w:rPr>
          <w:color w:val="000000"/>
          <w:spacing w:val="0"/>
          <w:w w:val="100"/>
          <w:position w:val="0"/>
          <w:lang w:val="zh-CN" w:eastAsia="zh-CN" w:bidi="zh-CN"/>
        </w:rPr>
        <w:t xml:space="preserve">”的申 </w:t>
      </w:r>
      <w:r>
        <w:rPr>
          <w:color w:val="000000"/>
          <w:spacing w:val="0"/>
          <w:w w:val="100"/>
          <w:position w:val="0"/>
        </w:rPr>
        <w:t>请。兴业银行长沙分行经查询得知这一情况,停止办理贴现，将汇票退给收款人正祥公司。</w:t>
      </w:r>
    </w:p>
    <w:p w14:paraId="3A3AA9D2">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之后，兴业银行长沙分行工作人员毛标，授意代文清伪造购销合同等贴现材料。</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2 </w:t>
      </w:r>
      <w:r>
        <w:rPr>
          <w:color w:val="000000"/>
          <w:spacing w:val="0"/>
          <w:w w:val="100"/>
          <w:position w:val="0"/>
        </w:rPr>
        <w:t>日，易缅祥持该虚列背书人的银行承兑汇票再次来到兴业银行长沙分行申请贴现。兴业银 行长沙分行向澧县工行发出查询书，被回复该张汇票暂无挂止冻结、公安局已介入调查等 内容。兴业银行长沙分行见答复中没有不得贴现的内容，遂办理贴现。贴现款转入湖南德 邦医药有限公司账户后，转入其他账户并流失。</w:t>
      </w:r>
    </w:p>
    <w:p w14:paraId="2269CFF2">
      <w:pPr>
        <w:pStyle w:val="17"/>
        <w:keepNext w:val="0"/>
        <w:keepLines w:val="0"/>
        <w:widowControl w:val="0"/>
        <w:shd w:val="clear" w:color="auto" w:fill="auto"/>
        <w:bidi w:val="0"/>
        <w:spacing w:before="0" w:after="360" w:line="362" w:lineRule="exact"/>
        <w:ind w:left="0" w:right="0"/>
        <w:jc w:val="both"/>
      </w:pP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月，湖南省高级人民法院</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湘高法刑终字第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号刑事裁定书认定代文 清、莫宗林和易缅祥构成合同诈骗罪。经公安部门追赃,部分钱款未能追回。</w:t>
      </w:r>
    </w:p>
    <w:p w14:paraId="77D49192">
      <w:pPr>
        <w:pStyle w:val="11"/>
        <w:keepNext w:val="0"/>
        <w:keepLines w:val="0"/>
        <w:widowControl w:val="0"/>
        <w:shd w:val="clear" w:color="auto" w:fill="auto"/>
        <w:bidi w:val="0"/>
        <w:spacing w:before="0" w:after="100" w:line="344"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23181B56">
      <w:pPr>
        <w:pStyle w:val="17"/>
        <w:keepNext w:val="0"/>
        <w:keepLines w:val="0"/>
        <w:widowControl w:val="0"/>
        <w:shd w:val="clear" w:color="auto" w:fill="auto"/>
        <w:bidi w:val="0"/>
        <w:spacing w:before="0" w:after="460" w:line="344" w:lineRule="exact"/>
        <w:ind w:left="0" w:right="0"/>
        <w:jc w:val="both"/>
        <w:sectPr>
          <w:footnotePr>
            <w:numFmt w:val="chicago"/>
          </w:footnotePr>
          <w:type w:val="continuous"/>
          <w:pgSz w:w="10099" w:h="14782"/>
          <w:pgMar w:top="1321" w:right="980" w:bottom="1075" w:left="1117" w:header="893" w:footer="647" w:gutter="0"/>
          <w:cols w:space="720" w:num="1"/>
          <w:rtlGutter w:val="0"/>
          <w:docGrid w:linePitch="360" w:charSpace="0"/>
        </w:sectPr>
      </w:pPr>
      <w:r>
        <w:rPr>
          <w:color w:val="000000"/>
          <w:spacing w:val="0"/>
          <w:w w:val="100"/>
          <w:position w:val="0"/>
        </w:rPr>
        <w:t xml:space="preserve">在合同诈骗犯以签订借款合同的形式,通过票据贴现行为骗取他人财产,从而引发财 </w:t>
      </w:r>
    </w:p>
    <w:p w14:paraId="6FFDF083">
      <w:pPr>
        <w:pStyle w:val="17"/>
        <w:keepNext w:val="0"/>
        <w:keepLines w:val="0"/>
        <w:widowControl w:val="0"/>
        <w:shd w:val="clear" w:color="auto" w:fill="auto"/>
        <w:bidi w:val="0"/>
        <w:spacing w:before="0" w:after="460" w:line="344" w:lineRule="exact"/>
        <w:ind w:left="0" w:right="0" w:firstLine="0"/>
        <w:jc w:val="both"/>
      </w:pPr>
      <w:r>
        <w:rPr>
          <w:color w:val="000000"/>
          <w:spacing w:val="0"/>
          <w:w w:val="100"/>
          <w:position w:val="0"/>
        </w:rPr>
        <w:t>产损害的案件中，受害人虽不是汇票出票人，但其财产权受到损害。出票人签订虚假交易 合同，申请开立银行承兑汇票。岀票人开户银行未按要求回复。受理汇票的银行明知汇票 不得贴现,却违规贴现。出票人、承兑银行和贴现银行都具有过错，构成共同侵权。因受害 人自愿放弃合同诈骗犯的民事赔偿，根据《侵权责任法》第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条的规定，三者对剔除诈骗 犯应承担部分剩余的损失承担连带责任</w:t>
      </w:r>
    </w:p>
    <w:p w14:paraId="5B404EBC">
      <w:pPr>
        <w:pStyle w:val="11"/>
        <w:keepNext w:val="0"/>
        <w:keepLines w:val="0"/>
        <w:widowControl w:val="0"/>
        <w:shd w:val="clear" w:color="auto" w:fill="auto"/>
        <w:tabs>
          <w:tab w:val="left" w:pos="3257"/>
        </w:tabs>
        <w:bidi w:val="0"/>
        <w:spacing w:before="0" w:after="0" w:line="240" w:lineRule="auto"/>
        <w:ind w:left="0" w:right="0" w:firstLine="0"/>
        <w:jc w:val="both"/>
      </w:pPr>
      <w:r>
        <w:rPr>
          <w:color w:val="000000"/>
          <w:spacing w:val="0"/>
          <w:w w:val="100"/>
          <w:position w:val="0"/>
        </w:rPr>
        <w:t>■评析</w:t>
      </w:r>
      <w:r>
        <w:rPr>
          <w:color w:val="000000"/>
          <w:spacing w:val="0"/>
          <w:w w:val="100"/>
          <w:position w:val="0"/>
        </w:rPr>
        <w:tab/>
      </w:r>
      <w:r>
        <w:rPr>
          <w:color w:val="000000"/>
          <w:spacing w:val="0"/>
          <w:w w:val="100"/>
          <w:position w:val="0"/>
        </w:rPr>
        <w:t>彳</w:t>
      </w:r>
    </w:p>
    <w:p w14:paraId="2F11E724">
      <w:pPr>
        <w:pStyle w:val="17"/>
        <w:keepNext w:val="0"/>
        <w:keepLines w:val="0"/>
        <w:widowControl w:val="0"/>
        <w:shd w:val="clear" w:color="auto" w:fill="auto"/>
        <w:bidi w:val="0"/>
        <w:spacing w:before="0" w:after="0" w:line="240" w:lineRule="auto"/>
        <w:ind w:left="3360" w:right="0" w:firstLine="0"/>
        <w:jc w:val="left"/>
      </w:pPr>
      <w:r>
        <w:rPr>
          <w:color w:val="000000"/>
          <w:spacing w:val="0"/>
          <w:w w:val="100"/>
          <w:position w:val="0"/>
          <w:lang w:val="zh-CN" w:eastAsia="zh-CN" w:bidi="zh-CN"/>
        </w:rPr>
        <w:t>|</w:t>
      </w:r>
    </w:p>
    <w:p w14:paraId="25D3AED3">
      <w:pPr>
        <w:pStyle w:val="17"/>
        <w:keepNext w:val="0"/>
        <w:keepLines w:val="0"/>
        <w:widowControl w:val="0"/>
        <w:shd w:val="clear" w:color="auto" w:fill="auto"/>
        <w:tabs>
          <w:tab w:val="left" w:pos="3257"/>
        </w:tabs>
        <w:bidi w:val="0"/>
        <w:spacing w:before="0" w:after="0" w:line="379"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r>
        <w:rPr>
          <w:color w:val="000000"/>
          <w:spacing w:val="0"/>
          <w:w w:val="100"/>
          <w:position w:val="0"/>
        </w:rPr>
        <w:tab/>
      </w:r>
      <w:r>
        <w:rPr>
          <w:color w:val="000000"/>
          <w:spacing w:val="0"/>
          <w:w w:val="100"/>
          <w:position w:val="0"/>
          <w:vertAlign w:val="superscript"/>
          <w:lang w:val="en-US" w:eastAsia="en-US" w:bidi="en-US"/>
        </w:rPr>
        <w:t>c</w:t>
      </w:r>
    </w:p>
    <w:p w14:paraId="38587B96">
      <w:pPr>
        <w:pStyle w:val="17"/>
        <w:keepNext w:val="0"/>
        <w:keepLines w:val="0"/>
        <w:widowControl w:val="0"/>
        <w:shd w:val="clear" w:color="auto" w:fill="auto"/>
        <w:bidi w:val="0"/>
        <w:spacing w:before="0" w:after="280" w:line="344" w:lineRule="exact"/>
        <w:ind w:left="0" w:right="0" w:firstLine="420"/>
        <w:jc w:val="both"/>
      </w:pPr>
      <w:r>
        <w:rPr>
          <w:color w:val="000000"/>
          <w:spacing w:val="0"/>
          <w:w w:val="100"/>
          <w:position w:val="0"/>
        </w:rPr>
        <w:t>本案历经一审、二审与再审，从形式上看似乎仅涉及对原《侵权责任法》第</w:t>
      </w:r>
      <w:r>
        <w:rPr>
          <w:rFonts w:ascii="Times New Roman" w:hAnsi="Times New Roman" w:eastAsia="Times New Roman" w:cs="Times New Roman"/>
          <w:color w:val="000000"/>
          <w:spacing w:val="0"/>
          <w:w w:val="100"/>
          <w:position w:val="0"/>
          <w:sz w:val="19"/>
          <w:szCs w:val="19"/>
          <w:lang w:val="en-US" w:eastAsia="en-US" w:bidi="en-US"/>
        </w:rPr>
        <w:t>11.12</w:t>
      </w:r>
      <w:r>
        <w:rPr>
          <w:color w:val="000000"/>
          <w:spacing w:val="0"/>
          <w:w w:val="100"/>
          <w:position w:val="0"/>
        </w:rPr>
        <w:t>条 （《民法典》第</w:t>
      </w:r>
      <w:r>
        <w:rPr>
          <w:rFonts w:ascii="Times New Roman" w:hAnsi="Times New Roman" w:eastAsia="Times New Roman" w:cs="Times New Roman"/>
          <w:color w:val="000000"/>
          <w:spacing w:val="0"/>
          <w:w w:val="100"/>
          <w:position w:val="0"/>
          <w:sz w:val="19"/>
          <w:szCs w:val="19"/>
          <w:lang w:val="en-US" w:eastAsia="en-US" w:bidi="en-US"/>
        </w:rPr>
        <w:t>1171.1172</w:t>
      </w:r>
      <w:r>
        <w:rPr>
          <w:color w:val="000000"/>
          <w:spacing w:val="0"/>
          <w:w w:val="100"/>
          <w:position w:val="0"/>
        </w:rPr>
        <w:t>条）事实构成的不同理解，但实质上本案更多地涉及了数人侵权责 任规则的检索顺序及共同过失的认定问题。</w:t>
      </w:r>
    </w:p>
    <w:p w14:paraId="324767A4">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数人侵权责任规则体系的规范及学理</w:t>
      </w:r>
    </w:p>
    <w:p w14:paraId="73FE6484">
      <w:pPr>
        <w:pStyle w:val="17"/>
        <w:keepNext w:val="0"/>
        <w:keepLines w:val="0"/>
        <w:widowControl w:val="0"/>
        <w:shd w:val="clear" w:color="auto" w:fill="auto"/>
        <w:bidi w:val="0"/>
        <w:spacing w:before="0" w:after="120" w:line="349" w:lineRule="exact"/>
        <w:ind w:left="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条（原《侵权责任法》第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 xml:space="preserve">条）依次规定了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种数人侵权责 任,上述法规范适用时具有一定的顺序性。</w:t>
      </w:r>
    </w:p>
    <w:p w14:paraId="65A6F6CE">
      <w:pPr>
        <w:pStyle w:val="17"/>
        <w:keepNext w:val="0"/>
        <w:keepLines w:val="0"/>
        <w:widowControl w:val="0"/>
        <w:numPr>
          <w:ilvl w:val="0"/>
          <w:numId w:val="38"/>
        </w:numPr>
        <w:shd w:val="clear" w:color="auto" w:fill="auto"/>
        <w:bidi w:val="0"/>
        <w:spacing w:before="0" w:after="0" w:line="384" w:lineRule="auto"/>
        <w:ind w:left="0" w:right="0" w:firstLine="420"/>
        <w:jc w:val="both"/>
      </w:pPr>
      <w:bookmarkStart w:id="165" w:name="bookmark561"/>
      <w:bookmarkEnd w:id="165"/>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条在数人侵权体系中的核心地位</w:t>
      </w:r>
    </w:p>
    <w:p w14:paraId="5F52D38C">
      <w:pPr>
        <w:pStyle w:val="17"/>
        <w:keepNext w:val="0"/>
        <w:keepLines w:val="0"/>
        <w:widowControl w:val="0"/>
        <w:shd w:val="clear" w:color="auto" w:fill="auto"/>
        <w:bidi w:val="0"/>
        <w:spacing w:before="0" w:after="0" w:line="349" w:lineRule="exact"/>
        <w:ind w:left="0" w:right="0" w:firstLine="420"/>
        <w:jc w:val="both"/>
      </w:pPr>
      <w:r>
        <w:rPr>
          <w:color w:val="000000"/>
          <w:spacing w:val="0"/>
          <w:w w:val="100"/>
          <w:position w:val="0"/>
        </w:rPr>
        <w:t>首先,就共同侵权行为而言，《民法典》第</w:t>
      </w:r>
      <w:r>
        <w:rPr>
          <w:rFonts w:ascii="Times New Roman" w:hAnsi="Times New Roman" w:eastAsia="Times New Roman" w:cs="Times New Roman"/>
          <w:color w:val="000000"/>
          <w:spacing w:val="0"/>
          <w:w w:val="100"/>
          <w:position w:val="0"/>
          <w:sz w:val="19"/>
          <w:szCs w:val="19"/>
          <w:lang w:val="en-US" w:eastAsia="en-US" w:bidi="en-US"/>
        </w:rPr>
        <w:t>H68</w:t>
      </w:r>
      <w:r>
        <w:rPr>
          <w:color w:val="000000"/>
          <w:spacing w:val="0"/>
          <w:w w:val="100"/>
          <w:position w:val="0"/>
        </w:rPr>
        <w:t>条居于核心地位。由于《民法典》第</w:t>
      </w:r>
      <w:r>
        <w:rPr>
          <w:rFonts w:ascii="Times New Roman" w:hAnsi="Times New Roman" w:eastAsia="Times New Roman" w:cs="Times New Roman"/>
          <w:color w:val="000000"/>
          <w:spacing w:val="0"/>
          <w:w w:val="100"/>
          <w:position w:val="0"/>
          <w:sz w:val="19"/>
          <w:szCs w:val="19"/>
        </w:rPr>
        <w:t xml:space="preserve">1169 </w:t>
      </w:r>
      <w:r>
        <w:rPr>
          <w:color w:val="000000"/>
          <w:spacing w:val="0"/>
          <w:w w:val="100"/>
          <w:position w:val="0"/>
        </w:rPr>
        <w:t>条情形相对好识别，故此处分析《民法典》第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1170</w:t>
      </w:r>
      <w:r>
        <w:rPr>
          <w:color w:val="000000"/>
          <w:spacing w:val="0"/>
          <w:w w:val="100"/>
          <w:position w:val="0"/>
        </w:rPr>
        <w:t>条的关系。在共同加害行为 中，有无实施具体加害行为、实施了什么样的加害行为以及损害结果是否可分，都不再重 要，只要是在共同过错的涵摄范围内，全体加害人都应承担连带责任。故加害人不明与实 际致害人只是全体人中的部分人之情形也可能构成共同过失。所以,实质上构成共同过失 但形式上表现为共同危险行为的情形，仍应适用《民法典》第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条，而无《民法典》第</w:t>
      </w:r>
      <w:r>
        <w:rPr>
          <w:rFonts w:ascii="Times New Roman" w:hAnsi="Times New Roman" w:eastAsia="Times New Roman" w:cs="Times New Roman"/>
          <w:color w:val="000000"/>
          <w:spacing w:val="0"/>
          <w:w w:val="100"/>
          <w:position w:val="0"/>
          <w:sz w:val="19"/>
          <w:szCs w:val="19"/>
        </w:rPr>
        <w:t xml:space="preserve">1170 </w:t>
      </w:r>
      <w:r>
        <w:rPr>
          <w:color w:val="000000"/>
          <w:spacing w:val="0"/>
          <w:w w:val="100"/>
          <w:position w:val="0"/>
        </w:rPr>
        <w:t>条的适用余地。</w:t>
      </w:r>
    </w:p>
    <w:p w14:paraId="2FD3CC6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其次，在《民法典》第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lang w:val="en-US" w:eastAsia="en-US" w:bidi="en-US"/>
        </w:rPr>
        <w:t>1171.1172</w:t>
      </w:r>
      <w:r>
        <w:rPr>
          <w:color w:val="000000"/>
          <w:spacing w:val="0"/>
          <w:w w:val="100"/>
          <w:position w:val="0"/>
        </w:rPr>
        <w:t>条的对比关系上，也存在相应的检索顺序。 从表面上看，无意思联络数人侵权以</w:t>
      </w:r>
      <w:r>
        <w:rPr>
          <w:color w:val="000000"/>
          <w:spacing w:val="0"/>
          <w:w w:val="100"/>
          <w:position w:val="0"/>
          <w:lang w:val="zh-CN" w:eastAsia="zh-CN" w:bidi="zh-CN"/>
        </w:rPr>
        <w:t>“分</w:t>
      </w:r>
      <w:r>
        <w:rPr>
          <w:color w:val="000000"/>
          <w:spacing w:val="0"/>
          <w:w w:val="100"/>
          <w:position w:val="0"/>
        </w:rPr>
        <w:t>别实施</w:t>
      </w:r>
      <w:r>
        <w:rPr>
          <w:color w:val="000000"/>
          <w:spacing w:val="0"/>
          <w:w w:val="100"/>
          <w:position w:val="0"/>
          <w:lang w:val="zh-CN" w:eastAsia="zh-CN" w:bidi="zh-CN"/>
        </w:rPr>
        <w:t>”为行</w:t>
      </w:r>
      <w:r>
        <w:rPr>
          <w:color w:val="000000"/>
          <w:spacing w:val="0"/>
          <w:w w:val="100"/>
          <w:position w:val="0"/>
        </w:rPr>
        <w:t>为特征，与共同加害行为之</w:t>
      </w:r>
      <w:r>
        <w:rPr>
          <w:color w:val="000000"/>
          <w:spacing w:val="0"/>
          <w:w w:val="100"/>
          <w:position w:val="0"/>
          <w:lang w:val="zh-CN" w:eastAsia="zh-CN" w:bidi="zh-CN"/>
        </w:rPr>
        <w:t>“共</w:t>
      </w:r>
      <w:r>
        <w:rPr>
          <w:color w:val="000000"/>
          <w:spacing w:val="0"/>
          <w:w w:val="100"/>
          <w:position w:val="0"/>
        </w:rPr>
        <w:t>同实 施</w:t>
      </w:r>
      <w:r>
        <w:rPr>
          <w:color w:val="000000"/>
          <w:spacing w:val="0"/>
          <w:w w:val="100"/>
          <w:position w:val="0"/>
          <w:lang w:val="zh-CN" w:eastAsia="zh-CN" w:bidi="zh-CN"/>
        </w:rPr>
        <w:t>”明显</w:t>
      </w:r>
      <w:r>
        <w:rPr>
          <w:color w:val="000000"/>
          <w:spacing w:val="0"/>
          <w:w w:val="100"/>
          <w:position w:val="0"/>
        </w:rPr>
        <w:t>不同,似乎不存在检索顺序。但要看到，并不存在先验的“共同实施”。在《民法典》 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条中，存在行为是</w:t>
      </w:r>
      <w:r>
        <w:rPr>
          <w:color w:val="000000"/>
          <w:spacing w:val="0"/>
          <w:w w:val="100"/>
          <w:position w:val="0"/>
          <w:lang w:val="zh-CN" w:eastAsia="zh-CN" w:bidi="zh-CN"/>
        </w:rPr>
        <w:t>“分</w:t>
      </w:r>
      <w:r>
        <w:rPr>
          <w:color w:val="000000"/>
          <w:spacing w:val="0"/>
          <w:w w:val="100"/>
          <w:position w:val="0"/>
        </w:rPr>
        <w:t>别实施</w:t>
      </w:r>
      <w:r>
        <w:rPr>
          <w:color w:val="000000"/>
          <w:spacing w:val="0"/>
          <w:w w:val="100"/>
          <w:position w:val="0"/>
          <w:lang w:val="zh-CN" w:eastAsia="zh-CN" w:bidi="zh-CN"/>
        </w:rPr>
        <w:t>”但依</w:t>
      </w:r>
      <w:r>
        <w:rPr>
          <w:color w:val="000000"/>
          <w:spacing w:val="0"/>
          <w:w w:val="100"/>
          <w:position w:val="0"/>
        </w:rPr>
        <w:t>据共同过错而凝结成</w:t>
      </w:r>
      <w:r>
        <w:rPr>
          <w:color w:val="000000"/>
          <w:spacing w:val="0"/>
          <w:w w:val="100"/>
          <w:position w:val="0"/>
          <w:lang w:val="zh-CN" w:eastAsia="zh-CN" w:bidi="zh-CN"/>
        </w:rPr>
        <w:t>“共</w:t>
      </w:r>
      <w:r>
        <w:rPr>
          <w:color w:val="000000"/>
          <w:spacing w:val="0"/>
          <w:w w:val="100"/>
          <w:position w:val="0"/>
        </w:rPr>
        <w:t>同实施</w:t>
      </w:r>
      <w:r>
        <w:rPr>
          <w:color w:val="000000"/>
          <w:spacing w:val="0"/>
          <w:w w:val="100"/>
          <w:position w:val="0"/>
          <w:lang w:val="zh-CN" w:eastAsia="zh-CN" w:bidi="zh-CN"/>
        </w:rPr>
        <w:t>”的</w:t>
      </w:r>
      <w:r>
        <w:rPr>
          <w:color w:val="000000"/>
          <w:spacing w:val="0"/>
          <w:w w:val="100"/>
          <w:position w:val="0"/>
        </w:rPr>
        <w:t>情形。例如， 甲乙丙三人欲谋害丁，甲居中指挥，先由乙开车撞丁，为稳妥起见，又安排丙开另外一辆车 再次撞向丁,丁伤重而亡。此例中，在未予查明甲乙丙三者共同过错前，从表面的行为特征 来看，丁的死亡就是“分别实施</w:t>
      </w:r>
      <w:r>
        <w:rPr>
          <w:color w:val="000000"/>
          <w:spacing w:val="0"/>
          <w:w w:val="100"/>
          <w:position w:val="0"/>
          <w:lang w:val="zh-CN" w:eastAsia="zh-CN" w:bidi="zh-CN"/>
        </w:rPr>
        <w:t>”的乙</w:t>
      </w:r>
      <w:r>
        <w:rPr>
          <w:color w:val="000000"/>
          <w:spacing w:val="0"/>
          <w:w w:val="100"/>
          <w:position w:val="0"/>
        </w:rPr>
        <w:t>的行为与丙的行为产生的“同一损害”。此时,如乙丙 的侵权行为“都足以</w:t>
      </w:r>
      <w:r>
        <w:rPr>
          <w:color w:val="000000"/>
          <w:spacing w:val="0"/>
          <w:w w:val="100"/>
          <w:position w:val="0"/>
          <w:lang w:val="zh-CN" w:eastAsia="zh-CN" w:bidi="zh-CN"/>
        </w:rPr>
        <w:t>”导致</w:t>
      </w:r>
      <w:r>
        <w:rPr>
          <w:color w:val="000000"/>
          <w:spacing w:val="0"/>
          <w:w w:val="100"/>
          <w:position w:val="0"/>
        </w:rPr>
        <w:t>丁死亡，则适用《民法典》第</w:t>
      </w:r>
      <w:r>
        <w:rPr>
          <w:rFonts w:ascii="Times New Roman" w:hAnsi="Times New Roman" w:eastAsia="Times New Roman" w:cs="Times New Roman"/>
          <w:color w:val="000000"/>
          <w:spacing w:val="0"/>
          <w:w w:val="100"/>
          <w:position w:val="0"/>
          <w:sz w:val="19"/>
          <w:szCs w:val="19"/>
          <w:lang w:val="en-US" w:eastAsia="en-US" w:bidi="en-US"/>
        </w:rPr>
        <w:t>H71</w:t>
      </w:r>
      <w:r>
        <w:rPr>
          <w:color w:val="000000"/>
          <w:spacing w:val="0"/>
          <w:w w:val="100"/>
          <w:position w:val="0"/>
        </w:rPr>
        <w:t>条（原《侵权责任法》第</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条）， 如乙丙的侵权行为不都足以导致丁死亡，则可能适用《民法典》第</w:t>
      </w:r>
      <w:r>
        <w:rPr>
          <w:rFonts w:ascii="Times New Roman" w:hAnsi="Times New Roman" w:eastAsia="Times New Roman" w:cs="Times New Roman"/>
          <w:color w:val="000000"/>
          <w:spacing w:val="0"/>
          <w:w w:val="100"/>
          <w:position w:val="0"/>
          <w:sz w:val="19"/>
          <w:szCs w:val="19"/>
          <w:lang w:val="en-US" w:eastAsia="en-US" w:bidi="en-US"/>
        </w:rPr>
        <w:t>U72</w:t>
      </w:r>
      <w:r>
        <w:rPr>
          <w:color w:val="000000"/>
          <w:spacing w:val="0"/>
          <w:w w:val="100"/>
          <w:position w:val="0"/>
        </w:rPr>
        <w:t>条（原《侵权责任法》 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条）。但当共同过错要素被查明时,甲乙丙的行为则是</w:t>
      </w:r>
      <w:r>
        <w:rPr>
          <w:color w:val="000000"/>
          <w:spacing w:val="0"/>
          <w:w w:val="100"/>
          <w:position w:val="0"/>
          <w:lang w:val="zh-CN" w:eastAsia="zh-CN" w:bidi="zh-CN"/>
        </w:rPr>
        <w:t>“共同</w:t>
      </w:r>
      <w:r>
        <w:rPr>
          <w:color w:val="000000"/>
          <w:spacing w:val="0"/>
          <w:w w:val="100"/>
          <w:position w:val="0"/>
        </w:rPr>
        <w:t>实施”。</w:t>
      </w:r>
    </w:p>
    <w:p w14:paraId="3C13B73F">
      <w:pPr>
        <w:pStyle w:val="17"/>
        <w:keepNext w:val="0"/>
        <w:keepLines w:val="0"/>
        <w:widowControl w:val="0"/>
        <w:shd w:val="clear" w:color="auto" w:fill="auto"/>
        <w:bidi w:val="0"/>
        <w:spacing w:before="0" w:after="120" w:line="344" w:lineRule="exact"/>
        <w:ind w:left="0" w:right="0" w:firstLine="420"/>
        <w:jc w:val="both"/>
      </w:pPr>
      <w:r>
        <w:rPr>
          <w:color w:val="000000"/>
          <w:spacing w:val="0"/>
          <w:w w:val="100"/>
          <w:position w:val="0"/>
        </w:rPr>
        <w:t>最后，在第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条的关系上，应先检索第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条。这是因为第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条与 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条具有相同的事实构成——二人以上分别实施侵权行为造成同一损害，第</w:t>
      </w:r>
      <w:r>
        <w:rPr>
          <w:rFonts w:ascii="Times New Roman" w:hAnsi="Times New Roman" w:eastAsia="Times New Roman" w:cs="Times New Roman"/>
          <w:color w:val="000000"/>
          <w:spacing w:val="0"/>
          <w:w w:val="100"/>
          <w:position w:val="0"/>
          <w:sz w:val="19"/>
          <w:szCs w:val="19"/>
          <w:lang w:val="en-US" w:eastAsia="en-US" w:bidi="en-US"/>
        </w:rPr>
        <w:t>H72</w:t>
      </w:r>
      <w:r>
        <w:rPr>
          <w:color w:val="000000"/>
          <w:spacing w:val="0"/>
          <w:w w:val="100"/>
          <w:position w:val="0"/>
        </w:rPr>
        <w:t>条 中的</w:t>
      </w:r>
      <w:r>
        <w:rPr>
          <w:color w:val="000000"/>
          <w:spacing w:val="0"/>
          <w:w w:val="100"/>
          <w:position w:val="0"/>
          <w:lang w:val="zh-CN" w:eastAsia="zh-CN" w:bidi="zh-CN"/>
        </w:rPr>
        <w:t>“能够</w:t>
      </w:r>
      <w:r>
        <w:rPr>
          <w:color w:val="000000"/>
          <w:spacing w:val="0"/>
          <w:w w:val="100"/>
          <w:position w:val="0"/>
        </w:rPr>
        <w:t>确定责任大小的”完全能够涵盖第</w:t>
      </w:r>
      <w:r>
        <w:rPr>
          <w:rFonts w:ascii="Times New Roman" w:hAnsi="Times New Roman" w:eastAsia="Times New Roman" w:cs="Times New Roman"/>
          <w:color w:val="000000"/>
          <w:spacing w:val="0"/>
          <w:w w:val="100"/>
          <w:position w:val="0"/>
          <w:sz w:val="19"/>
          <w:szCs w:val="19"/>
          <w:lang w:val="en-US" w:eastAsia="en-US" w:bidi="en-US"/>
        </w:rPr>
        <w:t>H71</w:t>
      </w:r>
      <w:r>
        <w:rPr>
          <w:color w:val="000000"/>
          <w:spacing w:val="0"/>
          <w:w w:val="100"/>
          <w:position w:val="0"/>
        </w:rPr>
        <w:t>条中的</w:t>
      </w:r>
      <w:r>
        <w:rPr>
          <w:color w:val="000000"/>
          <w:spacing w:val="0"/>
          <w:w w:val="100"/>
          <w:position w:val="0"/>
          <w:lang w:val="zh-CN" w:eastAsia="zh-CN" w:bidi="zh-CN"/>
        </w:rPr>
        <w:t>“每</w:t>
      </w:r>
      <w:r>
        <w:rPr>
          <w:color w:val="000000"/>
          <w:spacing w:val="0"/>
          <w:w w:val="100"/>
          <w:position w:val="0"/>
        </w:rPr>
        <w:t>个人的侵权行为都足以造成 全部损害的</w:t>
      </w:r>
      <w:r>
        <w:rPr>
          <w:color w:val="000000"/>
          <w:spacing w:val="0"/>
          <w:w w:val="100"/>
          <w:position w:val="0"/>
          <w:lang w:val="zh-CN" w:eastAsia="zh-CN" w:bidi="zh-CN"/>
        </w:rPr>
        <w:t>”，且“相应</w:t>
      </w:r>
      <w:r>
        <w:rPr>
          <w:color w:val="000000"/>
          <w:spacing w:val="0"/>
          <w:w w:val="100"/>
          <w:position w:val="0"/>
        </w:rPr>
        <w:t>的责任</w:t>
      </w:r>
      <w:r>
        <w:rPr>
          <w:color w:val="000000"/>
          <w:spacing w:val="0"/>
          <w:w w:val="100"/>
          <w:position w:val="0"/>
          <w:lang w:val="zh-CN" w:eastAsia="zh-CN" w:bidi="zh-CN"/>
        </w:rPr>
        <w:t>”完</w:t>
      </w:r>
      <w:r>
        <w:rPr>
          <w:color w:val="000000"/>
          <w:spacing w:val="0"/>
          <w:w w:val="100"/>
          <w:position w:val="0"/>
        </w:rPr>
        <w:t>全能够涵盖“连带责任”。因此，第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条属第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条的 特别规定,故应先检索特别规定，再检索一般规定。</w:t>
      </w:r>
    </w:p>
    <w:p w14:paraId="30FC3529">
      <w:pPr>
        <w:pStyle w:val="17"/>
        <w:keepNext w:val="0"/>
        <w:keepLines w:val="0"/>
        <w:widowControl w:val="0"/>
        <w:numPr>
          <w:ilvl w:val="0"/>
          <w:numId w:val="38"/>
        </w:numPr>
        <w:shd w:val="clear" w:color="auto" w:fill="auto"/>
        <w:bidi w:val="0"/>
        <w:spacing w:before="0" w:after="0" w:line="377" w:lineRule="auto"/>
        <w:ind w:left="0" w:right="0"/>
        <w:jc w:val="both"/>
      </w:pPr>
      <w:bookmarkStart w:id="166" w:name="bookmark562"/>
      <w:bookmarkEnd w:id="166"/>
      <w:r>
        <w:rPr>
          <w:color w:val="000000"/>
          <w:spacing w:val="0"/>
          <w:w w:val="100"/>
          <w:position w:val="0"/>
        </w:rPr>
        <w:t>本案的规范基础</w:t>
      </w:r>
    </w:p>
    <w:p w14:paraId="6EC08C19">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本案中几审法院的争点在《民法典》第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条之间纠结，但笔者认为应予 考虑《民法典》第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条的适用。</w:t>
      </w:r>
    </w:p>
    <w:p w14:paraId="51B428A0">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关于《民法典》第</w:t>
      </w:r>
      <w:r>
        <w:rPr>
          <w:rFonts w:ascii="Times New Roman" w:hAnsi="Times New Roman" w:eastAsia="Times New Roman" w:cs="Times New Roman"/>
          <w:color w:val="000000"/>
          <w:spacing w:val="0"/>
          <w:w w:val="100"/>
          <w:position w:val="0"/>
          <w:sz w:val="19"/>
          <w:szCs w:val="19"/>
        </w:rPr>
        <w:t>1168</w:t>
      </w:r>
      <w:r>
        <w:rPr>
          <w:color w:val="000000"/>
          <w:spacing w:val="0"/>
          <w:w w:val="100"/>
          <w:position w:val="0"/>
        </w:rPr>
        <w:t>条的规范范围，存在诸多学说:共同故意说、共同过错说、客观关 联共同说、折中说、意思关联共同与行为关联共同兼指说等。笔者赞同共同过错说。共同过 错说很早就成为主流学说</w:t>
      </w:r>
      <w:r>
        <w:rPr>
          <w:color w:val="000000"/>
          <w:spacing w:val="0"/>
          <w:w w:val="100"/>
          <w:position w:val="0"/>
          <w:sz w:val="11"/>
          <w:szCs w:val="11"/>
        </w:rPr>
        <w:t>（佟柔主编:《民法原理》，法律出版社</w:t>
      </w:r>
      <w:r>
        <w:rPr>
          <w:rFonts w:ascii="Times New Roman" w:hAnsi="Times New Roman" w:eastAsia="Times New Roman" w:cs="Times New Roman"/>
          <w:color w:val="000000"/>
          <w:spacing w:val="0"/>
          <w:w w:val="100"/>
          <w:position w:val="0"/>
          <w:sz w:val="17"/>
          <w:szCs w:val="17"/>
        </w:rPr>
        <w:t>1986</w:t>
      </w:r>
      <w:r>
        <w:rPr>
          <w:color w:val="000000"/>
          <w:spacing w:val="0"/>
          <w:w w:val="100"/>
          <w:position w:val="0"/>
          <w:sz w:val="11"/>
          <w:szCs w:val="11"/>
        </w:rPr>
        <w:t>年版）</w:t>
      </w:r>
      <w:r>
        <w:rPr>
          <w:color w:val="000000"/>
          <w:spacing w:val="0"/>
          <w:w w:val="100"/>
          <w:position w:val="0"/>
        </w:rPr>
        <w:t xml:space="preserve">，现在仍处于通说地位 </w:t>
      </w:r>
      <w:r>
        <w:rPr>
          <w:color w:val="000000"/>
          <w:spacing w:val="0"/>
          <w:w w:val="100"/>
          <w:position w:val="0"/>
          <w:sz w:val="11"/>
          <w:szCs w:val="11"/>
        </w:rPr>
        <w:t>（王胜明主编:《〈中华人民共和国侵权责任法〉条文解释与立法背景》，人民法院出版社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年版；最高 人民法院侵权责任法研究小组编著:《〈中华人民共和国侵权责任法〉条文理解与适用》，人民法院出版 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年版;王利明：《侵权责任法研究-上卷》，中国人民大学出版社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w:t>
      </w:r>
      <w:r>
        <w:rPr>
          <w:color w:val="000000"/>
          <w:spacing w:val="0"/>
          <w:w w:val="100"/>
          <w:position w:val="0"/>
        </w:rPr>
        <w:t>更何况，折中 说、客观关联共同说及兼指说等都大于等于共同过错说的规范范围,故以共同过错说检讨 本案的处理具有一定的合理性与可行性。</w:t>
      </w:r>
    </w:p>
    <w:p w14:paraId="1BCC916D">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共同过错包括共同故意与共同过失，以及部分故意与过失并存的情形。共同故意是指 行为人不仅具有各自对损害结果的故意，而且还存在必要的共谋。共同过失，就是数人对 其行为所造成的共同损害后果应该预见或认识,但因疏忽大意或不注意而致使损害结果的 发生。故意与过失的结合与共同过失的构造没有本质区别,都是构成损害结果的整体原 因，另依</w:t>
      </w:r>
      <w:r>
        <w:rPr>
          <w:color w:val="000000"/>
          <w:spacing w:val="0"/>
          <w:w w:val="100"/>
          <w:position w:val="0"/>
          <w:lang w:val="zh-CN" w:eastAsia="zh-CN" w:bidi="zh-CN"/>
        </w:rPr>
        <w:t>“举</w:t>
      </w:r>
      <w:r>
        <w:rPr>
          <w:color w:val="000000"/>
          <w:spacing w:val="0"/>
          <w:w w:val="100"/>
          <w:position w:val="0"/>
        </w:rPr>
        <w:t>轻以明重”之法理，应认为故意与过失的结合符合</w:t>
      </w:r>
      <w:r>
        <w:rPr>
          <w:color w:val="000000"/>
          <w:spacing w:val="0"/>
          <w:w w:val="100"/>
          <w:position w:val="0"/>
          <w:lang w:val="zh-CN" w:eastAsia="zh-CN" w:bidi="zh-CN"/>
        </w:rPr>
        <w:t>“共</w:t>
      </w:r>
      <w:r>
        <w:rPr>
          <w:color w:val="000000"/>
          <w:spacing w:val="0"/>
          <w:w w:val="100"/>
          <w:position w:val="0"/>
        </w:rPr>
        <w:t>同实施</w:t>
      </w:r>
      <w:r>
        <w:rPr>
          <w:color w:val="000000"/>
          <w:spacing w:val="0"/>
          <w:w w:val="100"/>
          <w:position w:val="0"/>
          <w:lang w:val="zh-CN" w:eastAsia="zh-CN" w:bidi="zh-CN"/>
        </w:rPr>
        <w:t>”的</w:t>
      </w:r>
      <w:r>
        <w:rPr>
          <w:color w:val="000000"/>
          <w:spacing w:val="0"/>
          <w:w w:val="100"/>
          <w:position w:val="0"/>
        </w:rPr>
        <w:t>要求。</w:t>
      </w:r>
    </w:p>
    <w:p w14:paraId="14821E5D">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本案中，几审法院都一致认定天云公司、澧县工行及兴业银行长沙分行具有过错:就天 云公司而言，诈骗人代文清系天云公司法定代表人，天云公司作为借款合同担保人应当知 道诈骗行为的存在，但其仍申请开立银行承兑汇票，造成杨丐俊损失,故应确认天云公司有 过错。就澧县工行而言，出票人向澧县工行明确提出上述银行承兑汇票不得办理贴现，并 须向查询人说明，且公安机关亦向澧县工行进行了调查。至此，澧县工行应知质押存单可 能系赃款，但其不仅没有主动挂止冻结,反而在兴业银行长沙分行第二次查询时促成非法 贴现，造成杨丐俊损失。故应确认澧县工行有过错。就兴业银行长沙分行而言，对上述银行 承兑汇票进行第一次贴现查询时，兴业银行长沙分行已经明知不能贴现。其后进行第二次 查询时，根据澧县工行的回复，兴业银行长沙分行应当知道该张银行承兑汇票可能涉及他 人财产权益,但其不仅没有主动停止办理该张银行承兑汇票的贴现,其工作人员反而恶意 促成代文清等人贴现，造成杨丐俊损失。因此,应确认兴业银行长沙分行有过错。</w:t>
      </w:r>
    </w:p>
    <w:p w14:paraId="6DE22241">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共同过失强调</w:t>
      </w:r>
      <w:r>
        <w:rPr>
          <w:color w:val="000000"/>
          <w:spacing w:val="0"/>
          <w:w w:val="100"/>
          <w:position w:val="0"/>
          <w:lang w:val="zh-CN" w:eastAsia="zh-CN" w:bidi="zh-CN"/>
        </w:rPr>
        <w:t>“过失</w:t>
      </w:r>
      <w:r>
        <w:rPr>
          <w:color w:val="000000"/>
          <w:spacing w:val="0"/>
          <w:w w:val="100"/>
          <w:position w:val="0"/>
        </w:rPr>
        <w:t>的共同</w:t>
      </w:r>
      <w:r>
        <w:rPr>
          <w:color w:val="000000"/>
          <w:spacing w:val="0"/>
          <w:w w:val="100"/>
          <w:position w:val="0"/>
          <w:lang w:val="zh-CN" w:eastAsia="zh-CN" w:bidi="zh-CN"/>
        </w:rPr>
        <w:t>”与“共</w:t>
      </w:r>
      <w:r>
        <w:rPr>
          <w:color w:val="000000"/>
          <w:spacing w:val="0"/>
          <w:w w:val="100"/>
          <w:position w:val="0"/>
        </w:rPr>
        <w:t>同的过失</w:t>
      </w:r>
      <w:r>
        <w:rPr>
          <w:color w:val="000000"/>
          <w:spacing w:val="0"/>
          <w:w w:val="100"/>
          <w:position w:val="0"/>
          <w:sz w:val="11"/>
          <w:szCs w:val="11"/>
          <w:lang w:val="zh-CN" w:eastAsia="zh-CN" w:bidi="zh-CN"/>
        </w:rPr>
        <w:t>”（曹</w:t>
      </w:r>
      <w:r>
        <w:rPr>
          <w:color w:val="000000"/>
          <w:spacing w:val="0"/>
          <w:w w:val="100"/>
          <w:position w:val="0"/>
          <w:sz w:val="11"/>
          <w:szCs w:val="11"/>
        </w:rPr>
        <w:t>险峰:《数人侵权的体系构成——对侵权责 任法第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sz w:val="11"/>
          <w:szCs w:val="11"/>
        </w:rPr>
        <w:t>条至第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sz w:val="11"/>
          <w:szCs w:val="11"/>
        </w:rPr>
        <w:t>条的解释》，载《法学研究》</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r>
        <w:rPr>
          <w:color w:val="000000"/>
          <w:spacing w:val="0"/>
          <w:w w:val="100"/>
          <w:position w:val="0"/>
        </w:rPr>
        <w:t>从案情来看,一方面，天云公司、澧 县工行、兴业银行长沙分行对于权利人</w:t>
      </w:r>
      <w:r>
        <w:rPr>
          <w:color w:val="000000"/>
          <w:spacing w:val="0"/>
          <w:w w:val="100"/>
          <w:position w:val="0"/>
          <w:sz w:val="11"/>
          <w:szCs w:val="11"/>
        </w:rPr>
        <w:t>（虽然未必确切知道谁是权利人）</w:t>
      </w:r>
      <w:r>
        <w:rPr>
          <w:color w:val="000000"/>
          <w:spacing w:val="0"/>
          <w:w w:val="100"/>
          <w:position w:val="0"/>
        </w:rPr>
        <w:t>的损失都有共同的注 意义务，构成</w:t>
      </w:r>
      <w:r>
        <w:rPr>
          <w:color w:val="000000"/>
          <w:spacing w:val="0"/>
          <w:w w:val="100"/>
          <w:position w:val="0"/>
          <w:lang w:val="zh-CN" w:eastAsia="zh-CN" w:bidi="zh-CN"/>
        </w:rPr>
        <w:t>“过</w:t>
      </w:r>
      <w:r>
        <w:rPr>
          <w:color w:val="000000"/>
          <w:spacing w:val="0"/>
          <w:w w:val="100"/>
          <w:position w:val="0"/>
        </w:rPr>
        <w:t>失的共同”；另一方面，三者的行为共同构成权利人损失的原因，构成</w:t>
      </w:r>
      <w:r>
        <w:rPr>
          <w:color w:val="000000"/>
          <w:spacing w:val="0"/>
          <w:w w:val="100"/>
          <w:position w:val="0"/>
          <w:lang w:val="zh-CN" w:eastAsia="zh-CN" w:bidi="zh-CN"/>
        </w:rPr>
        <w:t xml:space="preserve">“共同 </w:t>
      </w:r>
      <w:r>
        <w:rPr>
          <w:color w:val="000000"/>
          <w:spacing w:val="0"/>
          <w:w w:val="100"/>
          <w:position w:val="0"/>
        </w:rPr>
        <w:t>的过失”。</w:t>
      </w:r>
      <w:r>
        <w:rPr>
          <w:color w:val="000000"/>
          <w:spacing w:val="0"/>
          <w:w w:val="100"/>
          <w:position w:val="0"/>
          <w:lang w:val="zh-CN" w:eastAsia="zh-CN" w:bidi="zh-CN"/>
        </w:rPr>
        <w:t>“共同</w:t>
      </w:r>
      <w:r>
        <w:rPr>
          <w:color w:val="000000"/>
          <w:spacing w:val="0"/>
          <w:w w:val="100"/>
          <w:position w:val="0"/>
        </w:rPr>
        <w:t>过失的存在需要一个结合点，在那个点上数人共同引发了风险，同时均可 以避免而未避免风险的实现</w:t>
      </w:r>
      <w:r>
        <w:rPr>
          <w:color w:val="000000"/>
          <w:spacing w:val="0"/>
          <w:w w:val="100"/>
          <w:position w:val="0"/>
          <w:sz w:val="11"/>
          <w:szCs w:val="11"/>
          <w:lang w:val="zh-CN" w:eastAsia="zh-CN" w:bidi="zh-CN"/>
        </w:rPr>
        <w:t>”（叶</w:t>
      </w:r>
      <w:r>
        <w:rPr>
          <w:color w:val="000000"/>
          <w:spacing w:val="0"/>
          <w:w w:val="100"/>
          <w:position w:val="0"/>
          <w:sz w:val="11"/>
          <w:szCs w:val="11"/>
        </w:rPr>
        <w:t>金强:《共同侵权的类型要素及法律效果》，载《中国法学》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 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期）。由于天云公司系明知专款专用，仍通过虚假交易等手段申请贴现，故虽有后续阻 止行为，仍可构成故意。因此,本案乃天云公司的故意与澧县工行、兴业银行长沙分行的过 失的结合，构成共同过错。</w:t>
      </w:r>
    </w:p>
    <w:p w14:paraId="54900403">
      <w:pPr>
        <w:pStyle w:val="17"/>
        <w:keepNext w:val="0"/>
        <w:keepLines w:val="0"/>
        <w:widowControl w:val="0"/>
        <w:shd w:val="clear" w:color="auto" w:fill="auto"/>
        <w:bidi w:val="0"/>
        <w:spacing w:before="0" w:after="160" w:line="345" w:lineRule="exact"/>
        <w:ind w:left="0" w:right="0" w:firstLine="420"/>
        <w:jc w:val="both"/>
      </w:pPr>
      <w:r>
        <w:rPr>
          <w:color w:val="000000"/>
          <w:spacing w:val="0"/>
          <w:w w:val="100"/>
          <w:position w:val="0"/>
        </w:rPr>
        <w:t xml:space="preserve">几审法院以无意思联络数人侵权责任规则作为裁判依据，一方面忽视了《民法典》第 </w:t>
      </w:r>
      <w:r>
        <w:rPr>
          <w:rFonts w:ascii="Times New Roman" w:hAnsi="Times New Roman" w:eastAsia="Times New Roman" w:cs="Times New Roman"/>
          <w:color w:val="000000"/>
          <w:spacing w:val="0"/>
          <w:w w:val="100"/>
          <w:position w:val="0"/>
          <w:sz w:val="19"/>
          <w:szCs w:val="19"/>
          <w:lang w:val="en-US" w:eastAsia="en-US" w:bidi="en-US"/>
        </w:rPr>
        <w:t>H68</w:t>
      </w:r>
      <w:r>
        <w:rPr>
          <w:color w:val="000000"/>
          <w:spacing w:val="0"/>
          <w:w w:val="100"/>
          <w:position w:val="0"/>
        </w:rPr>
        <w:t>条的适用可能性;另一方面则属对无意思联络数人侵权责任规则适用条件的误读。 《民法典》第</w:t>
      </w:r>
      <w:r>
        <w:rPr>
          <w:rFonts w:ascii="Times New Roman" w:hAnsi="Times New Roman" w:eastAsia="Times New Roman" w:cs="Times New Roman"/>
          <w:color w:val="000000"/>
          <w:spacing w:val="0"/>
          <w:w w:val="100"/>
          <w:position w:val="0"/>
          <w:sz w:val="19"/>
          <w:szCs w:val="19"/>
        </w:rPr>
        <w:t>1171</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1172</w:t>
      </w:r>
      <w:r>
        <w:rPr>
          <w:color w:val="000000"/>
          <w:spacing w:val="0"/>
          <w:w w:val="100"/>
          <w:position w:val="0"/>
        </w:rPr>
        <w:t>条之所以归属数人侵权体系，乃因为</w:t>
      </w:r>
      <w:r>
        <w:rPr>
          <w:color w:val="000000"/>
          <w:spacing w:val="0"/>
          <w:w w:val="100"/>
          <w:position w:val="0"/>
          <w:lang w:val="zh-CN" w:eastAsia="zh-CN" w:bidi="zh-CN"/>
        </w:rPr>
        <w:t>“同一</w:t>
      </w:r>
      <w:r>
        <w:rPr>
          <w:color w:val="000000"/>
          <w:spacing w:val="0"/>
          <w:w w:val="100"/>
          <w:position w:val="0"/>
        </w:rPr>
        <w:t>损害”的存在，使 普通的因果关系认定规则（</w:t>
      </w:r>
      <w:r>
        <w:rPr>
          <w:color w:val="000000"/>
          <w:spacing w:val="0"/>
          <w:w w:val="100"/>
          <w:position w:val="0"/>
          <w:lang w:val="zh-CN" w:eastAsia="zh-CN" w:bidi="zh-CN"/>
        </w:rPr>
        <w:t>“若</w:t>
      </w:r>
      <w:r>
        <w:rPr>
          <w:color w:val="000000"/>
          <w:spacing w:val="0"/>
          <w:w w:val="100"/>
          <w:position w:val="0"/>
        </w:rPr>
        <w:t>无则不</w:t>
      </w:r>
      <w:r>
        <w:rPr>
          <w:color w:val="000000"/>
          <w:spacing w:val="0"/>
          <w:w w:val="100"/>
          <w:position w:val="0"/>
          <w:lang w:val="zh-CN" w:eastAsia="zh-CN" w:bidi="zh-CN"/>
        </w:rPr>
        <w:t>”规则</w:t>
      </w:r>
      <w:r>
        <w:rPr>
          <w:color w:val="000000"/>
          <w:spacing w:val="0"/>
          <w:w w:val="100"/>
          <w:position w:val="0"/>
        </w:rPr>
        <w:t>）失效。也就是说,无意思联络数人侵权虽然忽 略了“分别实施</w:t>
      </w:r>
      <w:r>
        <w:rPr>
          <w:color w:val="000000"/>
          <w:spacing w:val="0"/>
          <w:w w:val="100"/>
          <w:position w:val="0"/>
          <w:lang w:val="zh-CN" w:eastAsia="zh-CN" w:bidi="zh-CN"/>
        </w:rPr>
        <w:t>”的</w:t>
      </w:r>
      <w:r>
        <w:rPr>
          <w:color w:val="000000"/>
          <w:spacing w:val="0"/>
          <w:w w:val="100"/>
          <w:position w:val="0"/>
        </w:rPr>
        <w:t>每一个侵权行为与</w:t>
      </w:r>
      <w:r>
        <w:rPr>
          <w:color w:val="000000"/>
          <w:spacing w:val="0"/>
          <w:w w:val="100"/>
          <w:position w:val="0"/>
          <w:lang w:val="zh-CN" w:eastAsia="zh-CN" w:bidi="zh-CN"/>
        </w:rPr>
        <w:t>“同一</w:t>
      </w:r>
      <w:r>
        <w:rPr>
          <w:color w:val="000000"/>
          <w:spacing w:val="0"/>
          <w:w w:val="100"/>
          <w:position w:val="0"/>
        </w:rPr>
        <w:t>损害”的某一部分损害间因果关系的证明，但必 须要求行为与损害之间具备因果关系，在单独侵权行为立场上,侵权责任是成立的。反观 此案,从单独侵权行为的立场来看，只有兴业银行长沙分行的行为能构成侵权责任，天云公 司的行为与最终损害间不具有相当因果关系，不能成立侵权责任，澧县工行的行为亦同。 但正是因为三者间具有</w:t>
      </w:r>
      <w:r>
        <w:rPr>
          <w:color w:val="000000"/>
          <w:spacing w:val="0"/>
          <w:w w:val="100"/>
          <w:position w:val="0"/>
          <w:lang w:val="zh-CN" w:eastAsia="zh-CN" w:bidi="zh-CN"/>
        </w:rPr>
        <w:t>“共同</w:t>
      </w:r>
      <w:r>
        <w:rPr>
          <w:color w:val="000000"/>
          <w:spacing w:val="0"/>
          <w:w w:val="100"/>
          <w:position w:val="0"/>
        </w:rPr>
        <w:t>的过失</w:t>
      </w:r>
      <w:r>
        <w:rPr>
          <w:color w:val="000000"/>
          <w:spacing w:val="0"/>
          <w:w w:val="100"/>
          <w:position w:val="0"/>
          <w:lang w:val="zh-CN" w:eastAsia="zh-CN" w:bidi="zh-CN"/>
        </w:rPr>
        <w:t>”（对</w:t>
      </w:r>
      <w:r>
        <w:rPr>
          <w:color w:val="000000"/>
          <w:spacing w:val="0"/>
          <w:w w:val="100"/>
          <w:position w:val="0"/>
        </w:rPr>
        <w:t>最终损害共同的注意义务）与</w:t>
      </w:r>
      <w:r>
        <w:rPr>
          <w:color w:val="000000"/>
          <w:spacing w:val="0"/>
          <w:w w:val="100"/>
          <w:position w:val="0"/>
          <w:lang w:val="zh-CN" w:eastAsia="zh-CN" w:bidi="zh-CN"/>
        </w:rPr>
        <w:t>“过失</w:t>
      </w:r>
      <w:r>
        <w:rPr>
          <w:color w:val="000000"/>
          <w:spacing w:val="0"/>
          <w:w w:val="100"/>
          <w:position w:val="0"/>
        </w:rPr>
        <w:t>的共同</w:t>
      </w:r>
      <w:r>
        <w:rPr>
          <w:color w:val="000000"/>
          <w:spacing w:val="0"/>
          <w:w w:val="100"/>
          <w:position w:val="0"/>
          <w:lang w:val="zh-CN" w:eastAsia="zh-CN" w:bidi="zh-CN"/>
        </w:rPr>
        <w:t xml:space="preserve">”（三 </w:t>
      </w:r>
      <w:r>
        <w:rPr>
          <w:color w:val="000000"/>
          <w:spacing w:val="0"/>
          <w:w w:val="100"/>
          <w:position w:val="0"/>
        </w:rPr>
        <w:t>者过失的结合才能导致损害的发生），具有共同过错，故本案应按《民法典》第</w:t>
      </w:r>
      <w:r>
        <w:rPr>
          <w:rFonts w:ascii="Times New Roman" w:hAnsi="Times New Roman" w:eastAsia="Times New Roman" w:cs="Times New Roman"/>
          <w:color w:val="000000"/>
          <w:spacing w:val="0"/>
          <w:w w:val="100"/>
          <w:position w:val="0"/>
          <w:sz w:val="19"/>
          <w:szCs w:val="19"/>
          <w:lang w:val="en-US" w:eastAsia="en-US" w:bidi="en-US"/>
        </w:rPr>
        <w:t>H68</w:t>
      </w:r>
      <w:r>
        <w:rPr>
          <w:color w:val="000000"/>
          <w:spacing w:val="0"/>
          <w:w w:val="100"/>
          <w:position w:val="0"/>
        </w:rPr>
        <w:t>条进行 裁判。</w:t>
      </w:r>
    </w:p>
    <w:p w14:paraId="122C0BA5">
      <w:pPr>
        <w:pStyle w:val="17"/>
        <w:keepNext w:val="0"/>
        <w:keepLines w:val="0"/>
        <w:widowControl w:val="0"/>
        <w:shd w:val="clear" w:color="auto" w:fill="auto"/>
        <w:bidi w:val="0"/>
        <w:spacing w:before="0" w:after="160" w:line="345"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S</w:t>
      </w:r>
      <w:r>
        <w:rPr>
          <w:color w:val="000000"/>
          <w:spacing w:val="0"/>
          <w:w w:val="100"/>
          <w:position w:val="0"/>
        </w:rPr>
        <w:t>既有司法实践状况</w:t>
      </w:r>
    </w:p>
    <w:p w14:paraId="60D9599D">
      <w:pPr>
        <w:pStyle w:val="33"/>
        <w:keepNext w:val="0"/>
        <w:keepLines w:val="0"/>
        <w:widowControl w:val="0"/>
        <w:shd w:val="clear" w:color="auto" w:fill="auto"/>
        <w:bidi w:val="0"/>
        <w:spacing w:before="0" w:after="160" w:line="342" w:lineRule="exact"/>
        <w:ind w:left="0" w:right="0" w:firstLine="420"/>
        <w:jc w:val="both"/>
      </w:pPr>
      <w:r>
        <w:rPr>
          <w:color w:val="000000"/>
          <w:spacing w:val="0"/>
          <w:w w:val="100"/>
          <w:position w:val="0"/>
          <w:sz w:val="18"/>
          <w:szCs w:val="18"/>
        </w:rPr>
        <w:t>依最高人民法院</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sz w:val="18"/>
          <w:szCs w:val="18"/>
        </w:rPr>
        <w:t>民一终字第</w:t>
      </w:r>
      <w:r>
        <w:rPr>
          <w:rFonts w:ascii="Times New Roman" w:hAnsi="Times New Roman" w:eastAsia="Times New Roman" w:cs="Times New Roman"/>
          <w:color w:val="000000"/>
          <w:spacing w:val="0"/>
          <w:w w:val="100"/>
          <w:position w:val="0"/>
          <w:sz w:val="19"/>
          <w:szCs w:val="19"/>
        </w:rPr>
        <w:t>42</w:t>
      </w:r>
      <w:r>
        <w:rPr>
          <w:color w:val="000000"/>
          <w:spacing w:val="0"/>
          <w:w w:val="100"/>
          <w:position w:val="0"/>
          <w:sz w:val="18"/>
          <w:szCs w:val="18"/>
        </w:rPr>
        <w:t>号民事判决书，最高人民法院对共同侵权行为 的认定采行为关联共同性标准</w:t>
      </w:r>
      <w:r>
        <w:rPr>
          <w:color w:val="000000"/>
          <w:spacing w:val="0"/>
          <w:w w:val="100"/>
          <w:position w:val="0"/>
        </w:rPr>
        <w:t>［程新文:《法人共同侵权行为的认定与处理》，载最高人民法院民事 审判第一庭编:《民事审判指导与参考》</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集（总第</w:t>
      </w:r>
      <w:r>
        <w:rPr>
          <w:rFonts w:ascii="Times New Roman" w:hAnsi="Times New Roman" w:eastAsia="Times New Roman" w:cs="Times New Roman"/>
          <w:color w:val="000000"/>
          <w:spacing w:val="0"/>
          <w:w w:val="100"/>
          <w:position w:val="0"/>
          <w:sz w:val="17"/>
          <w:szCs w:val="17"/>
        </w:rPr>
        <w:t>27</w:t>
      </w:r>
      <w:r>
        <w:rPr>
          <w:color w:val="000000"/>
          <w:spacing w:val="0"/>
          <w:w w:val="100"/>
          <w:position w:val="0"/>
        </w:rPr>
        <w:t>集），法律出版社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 xml:space="preserve">179 ~ 199 </w:t>
      </w:r>
      <w:r>
        <w:rPr>
          <w:color w:val="000000"/>
          <w:spacing w:val="0"/>
          <w:w w:val="100"/>
          <w:position w:val="0"/>
        </w:rPr>
        <w:t>页］。</w:t>
      </w:r>
      <w:r>
        <w:rPr>
          <w:color w:val="000000"/>
          <w:spacing w:val="0"/>
          <w:w w:val="100"/>
          <w:position w:val="0"/>
          <w:sz w:val="18"/>
          <w:szCs w:val="18"/>
        </w:rPr>
        <w:t>之后最高人民法院再次确认了该观点</w:t>
      </w:r>
      <w:r>
        <w:rPr>
          <w:color w:val="000000"/>
          <w:spacing w:val="0"/>
          <w:w w:val="100"/>
          <w:position w:val="0"/>
        </w:rPr>
        <w:t>。（刘德权主编:《最高人民法院司法观点集成</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》，人 民法院出版社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1560</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1563</w:t>
      </w:r>
      <w:r>
        <w:rPr>
          <w:color w:val="000000"/>
          <w:spacing w:val="0"/>
          <w:w w:val="100"/>
          <w:position w:val="0"/>
        </w:rPr>
        <w:t>页），</w:t>
      </w:r>
      <w:r>
        <w:rPr>
          <w:color w:val="000000"/>
          <w:spacing w:val="0"/>
          <w:w w:val="100"/>
          <w:position w:val="0"/>
          <w:sz w:val="18"/>
          <w:szCs w:val="18"/>
        </w:rPr>
        <w:t>但从判决内容</w:t>
      </w:r>
      <w:r>
        <w:rPr>
          <w:color w:val="000000"/>
          <w:spacing w:val="0"/>
          <w:w w:val="100"/>
          <w:position w:val="0"/>
        </w:rPr>
        <w:t>（通海公司等多个公司的商量拆除和直接 参与拆除新华公司所建造房屋的行为，与闵行置业公司得到使用土地的权利以及占有土地的行为，具有 密切的联系，意思联络明显，主观上有一定的过错；客观上表现为时间的接续性、行为的关联性和利益的 同一性）</w:t>
      </w:r>
      <w:r>
        <w:rPr>
          <w:color w:val="000000"/>
          <w:spacing w:val="0"/>
          <w:w w:val="100"/>
          <w:position w:val="0"/>
          <w:sz w:val="18"/>
          <w:szCs w:val="18"/>
        </w:rPr>
        <w:t>来看，作共同过错的解读亦是可以的。在第</w:t>
      </w:r>
      <w:r>
        <w:rPr>
          <w:rFonts w:ascii="Times New Roman" w:hAnsi="Times New Roman" w:eastAsia="Times New Roman" w:cs="Times New Roman"/>
          <w:color w:val="000000"/>
          <w:spacing w:val="0"/>
          <w:w w:val="100"/>
          <w:position w:val="0"/>
          <w:sz w:val="19"/>
          <w:szCs w:val="19"/>
        </w:rPr>
        <w:t>19</w:t>
      </w:r>
      <w:r>
        <w:rPr>
          <w:color w:val="000000"/>
          <w:spacing w:val="0"/>
          <w:w w:val="100"/>
          <w:position w:val="0"/>
          <w:sz w:val="18"/>
          <w:szCs w:val="18"/>
        </w:rPr>
        <w:t>号指导性案例</w:t>
      </w:r>
      <w:r>
        <w:rPr>
          <w:rFonts w:ascii="Times New Roman" w:hAnsi="Times New Roman" w:eastAsia="Times New Roman" w:cs="Times New Roman"/>
          <w:color w:val="000000"/>
          <w:spacing w:val="0"/>
          <w:w w:val="100"/>
          <w:position w:val="0"/>
          <w:sz w:val="17"/>
          <w:szCs w:val="17"/>
          <w:lang w:val="en-US" w:eastAsia="en-US" w:bidi="en-US"/>
        </w:rPr>
        <w:t>［（2010）</w:t>
      </w:r>
      <w:r>
        <w:rPr>
          <w:color w:val="000000"/>
          <w:spacing w:val="0"/>
          <w:w w:val="100"/>
          <w:position w:val="0"/>
        </w:rPr>
        <w:t>沪二中民一（民） 终字第</w:t>
      </w:r>
      <w:r>
        <w:rPr>
          <w:rFonts w:ascii="Times New Roman" w:hAnsi="Times New Roman" w:eastAsia="Times New Roman" w:cs="Times New Roman"/>
          <w:color w:val="000000"/>
          <w:spacing w:val="0"/>
          <w:w w:val="100"/>
          <w:position w:val="0"/>
          <w:sz w:val="17"/>
          <w:szCs w:val="17"/>
        </w:rPr>
        <w:t>1353</w:t>
      </w:r>
      <w:r>
        <w:rPr>
          <w:color w:val="000000"/>
          <w:spacing w:val="0"/>
          <w:w w:val="100"/>
          <w:position w:val="0"/>
        </w:rPr>
        <w:t>号民事判决书］</w:t>
      </w:r>
      <w:r>
        <w:rPr>
          <w:color w:val="000000"/>
          <w:spacing w:val="0"/>
          <w:w w:val="100"/>
          <w:position w:val="0"/>
          <w:sz w:val="18"/>
          <w:szCs w:val="18"/>
        </w:rPr>
        <w:t>中,一审法院依据最高人民法院《关于审理人身损害赔偿案件适用 法律若干问题的解释》［法释</w:t>
      </w:r>
      <w:r>
        <w:rPr>
          <w:rFonts w:ascii="Times New Roman" w:hAnsi="Times New Roman" w:eastAsia="Times New Roman" w:cs="Times New Roman"/>
          <w:color w:val="000000"/>
          <w:spacing w:val="0"/>
          <w:w w:val="100"/>
          <w:position w:val="0"/>
          <w:sz w:val="19"/>
          <w:szCs w:val="19"/>
        </w:rPr>
        <w:t>（2003）20</w:t>
      </w:r>
      <w:r>
        <w:rPr>
          <w:color w:val="000000"/>
          <w:spacing w:val="0"/>
          <w:w w:val="100"/>
          <w:position w:val="0"/>
          <w:sz w:val="18"/>
          <w:szCs w:val="18"/>
        </w:rPr>
        <w:t>号］（以下简称《人身损害赔偿司法解释》）第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条，将 两车偶然相撞致一车内乘客死亡,认定为共同侵权行为，显然采行为关联共同性标准。可 见,《人身损害赔偿司法解释》实施之后原《侵权责任法》实施之前，司法实践以意思共同说 与直接结合说处理共同加害行为。但在原《侵权责任法》实施之后，对于共同加害行为，司 法实践倾向于转向共同过错说</w:t>
      </w:r>
      <w:r>
        <w:rPr>
          <w:color w:val="000000"/>
          <w:spacing w:val="0"/>
          <w:w w:val="100"/>
          <w:position w:val="0"/>
        </w:rPr>
        <w:t>［但在原《侵权责任法》实施之后，司法实践仍有继续适用“直接结 合”等概念的判决。例如，日照市中级人民法院</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日民再终字第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 xml:space="preserve">号民事判决书、灵璧县人民法院 </w:t>
      </w:r>
      <w:r>
        <w:rPr>
          <w:rFonts w:ascii="Times New Roman" w:hAnsi="Times New Roman" w:eastAsia="Times New Roman" w:cs="Times New Roman"/>
          <w:color w:val="000000"/>
          <w:spacing w:val="0"/>
          <w:w w:val="100"/>
          <w:position w:val="0"/>
          <w:sz w:val="17"/>
          <w:szCs w:val="17"/>
        </w:rPr>
        <w:t xml:space="preserve">（2018 </w:t>
      </w:r>
      <w:r>
        <w:rPr>
          <w:color w:val="000000"/>
          <w:spacing w:val="0"/>
          <w:w w:val="100"/>
          <w:position w:val="0"/>
        </w:rPr>
        <w:t>）皖</w:t>
      </w:r>
      <w:r>
        <w:rPr>
          <w:rFonts w:ascii="Times New Roman" w:hAnsi="Times New Roman" w:eastAsia="Times New Roman" w:cs="Times New Roman"/>
          <w:color w:val="000000"/>
          <w:spacing w:val="0"/>
          <w:w w:val="100"/>
          <w:position w:val="0"/>
          <w:sz w:val="17"/>
          <w:szCs w:val="17"/>
        </w:rPr>
        <w:t>1323</w:t>
      </w:r>
      <w:r>
        <w:rPr>
          <w:color w:val="000000"/>
          <w:spacing w:val="0"/>
          <w:w w:val="100"/>
          <w:position w:val="0"/>
        </w:rPr>
        <w:t>民再</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号民事判决书。也有采共同关联说标准的判决。例如</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沪民申</w:t>
      </w:r>
      <w:r>
        <w:rPr>
          <w:rFonts w:ascii="Times New Roman" w:hAnsi="Times New Roman" w:eastAsia="Times New Roman" w:cs="Times New Roman"/>
          <w:color w:val="000000"/>
          <w:spacing w:val="0"/>
          <w:w w:val="100"/>
          <w:position w:val="0"/>
          <w:sz w:val="17"/>
          <w:szCs w:val="17"/>
        </w:rPr>
        <w:t>417</w:t>
      </w:r>
      <w:r>
        <w:rPr>
          <w:color w:val="000000"/>
          <w:spacing w:val="0"/>
          <w:w w:val="100"/>
          <w:position w:val="0"/>
        </w:rPr>
        <w:t>号民事 判决书］。</w:t>
      </w:r>
    </w:p>
    <w:p w14:paraId="33AA55A7">
      <w:pPr>
        <w:pStyle w:val="17"/>
        <w:keepNext w:val="0"/>
        <w:keepLines w:val="0"/>
        <w:widowControl w:val="0"/>
        <w:shd w:val="clear" w:color="auto" w:fill="auto"/>
        <w:bidi w:val="0"/>
        <w:spacing w:before="0" w:after="160" w:line="345" w:lineRule="exact"/>
        <w:ind w:left="0" w:right="0" w:firstLine="0"/>
        <w:jc w:val="both"/>
      </w:pPr>
      <w:r>
        <w:rPr>
          <w:color w:val="000000"/>
          <w:spacing w:val="0"/>
          <w:w w:val="100"/>
          <w:position w:val="0"/>
          <w:lang w:val="en-US" w:eastAsia="en-US" w:bidi="en-US"/>
        </w:rPr>
        <w:t>®</w:t>
      </w:r>
      <w:r>
        <w:rPr>
          <w:color w:val="000000"/>
          <w:spacing w:val="0"/>
          <w:w w:val="100"/>
          <w:position w:val="0"/>
        </w:rPr>
        <w:t>本判决的影响及将来的课题</w:t>
      </w:r>
    </w:p>
    <w:p w14:paraId="515164FE">
      <w:pPr>
        <w:pStyle w:val="17"/>
        <w:keepNext w:val="0"/>
        <w:keepLines w:val="0"/>
        <w:widowControl w:val="0"/>
        <w:shd w:val="clear" w:color="auto" w:fill="auto"/>
        <w:bidi w:val="0"/>
        <w:spacing w:before="0" w:after="360" w:line="345" w:lineRule="exact"/>
        <w:ind w:left="0" w:right="0"/>
        <w:jc w:val="both"/>
      </w:pPr>
      <w:r>
        <w:rPr>
          <w:color w:val="000000"/>
          <w:spacing w:val="0"/>
          <w:w w:val="100"/>
          <w:position w:val="0"/>
        </w:rPr>
        <w:t>本案较好地诠释了商事领域侵权责任法的适用可能;本案判决的反复,也揭示了司法 实务对于数人侵权规则体系的理解与运用还有待提高。在此需要看到，侵权责任法从数人 侵权行为的角度规范了因果关系的常态与例外,将因果关系这一较为学理化与暗蕴化的规 则表达为数人侵权的不同样态，为司法适用提供了较为清晰的指向。可见,对数人侵权体 系中某一规则的正确理解与准确定位，必须从数人侵权体系构成的角度出发，从因果关系 理论运用的层面予以认识。</w:t>
      </w:r>
    </w:p>
    <w:p w14:paraId="1220C5CE">
      <w:pPr>
        <w:pStyle w:val="11"/>
        <w:keepNext w:val="0"/>
        <w:keepLines w:val="0"/>
        <w:widowControl w:val="0"/>
        <w:shd w:val="clear" w:color="auto" w:fill="auto"/>
        <w:bidi w:val="0"/>
        <w:spacing w:before="0" w:after="60" w:line="339" w:lineRule="exact"/>
        <w:ind w:left="0" w:right="0" w:firstLine="0"/>
        <w:jc w:val="both"/>
      </w:pPr>
      <w:r>
        <w:rPr>
          <w:color w:val="000000"/>
          <w:spacing w:val="0"/>
          <w:w w:val="100"/>
          <w:position w:val="0"/>
        </w:rPr>
        <w:t>回参考文献</w:t>
      </w:r>
    </w:p>
    <w:p w14:paraId="0186C74E">
      <w:pPr>
        <w:pStyle w:val="33"/>
        <w:keepNext w:val="0"/>
        <w:keepLines w:val="0"/>
        <w:widowControl w:val="0"/>
        <w:shd w:val="clear" w:color="auto" w:fill="auto"/>
        <w:bidi w:val="0"/>
        <w:spacing w:before="0" w:after="0" w:line="305" w:lineRule="exact"/>
        <w:ind w:left="0" w:right="0" w:firstLine="0"/>
        <w:jc w:val="both"/>
      </w:pPr>
      <w:r>
        <w:rPr>
          <w:color w:val="000000"/>
          <w:spacing w:val="0"/>
          <w:w w:val="100"/>
          <w:position w:val="0"/>
        </w:rPr>
        <w:t>王利明：《侵权责任法研究》（上卷），中国人民大学出版社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9433D5D">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杨立新:《侵权法论》（第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版），人民法院出版社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7677E570">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张新宝：《侵权责任法》，中国人民大学出版社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18E7B363">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0AD1D022">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叶金强:《共同侵权的类型要素及法律效果》，载《中国法学》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0E61A47A">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孙维飞:《单独侵权视角下的共同侵权制度探析》，载《华东政法大学学报》</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41BA755D">
      <w:pPr>
        <w:pStyle w:val="33"/>
        <w:keepNext w:val="0"/>
        <w:keepLines w:val="0"/>
        <w:widowControl w:val="0"/>
        <w:shd w:val="clear" w:color="auto" w:fill="auto"/>
        <w:bidi w:val="0"/>
        <w:spacing w:before="0" w:after="0" w:line="305" w:lineRule="exact"/>
        <w:ind w:left="180" w:right="0" w:hanging="180"/>
        <w:jc w:val="both"/>
      </w:pPr>
      <w:r>
        <w:rPr>
          <w:color w:val="000000"/>
          <w:spacing w:val="0"/>
          <w:w w:val="100"/>
          <w:position w:val="0"/>
        </w:rPr>
        <w:t>曹险峰:《数人侵权的体系构成</w:t>
      </w:r>
      <w:r>
        <w:rPr>
          <w:color w:val="000000"/>
          <w:spacing w:val="0"/>
          <w:w w:val="100"/>
          <w:position w:val="0"/>
          <w:lang w:val="en-US" w:eastAsia="en-US" w:bidi="en-US"/>
        </w:rPr>
        <w:t>一</w:t>
      </w:r>
      <w:r>
        <w:rPr>
          <w:color w:val="000000"/>
          <w:spacing w:val="0"/>
          <w:w w:val="100"/>
          <w:position w:val="0"/>
        </w:rPr>
        <w:t>以对侵权责任法第</w:t>
      </w:r>
      <w:r>
        <w:rPr>
          <w:rFonts w:ascii="Times New Roman" w:hAnsi="Times New Roman" w:eastAsia="Times New Roman" w:cs="Times New Roman"/>
          <w:color w:val="000000"/>
          <w:spacing w:val="0"/>
          <w:w w:val="100"/>
          <w:position w:val="0"/>
          <w:sz w:val="17"/>
          <w:szCs w:val="17"/>
        </w:rPr>
        <w:t>8</w:t>
      </w:r>
      <w:r>
        <w:rPr>
          <w:color w:val="000000"/>
          <w:spacing w:val="0"/>
          <w:w w:val="100"/>
          <w:position w:val="0"/>
        </w:rPr>
        <w:t>条至第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rPr>
        <w:t xml:space="preserve">条的解释论为中心》，载《法学研究》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3682588C">
      <w:pPr>
        <w:pStyle w:val="33"/>
        <w:keepNext w:val="0"/>
        <w:keepLines w:val="0"/>
        <w:widowControl w:val="0"/>
        <w:shd w:val="clear" w:color="auto" w:fill="auto"/>
        <w:bidi w:val="0"/>
        <w:spacing w:before="0" w:after="0" w:line="295" w:lineRule="exact"/>
        <w:ind w:left="180" w:right="0" w:hanging="180"/>
        <w:jc w:val="both"/>
        <w:sectPr>
          <w:headerReference r:id="rId515" w:type="default"/>
          <w:headerReference r:id="rId516" w:type="even"/>
          <w:footnotePr>
            <w:numFmt w:val="chicago"/>
          </w:footnotePr>
          <w:pgSz w:w="10099" w:h="14782"/>
          <w:pgMar w:top="1321" w:right="980" w:bottom="1075" w:left="1117" w:header="0" w:footer="3" w:gutter="0"/>
          <w:pgNumType w:start="441"/>
          <w:cols w:space="720" w:num="1"/>
          <w:rtlGutter w:val="0"/>
          <w:docGrid w:linePitch="360" w:charSpace="0"/>
        </w:sectPr>
      </w:pPr>
      <w:r>
        <w:rPr>
          <w:color w:val="000000"/>
          <w:spacing w:val="0"/>
          <w:w w:val="100"/>
          <w:position w:val="0"/>
        </w:rPr>
        <w:t>最高人民法院侵权责任法研究小组编著:《〈中华人民共和国侵权责任法〉条文理解与适用》，人民法院 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0B9DE2E5">
      <w:pPr>
        <w:widowControl w:val="0"/>
        <w:spacing w:line="29" w:lineRule="exact"/>
        <w:rPr>
          <w:sz w:val="2"/>
          <w:szCs w:val="2"/>
        </w:rPr>
      </w:pPr>
    </w:p>
    <w:p w14:paraId="59C91012">
      <w:pPr>
        <w:widowControl w:val="0"/>
        <w:spacing w:line="1" w:lineRule="exact"/>
        <w:sectPr>
          <w:headerReference r:id="rId517" w:type="default"/>
          <w:headerReference r:id="rId518" w:type="even"/>
          <w:footnotePr>
            <w:numFmt w:val="chicago"/>
          </w:footnotePr>
          <w:pgSz w:w="10099" w:h="14782"/>
          <w:pgMar w:top="1297" w:right="1050" w:bottom="1117" w:left="1025" w:header="0" w:footer="3" w:gutter="0"/>
          <w:pgNumType w:start="461"/>
          <w:cols w:space="720" w:num="1"/>
          <w:rtlGutter w:val="0"/>
          <w:docGrid w:linePitch="360" w:charSpace="0"/>
        </w:sectPr>
      </w:pPr>
    </w:p>
    <w:p w14:paraId="3BD8BAE4">
      <w:pPr>
        <w:widowControl w:val="0"/>
        <w:spacing w:line="1" w:lineRule="exact"/>
      </w:pPr>
      <w:r>
        <mc:AlternateContent>
          <mc:Choice Requires="wps">
            <w:drawing>
              <wp:anchor distT="0" distB="16510" distL="0" distR="0" simplePos="0" relativeHeight="251660288" behindDoc="0" locked="0" layoutInCell="1" allowOverlap="1">
                <wp:simplePos x="0" y="0"/>
                <wp:positionH relativeFrom="page">
                  <wp:posOffset>721360</wp:posOffset>
                </wp:positionH>
                <wp:positionV relativeFrom="paragraph">
                  <wp:posOffset>0</wp:posOffset>
                </wp:positionV>
                <wp:extent cx="449580" cy="304800"/>
                <wp:effectExtent l="0" t="0" r="0" b="0"/>
                <wp:wrapTopAndBottom/>
                <wp:docPr id="1219" name="Shape 1219"/>
                <wp:cNvGraphicFramePr/>
                <a:graphic xmlns:a="http://schemas.openxmlformats.org/drawingml/2006/main">
                  <a:graphicData uri="http://schemas.microsoft.com/office/word/2010/wordprocessingShape">
                    <wps:wsp>
                      <wps:cNvSpPr txBox="1"/>
                      <wps:spPr>
                        <a:xfrm>
                          <a:off x="0" y="0"/>
                          <a:ext cx="449580" cy="304800"/>
                        </a:xfrm>
                        <a:prstGeom prst="rect">
                          <a:avLst/>
                        </a:prstGeom>
                        <a:noFill/>
                      </wps:spPr>
                      <wps:txbx>
                        <w:txbxContent>
                          <w:p w14:paraId="6D352AC5">
                            <w:pPr>
                              <w:pStyle w:val="27"/>
                              <w:keepNext/>
                              <w:keepLines/>
                              <w:widowControl w:val="0"/>
                              <w:shd w:val="clear" w:color="auto" w:fill="auto"/>
                              <w:bidi w:val="0"/>
                              <w:spacing w:before="0" w:after="0" w:line="240" w:lineRule="auto"/>
                              <w:ind w:left="0" w:right="0" w:firstLine="0"/>
                              <w:jc w:val="left"/>
                            </w:pPr>
                            <w:bookmarkStart w:id="603" w:name="bookmark563"/>
                            <w:bookmarkStart w:id="604" w:name="bookmark565"/>
                            <w:bookmarkStart w:id="605" w:name="bookmark564"/>
                            <w:r>
                              <w:rPr>
                                <w:rFonts w:ascii="Times New Roman" w:hAnsi="Times New Roman" w:eastAsia="Times New Roman" w:cs="Times New Roman"/>
                                <w:color w:val="000000"/>
                                <w:spacing w:val="0"/>
                                <w:w w:val="100"/>
                                <w:position w:val="0"/>
                                <w:lang w:val="zh-TW" w:eastAsia="zh-TW" w:bidi="zh-TW"/>
                              </w:rPr>
                              <w:t>090</w:t>
                            </w:r>
                            <w:bookmarkEnd w:id="603"/>
                            <w:bookmarkEnd w:id="604"/>
                            <w:bookmarkEnd w:id="605"/>
                          </w:p>
                        </w:txbxContent>
                      </wps:txbx>
                      <wps:bodyPr wrap="none" lIns="0" tIns="0" rIns="0" bIns="0">
                        <a:noAutofit/>
                      </wps:bodyPr>
                    </wps:wsp>
                  </a:graphicData>
                </a:graphic>
              </wp:anchor>
            </w:drawing>
          </mc:Choice>
          <mc:Fallback>
            <w:pict>
              <v:shape id="Shape 1219" o:spid="_x0000_s1026" o:spt="202" type="#_x0000_t202" style="position:absolute;left:0pt;margin-left:56.8pt;margin-top:0pt;height:24pt;width:35.4pt;mso-position-horizontal-relative:page;mso-wrap-distance-bottom:1.3pt;mso-wrap-distance-top:0pt;mso-wrap-style:none;z-index:251660288;mso-width-relative:page;mso-height-relative:page;" filled="f" stroked="f" coordsize="21600,21600" o:gfxdata="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wP+Rx0wAAAAcB&#10;AAAPAAAAAAAAAAEAIAAAACIAAABkcnMvZG93bnJldi54bWxQSwECFAAUAAAACACHTuJAMZ/aVq4B&#10;AAB1AwAADgAAAAAAAAABACAAAAAiAQAAZHJzL2Uyb0RvYy54bWxQSwUGAAAAAAYABgBZAQAAQgUA&#10;AAAA&#10;">
                <v:fill on="f" focussize="0,0"/>
                <v:stroke on="f"/>
                <v:imagedata o:title=""/>
                <o:lock v:ext="edit" aspectratio="f"/>
                <v:textbox inset="0mm,0mm,0mm,0mm">
                  <w:txbxContent>
                    <w:p w14:paraId="6D352AC5">
                      <w:pPr>
                        <w:pStyle w:val="27"/>
                        <w:keepNext/>
                        <w:keepLines/>
                        <w:widowControl w:val="0"/>
                        <w:shd w:val="clear" w:color="auto" w:fill="auto"/>
                        <w:bidi w:val="0"/>
                        <w:spacing w:before="0" w:after="0" w:line="240" w:lineRule="auto"/>
                        <w:ind w:left="0" w:right="0" w:firstLine="0"/>
                        <w:jc w:val="left"/>
                      </w:pPr>
                      <w:bookmarkStart w:id="603" w:name="bookmark563"/>
                      <w:bookmarkStart w:id="604" w:name="bookmark565"/>
                      <w:bookmarkStart w:id="605" w:name="bookmark564"/>
                      <w:r>
                        <w:rPr>
                          <w:rFonts w:ascii="Times New Roman" w:hAnsi="Times New Roman" w:eastAsia="Times New Roman" w:cs="Times New Roman"/>
                          <w:color w:val="000000"/>
                          <w:spacing w:val="0"/>
                          <w:w w:val="100"/>
                          <w:position w:val="0"/>
                          <w:lang w:val="zh-TW" w:eastAsia="zh-TW" w:bidi="zh-TW"/>
                        </w:rPr>
                        <w:t>090</w:t>
                      </w:r>
                      <w:bookmarkEnd w:id="603"/>
                      <w:bookmarkEnd w:id="604"/>
                      <w:bookmarkEnd w:id="605"/>
                    </w:p>
                  </w:txbxContent>
                </v:textbox>
                <w10:wrap type="topAndBottom"/>
              </v:shape>
            </w:pict>
          </mc:Fallback>
        </mc:AlternateContent>
      </w:r>
      <w:r>
        <mc:AlternateContent>
          <mc:Choice Requires="wps">
            <w:drawing>
              <wp:anchor distT="83820" distB="0" distL="0" distR="0" simplePos="0" relativeHeight="251660288" behindDoc="0" locked="0" layoutInCell="1" allowOverlap="1">
                <wp:simplePos x="0" y="0"/>
                <wp:positionH relativeFrom="page">
                  <wp:posOffset>1297305</wp:posOffset>
                </wp:positionH>
                <wp:positionV relativeFrom="paragraph">
                  <wp:posOffset>83820</wp:posOffset>
                </wp:positionV>
                <wp:extent cx="2627630" cy="237490"/>
                <wp:effectExtent l="0" t="0" r="0" b="0"/>
                <wp:wrapTopAndBottom/>
                <wp:docPr id="1221" name="Shape 1221"/>
                <wp:cNvGraphicFramePr/>
                <a:graphic xmlns:a="http://schemas.openxmlformats.org/drawingml/2006/main">
                  <a:graphicData uri="http://schemas.microsoft.com/office/word/2010/wordprocessingShape">
                    <wps:wsp>
                      <wps:cNvSpPr txBox="1"/>
                      <wps:spPr>
                        <a:xfrm>
                          <a:off x="0" y="0"/>
                          <a:ext cx="2627630" cy="237490"/>
                        </a:xfrm>
                        <a:prstGeom prst="rect">
                          <a:avLst/>
                        </a:prstGeom>
                        <a:noFill/>
                      </wps:spPr>
                      <wps:txbx>
                        <w:txbxContent>
                          <w:p w14:paraId="633F910E">
                            <w:pPr>
                              <w:pStyle w:val="15"/>
                              <w:keepNext/>
                              <w:keepLines/>
                              <w:widowControl w:val="0"/>
                              <w:shd w:val="clear" w:color="auto" w:fill="auto"/>
                              <w:bidi w:val="0"/>
                              <w:spacing w:before="0" w:after="0" w:line="240" w:lineRule="auto"/>
                              <w:ind w:left="0" w:right="0" w:firstLine="0"/>
                              <w:jc w:val="left"/>
                            </w:pPr>
                            <w:bookmarkStart w:id="606" w:name="bookmark568"/>
                            <w:bookmarkStart w:id="607" w:name="bookmark566"/>
                            <w:bookmarkStart w:id="608" w:name="bookmark567"/>
                            <w:r>
                              <w:rPr>
                                <w:color w:val="000000"/>
                                <w:spacing w:val="0"/>
                                <w:w w:val="100"/>
                                <w:position w:val="0"/>
                              </w:rPr>
                              <w:t>擅自转让旅游业务与连带责任</w:t>
                            </w:r>
                            <w:bookmarkEnd w:id="606"/>
                            <w:bookmarkEnd w:id="607"/>
                            <w:bookmarkEnd w:id="608"/>
                          </w:p>
                        </w:txbxContent>
                      </wps:txbx>
                      <wps:bodyPr wrap="none" lIns="0" tIns="0" rIns="0" bIns="0">
                        <a:noAutofit/>
                      </wps:bodyPr>
                    </wps:wsp>
                  </a:graphicData>
                </a:graphic>
              </wp:anchor>
            </w:drawing>
          </mc:Choice>
          <mc:Fallback>
            <w:pict>
              <v:shape id="Shape 1221" o:spid="_x0000_s1026" o:spt="202" type="#_x0000_t202" style="position:absolute;left:0pt;margin-left:102.15pt;margin-top:6.6pt;height:18.7pt;width:206.9pt;mso-position-horizontal-relative:page;mso-wrap-distance-bottom:0pt;mso-wrap-distance-top:6.6pt;mso-wrap-style:none;z-index:251660288;mso-width-relative:page;mso-height-relative:page;" filled="f" stroked="f" coordsize="21600,21600" o:gfxdata="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tZtrkdYA&#10;AAAJAQAADwAAAAAAAAABACAAAAAiAAAAZHJzL2Rvd25yZXYueG1sUEsBAhQAFAAAAAgAh07iQIQR&#10;hnqvAQAAdgMAAA4AAAAAAAAAAQAgAAAAJQEAAGRycy9lMm9Eb2MueG1sUEsFBgAAAAAGAAYAWQEA&#10;AEYFAAAAAA==&#10;">
                <v:fill on="f" focussize="0,0"/>
                <v:stroke on="f"/>
                <v:imagedata o:title=""/>
                <o:lock v:ext="edit" aspectratio="f"/>
                <v:textbox inset="0mm,0mm,0mm,0mm">
                  <w:txbxContent>
                    <w:p w14:paraId="633F910E">
                      <w:pPr>
                        <w:pStyle w:val="15"/>
                        <w:keepNext/>
                        <w:keepLines/>
                        <w:widowControl w:val="0"/>
                        <w:shd w:val="clear" w:color="auto" w:fill="auto"/>
                        <w:bidi w:val="0"/>
                        <w:spacing w:before="0" w:after="0" w:line="240" w:lineRule="auto"/>
                        <w:ind w:left="0" w:right="0" w:firstLine="0"/>
                        <w:jc w:val="left"/>
                      </w:pPr>
                      <w:bookmarkStart w:id="606" w:name="bookmark568"/>
                      <w:bookmarkStart w:id="607" w:name="bookmark566"/>
                      <w:bookmarkStart w:id="608" w:name="bookmark567"/>
                      <w:r>
                        <w:rPr>
                          <w:color w:val="000000"/>
                          <w:spacing w:val="0"/>
                          <w:w w:val="100"/>
                          <w:position w:val="0"/>
                        </w:rPr>
                        <w:t>擅自转让旅游业务与连带责任</w:t>
                      </w:r>
                      <w:bookmarkEnd w:id="606"/>
                      <w:bookmarkEnd w:id="607"/>
                      <w:bookmarkEnd w:id="608"/>
                    </w:p>
                  </w:txbxContent>
                </v:textbox>
                <w10:wrap type="topAndBottom"/>
              </v:shape>
            </w:pict>
          </mc:Fallback>
        </mc:AlternateContent>
      </w:r>
    </w:p>
    <w:p w14:paraId="7E96985E">
      <w:pPr>
        <w:pStyle w:val="17"/>
        <w:keepNext w:val="0"/>
        <w:keepLines w:val="0"/>
        <w:widowControl w:val="0"/>
        <w:shd w:val="clear" w:color="auto" w:fill="auto"/>
        <w:bidi w:val="0"/>
        <w:spacing w:before="0" w:after="80" w:line="346" w:lineRule="exact"/>
        <w:ind w:left="0" w:right="0" w:firstLine="0"/>
        <w:jc w:val="right"/>
        <w:rPr>
          <w:sz w:val="19"/>
          <w:szCs w:val="19"/>
        </w:rPr>
      </w:pPr>
      <w:r>
        <w:drawing>
          <wp:anchor distT="0" distB="0" distL="0" distR="0" simplePos="0" relativeHeight="251660288" behindDoc="0" locked="0" layoutInCell="1" allowOverlap="1">
            <wp:simplePos x="0" y="0"/>
            <wp:positionH relativeFrom="page">
              <wp:posOffset>5241290</wp:posOffset>
            </wp:positionH>
            <wp:positionV relativeFrom="paragraph">
              <wp:posOffset>177800</wp:posOffset>
            </wp:positionV>
            <wp:extent cx="292735" cy="328930"/>
            <wp:effectExtent l="0" t="0" r="12065" b="1270"/>
            <wp:wrapTight wrapText="bothSides">
              <wp:wrapPolygon>
                <wp:start x="0" y="0"/>
                <wp:lineTo x="21600" y="0"/>
                <wp:lineTo x="21600" y="21600"/>
                <wp:lineTo x="0" y="21600"/>
                <wp:lineTo x="0" y="0"/>
              </wp:wrapPolygon>
            </wp:wrapTight>
            <wp:docPr id="1223" name="Shape 1223"/>
            <wp:cNvGraphicFramePr/>
            <a:graphic xmlns:a="http://schemas.openxmlformats.org/drawingml/2006/main">
              <a:graphicData uri="http://schemas.openxmlformats.org/drawingml/2006/picture">
                <pic:pic xmlns:pic="http://schemas.openxmlformats.org/drawingml/2006/picture">
                  <pic:nvPicPr>
                    <pic:cNvPr id="1223" name="Shape 1223"/>
                    <pic:cNvPicPr/>
                  </pic:nvPicPr>
                  <pic:blipFill>
                    <a:blip r:embed="rId705"/>
                    <a:stretch>
                      <a:fillRect/>
                    </a:stretch>
                  </pic:blipFill>
                  <pic:spPr>
                    <a:xfrm>
                      <a:off x="0" y="0"/>
                      <a:ext cx="292735" cy="328930"/>
                    </a:xfrm>
                    <a:prstGeom prst="rect">
                      <a:avLst/>
                    </a:prstGeom>
                  </pic:spPr>
                </pic:pic>
              </a:graphicData>
            </a:graphic>
          </wp:anchor>
        </w:drawing>
      </w:r>
      <w:r>
        <w:rPr>
          <w:color w:val="000000"/>
          <w:spacing w:val="0"/>
          <w:w w:val="100"/>
          <w:position w:val="0"/>
          <w:sz w:val="18"/>
          <w:szCs w:val="18"/>
        </w:rPr>
        <w:t>焦建军与江苏省中山国际旅行社有限公司、第三人中国康辉南京国航霊. 际旅行社有限责任公司旅游侵权纠纷案丨《最高人民法院公报》</w:t>
      </w:r>
      <w:r>
        <w:rPr>
          <w:rFonts w:ascii="Times New Roman" w:hAnsi="Times New Roman" w:eastAsia="Times New Roman" w:cs="Times New Roman"/>
          <w:color w:val="000000"/>
          <w:spacing w:val="0"/>
          <w:w w:val="100"/>
          <w:position w:val="0"/>
          <w:sz w:val="19"/>
          <w:szCs w:val="19"/>
          <w:lang w:val="en-US" w:eastAsia="en-US" w:bidi="en-US"/>
        </w:rPr>
        <w:t>bl</w:t>
      </w:r>
    </w:p>
    <w:p w14:paraId="020BAA10">
      <w:pPr>
        <w:pStyle w:val="21"/>
        <w:keepNext w:val="0"/>
        <w:keepLines w:val="0"/>
        <w:widowControl w:val="0"/>
        <w:shd w:val="clear" w:color="auto" w:fill="auto"/>
        <w:bidi w:val="0"/>
        <w:spacing w:before="0" w:after="340" w:line="240" w:lineRule="auto"/>
        <w:ind w:left="0" w:right="0" w:firstLine="1000"/>
        <w:jc w:val="both"/>
        <w:rPr>
          <w:sz w:val="18"/>
          <w:szCs w:val="18"/>
        </w:rPr>
      </w:pPr>
      <w:r>
        <w:rPr>
          <w:rFonts w:ascii="Times New Roman" w:hAnsi="Times New Roman" w:eastAsia="Times New Roman" w:cs="Times New Roman"/>
          <w:color w:val="000000"/>
          <w:spacing w:val="0"/>
          <w:w w:val="100"/>
          <w:position w:val="0"/>
          <w:sz w:val="19"/>
          <w:szCs w:val="19"/>
        </w:rPr>
        <w:t xml:space="preserve">2012 </w:t>
      </w:r>
      <w:r>
        <w:rPr>
          <w:rFonts w:ascii="宋体" w:hAnsi="宋体" w:eastAsia="宋体" w:cs="宋体"/>
          <w:color w:val="000000"/>
          <w:spacing w:val="0"/>
          <w:w w:val="100"/>
          <w:position w:val="0"/>
          <w:sz w:val="18"/>
          <w:szCs w:val="18"/>
        </w:rPr>
        <w:t xml:space="preserve">年第 </w:t>
      </w:r>
      <w:r>
        <w:rPr>
          <w:rFonts w:ascii="Times New Roman" w:hAnsi="Times New Roman" w:eastAsia="Times New Roman" w:cs="Times New Roman"/>
          <w:color w:val="000000"/>
          <w:spacing w:val="0"/>
          <w:w w:val="100"/>
          <w:position w:val="0"/>
          <w:sz w:val="19"/>
          <w:szCs w:val="19"/>
        </w:rPr>
        <w:t xml:space="preserve">11 </w:t>
      </w:r>
      <w:r>
        <w:rPr>
          <w:rFonts w:ascii="宋体" w:hAnsi="宋体" w:eastAsia="宋体" w:cs="宋体"/>
          <w:color w:val="000000"/>
          <w:spacing w:val="0"/>
          <w:w w:val="100"/>
          <w:position w:val="0"/>
          <w:sz w:val="18"/>
          <w:szCs w:val="18"/>
        </w:rPr>
        <w:t>期</w:t>
      </w:r>
    </w:p>
    <w:p w14:paraId="6559E47E">
      <w:pPr>
        <w:pStyle w:val="33"/>
        <w:keepNext w:val="0"/>
        <w:keepLines w:val="0"/>
        <w:widowControl w:val="0"/>
        <w:shd w:val="clear" w:color="auto" w:fill="auto"/>
        <w:bidi w:val="0"/>
        <w:spacing w:before="0" w:after="1340" w:line="240" w:lineRule="auto"/>
        <w:ind w:left="0" w:right="0" w:firstLine="0"/>
        <w:jc w:val="right"/>
      </w:pPr>
      <w:r>
        <w:rPr>
          <w:b/>
          <w:bCs/>
          <w:color w:val="000000"/>
          <w:spacing w:val="0"/>
          <w:w w:val="100"/>
          <w:position w:val="0"/>
          <w:sz w:val="18"/>
          <w:szCs w:val="18"/>
        </w:rPr>
        <w:t>五</w:t>
      </w:r>
      <w:r>
        <w:rPr>
          <w:rFonts w:ascii="Times New Roman" w:hAnsi="Times New Roman" w:eastAsia="Times New Roman" w:cs="Times New Roman"/>
          <w:color w:val="000000"/>
          <w:spacing w:val="0"/>
          <w:w w:val="100"/>
          <w:position w:val="0"/>
          <w:sz w:val="26"/>
          <w:szCs w:val="26"/>
        </w:rPr>
        <w:t>I</w:t>
      </w:r>
      <w:r>
        <w:rPr>
          <w:b/>
          <w:bCs/>
          <w:color w:val="000000"/>
          <w:spacing w:val="0"/>
          <w:w w:val="100"/>
          <w:position w:val="0"/>
          <w:sz w:val="18"/>
          <w:szCs w:val="18"/>
          <w:lang w:val="zh-CN" w:eastAsia="zh-CN" w:bidi="zh-CN"/>
        </w:rPr>
        <w:t>'维飞</w:t>
      </w:r>
      <w:r>
        <w:rPr>
          <w:color w:val="000000"/>
          <w:spacing w:val="0"/>
          <w:w w:val="100"/>
          <w:position w:val="0"/>
        </w:rPr>
        <w:t>华东政法大学法律学院</w:t>
      </w:r>
    </w:p>
    <w:p w14:paraId="47F24672">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45FBD70">
      <w:pPr>
        <w:pStyle w:val="17"/>
        <w:keepNext w:val="0"/>
        <w:keepLines w:val="0"/>
        <w:widowControl w:val="0"/>
        <w:shd w:val="clear" w:color="auto" w:fill="auto"/>
        <w:bidi w:val="0"/>
        <w:spacing w:before="0" w:after="340" w:line="343" w:lineRule="exact"/>
        <w:ind w:left="0" w:right="0" w:firstLine="420"/>
        <w:jc w:val="both"/>
      </w:pP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 xml:space="preserve">日，原告焦建军与被告江苏省中山国际旅行社有限公司（以下简称中 山国旅）签订旅游合同，约定由中山国旅提供出境旅游服务。焦建军向中山国旅交纳了 </w:t>
      </w:r>
      <w:r>
        <w:rPr>
          <w:rFonts w:ascii="Times New Roman" w:hAnsi="Times New Roman" w:eastAsia="Times New Roman" w:cs="Times New Roman"/>
          <w:color w:val="000000"/>
          <w:spacing w:val="0"/>
          <w:w w:val="100"/>
          <w:position w:val="0"/>
          <w:sz w:val="19"/>
          <w:szCs w:val="19"/>
        </w:rPr>
        <w:t>4560</w:t>
      </w:r>
      <w:r>
        <w:rPr>
          <w:color w:val="000000"/>
          <w:spacing w:val="0"/>
          <w:w w:val="100"/>
          <w:position w:val="0"/>
        </w:rPr>
        <w:t>元的团费。此后，中山国旅未经焦建军同意，擅自将出境旅游业务转让给第三人中国 康辉南京国际旅行社有限责任公司（以下简称康辉旅行社）。</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日，第三人康 辉旅行社委托泰国车队运送焦建军等人返回泰国曼谷，途中，焦建军因交通事故受伤，所乘 旅游车的驾驶员应就交通事故负全责。原告就所受医药费等损失，诉请被告中山国旅和第 三人康辉旅行社承担侵权连带责任。</w:t>
      </w:r>
    </w:p>
    <w:p w14:paraId="09A1F6AD">
      <w:pPr>
        <w:pStyle w:val="11"/>
        <w:keepNext w:val="0"/>
        <w:keepLines w:val="0"/>
        <w:widowControl w:val="0"/>
        <w:shd w:val="clear" w:color="auto" w:fill="auto"/>
        <w:bidi w:val="0"/>
        <w:spacing w:before="0" w:after="80" w:line="339"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2590A81E">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驳回上诉，维持原判。</w:t>
      </w:r>
    </w:p>
    <w:p w14:paraId="10B00769">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旅游者与旅行社签订旅游合同后,双方形成旅游服务合同关系,旅行社所提供的服务 应当符合保障旅游者人身、财产安全的要求。同时，旅行社委托的旅游辅助人所提供的食 宿、交通运输等服务系旅行社履行旅游服务合同义务的延续，应认定为代表旅行社的行为， 旅游辅助人的侵权行为可直接认定为旅行社的侵权行为。</w:t>
      </w:r>
    </w:p>
    <w:p w14:paraId="63B060D0">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旅游者在旅游过程中乘坐旅行社提供的车辆发生交通事故导致人身损害、财产损失 的，构成违约责任和侵权责任的竞合，旅游者有权选择合同之诉或侵权之诉要求旅行社承 担相应民事赔偿责任。</w:t>
      </w:r>
    </w:p>
    <w:p w14:paraId="63703FCE">
      <w:pPr>
        <w:pStyle w:val="17"/>
        <w:keepNext w:val="0"/>
        <w:keepLines w:val="0"/>
        <w:widowControl w:val="0"/>
        <w:shd w:val="clear" w:color="auto" w:fill="auto"/>
        <w:bidi w:val="0"/>
        <w:spacing w:before="0" w:after="220" w:line="339" w:lineRule="exact"/>
        <w:ind w:left="0" w:right="0" w:firstLine="420"/>
        <w:jc w:val="both"/>
        <w:sectPr>
          <w:footnotePr>
            <w:numFmt w:val="chicago"/>
          </w:footnotePr>
          <w:type w:val="continuous"/>
          <w:pgSz w:w="10099" w:h="14782"/>
          <w:pgMar w:top="1297" w:right="1050" w:bottom="1117" w:left="1025" w:header="869" w:footer="689" w:gutter="0"/>
          <w:cols w:space="720" w:num="1"/>
          <w:rtlGutter w:val="0"/>
          <w:docGrid w:linePitch="360" w:charSpace="0"/>
        </w:sectPr>
      </w:pPr>
      <w:r>
        <w:rPr>
          <w:color w:val="000000"/>
          <w:spacing w:val="0"/>
          <w:w w:val="100"/>
          <w:position w:val="0"/>
        </w:rPr>
        <w:t>中山国旅未经旅游者同意擅自将旅游业务转让给他人系违约行为，其负有的安全保障 义务不发生转移的效力。旅行社擅自将其旅游业务转让给其他旅行社的，与其签订旅游合 同的旅行社和实际提供旅游服务的旅行社应承担连带责任。</w:t>
      </w:r>
    </w:p>
    <w:p w14:paraId="014DF0DD">
      <w:pPr>
        <w:pStyle w:val="11"/>
        <w:keepNext w:val="0"/>
        <w:keepLines w:val="0"/>
        <w:widowControl w:val="0"/>
        <w:shd w:val="clear" w:color="auto" w:fill="auto"/>
        <w:bidi w:val="0"/>
        <w:spacing w:before="0" w:after="120" w:line="344" w:lineRule="exact"/>
        <w:ind w:left="0" w:right="0" w:firstLine="0"/>
        <w:jc w:val="both"/>
      </w:pPr>
      <w:r>
        <w:rPr>
          <w:color w:val="000000"/>
          <w:spacing w:val="0"/>
          <w:w w:val="100"/>
          <w:position w:val="0"/>
        </w:rPr>
        <w:t>■评析</w:t>
      </w:r>
    </w:p>
    <w:p w14:paraId="7B27D051">
      <w:pPr>
        <w:pStyle w:val="17"/>
        <w:keepNext w:val="0"/>
        <w:keepLines w:val="0"/>
        <w:widowControl w:val="0"/>
        <w:shd w:val="clear" w:color="auto" w:fill="auto"/>
        <w:bidi w:val="0"/>
        <w:spacing w:before="0" w:after="12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本案的争点</w:t>
      </w:r>
    </w:p>
    <w:p w14:paraId="2E6D14E3">
      <w:pPr>
        <w:pStyle w:val="17"/>
        <w:keepNext w:val="0"/>
        <w:keepLines w:val="0"/>
        <w:widowControl w:val="0"/>
        <w:numPr>
          <w:ilvl w:val="0"/>
          <w:numId w:val="39"/>
        </w:numPr>
        <w:shd w:val="clear" w:color="auto" w:fill="auto"/>
        <w:tabs>
          <w:tab w:val="left" w:pos="675"/>
        </w:tabs>
        <w:bidi w:val="0"/>
        <w:spacing w:before="0" w:after="0" w:line="344" w:lineRule="exact"/>
        <w:ind w:left="0" w:right="0"/>
        <w:jc w:val="both"/>
      </w:pPr>
      <w:bookmarkStart w:id="167" w:name="bookmark569"/>
      <w:bookmarkEnd w:id="167"/>
      <w:r>
        <w:rPr>
          <w:color w:val="000000"/>
          <w:spacing w:val="0"/>
          <w:w w:val="100"/>
          <w:position w:val="0"/>
        </w:rPr>
        <w:t>泰国车队是否为康辉旅行社的旅游辅助人。假如康辉旅行社对原告旅游者承担合同 义务，此案首先遇到的问题是:泰国车队是否为康辉旅行社的履行辅助人，即债务人康辉旅 行社为履行债务而使用之人？在所履行的义务为旅游合同义务时，此种履行辅助人被称为 旅游辅助人。合同义务人之外的主体,就住宿、交通等服务之提供，若构成旅游辅助人，首先 要满足的条件应当是:提供的上述服务在合同义务范围内。此案中，二审法院认为，“泰方 车队属于受康辉旅行社委托，协助康辉旅行社履行旅游合同义务的旅游辅助服务者</w:t>
      </w:r>
      <w:r>
        <w:rPr>
          <w:color w:val="000000"/>
          <w:spacing w:val="0"/>
          <w:w w:val="100"/>
          <w:position w:val="0"/>
          <w:lang w:val="zh-CN" w:eastAsia="zh-CN" w:bidi="zh-CN"/>
        </w:rPr>
        <w:t>”，由</w:t>
      </w:r>
      <w:r>
        <w:rPr>
          <w:color w:val="000000"/>
          <w:spacing w:val="0"/>
          <w:w w:val="100"/>
          <w:position w:val="0"/>
        </w:rPr>
        <w:t>此 可见，在二审法院看来,泰国车队所提供之交通服务应解释为在合同义务范围内，泰国车队 属于康辉旅行社的旅游辅助人。</w:t>
      </w:r>
    </w:p>
    <w:p w14:paraId="316C7882">
      <w:pPr>
        <w:pStyle w:val="17"/>
        <w:keepNext w:val="0"/>
        <w:keepLines w:val="0"/>
        <w:widowControl w:val="0"/>
        <w:numPr>
          <w:ilvl w:val="0"/>
          <w:numId w:val="39"/>
        </w:numPr>
        <w:shd w:val="clear" w:color="auto" w:fill="auto"/>
        <w:tabs>
          <w:tab w:val="left" w:pos="678"/>
        </w:tabs>
        <w:bidi w:val="0"/>
        <w:spacing w:before="0" w:after="0" w:line="344" w:lineRule="exact"/>
        <w:ind w:left="0" w:right="0"/>
        <w:jc w:val="both"/>
      </w:pPr>
      <w:bookmarkStart w:id="168" w:name="bookmark570"/>
      <w:bookmarkEnd w:id="168"/>
      <w:r>
        <w:rPr>
          <w:color w:val="000000"/>
          <w:spacing w:val="0"/>
          <w:w w:val="100"/>
          <w:position w:val="0"/>
        </w:rPr>
        <w:t>旅行社是否应为旅游辅助人的过错负责。此案中被告中山国旅主张:</w:t>
      </w:r>
      <w:r>
        <w:rPr>
          <w:color w:val="000000"/>
          <w:spacing w:val="0"/>
          <w:w w:val="100"/>
          <w:position w:val="0"/>
          <w:lang w:val="zh-CN" w:eastAsia="zh-CN" w:bidi="zh-CN"/>
        </w:rPr>
        <w:t>“康辉</w:t>
      </w:r>
      <w:r>
        <w:rPr>
          <w:color w:val="000000"/>
          <w:spacing w:val="0"/>
          <w:w w:val="100"/>
          <w:position w:val="0"/>
        </w:rPr>
        <w:t>旅行社 选择的旅游辅助服务者泰国车队具有合法运营资质，发生交通事故是驾驶员的过错所致, 被上诉人焦建军的损失应由第三人即泰方车队承担赔偿责任。</w:t>
      </w:r>
      <w:r>
        <w:rPr>
          <w:color w:val="000000"/>
          <w:spacing w:val="0"/>
          <w:w w:val="100"/>
          <w:position w:val="0"/>
          <w:lang w:val="zh-CN" w:eastAsia="zh-CN" w:bidi="zh-CN"/>
        </w:rPr>
        <w:t>”被告</w:t>
      </w:r>
      <w:r>
        <w:rPr>
          <w:color w:val="000000"/>
          <w:spacing w:val="0"/>
          <w:w w:val="100"/>
          <w:position w:val="0"/>
        </w:rPr>
        <w:t>的主张意味着旅行社 仅就挑选或监督旅游辅助人的过错负责。二审法院则认为：“泰方车队属于受康辉旅行社 委托，协助康辉旅行社履行旅游合同义务的旅游辅助服务者，与旅游者之间并未直接形成 旅游服务合同关系,其为旅游者提供的交通服务是康辉旅行社履行旅游服务合同义务的延 续,应认定为是代表康辉旅行社的行为</w:t>
      </w:r>
      <w:r>
        <w:rPr>
          <w:color w:val="000000"/>
          <w:spacing w:val="0"/>
          <w:w w:val="100"/>
          <w:position w:val="0"/>
          <w:lang w:val="zh-CN" w:eastAsia="zh-CN" w:bidi="zh-CN"/>
        </w:rPr>
        <w:t>。”二</w:t>
      </w:r>
      <w:r>
        <w:rPr>
          <w:color w:val="000000"/>
          <w:spacing w:val="0"/>
          <w:w w:val="100"/>
          <w:position w:val="0"/>
        </w:rPr>
        <w:t>审法院的主张意味着旅行社自身即使在挑选或 监督旅游辅助人上没有过错，也应就旅游辅助人的过错负责。</w:t>
      </w:r>
    </w:p>
    <w:p w14:paraId="6E1C871C">
      <w:pPr>
        <w:pStyle w:val="17"/>
        <w:keepNext w:val="0"/>
        <w:keepLines w:val="0"/>
        <w:widowControl w:val="0"/>
        <w:numPr>
          <w:ilvl w:val="0"/>
          <w:numId w:val="39"/>
        </w:numPr>
        <w:shd w:val="clear" w:color="auto" w:fill="auto"/>
        <w:tabs>
          <w:tab w:val="left" w:pos="687"/>
        </w:tabs>
        <w:bidi w:val="0"/>
        <w:spacing w:before="0" w:after="0" w:line="344" w:lineRule="exact"/>
        <w:ind w:left="0" w:right="0"/>
        <w:jc w:val="both"/>
      </w:pPr>
      <w:bookmarkStart w:id="169" w:name="bookmark571"/>
      <w:bookmarkEnd w:id="169"/>
      <w:r>
        <w:rPr>
          <w:color w:val="000000"/>
          <w:spacing w:val="0"/>
          <w:w w:val="100"/>
          <w:position w:val="0"/>
        </w:rPr>
        <w:t>旅行社若应为旅游辅助人的过错负责，其所负责任的性质。假如承认旅行社应为旅 游辅助人的过错负责，就其所负责任的性质仍有讨论之必要。自履行合同义务的视角看, 因履行辅助人的过错导致合同义务未能履行或未能恰当履行时，合同义务人应为履行辅助 人的过错负责，其责任为违约责任。从侵权法视角看,雇主应为雇员的过错致害行为对受 害人承担侵权责任。此时，雇员可称为事务辅助人,不同于履行辅助人。二审法院并未从侵 权法上雇主为雇员过错行为负责的角度认定旅行社的侵权责任，而是从原《合同法》第</w:t>
      </w:r>
      <w:r>
        <w:rPr>
          <w:rFonts w:ascii="Times New Roman" w:hAnsi="Times New Roman" w:eastAsia="Times New Roman" w:cs="Times New Roman"/>
          <w:color w:val="000000"/>
          <w:spacing w:val="0"/>
          <w:w w:val="100"/>
          <w:position w:val="0"/>
          <w:sz w:val="19"/>
          <w:szCs w:val="19"/>
        </w:rPr>
        <w:t xml:space="preserve">122 </w:t>
      </w:r>
      <w:r>
        <w:rPr>
          <w:color w:val="000000"/>
          <w:spacing w:val="0"/>
          <w:w w:val="100"/>
          <w:position w:val="0"/>
        </w:rPr>
        <w:t>条以及最高人民法院《关于审理旅游纠纷案件适用法律若干问题的规定》［法释</w:t>
      </w:r>
      <w:r>
        <w:rPr>
          <w:rFonts w:ascii="Times New Roman" w:hAnsi="Times New Roman" w:eastAsia="Times New Roman" w:cs="Times New Roman"/>
          <w:color w:val="000000"/>
          <w:spacing w:val="0"/>
          <w:w w:val="100"/>
          <w:position w:val="0"/>
          <w:sz w:val="19"/>
          <w:szCs w:val="19"/>
        </w:rPr>
        <w:t xml:space="preserve">(2010)13 </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条岀发，认为:旅游辅助人提供服务的行为“应视为康辉旅行社履行旅游服务行 为”，当旅游辅助人提供的服务有瑕疵造成旅游者人身损害、财产损失时，旅游者有权选择 要求旅行社承担违约责任或者侵权责任。也就是说,二审法院主张:依原《合同法》第</w:t>
      </w:r>
      <w:r>
        <w:rPr>
          <w:rFonts w:ascii="Times New Roman" w:hAnsi="Times New Roman" w:eastAsia="Times New Roman" w:cs="Times New Roman"/>
          <w:color w:val="000000"/>
          <w:spacing w:val="0"/>
          <w:w w:val="100"/>
          <w:position w:val="0"/>
          <w:sz w:val="19"/>
          <w:szCs w:val="19"/>
        </w:rPr>
        <w:t xml:space="preserve">122 </w:t>
      </w:r>
      <w:r>
        <w:rPr>
          <w:color w:val="000000"/>
          <w:spacing w:val="0"/>
          <w:w w:val="100"/>
          <w:position w:val="0"/>
        </w:rPr>
        <w:t>条有关违约责任和侵权责任竞合的规定，旅行社应为旅游辅助人的过错负责时，其所负责 任既可针对违约责任，也可针对侵权责任。</w:t>
      </w:r>
    </w:p>
    <w:p w14:paraId="5448C6AE">
      <w:pPr>
        <w:pStyle w:val="17"/>
        <w:keepNext w:val="0"/>
        <w:keepLines w:val="0"/>
        <w:widowControl w:val="0"/>
        <w:numPr>
          <w:ilvl w:val="0"/>
          <w:numId w:val="39"/>
        </w:numPr>
        <w:shd w:val="clear" w:color="auto" w:fill="auto"/>
        <w:tabs>
          <w:tab w:val="left" w:pos="680"/>
        </w:tabs>
        <w:bidi w:val="0"/>
        <w:spacing w:before="0" w:after="0" w:line="344" w:lineRule="exact"/>
        <w:ind w:left="0" w:right="0"/>
        <w:jc w:val="both"/>
        <w:sectPr>
          <w:headerReference r:id="rId519" w:type="default"/>
          <w:headerReference r:id="rId520" w:type="even"/>
          <w:footnotePr>
            <w:numFmt w:val="chicago"/>
          </w:footnotePr>
          <w:pgSz w:w="10099" w:h="14782"/>
          <w:pgMar w:top="1297" w:right="1050" w:bottom="1117" w:left="1025" w:header="0" w:footer="689" w:gutter="0"/>
          <w:pgNumType w:start="446"/>
          <w:cols w:space="720" w:num="1"/>
          <w:rtlGutter w:val="0"/>
          <w:docGrid w:linePitch="360" w:charSpace="0"/>
        </w:sectPr>
      </w:pPr>
      <w:r>
        <w:rPr>
          <w:color w:val="000000"/>
          <w:spacing w:val="0"/>
          <w:w w:val="100"/>
          <w:position w:val="0"/>
        </w:rPr>
        <w:t>旅行社擅自将其旅游业务转让给其他旅行社的，是否应承担连带责任。此案中，被告 中山国旅未经焦建军同意擅自将旅游业务转让给康辉旅行社，中山国旅主张:</w:t>
      </w:r>
      <w:r>
        <w:rPr>
          <w:color w:val="000000"/>
          <w:spacing w:val="0"/>
          <w:w w:val="100"/>
          <w:position w:val="0"/>
          <w:lang w:val="zh-CN" w:eastAsia="zh-CN" w:bidi="zh-CN"/>
        </w:rPr>
        <w:t>“旅游</w:t>
      </w:r>
      <w:r>
        <w:rPr>
          <w:color w:val="000000"/>
          <w:spacing w:val="0"/>
          <w:w w:val="100"/>
          <w:position w:val="0"/>
        </w:rPr>
        <w:t>业务是 否转让与交通事故及损害后果的产生并无必然因果关系</w:t>
      </w:r>
      <w:r>
        <w:rPr>
          <w:color w:val="000000"/>
          <w:spacing w:val="0"/>
          <w:w w:val="100"/>
          <w:position w:val="0"/>
          <w:lang w:val="zh-CN" w:eastAsia="zh-CN" w:bidi="zh-CN"/>
        </w:rPr>
        <w:t>。”因</w:t>
      </w:r>
      <w:r>
        <w:rPr>
          <w:color w:val="000000"/>
          <w:spacing w:val="0"/>
          <w:w w:val="100"/>
          <w:position w:val="0"/>
        </w:rPr>
        <w:t>此，中山国旅不应承担责任。 二审法院则认为:</w:t>
      </w:r>
      <w:r>
        <w:rPr>
          <w:color w:val="000000"/>
          <w:spacing w:val="0"/>
          <w:w w:val="100"/>
          <w:position w:val="0"/>
          <w:lang w:val="zh-CN" w:eastAsia="zh-CN" w:bidi="zh-CN"/>
        </w:rPr>
        <w:t>“焦建</w:t>
      </w:r>
      <w:r>
        <w:rPr>
          <w:color w:val="000000"/>
          <w:spacing w:val="0"/>
          <w:w w:val="100"/>
          <w:position w:val="0"/>
        </w:rPr>
        <w:t xml:space="preserve">军与中山国旅签订出境旅游合同,双方形成旅游服务合同关系，中 山国旅所提供的服务应当符合保障旅游者人身、财产安全的要求。中山国旅未经旅游者同 </w:t>
      </w:r>
    </w:p>
    <w:p w14:paraId="6FA63D08">
      <w:pPr>
        <w:pStyle w:val="17"/>
        <w:keepNext w:val="0"/>
        <w:keepLines w:val="0"/>
        <w:widowControl w:val="0"/>
        <w:shd w:val="clear" w:color="auto" w:fill="auto"/>
        <w:tabs>
          <w:tab w:val="left" w:pos="680"/>
        </w:tabs>
        <w:bidi w:val="0"/>
        <w:spacing w:before="0" w:after="0" w:line="344" w:lineRule="exact"/>
        <w:ind w:left="0" w:right="0" w:firstLine="0"/>
        <w:jc w:val="both"/>
      </w:pPr>
      <w:bookmarkStart w:id="170" w:name="bookmark572"/>
      <w:bookmarkEnd w:id="170"/>
      <w:r>
        <w:rPr>
          <w:color w:val="000000"/>
          <w:spacing w:val="0"/>
          <w:w w:val="100"/>
          <w:position w:val="0"/>
        </w:rPr>
        <w:t>意擅自将旅游业务转让给他人系违约行为,其负有的安全保障义务不发生转移的效力。</w:t>
      </w:r>
      <w:r>
        <w:rPr>
          <w:color w:val="000000"/>
          <w:spacing w:val="0"/>
          <w:w w:val="100"/>
          <w:position w:val="0"/>
          <w:lang w:val="zh-CN" w:eastAsia="zh-CN" w:bidi="zh-CN"/>
        </w:rPr>
        <w:t xml:space="preserve">”合 </w:t>
      </w:r>
      <w:r>
        <w:rPr>
          <w:color w:val="000000"/>
          <w:spacing w:val="0"/>
          <w:w w:val="100"/>
          <w:position w:val="0"/>
        </w:rPr>
        <w:t>同当事人之间除了给付义务，尚有保护义务，即在合同履行过程中注意保护对方人身、财产 安全的义务。此义务也就是判决书所称</w:t>
      </w:r>
      <w:r>
        <w:rPr>
          <w:color w:val="000000"/>
          <w:spacing w:val="0"/>
          <w:w w:val="100"/>
          <w:position w:val="0"/>
          <w:lang w:val="zh-CN" w:eastAsia="zh-CN" w:bidi="zh-CN"/>
        </w:rPr>
        <w:t>“安全</w:t>
      </w:r>
      <w:r>
        <w:rPr>
          <w:color w:val="000000"/>
          <w:spacing w:val="0"/>
          <w:w w:val="100"/>
          <w:position w:val="0"/>
        </w:rPr>
        <w:t>保障义务”。二审法院的观点是:未经旅游者 同意,擅自转让旅游业务的，合同当事人的安全保障义务并未转移，当受让人因提供旅游服 务不合格导致旅游者人身、财产损失时，转让人和受让人负连带责任。二审法院着眼的重 点不是不得转让的义务以及擅自转让构成的义务违反,而是擅自转让人安全保障义务的继 续存在以及安全保障义务的违反。</w:t>
      </w:r>
    </w:p>
    <w:p w14:paraId="09009651">
      <w:pPr>
        <w:pStyle w:val="17"/>
        <w:keepNext w:val="0"/>
        <w:keepLines w:val="0"/>
        <w:widowControl w:val="0"/>
        <w:numPr>
          <w:ilvl w:val="0"/>
          <w:numId w:val="39"/>
        </w:numPr>
        <w:shd w:val="clear" w:color="auto" w:fill="auto"/>
        <w:bidi w:val="0"/>
        <w:spacing w:before="0" w:after="0" w:line="343" w:lineRule="exact"/>
        <w:ind w:left="0" w:right="0"/>
        <w:jc w:val="both"/>
      </w:pPr>
      <w:bookmarkStart w:id="171" w:name="bookmark573"/>
      <w:bookmarkEnd w:id="171"/>
      <w:r>
        <w:rPr>
          <w:color w:val="000000"/>
          <w:spacing w:val="0"/>
          <w:w w:val="100"/>
          <w:position w:val="0"/>
        </w:rPr>
        <w:t>若擅自转让旅游业务的转让方和受让方应承担连带责任，该连带责任性质如何。擅 自转让旅游业务的转让方和受让方承担连带责任（此处为广义，涵盖不真正连带责任）时， 转让方和受让方各自承担何种性质的责任？首先,受让方康辉旅行社对旅游者承担违约责 任须以其对旅游者负有合同义务为前提。擅自转让旅游业务时，由于旅游者作为权利人并 未同意，因此，转让人的合同义务不会消灭并转移给受让人。若认可受让人对旅游者负有 合同义务，须寻找解释途径。由于并存的债务承担并未消灭擅自转让人的合同义务，也无 需权利人同意，因此，有学者提出并存的债务承担予以解释。其次，就擅自转让方中山国旅 来说，由于实际损害系因受让方提供的服务有缺陷而产生，可从受让方的责任性质入手分 别讨论转让方承担连带责任的情形。其一，若受让方承担侵权责任,则转让方承担连带责 任有两种可能:受让方承担侵权责任,转让方承担侵权责任，二者连带;受让方承担侵权责 任,转让方承担违约责任，二者连带。其二，若受让方承担违约责任,则转让方承担连带责任 也有两种可能:受让方承担违约责任,转让方承担违约责任，二者连带;受让方承担违约责 任,转让方承担侵权责任，二者连带。</w:t>
      </w:r>
    </w:p>
    <w:p w14:paraId="2657602F">
      <w:pPr>
        <w:pStyle w:val="17"/>
        <w:keepNext w:val="0"/>
        <w:keepLines w:val="0"/>
        <w:widowControl w:val="0"/>
        <w:shd w:val="clear" w:color="auto" w:fill="auto"/>
        <w:bidi w:val="0"/>
        <w:spacing w:before="0" w:after="280" w:line="343" w:lineRule="exact"/>
        <w:ind w:left="0" w:right="0"/>
        <w:jc w:val="both"/>
        <w:sectPr>
          <w:headerReference r:id="rId521" w:type="default"/>
          <w:headerReference r:id="rId522" w:type="even"/>
          <w:footnotePr>
            <w:numFmt w:val="chicago"/>
          </w:footnotePr>
          <w:pgSz w:w="10099" w:h="14782"/>
          <w:pgMar w:top="1297" w:right="1050" w:bottom="1117" w:left="1025" w:header="0" w:footer="689" w:gutter="0"/>
          <w:pgNumType w:start="463"/>
          <w:cols w:space="720" w:num="1"/>
          <w:rtlGutter w:val="0"/>
          <w:docGrid w:linePitch="360" w:charSpace="0"/>
        </w:sectPr>
      </w:pPr>
      <w:r>
        <w:rPr>
          <w:color w:val="000000"/>
          <w:spacing w:val="0"/>
          <w:w w:val="100"/>
          <w:position w:val="0"/>
        </w:rPr>
        <w:t>本案中，原告诉请转让方和受让方承担侵权连带责任。判决中涉及侵权连带责任的理 由构成属于判决理由，可能涉及的其他连带责任的理由构成则应划入附带意见的范畴。假 如以后类似案件的判决须参考本案，那么，本案中的附带意见可不予参考，应予参考的是判 决理由。这里仅讨论判决理由，也就是侵权连带责任的构成。本案一审判决认为:</w:t>
      </w:r>
      <w:r>
        <w:rPr>
          <w:color w:val="000000"/>
          <w:spacing w:val="0"/>
          <w:w w:val="100"/>
          <w:position w:val="0"/>
          <w:lang w:val="zh-CN" w:eastAsia="zh-CN" w:bidi="zh-CN"/>
        </w:rPr>
        <w:t>“中</w:t>
      </w:r>
      <w:r>
        <w:rPr>
          <w:color w:val="000000"/>
          <w:spacing w:val="0"/>
          <w:w w:val="100"/>
          <w:position w:val="0"/>
        </w:rPr>
        <w:t>山国 旅未经焦建军同意将旅游业务转让给第三人康辉旅行社，该转让行为属于共同侵权行为。” 可见本案一审判决着眼于擅自转让的行为，并以</w:t>
      </w:r>
      <w:r>
        <w:rPr>
          <w:color w:val="000000"/>
          <w:spacing w:val="0"/>
          <w:w w:val="100"/>
          <w:position w:val="0"/>
          <w:lang w:val="zh-CN" w:eastAsia="zh-CN" w:bidi="zh-CN"/>
        </w:rPr>
        <w:t>“共</w:t>
      </w:r>
      <w:r>
        <w:rPr>
          <w:color w:val="000000"/>
          <w:spacing w:val="0"/>
          <w:w w:val="100"/>
          <w:position w:val="0"/>
        </w:rPr>
        <w:t>同侵权</w:t>
      </w:r>
      <w:r>
        <w:rPr>
          <w:color w:val="000000"/>
          <w:spacing w:val="0"/>
          <w:w w:val="100"/>
          <w:position w:val="0"/>
          <w:lang w:val="zh-CN" w:eastAsia="zh-CN" w:bidi="zh-CN"/>
        </w:rPr>
        <w:t>”作</w:t>
      </w:r>
      <w:r>
        <w:rPr>
          <w:color w:val="000000"/>
          <w:spacing w:val="0"/>
          <w:w w:val="100"/>
          <w:position w:val="0"/>
        </w:rPr>
        <w:t>为理由构成;此案二审虽然 维持原判，但阐述时认为:“中山国旅未经旅游者同意擅自将旅游业务转让给他人系违约行 为，其所负有的安全保障义务不发生转移的效力。</w:t>
      </w:r>
      <w:r>
        <w:rPr>
          <w:color w:val="000000"/>
          <w:spacing w:val="0"/>
          <w:w w:val="100"/>
          <w:position w:val="0"/>
          <w:lang w:val="zh-CN" w:eastAsia="zh-CN" w:bidi="zh-CN"/>
        </w:rPr>
        <w:t>”二审</w:t>
      </w:r>
      <w:r>
        <w:rPr>
          <w:color w:val="000000"/>
          <w:spacing w:val="0"/>
          <w:w w:val="100"/>
          <w:position w:val="0"/>
        </w:rPr>
        <w:t>判决的重点有所改变，侧重的是擅 自转让人仍负有</w:t>
      </w:r>
      <w:r>
        <w:rPr>
          <w:color w:val="000000"/>
          <w:spacing w:val="0"/>
          <w:w w:val="100"/>
          <w:position w:val="0"/>
          <w:lang w:val="zh-CN" w:eastAsia="zh-CN" w:bidi="zh-CN"/>
        </w:rPr>
        <w:t>“安全</w:t>
      </w:r>
      <w:r>
        <w:rPr>
          <w:color w:val="000000"/>
          <w:spacing w:val="0"/>
          <w:w w:val="100"/>
          <w:position w:val="0"/>
        </w:rPr>
        <w:t xml:space="preserve">保障义务”。共同侵权中,有合谋致损害于他人情形时，若其中一行 为人的行为和损害结果有因果关系，另一行为人即因合谋而须负责。受害人无需证明另一 行为人的行为与损害结果之间有因果关系。就此案来说，当受让方的行为符合侵权责任构 成要件时,共同侵权的理由构成可以避免探讨转让人的行为（擅自转让）与旅游者损害之间 的因果关系。但本案缺乏转让人和受让人的合谋，共同侵权的理由构成无法有力回应被告 中山国旅的前述辩驳，即“旅游业务是否转让与交通事故及损害后果的产生并无必然因果 关系”。由此，二审的理由构成更应值得重视。另外，二审的理由构成应当能够解释，为何 受害人无需证明转让人的擅自转让等行为与损害结果之间的因果关系，而只需证明受让人 </w:t>
      </w:r>
    </w:p>
    <w:p w14:paraId="79C475C8">
      <w:pPr>
        <w:pStyle w:val="17"/>
        <w:keepNext w:val="0"/>
        <w:keepLines w:val="0"/>
        <w:widowControl w:val="0"/>
        <w:shd w:val="clear" w:color="auto" w:fill="auto"/>
        <w:bidi w:val="0"/>
        <w:spacing w:before="0" w:after="280" w:line="343" w:lineRule="exact"/>
        <w:ind w:left="0" w:right="0" w:firstLine="0"/>
        <w:jc w:val="both"/>
      </w:pPr>
      <w:r>
        <w:rPr>
          <w:color w:val="000000"/>
          <w:spacing w:val="0"/>
          <w:w w:val="100"/>
          <w:position w:val="0"/>
        </w:rPr>
        <w:t>的行为符合侵权责任的构成即可。能够提供此种解释的只有替代责任的视角，即受让人的 行为符合侵权责任构成时,擅自转让人因其</w:t>
      </w:r>
      <w:r>
        <w:rPr>
          <w:color w:val="000000"/>
          <w:spacing w:val="0"/>
          <w:w w:val="100"/>
          <w:position w:val="0"/>
          <w:lang w:val="zh-CN" w:eastAsia="zh-CN" w:bidi="zh-CN"/>
        </w:rPr>
        <w:t>“安全</w:t>
      </w:r>
      <w:r>
        <w:rPr>
          <w:color w:val="000000"/>
          <w:spacing w:val="0"/>
          <w:w w:val="100"/>
          <w:position w:val="0"/>
        </w:rPr>
        <w:t>保障义务”并未转移须就受让人的侵权行 为承担责任。</w:t>
      </w:r>
    </w:p>
    <w:p w14:paraId="209C08C8">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w:t>
      </w:r>
    </w:p>
    <w:p w14:paraId="1F6BC78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本案判决涉及多方面问题，下面就其中较具有特殊性、值得参考的主要内容,稍作阐 述：</w:t>
      </w:r>
    </w:p>
    <w:p w14:paraId="4127B8DA">
      <w:pPr>
        <w:pStyle w:val="17"/>
        <w:keepNext w:val="0"/>
        <w:keepLines w:val="0"/>
        <w:widowControl w:val="0"/>
        <w:numPr>
          <w:ilvl w:val="0"/>
          <w:numId w:val="40"/>
        </w:numPr>
        <w:shd w:val="clear" w:color="auto" w:fill="auto"/>
        <w:tabs>
          <w:tab w:val="left" w:pos="680"/>
        </w:tabs>
        <w:bidi w:val="0"/>
        <w:spacing w:before="0" w:after="0" w:line="342" w:lineRule="exact"/>
        <w:ind w:left="0" w:right="0" w:firstLine="420"/>
        <w:jc w:val="both"/>
      </w:pPr>
      <w:bookmarkStart w:id="172" w:name="bookmark574"/>
      <w:bookmarkEnd w:id="172"/>
      <w:r>
        <w:rPr>
          <w:color w:val="000000"/>
          <w:spacing w:val="0"/>
          <w:w w:val="100"/>
          <w:position w:val="0"/>
        </w:rPr>
        <w:t>旅游辅助人、旅游合同保护义务违反与侵权责任。假如本案中康辉旅行社负有合同 义务，且泰国车队属于康辉旅行社的旅游辅助人。本案二审判决确立的规则是：因旅游辅 助人的原因，致使合同保护义务（此案判决中用语为</w:t>
      </w:r>
      <w:r>
        <w:rPr>
          <w:color w:val="000000"/>
          <w:spacing w:val="0"/>
          <w:w w:val="100"/>
          <w:position w:val="0"/>
          <w:lang w:val="zh-CN" w:eastAsia="zh-CN" w:bidi="zh-CN"/>
        </w:rPr>
        <w:t>“安全</w:t>
      </w:r>
      <w:r>
        <w:rPr>
          <w:color w:val="000000"/>
          <w:spacing w:val="0"/>
          <w:w w:val="100"/>
          <w:position w:val="0"/>
        </w:rPr>
        <w:t>保障义务”）违反,造成旅游者受 损害时，旅游者既可请求合同义务人康辉旅行社承担违约责任，也可请求其承担侵权责任。 受害人请求合同义务人承担侵权责任时,无需证明旅游辅助人同时符合侵权替代责任中的 事务辅助人特征。</w:t>
      </w:r>
    </w:p>
    <w:p w14:paraId="4AD9669B">
      <w:pPr>
        <w:pStyle w:val="17"/>
        <w:keepNext w:val="0"/>
        <w:keepLines w:val="0"/>
        <w:widowControl w:val="0"/>
        <w:numPr>
          <w:ilvl w:val="0"/>
          <w:numId w:val="40"/>
        </w:numPr>
        <w:shd w:val="clear" w:color="auto" w:fill="auto"/>
        <w:tabs>
          <w:tab w:val="left" w:pos="682"/>
        </w:tabs>
        <w:bidi w:val="0"/>
        <w:spacing w:before="0" w:after="280" w:line="342" w:lineRule="exact"/>
        <w:ind w:left="0" w:right="0" w:firstLine="420"/>
        <w:jc w:val="both"/>
      </w:pPr>
      <w:bookmarkStart w:id="173" w:name="bookmark575"/>
      <w:bookmarkEnd w:id="173"/>
      <w:r>
        <w:rPr>
          <w:color w:val="000000"/>
          <w:spacing w:val="0"/>
          <w:w w:val="100"/>
          <w:position w:val="0"/>
        </w:rPr>
        <w:t>擅自转移旅游业务与侵权连带责任。就擅自转移旅游业务，并且因受让方提供服务 有缺陷，致使旅游者受损害的情形，本案二审判决确立的规则是:旅游者可以请求转让人和 受让人承担侵权连带责任。就上述规则，着眼于二审判决的思路，较为合理的解释如下:首 先，受让人提供服务有缺陷,致使旅游者受损害时,可让其承担侵权责任;其次，由于旅游业 务擅自转让时,转让人的合同保护义务并未消灭，因此，转让人应就受让人的侵权行为承担 替代责任,从而与受让人一起承担侵权连带责任。</w:t>
      </w:r>
    </w:p>
    <w:p w14:paraId="5E37268F">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本案遗留的问题</w:t>
      </w:r>
    </w:p>
    <w:p w14:paraId="25C1F2EA">
      <w:pPr>
        <w:pStyle w:val="17"/>
        <w:keepNext w:val="0"/>
        <w:keepLines w:val="0"/>
        <w:widowControl w:val="0"/>
        <w:shd w:val="clear" w:color="auto" w:fill="auto"/>
        <w:bidi w:val="0"/>
        <w:spacing w:before="0" w:after="360" w:line="337" w:lineRule="exact"/>
        <w:ind w:left="0" w:right="0" w:firstLine="420"/>
        <w:jc w:val="both"/>
      </w:pPr>
      <w:r>
        <w:rPr>
          <w:color w:val="000000"/>
          <w:spacing w:val="0"/>
          <w:w w:val="100"/>
          <w:position w:val="0"/>
        </w:rPr>
        <w:t>本案遗留的问题是:本案二审判决是否属于基于旅游法及相关司法解释中保护旅游者 的特殊政策考量而做出的特殊处理？若采肯定见解，则本案判决所确立的上述规则在不涉 及旅游者保护的案件中不应参考,其规则仅适用于旅游辅助人、旅游合同保护义务违反与 侵权连带责任的情形;若采否定见解,则本案判决可普遍推广,在与旅游合同不相关的纠纷 中也可以参考，其规则可推广适用于履行辅助人、合同保护义务违反与侵权连带责任的情形。</w:t>
      </w:r>
    </w:p>
    <w:p w14:paraId="37B62817">
      <w:pPr>
        <w:pStyle w:val="11"/>
        <w:keepNext w:val="0"/>
        <w:keepLines w:val="0"/>
        <w:widowControl w:val="0"/>
        <w:shd w:val="clear" w:color="auto" w:fill="auto"/>
        <w:bidi w:val="0"/>
        <w:spacing w:before="0" w:after="80" w:line="342" w:lineRule="exact"/>
        <w:ind w:left="0" w:right="0" w:firstLine="0"/>
        <w:jc w:val="left"/>
      </w:pPr>
      <w:r>
        <w:rPr>
          <w:color w:val="000000"/>
          <w:spacing w:val="0"/>
          <w:w w:val="100"/>
          <w:position w:val="0"/>
        </w:rPr>
        <w:t>回参考文献</w:t>
      </w:r>
    </w:p>
    <w:p w14:paraId="48A4FD67">
      <w:pPr>
        <w:pStyle w:val="33"/>
        <w:keepNext w:val="0"/>
        <w:keepLines w:val="0"/>
        <w:widowControl w:val="0"/>
        <w:shd w:val="clear" w:color="auto" w:fill="auto"/>
        <w:bidi w:val="0"/>
        <w:spacing w:before="0" w:after="0" w:line="298" w:lineRule="exact"/>
        <w:ind w:left="180" w:right="0" w:hanging="180"/>
        <w:jc w:val="both"/>
      </w:pPr>
      <w:r>
        <w:rPr>
          <w:color w:val="000000"/>
          <w:spacing w:val="0"/>
          <w:w w:val="100"/>
          <w:position w:val="0"/>
        </w:rPr>
        <w:t>叶金强:《旅游纠纷中的连带责任——以“焦建军与中山国旅等旅游侵权纠纷案</w:t>
      </w:r>
      <w:r>
        <w:rPr>
          <w:color w:val="000000"/>
          <w:spacing w:val="0"/>
          <w:w w:val="100"/>
          <w:position w:val="0"/>
          <w:lang w:val="zh-CN" w:eastAsia="zh-CN" w:bidi="zh-CN"/>
        </w:rPr>
        <w:t>”为</w:t>
      </w:r>
      <w:r>
        <w:rPr>
          <w:color w:val="000000"/>
          <w:spacing w:val="0"/>
          <w:w w:val="100"/>
          <w:position w:val="0"/>
        </w:rPr>
        <w:t xml:space="preserve">参照》，载《法学》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5FFEC29">
      <w:pPr>
        <w:pStyle w:val="33"/>
        <w:keepNext w:val="0"/>
        <w:keepLines w:val="0"/>
        <w:widowControl w:val="0"/>
        <w:shd w:val="clear" w:color="auto" w:fill="auto"/>
        <w:bidi w:val="0"/>
        <w:spacing w:before="0" w:after="0" w:line="295" w:lineRule="exact"/>
        <w:ind w:left="180" w:right="0" w:hanging="180"/>
        <w:jc w:val="both"/>
      </w:pPr>
      <w:r>
        <w:rPr>
          <w:color w:val="000000"/>
          <w:spacing w:val="0"/>
          <w:w w:val="100"/>
          <w:position w:val="0"/>
        </w:rPr>
        <w:t>周江洪:《旅游人身损害赔偿责任的中日比较一以履行辅助人理论为中心》，载《苏州大学学报》（哲学 社会科学版</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63FDF927">
      <w:pPr>
        <w:pStyle w:val="33"/>
        <w:keepNext w:val="0"/>
        <w:keepLines w:val="0"/>
        <w:widowControl w:val="0"/>
        <w:shd w:val="clear" w:color="auto" w:fill="auto"/>
        <w:bidi w:val="0"/>
        <w:spacing w:before="0" w:after="40" w:line="293" w:lineRule="exact"/>
        <w:ind w:left="180" w:right="0" w:hanging="180"/>
        <w:jc w:val="both"/>
        <w:sectPr>
          <w:headerReference r:id="rId523" w:type="default"/>
          <w:headerReference r:id="rId524" w:type="even"/>
          <w:footnotePr>
            <w:numFmt w:val="chicago"/>
          </w:footnotePr>
          <w:pgSz w:w="10099" w:h="14782"/>
          <w:pgMar w:top="1297" w:right="1050" w:bottom="1117" w:left="1025" w:header="0" w:footer="689" w:gutter="0"/>
          <w:pgNumType w:start="448"/>
          <w:cols w:space="720" w:num="1"/>
          <w:rtlGutter w:val="0"/>
          <w:docGrid w:linePitch="360" w:charSpace="0"/>
        </w:sectPr>
      </w:pPr>
      <w:r>
        <w:rPr>
          <w:color w:val="000000"/>
          <w:spacing w:val="0"/>
          <w:w w:val="100"/>
          <w:position w:val="0"/>
        </w:rPr>
        <w:t>申海恩:《旅行社转团中的责任承担</w:t>
      </w:r>
      <w:r>
        <w:rPr>
          <w:color w:val="000000"/>
          <w:spacing w:val="0"/>
          <w:w w:val="100"/>
          <w:position w:val="0"/>
          <w:lang w:val="en-US" w:eastAsia="en-US" w:bidi="en-US"/>
        </w:rPr>
        <w:t>一</w:t>
      </w:r>
      <w:r>
        <w:rPr>
          <w:color w:val="000000"/>
          <w:spacing w:val="0"/>
          <w:w w:val="100"/>
          <w:position w:val="0"/>
        </w:rPr>
        <w:t xml:space="preserve">德国法视角的考察》，载《苏州大学学报》（哲学社会科学版）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24D0A09">
      <w:pPr>
        <w:pStyle w:val="15"/>
        <w:keepNext/>
        <w:keepLines/>
        <w:widowControl w:val="0"/>
        <w:shd w:val="clear" w:color="auto" w:fill="auto"/>
        <w:bidi w:val="0"/>
        <w:spacing w:before="0" w:after="240" w:line="240" w:lineRule="auto"/>
        <w:ind w:left="0" w:right="0" w:firstLine="0"/>
        <w:jc w:val="left"/>
      </w:pPr>
      <w:r>
        <mc:AlternateContent>
          <mc:Choice Requires="wps">
            <w:drawing>
              <wp:anchor distT="0" distB="0" distL="114300" distR="114300" simplePos="0" relativeHeight="251660288" behindDoc="0" locked="0" layoutInCell="1" allowOverlap="1">
                <wp:simplePos x="0" y="0"/>
                <wp:positionH relativeFrom="page">
                  <wp:posOffset>687705</wp:posOffset>
                </wp:positionH>
                <wp:positionV relativeFrom="margin">
                  <wp:posOffset>46990</wp:posOffset>
                </wp:positionV>
                <wp:extent cx="487680" cy="426720"/>
                <wp:effectExtent l="0" t="0" r="7620" b="5080"/>
                <wp:wrapSquare wrapText="right"/>
                <wp:docPr id="1237" name="Shape 1237"/>
                <wp:cNvGraphicFramePr/>
                <a:graphic xmlns:a="http://schemas.openxmlformats.org/drawingml/2006/main">
                  <a:graphicData uri="http://schemas.microsoft.com/office/word/2010/wordprocessingShape">
                    <wps:wsp>
                      <wps:cNvSpPr txBox="1"/>
                      <wps:spPr>
                        <a:xfrm>
                          <a:off x="0" y="0"/>
                          <a:ext cx="487680" cy="426720"/>
                        </a:xfrm>
                        <a:prstGeom prst="rect">
                          <a:avLst/>
                        </a:prstGeom>
                        <a:solidFill>
                          <a:srgbClr val="000000"/>
                        </a:solidFill>
                      </wps:spPr>
                      <wps:txbx>
                        <w:txbxContent>
                          <w:p w14:paraId="6F491491">
                            <w:pPr>
                              <w:pStyle w:val="29"/>
                              <w:keepNext w:val="0"/>
                              <w:keepLines w:val="0"/>
                              <w:widowControl w:val="0"/>
                              <w:shd w:val="clear" w:color="auto" w:fill="auto"/>
                              <w:bidi w:val="0"/>
                              <w:spacing w:before="8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091</w:t>
                            </w:r>
                          </w:p>
                        </w:txbxContent>
                      </wps:txbx>
                      <wps:bodyPr wrap="none" lIns="0" tIns="0" rIns="0" bIns="0">
                        <a:noAutofit/>
                      </wps:bodyPr>
                    </wps:wsp>
                  </a:graphicData>
                </a:graphic>
              </wp:anchor>
            </w:drawing>
          </mc:Choice>
          <mc:Fallback>
            <w:pict>
              <v:shape id="Shape 1237" o:spid="_x0000_s1026" o:spt="202" type="#_x0000_t202" style="position:absolute;left:0pt;margin-left:54.15pt;margin-top:3.7pt;height:33.6pt;width:38.4pt;mso-position-horizontal-relative:page;mso-position-vertical-relative:margin;mso-wrap-distance-bottom:0pt;mso-wrap-distance-left:9pt;mso-wrap-distance-right:9pt;mso-wrap-distance-top:0pt;mso-wrap-style:none;z-index:251660288;mso-width-relative:page;mso-height-relative:page;" fillcolor="#000000" filled="t" stroked="f" coordsize="21600,21600" o:gfxdata="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K/Qif1QAAAAgBAAAPAAAAAAAAAAEAIAAAACIAAABkcnMvZG93bnJldi54&#10;bWxQSwECFAAUAAAACACHTuJATMCvPcQBAACeAwAADgAAAAAAAAABACAAAAAkAQAAZHJzL2Uyb0Rv&#10;Yy54bWxQSwUGAAAAAAYABgBZAQAAWgUAAAAA&#10;">
                <v:fill on="t" focussize="0,0"/>
                <v:stroke on="f"/>
                <v:imagedata o:title=""/>
                <o:lock v:ext="edit" aspectratio="f"/>
                <v:textbox inset="0mm,0mm,0mm,0mm">
                  <w:txbxContent>
                    <w:p w14:paraId="6F491491">
                      <w:pPr>
                        <w:pStyle w:val="29"/>
                        <w:keepNext w:val="0"/>
                        <w:keepLines w:val="0"/>
                        <w:widowControl w:val="0"/>
                        <w:shd w:val="clear" w:color="auto" w:fill="auto"/>
                        <w:bidi w:val="0"/>
                        <w:spacing w:before="8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091</w:t>
                      </w:r>
                    </w:p>
                  </w:txbxContent>
                </v:textbox>
                <w10:wrap type="square" side="right"/>
              </v:shape>
            </w:pict>
          </mc:Fallback>
        </mc:AlternateContent>
      </w:r>
      <w:bookmarkStart w:id="174" w:name="bookmark576"/>
      <w:bookmarkStart w:id="175" w:name="bookmark578"/>
      <w:bookmarkStart w:id="176" w:name="bookmark577"/>
      <w:r>
        <w:rPr>
          <w:color w:val="000000"/>
          <w:spacing w:val="0"/>
          <w:w w:val="100"/>
          <w:position w:val="0"/>
        </w:rPr>
        <w:t>刑事受害人的民事赔偿范围</w:t>
      </w:r>
      <w:bookmarkEnd w:id="174"/>
      <w:bookmarkEnd w:id="175"/>
      <w:bookmarkEnd w:id="176"/>
    </w:p>
    <w:p w14:paraId="7F1D1A98">
      <w:pPr>
        <w:pStyle w:val="17"/>
        <w:keepNext w:val="0"/>
        <w:keepLines w:val="0"/>
        <w:widowControl w:val="0"/>
        <w:shd w:val="clear" w:color="auto" w:fill="auto"/>
        <w:bidi w:val="0"/>
        <w:spacing w:before="0" w:after="80" w:line="240" w:lineRule="auto"/>
        <w:ind w:left="0" w:right="0" w:firstLine="980"/>
        <w:jc w:val="left"/>
      </w:pPr>
      <w:r>
        <w:rPr>
          <w:color w:val="000000"/>
          <w:spacing w:val="0"/>
          <w:w w:val="100"/>
          <w:position w:val="0"/>
        </w:rPr>
        <w:t>尹瑞军诉颜礼奎健康权、身体权纠纷案丨《最高人民法院公报》</w:t>
      </w:r>
    </w:p>
    <w:p w14:paraId="2F52AC85">
      <w:pPr>
        <w:pStyle w:val="21"/>
        <w:keepNext w:val="0"/>
        <w:keepLines w:val="0"/>
        <w:widowControl w:val="0"/>
        <w:shd w:val="clear" w:color="auto" w:fill="auto"/>
        <w:bidi w:val="0"/>
        <w:spacing w:before="0" w:after="360" w:line="240" w:lineRule="auto"/>
        <w:ind w:left="0" w:right="0" w:firstLine="980"/>
        <w:jc w:val="left"/>
        <w:rPr>
          <w:sz w:val="18"/>
          <w:szCs w:val="18"/>
        </w:rPr>
      </w:pPr>
      <w:r>
        <w:rPr>
          <w:rFonts w:ascii="Times New Roman" w:hAnsi="Times New Roman" w:eastAsia="Times New Roman" w:cs="Times New Roman"/>
          <w:color w:val="000000"/>
          <w:spacing w:val="0"/>
          <w:w w:val="100"/>
          <w:position w:val="0"/>
          <w:sz w:val="19"/>
          <w:szCs w:val="19"/>
        </w:rPr>
        <w:t>2019</w:t>
      </w:r>
      <w:r>
        <w:rPr>
          <w:rFonts w:ascii="宋体" w:hAnsi="宋体" w:eastAsia="宋体" w:cs="宋体"/>
          <w:color w:val="000000"/>
          <w:spacing w:val="0"/>
          <w:w w:val="100"/>
          <w:position w:val="0"/>
          <w:sz w:val="18"/>
          <w:szCs w:val="18"/>
        </w:rPr>
        <w:t>年第</w:t>
      </w:r>
      <w:r>
        <w:rPr>
          <w:rFonts w:ascii="Times New Roman" w:hAnsi="Times New Roman" w:eastAsia="Times New Roman" w:cs="Times New Roman"/>
          <w:color w:val="000000"/>
          <w:spacing w:val="0"/>
          <w:w w:val="100"/>
          <w:position w:val="0"/>
          <w:sz w:val="19"/>
          <w:szCs w:val="19"/>
        </w:rPr>
        <w:t>3</w:t>
      </w:r>
      <w:r>
        <w:rPr>
          <w:rFonts w:ascii="宋体" w:hAnsi="宋体" w:eastAsia="宋体" w:cs="宋体"/>
          <w:color w:val="000000"/>
          <w:spacing w:val="0"/>
          <w:w w:val="100"/>
          <w:position w:val="0"/>
          <w:sz w:val="18"/>
          <w:szCs w:val="18"/>
        </w:rPr>
        <w:t>期</w:t>
      </w:r>
    </w:p>
    <w:p w14:paraId="263AE2CC">
      <w:pPr>
        <w:pStyle w:val="33"/>
        <w:keepNext w:val="0"/>
        <w:keepLines w:val="0"/>
        <w:widowControl w:val="0"/>
        <w:shd w:val="clear" w:color="auto" w:fill="auto"/>
        <w:bidi w:val="0"/>
        <w:spacing w:before="0" w:after="1380" w:line="240" w:lineRule="auto"/>
        <w:ind w:left="0" w:right="0" w:firstLine="0"/>
        <w:jc w:val="right"/>
      </w:pPr>
      <w:r>
        <w:drawing>
          <wp:anchor distT="0" distB="0" distL="114300" distR="114300" simplePos="0" relativeHeight="251660288" behindDoc="0" locked="0" layoutInCell="1" allowOverlap="1">
            <wp:simplePos x="0" y="0"/>
            <wp:positionH relativeFrom="page">
              <wp:posOffset>5100955</wp:posOffset>
            </wp:positionH>
            <wp:positionV relativeFrom="margin">
              <wp:posOffset>334010</wp:posOffset>
            </wp:positionV>
            <wp:extent cx="615950" cy="633730"/>
            <wp:effectExtent l="0" t="0" r="6350" b="1270"/>
            <wp:wrapSquare wrapText="left"/>
            <wp:docPr id="1239" name="Shape 1239"/>
            <wp:cNvGraphicFramePr/>
            <a:graphic xmlns:a="http://schemas.openxmlformats.org/drawingml/2006/main">
              <a:graphicData uri="http://schemas.openxmlformats.org/drawingml/2006/picture">
                <pic:pic xmlns:pic="http://schemas.openxmlformats.org/drawingml/2006/picture">
                  <pic:nvPicPr>
                    <pic:cNvPr id="1239" name="Shape 1239"/>
                    <pic:cNvPicPr/>
                  </pic:nvPicPr>
                  <pic:blipFill>
                    <a:blip r:embed="rId706"/>
                    <a:stretch>
                      <a:fillRect/>
                    </a:stretch>
                  </pic:blipFill>
                  <pic:spPr>
                    <a:xfrm>
                      <a:off x="0" y="0"/>
                      <a:ext cx="615950" cy="633730"/>
                    </a:xfrm>
                    <a:prstGeom prst="rect">
                      <a:avLst/>
                    </a:prstGeom>
                  </pic:spPr>
                </pic:pic>
              </a:graphicData>
            </a:graphic>
          </wp:anchor>
        </w:drawing>
      </w:r>
      <w:r>
        <w:rPr>
          <w:color w:val="000000"/>
          <w:spacing w:val="0"/>
          <w:w w:val="100"/>
          <w:position w:val="0"/>
          <w:sz w:val="18"/>
          <w:szCs w:val="18"/>
        </w:rPr>
        <w:t>石冠彬</w:t>
      </w:r>
      <w:r>
        <w:rPr>
          <w:color w:val="000000"/>
          <w:spacing w:val="0"/>
          <w:w w:val="100"/>
          <w:position w:val="0"/>
        </w:rPr>
        <w:t>海南大学法学院</w:t>
      </w:r>
    </w:p>
    <w:p w14:paraId="16BC6EBF">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1D7677ED">
      <w:pPr>
        <w:pStyle w:val="17"/>
        <w:keepNext w:val="0"/>
        <w:keepLines w:val="0"/>
        <w:widowControl w:val="0"/>
        <w:shd w:val="clear" w:color="auto" w:fill="auto"/>
        <w:bidi w:val="0"/>
        <w:spacing w:before="0" w:after="360" w:line="343" w:lineRule="exact"/>
        <w:ind w:left="0" w:right="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 xml:space="preserve">26 </w:t>
      </w:r>
      <w:r>
        <w:rPr>
          <w:rFonts w:ascii="Times New Roman" w:hAnsi="Times New Roman" w:eastAsia="Times New Roman" w:cs="Times New Roman"/>
          <w:color w:val="000000"/>
          <w:spacing w:val="0"/>
          <w:w w:val="100"/>
          <w:position w:val="0"/>
          <w:sz w:val="19"/>
          <w:szCs w:val="19"/>
          <w:lang w:val="en-US" w:eastAsia="en-US" w:bidi="en-US"/>
        </w:rPr>
        <w:t xml:space="preserve">H </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时许，同住淮南市田家庵区老龙眼洞泉村的尹瑞军与颜礼奎因小 区菜地问题发生口角并厮打，颜礼奎持刀将尹瑞军捅伤。随后，尹瑞军被送往淮南市东方 医院集团总医院治疗，事后出院。</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日，淮南市田家庵区人民法院作出（</w:t>
      </w:r>
      <w:r>
        <w:rPr>
          <w:rFonts w:ascii="Times New Roman" w:hAnsi="Times New Roman" w:eastAsia="Times New Roman" w:cs="Times New Roman"/>
          <w:color w:val="000000"/>
          <w:spacing w:val="0"/>
          <w:w w:val="100"/>
          <w:position w:val="0"/>
          <w:sz w:val="19"/>
          <w:szCs w:val="19"/>
        </w:rPr>
        <w:t xml:space="preserve">2013） </w:t>
      </w:r>
      <w:r>
        <w:rPr>
          <w:color w:val="000000"/>
          <w:spacing w:val="0"/>
          <w:w w:val="100"/>
          <w:position w:val="0"/>
        </w:rPr>
        <w:t>田刑初字第</w:t>
      </w:r>
      <w:r>
        <w:rPr>
          <w:rFonts w:ascii="Times New Roman" w:hAnsi="Times New Roman" w:eastAsia="Times New Roman" w:cs="Times New Roman"/>
          <w:color w:val="000000"/>
          <w:spacing w:val="0"/>
          <w:w w:val="100"/>
          <w:position w:val="0"/>
          <w:sz w:val="19"/>
          <w:szCs w:val="19"/>
        </w:rPr>
        <w:t>00346</w:t>
      </w:r>
      <w:r>
        <w:rPr>
          <w:color w:val="000000"/>
          <w:spacing w:val="0"/>
          <w:w w:val="100"/>
          <w:position w:val="0"/>
        </w:rPr>
        <w:t>号刑事判决，认定颜礼奎犯故意伤害罪，并判处有期徒刑一年零三个月。 后尹瑞军另行提起民事诉讼。在该案一审过程中，法院委托司法鉴定机构依法出具鉴定意 见书，鉴定结论中包含瑞军的伤情相当于道路交通事故十级伤残。尹瑞军的诉请包含要求 被告颜礼奎支付残疾赔偿金和精神损害抚慰金等在内。该案一审法院以非物质损失为由 未支持尹瑞军的两项诉讼请求;二审法院认为</w:t>
      </w:r>
      <w:r>
        <w:rPr>
          <w:color w:val="000000"/>
          <w:spacing w:val="0"/>
          <w:w w:val="100"/>
          <w:position w:val="0"/>
          <w:lang w:val="zh-CN" w:eastAsia="zh-CN" w:bidi="zh-CN"/>
        </w:rPr>
        <w:t>“残疾</w:t>
      </w:r>
      <w:r>
        <w:rPr>
          <w:color w:val="000000"/>
          <w:spacing w:val="0"/>
          <w:w w:val="100"/>
          <w:position w:val="0"/>
        </w:rPr>
        <w:t>赔偿金</w:t>
      </w:r>
      <w:r>
        <w:rPr>
          <w:color w:val="000000"/>
          <w:spacing w:val="0"/>
          <w:w w:val="100"/>
          <w:position w:val="0"/>
          <w:lang w:val="zh-CN" w:eastAsia="zh-CN" w:bidi="zh-CN"/>
        </w:rPr>
        <w:t>”属</w:t>
      </w:r>
      <w:r>
        <w:rPr>
          <w:color w:val="000000"/>
          <w:spacing w:val="0"/>
          <w:w w:val="100"/>
          <w:position w:val="0"/>
        </w:rPr>
        <w:t>于物质损失，应当予以赔偿, 但不应支持原告尹瑞军提出的精神损害抚慰金这一诉讼请求。</w:t>
      </w:r>
    </w:p>
    <w:p w14:paraId="222617AD">
      <w:pPr>
        <w:pStyle w:val="11"/>
        <w:keepNext w:val="0"/>
        <w:keepLines w:val="0"/>
        <w:widowControl w:val="0"/>
        <w:shd w:val="clear" w:color="auto" w:fill="auto"/>
        <w:bidi w:val="0"/>
        <w:spacing w:before="0" w:after="80" w:line="341"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36E4D83D">
      <w:pPr>
        <w:pStyle w:val="17"/>
        <w:keepNext w:val="0"/>
        <w:keepLines w:val="0"/>
        <w:widowControl w:val="0"/>
        <w:shd w:val="clear" w:color="auto" w:fill="auto"/>
        <w:bidi w:val="0"/>
        <w:spacing w:before="0" w:after="0" w:line="339" w:lineRule="exact"/>
        <w:ind w:left="0" w:right="0"/>
        <w:jc w:val="left"/>
      </w:pPr>
      <w:r>
        <w:rPr>
          <w:color w:val="000000"/>
          <w:spacing w:val="0"/>
          <w:w w:val="100"/>
          <w:position w:val="0"/>
        </w:rPr>
        <w:t>支持残疾赔偿金诉请，驳回精神损害抚慰金诉请。</w:t>
      </w:r>
    </w:p>
    <w:p w14:paraId="1EFC4B47">
      <w:pPr>
        <w:pStyle w:val="17"/>
        <w:keepNext w:val="0"/>
        <w:keepLines w:val="0"/>
        <w:widowControl w:val="0"/>
        <w:shd w:val="clear" w:color="auto" w:fill="auto"/>
        <w:bidi w:val="0"/>
        <w:spacing w:before="0" w:after="160" w:line="339" w:lineRule="exact"/>
        <w:ind w:left="0" w:right="0"/>
        <w:jc w:val="both"/>
        <w:sectPr>
          <w:headerReference r:id="rId525" w:type="default"/>
          <w:headerReference r:id="rId526" w:type="even"/>
          <w:footnotePr>
            <w:numFmt w:val="chicago"/>
          </w:footnotePr>
          <w:pgSz w:w="10099" w:h="14782"/>
          <w:pgMar w:top="1297" w:right="1050" w:bottom="1117" w:left="1025" w:header="869" w:footer="689" w:gutter="0"/>
          <w:pgNumType w:start="465"/>
          <w:cols w:space="720" w:num="1"/>
          <w:rtlGutter w:val="0"/>
          <w:docGrid w:linePitch="360" w:charSpace="0"/>
        </w:sectPr>
      </w:pPr>
      <w:r>
        <w:rPr>
          <w:color w:val="000000"/>
          <w:spacing w:val="0"/>
          <w:w w:val="100"/>
          <w:position w:val="0"/>
        </w:rPr>
        <w:t>对于刑事案件的受害人因犯罪行为受到身体伤害，未提起刑事附带民事诉讼，而是 另行提起民事侵权诉讼，并主张残疾赔偿金和精神损害抚慰金的情形，应作如下处理:对 于精神抚慰金的诉讼请求，因被告人被判处刑罚对受害人而言已经是一种精神上的抚 慰，且精神抚慰金不属于物质损失的范畴，故对于刑事案件受害人的这一诉请不应予 以支持;对于残疾赔偿金的诉讼请求，因侵权行为造成受害人残疾的，必然会对受害人 今后的生活和工作造成影响，造成受害人的生活成本增加或者劳动能力下降，进而变 相地减少了受害人的物质收入，故残疾赔偿金应属于物质损失的范畴，该诉讼请求有 明确的民事法律依据，也更符合公平原则，故对刑事案件被害人的这一诉请应予以支 持。</w:t>
      </w:r>
    </w:p>
    <w:p w14:paraId="2A0AC8DD">
      <w:pPr>
        <w:pStyle w:val="11"/>
        <w:keepNext w:val="0"/>
        <w:keepLines w:val="0"/>
        <w:widowControl w:val="0"/>
        <w:shd w:val="clear" w:color="auto" w:fill="auto"/>
        <w:bidi w:val="0"/>
        <w:spacing w:before="0" w:after="140" w:line="343" w:lineRule="exact"/>
        <w:ind w:left="0" w:right="0" w:firstLine="0"/>
        <w:jc w:val="both"/>
      </w:pPr>
      <w:r>
        <w:rPr>
          <w:color w:val="000000"/>
          <w:spacing w:val="0"/>
          <w:w w:val="100"/>
          <w:position w:val="0"/>
        </w:rPr>
        <w:t>■评析</w:t>
      </w:r>
    </w:p>
    <w:p w14:paraId="139AE291">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本判决的思路和评价</w:t>
      </w:r>
    </w:p>
    <w:p w14:paraId="5795F4CA">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本案中，对于侵犯人身权利的犯罪行为所引起的民事赔偿范围应否包含精神损失和残 疾赔偿金的问题，二审法院在不突破现行司法解释明确否定精神损害抚慰金的前提下，从 民事法律依据、公平责任、可以解释成物质损失三个维度出发,最终得出了刑事案件的受害 人因犯罪行为受到身体伤害时，虽然不能依法主张精神损害抚慰金,但是有权主张残疾赔 偿金。该案本质上遵循否定残疾补偿金属于精神损害抚慰金性质的裁判思路，一定程度上 变相突破了涉刑案件不能支持精神损害赔偿的规定。</w:t>
      </w:r>
    </w:p>
    <w:p w14:paraId="07445725">
      <w:pPr>
        <w:pStyle w:val="17"/>
        <w:keepNext w:val="0"/>
        <w:keepLines w:val="0"/>
        <w:widowControl w:val="0"/>
        <w:shd w:val="clear" w:color="auto" w:fill="auto"/>
        <w:bidi w:val="0"/>
        <w:spacing w:before="0" w:after="180" w:line="343" w:lineRule="exact"/>
        <w:ind w:left="0" w:right="0" w:firstLine="420"/>
        <w:jc w:val="both"/>
      </w:pPr>
      <w:r>
        <w:rPr>
          <w:color w:val="000000"/>
          <w:spacing w:val="0"/>
          <w:w w:val="100"/>
          <w:position w:val="0"/>
        </w:rPr>
        <w:t>应当说，本判决在现行规则之下通过解释学的方法最大限度地扩大刑事案件受害人所 能主张的民事赔偿范围,具有积极价值,值得肯定。</w:t>
      </w:r>
    </w:p>
    <w:p w14:paraId="510BF565">
      <w:pPr>
        <w:pStyle w:val="17"/>
        <w:keepNext w:val="0"/>
        <w:keepLines w:val="0"/>
        <w:widowControl w:val="0"/>
        <w:shd w:val="clear" w:color="auto" w:fill="auto"/>
        <w:bidi w:val="0"/>
        <w:spacing w:before="0" w:after="140" w:line="343"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犯罪行为造成被害人人身损害时民事赔偿范围的规范与学理</w:t>
      </w:r>
    </w:p>
    <w:p w14:paraId="2F517713">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就犯罪行为造成被害人人身损害的民事赔偿范围而言，从现行有效的规定来看，主要 可分为法律和司法解释两类，从分属部门法的视角来看则包含了民事法律规范与刑事法律 规范。</w:t>
      </w:r>
    </w:p>
    <w:p w14:paraId="70F2BA72">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就刑事法律规范而言，《刑法》第</w:t>
      </w:r>
      <w:r>
        <w:rPr>
          <w:rFonts w:ascii="Times New Roman" w:hAnsi="Times New Roman" w:eastAsia="Times New Roman" w:cs="Times New Roman"/>
          <w:color w:val="000000"/>
          <w:spacing w:val="0"/>
          <w:w w:val="100"/>
          <w:position w:val="0"/>
          <w:sz w:val="19"/>
          <w:szCs w:val="19"/>
        </w:rPr>
        <w:t>36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w:t>
      </w:r>
      <w:r>
        <w:rPr>
          <w:color w:val="000000"/>
          <w:spacing w:val="0"/>
          <w:w w:val="100"/>
          <w:position w:val="0"/>
          <w:lang w:val="zh-CN" w:eastAsia="zh-CN" w:bidi="zh-CN"/>
        </w:rPr>
        <w:t>“由于</w:t>
      </w:r>
      <w:r>
        <w:rPr>
          <w:color w:val="000000"/>
          <w:spacing w:val="0"/>
          <w:w w:val="100"/>
          <w:position w:val="0"/>
        </w:rPr>
        <w:t>犯罪行为而使被害人遭受经 济损失的，对犯罪分子除依法给予刑事处罚外,并应根据情况判处赔偿经济损失。</w:t>
      </w:r>
      <w:r>
        <w:rPr>
          <w:color w:val="000000"/>
          <w:spacing w:val="0"/>
          <w:w w:val="100"/>
          <w:position w:val="0"/>
          <w:lang w:val="zh-CN" w:eastAsia="zh-CN" w:bidi="zh-CN"/>
        </w:rPr>
        <w:t>”《刑</w:t>
      </w:r>
      <w:r>
        <w:rPr>
          <w:color w:val="000000"/>
          <w:spacing w:val="0"/>
          <w:w w:val="100"/>
          <w:position w:val="0"/>
        </w:rPr>
        <w:t>事诉 讼法》第</w:t>
      </w:r>
      <w:r>
        <w:rPr>
          <w:rFonts w:ascii="Times New Roman" w:hAnsi="Times New Roman" w:eastAsia="Times New Roman" w:cs="Times New Roman"/>
          <w:color w:val="000000"/>
          <w:spacing w:val="0"/>
          <w:w w:val="100"/>
          <w:position w:val="0"/>
          <w:sz w:val="19"/>
          <w:szCs w:val="19"/>
        </w:rPr>
        <w:t>101</w:t>
      </w:r>
      <w:r>
        <w:rPr>
          <w:color w:val="000000"/>
          <w:spacing w:val="0"/>
          <w:w w:val="100"/>
          <w:position w:val="0"/>
        </w:rPr>
        <w:t>条规定:“被害人由于被告人的犯罪行为而遭受物质损失的，在刑事诉讼过程 中，有权提起附带民事诉讼。……”由此可知，无论是现行《刑法》还是《刑事诉讼法》，其明 确列举的犯罪行为引起的民事赔偿范围均限于</w:t>
      </w:r>
      <w:r>
        <w:rPr>
          <w:color w:val="000000"/>
          <w:spacing w:val="0"/>
          <w:w w:val="100"/>
          <w:position w:val="0"/>
          <w:lang w:val="zh-CN" w:eastAsia="zh-CN" w:bidi="zh-CN"/>
        </w:rPr>
        <w:t>“经</w:t>
      </w:r>
      <w:r>
        <w:rPr>
          <w:color w:val="000000"/>
          <w:spacing w:val="0"/>
          <w:w w:val="100"/>
          <w:position w:val="0"/>
        </w:rPr>
        <w:t>济损失</w:t>
      </w:r>
      <w:r>
        <w:rPr>
          <w:color w:val="000000"/>
          <w:spacing w:val="0"/>
          <w:w w:val="100"/>
          <w:position w:val="0"/>
          <w:lang w:val="zh-CN" w:eastAsia="zh-CN" w:bidi="zh-CN"/>
        </w:rPr>
        <w:t>”“物</w:t>
      </w:r>
      <w:r>
        <w:rPr>
          <w:color w:val="000000"/>
          <w:spacing w:val="0"/>
          <w:w w:val="100"/>
          <w:position w:val="0"/>
        </w:rPr>
        <w:t>质损失</w:t>
      </w:r>
      <w:r>
        <w:rPr>
          <w:color w:val="000000"/>
          <w:spacing w:val="0"/>
          <w:w w:val="100"/>
          <w:position w:val="0"/>
          <w:lang w:val="zh-CN" w:eastAsia="zh-CN" w:bidi="zh-CN"/>
        </w:rPr>
        <w:t>”，本</w:t>
      </w:r>
      <w:r>
        <w:rPr>
          <w:color w:val="000000"/>
          <w:spacing w:val="0"/>
          <w:w w:val="100"/>
          <w:position w:val="0"/>
        </w:rPr>
        <w:t>身就是否应当赔 偿精神损失并未规定。但相关刑事领域的司法解释对此整体上持否定立场,且先后出台的 相关司法解释内部可谓保持了连续性</w:t>
      </w:r>
      <w:r>
        <w:rPr>
          <w:color w:val="000000"/>
          <w:spacing w:val="0"/>
          <w:w w:val="100"/>
          <w:position w:val="0"/>
          <w:lang w:val="en-US" w:eastAsia="en-US" w:bidi="en-US"/>
        </w:rPr>
        <w:t>一一</w:t>
      </w:r>
      <w:r>
        <w:rPr>
          <w:color w:val="000000"/>
          <w:spacing w:val="0"/>
          <w:w w:val="100"/>
          <w:position w:val="0"/>
        </w:rPr>
        <w:t>最高人民法院《关于适用〈中华人民共和国刑事 诉讼法〉的解释》［法释</w:t>
      </w:r>
      <w:r>
        <w:rPr>
          <w:rFonts w:ascii="Times New Roman" w:hAnsi="Times New Roman" w:eastAsia="Times New Roman" w:cs="Times New Roman"/>
          <w:color w:val="000000"/>
          <w:spacing w:val="0"/>
          <w:w w:val="100"/>
          <w:position w:val="0"/>
          <w:sz w:val="19"/>
          <w:szCs w:val="19"/>
        </w:rPr>
        <w:t>(2012)21</w:t>
      </w:r>
      <w:r>
        <w:rPr>
          <w:color w:val="000000"/>
          <w:spacing w:val="0"/>
          <w:w w:val="100"/>
          <w:position w:val="0"/>
        </w:rPr>
        <w:t>号］(以下简称《刑事诉讼法司法解释》)第</w:t>
      </w:r>
      <w:r>
        <w:rPr>
          <w:rFonts w:ascii="Times New Roman" w:hAnsi="Times New Roman" w:eastAsia="Times New Roman" w:cs="Times New Roman"/>
          <w:color w:val="000000"/>
          <w:spacing w:val="0"/>
          <w:w w:val="100"/>
          <w:position w:val="0"/>
          <w:sz w:val="19"/>
          <w:szCs w:val="19"/>
        </w:rPr>
        <w:t>138</w:t>
      </w:r>
      <w:r>
        <w:rPr>
          <w:color w:val="000000"/>
          <w:spacing w:val="0"/>
          <w:w w:val="100"/>
          <w:position w:val="0"/>
        </w:rPr>
        <w:t xml:space="preserve">条规定: </w:t>
      </w:r>
      <w:r>
        <w:rPr>
          <w:color w:val="000000"/>
          <w:spacing w:val="0"/>
          <w:w w:val="100"/>
          <w:position w:val="0"/>
          <w:lang w:val="zh-CN" w:eastAsia="zh-CN" w:bidi="zh-CN"/>
        </w:rPr>
        <w:t>“被</w:t>
      </w:r>
      <w:r>
        <w:rPr>
          <w:color w:val="000000"/>
          <w:spacing w:val="0"/>
          <w:w w:val="100"/>
          <w:position w:val="0"/>
        </w:rPr>
        <w:t>害人因人身权利受到犯罪侵犯或者财物被犯罪分子毁坏而遭受物质损失的，有权在刑 事诉讼过程中提起附带民事诉讼;被害人死亡或者丧失行为能力的，其法定代理人、近亲属 有权提起附带民事诉讼。”“因受到犯罪侵犯，提起附带民事诉讼或者单独提起民事诉讼要 求赔偿精神损失的，人民法院不予受理</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155</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款和第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款分别规定:</w:t>
      </w:r>
      <w:r>
        <w:rPr>
          <w:color w:val="000000"/>
          <w:spacing w:val="0"/>
          <w:w w:val="100"/>
          <w:position w:val="0"/>
          <w:lang w:val="zh-CN" w:eastAsia="zh-CN" w:bidi="zh-CN"/>
        </w:rPr>
        <w:t>“犯罪</w:t>
      </w:r>
      <w:r>
        <w:rPr>
          <w:color w:val="000000"/>
          <w:spacing w:val="0"/>
          <w:w w:val="100"/>
          <w:position w:val="0"/>
        </w:rPr>
        <w:t>行为造 成被害人人身损害的，应当赔偿医疗费、护理费、交通费等为治疗和康复支付的合理费用， 以及因误工减少的收入。造成被害人残疾的，还应当赔偿残疾生活辅助具费等费用;造成 被害人死亡的，还应当赔偿丧葬费等费用。</w:t>
      </w:r>
      <w:r>
        <w:rPr>
          <w:color w:val="000000"/>
          <w:spacing w:val="0"/>
          <w:w w:val="100"/>
          <w:position w:val="0"/>
          <w:lang w:val="zh-CN" w:eastAsia="zh-CN" w:bidi="zh-CN"/>
        </w:rPr>
        <w:t>”“驾</w:t>
      </w:r>
      <w:r>
        <w:rPr>
          <w:color w:val="000000"/>
          <w:spacing w:val="0"/>
          <w:w w:val="100"/>
          <w:position w:val="0"/>
        </w:rPr>
        <w:t>驶机动车致人伤亡或者造成公私财产重大 损失，构成犯罪的，依照《中华人民共和国道路交通安全法》第七十六条的规定确定赔偿责 任</w:t>
      </w:r>
      <w:r>
        <w:rPr>
          <w:color w:val="000000"/>
          <w:spacing w:val="0"/>
          <w:w w:val="100"/>
          <w:position w:val="0"/>
          <w:lang w:val="zh-CN" w:eastAsia="zh-CN" w:bidi="zh-CN"/>
        </w:rPr>
        <w:t>。”由</w:t>
      </w:r>
      <w:r>
        <w:rPr>
          <w:color w:val="000000"/>
          <w:spacing w:val="0"/>
          <w:w w:val="100"/>
          <w:position w:val="0"/>
        </w:rPr>
        <w:t>此可知，刑事领域的相关司法解释既没有明确肯定，也没有明确排斥残疾赔偿金和 死亡赔偿金的适用,但确实否定了刑事案件受害人可以通过刑事附带民事诉讼的方式或单 独民事诉讼的方式主张精神损害抚慰金的权利。对于刑事案件受害人不能主张精神损害 赔偿这一点，事实上,最高人民法院最早在</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日出台的最高人民法院《关于印 发〈全国法院维护农村稳定刑事审判工作座谈会纪要〉的通知》［法</w:t>
      </w:r>
      <w:r>
        <w:rPr>
          <w:rFonts w:ascii="Times New Roman" w:hAnsi="Times New Roman" w:eastAsia="Times New Roman" w:cs="Times New Roman"/>
          <w:color w:val="000000"/>
          <w:spacing w:val="0"/>
          <w:w w:val="100"/>
          <w:position w:val="0"/>
          <w:sz w:val="19"/>
          <w:szCs w:val="19"/>
        </w:rPr>
        <w:t>（1999）217</w:t>
      </w:r>
      <w:r>
        <w:rPr>
          <w:color w:val="000000"/>
          <w:spacing w:val="0"/>
          <w:w w:val="100"/>
          <w:position w:val="0"/>
        </w:rPr>
        <w:t>号］中就有所 体现,而后在</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日施行的最高人民法院《关于刑事附带民事诉讼范围问题的 规定》［法释</w:t>
      </w:r>
      <w:r>
        <w:rPr>
          <w:rFonts w:ascii="Times New Roman" w:hAnsi="Times New Roman" w:eastAsia="Times New Roman" w:cs="Times New Roman"/>
          <w:color w:val="000000"/>
          <w:spacing w:val="0"/>
          <w:w w:val="100"/>
          <w:position w:val="0"/>
          <w:sz w:val="19"/>
          <w:szCs w:val="19"/>
        </w:rPr>
        <w:t>（2000）47</w:t>
      </w:r>
      <w:r>
        <w:rPr>
          <w:color w:val="000000"/>
          <w:spacing w:val="0"/>
          <w:w w:val="100"/>
          <w:position w:val="0"/>
        </w:rPr>
        <w:t>号］（已失效）中再次予以明确。特别值得一提的是，在</w:t>
      </w: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 xml:space="preserve">年《刑事 诉讼法》修改之前,最高人民法院《关于刑事附带民事诉讼赔偿范围问题的答复》［法办 </w:t>
      </w:r>
      <w:r>
        <w:rPr>
          <w:rFonts w:ascii="Times New Roman" w:hAnsi="Times New Roman" w:eastAsia="Times New Roman" w:cs="Times New Roman"/>
          <w:color w:val="000000"/>
          <w:spacing w:val="0"/>
          <w:w w:val="100"/>
          <w:position w:val="0"/>
          <w:sz w:val="19"/>
          <w:szCs w:val="19"/>
        </w:rPr>
        <w:t>（2011）159</w:t>
      </w:r>
      <w:r>
        <w:rPr>
          <w:color w:val="000000"/>
          <w:spacing w:val="0"/>
          <w:w w:val="100"/>
          <w:position w:val="0"/>
        </w:rPr>
        <w:t>号］曾明确表态,</w:t>
      </w:r>
      <w:r>
        <w:rPr>
          <w:color w:val="000000"/>
          <w:spacing w:val="0"/>
          <w:w w:val="100"/>
          <w:position w:val="0"/>
          <w:lang w:val="zh-CN" w:eastAsia="zh-CN" w:bidi="zh-CN"/>
        </w:rPr>
        <w:t>“附带</w:t>
      </w:r>
      <w:r>
        <w:rPr>
          <w:color w:val="000000"/>
          <w:spacing w:val="0"/>
          <w:w w:val="100"/>
          <w:position w:val="0"/>
        </w:rPr>
        <w:t>民事诉讼案件依法只应赔偿直接物质损失，即按照犯罪 行为给被害人造成的实际损害赔偿，一般不包括死亡赔偿金和残疾赔偿金</w:t>
      </w:r>
      <w:r>
        <w:rPr>
          <w:color w:val="000000"/>
          <w:spacing w:val="0"/>
          <w:w w:val="100"/>
          <w:position w:val="0"/>
          <w:lang w:val="zh-CN" w:eastAsia="zh-CN" w:bidi="zh-CN"/>
        </w:rPr>
        <w:t>”，从</w:t>
      </w:r>
      <w:r>
        <w:rPr>
          <w:color w:val="000000"/>
          <w:spacing w:val="0"/>
          <w:w w:val="100"/>
          <w:position w:val="0"/>
        </w:rPr>
        <w:t>而在一定程 度上确立了刑事案件受害人也不能主张</w:t>
      </w:r>
      <w:r>
        <w:rPr>
          <w:color w:val="000000"/>
          <w:spacing w:val="0"/>
          <w:w w:val="100"/>
          <w:position w:val="0"/>
          <w:lang w:val="zh-CN" w:eastAsia="zh-CN" w:bidi="zh-CN"/>
        </w:rPr>
        <w:t>“两金”的</w:t>
      </w:r>
      <w:r>
        <w:rPr>
          <w:color w:val="000000"/>
          <w:spacing w:val="0"/>
          <w:w w:val="100"/>
          <w:position w:val="0"/>
        </w:rPr>
        <w:t>司法裁判立场。但《刑事诉讼法司法解 释</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日施行）并未吸收这一规则。与此同时，前述司法解释就交通肇事罪的 民事赔偿范围则指引适用《道路交通安全法》第</w:t>
      </w:r>
      <w:r>
        <w:rPr>
          <w:rFonts w:ascii="Times New Roman" w:hAnsi="Times New Roman" w:eastAsia="Times New Roman" w:cs="Times New Roman"/>
          <w:color w:val="000000"/>
          <w:spacing w:val="0"/>
          <w:w w:val="100"/>
          <w:position w:val="0"/>
          <w:sz w:val="19"/>
          <w:szCs w:val="19"/>
        </w:rPr>
        <w:t>76</w:t>
      </w:r>
      <w:r>
        <w:rPr>
          <w:color w:val="000000"/>
          <w:spacing w:val="0"/>
          <w:w w:val="100"/>
          <w:position w:val="0"/>
        </w:rPr>
        <w:t>条的规定,从而为得岀交通肇事罪受害 人所主张的民事赔偿应包含残疾（死亡）赔偿金和精神损害抚慰金这一结论提供了明确依 据。</w:t>
      </w:r>
    </w:p>
    <w:p w14:paraId="4D287333">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就民事法律规范而言，《民法典》第</w:t>
      </w:r>
      <w:r>
        <w:rPr>
          <w:rFonts w:ascii="Times New Roman" w:hAnsi="Times New Roman" w:eastAsia="Times New Roman" w:cs="Times New Roman"/>
          <w:color w:val="000000"/>
          <w:spacing w:val="0"/>
          <w:w w:val="100"/>
          <w:position w:val="0"/>
          <w:sz w:val="19"/>
          <w:szCs w:val="19"/>
          <w:lang w:val="en-US" w:eastAsia="en-US" w:bidi="en-US"/>
        </w:rPr>
        <w:t>H79</w:t>
      </w:r>
      <w:r>
        <w:rPr>
          <w:color w:val="000000"/>
          <w:spacing w:val="0"/>
          <w:w w:val="100"/>
          <w:position w:val="0"/>
        </w:rPr>
        <w:t>条延续了先前《侵权责任法》第</w:t>
      </w:r>
      <w:r>
        <w:rPr>
          <w:rFonts w:ascii="Times New Roman" w:hAnsi="Times New Roman" w:eastAsia="Times New Roman" w:cs="Times New Roman"/>
          <w:color w:val="000000"/>
          <w:spacing w:val="0"/>
          <w:w w:val="100"/>
          <w:position w:val="0"/>
          <w:sz w:val="19"/>
          <w:szCs w:val="19"/>
        </w:rPr>
        <w:t>16</w:t>
      </w:r>
      <w:r>
        <w:rPr>
          <w:color w:val="000000"/>
          <w:spacing w:val="0"/>
          <w:w w:val="100"/>
          <w:position w:val="0"/>
        </w:rPr>
        <w:t>条的立场， 规定:</w:t>
      </w:r>
      <w:r>
        <w:rPr>
          <w:color w:val="000000"/>
          <w:spacing w:val="0"/>
          <w:w w:val="100"/>
          <w:position w:val="0"/>
          <w:lang w:val="zh-CN" w:eastAsia="zh-CN" w:bidi="zh-CN"/>
        </w:rPr>
        <w:t>“侵害</w:t>
      </w:r>
      <w:r>
        <w:rPr>
          <w:color w:val="000000"/>
          <w:spacing w:val="0"/>
          <w:w w:val="100"/>
          <w:position w:val="0"/>
        </w:rPr>
        <w:t>他人造成人身损害的，应当赔偿医疗费、护理费、交通费、营养费、住院伙食补助 费等为治疗和康复支出的合理费用，以及因误工减少的收入。造成残疾的,还应当赔偿辅 助器具费和残疾赔偿金;造成死亡的,还应当赔偿丧葬费和死亡赔偿金。</w:t>
      </w:r>
      <w:r>
        <w:rPr>
          <w:color w:val="000000"/>
          <w:spacing w:val="0"/>
          <w:w w:val="100"/>
          <w:position w:val="0"/>
          <w:lang w:val="zh-CN" w:eastAsia="zh-CN" w:bidi="zh-CN"/>
        </w:rPr>
        <w:t>”《民</w:t>
      </w:r>
      <w:r>
        <w:rPr>
          <w:color w:val="000000"/>
          <w:spacing w:val="0"/>
          <w:w w:val="100"/>
          <w:position w:val="0"/>
        </w:rPr>
        <w:t>法典》第</w:t>
      </w:r>
      <w:r>
        <w:rPr>
          <w:rFonts w:ascii="Times New Roman" w:hAnsi="Times New Roman" w:eastAsia="Times New Roman" w:cs="Times New Roman"/>
          <w:color w:val="000000"/>
          <w:spacing w:val="0"/>
          <w:w w:val="100"/>
          <w:position w:val="0"/>
          <w:sz w:val="19"/>
          <w:szCs w:val="19"/>
        </w:rPr>
        <w:t xml:space="preserve">1183 </w:t>
      </w:r>
      <w:r>
        <w:rPr>
          <w:color w:val="000000"/>
          <w:spacing w:val="0"/>
          <w:w w:val="100"/>
          <w:position w:val="0"/>
        </w:rPr>
        <w:t>条则合并了原《侵权责任法》第</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条和司法解释的相关立场，规定:“侵害自然人人身权益 造成严重精神损害的，被侵权人有权请求精神损害赔偿。</w:t>
      </w:r>
      <w:r>
        <w:rPr>
          <w:color w:val="000000"/>
          <w:spacing w:val="0"/>
          <w:w w:val="100"/>
          <w:position w:val="0"/>
          <w:lang w:val="zh-CN" w:eastAsia="zh-CN" w:bidi="zh-CN"/>
        </w:rPr>
        <w:t>”“因</w:t>
      </w:r>
      <w:r>
        <w:rPr>
          <w:color w:val="000000"/>
          <w:spacing w:val="0"/>
          <w:w w:val="100"/>
          <w:position w:val="0"/>
        </w:rPr>
        <w:t>故意或者重大过失侵害自然 人具有人身意义的特定物造成严重精神损害的，被侵权人有权请求精神损害赔偿</w:t>
      </w:r>
      <w:r>
        <w:rPr>
          <w:color w:val="000000"/>
          <w:spacing w:val="0"/>
          <w:w w:val="100"/>
          <w:position w:val="0"/>
          <w:lang w:val="zh-CN" w:eastAsia="zh-CN" w:bidi="zh-CN"/>
        </w:rPr>
        <w:t>。”由</w:t>
      </w:r>
      <w:r>
        <w:rPr>
          <w:color w:val="000000"/>
          <w:spacing w:val="0"/>
          <w:w w:val="100"/>
          <w:position w:val="0"/>
        </w:rPr>
        <w:t>此可 知,从民事法律规范的角度来说，《民法典》包括前民法典时代的相关民事法律规范均规定 侵犯人身权益造成他人伤残或者死亡的，需要赔付残疾赔偿金或死亡赔偿金;且侵犯自然 人人身权利的行为被认定为严重损害被害人精神时,侵权人需要承担精神损害赔偿责任 （需要支付精神损害抚慰金）；显然，造成他人伤残的行为自然应当认定为</w:t>
      </w:r>
      <w:r>
        <w:rPr>
          <w:color w:val="000000"/>
          <w:spacing w:val="0"/>
          <w:w w:val="100"/>
          <w:position w:val="0"/>
          <w:lang w:val="zh-CN" w:eastAsia="zh-CN" w:bidi="zh-CN"/>
        </w:rPr>
        <w:t>“严</w:t>
      </w:r>
      <w:r>
        <w:rPr>
          <w:color w:val="000000"/>
          <w:spacing w:val="0"/>
          <w:w w:val="100"/>
          <w:position w:val="0"/>
        </w:rPr>
        <w:t>重损害被害人 精神</w:t>
      </w:r>
      <w:r>
        <w:rPr>
          <w:color w:val="000000"/>
          <w:spacing w:val="0"/>
          <w:w w:val="100"/>
          <w:position w:val="0"/>
          <w:lang w:val="zh-CN" w:eastAsia="zh-CN" w:bidi="zh-CN"/>
        </w:rPr>
        <w:t>”的</w:t>
      </w:r>
      <w:r>
        <w:rPr>
          <w:color w:val="000000"/>
          <w:spacing w:val="0"/>
          <w:w w:val="100"/>
          <w:position w:val="0"/>
        </w:rPr>
        <w:t>情形。从这一点来说，《民法典》的立场与前民法典时代施行的最高人民法院《关于 确定民事侵权精神损害赔偿责任若干问题的解释》［法释</w:t>
      </w:r>
      <w:r>
        <w:rPr>
          <w:rFonts w:ascii="Times New Roman" w:hAnsi="Times New Roman" w:eastAsia="Times New Roman" w:cs="Times New Roman"/>
          <w:color w:val="000000"/>
          <w:spacing w:val="0"/>
          <w:w w:val="100"/>
          <w:position w:val="0"/>
          <w:sz w:val="19"/>
          <w:szCs w:val="19"/>
        </w:rPr>
        <w:t>（2001）7</w:t>
      </w:r>
      <w:r>
        <w:rPr>
          <w:color w:val="000000"/>
          <w:spacing w:val="0"/>
          <w:w w:val="100"/>
          <w:position w:val="0"/>
        </w:rPr>
        <w:t>号］（以下简称《精神损害 赔偿司法解释》）等民事类司法解释均保持了相同立场。</w:t>
      </w:r>
    </w:p>
    <w:p w14:paraId="2D095DAC">
      <w:pPr>
        <w:pStyle w:val="17"/>
        <w:keepNext w:val="0"/>
        <w:keepLines w:val="0"/>
        <w:widowControl w:val="0"/>
        <w:shd w:val="clear" w:color="auto" w:fill="auto"/>
        <w:bidi w:val="0"/>
        <w:spacing w:before="0" w:after="300" w:line="343" w:lineRule="exact"/>
        <w:ind w:left="0" w:right="0"/>
        <w:jc w:val="both"/>
        <w:rPr>
          <w:sz w:val="11"/>
          <w:szCs w:val="11"/>
        </w:rPr>
      </w:pPr>
      <w:r>
        <w:rPr>
          <w:color w:val="000000"/>
          <w:spacing w:val="0"/>
          <w:w w:val="100"/>
          <w:position w:val="0"/>
          <w:sz w:val="18"/>
          <w:szCs w:val="18"/>
        </w:rPr>
        <w:t>就此，从学界研究来看，对于</w:t>
      </w:r>
      <w:r>
        <w:rPr>
          <w:color w:val="000000"/>
          <w:spacing w:val="0"/>
          <w:w w:val="100"/>
          <w:position w:val="0"/>
          <w:sz w:val="18"/>
          <w:szCs w:val="18"/>
          <w:lang w:val="zh-CN" w:eastAsia="zh-CN" w:bidi="zh-CN"/>
        </w:rPr>
        <w:t>“精</w:t>
      </w:r>
      <w:r>
        <w:rPr>
          <w:color w:val="000000"/>
          <w:spacing w:val="0"/>
          <w:w w:val="100"/>
          <w:position w:val="0"/>
          <w:sz w:val="18"/>
          <w:szCs w:val="18"/>
        </w:rPr>
        <w:t>神损害赔偿”的认识有一个明显的历史演变过程——新 中国成立初期的理论界认为精神损害赔偿属于对人的</w:t>
      </w:r>
      <w:r>
        <w:rPr>
          <w:color w:val="000000"/>
          <w:spacing w:val="0"/>
          <w:w w:val="100"/>
          <w:position w:val="0"/>
          <w:sz w:val="18"/>
          <w:szCs w:val="18"/>
          <w:lang w:val="zh-CN" w:eastAsia="zh-CN" w:bidi="zh-CN"/>
        </w:rPr>
        <w:t>“物化”，是</w:t>
      </w:r>
      <w:r>
        <w:rPr>
          <w:color w:val="000000"/>
          <w:spacing w:val="0"/>
          <w:w w:val="100"/>
          <w:position w:val="0"/>
          <w:sz w:val="18"/>
          <w:szCs w:val="18"/>
        </w:rPr>
        <w:t>资本主义腐朽思想的体 现,所以对其持绝对的抗拒态度</w:t>
      </w:r>
      <w:r>
        <w:rPr>
          <w:color w:val="000000"/>
          <w:spacing w:val="0"/>
          <w:w w:val="100"/>
          <w:position w:val="0"/>
          <w:sz w:val="11"/>
          <w:szCs w:val="11"/>
        </w:rPr>
        <w:t>（佟柔等主编:《民法概论》，中国人民大学出版社</w:t>
      </w:r>
      <w:r>
        <w:rPr>
          <w:rFonts w:ascii="Times New Roman" w:hAnsi="Times New Roman" w:eastAsia="Times New Roman" w:cs="Times New Roman"/>
          <w:color w:val="000000"/>
          <w:spacing w:val="0"/>
          <w:w w:val="100"/>
          <w:position w:val="0"/>
          <w:sz w:val="19"/>
          <w:szCs w:val="19"/>
        </w:rPr>
        <w:t>1982</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 xml:space="preserve">307 </w:t>
      </w:r>
      <w:r>
        <w:rPr>
          <w:color w:val="000000"/>
          <w:spacing w:val="0"/>
          <w:w w:val="100"/>
          <w:position w:val="0"/>
          <w:sz w:val="11"/>
          <w:szCs w:val="11"/>
        </w:rPr>
        <w:t>页；胡平:《精神损害赔偿制度研究》，中国政法大学出版社</w:t>
      </w:r>
      <w:r>
        <w:rPr>
          <w:rFonts w:ascii="Times New Roman" w:hAnsi="Times New Roman" w:eastAsia="Times New Roman" w:cs="Times New Roman"/>
          <w:color w:val="000000"/>
          <w:spacing w:val="0"/>
          <w:w w:val="100"/>
          <w:position w:val="0"/>
          <w:sz w:val="19"/>
          <w:szCs w:val="19"/>
        </w:rPr>
        <w:t>2003</w:t>
      </w:r>
      <w:r>
        <w:rPr>
          <w:color w:val="000000"/>
          <w:spacing w:val="0"/>
          <w:w w:val="100"/>
          <w:position w:val="0"/>
          <w:sz w:val="11"/>
          <w:szCs w:val="11"/>
        </w:rPr>
        <w:t>年版）。</w:t>
      </w:r>
      <w:r>
        <w:rPr>
          <w:color w:val="000000"/>
          <w:spacing w:val="0"/>
          <w:w w:val="100"/>
          <w:position w:val="0"/>
          <w:sz w:val="18"/>
          <w:szCs w:val="18"/>
        </w:rPr>
        <w:t>伴随着</w:t>
      </w:r>
      <w:r>
        <w:rPr>
          <w:rFonts w:ascii="Times New Roman" w:hAnsi="Times New Roman" w:eastAsia="Times New Roman" w:cs="Times New Roman"/>
          <w:color w:val="000000"/>
          <w:spacing w:val="0"/>
          <w:w w:val="100"/>
          <w:position w:val="0"/>
          <w:sz w:val="19"/>
          <w:szCs w:val="19"/>
        </w:rPr>
        <w:t>1986</w:t>
      </w:r>
      <w:r>
        <w:rPr>
          <w:color w:val="000000"/>
          <w:spacing w:val="0"/>
          <w:w w:val="100"/>
          <w:position w:val="0"/>
          <w:sz w:val="18"/>
          <w:szCs w:val="18"/>
        </w:rPr>
        <w:t>年原《民法通 则》的颁布及相关司法解释的出台，精神损害赔偿制度逐步成为学界共识，侵犯权利也从人 格权扩展成为人身权。因为《精神损害赔偿司法解释》第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sz w:val="18"/>
          <w:szCs w:val="18"/>
        </w:rPr>
        <w:t>条曾明确将残疾赔偿金和死亡 赔偿金作为精神损害抚慰金的表现形式,所以有论者认为当年《国家赔偿法》和《消费者权 益保护法》规定的死亡赔偿金和残疾赔偿金是完善我国精神损害赔偿制度上迈出的重要一 步</w:t>
      </w:r>
      <w:r>
        <w:rPr>
          <w:color w:val="000000"/>
          <w:spacing w:val="0"/>
          <w:w w:val="100"/>
          <w:position w:val="0"/>
          <w:sz w:val="11"/>
          <w:szCs w:val="11"/>
        </w:rPr>
        <w:t>（邵磊:《刑事附带民事案件精神损害赔偿问题研究》，载《河北法学》</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9"/>
          <w:szCs w:val="19"/>
        </w:rPr>
        <w:t>6</w:t>
      </w:r>
      <w:r>
        <w:rPr>
          <w:color w:val="000000"/>
          <w:spacing w:val="0"/>
          <w:w w:val="100"/>
          <w:position w:val="0"/>
          <w:sz w:val="11"/>
          <w:szCs w:val="11"/>
        </w:rPr>
        <w:t>期）。</w:t>
      </w:r>
      <w:r>
        <w:rPr>
          <w:color w:val="000000"/>
          <w:spacing w:val="0"/>
          <w:w w:val="100"/>
          <w:position w:val="0"/>
          <w:sz w:val="18"/>
          <w:szCs w:val="18"/>
        </w:rPr>
        <w:t>但是，最高 人民法院《关于审理人身损害赔偿案件适用法律若干问题的解释》［法释</w:t>
      </w:r>
      <w:r>
        <w:rPr>
          <w:rFonts w:ascii="Times New Roman" w:hAnsi="Times New Roman" w:eastAsia="Times New Roman" w:cs="Times New Roman"/>
          <w:color w:val="000000"/>
          <w:spacing w:val="0"/>
          <w:w w:val="100"/>
          <w:position w:val="0"/>
          <w:sz w:val="19"/>
          <w:szCs w:val="19"/>
        </w:rPr>
        <w:t>（2003）20</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 xml:space="preserve">17 </w:t>
      </w:r>
      <w:r>
        <w:rPr>
          <w:color w:val="000000"/>
          <w:spacing w:val="0"/>
          <w:w w:val="100"/>
          <w:position w:val="0"/>
          <w:sz w:val="18"/>
          <w:szCs w:val="18"/>
        </w:rPr>
        <w:t>条一定程度上重新界定了</w:t>
      </w:r>
      <w:r>
        <w:rPr>
          <w:color w:val="000000"/>
          <w:spacing w:val="0"/>
          <w:w w:val="100"/>
          <w:position w:val="0"/>
          <w:sz w:val="18"/>
          <w:szCs w:val="18"/>
          <w:lang w:val="zh-CN" w:eastAsia="zh-CN" w:bidi="zh-CN"/>
        </w:rPr>
        <w:t>“两金”的</w:t>
      </w:r>
      <w:r>
        <w:rPr>
          <w:color w:val="000000"/>
          <w:spacing w:val="0"/>
          <w:w w:val="100"/>
          <w:position w:val="0"/>
          <w:sz w:val="18"/>
          <w:szCs w:val="18"/>
        </w:rPr>
        <w:t>属性,故有学者认为，即使刑事诉讼法的相关司法解释 明确禁止刑事案件受害人主张支付精神损害抚慰金，受害人仍然可在民事赔偿中主张残疾 赔偿金和死亡赔偿金</w:t>
      </w:r>
      <w:r>
        <w:rPr>
          <w:color w:val="000000"/>
          <w:spacing w:val="0"/>
          <w:w w:val="100"/>
          <w:position w:val="0"/>
          <w:sz w:val="11"/>
          <w:szCs w:val="11"/>
        </w:rPr>
        <w:t>（张新宝：《侵权责任法原理》，中国人民大学出版社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527</w:t>
      </w:r>
      <w:r>
        <w:rPr>
          <w:color w:val="000000"/>
          <w:spacing w:val="0"/>
          <w:w w:val="100"/>
          <w:position w:val="0"/>
          <w:sz w:val="11"/>
          <w:szCs w:val="11"/>
        </w:rPr>
        <w:t>页）。</w:t>
      </w:r>
      <w:r>
        <w:rPr>
          <w:color w:val="000000"/>
          <w:spacing w:val="0"/>
          <w:w w:val="100"/>
          <w:position w:val="0"/>
          <w:sz w:val="18"/>
          <w:szCs w:val="18"/>
        </w:rPr>
        <w:t>最 高人民法院相关人士在对刑事诉讼法司法解释的理解著作中也曾持这一立场</w:t>
      </w:r>
      <w:r>
        <w:rPr>
          <w:color w:val="000000"/>
          <w:spacing w:val="0"/>
          <w:w w:val="100"/>
          <w:position w:val="0"/>
          <w:sz w:val="11"/>
          <w:szCs w:val="11"/>
        </w:rPr>
        <w:t>（江必新主编: 《最高人民法院刑事诉讼法司法解释理解与适用》，人民法院出版社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492</w:t>
      </w:r>
      <w:r>
        <w:rPr>
          <w:color w:val="000000"/>
          <w:spacing w:val="0"/>
          <w:w w:val="100"/>
          <w:position w:val="0"/>
          <w:sz w:val="11"/>
          <w:szCs w:val="11"/>
        </w:rPr>
        <w:t>页）。</w:t>
      </w:r>
      <w:r>
        <w:rPr>
          <w:color w:val="000000"/>
          <w:spacing w:val="0"/>
          <w:w w:val="100"/>
          <w:position w:val="0"/>
          <w:sz w:val="18"/>
          <w:szCs w:val="18"/>
        </w:rPr>
        <w:t>从应然层 面的分析来看，学界对刑事案件受害人有权主张精神损害抚慰金多持肯定立场，有论者就 明确认为《刑法》和《刑事诉讼法》中所言的“物质损失</w:t>
      </w:r>
      <w:r>
        <w:rPr>
          <w:color w:val="000000"/>
          <w:spacing w:val="0"/>
          <w:w w:val="100"/>
          <w:position w:val="0"/>
          <w:sz w:val="18"/>
          <w:szCs w:val="18"/>
          <w:lang w:val="zh-CN" w:eastAsia="zh-CN" w:bidi="zh-CN"/>
        </w:rPr>
        <w:t>”本身</w:t>
      </w:r>
      <w:r>
        <w:rPr>
          <w:color w:val="000000"/>
          <w:spacing w:val="0"/>
          <w:w w:val="100"/>
          <w:position w:val="0"/>
          <w:sz w:val="18"/>
          <w:szCs w:val="18"/>
        </w:rPr>
        <w:t>并不排斥精神损害赔偿的适 用，因为两者紧密相关，可互相转化</w:t>
      </w:r>
      <w:r>
        <w:rPr>
          <w:color w:val="000000"/>
          <w:spacing w:val="0"/>
          <w:w w:val="100"/>
          <w:position w:val="0"/>
          <w:sz w:val="11"/>
          <w:szCs w:val="11"/>
        </w:rPr>
        <w:t>（刘世友、赵向鸿:《刑事附带民事诉讼中精神损害赔偿问题研 究》，载《法律适用</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sz w:val="11"/>
          <w:szCs w:val="11"/>
        </w:rPr>
        <w:t>期）。</w:t>
      </w:r>
    </w:p>
    <w:p w14:paraId="15F9A93D">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5EABD6EC">
      <w:pPr>
        <w:pStyle w:val="17"/>
        <w:keepNext w:val="0"/>
        <w:keepLines w:val="0"/>
        <w:widowControl w:val="0"/>
        <w:shd w:val="clear" w:color="auto" w:fill="auto"/>
        <w:bidi w:val="0"/>
        <w:spacing w:before="0" w:after="0" w:line="341" w:lineRule="exact"/>
        <w:ind w:left="0" w:right="0" w:firstLine="420"/>
        <w:jc w:val="both"/>
        <w:rPr>
          <w:sz w:val="11"/>
          <w:szCs w:val="11"/>
        </w:rPr>
      </w:pPr>
      <w:r>
        <w:rPr>
          <w:color w:val="000000"/>
          <w:spacing w:val="0"/>
          <w:w w:val="100"/>
          <w:position w:val="0"/>
          <w:sz w:val="18"/>
          <w:szCs w:val="18"/>
        </w:rPr>
        <w:t>诚如前述，在现行司法解释明确否定刑事案件受害人享有主张精神损害抚慰金请求权 的情况下，尽管理论界与实务界人士都有观点主张受害人仍可在民事赔偿中主张“两金”， 司法实务也有判例持这一立场</w:t>
      </w:r>
      <w:r>
        <w:rPr>
          <w:color w:val="000000"/>
          <w:spacing w:val="0"/>
          <w:w w:val="100"/>
          <w:position w:val="0"/>
          <w:sz w:val="11"/>
          <w:szCs w:val="11"/>
        </w:rPr>
        <w:t>［甘肃省高级人民法院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甘民一终字第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1"/>
          <w:szCs w:val="11"/>
        </w:rPr>
        <w:t>号民事判决书］</w:t>
      </w:r>
      <w:r>
        <w:rPr>
          <w:color w:val="000000"/>
          <w:spacing w:val="0"/>
          <w:w w:val="100"/>
          <w:position w:val="0"/>
          <w:sz w:val="18"/>
          <w:szCs w:val="18"/>
        </w:rPr>
        <w:t>，但 司法实务整体上对刑事案件受害人主张</w:t>
      </w:r>
      <w:r>
        <w:rPr>
          <w:color w:val="000000"/>
          <w:spacing w:val="0"/>
          <w:w w:val="100"/>
          <w:position w:val="0"/>
          <w:sz w:val="18"/>
          <w:szCs w:val="18"/>
          <w:lang w:val="zh-CN" w:eastAsia="zh-CN" w:bidi="zh-CN"/>
        </w:rPr>
        <w:t>“两金”仍</w:t>
      </w:r>
      <w:r>
        <w:rPr>
          <w:color w:val="000000"/>
          <w:spacing w:val="0"/>
          <w:w w:val="100"/>
          <w:position w:val="0"/>
          <w:sz w:val="18"/>
          <w:szCs w:val="18"/>
        </w:rPr>
        <w:t>持否定立场,多认为</w:t>
      </w:r>
      <w:r>
        <w:rPr>
          <w:color w:val="000000"/>
          <w:spacing w:val="0"/>
          <w:w w:val="100"/>
          <w:position w:val="0"/>
          <w:sz w:val="18"/>
          <w:szCs w:val="18"/>
          <w:lang w:val="zh-CN" w:eastAsia="zh-CN" w:bidi="zh-CN"/>
        </w:rPr>
        <w:t>“两金”本</w:t>
      </w:r>
      <w:r>
        <w:rPr>
          <w:color w:val="000000"/>
          <w:spacing w:val="0"/>
          <w:w w:val="100"/>
          <w:position w:val="0"/>
          <w:sz w:val="18"/>
          <w:szCs w:val="18"/>
        </w:rPr>
        <w:t>质上仍然属 于精神损害抚慰金的范畴</w:t>
      </w:r>
      <w:r>
        <w:rPr>
          <w:color w:val="000000"/>
          <w:spacing w:val="0"/>
          <w:w w:val="100"/>
          <w:position w:val="0"/>
          <w:sz w:val="11"/>
          <w:szCs w:val="11"/>
        </w:rPr>
        <w:t>［陕西省高级人民法院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陕刑终</w:t>
      </w:r>
      <w:r>
        <w:rPr>
          <w:rFonts w:ascii="Times New Roman" w:hAnsi="Times New Roman" w:eastAsia="Times New Roman" w:cs="Times New Roman"/>
          <w:color w:val="000000"/>
          <w:spacing w:val="0"/>
          <w:w w:val="100"/>
          <w:position w:val="0"/>
          <w:sz w:val="17"/>
          <w:szCs w:val="17"/>
        </w:rPr>
        <w:t>338</w:t>
      </w:r>
      <w:r>
        <w:rPr>
          <w:color w:val="000000"/>
          <w:spacing w:val="0"/>
          <w:w w:val="100"/>
          <w:position w:val="0"/>
          <w:sz w:val="11"/>
          <w:szCs w:val="11"/>
        </w:rPr>
        <w:t>号刑事附带民事判决书；湖北省 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鄂孝感中刑终字第</w:t>
      </w:r>
      <w:r>
        <w:rPr>
          <w:rFonts w:ascii="Times New Roman" w:hAnsi="Times New Roman" w:eastAsia="Times New Roman" w:cs="Times New Roman"/>
          <w:color w:val="000000"/>
          <w:spacing w:val="0"/>
          <w:w w:val="100"/>
          <w:position w:val="0"/>
          <w:sz w:val="17"/>
          <w:szCs w:val="17"/>
        </w:rPr>
        <w:t>00036</w:t>
      </w:r>
      <w:r>
        <w:rPr>
          <w:color w:val="000000"/>
          <w:spacing w:val="0"/>
          <w:w w:val="100"/>
          <w:position w:val="0"/>
          <w:sz w:val="11"/>
          <w:szCs w:val="11"/>
        </w:rPr>
        <w:t>号刑事附带民事裁定书；四川省高级人民法院（</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sz w:val="11"/>
          <w:szCs w:val="11"/>
        </w:rPr>
        <w:t>刑终</w:t>
      </w:r>
      <w:r>
        <w:rPr>
          <w:rFonts w:ascii="Times New Roman" w:hAnsi="Times New Roman" w:eastAsia="Times New Roman" w:cs="Times New Roman"/>
          <w:color w:val="000000"/>
          <w:spacing w:val="0"/>
          <w:w w:val="100"/>
          <w:position w:val="0"/>
          <w:sz w:val="17"/>
          <w:szCs w:val="17"/>
        </w:rPr>
        <w:t>159</w:t>
      </w:r>
      <w:r>
        <w:rPr>
          <w:color w:val="000000"/>
          <w:spacing w:val="0"/>
          <w:w w:val="100"/>
          <w:position w:val="0"/>
          <w:sz w:val="11"/>
          <w:szCs w:val="11"/>
        </w:rPr>
        <w:t>号刑事附带民事判决书，等等］。</w:t>
      </w:r>
    </w:p>
    <w:p w14:paraId="48AA20CA">
      <w:pPr>
        <w:pStyle w:val="17"/>
        <w:keepNext w:val="0"/>
        <w:keepLines w:val="0"/>
        <w:widowControl w:val="0"/>
        <w:shd w:val="clear" w:color="auto" w:fill="auto"/>
        <w:bidi w:val="0"/>
        <w:spacing w:before="0" w:after="160" w:line="340" w:lineRule="exact"/>
        <w:ind w:left="0" w:right="0" w:firstLine="420"/>
        <w:jc w:val="both"/>
        <w:rPr>
          <w:sz w:val="11"/>
          <w:szCs w:val="11"/>
        </w:rPr>
      </w:pPr>
      <w:r>
        <w:rPr>
          <w:color w:val="000000"/>
          <w:spacing w:val="0"/>
          <w:w w:val="100"/>
          <w:position w:val="0"/>
          <w:sz w:val="18"/>
          <w:szCs w:val="18"/>
        </w:rPr>
        <w:t>源于司法解释的明文规定，就交通肇事罪之外的刑事案件，法院就精神损害抚慰金基 本上遵循了刑事案件受害人无权主张精神损害抚慰金请求权的立场</w:t>
      </w:r>
      <w:r>
        <w:rPr>
          <w:color w:val="000000"/>
          <w:spacing w:val="0"/>
          <w:w w:val="100"/>
          <w:position w:val="0"/>
          <w:sz w:val="11"/>
          <w:szCs w:val="11"/>
        </w:rPr>
        <w:t xml:space="preserve">［江西省高级人民法院 </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赣刑三终字第</w:t>
      </w:r>
      <w:r>
        <w:rPr>
          <w:rFonts w:ascii="Times New Roman" w:hAnsi="Times New Roman" w:eastAsia="Times New Roman" w:cs="Times New Roman"/>
          <w:color w:val="000000"/>
          <w:spacing w:val="0"/>
          <w:w w:val="100"/>
          <w:position w:val="0"/>
          <w:sz w:val="17"/>
          <w:szCs w:val="17"/>
        </w:rPr>
        <w:t>79</w:t>
      </w:r>
      <w:r>
        <w:rPr>
          <w:color w:val="000000"/>
          <w:spacing w:val="0"/>
          <w:w w:val="100"/>
          <w:position w:val="0"/>
          <w:sz w:val="11"/>
          <w:szCs w:val="11"/>
        </w:rPr>
        <w:t>号刑事附带民事判决书；河北省高级人民法院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冀刑四终字第</w:t>
      </w:r>
      <w:r>
        <w:rPr>
          <w:rFonts w:ascii="Times New Roman" w:hAnsi="Times New Roman" w:eastAsia="Times New Roman" w:cs="Times New Roman"/>
          <w:color w:val="000000"/>
          <w:spacing w:val="0"/>
          <w:w w:val="100"/>
          <w:position w:val="0"/>
          <w:sz w:val="17"/>
          <w:szCs w:val="17"/>
        </w:rPr>
        <w:t>76</w:t>
      </w:r>
      <w:r>
        <w:rPr>
          <w:color w:val="000000"/>
          <w:spacing w:val="0"/>
          <w:w w:val="100"/>
          <w:position w:val="0"/>
          <w:sz w:val="11"/>
          <w:szCs w:val="11"/>
        </w:rPr>
        <w:t>号刑事 附带民事判决书,等等］</w:t>
      </w:r>
      <w:r>
        <w:rPr>
          <w:color w:val="000000"/>
          <w:spacing w:val="0"/>
          <w:w w:val="100"/>
          <w:position w:val="0"/>
          <w:sz w:val="18"/>
          <w:szCs w:val="18"/>
        </w:rPr>
        <w:t>。但是就交通肇事罪的受害人能否主张精神损害抚慰金而言,裁判分 歧则相对较大，有法院完全依照《道路交通安全法》第</w:t>
      </w:r>
      <w:r>
        <w:rPr>
          <w:rFonts w:ascii="Times New Roman" w:hAnsi="Times New Roman" w:eastAsia="Times New Roman" w:cs="Times New Roman"/>
          <w:color w:val="000000"/>
          <w:spacing w:val="0"/>
          <w:w w:val="100"/>
          <w:position w:val="0"/>
          <w:sz w:val="17"/>
          <w:szCs w:val="17"/>
        </w:rPr>
        <w:t>76</w:t>
      </w:r>
      <w:r>
        <w:rPr>
          <w:color w:val="000000"/>
          <w:spacing w:val="0"/>
          <w:w w:val="100"/>
          <w:position w:val="0"/>
          <w:sz w:val="18"/>
          <w:szCs w:val="18"/>
        </w:rPr>
        <w:t xml:space="preserve">条的规定肯定受害人享有该请求 </w:t>
      </w:r>
      <w:r>
        <w:rPr>
          <w:color w:val="000000"/>
          <w:spacing w:val="0"/>
          <w:w w:val="100"/>
          <w:position w:val="0"/>
          <w:sz w:val="11"/>
          <w:szCs w:val="11"/>
        </w:rPr>
        <w:t>权［遵义市中级人民法院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遵市法刑三终字第</w:t>
      </w:r>
      <w:r>
        <w:rPr>
          <w:rFonts w:ascii="Times New Roman" w:hAnsi="Times New Roman" w:eastAsia="Times New Roman" w:cs="Times New Roman"/>
          <w:color w:val="000000"/>
          <w:spacing w:val="0"/>
          <w:w w:val="100"/>
          <w:position w:val="0"/>
          <w:sz w:val="17"/>
          <w:szCs w:val="17"/>
        </w:rPr>
        <w:t>126</w:t>
      </w:r>
      <w:r>
        <w:rPr>
          <w:color w:val="000000"/>
          <w:spacing w:val="0"/>
          <w:w w:val="100"/>
          <w:position w:val="0"/>
          <w:sz w:val="11"/>
          <w:szCs w:val="11"/>
        </w:rPr>
        <w:t xml:space="preserve">号刑事附带民事判决书；自贡市中级人民法院 </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川</w:t>
      </w:r>
      <w:r>
        <w:rPr>
          <w:rFonts w:ascii="Times New Roman" w:hAnsi="Times New Roman" w:eastAsia="Times New Roman" w:cs="Times New Roman"/>
          <w:color w:val="000000"/>
          <w:spacing w:val="0"/>
          <w:w w:val="100"/>
          <w:position w:val="0"/>
          <w:sz w:val="17"/>
          <w:szCs w:val="17"/>
        </w:rPr>
        <w:t>03</w:t>
      </w:r>
      <w:r>
        <w:rPr>
          <w:color w:val="000000"/>
          <w:spacing w:val="0"/>
          <w:w w:val="100"/>
          <w:position w:val="0"/>
          <w:sz w:val="11"/>
          <w:szCs w:val="11"/>
        </w:rPr>
        <w:t>刑终</w:t>
      </w:r>
      <w:r>
        <w:rPr>
          <w:rFonts w:ascii="Times New Roman" w:hAnsi="Times New Roman" w:eastAsia="Times New Roman" w:cs="Times New Roman"/>
          <w:color w:val="000000"/>
          <w:spacing w:val="0"/>
          <w:w w:val="100"/>
          <w:position w:val="0"/>
          <w:sz w:val="17"/>
          <w:szCs w:val="17"/>
        </w:rPr>
        <w:t>34</w:t>
      </w:r>
      <w:r>
        <w:rPr>
          <w:color w:val="000000"/>
          <w:spacing w:val="0"/>
          <w:w w:val="100"/>
          <w:position w:val="0"/>
          <w:sz w:val="11"/>
          <w:szCs w:val="11"/>
        </w:rPr>
        <w:t>号刑事附带民事判决书，等等］;</w:t>
      </w:r>
      <w:r>
        <w:rPr>
          <w:color w:val="000000"/>
          <w:spacing w:val="0"/>
          <w:w w:val="100"/>
          <w:position w:val="0"/>
          <w:sz w:val="18"/>
          <w:szCs w:val="18"/>
        </w:rPr>
        <w:t>有法院则认为交通肇事罪中的受害人也不 能主张精神损害抚慰金</w:t>
      </w:r>
      <w:r>
        <w:rPr>
          <w:color w:val="000000"/>
          <w:spacing w:val="0"/>
          <w:w w:val="100"/>
          <w:position w:val="0"/>
          <w:sz w:val="11"/>
          <w:szCs w:val="11"/>
        </w:rPr>
        <w:t>［通辽市中级人民法院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内</w:t>
      </w:r>
      <w:r>
        <w:rPr>
          <w:rFonts w:ascii="Times New Roman" w:hAnsi="Times New Roman" w:eastAsia="Times New Roman" w:cs="Times New Roman"/>
          <w:color w:val="000000"/>
          <w:spacing w:val="0"/>
          <w:w w:val="100"/>
          <w:position w:val="0"/>
          <w:sz w:val="17"/>
          <w:szCs w:val="17"/>
        </w:rPr>
        <w:t>05</w:t>
      </w:r>
      <w:r>
        <w:rPr>
          <w:color w:val="000000"/>
          <w:spacing w:val="0"/>
          <w:w w:val="100"/>
          <w:position w:val="0"/>
          <w:sz w:val="11"/>
          <w:szCs w:val="11"/>
        </w:rPr>
        <w:t>刑终</w:t>
      </w:r>
      <w:r>
        <w:rPr>
          <w:rFonts w:ascii="Times New Roman" w:hAnsi="Times New Roman" w:eastAsia="Times New Roman" w:cs="Times New Roman"/>
          <w:color w:val="000000"/>
          <w:spacing w:val="0"/>
          <w:w w:val="100"/>
          <w:position w:val="0"/>
          <w:sz w:val="17"/>
          <w:szCs w:val="17"/>
        </w:rPr>
        <w:t>127</w:t>
      </w:r>
      <w:r>
        <w:rPr>
          <w:color w:val="000000"/>
          <w:spacing w:val="0"/>
          <w:w w:val="100"/>
          <w:position w:val="0"/>
          <w:sz w:val="11"/>
          <w:szCs w:val="11"/>
        </w:rPr>
        <w:t>号刑事附带民事判决书；三亚市 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三亚刑终第</w:t>
      </w:r>
      <w:r>
        <w:rPr>
          <w:rFonts w:ascii="Times New Roman" w:hAnsi="Times New Roman" w:eastAsia="Times New Roman" w:cs="Times New Roman"/>
          <w:color w:val="000000"/>
          <w:spacing w:val="0"/>
          <w:w w:val="100"/>
          <w:position w:val="0"/>
          <w:sz w:val="17"/>
          <w:szCs w:val="17"/>
        </w:rPr>
        <w:t>69</w:t>
      </w:r>
      <w:r>
        <w:rPr>
          <w:color w:val="000000"/>
          <w:spacing w:val="0"/>
          <w:w w:val="100"/>
          <w:position w:val="0"/>
          <w:sz w:val="11"/>
          <w:szCs w:val="11"/>
        </w:rPr>
        <w:t>号刑事附带民事判决书，等等］。</w:t>
      </w:r>
      <w:r>
        <w:rPr>
          <w:color w:val="000000"/>
          <w:spacing w:val="0"/>
          <w:w w:val="100"/>
          <w:position w:val="0"/>
          <w:sz w:val="18"/>
          <w:szCs w:val="18"/>
        </w:rPr>
        <w:t>当然，也有法院认为交通肇事 罪中的民事赔偿范围应当包含</w:t>
      </w:r>
      <w:r>
        <w:rPr>
          <w:color w:val="000000"/>
          <w:spacing w:val="0"/>
          <w:w w:val="100"/>
          <w:position w:val="0"/>
          <w:sz w:val="18"/>
          <w:szCs w:val="18"/>
          <w:lang w:val="zh-CN" w:eastAsia="zh-CN" w:bidi="zh-CN"/>
        </w:rPr>
        <w:t>“两金”而</w:t>
      </w:r>
      <w:r>
        <w:rPr>
          <w:color w:val="000000"/>
          <w:spacing w:val="0"/>
          <w:w w:val="100"/>
          <w:position w:val="0"/>
          <w:sz w:val="18"/>
          <w:szCs w:val="18"/>
        </w:rPr>
        <w:t>不包含精神损害抚慰金</w:t>
      </w:r>
      <w:r>
        <w:rPr>
          <w:color w:val="000000"/>
          <w:spacing w:val="0"/>
          <w:w w:val="100"/>
          <w:position w:val="0"/>
          <w:sz w:val="11"/>
          <w:szCs w:val="11"/>
        </w:rPr>
        <w:t>［海西蒙古族藏族自治州中级 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西刑终字第</w:t>
      </w:r>
      <w:r>
        <w:rPr>
          <w:rFonts w:ascii="Times New Roman" w:hAnsi="Times New Roman" w:eastAsia="Times New Roman" w:cs="Times New Roman"/>
          <w:color w:val="000000"/>
          <w:spacing w:val="0"/>
          <w:w w:val="100"/>
          <w:position w:val="0"/>
          <w:sz w:val="17"/>
          <w:szCs w:val="17"/>
        </w:rPr>
        <w:t>57</w:t>
      </w:r>
      <w:r>
        <w:rPr>
          <w:color w:val="000000"/>
          <w:spacing w:val="0"/>
          <w:w w:val="100"/>
          <w:position w:val="0"/>
          <w:sz w:val="11"/>
          <w:szCs w:val="11"/>
        </w:rPr>
        <w:t>号刑事附带民事判决书；吉林市中级人民法院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吉中刑终字第</w:t>
      </w:r>
      <w:r>
        <w:rPr>
          <w:rFonts w:ascii="Times New Roman" w:hAnsi="Times New Roman" w:eastAsia="Times New Roman" w:cs="Times New Roman"/>
          <w:color w:val="000000"/>
          <w:spacing w:val="0"/>
          <w:w w:val="100"/>
          <w:position w:val="0"/>
          <w:sz w:val="17"/>
          <w:szCs w:val="17"/>
        </w:rPr>
        <w:t xml:space="preserve">102 </w:t>
      </w:r>
      <w:r>
        <w:rPr>
          <w:color w:val="000000"/>
          <w:spacing w:val="0"/>
          <w:w w:val="100"/>
          <w:position w:val="0"/>
          <w:sz w:val="11"/>
          <w:szCs w:val="11"/>
        </w:rPr>
        <w:t>号刑事附带民事判决书］。</w:t>
      </w:r>
      <w:r>
        <w:rPr>
          <w:color w:val="000000"/>
          <w:spacing w:val="0"/>
          <w:w w:val="100"/>
          <w:position w:val="0"/>
          <w:sz w:val="18"/>
          <w:szCs w:val="18"/>
        </w:rPr>
        <w:t>就此，最高人民法院在刑事诉讼法司法解释适用的理解书籍中以学 理解释的方式提出,机动车交通肇事案件应当特别对待，宜将</w:t>
      </w:r>
      <w:r>
        <w:rPr>
          <w:color w:val="000000"/>
          <w:spacing w:val="0"/>
          <w:w w:val="100"/>
          <w:position w:val="0"/>
          <w:sz w:val="18"/>
          <w:szCs w:val="18"/>
          <w:lang w:val="zh-CN" w:eastAsia="zh-CN" w:bidi="zh-CN"/>
        </w:rPr>
        <w:t>“两金”纳</w:t>
      </w:r>
      <w:r>
        <w:rPr>
          <w:color w:val="000000"/>
          <w:spacing w:val="0"/>
          <w:w w:val="100"/>
          <w:position w:val="0"/>
          <w:sz w:val="18"/>
          <w:szCs w:val="18"/>
        </w:rPr>
        <w:t>入赔偿范围，因为被 告人一般具有较强的赔偿能力，但是对于精神损害抚慰金则并未说明需要特别对待</w:t>
      </w:r>
      <w:r>
        <w:rPr>
          <w:color w:val="000000"/>
          <w:spacing w:val="0"/>
          <w:w w:val="100"/>
          <w:position w:val="0"/>
          <w:sz w:val="11"/>
          <w:szCs w:val="11"/>
        </w:rPr>
        <w:t>［江必新 主编：《最高人民法院刑事诉讼法司法解释理解与适用》，人民法院出版社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493</w:t>
      </w:r>
      <w:r>
        <w:rPr>
          <w:color w:val="000000"/>
          <w:spacing w:val="0"/>
          <w:w w:val="100"/>
          <w:position w:val="0"/>
          <w:sz w:val="11"/>
          <w:szCs w:val="11"/>
        </w:rPr>
        <w:t>页］。</w:t>
      </w:r>
    </w:p>
    <w:p w14:paraId="5B8B915B">
      <w:pPr>
        <w:pStyle w:val="17"/>
        <w:keepNext w:val="0"/>
        <w:keepLines w:val="0"/>
        <w:widowControl w:val="0"/>
        <w:shd w:val="clear" w:color="auto" w:fill="auto"/>
        <w:bidi w:val="0"/>
        <w:spacing w:before="0" w:after="160" w:line="341" w:lineRule="exact"/>
        <w:ind w:left="0" w:right="0" w:firstLine="0"/>
        <w:jc w:val="left"/>
      </w:pPr>
      <w:r>
        <w:rPr>
          <w:color w:val="000000"/>
          <w:spacing w:val="0"/>
          <w:w w:val="100"/>
          <w:position w:val="0"/>
          <w:lang w:val="en-US" w:eastAsia="en-US" w:bidi="en-US"/>
        </w:rPr>
        <w:t>®</w:t>
      </w:r>
      <w:r>
        <w:rPr>
          <w:color w:val="000000"/>
          <w:spacing w:val="0"/>
          <w:w w:val="100"/>
          <w:position w:val="0"/>
        </w:rPr>
        <w:t>本判决的影响及将来的课题</w:t>
      </w:r>
    </w:p>
    <w:p w14:paraId="0D045714">
      <w:pPr>
        <w:pStyle w:val="17"/>
        <w:keepNext w:val="0"/>
        <w:keepLines w:val="0"/>
        <w:widowControl w:val="0"/>
        <w:shd w:val="clear" w:color="auto" w:fill="auto"/>
        <w:bidi w:val="0"/>
        <w:spacing w:before="0" w:after="0" w:line="343" w:lineRule="exact"/>
        <w:ind w:left="0" w:right="0" w:firstLine="420"/>
        <w:jc w:val="both"/>
        <w:sectPr>
          <w:headerReference r:id="rId527" w:type="default"/>
          <w:headerReference r:id="rId528" w:type="even"/>
          <w:footnotePr>
            <w:numFmt w:val="chicago"/>
          </w:footnotePr>
          <w:pgSz w:w="10099" w:h="14782"/>
          <w:pgMar w:top="1297" w:right="1050" w:bottom="1117" w:left="1025" w:header="0" w:footer="3" w:gutter="0"/>
          <w:pgNumType w:start="450"/>
          <w:cols w:space="720" w:num="1"/>
          <w:rtlGutter w:val="0"/>
          <w:docGrid w:linePitch="360" w:charSpace="0"/>
        </w:sectPr>
      </w:pPr>
      <w:r>
        <w:rPr>
          <w:color w:val="000000"/>
          <w:spacing w:val="0"/>
          <w:w w:val="100"/>
          <w:position w:val="0"/>
        </w:rPr>
        <w:t xml:space="preserve">本案作为公报案例，一定程度上代表着最高人民法院就刑事附带民事赔偿范围的司法 裁判立场已经出现了一定的变化,是一个积极的信号。该公报案例提岀，对于侵犯人身权 </w:t>
      </w:r>
    </w:p>
    <w:p w14:paraId="76B56E1D">
      <w:pPr>
        <w:pStyle w:val="17"/>
        <w:keepNext w:val="0"/>
        <w:keepLines w:val="0"/>
        <w:widowControl w:val="0"/>
        <w:shd w:val="clear" w:color="auto" w:fill="auto"/>
        <w:bidi w:val="0"/>
        <w:spacing w:before="0" w:after="0" w:line="343" w:lineRule="exact"/>
        <w:ind w:left="0" w:right="0" w:firstLine="0"/>
        <w:jc w:val="both"/>
      </w:pPr>
      <w:r>
        <w:rPr>
          <w:color w:val="000000"/>
          <w:spacing w:val="0"/>
          <w:w w:val="100"/>
          <w:position w:val="0"/>
        </w:rPr>
        <w:t>利的犯罪行为对被害人造成的伤残，刑事案件的被告人同时需要承担支付残疾补偿金这一 民事责任。这一观点在未来司法实务可能将逐步形成共识，并有望以此为起点，最终改变 涉刑案件不能主张精神损害抚慰金这一与民事法律规范相冲突、导致刑事规范内部冲突且 与域外立法例明显不相容的裁判立场。</w:t>
      </w:r>
    </w:p>
    <w:p w14:paraId="5CC0ED4B">
      <w:pPr>
        <w:pStyle w:val="17"/>
        <w:keepNext w:val="0"/>
        <w:keepLines w:val="0"/>
        <w:widowControl w:val="0"/>
        <w:shd w:val="clear" w:color="auto" w:fill="auto"/>
        <w:bidi w:val="0"/>
        <w:spacing w:before="0" w:after="440" w:line="339" w:lineRule="exact"/>
        <w:ind w:left="0" w:right="0" w:firstLine="420"/>
        <w:jc w:val="both"/>
      </w:pPr>
      <w:r>
        <w:rPr>
          <w:color w:val="000000"/>
          <w:spacing w:val="0"/>
          <w:w w:val="100"/>
          <w:position w:val="0"/>
        </w:rPr>
        <w:t>无论理论界还是实务界，都值得重新反思“因为怕空判而否定刑事案件受害人享有精 神损害抚慰金请求权</w:t>
      </w:r>
      <w:r>
        <w:rPr>
          <w:color w:val="000000"/>
          <w:spacing w:val="0"/>
          <w:w w:val="100"/>
          <w:position w:val="0"/>
          <w:lang w:val="zh-CN" w:eastAsia="zh-CN" w:bidi="zh-CN"/>
        </w:rPr>
        <w:t>”这一</w:t>
      </w:r>
      <w:r>
        <w:rPr>
          <w:color w:val="000000"/>
          <w:spacing w:val="0"/>
          <w:w w:val="100"/>
          <w:position w:val="0"/>
        </w:rPr>
        <w:t>立场的合理性，在现行规则的前提下，主张《民法典》的相关规则 是否事实上已经否定了相关刑事法律规则的适用效力，殊值研究。</w:t>
      </w:r>
    </w:p>
    <w:p w14:paraId="43E58B76">
      <w:pPr>
        <w:pStyle w:val="11"/>
        <w:keepNext w:val="0"/>
        <w:keepLines w:val="0"/>
        <w:widowControl w:val="0"/>
        <w:shd w:val="clear" w:color="auto" w:fill="auto"/>
        <w:bidi w:val="0"/>
        <w:spacing w:before="0" w:after="60" w:line="240" w:lineRule="auto"/>
        <w:ind w:left="0" w:right="0" w:firstLine="0"/>
        <w:jc w:val="both"/>
      </w:pPr>
      <w:r>
        <w:rPr>
          <w:color w:val="000000"/>
          <w:spacing w:val="0"/>
          <w:w w:val="100"/>
          <w:position w:val="0"/>
        </w:rPr>
        <w:t>回参考文献</w:t>
      </w:r>
    </w:p>
    <w:p w14:paraId="066EDAB2">
      <w:pPr>
        <w:pStyle w:val="33"/>
        <w:keepNext w:val="0"/>
        <w:keepLines w:val="0"/>
        <w:widowControl w:val="0"/>
        <w:shd w:val="clear" w:color="auto" w:fill="auto"/>
        <w:bidi w:val="0"/>
        <w:spacing w:before="0" w:after="0" w:line="302" w:lineRule="exact"/>
        <w:ind w:left="0" w:right="0" w:firstLine="0"/>
        <w:jc w:val="both"/>
      </w:pPr>
      <w:r>
        <w:rPr>
          <w:color w:val="000000"/>
          <w:spacing w:val="0"/>
          <w:w w:val="100"/>
          <w:position w:val="0"/>
        </w:rPr>
        <w:t>王利明：《侵权责任法研究》（第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5EC06DC2">
      <w:pPr>
        <w:pStyle w:val="33"/>
        <w:keepNext w:val="0"/>
        <w:keepLines w:val="0"/>
        <w:widowControl w:val="0"/>
        <w:shd w:val="clear" w:color="auto" w:fill="auto"/>
        <w:tabs>
          <w:tab w:val="left" w:pos="6329"/>
        </w:tabs>
        <w:bidi w:val="0"/>
        <w:spacing w:before="0" w:after="0" w:line="302" w:lineRule="exact"/>
        <w:ind w:left="0" w:right="0" w:firstLine="0"/>
        <w:jc w:val="both"/>
      </w:pPr>
      <w:r>
        <w:rPr>
          <w:color w:val="000000"/>
          <w:spacing w:val="0"/>
          <w:w w:val="100"/>
          <w:position w:val="0"/>
        </w:rPr>
        <w:t>张新宝：《侵权责任法原理》，中国人民大学出版社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w:t>
      </w:r>
      <w:r>
        <w:rPr>
          <w:color w:val="000000"/>
          <w:spacing w:val="0"/>
          <w:w w:val="100"/>
          <w:position w:val="0"/>
        </w:rPr>
        <w:tab/>
      </w:r>
      <w:r>
        <w:rPr>
          <w:color w:val="000000"/>
          <w:spacing w:val="0"/>
          <w:w w:val="100"/>
          <w:position w:val="0"/>
        </w:rPr>
        <w:t>、、</w:t>
      </w:r>
    </w:p>
    <w:p w14:paraId="6FCBCAAA">
      <w:pPr>
        <w:pStyle w:val="33"/>
        <w:keepNext w:val="0"/>
        <w:keepLines w:val="0"/>
        <w:widowControl w:val="0"/>
        <w:shd w:val="clear" w:color="auto" w:fill="auto"/>
        <w:tabs>
          <w:tab w:val="left" w:pos="7219"/>
        </w:tabs>
        <w:bidi w:val="0"/>
        <w:spacing w:before="0" w:after="0" w:line="302" w:lineRule="exact"/>
        <w:ind w:left="0" w:right="0" w:firstLine="0"/>
        <w:jc w:val="both"/>
      </w:pPr>
      <w:r>
        <w:rPr>
          <w:color w:val="000000"/>
          <w:spacing w:val="0"/>
          <w:w w:val="100"/>
          <w:position w:val="0"/>
        </w:rPr>
        <w:t>江必新主编：《最高人民法院刑事诉讼法司法解释理解与适用》，人民法院出版社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年•、成如小当 邵磊:《刑事附带民事案件精神损害赔偿问题研究》，载《河北法学》</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r>
        <w:rPr>
          <w:color w:val="000000"/>
          <w:spacing w:val="0"/>
          <w:w w:val="100"/>
          <w:position w:val="0"/>
        </w:rPr>
        <w:tab/>
      </w:r>
      <w:r>
        <w:rPr>
          <w:color w:val="000000"/>
          <w:spacing w:val="0"/>
          <w:w w:val="100"/>
          <w:position w:val="0"/>
          <w:lang w:val="en-US" w:eastAsia="en-US" w:bidi="en-US"/>
        </w:rPr>
        <w:t>'</w:t>
      </w:r>
    </w:p>
    <w:p w14:paraId="797349FA">
      <w:pPr>
        <w:pStyle w:val="33"/>
        <w:keepNext w:val="0"/>
        <w:keepLines w:val="0"/>
        <w:widowControl w:val="0"/>
        <w:shd w:val="clear" w:color="auto" w:fill="auto"/>
        <w:bidi w:val="0"/>
        <w:spacing w:before="0" w:after="40" w:line="302" w:lineRule="exact"/>
        <w:ind w:left="0" w:right="0" w:firstLine="0"/>
        <w:jc w:val="both"/>
        <w:sectPr>
          <w:headerReference r:id="rId529" w:type="default"/>
          <w:headerReference r:id="rId530" w:type="even"/>
          <w:footnotePr>
            <w:numFmt w:val="chicago"/>
          </w:footnotePr>
          <w:pgSz w:w="10099" w:h="14782"/>
          <w:pgMar w:top="1297" w:right="1050" w:bottom="1117" w:left="1025" w:header="0" w:footer="689" w:gutter="0"/>
          <w:pgNumType w:start="469"/>
          <w:cols w:space="720" w:num="1"/>
          <w:rtlGutter w:val="0"/>
          <w:docGrid w:linePitch="360" w:charSpace="0"/>
        </w:sectPr>
      </w:pPr>
      <w:r>
        <w:rPr>
          <w:color w:val="000000"/>
          <w:spacing w:val="0"/>
          <w:w w:val="100"/>
          <w:position w:val="0"/>
        </w:rPr>
        <w:t>刘世友、赵向鸿:《刑事附带民事诉讼中精神损害赔偿问题研究》，载《法律适用》</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73ADE7BE">
      <w:pPr>
        <w:widowControl w:val="0"/>
        <w:spacing w:line="1" w:lineRule="exact"/>
      </w:pPr>
      <w:r>
        <w:drawing>
          <wp:anchor distT="0" distB="0" distL="0" distR="0" simplePos="0" relativeHeight="251660288" behindDoc="0" locked="0" layoutInCell="1" allowOverlap="1">
            <wp:simplePos x="0" y="0"/>
            <wp:positionH relativeFrom="page">
              <wp:posOffset>727710</wp:posOffset>
            </wp:positionH>
            <wp:positionV relativeFrom="paragraph">
              <wp:posOffset>0</wp:posOffset>
            </wp:positionV>
            <wp:extent cx="481330" cy="414655"/>
            <wp:effectExtent l="0" t="0" r="1270" b="4445"/>
            <wp:wrapTopAndBottom/>
            <wp:docPr id="1249" name="Shape 1249"/>
            <wp:cNvGraphicFramePr/>
            <a:graphic xmlns:a="http://schemas.openxmlformats.org/drawingml/2006/main">
              <a:graphicData uri="http://schemas.openxmlformats.org/drawingml/2006/picture">
                <pic:pic xmlns:pic="http://schemas.openxmlformats.org/drawingml/2006/picture">
                  <pic:nvPicPr>
                    <pic:cNvPr id="1249" name="Shape 1249"/>
                    <pic:cNvPicPr/>
                  </pic:nvPicPr>
                  <pic:blipFill>
                    <a:blip r:embed="rId707"/>
                    <a:stretch>
                      <a:fillRect/>
                    </a:stretch>
                  </pic:blipFill>
                  <pic:spPr>
                    <a:xfrm>
                      <a:off x="0" y="0"/>
                      <a:ext cx="481330" cy="414655"/>
                    </a:xfrm>
                    <a:prstGeom prst="rect">
                      <a:avLst/>
                    </a:prstGeom>
                  </pic:spPr>
                </pic:pic>
              </a:graphicData>
            </a:graphic>
          </wp:anchor>
        </w:drawing>
      </w:r>
      <w:r>
        <mc:AlternateContent>
          <mc:Choice Requires="wps">
            <w:drawing>
              <wp:anchor distT="121920" distB="44450" distL="0" distR="0" simplePos="0" relativeHeight="251660288" behindDoc="0" locked="0" layoutInCell="1" allowOverlap="1">
                <wp:simplePos x="0" y="0"/>
                <wp:positionH relativeFrom="page">
                  <wp:posOffset>1337310</wp:posOffset>
                </wp:positionH>
                <wp:positionV relativeFrom="paragraph">
                  <wp:posOffset>121920</wp:posOffset>
                </wp:positionV>
                <wp:extent cx="3220085" cy="245110"/>
                <wp:effectExtent l="0" t="0" r="0" b="0"/>
                <wp:wrapTopAndBottom/>
                <wp:docPr id="1251" name="Shape 1251"/>
                <wp:cNvGraphicFramePr/>
                <a:graphic xmlns:a="http://schemas.openxmlformats.org/drawingml/2006/main">
                  <a:graphicData uri="http://schemas.microsoft.com/office/word/2010/wordprocessingShape">
                    <wps:wsp>
                      <wps:cNvSpPr txBox="1"/>
                      <wps:spPr>
                        <a:xfrm>
                          <a:off x="0" y="0"/>
                          <a:ext cx="3220085" cy="245110"/>
                        </a:xfrm>
                        <a:prstGeom prst="rect">
                          <a:avLst/>
                        </a:prstGeom>
                        <a:noFill/>
                      </wps:spPr>
                      <wps:txbx>
                        <w:txbxContent>
                          <w:p w14:paraId="3F1BC273">
                            <w:pPr>
                              <w:pStyle w:val="15"/>
                              <w:keepNext/>
                              <w:keepLines/>
                              <w:widowControl w:val="0"/>
                              <w:shd w:val="clear" w:color="auto" w:fill="auto"/>
                              <w:bidi w:val="0"/>
                              <w:spacing w:before="0" w:after="0" w:line="240" w:lineRule="auto"/>
                              <w:ind w:left="0" w:right="0" w:firstLine="0"/>
                              <w:jc w:val="left"/>
                            </w:pPr>
                            <w:bookmarkStart w:id="609" w:name="bookmark579"/>
                            <w:bookmarkStart w:id="610" w:name="bookmark581"/>
                            <w:bookmarkStart w:id="611" w:name="bookmark580"/>
                            <w:r>
                              <w:rPr>
                                <w:color w:val="000000"/>
                                <w:spacing w:val="0"/>
                                <w:w w:val="100"/>
                                <w:position w:val="0"/>
                              </w:rPr>
                              <w:t>按因侵权所获利益认定赔偿额的方法</w:t>
                            </w:r>
                            <w:bookmarkEnd w:id="609"/>
                            <w:bookmarkEnd w:id="610"/>
                            <w:bookmarkEnd w:id="611"/>
                          </w:p>
                        </w:txbxContent>
                      </wps:txbx>
                      <wps:bodyPr wrap="none" lIns="0" tIns="0" rIns="0" bIns="0">
                        <a:noAutofit/>
                      </wps:bodyPr>
                    </wps:wsp>
                  </a:graphicData>
                </a:graphic>
              </wp:anchor>
            </w:drawing>
          </mc:Choice>
          <mc:Fallback>
            <w:pict>
              <v:shape id="Shape 1251" o:spid="_x0000_s1026" o:spt="202" type="#_x0000_t202" style="position:absolute;left:0pt;margin-left:105.3pt;margin-top:9.6pt;height:19.3pt;width:253.55pt;mso-position-horizontal-relative:page;mso-wrap-distance-bottom:3.5pt;mso-wrap-distance-top:9.6pt;mso-wrap-style:none;z-index:251660288;mso-width-relative:page;mso-height-relative:page;" filled="f" stroked="f" coordsize="21600,21600" o:gfxdata="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P4nB11gAA&#10;AAkBAAAPAAAAAAAAAAEAIAAAACIAAABkcnMvZG93bnJldi54bWxQSwECFAAUAAAACACHTuJAknue&#10;vK4BAAB2AwAADgAAAAAAAAABACAAAAAlAQAAZHJzL2Uyb0RvYy54bWxQSwUGAAAAAAYABgBZAQAA&#10;RQUAAAAA&#10;">
                <v:fill on="f" focussize="0,0"/>
                <v:stroke on="f"/>
                <v:imagedata o:title=""/>
                <o:lock v:ext="edit" aspectratio="f"/>
                <v:textbox inset="0mm,0mm,0mm,0mm">
                  <w:txbxContent>
                    <w:p w14:paraId="3F1BC273">
                      <w:pPr>
                        <w:pStyle w:val="15"/>
                        <w:keepNext/>
                        <w:keepLines/>
                        <w:widowControl w:val="0"/>
                        <w:shd w:val="clear" w:color="auto" w:fill="auto"/>
                        <w:bidi w:val="0"/>
                        <w:spacing w:before="0" w:after="0" w:line="240" w:lineRule="auto"/>
                        <w:ind w:left="0" w:right="0" w:firstLine="0"/>
                        <w:jc w:val="left"/>
                      </w:pPr>
                      <w:bookmarkStart w:id="609" w:name="bookmark579"/>
                      <w:bookmarkStart w:id="610" w:name="bookmark581"/>
                      <w:bookmarkStart w:id="611" w:name="bookmark580"/>
                      <w:r>
                        <w:rPr>
                          <w:color w:val="000000"/>
                          <w:spacing w:val="0"/>
                          <w:w w:val="100"/>
                          <w:position w:val="0"/>
                        </w:rPr>
                        <w:t>按因侵权所获利益认定赔偿额的方法</w:t>
                      </w:r>
                      <w:bookmarkEnd w:id="609"/>
                      <w:bookmarkEnd w:id="610"/>
                      <w:bookmarkEnd w:id="611"/>
                    </w:p>
                  </w:txbxContent>
                </v:textbox>
                <w10:wrap type="topAndBottom"/>
              </v:shape>
            </w:pict>
          </mc:Fallback>
        </mc:AlternateContent>
      </w:r>
    </w:p>
    <w:p w14:paraId="73B4BFBB">
      <w:pPr>
        <w:pStyle w:val="17"/>
        <w:keepNext w:val="0"/>
        <w:keepLines w:val="0"/>
        <w:widowControl w:val="0"/>
        <w:shd w:val="clear" w:color="auto" w:fill="auto"/>
        <w:bidi w:val="0"/>
        <w:spacing w:before="0" w:after="420" w:line="319" w:lineRule="exact"/>
        <w:ind w:left="1000" w:right="0" w:firstLine="0"/>
        <w:jc w:val="both"/>
      </w:pPr>
      <w:r>
        <w:drawing>
          <wp:anchor distT="0" distB="0" distL="114300" distR="114300" simplePos="0" relativeHeight="251660288" behindDoc="0" locked="0" layoutInCell="1" allowOverlap="1">
            <wp:simplePos x="0" y="0"/>
            <wp:positionH relativeFrom="page">
              <wp:posOffset>5168265</wp:posOffset>
            </wp:positionH>
            <wp:positionV relativeFrom="paragraph">
              <wp:posOffset>76200</wp:posOffset>
            </wp:positionV>
            <wp:extent cx="548640" cy="542290"/>
            <wp:effectExtent l="0" t="0" r="10160" b="3810"/>
            <wp:wrapSquare wrapText="left"/>
            <wp:docPr id="1253" name="Shape 1253"/>
            <wp:cNvGraphicFramePr/>
            <a:graphic xmlns:a="http://schemas.openxmlformats.org/drawingml/2006/main">
              <a:graphicData uri="http://schemas.openxmlformats.org/drawingml/2006/picture">
                <pic:pic xmlns:pic="http://schemas.openxmlformats.org/drawingml/2006/picture">
                  <pic:nvPicPr>
                    <pic:cNvPr id="1253" name="Shape 1253"/>
                    <pic:cNvPicPr/>
                  </pic:nvPicPr>
                  <pic:blipFill>
                    <a:blip r:embed="rId708"/>
                    <a:stretch>
                      <a:fillRect/>
                    </a:stretch>
                  </pic:blipFill>
                  <pic:spPr>
                    <a:xfrm>
                      <a:off x="0" y="0"/>
                      <a:ext cx="548640" cy="542290"/>
                    </a:xfrm>
                    <a:prstGeom prst="rect">
                      <a:avLst/>
                    </a:prstGeom>
                  </pic:spPr>
                </pic:pic>
              </a:graphicData>
            </a:graphic>
          </wp:anchor>
        </w:drawing>
      </w:r>
      <w:r>
        <w:rPr>
          <w:color w:val="000000"/>
          <w:spacing w:val="0"/>
          <w:w w:val="100"/>
          <w:position w:val="0"/>
        </w:rPr>
        <w:t>无锡国威陶瓷电器有限公司、蒋国屏与常熟市林芝电热器件有限公 司、苏宁易购集团股份有限公司侵害实用新型专利权纠纷案丨 《最高人民法院公报》</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期</w:t>
      </w:r>
    </w:p>
    <w:p w14:paraId="54EE11CC">
      <w:pPr>
        <w:pStyle w:val="33"/>
        <w:keepNext w:val="0"/>
        <w:keepLines w:val="0"/>
        <w:widowControl w:val="0"/>
        <w:shd w:val="clear" w:color="auto" w:fill="auto"/>
        <w:bidi w:val="0"/>
        <w:spacing w:before="0" w:after="1420" w:line="240" w:lineRule="auto"/>
        <w:ind w:left="0" w:right="0" w:firstLine="0"/>
        <w:jc w:val="right"/>
      </w:pPr>
      <w:r>
        <w:rPr>
          <w:color w:val="000000"/>
          <w:spacing w:val="0"/>
          <w:w w:val="100"/>
          <w:position w:val="0"/>
        </w:rPr>
        <w:t>王好杭州师范大学沈钧儒法学院</w:t>
      </w:r>
    </w:p>
    <w:p w14:paraId="7DE93BCF">
      <w:pPr>
        <w:pStyle w:val="11"/>
        <w:keepNext w:val="0"/>
        <w:keepLines w:val="0"/>
        <w:widowControl w:val="0"/>
        <w:shd w:val="clear" w:color="auto" w:fill="auto"/>
        <w:bidi w:val="0"/>
        <w:spacing w:before="0" w:after="100" w:line="343"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D67EF16">
      <w:pPr>
        <w:pStyle w:val="17"/>
        <w:keepNext w:val="0"/>
        <w:keepLines w:val="0"/>
        <w:widowControl w:val="0"/>
        <w:shd w:val="clear" w:color="auto" w:fill="auto"/>
        <w:bidi w:val="0"/>
        <w:spacing w:before="0" w:after="0" w:line="343" w:lineRule="exact"/>
        <w:ind w:left="0" w:right="0" w:firstLine="420"/>
        <w:jc w:val="both"/>
      </w:pPr>
      <w:r>
        <w:rPr>
          <w:color w:val="000000"/>
          <w:spacing w:val="0"/>
          <w:w w:val="100"/>
          <w:position w:val="0"/>
        </w:rPr>
        <w:t>无锡国威陶瓷电器有限公司（以下简称国威公司）与蒋国屏以常熟市林芝电热器件有 限公司（以下简称林芝公司）、苏宁易购集团股份有限公司侵害实用新型专利权为由，一审 诉请判令两公司停止侵权，并由林芝公司承担</w:t>
      </w:r>
      <w:r>
        <w:rPr>
          <w:rFonts w:ascii="Times New Roman" w:hAnsi="Times New Roman" w:eastAsia="Times New Roman" w:cs="Times New Roman"/>
          <w:color w:val="000000"/>
          <w:spacing w:val="0"/>
          <w:w w:val="100"/>
          <w:position w:val="0"/>
          <w:sz w:val="19"/>
          <w:szCs w:val="19"/>
        </w:rPr>
        <w:t>1500</w:t>
      </w:r>
      <w:r>
        <w:rPr>
          <w:color w:val="000000"/>
          <w:spacing w:val="0"/>
          <w:w w:val="100"/>
          <w:position w:val="0"/>
        </w:rPr>
        <w:t xml:space="preserve">万元的赔偿责任。本案专利涉及一种 </w:t>
      </w:r>
      <w:r>
        <w:rPr>
          <w:rFonts w:ascii="Times New Roman" w:hAnsi="Times New Roman" w:eastAsia="Times New Roman" w:cs="Times New Roman"/>
          <w:color w:val="000000"/>
          <w:spacing w:val="0"/>
          <w:w w:val="100"/>
          <w:position w:val="0"/>
          <w:sz w:val="19"/>
          <w:szCs w:val="19"/>
          <w:lang w:val="en-US" w:eastAsia="en-US" w:bidi="en-US"/>
        </w:rPr>
        <w:t>PTC</w:t>
      </w:r>
      <w:r>
        <w:rPr>
          <w:color w:val="000000"/>
          <w:spacing w:val="0"/>
          <w:w w:val="100"/>
          <w:position w:val="0"/>
        </w:rPr>
        <w:t>发热器及其导热铝管。一审判决认定侵权成立，但认为权利人受损、侵权人获益相关 证据不足,酌定赔偿额为</w:t>
      </w:r>
      <w:r>
        <w:rPr>
          <w:rFonts w:ascii="Times New Roman" w:hAnsi="Times New Roman" w:eastAsia="Times New Roman" w:cs="Times New Roman"/>
          <w:color w:val="000000"/>
          <w:spacing w:val="0"/>
          <w:w w:val="100"/>
          <w:position w:val="0"/>
          <w:sz w:val="19"/>
          <w:szCs w:val="19"/>
        </w:rPr>
        <w:t>100</w:t>
      </w:r>
      <w:r>
        <w:rPr>
          <w:color w:val="000000"/>
          <w:spacing w:val="0"/>
          <w:w w:val="100"/>
          <w:position w:val="0"/>
        </w:rPr>
        <w:t>万元;二审法院认定侵权不成立。国威公司、蒋国屏申请再审， 请求法院改判林芝公司侵权成立，并支持其一审全部诉讼请求。最高人民法院裁定提审该 案。</w:t>
      </w:r>
    </w:p>
    <w:p w14:paraId="0E7B78AF">
      <w:pPr>
        <w:pStyle w:val="17"/>
        <w:keepNext w:val="0"/>
        <w:keepLines w:val="0"/>
        <w:widowControl w:val="0"/>
        <w:shd w:val="clear" w:color="auto" w:fill="auto"/>
        <w:bidi w:val="0"/>
        <w:spacing w:before="0" w:after="420" w:line="348" w:lineRule="exact"/>
        <w:ind w:left="0" w:right="0" w:firstLine="420"/>
        <w:jc w:val="both"/>
      </w:pPr>
      <w:r>
        <w:rPr>
          <w:color w:val="000000"/>
          <w:spacing w:val="0"/>
          <w:w w:val="100"/>
          <w:position w:val="0"/>
        </w:rPr>
        <w:t>再审申请人主张按侵权人因侵权所得利益计算赔偿额,并提出</w:t>
      </w:r>
      <w:r>
        <w:rPr>
          <w:color w:val="000000"/>
          <w:spacing w:val="0"/>
          <w:w w:val="100"/>
          <w:position w:val="0"/>
          <w:lang w:val="zh-CN" w:eastAsia="zh-CN" w:bidi="zh-CN"/>
        </w:rPr>
        <w:t>“侵权</w:t>
      </w:r>
      <w:r>
        <w:rPr>
          <w:color w:val="000000"/>
          <w:spacing w:val="0"/>
          <w:w w:val="100"/>
          <w:position w:val="0"/>
        </w:rPr>
        <w:t>产品总销售额</w:t>
      </w:r>
      <w:r>
        <w:rPr>
          <w:rFonts w:ascii="Times New Roman" w:hAnsi="Times New Roman" w:eastAsia="Times New Roman" w:cs="Times New Roman"/>
          <w:color w:val="000000"/>
          <w:spacing w:val="0"/>
          <w:w w:val="100"/>
          <w:position w:val="0"/>
          <w:sz w:val="19"/>
          <w:szCs w:val="19"/>
        </w:rPr>
        <w:t xml:space="preserve">X </w:t>
      </w:r>
      <w:r>
        <w:rPr>
          <w:color w:val="000000"/>
          <w:spacing w:val="0"/>
          <w:w w:val="100"/>
          <w:position w:val="0"/>
        </w:rPr>
        <w:t>侵权产品利润率”的计算方法。为证明侵权产品的总销售额，再审申请人提交了从多家单 位获取的证据。其中海信（山东）空调有限公司</w:t>
      </w:r>
      <w:r>
        <w:rPr>
          <w:color w:val="000000"/>
          <w:spacing w:val="0"/>
          <w:w w:val="100"/>
          <w:position w:val="0"/>
          <w:lang w:val="en-US" w:eastAsia="en-US" w:bidi="en-US"/>
        </w:rPr>
        <w:t>［</w:t>
      </w:r>
      <w:r>
        <w:rPr>
          <w:color w:val="000000"/>
          <w:spacing w:val="0"/>
          <w:w w:val="100"/>
          <w:position w:val="0"/>
        </w:rPr>
        <w:t>以下简称海信（山东）公司］提供的证据载 明了林芝公司向其供应</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种型号产品的数量和金额；同时该公司表示前述各型号产品在发 热体铝管结构上无区别,并提供了其中</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种型号产品的实物。其余</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家单位虽提供了供货 金额等证据，但这些证据未说明侵权产品占总供货数量的比例。</w:t>
      </w:r>
    </w:p>
    <w:p w14:paraId="1A939FA6">
      <w:pPr>
        <w:pStyle w:val="11"/>
        <w:keepNext w:val="0"/>
        <w:keepLines w:val="0"/>
        <w:widowControl w:val="0"/>
        <w:shd w:val="clear" w:color="auto" w:fill="auto"/>
        <w:bidi w:val="0"/>
        <w:spacing w:before="0" w:after="0" w:line="276" w:lineRule="auto"/>
        <w:ind w:left="0" w:right="0" w:firstLine="0"/>
        <w:jc w:val="both"/>
      </w:pPr>
      <w:r>
        <w:rPr>
          <w:rFonts w:ascii="Times New Roman" w:hAnsi="Times New Roman" w:eastAsia="Times New Roman" w:cs="Times New Roman"/>
          <w:color w:val="000000"/>
          <w:spacing w:val="0"/>
          <w:w w:val="100"/>
          <w:position w:val="0"/>
          <w:sz w:val="26"/>
          <w:szCs w:val="26"/>
          <w:lang w:val="en-US" w:eastAsia="en-US" w:bidi="en-US"/>
        </w:rPr>
        <w:t>H</w:t>
      </w:r>
      <w:r>
        <w:rPr>
          <w:color w:val="000000"/>
          <w:spacing w:val="0"/>
          <w:w w:val="100"/>
          <w:position w:val="0"/>
        </w:rPr>
        <w:t>判决要旨</w:t>
      </w:r>
    </w:p>
    <w:p w14:paraId="2CCBE97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林芝公司侵权成立，应承担赔偿责任。</w:t>
      </w:r>
    </w:p>
    <w:p w14:paraId="5DA769F9">
      <w:pPr>
        <w:pStyle w:val="17"/>
        <w:keepNext w:val="0"/>
        <w:keepLines w:val="0"/>
        <w:widowControl w:val="0"/>
        <w:shd w:val="clear" w:color="auto" w:fill="auto"/>
        <w:bidi w:val="0"/>
        <w:spacing w:before="0" w:after="420" w:line="342" w:lineRule="exact"/>
        <w:ind w:left="0" w:right="0" w:firstLine="420"/>
        <w:jc w:val="both"/>
        <w:sectPr>
          <w:headerReference r:id="rId531" w:type="default"/>
          <w:headerReference r:id="rId532" w:type="even"/>
          <w:footnotePr>
            <w:numFmt w:val="chicago"/>
          </w:footnotePr>
          <w:pgSz w:w="10099" w:h="14782"/>
          <w:pgMar w:top="1344" w:right="1000" w:bottom="1090" w:left="1107" w:header="916" w:footer="662" w:gutter="0"/>
          <w:cols w:space="720" w:num="1"/>
          <w:rtlGutter w:val="0"/>
          <w:docGrid w:linePitch="360" w:charSpace="0"/>
        </w:sectPr>
      </w:pPr>
      <w:r>
        <w:rPr>
          <w:color w:val="000000"/>
          <w:spacing w:val="0"/>
          <w:w w:val="100"/>
          <w:position w:val="0"/>
        </w:rPr>
        <w:t>对现有证据能证明相应销售额的侵权销售行为，应根据受害人的主张,按侵权人因侵 权所得利益确定赔偿责任;仅对销售额不明的那部分侵权销售行为,才由法院酌定相应赔 偿额。认定侵权获益，可采“总销售额（不含税）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产品利润率</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侵权行为对产品利润的贡 献度”的计算方法。二审判决认定侵权不成立，裁判结果错误;一审判决认定侵权成立正 确，但在本案部分证据能证明部分侵权获益的情况下全盘适用法定赔偿，适用法律有误，应 予纠正。</w:t>
      </w:r>
    </w:p>
    <w:p w14:paraId="68CF297D">
      <w:pPr>
        <w:pStyle w:val="11"/>
        <w:keepNext w:val="0"/>
        <w:keepLines w:val="0"/>
        <w:widowControl w:val="0"/>
        <w:shd w:val="clear" w:color="auto" w:fill="auto"/>
        <w:bidi w:val="0"/>
        <w:spacing w:before="0" w:after="260" w:line="240" w:lineRule="auto"/>
        <w:ind w:left="0" w:right="0" w:firstLine="0"/>
        <w:jc w:val="both"/>
      </w:pPr>
      <w:r>
        <w:rPr>
          <w:color w:val="000000"/>
          <w:spacing w:val="0"/>
          <w:w w:val="100"/>
          <w:position w:val="0"/>
        </w:rPr>
        <w:t>■评析</w:t>
      </w:r>
    </w:p>
    <w:p w14:paraId="201E84DA">
      <w:pPr>
        <w:pStyle w:val="17"/>
        <w:keepNext w:val="0"/>
        <w:keepLines w:val="0"/>
        <w:widowControl w:val="0"/>
        <w:shd w:val="clear" w:color="auto" w:fill="auto"/>
        <w:bidi w:val="0"/>
        <w:spacing w:before="0" w:after="120" w:line="240" w:lineRule="auto"/>
        <w:ind w:left="0" w:right="0" w:firstLine="0"/>
        <w:jc w:val="both"/>
      </w:pPr>
      <w:r>
        <w:rPr>
          <w:color w:val="000000"/>
          <w:spacing w:val="0"/>
          <w:w w:val="100"/>
          <w:position w:val="0"/>
        </w:rPr>
        <w:t>田本判决的思路和意义</w:t>
      </w:r>
    </w:p>
    <w:p w14:paraId="34E23E1B">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本案判决采取了避免向酌定赔偿逃逸（在知识产权法领域称法定赔偿，以下统称酌定） 的思路。其一,现有证据不足以证明案涉侵权产品的全部销售额，不同于一审判决,再审法 院仅对销售额不明的这部分销售行为适用酌定赔偿。其二，受害人主张的计算方法不尽合 理，法院对其合理部分仍予考虑。其三，当侵权产品利润率、专利利润贡献度难以确切证明 时，本案法院结合现有证据酌定之，未轻易作出侵权获益不确定的判断。具体认定步骤如 下：</w:t>
      </w:r>
    </w:p>
    <w:p w14:paraId="5F071028">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第一步,分析受害人主张的计算方式中的不合理成分。主要包括:首先,除海信（山东） 公司外，其余单位提供的证据难以说明所涉供货金额中有多少对应侵权产品，不能作为认 定侵权获益的基础。其次，受害人主张按“总销售额</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产品利润率</w:t>
      </w:r>
      <w:r>
        <w:rPr>
          <w:color w:val="000000"/>
          <w:spacing w:val="0"/>
          <w:w w:val="100"/>
          <w:position w:val="0"/>
          <w:lang w:val="zh-CN" w:eastAsia="zh-CN" w:bidi="zh-CN"/>
        </w:rPr>
        <w:t>”的</w:t>
      </w:r>
      <w:r>
        <w:rPr>
          <w:color w:val="000000"/>
          <w:spacing w:val="0"/>
          <w:w w:val="100"/>
          <w:position w:val="0"/>
        </w:rPr>
        <w:t>方法计算获益，但如 此算得的是产品整体的利润，可能计入非侵权因素的贡献。</w:t>
      </w:r>
    </w:p>
    <w:p w14:paraId="39D85419">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第二步，在剔除上述不合理因素后，按“总销售额（不含税）</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产品利润率</w:t>
      </w:r>
      <w:r>
        <w:rPr>
          <w:rFonts w:ascii="Times New Roman" w:hAnsi="Times New Roman" w:eastAsia="Times New Roman" w:cs="Times New Roman"/>
          <w:color w:val="000000"/>
          <w:spacing w:val="0"/>
          <w:w w:val="100"/>
          <w:position w:val="0"/>
          <w:sz w:val="19"/>
          <w:szCs w:val="19"/>
        </w:rPr>
        <w:t>X</w:t>
      </w:r>
      <w:r>
        <w:rPr>
          <w:color w:val="000000"/>
          <w:spacing w:val="0"/>
          <w:w w:val="100"/>
          <w:position w:val="0"/>
        </w:rPr>
        <w:t>侵权行为对 产品利润的贡献度</w:t>
      </w:r>
      <w:r>
        <w:rPr>
          <w:color w:val="000000"/>
          <w:spacing w:val="0"/>
          <w:w w:val="100"/>
          <w:position w:val="0"/>
          <w:lang w:val="zh-CN" w:eastAsia="zh-CN" w:bidi="zh-CN"/>
        </w:rPr>
        <w:t>”算</w:t>
      </w:r>
      <w:r>
        <w:rPr>
          <w:color w:val="000000"/>
          <w:spacing w:val="0"/>
          <w:w w:val="100"/>
          <w:position w:val="0"/>
        </w:rPr>
        <w:t>定侵权获益。在侵权人未提供相反证据的情况下，推定其向海信（山 东）公司供应的</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种型号产品均为侵权产品,相应销售额均计入认定侵权获益的基数;综合 双方主张，酌定侵权产品利润率为</w:t>
      </w:r>
      <w:r>
        <w:rPr>
          <w:rFonts w:ascii="Times New Roman" w:hAnsi="Times New Roman" w:eastAsia="Times New Roman" w:cs="Times New Roman"/>
          <w:color w:val="000000"/>
          <w:spacing w:val="0"/>
          <w:w w:val="100"/>
          <w:position w:val="0"/>
          <w:sz w:val="19"/>
          <w:szCs w:val="19"/>
        </w:rPr>
        <w:t xml:space="preserve">15% </w:t>
      </w:r>
      <w:r>
        <w:rPr>
          <w:color w:val="000000"/>
          <w:spacing w:val="0"/>
          <w:w w:val="100"/>
          <w:position w:val="0"/>
          <w:sz w:val="19"/>
          <w:szCs w:val="19"/>
        </w:rPr>
        <w:t>；</w:t>
      </w:r>
      <w:r>
        <w:rPr>
          <w:color w:val="000000"/>
          <w:spacing w:val="0"/>
          <w:w w:val="100"/>
          <w:position w:val="0"/>
        </w:rPr>
        <w:t>基于案涉专利对侵权产品市场吸引力的重要性，酌 定专利利润贡献度为</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 xml:space="preserve">。综合算得林芝公司向海信（山东）公司销售侵权产品的收益为 </w:t>
      </w:r>
      <w:r>
        <w:rPr>
          <w:rFonts w:ascii="Times New Roman" w:hAnsi="Times New Roman" w:eastAsia="Times New Roman" w:cs="Times New Roman"/>
          <w:color w:val="000000"/>
          <w:spacing w:val="0"/>
          <w:w w:val="100"/>
          <w:position w:val="0"/>
          <w:sz w:val="19"/>
          <w:szCs w:val="19"/>
        </w:rPr>
        <w:t xml:space="preserve">114, 371,557 </w:t>
      </w:r>
      <w:r>
        <w:rPr>
          <w:color w:val="000000"/>
          <w:spacing w:val="0"/>
          <w:w w:val="100"/>
          <w:position w:val="0"/>
        </w:rPr>
        <w:t xml:space="preserve">元 </w:t>
      </w:r>
      <w:r>
        <w:rPr>
          <w:rFonts w:ascii="Times New Roman" w:hAnsi="Times New Roman" w:eastAsia="Times New Roman" w:cs="Times New Roman"/>
          <w:color w:val="000000"/>
          <w:spacing w:val="0"/>
          <w:w w:val="100"/>
          <w:position w:val="0"/>
          <w:sz w:val="19"/>
          <w:szCs w:val="19"/>
          <w:lang w:val="en-US" w:eastAsia="en-US" w:bidi="en-US"/>
        </w:rPr>
        <w:t xml:space="preserve">xl5% x50% </w:t>
      </w:r>
      <w:r>
        <w:rPr>
          <w:rFonts w:ascii="Times New Roman" w:hAnsi="Times New Roman" w:eastAsia="Times New Roman" w:cs="Times New Roman"/>
          <w:color w:val="000000"/>
          <w:spacing w:val="0"/>
          <w:w w:val="100"/>
          <w:position w:val="0"/>
          <w:sz w:val="19"/>
          <w:szCs w:val="19"/>
        </w:rPr>
        <w:t xml:space="preserve">=8,577,867 </w:t>
      </w:r>
      <w:r>
        <w:rPr>
          <w:color w:val="000000"/>
          <w:spacing w:val="0"/>
          <w:w w:val="100"/>
          <w:position w:val="0"/>
        </w:rPr>
        <w:t>元。</w:t>
      </w:r>
    </w:p>
    <w:p w14:paraId="5D9A9453">
      <w:pPr>
        <w:pStyle w:val="17"/>
        <w:keepNext w:val="0"/>
        <w:keepLines w:val="0"/>
        <w:widowControl w:val="0"/>
        <w:shd w:val="clear" w:color="auto" w:fill="auto"/>
        <w:bidi w:val="0"/>
        <w:spacing w:before="0" w:after="0" w:line="329" w:lineRule="exact"/>
        <w:ind w:left="0" w:right="0"/>
        <w:jc w:val="both"/>
      </w:pPr>
      <w:r>
        <w:rPr>
          <w:color w:val="000000"/>
          <w:spacing w:val="0"/>
          <w:w w:val="100"/>
          <w:position w:val="0"/>
        </w:rPr>
        <w:t>第三步，由于林芝公司向其余单位销售侵权产品所获利益、所致损失不明，由法院酌定这 部分侵权行为相应的赔偿额为</w:t>
      </w:r>
      <w:r>
        <w:rPr>
          <w:rFonts w:ascii="Times New Roman" w:hAnsi="Times New Roman" w:eastAsia="Times New Roman" w:cs="Times New Roman"/>
          <w:color w:val="000000"/>
          <w:spacing w:val="0"/>
          <w:w w:val="100"/>
          <w:position w:val="0"/>
          <w:sz w:val="19"/>
          <w:szCs w:val="19"/>
        </w:rPr>
        <w:t>80</w:t>
      </w:r>
      <w:r>
        <w:rPr>
          <w:color w:val="000000"/>
          <w:spacing w:val="0"/>
          <w:w w:val="100"/>
          <w:position w:val="0"/>
        </w:rPr>
        <w:t>万元。合计由林芝公司赔偿受害人经济损失</w:t>
      </w:r>
      <w:r>
        <w:rPr>
          <w:rFonts w:ascii="Times New Roman" w:hAnsi="Times New Roman" w:eastAsia="Times New Roman" w:cs="Times New Roman"/>
          <w:color w:val="000000"/>
          <w:spacing w:val="0"/>
          <w:w w:val="100"/>
          <w:position w:val="0"/>
          <w:sz w:val="19"/>
          <w:szCs w:val="19"/>
        </w:rPr>
        <w:t>9, 377, 867 （8, 577, 867 + 800, 000）</w:t>
      </w:r>
      <w:r>
        <w:rPr>
          <w:color w:val="000000"/>
          <w:spacing w:val="0"/>
          <w:w w:val="100"/>
          <w:position w:val="0"/>
        </w:rPr>
        <w:t>元及为制止侵权所支付的开支</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万元。</w:t>
      </w:r>
    </w:p>
    <w:p w14:paraId="0BC4A7C4">
      <w:pPr>
        <w:pStyle w:val="17"/>
        <w:keepNext w:val="0"/>
        <w:keepLines w:val="0"/>
        <w:widowControl w:val="0"/>
        <w:shd w:val="clear" w:color="auto" w:fill="auto"/>
        <w:bidi w:val="0"/>
        <w:spacing w:before="0" w:after="260" w:line="348" w:lineRule="exact"/>
        <w:ind w:left="0" w:right="0"/>
        <w:jc w:val="both"/>
      </w:pPr>
      <w:r>
        <w:rPr>
          <w:color w:val="000000"/>
          <w:spacing w:val="0"/>
          <w:w w:val="100"/>
          <w:position w:val="0"/>
        </w:rPr>
        <w:t>在侵权获益举证困难且计算标准尚有疑义的背景下，采取本案判决的做法有助于缓解 侵权获益赔偿在实务中利用率低下的现状，鼓励受害人对侵权获益加以积极主张和举证。</w:t>
      </w:r>
    </w:p>
    <w:p w14:paraId="76B2549B">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按侵权人因侵权所获利益认定损害赔偿额的规范及其法理</w:t>
      </w:r>
    </w:p>
    <w:p w14:paraId="208A77B2">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传统损害赔偿法以填平损失为宗旨。不过,根据侵权人因侵权所获利益确定赔偿额的 规则（以下称获益赔偿）也已为实定法所认可。《民法典》第</w:t>
      </w:r>
      <w:r>
        <w:rPr>
          <w:rFonts w:ascii="Times New Roman" w:hAnsi="Times New Roman" w:eastAsia="Times New Roman" w:cs="Times New Roman"/>
          <w:color w:val="000000"/>
          <w:spacing w:val="0"/>
          <w:w w:val="100"/>
          <w:position w:val="0"/>
          <w:sz w:val="19"/>
          <w:szCs w:val="19"/>
          <w:lang w:val="en-US" w:eastAsia="en-US" w:bidi="en-US"/>
        </w:rPr>
        <w:t>H82</w:t>
      </w:r>
      <w:r>
        <w:rPr>
          <w:color w:val="000000"/>
          <w:spacing w:val="0"/>
          <w:w w:val="100"/>
          <w:position w:val="0"/>
        </w:rPr>
        <w:t>条规定:“侵害他人人身权 益造成财产损失的，按照被侵权人因此受到的损失或者侵权人因此获得的利益赔偿;被侵 权人因此受到的损失以及侵权因此获得利益难以确定,被侵权人和侵权人就赔偿数额协商 不一致，向人民法院提起诉讼的，由人民法院根据实际情况确定赔偿数额。</w:t>
      </w:r>
      <w:r>
        <w:rPr>
          <w:color w:val="000000"/>
          <w:spacing w:val="0"/>
          <w:w w:val="100"/>
          <w:position w:val="0"/>
          <w:lang w:val="zh-CN" w:eastAsia="zh-CN" w:bidi="zh-CN"/>
        </w:rPr>
        <w:t>”《商</w:t>
      </w:r>
      <w:r>
        <w:rPr>
          <w:color w:val="000000"/>
          <w:spacing w:val="0"/>
          <w:w w:val="100"/>
          <w:position w:val="0"/>
        </w:rPr>
        <w:t>标法》第</w:t>
      </w:r>
      <w:r>
        <w:rPr>
          <w:rFonts w:ascii="Times New Roman" w:hAnsi="Times New Roman" w:eastAsia="Times New Roman" w:cs="Times New Roman"/>
          <w:color w:val="000000"/>
          <w:spacing w:val="0"/>
          <w:w w:val="100"/>
          <w:position w:val="0"/>
          <w:sz w:val="19"/>
          <w:szCs w:val="19"/>
        </w:rPr>
        <w:t xml:space="preserve">63 </w:t>
      </w:r>
      <w:r>
        <w:rPr>
          <w:color w:val="000000"/>
          <w:spacing w:val="0"/>
          <w:w w:val="100"/>
          <w:position w:val="0"/>
        </w:rPr>
        <w:t>条、《著作权法》第</w:t>
      </w:r>
      <w:r>
        <w:rPr>
          <w:rFonts w:ascii="Times New Roman" w:hAnsi="Times New Roman" w:eastAsia="Times New Roman" w:cs="Times New Roman"/>
          <w:color w:val="000000"/>
          <w:spacing w:val="0"/>
          <w:w w:val="100"/>
          <w:position w:val="0"/>
          <w:sz w:val="19"/>
          <w:szCs w:val="19"/>
        </w:rPr>
        <w:t>49</w:t>
      </w:r>
      <w:r>
        <w:rPr>
          <w:color w:val="000000"/>
          <w:spacing w:val="0"/>
          <w:w w:val="100"/>
          <w:position w:val="0"/>
        </w:rPr>
        <w:t>条、《专利法》第</w:t>
      </w:r>
      <w:r>
        <w:rPr>
          <w:rFonts w:ascii="Times New Roman" w:hAnsi="Times New Roman" w:eastAsia="Times New Roman" w:cs="Times New Roman"/>
          <w:color w:val="000000"/>
          <w:spacing w:val="0"/>
          <w:w w:val="100"/>
          <w:position w:val="0"/>
          <w:sz w:val="19"/>
          <w:szCs w:val="19"/>
        </w:rPr>
        <w:t>65</w:t>
      </w:r>
      <w:r>
        <w:rPr>
          <w:color w:val="000000"/>
          <w:spacing w:val="0"/>
          <w:w w:val="100"/>
          <w:position w:val="0"/>
        </w:rPr>
        <w:t>条等亦作了类似规定。</w:t>
      </w:r>
    </w:p>
    <w:p w14:paraId="123D309C">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获益赔偿在实务中适用率很低。为降低举证难度，《商标法》第</w:t>
      </w:r>
      <w:r>
        <w:rPr>
          <w:rFonts w:ascii="Times New Roman" w:hAnsi="Times New Roman" w:eastAsia="Times New Roman" w:cs="Times New Roman"/>
          <w:color w:val="000000"/>
          <w:spacing w:val="0"/>
          <w:w w:val="100"/>
          <w:position w:val="0"/>
          <w:sz w:val="19"/>
          <w:szCs w:val="19"/>
        </w:rPr>
        <w:t>63</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款要求尽力 举证,最高人民法院《关于审理侵犯专利权纠纷案件应用法律若干问题的解释（二）》［法释 </w:t>
      </w:r>
      <w:r>
        <w:rPr>
          <w:rFonts w:ascii="Times New Roman" w:hAnsi="Times New Roman" w:eastAsia="Times New Roman" w:cs="Times New Roman"/>
          <w:color w:val="000000"/>
          <w:spacing w:val="0"/>
          <w:w w:val="100"/>
          <w:position w:val="0"/>
          <w:sz w:val="19"/>
          <w:szCs w:val="19"/>
        </w:rPr>
        <w:t>（2016）1</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条要求提供初步证据，在权利人已完成一定举证义务，而与侵权行为相关 的账簿和资料主要由侵权人掌握时，法院可责令侵权人提供相关账簿、资料。除举证困难 外,获益赔偿的制度目的、体系定位、计算标准存疑,也可能是获益赔偿受冷遇的原因。</w:t>
      </w:r>
    </w:p>
    <w:p w14:paraId="4CBF8424">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现行法将获益赔偿置于补偿性赔偿的框架下。根据原《侵权责任法》第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条（《民法 典》第</w:t>
      </w:r>
      <w:r>
        <w:rPr>
          <w:rFonts w:ascii="Times New Roman" w:hAnsi="Times New Roman" w:eastAsia="Times New Roman" w:cs="Times New Roman"/>
          <w:color w:val="000000"/>
          <w:spacing w:val="0"/>
          <w:w w:val="100"/>
          <w:position w:val="0"/>
          <w:sz w:val="19"/>
          <w:szCs w:val="19"/>
        </w:rPr>
        <w:t>1182</w:t>
      </w:r>
      <w:r>
        <w:rPr>
          <w:color w:val="000000"/>
          <w:spacing w:val="0"/>
          <w:w w:val="100"/>
          <w:position w:val="0"/>
        </w:rPr>
        <w:t>条）、《专利法》第</w:t>
      </w:r>
      <w:r>
        <w:rPr>
          <w:rFonts w:ascii="Times New Roman" w:hAnsi="Times New Roman" w:eastAsia="Times New Roman" w:cs="Times New Roman"/>
          <w:color w:val="000000"/>
          <w:spacing w:val="0"/>
          <w:w w:val="100"/>
          <w:position w:val="0"/>
          <w:sz w:val="19"/>
          <w:szCs w:val="19"/>
        </w:rPr>
        <w:t>65</w:t>
      </w:r>
      <w:r>
        <w:rPr>
          <w:color w:val="000000"/>
          <w:spacing w:val="0"/>
          <w:w w:val="100"/>
          <w:position w:val="0"/>
        </w:rPr>
        <w:t>条,获益赔偿的适用以受害人受有损失，但实际损失难以确 定为前提。据此，这些规范仍以补偿损失为宗旨，只是在实际损失难以确定时，允许替代性 地根据侵权获益计算赔偿额。但由于侵权人获益与权利人受损间通常缺乏合理对应性，获 益赔偿与损失补偿何以连贯颇有疑问。本案判决遵循规范文义，在补偿损失的意义上考虑 侵权获益;值得留意的是，本案法院事实上未审查权利人所受损失是否确实难以确定。</w:t>
      </w:r>
    </w:p>
    <w:p w14:paraId="3A7BA850">
      <w:pPr>
        <w:pStyle w:val="17"/>
        <w:keepNext w:val="0"/>
        <w:keepLines w:val="0"/>
        <w:widowControl w:val="0"/>
        <w:shd w:val="clear" w:color="auto" w:fill="auto"/>
        <w:bidi w:val="0"/>
        <w:spacing w:before="0" w:after="0" w:line="338" w:lineRule="exact"/>
        <w:ind w:left="0" w:right="0" w:firstLine="420"/>
        <w:jc w:val="both"/>
        <w:rPr>
          <w:sz w:val="11"/>
          <w:szCs w:val="11"/>
        </w:rPr>
      </w:pPr>
      <w:r>
        <w:rPr>
          <w:color w:val="000000"/>
          <w:spacing w:val="0"/>
          <w:w w:val="100"/>
          <w:position w:val="0"/>
          <w:sz w:val="18"/>
          <w:szCs w:val="18"/>
        </w:rPr>
        <w:t>不同于现行法，学说上多认为获益赔偿不再以损失为中心，具有不同于补偿性赔偿的 功能。有认为获益赔偿实为不当得利返还</w:t>
      </w:r>
      <w:r>
        <w:rPr>
          <w:color w:val="000000"/>
          <w:spacing w:val="0"/>
          <w:w w:val="100"/>
          <w:position w:val="0"/>
          <w:sz w:val="11"/>
          <w:szCs w:val="11"/>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 版，第</w:t>
      </w:r>
      <w:r>
        <w:rPr>
          <w:rFonts w:ascii="Times New Roman" w:hAnsi="Times New Roman" w:eastAsia="Times New Roman" w:cs="Times New Roman"/>
          <w:color w:val="000000"/>
          <w:spacing w:val="0"/>
          <w:w w:val="100"/>
          <w:position w:val="0"/>
          <w:sz w:val="17"/>
          <w:szCs w:val="17"/>
        </w:rPr>
        <w:t>698</w:t>
      </w:r>
      <w:r>
        <w:rPr>
          <w:color w:val="000000"/>
          <w:spacing w:val="0"/>
          <w:w w:val="100"/>
          <w:position w:val="0"/>
          <w:sz w:val="11"/>
          <w:szCs w:val="11"/>
        </w:rPr>
        <w:t>页］</w:t>
      </w:r>
      <w:r>
        <w:rPr>
          <w:color w:val="000000"/>
          <w:spacing w:val="0"/>
          <w:w w:val="100"/>
          <w:position w:val="0"/>
          <w:sz w:val="18"/>
          <w:szCs w:val="18"/>
        </w:rPr>
        <w:t>，但由于侵权获益可超过被侵害权益的客观市场价值，获益赔偿似非如不当得 利法那样仅旨在维护权益归属秩序</w:t>
      </w:r>
      <w:r>
        <w:rPr>
          <w:color w:val="000000"/>
          <w:spacing w:val="0"/>
          <w:w w:val="100"/>
          <w:position w:val="0"/>
          <w:sz w:val="11"/>
          <w:szCs w:val="11"/>
        </w:rPr>
        <w:t>（缪宇:《获利返还论——以〈侵权责任法〉第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sz w:val="11"/>
          <w:szCs w:val="11"/>
        </w:rPr>
        <w:t>条为中心》，载 《法商研究》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sz w:val="18"/>
          <w:szCs w:val="18"/>
        </w:rPr>
        <w:t>多数见解认为获益赔偿旨在通过去除违法所得威慑（预防）违法 行为，但对获益赔偿的体系定位意见不一,有侵权责任说、不法管理说、独立请求权说等;获 益赔偿是否以损害为要件、主观要件如何等也都有争议</w:t>
      </w:r>
      <w:r>
        <w:rPr>
          <w:color w:val="000000"/>
          <w:spacing w:val="0"/>
          <w:w w:val="100"/>
          <w:position w:val="0"/>
          <w:sz w:val="11"/>
          <w:szCs w:val="11"/>
        </w:rPr>
        <w:t>（张家勇：《基于得利的侵权损害赔偿之 规范再造》，载《法学》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 xml:space="preserve">期；黄芬:《人格权侵权获利赔偿的请求权基础研究》，载《法商研究》 </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期；朱岩:《“利润剥夺”的请求权基础——兼评〈中华人民共和国侵权责任法〉第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sz w:val="11"/>
          <w:szCs w:val="11"/>
        </w:rPr>
        <w:t>条》，载 《法商研究》</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p>
    <w:p w14:paraId="2F2E7381">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值得关注的是，《民法典》第</w:t>
      </w:r>
      <w:r>
        <w:rPr>
          <w:rFonts w:ascii="Times New Roman" w:hAnsi="Times New Roman" w:eastAsia="Times New Roman" w:cs="Times New Roman"/>
          <w:color w:val="000000"/>
          <w:spacing w:val="0"/>
          <w:w w:val="100"/>
          <w:position w:val="0"/>
          <w:sz w:val="19"/>
          <w:szCs w:val="19"/>
        </w:rPr>
        <w:t>1182</w:t>
      </w:r>
      <w:r>
        <w:rPr>
          <w:color w:val="000000"/>
          <w:spacing w:val="0"/>
          <w:w w:val="100"/>
          <w:position w:val="0"/>
        </w:rPr>
        <w:t>条与原《侵权责任法》第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条有所不同，规定</w:t>
      </w:r>
      <w:r>
        <w:rPr>
          <w:color w:val="000000"/>
          <w:spacing w:val="0"/>
          <w:w w:val="100"/>
          <w:position w:val="0"/>
          <w:lang w:val="zh-CN" w:eastAsia="zh-CN" w:bidi="zh-CN"/>
        </w:rPr>
        <w:t>“侵</w:t>
      </w:r>
      <w:r>
        <w:rPr>
          <w:color w:val="000000"/>
          <w:spacing w:val="0"/>
          <w:w w:val="100"/>
          <w:position w:val="0"/>
        </w:rPr>
        <w:t xml:space="preserve">害他 人人身权益造成财产损失的，按照被侵权人因此受到的损失或者侵权人因此获得的利益赔 偿” </w:t>
      </w:r>
      <w:r>
        <w:rPr>
          <w:rFonts w:ascii="Times New Roman" w:hAnsi="Times New Roman" w:eastAsia="Times New Roman" w:cs="Times New Roman"/>
          <w:color w:val="000000"/>
          <w:spacing w:val="0"/>
          <w:w w:val="100"/>
          <w:position w:val="0"/>
          <w:sz w:val="19"/>
          <w:szCs w:val="19"/>
          <w:lang w:val="en-US" w:eastAsia="en-US" w:bidi="en-US"/>
        </w:rPr>
        <w:t>o</w:t>
      </w:r>
      <w:r>
        <w:rPr>
          <w:color w:val="000000"/>
          <w:spacing w:val="0"/>
          <w:w w:val="100"/>
          <w:position w:val="0"/>
        </w:rPr>
        <w:t>该规定虽仍要求损失要件，但不再将获益赔偿置于例外地位,构成对损失填补原则的 正面突破。此番规定目的何在、是否妥当，有待进一步探讨。</w:t>
      </w:r>
    </w:p>
    <w:p w14:paraId="4C9E3196">
      <w:pPr>
        <w:pStyle w:val="17"/>
        <w:keepNext w:val="0"/>
        <w:keepLines w:val="0"/>
        <w:widowControl w:val="0"/>
        <w:shd w:val="clear" w:color="auto" w:fill="auto"/>
        <w:bidi w:val="0"/>
        <w:spacing w:before="0" w:after="0" w:line="338" w:lineRule="exact"/>
        <w:ind w:left="0" w:right="0" w:firstLine="420"/>
        <w:jc w:val="both"/>
        <w:rPr>
          <w:sz w:val="11"/>
          <w:szCs w:val="11"/>
        </w:rPr>
      </w:pPr>
      <w:r>
        <w:rPr>
          <w:color w:val="000000"/>
          <w:spacing w:val="0"/>
          <w:w w:val="100"/>
          <w:position w:val="0"/>
          <w:sz w:val="18"/>
          <w:szCs w:val="18"/>
        </w:rPr>
        <w:t xml:space="preserve">关于侵权获益计算,最高人民法院《关于审理专利纠纷案件适用法律问题的若干规定》 </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sz w:val="18"/>
          <w:szCs w:val="18"/>
        </w:rPr>
        <w:t>年修正）［法释</w:t>
      </w:r>
      <w:r>
        <w:rPr>
          <w:rFonts w:ascii="Times New Roman" w:hAnsi="Times New Roman" w:eastAsia="Times New Roman" w:cs="Times New Roman"/>
          <w:color w:val="000000"/>
          <w:spacing w:val="0"/>
          <w:w w:val="100"/>
          <w:position w:val="0"/>
          <w:sz w:val="19"/>
          <w:szCs w:val="19"/>
        </w:rPr>
        <w:t>（2015）4</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20</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款规定:“</w:t>
      </w:r>
      <w:r>
        <w:rPr>
          <w:color w:val="000000"/>
          <w:spacing w:val="0"/>
          <w:w w:val="100"/>
          <w:position w:val="0"/>
          <w:sz w:val="18"/>
          <w:szCs w:val="18"/>
          <w:lang w:val="zh-CN" w:eastAsia="zh-CN" w:bidi="zh-CN"/>
        </w:rPr>
        <w:t>……</w:t>
      </w:r>
      <w:r>
        <w:rPr>
          <w:color w:val="000000"/>
          <w:spacing w:val="0"/>
          <w:w w:val="100"/>
          <w:position w:val="0"/>
          <w:sz w:val="18"/>
          <w:szCs w:val="18"/>
        </w:rPr>
        <w:t>侵权人因侵权所获得的利益可 以根据该侵权产品在市场上销售的总数乘以每件侵权产品的合理利润所得之积计算。侵 权人因侵权所获得的利益一般按照侵权人的营业利润计算,对于完全以侵权为业的侵权 人，可以按照销售利润计算</w:t>
      </w:r>
      <w:r>
        <w:rPr>
          <w:color w:val="000000"/>
          <w:spacing w:val="0"/>
          <w:w w:val="100"/>
          <w:position w:val="0"/>
          <w:sz w:val="18"/>
          <w:szCs w:val="18"/>
          <w:lang w:val="zh-CN" w:eastAsia="zh-CN" w:bidi="zh-CN"/>
        </w:rPr>
        <w:t>。”最</w:t>
      </w:r>
      <w:r>
        <w:rPr>
          <w:color w:val="000000"/>
          <w:spacing w:val="0"/>
          <w:w w:val="100"/>
          <w:position w:val="0"/>
          <w:sz w:val="18"/>
          <w:szCs w:val="18"/>
        </w:rPr>
        <w:t>高人民法院《关于审理商标民事纠纷案件适用法律若干问 题的解释》［法释</w:t>
      </w:r>
      <w:r>
        <w:rPr>
          <w:rFonts w:ascii="Times New Roman" w:hAnsi="Times New Roman" w:eastAsia="Times New Roman" w:cs="Times New Roman"/>
          <w:color w:val="000000"/>
          <w:spacing w:val="0"/>
          <w:w w:val="100"/>
          <w:position w:val="0"/>
          <w:sz w:val="19"/>
          <w:szCs w:val="19"/>
        </w:rPr>
        <w:t>（2002）32</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14</w:t>
      </w:r>
      <w:r>
        <w:rPr>
          <w:color w:val="000000"/>
          <w:spacing w:val="0"/>
          <w:w w:val="100"/>
          <w:position w:val="0"/>
          <w:sz w:val="18"/>
          <w:szCs w:val="18"/>
        </w:rPr>
        <w:t xml:space="preserve">条规定侵权获益“可以根据侵权商品销售量与该商品 单位利润乘积计算”。这些解释可以起到一定的指引作用，但也存在疑点:一是上引解释采 </w:t>
      </w:r>
      <w:r>
        <w:rPr>
          <w:color w:val="000000"/>
          <w:spacing w:val="0"/>
          <w:w w:val="100"/>
          <w:position w:val="0"/>
          <w:sz w:val="18"/>
          <w:szCs w:val="18"/>
          <w:lang w:val="zh-CN" w:eastAsia="zh-CN" w:bidi="zh-CN"/>
        </w:rPr>
        <w:t>“单</w:t>
      </w:r>
      <w:r>
        <w:rPr>
          <w:color w:val="000000"/>
          <w:spacing w:val="0"/>
          <w:w w:val="100"/>
          <w:position w:val="0"/>
          <w:sz w:val="18"/>
          <w:szCs w:val="18"/>
        </w:rPr>
        <w:t>位产品利润</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sz w:val="18"/>
          <w:szCs w:val="18"/>
        </w:rPr>
        <w:t>销售量</w:t>
      </w:r>
      <w:r>
        <w:rPr>
          <w:color w:val="000000"/>
          <w:spacing w:val="0"/>
          <w:w w:val="100"/>
          <w:position w:val="0"/>
          <w:sz w:val="18"/>
          <w:szCs w:val="18"/>
          <w:lang w:val="zh-CN" w:eastAsia="zh-CN" w:bidi="zh-CN"/>
        </w:rPr>
        <w:t>”标准</w:t>
      </w:r>
      <w:r>
        <w:rPr>
          <w:color w:val="000000"/>
          <w:spacing w:val="0"/>
          <w:w w:val="100"/>
          <w:position w:val="0"/>
          <w:sz w:val="18"/>
          <w:szCs w:val="18"/>
        </w:rPr>
        <w:t>，但如本案判决所言，侵权产品的利润与侵权获益尚非等同； 二是上引解释未说明是否可采其他计算思路。如比较法上有通过比较侵权发生与否时侵 权人利益状况之差来算定侵权获益者（损失计算之</w:t>
      </w:r>
      <w:r>
        <w:rPr>
          <w:color w:val="000000"/>
          <w:spacing w:val="0"/>
          <w:w w:val="100"/>
          <w:position w:val="0"/>
          <w:sz w:val="18"/>
          <w:szCs w:val="18"/>
          <w:lang w:val="zh-CN" w:eastAsia="zh-CN" w:bidi="zh-CN"/>
        </w:rPr>
        <w:t>“差</w:t>
      </w:r>
      <w:r>
        <w:rPr>
          <w:color w:val="000000"/>
          <w:spacing w:val="0"/>
          <w:w w:val="100"/>
          <w:position w:val="0"/>
          <w:sz w:val="18"/>
          <w:szCs w:val="18"/>
        </w:rPr>
        <w:t>额说”的镜像方法），此时即便侵权人 亏损,仍可能算得正值的侵权获益（因不侵权时的亏损更大）;三是在采营业利润标准时哪 些成本可予扣除，有待明确。目前学说对侵权获益计算问题关注不多，相关讨论主要出现 在知识产权法域</w:t>
      </w:r>
      <w:r>
        <w:rPr>
          <w:color w:val="000000"/>
          <w:spacing w:val="0"/>
          <w:w w:val="100"/>
          <w:position w:val="0"/>
          <w:sz w:val="11"/>
          <w:szCs w:val="11"/>
        </w:rPr>
        <w:t>（朱理:《专利侵权损害赔偿计算分摊原则的经济分析》，载《现代法学》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sz w:val="11"/>
          <w:szCs w:val="11"/>
        </w:rPr>
        <w:t>期）。</w:t>
      </w:r>
    </w:p>
    <w:p w14:paraId="37B9D874">
      <w:pPr>
        <w:pStyle w:val="17"/>
        <w:keepNext w:val="0"/>
        <w:keepLines w:val="0"/>
        <w:widowControl w:val="0"/>
        <w:shd w:val="clear" w:color="auto" w:fill="auto"/>
        <w:bidi w:val="0"/>
        <w:spacing w:before="0" w:after="160" w:line="343" w:lineRule="exact"/>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13CC557C">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 xml:space="preserve">从既往实践看，尽管现行法将实际损失难以确定作为适用获益赔偿的前提，法院并不 严格审查该要件是否成立，事实上允许受害人直接主张获益赔偿。获益赔偿适用率极低的 原因在于侵权获益很难确切证明。就人身侵权而言,多发的公众人物肖像权侵权案件是典 型的获益型侵权，但由于肖像仅起宣传作用，并非产品或服务本身的内容，侵权人经营所得 与侵权行为的关联程度不很直观。针对此类案件，法院往往基于人格利益的商业化价值认 可受害人受有一定损失，但认为权利人受损、侵权人获益均难确定,最终适用酌定赔偿，如 </w:t>
      </w:r>
      <w:r>
        <w:rPr>
          <w:color w:val="000000"/>
          <w:spacing w:val="0"/>
          <w:w w:val="100"/>
          <w:position w:val="0"/>
          <w:lang w:val="zh-CN" w:eastAsia="zh-CN" w:bidi="zh-CN"/>
        </w:rPr>
        <w:t>“深圳</w:t>
      </w:r>
      <w:r>
        <w:rPr>
          <w:color w:val="000000"/>
          <w:spacing w:val="0"/>
          <w:w w:val="100"/>
          <w:position w:val="0"/>
        </w:rPr>
        <w:t>市格调家私有限公司与黄渤肖像权纠纷上诉案”</w:t>
      </w:r>
      <w:r>
        <w:rPr>
          <w:color w:val="000000"/>
          <w:spacing w:val="0"/>
          <w:w w:val="100"/>
          <w:position w:val="0"/>
          <w:sz w:val="11"/>
          <w:szCs w:val="11"/>
        </w:rPr>
        <w:t>［北京市第三中级人民法院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 xml:space="preserve">03 </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3477</w:t>
      </w:r>
      <w:r>
        <w:rPr>
          <w:color w:val="000000"/>
          <w:spacing w:val="0"/>
          <w:w w:val="100"/>
          <w:position w:val="0"/>
          <w:sz w:val="11"/>
          <w:szCs w:val="11"/>
        </w:rPr>
        <w:t>号民事判决书］</w:t>
      </w:r>
      <w:r>
        <w:rPr>
          <w:color w:val="000000"/>
          <w:spacing w:val="0"/>
          <w:w w:val="100"/>
          <w:position w:val="0"/>
        </w:rPr>
        <w:t>等大量类似案件。类似问题在商标侵权案件中同样存在。在</w:t>
      </w:r>
      <w:r>
        <w:rPr>
          <w:color w:val="000000"/>
          <w:spacing w:val="0"/>
          <w:w w:val="100"/>
          <w:position w:val="0"/>
          <w:lang w:val="zh-CN" w:eastAsia="zh-CN" w:bidi="zh-CN"/>
        </w:rPr>
        <w:t xml:space="preserve">“河南 </w:t>
      </w:r>
      <w:r>
        <w:rPr>
          <w:color w:val="000000"/>
          <w:spacing w:val="0"/>
          <w:w w:val="100"/>
          <w:position w:val="0"/>
        </w:rPr>
        <w:t>金博士种业股份有限公司与深圳市梦网科技发展有限公司等侵犯商标权纠纷再审案</w:t>
      </w:r>
      <w:r>
        <w:rPr>
          <w:color w:val="000000"/>
          <w:spacing w:val="0"/>
          <w:w w:val="100"/>
          <w:position w:val="0"/>
          <w:sz w:val="11"/>
          <w:szCs w:val="11"/>
          <w:lang w:val="zh-CN" w:eastAsia="zh-CN" w:bidi="zh-CN"/>
        </w:rPr>
        <w:t>”［最</w:t>
      </w:r>
      <w:r>
        <w:rPr>
          <w:color w:val="000000"/>
          <w:spacing w:val="0"/>
          <w:w w:val="100"/>
          <w:position w:val="0"/>
          <w:sz w:val="11"/>
          <w:szCs w:val="11"/>
        </w:rPr>
        <w:t>高 人民法院</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1771</w:t>
      </w:r>
      <w:r>
        <w:rPr>
          <w:color w:val="000000"/>
          <w:spacing w:val="0"/>
          <w:w w:val="100"/>
          <w:position w:val="0"/>
          <w:sz w:val="11"/>
          <w:szCs w:val="11"/>
        </w:rPr>
        <w:t>号民事裁定书］</w:t>
      </w:r>
      <w:r>
        <w:rPr>
          <w:color w:val="000000"/>
          <w:spacing w:val="0"/>
          <w:w w:val="100"/>
          <w:position w:val="0"/>
        </w:rPr>
        <w:t>，因“玉米种子利润并非仅为涉案商标标识的利 润</w:t>
      </w:r>
      <w:r>
        <w:rPr>
          <w:color w:val="000000"/>
          <w:spacing w:val="0"/>
          <w:w w:val="100"/>
          <w:position w:val="0"/>
          <w:lang w:val="zh-CN" w:eastAsia="zh-CN" w:bidi="zh-CN"/>
        </w:rPr>
        <w:t>”，法</w:t>
      </w:r>
      <w:r>
        <w:rPr>
          <w:color w:val="000000"/>
          <w:spacing w:val="0"/>
          <w:w w:val="100"/>
          <w:position w:val="0"/>
        </w:rPr>
        <w:t>院认为侵权获益难以确定。</w:t>
      </w:r>
    </w:p>
    <w:p w14:paraId="754285F3">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在专利权与著作权侵权案件中,权利人的智力成果常被直接应用于侵权人的产品、服 务、作品，此时自可将相关收益作为认定侵权获益的基础。不过要确切证明侵权产品所生 利润、侵权行为对前述利润的贡献程度等也并非易事。例如，在</w:t>
      </w:r>
      <w:r>
        <w:rPr>
          <w:color w:val="000000"/>
          <w:spacing w:val="0"/>
          <w:w w:val="100"/>
          <w:position w:val="0"/>
          <w:lang w:val="zh-CN" w:eastAsia="zh-CN" w:bidi="zh-CN"/>
        </w:rPr>
        <w:t>“余某</w:t>
      </w:r>
      <w:r>
        <w:rPr>
          <w:color w:val="000000"/>
          <w:spacing w:val="0"/>
          <w:w w:val="100"/>
          <w:position w:val="0"/>
        </w:rPr>
        <w:t>等与琼瑶侵害著作权 纠纷上诉案”</w:t>
      </w:r>
      <w:r>
        <w:rPr>
          <w:color w:val="000000"/>
          <w:spacing w:val="0"/>
          <w:w w:val="100"/>
          <w:position w:val="0"/>
          <w:sz w:val="11"/>
          <w:szCs w:val="11"/>
        </w:rPr>
        <w:t>［北京市高级人民法院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高民（知）终字第</w:t>
      </w:r>
      <w:r>
        <w:rPr>
          <w:rFonts w:ascii="Times New Roman" w:hAnsi="Times New Roman" w:eastAsia="Times New Roman" w:cs="Times New Roman"/>
          <w:color w:val="000000"/>
          <w:spacing w:val="0"/>
          <w:w w:val="100"/>
          <w:position w:val="0"/>
          <w:sz w:val="17"/>
          <w:szCs w:val="17"/>
        </w:rPr>
        <w:t>1039</w:t>
      </w:r>
      <w:r>
        <w:rPr>
          <w:color w:val="000000"/>
          <w:spacing w:val="0"/>
          <w:w w:val="100"/>
          <w:position w:val="0"/>
          <w:sz w:val="11"/>
          <w:szCs w:val="11"/>
        </w:rPr>
        <w:t>号民事判决书］</w:t>
      </w:r>
      <w:r>
        <w:rPr>
          <w:color w:val="000000"/>
          <w:spacing w:val="0"/>
          <w:w w:val="100"/>
          <w:position w:val="0"/>
        </w:rPr>
        <w:t>中，权利人主张基 于侵权人的编剧酬金、侵权电视剧发行价确定侵权获益，法院认为其依据不足。</w:t>
      </w:r>
    </w:p>
    <w:p w14:paraId="06AA0910">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如不适当放宽证明标准并允许法官享有相当裁量余地</w:t>
      </w:r>
      <w:r>
        <w:rPr>
          <w:color w:val="000000"/>
          <w:spacing w:val="0"/>
          <w:w w:val="100"/>
          <w:position w:val="0"/>
          <w:lang w:val="zh-CN" w:eastAsia="zh-CN" w:bidi="zh-CN"/>
        </w:rPr>
        <w:t>，“侵</w:t>
      </w:r>
      <w:r>
        <w:rPr>
          <w:color w:val="000000"/>
          <w:spacing w:val="0"/>
          <w:w w:val="100"/>
          <w:position w:val="0"/>
        </w:rPr>
        <w:t>权获益难以确定”毋宁是普 遍现象。但既有实践对获益赔偿认定中的法官裁量看法不一。如“余某等与琼瑶侵害著作 权纠纷上诉案</w:t>
      </w:r>
      <w:r>
        <w:rPr>
          <w:color w:val="000000"/>
          <w:spacing w:val="0"/>
          <w:w w:val="100"/>
          <w:position w:val="0"/>
          <w:lang w:val="zh-CN" w:eastAsia="zh-CN" w:bidi="zh-CN"/>
        </w:rPr>
        <w:t>”，二</w:t>
      </w:r>
      <w:r>
        <w:rPr>
          <w:color w:val="000000"/>
          <w:spacing w:val="0"/>
          <w:w w:val="100"/>
          <w:position w:val="0"/>
        </w:rPr>
        <w:t>审法院认为一审法院</w:t>
      </w:r>
      <w:r>
        <w:rPr>
          <w:color w:val="000000"/>
          <w:spacing w:val="0"/>
          <w:w w:val="100"/>
          <w:position w:val="0"/>
          <w:lang w:val="zh-CN" w:eastAsia="zh-CN" w:bidi="zh-CN"/>
        </w:rPr>
        <w:t>“既根</w:t>
      </w:r>
      <w:r>
        <w:rPr>
          <w:color w:val="000000"/>
          <w:spacing w:val="0"/>
          <w:w w:val="100"/>
          <w:position w:val="0"/>
        </w:rPr>
        <w:t>据违法所得来确定赔偿数额，同时又结合各 种因素对赔偿数额进行酌定</w:t>
      </w:r>
      <w:r>
        <w:rPr>
          <w:color w:val="000000"/>
          <w:spacing w:val="0"/>
          <w:w w:val="100"/>
          <w:position w:val="0"/>
          <w:lang w:val="zh-CN" w:eastAsia="zh-CN" w:bidi="zh-CN"/>
        </w:rPr>
        <w:t>”有</w:t>
      </w:r>
      <w:r>
        <w:rPr>
          <w:color w:val="000000"/>
          <w:spacing w:val="0"/>
          <w:w w:val="100"/>
          <w:position w:val="0"/>
        </w:rPr>
        <w:t>误。迄今为止,在商业化利用他人人格利益案件与知识产 权侵权案件中，大多判决都适用酌定赔偿。这不仅引发赔偿额是否缺乏基本可预见性的忧 虑,也会挫伤受害人对侵权获益加以举证的积极性。</w:t>
      </w:r>
    </w:p>
    <w:p w14:paraId="5DDBEE28">
      <w:pPr>
        <w:pStyle w:val="17"/>
        <w:keepNext w:val="0"/>
        <w:keepLines w:val="0"/>
        <w:widowControl w:val="0"/>
        <w:shd w:val="clear" w:color="auto" w:fill="auto"/>
        <w:bidi w:val="0"/>
        <w:spacing w:before="0" w:after="160" w:line="343" w:lineRule="exact"/>
        <w:ind w:left="0" w:right="0"/>
        <w:jc w:val="both"/>
      </w:pPr>
      <w:r>
        <w:rPr>
          <w:color w:val="000000"/>
          <w:spacing w:val="0"/>
          <w:w w:val="100"/>
          <w:position w:val="0"/>
        </w:rPr>
        <w:t>在适用获益赔偿的判决中，计算标准不一。最明显的是,一些判决未明确将侵权获益 与侵权产品的利润相区分，如</w:t>
      </w:r>
      <w:r>
        <w:rPr>
          <w:color w:val="000000"/>
          <w:spacing w:val="0"/>
          <w:w w:val="100"/>
          <w:position w:val="0"/>
          <w:lang w:val="zh-CN" w:eastAsia="zh-CN" w:bidi="zh-CN"/>
        </w:rPr>
        <w:t>“江</w:t>
      </w:r>
      <w:r>
        <w:rPr>
          <w:color w:val="000000"/>
          <w:spacing w:val="0"/>
          <w:w w:val="100"/>
          <w:position w:val="0"/>
        </w:rPr>
        <w:t>苏天容集团股份有限公司诉湖南昊华化工有限责任公司 不正当竞争纠纷案”</w:t>
      </w:r>
      <w:r>
        <w:rPr>
          <w:color w:val="000000"/>
          <w:spacing w:val="0"/>
          <w:w w:val="100"/>
          <w:position w:val="0"/>
          <w:sz w:val="11"/>
          <w:szCs w:val="11"/>
        </w:rPr>
        <w:t>（《最高人民法院公报》</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sz w:val="11"/>
          <w:szCs w:val="11"/>
        </w:rPr>
        <w:t>期）、</w:t>
      </w:r>
      <w:r>
        <w:rPr>
          <w:color w:val="000000"/>
          <w:spacing w:val="0"/>
          <w:w w:val="100"/>
          <w:position w:val="0"/>
          <w:lang w:val="zh-CN" w:eastAsia="zh-CN" w:bidi="zh-CN"/>
        </w:rPr>
        <w:t>“珠海</w:t>
      </w:r>
      <w:r>
        <w:rPr>
          <w:color w:val="000000"/>
          <w:spacing w:val="0"/>
          <w:w w:val="100"/>
          <w:position w:val="0"/>
        </w:rPr>
        <w:t>金稻电器有限公司等与松下 电器产业株式会社侵害外观设计专利权纠纷上诉案”</w:t>
      </w:r>
      <w:r>
        <w:rPr>
          <w:color w:val="000000"/>
          <w:spacing w:val="0"/>
          <w:w w:val="100"/>
          <w:position w:val="0"/>
          <w:sz w:val="11"/>
          <w:szCs w:val="11"/>
        </w:rPr>
        <w:t>（最高人民法院发布</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年十大知产案件 之六）</w:t>
      </w:r>
      <w:r>
        <w:rPr>
          <w:color w:val="000000"/>
          <w:spacing w:val="0"/>
          <w:w w:val="100"/>
          <w:position w:val="0"/>
          <w:lang w:val="zh-CN" w:eastAsia="zh-CN" w:bidi="zh-CN"/>
        </w:rPr>
        <w:t>、“李</w:t>
      </w:r>
      <w:r>
        <w:rPr>
          <w:color w:val="000000"/>
          <w:spacing w:val="0"/>
          <w:w w:val="100"/>
          <w:position w:val="0"/>
        </w:rPr>
        <w:t>雅非等诉王宇等名誉权纠纷案”</w:t>
      </w:r>
      <w:r>
        <w:rPr>
          <w:color w:val="000000"/>
          <w:spacing w:val="0"/>
          <w:w w:val="100"/>
          <w:position w:val="0"/>
          <w:sz w:val="11"/>
          <w:szCs w:val="11"/>
        </w:rPr>
        <w:t>［广东省高级人民法院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粤髙法民一申字第</w:t>
      </w:r>
      <w:r>
        <w:rPr>
          <w:rFonts w:ascii="Times New Roman" w:hAnsi="Times New Roman" w:eastAsia="Times New Roman" w:cs="Times New Roman"/>
          <w:color w:val="000000"/>
          <w:spacing w:val="0"/>
          <w:w w:val="100"/>
          <w:position w:val="0"/>
          <w:sz w:val="17"/>
          <w:szCs w:val="17"/>
        </w:rPr>
        <w:t>750</w:t>
      </w:r>
      <w:r>
        <w:rPr>
          <w:color w:val="000000"/>
          <w:spacing w:val="0"/>
          <w:w w:val="100"/>
          <w:position w:val="0"/>
          <w:sz w:val="11"/>
          <w:szCs w:val="11"/>
        </w:rPr>
        <w:t>号 民事裁定书］</w:t>
      </w:r>
      <w:r>
        <w:rPr>
          <w:color w:val="000000"/>
          <w:spacing w:val="0"/>
          <w:w w:val="100"/>
          <w:position w:val="0"/>
        </w:rPr>
        <w:t>等。另一些则作此区分，如“</w:t>
      </w:r>
      <w:r>
        <w:rPr>
          <w:rFonts w:ascii="Times New Roman" w:hAnsi="Times New Roman" w:eastAsia="Times New Roman" w:cs="Times New Roman"/>
          <w:color w:val="000000"/>
          <w:spacing w:val="0"/>
          <w:w w:val="100"/>
          <w:position w:val="0"/>
          <w:sz w:val="17"/>
          <w:szCs w:val="17"/>
          <w:lang w:val="en-US" w:eastAsia="en-US" w:bidi="en-US"/>
        </w:rPr>
        <w:t>STOKKEAS（</w:t>
      </w:r>
      <w:r>
        <w:rPr>
          <w:color w:val="000000"/>
          <w:spacing w:val="0"/>
          <w:w w:val="100"/>
          <w:position w:val="0"/>
        </w:rPr>
        <w:t>斯托克股份有限公司）诉浙江多宝贝 婴童用品有限公司等侵害发明专利权纠纷案”</w:t>
      </w:r>
      <w:r>
        <w:rPr>
          <w:color w:val="000000"/>
          <w:spacing w:val="0"/>
          <w:w w:val="100"/>
          <w:position w:val="0"/>
          <w:sz w:val="11"/>
          <w:szCs w:val="11"/>
        </w:rPr>
        <w:t>［浙江省杭州市中级人民法院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浙</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 xml:space="preserve">民初 </w:t>
      </w:r>
      <w:r>
        <w:rPr>
          <w:rFonts w:ascii="Times New Roman" w:hAnsi="Times New Roman" w:eastAsia="Times New Roman" w:cs="Times New Roman"/>
          <w:color w:val="000000"/>
          <w:spacing w:val="0"/>
          <w:w w:val="100"/>
          <w:position w:val="0"/>
          <w:sz w:val="17"/>
          <w:szCs w:val="17"/>
        </w:rPr>
        <w:t>1278</w:t>
      </w:r>
      <w:r>
        <w:rPr>
          <w:color w:val="000000"/>
          <w:spacing w:val="0"/>
          <w:w w:val="100"/>
          <w:position w:val="0"/>
          <w:sz w:val="11"/>
          <w:szCs w:val="11"/>
        </w:rPr>
        <w:t>号民事判决书］</w:t>
      </w:r>
      <w:r>
        <w:rPr>
          <w:color w:val="000000"/>
          <w:spacing w:val="0"/>
          <w:w w:val="100"/>
          <w:position w:val="0"/>
        </w:rPr>
        <w:t>等判决。本案判决澄清了区分的必要性。</w:t>
      </w:r>
    </w:p>
    <w:p w14:paraId="258FDB1F">
      <w:pPr>
        <w:pStyle w:val="17"/>
        <w:keepNext w:val="0"/>
        <w:keepLines w:val="0"/>
        <w:widowControl w:val="0"/>
        <w:shd w:val="clear" w:color="auto" w:fill="auto"/>
        <w:bidi w:val="0"/>
        <w:spacing w:before="0" w:after="160" w:line="343" w:lineRule="exact"/>
        <w:ind w:left="0" w:right="0" w:firstLine="0"/>
        <w:jc w:val="both"/>
      </w:pPr>
      <w:r>
        <w:rPr>
          <w:rFonts w:ascii="Times New Roman" w:hAnsi="Times New Roman" w:eastAsia="Times New Roman" w:cs="Times New Roman"/>
          <w:color w:val="000000"/>
          <w:spacing w:val="0"/>
          <w:w w:val="100"/>
          <w:position w:val="0"/>
          <w:sz w:val="17"/>
          <w:szCs w:val="17"/>
        </w:rPr>
        <w:t>0</w:t>
      </w:r>
      <w:r>
        <w:rPr>
          <w:color w:val="000000"/>
          <w:spacing w:val="0"/>
          <w:w w:val="100"/>
          <w:position w:val="0"/>
        </w:rPr>
        <w:t>本判决的参考意义及将来的课题</w:t>
      </w:r>
    </w:p>
    <w:p w14:paraId="334E9AA8">
      <w:pPr>
        <w:pStyle w:val="17"/>
        <w:keepNext w:val="0"/>
        <w:keepLines w:val="0"/>
        <w:widowControl w:val="0"/>
        <w:shd w:val="clear" w:color="auto" w:fill="auto"/>
        <w:bidi w:val="0"/>
        <w:spacing w:before="0" w:after="0" w:line="338" w:lineRule="exact"/>
        <w:ind w:left="0" w:right="0"/>
        <w:jc w:val="both"/>
      </w:pPr>
      <w:r>
        <w:rPr>
          <w:color w:val="000000"/>
          <w:spacing w:val="0"/>
          <w:w w:val="100"/>
          <w:position w:val="0"/>
        </w:rPr>
        <w:t>获益赔偿在实务中适用率很低。既往实践表明，其原因可包括:部分受害人未积极主 张并举证、侵权获益通常难以确切计算、侵权获益计算标准存有疑义、部分判决向酌定赔偿 逃逸等。如何避免获益赔偿被架空？本案判决指出了一些方向</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适当放松证明标准，并 允许法官在认定获益赔偿时享有较宽松的裁量余地;</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在现有证据能够证明部分侵权获 益的情况下，应在同一案件结合适用获益赔偿与酌定赔偿，从而尽可能节制适用酌定赔偿; </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当受害人主张的计算方法不尽合理，其合理成分仍应予以考虑。此外，判决详细呈现了 侵权获益的计算过程，并澄清</w:t>
      </w:r>
      <w:r>
        <w:rPr>
          <w:color w:val="000000"/>
          <w:spacing w:val="0"/>
          <w:w w:val="100"/>
          <w:position w:val="0"/>
          <w:lang w:val="zh-CN" w:eastAsia="zh-CN" w:bidi="zh-CN"/>
        </w:rPr>
        <w:t>“侵权</w:t>
      </w:r>
      <w:r>
        <w:rPr>
          <w:color w:val="000000"/>
          <w:spacing w:val="0"/>
          <w:w w:val="100"/>
          <w:position w:val="0"/>
        </w:rPr>
        <w:t>产品利润尹因侵权所获利益</w:t>
      </w:r>
      <w:r>
        <w:rPr>
          <w:color w:val="000000"/>
          <w:spacing w:val="0"/>
          <w:w w:val="100"/>
          <w:position w:val="0"/>
          <w:lang w:val="zh-CN" w:eastAsia="zh-CN" w:bidi="zh-CN"/>
        </w:rPr>
        <w:t>”，可</w:t>
      </w:r>
      <w:r>
        <w:rPr>
          <w:color w:val="000000"/>
          <w:spacing w:val="0"/>
          <w:w w:val="100"/>
          <w:position w:val="0"/>
        </w:rPr>
        <w:t>供后续实践参考。</w:t>
      </w:r>
    </w:p>
    <w:p w14:paraId="03E4F329">
      <w:pPr>
        <w:pStyle w:val="17"/>
        <w:keepNext w:val="0"/>
        <w:keepLines w:val="0"/>
        <w:widowControl w:val="0"/>
        <w:shd w:val="clear" w:color="auto" w:fill="auto"/>
        <w:bidi w:val="0"/>
        <w:spacing w:before="0" w:after="340" w:line="341" w:lineRule="exact"/>
        <w:ind w:left="0" w:right="0"/>
        <w:jc w:val="both"/>
      </w:pPr>
      <w:r>
        <w:rPr>
          <w:color w:val="000000"/>
          <w:spacing w:val="0"/>
          <w:w w:val="100"/>
          <w:position w:val="0"/>
        </w:rPr>
        <w:t>一些遗留问题还有待研究。首先,澄清制度目的是当务之急。无论以损失抑或获益为 基础,赔偿额认定都不全然是对客观事实的探查，必然受价值判断影响。故有必要明确获 益赔偿的首要目的究竟在于适当补偿损失、返还不当得利抑或威慑违法行为。其次，获益 赔偿的体系位置、构成要件等理论争议仍待化解。最后，若认可法官在认定获益赔偿时享 有较宽松的裁量余地，更有必要系统研究裁量方法，如酌定侵权行为的</w:t>
      </w:r>
      <w:r>
        <w:rPr>
          <w:color w:val="000000"/>
          <w:spacing w:val="0"/>
          <w:w w:val="100"/>
          <w:position w:val="0"/>
          <w:lang w:val="zh-CN" w:eastAsia="zh-CN" w:bidi="zh-CN"/>
        </w:rPr>
        <w:t>“利润</w:t>
      </w:r>
      <w:r>
        <w:rPr>
          <w:color w:val="000000"/>
          <w:spacing w:val="0"/>
          <w:w w:val="100"/>
          <w:position w:val="0"/>
        </w:rPr>
        <w:t>贡献度</w:t>
      </w:r>
      <w:r>
        <w:rPr>
          <w:color w:val="000000"/>
          <w:spacing w:val="0"/>
          <w:w w:val="100"/>
          <w:position w:val="0"/>
          <w:lang w:val="zh-CN" w:eastAsia="zh-CN" w:bidi="zh-CN"/>
        </w:rPr>
        <w:t xml:space="preserve">”时可 </w:t>
      </w:r>
      <w:r>
        <w:rPr>
          <w:color w:val="000000"/>
          <w:spacing w:val="0"/>
          <w:w w:val="100"/>
          <w:position w:val="0"/>
        </w:rPr>
        <w:t>考虑哪些因素等。另外，侵权获益计算标准上的疑问难以通过个案完全澄清，有待进一步 探索。</w:t>
      </w:r>
    </w:p>
    <w:p w14:paraId="40AD675A">
      <w:pPr>
        <w:pStyle w:val="11"/>
        <w:keepNext w:val="0"/>
        <w:keepLines w:val="0"/>
        <w:widowControl w:val="0"/>
        <w:shd w:val="clear" w:color="auto" w:fill="auto"/>
        <w:bidi w:val="0"/>
        <w:spacing w:before="0" w:after="80" w:line="341" w:lineRule="exact"/>
        <w:ind w:left="0" w:right="0" w:firstLine="0"/>
        <w:jc w:val="left"/>
      </w:pPr>
      <w:r>
        <w:rPr>
          <w:i/>
          <w:iCs/>
          <w:color w:val="000000"/>
          <w:spacing w:val="0"/>
          <w:w w:val="100"/>
          <w:position w:val="0"/>
        </w:rPr>
        <w:t>回</w:t>
      </w:r>
      <w:r>
        <w:rPr>
          <w:color w:val="000000"/>
          <w:spacing w:val="0"/>
          <w:w w:val="100"/>
          <w:position w:val="0"/>
        </w:rPr>
        <w:t>参考文献</w:t>
      </w:r>
    </w:p>
    <w:p w14:paraId="2D2C526C">
      <w:pPr>
        <w:pStyle w:val="33"/>
        <w:keepNext w:val="0"/>
        <w:keepLines w:val="0"/>
        <w:widowControl w:val="0"/>
        <w:shd w:val="clear" w:color="auto" w:fill="auto"/>
        <w:bidi w:val="0"/>
        <w:spacing w:before="0" w:after="0" w:line="315" w:lineRule="exact"/>
        <w:ind w:left="0" w:right="0" w:firstLine="0"/>
        <w:jc w:val="left"/>
      </w:pPr>
      <w:r>
        <w:rPr>
          <w:color w:val="000000"/>
          <w:spacing w:val="0"/>
          <w:w w:val="100"/>
          <w:position w:val="0"/>
        </w:rPr>
        <w:t>张家勇：《基于得利的侵权损害赔偿之规范再造》，载《法学》</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 黄芬:《人格权侵权获利赔偿的请求权基础研究》，载《法商研究》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朱理:《专利侵权损害赔偿计算分摊原则的经济分析》，载《现代法学》</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 缪宇：《获利返还论</w:t>
      </w:r>
      <w:r>
        <w:rPr>
          <w:color w:val="000000"/>
          <w:spacing w:val="0"/>
          <w:w w:val="100"/>
          <w:position w:val="0"/>
          <w:lang w:val="en-US" w:eastAsia="en-US" w:bidi="en-US"/>
        </w:rPr>
        <w:t>一一</w:t>
      </w:r>
      <w:r>
        <w:rPr>
          <w:color w:val="000000"/>
          <w:spacing w:val="0"/>
          <w:w w:val="100"/>
          <w:position w:val="0"/>
        </w:rPr>
        <w:t>以〈侵权责任法〉第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条为中心》，载《法商研究》</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 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0058BC65">
      <w:pPr>
        <w:pStyle w:val="33"/>
        <w:keepNext w:val="0"/>
        <w:keepLines w:val="0"/>
        <w:widowControl w:val="0"/>
        <w:shd w:val="clear" w:color="auto" w:fill="auto"/>
        <w:bidi w:val="0"/>
        <w:spacing w:before="0" w:after="220" w:line="315" w:lineRule="exact"/>
        <w:ind w:left="180" w:right="0" w:hanging="180"/>
        <w:jc w:val="both"/>
        <w:sectPr>
          <w:headerReference r:id="rId533" w:type="default"/>
          <w:headerReference r:id="rId534" w:type="even"/>
          <w:footnotePr>
            <w:numFmt w:val="chicago"/>
          </w:footnotePr>
          <w:pgSz w:w="10099" w:h="14782"/>
          <w:pgMar w:top="1344" w:right="1000" w:bottom="1090" w:left="1107" w:header="0" w:footer="3" w:gutter="0"/>
          <w:pgNumType w:start="455"/>
          <w:cols w:space="720" w:num="1"/>
          <w:rtlGutter w:val="0"/>
          <w:docGrid w:linePitch="360" w:charSpace="0"/>
        </w:sectPr>
      </w:pPr>
      <w:r>
        <w:rPr>
          <w:color w:val="000000"/>
          <w:spacing w:val="0"/>
          <w:w w:val="100"/>
          <w:position w:val="0"/>
        </w:rPr>
        <w:t>朱岩:《“利润剥夺</w:t>
      </w:r>
      <w:r>
        <w:rPr>
          <w:color w:val="000000"/>
          <w:spacing w:val="0"/>
          <w:w w:val="100"/>
          <w:position w:val="0"/>
          <w:lang w:val="zh-CN" w:eastAsia="zh-CN" w:bidi="zh-CN"/>
        </w:rPr>
        <w:t>”的</w:t>
      </w:r>
      <w:r>
        <w:rPr>
          <w:color w:val="000000"/>
          <w:spacing w:val="0"/>
          <w:w w:val="100"/>
          <w:position w:val="0"/>
        </w:rPr>
        <w:t>请求权基础一兼评〈中华人民共和国侵权责任法〉第</w:t>
      </w:r>
      <w:r>
        <w:rPr>
          <w:rFonts w:ascii="Times New Roman" w:hAnsi="Times New Roman" w:eastAsia="Times New Roman" w:cs="Times New Roman"/>
          <w:color w:val="000000"/>
          <w:spacing w:val="0"/>
          <w:w w:val="100"/>
          <w:position w:val="0"/>
          <w:sz w:val="17"/>
          <w:szCs w:val="17"/>
        </w:rPr>
        <w:t>20</w:t>
      </w:r>
      <w:r>
        <w:rPr>
          <w:color w:val="000000"/>
          <w:spacing w:val="0"/>
          <w:w w:val="100"/>
          <w:position w:val="0"/>
        </w:rPr>
        <w:t xml:space="preserve">条》，载《法商研究》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4A404208">
      <w:pPr>
        <w:widowControl w:val="0"/>
        <w:spacing w:line="52" w:lineRule="exact"/>
        <w:rPr>
          <w:sz w:val="4"/>
          <w:szCs w:val="4"/>
        </w:rPr>
      </w:pPr>
    </w:p>
    <w:p w14:paraId="23F60090">
      <w:pPr>
        <w:widowControl w:val="0"/>
        <w:spacing w:line="1" w:lineRule="exact"/>
        <w:sectPr>
          <w:headerReference r:id="rId535" w:type="default"/>
          <w:headerReference r:id="rId536" w:type="even"/>
          <w:footnotePr>
            <w:numFmt w:val="chicago"/>
          </w:footnotePr>
          <w:pgSz w:w="10099" w:h="14782"/>
          <w:pgMar w:top="1268" w:right="1081" w:bottom="1118" w:left="1009" w:header="0" w:footer="3" w:gutter="0"/>
          <w:pgNumType w:start="475"/>
          <w:cols w:space="720" w:num="1"/>
          <w:rtlGutter w:val="0"/>
          <w:docGrid w:linePitch="360" w:charSpace="0"/>
        </w:sectPr>
      </w:pPr>
    </w:p>
    <w:p w14:paraId="4CBB6159">
      <w:pPr>
        <w:widowControl w:val="0"/>
        <w:spacing w:line="1" w:lineRule="exact"/>
      </w:pPr>
      <w:r>
        <mc:AlternateContent>
          <mc:Choice Requires="wps">
            <w:drawing>
              <wp:anchor distT="0" distB="16510" distL="0" distR="0" simplePos="0" relativeHeight="251660288" behindDoc="0" locked="0" layoutInCell="1" allowOverlap="1">
                <wp:simplePos x="0" y="0"/>
                <wp:positionH relativeFrom="page">
                  <wp:posOffset>709295</wp:posOffset>
                </wp:positionH>
                <wp:positionV relativeFrom="paragraph">
                  <wp:posOffset>0</wp:posOffset>
                </wp:positionV>
                <wp:extent cx="448310" cy="304800"/>
                <wp:effectExtent l="0" t="0" r="0" b="0"/>
                <wp:wrapTopAndBottom/>
                <wp:docPr id="1259" name="Shape 1259"/>
                <wp:cNvGraphicFramePr/>
                <a:graphic xmlns:a="http://schemas.openxmlformats.org/drawingml/2006/main">
                  <a:graphicData uri="http://schemas.microsoft.com/office/word/2010/wordprocessingShape">
                    <wps:wsp>
                      <wps:cNvSpPr txBox="1"/>
                      <wps:spPr>
                        <a:xfrm>
                          <a:off x="0" y="0"/>
                          <a:ext cx="448310" cy="304800"/>
                        </a:xfrm>
                        <a:prstGeom prst="rect">
                          <a:avLst/>
                        </a:prstGeom>
                        <a:noFill/>
                      </wps:spPr>
                      <wps:txbx>
                        <w:txbxContent>
                          <w:p w14:paraId="0FD0EC82">
                            <w:pPr>
                              <w:pStyle w:val="27"/>
                              <w:keepNext/>
                              <w:keepLines/>
                              <w:widowControl w:val="0"/>
                              <w:shd w:val="clear" w:color="auto" w:fill="auto"/>
                              <w:bidi w:val="0"/>
                              <w:spacing w:before="0" w:after="0" w:line="240" w:lineRule="auto"/>
                              <w:ind w:left="0" w:right="0" w:firstLine="0"/>
                              <w:jc w:val="left"/>
                            </w:pPr>
                            <w:bookmarkStart w:id="612" w:name="bookmark582"/>
                            <w:bookmarkStart w:id="613" w:name="bookmark584"/>
                            <w:bookmarkStart w:id="614" w:name="bookmark583"/>
                            <w:r>
                              <w:rPr>
                                <w:rFonts w:ascii="Times New Roman" w:hAnsi="Times New Roman" w:eastAsia="Times New Roman" w:cs="Times New Roman"/>
                                <w:color w:val="000000"/>
                                <w:spacing w:val="0"/>
                                <w:w w:val="100"/>
                                <w:position w:val="0"/>
                              </w:rPr>
                              <w:t>093</w:t>
                            </w:r>
                            <w:bookmarkEnd w:id="612"/>
                            <w:bookmarkEnd w:id="613"/>
                            <w:bookmarkEnd w:id="614"/>
                          </w:p>
                        </w:txbxContent>
                      </wps:txbx>
                      <wps:bodyPr wrap="none" lIns="0" tIns="0" rIns="0" bIns="0">
                        <a:noAutofit/>
                      </wps:bodyPr>
                    </wps:wsp>
                  </a:graphicData>
                </a:graphic>
              </wp:anchor>
            </w:drawing>
          </mc:Choice>
          <mc:Fallback>
            <w:pict>
              <v:shape id="Shape 1259" o:spid="_x0000_s1026" o:spt="202" type="#_x0000_t202" style="position:absolute;left:0pt;margin-left:55.85pt;margin-top:0pt;height:24pt;width:35.3pt;mso-position-horizontal-relative:page;mso-wrap-distance-bottom:1.3pt;mso-wrap-distance-top:0pt;mso-wrap-style:none;z-index:251660288;mso-width-relative:page;mso-height-relative:page;" filled="f" stroked="f" coordsize="21600,21600" o:gfxdata="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gHpOJ0wAAAAcB&#10;AAAPAAAAAAAAAAEAIAAAACIAAABkcnMvZG93bnJldi54bWxQSwECFAAUAAAACACHTuJAxTSngq4B&#10;AAB1AwAADgAAAAAAAAABACAAAAAiAQAAZHJzL2Uyb0RvYy54bWxQSwUGAAAAAAYABgBZAQAAQgUA&#10;AAAA&#10;">
                <v:fill on="f" focussize="0,0"/>
                <v:stroke on="f"/>
                <v:imagedata o:title=""/>
                <o:lock v:ext="edit" aspectratio="f"/>
                <v:textbox inset="0mm,0mm,0mm,0mm">
                  <w:txbxContent>
                    <w:p w14:paraId="0FD0EC82">
                      <w:pPr>
                        <w:pStyle w:val="27"/>
                        <w:keepNext/>
                        <w:keepLines/>
                        <w:widowControl w:val="0"/>
                        <w:shd w:val="clear" w:color="auto" w:fill="auto"/>
                        <w:bidi w:val="0"/>
                        <w:spacing w:before="0" w:after="0" w:line="240" w:lineRule="auto"/>
                        <w:ind w:left="0" w:right="0" w:firstLine="0"/>
                        <w:jc w:val="left"/>
                      </w:pPr>
                      <w:bookmarkStart w:id="612" w:name="bookmark582"/>
                      <w:bookmarkStart w:id="613" w:name="bookmark584"/>
                      <w:bookmarkStart w:id="614" w:name="bookmark583"/>
                      <w:r>
                        <w:rPr>
                          <w:rFonts w:ascii="Times New Roman" w:hAnsi="Times New Roman" w:eastAsia="Times New Roman" w:cs="Times New Roman"/>
                          <w:color w:val="000000"/>
                          <w:spacing w:val="0"/>
                          <w:w w:val="100"/>
                          <w:position w:val="0"/>
                        </w:rPr>
                        <w:t>093</w:t>
                      </w:r>
                      <w:bookmarkEnd w:id="612"/>
                      <w:bookmarkEnd w:id="613"/>
                      <w:bookmarkEnd w:id="614"/>
                    </w:p>
                  </w:txbxContent>
                </v:textbox>
                <w10:wrap type="topAndBottom"/>
              </v:shape>
            </w:pict>
          </mc:Fallback>
        </mc:AlternateContent>
      </w:r>
      <w:r>
        <mc:AlternateContent>
          <mc:Choice Requires="wps">
            <w:drawing>
              <wp:anchor distT="86995" distB="0" distL="0" distR="0" simplePos="0" relativeHeight="251660288" behindDoc="0" locked="0" layoutInCell="1" allowOverlap="1">
                <wp:simplePos x="0" y="0"/>
                <wp:positionH relativeFrom="page">
                  <wp:posOffset>1283970</wp:posOffset>
                </wp:positionH>
                <wp:positionV relativeFrom="paragraph">
                  <wp:posOffset>86995</wp:posOffset>
                </wp:positionV>
                <wp:extent cx="2820670" cy="234950"/>
                <wp:effectExtent l="0" t="0" r="0" b="0"/>
                <wp:wrapTopAndBottom/>
                <wp:docPr id="1261" name="Shape 1261"/>
                <wp:cNvGraphicFramePr/>
                <a:graphic xmlns:a="http://schemas.openxmlformats.org/drawingml/2006/main">
                  <a:graphicData uri="http://schemas.microsoft.com/office/word/2010/wordprocessingShape">
                    <wps:wsp>
                      <wps:cNvSpPr txBox="1"/>
                      <wps:spPr>
                        <a:xfrm>
                          <a:off x="0" y="0"/>
                          <a:ext cx="2820670" cy="234950"/>
                        </a:xfrm>
                        <a:prstGeom prst="rect">
                          <a:avLst/>
                        </a:prstGeom>
                        <a:noFill/>
                      </wps:spPr>
                      <wps:txbx>
                        <w:txbxContent>
                          <w:p w14:paraId="033ABC44">
                            <w:pPr>
                              <w:pStyle w:val="15"/>
                              <w:keepNext/>
                              <w:keepLines/>
                              <w:widowControl w:val="0"/>
                              <w:shd w:val="clear" w:color="auto" w:fill="auto"/>
                              <w:bidi w:val="0"/>
                              <w:spacing w:before="0" w:after="0" w:line="240" w:lineRule="auto"/>
                              <w:ind w:left="0" w:right="0" w:firstLine="0"/>
                              <w:jc w:val="left"/>
                            </w:pPr>
                            <w:bookmarkStart w:id="615" w:name="bookmark587"/>
                            <w:bookmarkStart w:id="616" w:name="bookmark585"/>
                            <w:bookmarkStart w:id="617" w:name="bookmark586"/>
                            <w:r>
                              <w:rPr>
                                <w:color w:val="000000"/>
                                <w:spacing w:val="0"/>
                                <w:w w:val="100"/>
                                <w:position w:val="0"/>
                              </w:rPr>
                              <w:t>纯粹经济损失的侵权责任法保护</w:t>
                            </w:r>
                            <w:bookmarkEnd w:id="615"/>
                            <w:bookmarkEnd w:id="616"/>
                            <w:bookmarkEnd w:id="617"/>
                          </w:p>
                        </w:txbxContent>
                      </wps:txbx>
                      <wps:bodyPr wrap="none" lIns="0" tIns="0" rIns="0" bIns="0">
                        <a:noAutofit/>
                      </wps:bodyPr>
                    </wps:wsp>
                  </a:graphicData>
                </a:graphic>
              </wp:anchor>
            </w:drawing>
          </mc:Choice>
          <mc:Fallback>
            <w:pict>
              <v:shape id="Shape 1261" o:spid="_x0000_s1026" o:spt="202" type="#_x0000_t202" style="position:absolute;left:0pt;margin-left:101.1pt;margin-top:6.85pt;height:18.5pt;width:222.1pt;mso-position-horizontal-relative:page;mso-wrap-distance-bottom:0pt;mso-wrap-distance-top:6.85pt;mso-wrap-style:none;z-index:251660288;mso-width-relative:page;mso-height-relative:page;" filled="f" stroked="f" coordsize="21600,21600" o:gfxdata="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B/oI3X&#10;AAAACQEAAA8AAAAAAAAAAQAgAAAAIgAAAGRycy9kb3ducmV2LnhtbFBLAQIUABQAAAAIAIdO4kCf&#10;f3torwEAAHYDAAAOAAAAAAAAAAEAIAAAACYBAABkcnMvZTJvRG9jLnhtbFBLBQYAAAAABgAGAFkB&#10;AABHBQAAAAA=&#10;">
                <v:fill on="f" focussize="0,0"/>
                <v:stroke on="f"/>
                <v:imagedata o:title=""/>
                <o:lock v:ext="edit" aspectratio="f"/>
                <v:textbox inset="0mm,0mm,0mm,0mm">
                  <w:txbxContent>
                    <w:p w14:paraId="033ABC44">
                      <w:pPr>
                        <w:pStyle w:val="15"/>
                        <w:keepNext/>
                        <w:keepLines/>
                        <w:widowControl w:val="0"/>
                        <w:shd w:val="clear" w:color="auto" w:fill="auto"/>
                        <w:bidi w:val="0"/>
                        <w:spacing w:before="0" w:after="0" w:line="240" w:lineRule="auto"/>
                        <w:ind w:left="0" w:right="0" w:firstLine="0"/>
                        <w:jc w:val="left"/>
                      </w:pPr>
                      <w:bookmarkStart w:id="615" w:name="bookmark587"/>
                      <w:bookmarkStart w:id="616" w:name="bookmark585"/>
                      <w:bookmarkStart w:id="617" w:name="bookmark586"/>
                      <w:r>
                        <w:rPr>
                          <w:color w:val="000000"/>
                          <w:spacing w:val="0"/>
                          <w:w w:val="100"/>
                          <w:position w:val="0"/>
                        </w:rPr>
                        <w:t>纯粹经济损失的侵权责任法保护</w:t>
                      </w:r>
                      <w:bookmarkEnd w:id="615"/>
                      <w:bookmarkEnd w:id="616"/>
                      <w:bookmarkEnd w:id="617"/>
                    </w:p>
                  </w:txbxContent>
                </v:textbox>
                <w10:wrap type="topAndBottom"/>
              </v:shape>
            </w:pict>
          </mc:Fallback>
        </mc:AlternateContent>
      </w:r>
    </w:p>
    <w:p w14:paraId="1D4FBB05">
      <w:pPr>
        <w:pStyle w:val="17"/>
        <w:keepNext w:val="0"/>
        <w:keepLines w:val="0"/>
        <w:widowControl w:val="0"/>
        <w:shd w:val="clear" w:color="auto" w:fill="auto"/>
        <w:bidi w:val="0"/>
        <w:spacing w:before="0" w:after="380" w:line="354" w:lineRule="exact"/>
        <w:ind w:left="1000" w:right="0" w:firstLine="0"/>
        <w:jc w:val="both"/>
      </w:pPr>
      <w:r>
        <w:rPr>
          <w:color w:val="000000"/>
          <w:spacing w:val="0"/>
          <w:w w:val="100"/>
          <w:position w:val="0"/>
        </w:rPr>
        <w:t>黔江区永安建筑有限责任公司诉黔江区民族医院、黔江区供电有限责任公司财产 损害赔偿纠纷案</w:t>
      </w:r>
      <w:r>
        <w:rPr>
          <w:color w:val="000000"/>
          <w:spacing w:val="0"/>
          <w:w w:val="100"/>
          <w:position w:val="0"/>
          <w:lang w:val="zh-CN" w:eastAsia="zh-CN" w:bidi="zh-CN"/>
        </w:rPr>
        <w:t>|</w:t>
      </w:r>
      <w:r>
        <w:rPr>
          <w:color w:val="000000"/>
          <w:spacing w:val="0"/>
          <w:w w:val="100"/>
          <w:position w:val="0"/>
        </w:rPr>
        <w:t>重庆市第四中级人民法院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渝四中法民一终字第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号民 事判决书</w:t>
      </w:r>
    </w:p>
    <w:p w14:paraId="456C40F3">
      <w:pPr>
        <w:pStyle w:val="17"/>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李昊北京航空航天大学法学院</w:t>
      </w:r>
    </w:p>
    <w:p w14:paraId="2E50AC18">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事实概要</w:t>
      </w:r>
    </w:p>
    <w:p w14:paraId="40232AA5">
      <w:pPr>
        <w:pStyle w:val="17"/>
        <w:keepNext w:val="0"/>
        <w:keepLines w:val="0"/>
        <w:widowControl w:val="0"/>
        <w:shd w:val="clear" w:color="auto" w:fill="auto"/>
        <w:bidi w:val="0"/>
        <w:spacing w:before="0" w:after="0" w:line="343" w:lineRule="exact"/>
        <w:ind w:left="0" w:right="0" w:firstLine="420"/>
        <w:jc w:val="both"/>
      </w:pP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15 0 9</w:t>
      </w:r>
      <w:r>
        <w:rPr>
          <w:color w:val="000000"/>
          <w:spacing w:val="0"/>
          <w:w w:val="100"/>
          <w:position w:val="0"/>
        </w:rPr>
        <w:t>时许，黔江区永安建筑有限责任公司（一审被告、二审上诉人，以下 简称永安公司）在其承包的金三角河堤段工程的施工过程中,损坏了黔江区供电有限责任 公司（一审被告、二审被上诉人,以下简称供电公司）埋在该地段的</w:t>
      </w:r>
      <w:r>
        <w:rPr>
          <w:rFonts w:ascii="Times New Roman" w:hAnsi="Times New Roman" w:eastAsia="Times New Roman" w:cs="Times New Roman"/>
          <w:color w:val="000000"/>
          <w:spacing w:val="0"/>
          <w:w w:val="100"/>
          <w:position w:val="0"/>
          <w:sz w:val="19"/>
          <w:szCs w:val="19"/>
          <w:lang w:val="en-US" w:eastAsia="en-US" w:bidi="en-US"/>
        </w:rPr>
        <w:t>10KV</w:t>
      </w:r>
      <w:r>
        <w:rPr>
          <w:color w:val="000000"/>
          <w:spacing w:val="0"/>
          <w:w w:val="100"/>
          <w:position w:val="0"/>
        </w:rPr>
        <w:t>电力电缆,导致输 电线路中断,造成黔江区民族医院（一审原告、二审被上诉人，以下简称民族医院）停电</w:t>
      </w:r>
      <w:r>
        <w:rPr>
          <w:rFonts w:ascii="Times New Roman" w:hAnsi="Times New Roman" w:eastAsia="Times New Roman" w:cs="Times New Roman"/>
          <w:color w:val="000000"/>
          <w:spacing w:val="0"/>
          <w:w w:val="100"/>
          <w:position w:val="0"/>
          <w:sz w:val="19"/>
          <w:szCs w:val="19"/>
        </w:rPr>
        <w:t xml:space="preserve">26 </w:t>
      </w:r>
      <w:r>
        <w:rPr>
          <w:color w:val="000000"/>
          <w:spacing w:val="0"/>
          <w:w w:val="100"/>
          <w:position w:val="0"/>
        </w:rPr>
        <w:t>小时，影响了民族医院的正常经营。事故发生后，永安公司于当日支付供电公司电缆维修 材料费</w:t>
      </w:r>
      <w:r>
        <w:rPr>
          <w:rFonts w:ascii="Times New Roman" w:hAnsi="Times New Roman" w:eastAsia="Times New Roman" w:cs="Times New Roman"/>
          <w:color w:val="000000"/>
          <w:spacing w:val="0"/>
          <w:w w:val="100"/>
          <w:position w:val="0"/>
          <w:sz w:val="19"/>
          <w:szCs w:val="19"/>
        </w:rPr>
        <w:t>10,000</w:t>
      </w:r>
      <w:r>
        <w:rPr>
          <w:color w:val="000000"/>
          <w:spacing w:val="0"/>
          <w:w w:val="100"/>
          <w:position w:val="0"/>
        </w:rPr>
        <w:t>元。供电公司于次日上午将被损坏的线路予以修复，并于</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时左右恢复通 电。经查证民族医院从</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日至</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日的经营收入为平均每日</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 xml:space="preserve">万多元，而 </w:t>
      </w:r>
      <w:r>
        <w:rPr>
          <w:rFonts w:ascii="Times New Roman" w:hAnsi="Times New Roman" w:eastAsia="Times New Roman" w:cs="Times New Roman"/>
          <w:color w:val="000000"/>
          <w:spacing w:val="0"/>
          <w:w w:val="100"/>
          <w:position w:val="0"/>
          <w:sz w:val="19"/>
          <w:szCs w:val="19"/>
        </w:rPr>
        <w:t>2005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日的经营收入为</w:t>
      </w:r>
      <w:r>
        <w:rPr>
          <w:rFonts w:ascii="Times New Roman" w:hAnsi="Times New Roman" w:eastAsia="Times New Roman" w:cs="Times New Roman"/>
          <w:color w:val="000000"/>
          <w:spacing w:val="0"/>
          <w:w w:val="100"/>
          <w:position w:val="0"/>
          <w:sz w:val="19"/>
          <w:szCs w:val="19"/>
          <w:lang w:val="en-US" w:eastAsia="en-US" w:bidi="en-US"/>
        </w:rPr>
        <w:t>13246.</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元。民族医院向一审法院起诉，认为永安公司在 施工过程中损坏了供电公司的电缆，致使输电线路中断，导致其因停电而遭受重大经济损 失,请求法院判令永安公司和供电公司连带赔偿其经济损失</w:t>
      </w:r>
      <w:r>
        <w:rPr>
          <w:rFonts w:ascii="Times New Roman" w:hAnsi="Times New Roman" w:eastAsia="Times New Roman" w:cs="Times New Roman"/>
          <w:color w:val="000000"/>
          <w:spacing w:val="0"/>
          <w:w w:val="100"/>
          <w:position w:val="0"/>
          <w:sz w:val="19"/>
          <w:szCs w:val="19"/>
        </w:rPr>
        <w:t>38, 982</w:t>
      </w:r>
      <w:r>
        <w:rPr>
          <w:color w:val="000000"/>
          <w:spacing w:val="0"/>
          <w:w w:val="100"/>
          <w:position w:val="0"/>
        </w:rPr>
        <w:t>元。</w:t>
      </w:r>
    </w:p>
    <w:p w14:paraId="45EB9F6F">
      <w:pPr>
        <w:pStyle w:val="17"/>
        <w:keepNext w:val="0"/>
        <w:keepLines w:val="0"/>
        <w:widowControl w:val="0"/>
        <w:shd w:val="clear" w:color="auto" w:fill="auto"/>
        <w:bidi w:val="0"/>
        <w:spacing w:before="0" w:after="380" w:line="343" w:lineRule="exact"/>
        <w:ind w:left="0" w:right="0" w:firstLine="420"/>
        <w:jc w:val="both"/>
      </w:pPr>
      <w:r>
        <w:rPr>
          <w:color w:val="000000"/>
          <w:spacing w:val="0"/>
          <w:w w:val="100"/>
          <w:position w:val="0"/>
        </w:rPr>
        <w:t>一审法院认为，永安公司在施工过程中损坏电力设施，导致停电事故发生，影响医院的 正常运行，造成其可得收入的减少,其行为符合侵权行为的构成要件。同时《电力法》（此处 系指</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年通过的电力法，于</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年被修正，但案涉法条并无变动）第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 xml:space="preserve">款规定： </w:t>
      </w:r>
      <w:r>
        <w:rPr>
          <w:color w:val="000000"/>
          <w:spacing w:val="0"/>
          <w:w w:val="100"/>
          <w:position w:val="0"/>
          <w:lang w:val="zh-CN" w:eastAsia="zh-CN" w:bidi="zh-CN"/>
        </w:rPr>
        <w:t>“因用</w:t>
      </w:r>
      <w:r>
        <w:rPr>
          <w:color w:val="000000"/>
          <w:spacing w:val="0"/>
          <w:w w:val="100"/>
          <w:position w:val="0"/>
        </w:rPr>
        <w:t>户或第三人的过错给电力企业或其他用户造成损害的,该用户或第三人应当依法承 担赔偿责任</w:t>
      </w:r>
      <w:r>
        <w:rPr>
          <w:color w:val="000000"/>
          <w:spacing w:val="0"/>
          <w:w w:val="100"/>
          <w:position w:val="0"/>
          <w:lang w:val="zh-CN" w:eastAsia="zh-CN" w:bidi="zh-CN"/>
        </w:rPr>
        <w:t>。”故</w:t>
      </w:r>
      <w:r>
        <w:rPr>
          <w:color w:val="000000"/>
          <w:spacing w:val="0"/>
          <w:w w:val="100"/>
          <w:position w:val="0"/>
        </w:rPr>
        <w:t>永安公司理应承担民事赔偿责任。供电公司在其供电设施遭受损坏后积 极履行抢修义务，其行为并无过错,不应承担民事责任。民族医院的损失额以其提供的收 支日报表为参照，结合本案实际情况，酌情认定为</w:t>
      </w:r>
      <w:r>
        <w:rPr>
          <w:rFonts w:ascii="Times New Roman" w:hAnsi="Times New Roman" w:eastAsia="Times New Roman" w:cs="Times New Roman"/>
          <w:color w:val="000000"/>
          <w:spacing w:val="0"/>
          <w:w w:val="100"/>
          <w:position w:val="0"/>
          <w:sz w:val="19"/>
          <w:szCs w:val="19"/>
        </w:rPr>
        <w:t>25, 000</w:t>
      </w:r>
      <w:r>
        <w:rPr>
          <w:color w:val="000000"/>
          <w:spacing w:val="0"/>
          <w:w w:val="100"/>
          <w:position w:val="0"/>
        </w:rPr>
        <w:t>元。永安公司不服一审判决提起 上诉。</w:t>
      </w:r>
    </w:p>
    <w:p w14:paraId="7D7F80FE">
      <w:pPr>
        <w:pStyle w:val="11"/>
        <w:keepNext w:val="0"/>
        <w:keepLines w:val="0"/>
        <w:widowControl w:val="0"/>
        <w:shd w:val="clear" w:color="auto" w:fill="auto"/>
        <w:bidi w:val="0"/>
        <w:spacing w:before="0" w:after="80" w:line="343" w:lineRule="exact"/>
        <w:ind w:left="0" w:right="0" w:firstLine="0"/>
        <w:jc w:val="left"/>
      </w:pPr>
      <w:r>
        <w:rPr>
          <w:color w:val="000000"/>
          <w:spacing w:val="0"/>
          <w:w w:val="100"/>
          <w:position w:val="0"/>
          <w:lang w:val="en-US" w:eastAsia="en-US" w:bidi="en-US"/>
        </w:rPr>
        <w:t>■</w:t>
      </w:r>
      <w:r>
        <w:rPr>
          <w:color w:val="000000"/>
          <w:spacing w:val="0"/>
          <w:w w:val="100"/>
          <w:position w:val="0"/>
        </w:rPr>
        <w:t>判决要旨</w:t>
      </w:r>
    </w:p>
    <w:p w14:paraId="0DDA043D">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撤销一审判决，驳回民族医院的诉讼请求。</w:t>
      </w:r>
    </w:p>
    <w:p w14:paraId="5F73DEBA">
      <w:pPr>
        <w:pStyle w:val="17"/>
        <w:keepNext w:val="0"/>
        <w:keepLines w:val="0"/>
        <w:widowControl w:val="0"/>
        <w:shd w:val="clear" w:color="auto" w:fill="auto"/>
        <w:bidi w:val="0"/>
        <w:spacing w:before="0" w:after="240" w:line="346" w:lineRule="exact"/>
        <w:ind w:left="0" w:right="0" w:firstLine="420"/>
        <w:jc w:val="both"/>
        <w:sectPr>
          <w:footnotePr>
            <w:numFmt w:val="chicago"/>
          </w:footnotePr>
          <w:type w:val="continuous"/>
          <w:pgSz w:w="10099" w:h="14782"/>
          <w:pgMar w:top="1268" w:right="1081" w:bottom="1118" w:left="1009" w:header="840" w:footer="690" w:gutter="0"/>
          <w:cols w:space="720" w:num="1"/>
          <w:rtlGutter w:val="0"/>
          <w:docGrid w:linePitch="360" w:charSpace="0"/>
        </w:sectPr>
      </w:pPr>
      <w:r>
        <w:rPr>
          <w:color w:val="000000"/>
          <w:spacing w:val="0"/>
          <w:w w:val="100"/>
          <w:position w:val="0"/>
        </w:rPr>
        <w:t>第一，供电公司没有对涉案电缆线实施侵权行为,也没有与建筑公司共同实施侵权行 为,故供电公司在本案中不对民族医院负赔偿责任。</w:t>
      </w:r>
    </w:p>
    <w:p w14:paraId="3C29C22D">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第二,加害人对电缆的切断，损害了供电部门的物权，是</w:t>
      </w:r>
      <w:r>
        <w:rPr>
          <w:color w:val="000000"/>
          <w:spacing w:val="0"/>
          <w:w w:val="100"/>
          <w:position w:val="0"/>
          <w:lang w:val="zh-CN" w:eastAsia="zh-CN" w:bidi="zh-CN"/>
        </w:rPr>
        <w:t>“第一</w:t>
      </w:r>
      <w:r>
        <w:rPr>
          <w:color w:val="000000"/>
          <w:spacing w:val="0"/>
          <w:w w:val="100"/>
          <w:position w:val="0"/>
        </w:rPr>
        <w:t>次损害</w:t>
      </w:r>
      <w:r>
        <w:rPr>
          <w:color w:val="000000"/>
          <w:spacing w:val="0"/>
          <w:w w:val="100"/>
          <w:position w:val="0"/>
          <w:lang w:val="zh-CN" w:eastAsia="zh-CN" w:bidi="zh-CN"/>
        </w:rPr>
        <w:t>”，而</w:t>
      </w:r>
      <w:r>
        <w:rPr>
          <w:color w:val="000000"/>
          <w:spacing w:val="0"/>
          <w:w w:val="100"/>
          <w:position w:val="0"/>
        </w:rPr>
        <w:t>电缆线的毁 损致民族医院因供电不能而遭受的损失系</w:t>
      </w:r>
      <w:r>
        <w:rPr>
          <w:color w:val="000000"/>
          <w:spacing w:val="0"/>
          <w:w w:val="100"/>
          <w:position w:val="0"/>
          <w:lang w:val="zh-CN" w:eastAsia="zh-CN" w:bidi="zh-CN"/>
        </w:rPr>
        <w:t>“后</w:t>
      </w:r>
      <w:r>
        <w:rPr>
          <w:color w:val="000000"/>
          <w:spacing w:val="0"/>
          <w:w w:val="100"/>
          <w:position w:val="0"/>
        </w:rPr>
        <w:t>续损害</w:t>
      </w:r>
      <w:r>
        <w:rPr>
          <w:color w:val="000000"/>
          <w:spacing w:val="0"/>
          <w:w w:val="100"/>
          <w:position w:val="0"/>
          <w:lang w:val="zh-CN" w:eastAsia="zh-CN" w:bidi="zh-CN"/>
        </w:rPr>
        <w:t>”，该</w:t>
      </w:r>
      <w:r>
        <w:rPr>
          <w:color w:val="000000"/>
          <w:spacing w:val="0"/>
          <w:w w:val="100"/>
          <w:position w:val="0"/>
        </w:rPr>
        <w:t>后续损害是否应当得到赔偿，须 依据侵权法的基本构成要件，结合民族医院的损失应否属于民法应当保护的法益范围等进 行综合评定。首先,从因果关系要件上看，民族医院的损害与加害人的加害行为之间存有 相当因果关系，民族医院可以基于侵权法的规定向加害人请求损害赔偿;其次，侵权法并没 有对一切权益作同样的保护，而是有所区别，即以</w:t>
      </w:r>
      <w:r>
        <w:rPr>
          <w:color w:val="000000"/>
          <w:spacing w:val="0"/>
          <w:w w:val="100"/>
          <w:position w:val="0"/>
          <w:lang w:val="zh-CN" w:eastAsia="zh-CN" w:bidi="zh-CN"/>
        </w:rPr>
        <w:t>“人”的保</w:t>
      </w:r>
      <w:r>
        <w:rPr>
          <w:color w:val="000000"/>
          <w:spacing w:val="0"/>
          <w:w w:val="100"/>
          <w:position w:val="0"/>
        </w:rPr>
        <w:t>护最为优先;</w:t>
      </w:r>
      <w:r>
        <w:rPr>
          <w:color w:val="000000"/>
          <w:spacing w:val="0"/>
          <w:w w:val="100"/>
          <w:position w:val="0"/>
          <w:lang w:val="zh-CN" w:eastAsia="zh-CN" w:bidi="zh-CN"/>
        </w:rPr>
        <w:t>“所有</w:t>
      </w:r>
      <w:r>
        <w:rPr>
          <w:color w:val="000000"/>
          <w:spacing w:val="0"/>
          <w:w w:val="100"/>
          <w:position w:val="0"/>
        </w:rPr>
        <w:t>权”的保护次 之;“财富”（经济上利益）又次之,仅在严格的要件下，始受保护。本案中的</w:t>
      </w:r>
      <w:r>
        <w:rPr>
          <w:color w:val="000000"/>
          <w:spacing w:val="0"/>
          <w:w w:val="100"/>
          <w:position w:val="0"/>
          <w:lang w:val="zh-CN" w:eastAsia="zh-CN" w:bidi="zh-CN"/>
        </w:rPr>
        <w:t>“后</w:t>
      </w:r>
      <w:r>
        <w:rPr>
          <w:color w:val="000000"/>
          <w:spacing w:val="0"/>
          <w:w w:val="100"/>
          <w:position w:val="0"/>
        </w:rPr>
        <w:t>续损害</w:t>
      </w:r>
      <w:r>
        <w:rPr>
          <w:color w:val="000000"/>
          <w:spacing w:val="0"/>
          <w:w w:val="100"/>
          <w:position w:val="0"/>
          <w:lang w:val="zh-CN" w:eastAsia="zh-CN" w:bidi="zh-CN"/>
        </w:rPr>
        <w:t xml:space="preserve">”，一 </w:t>
      </w:r>
      <w:r>
        <w:rPr>
          <w:color w:val="000000"/>
          <w:spacing w:val="0"/>
          <w:w w:val="100"/>
          <w:position w:val="0"/>
        </w:rPr>
        <w:t>般仅限于因人身权、所有权受损产生才受保护，即除经济损失系因人身或所有权遭受侵害 而发生者外，原则上不予赔偿。再次，在电缆线毁损而导致电力供应中断时,用户所遭受的 多属纯粹经济上损失，以不能营业之损失最为常见，本案既属此情形。纯粹经济上损失系 指被害人直接遭受财产上不利益，而非因人身或物被侵害而发生。除加害人系故意以悖于 善良风俗之方法致用户受损害的特殊情形外，不在赔偿之列。最后,纯粹经济上损失应否 赔偿，一般从以下两个方面进行考量:其一,电力中断会经常发生。事故发生后，人身或物品 未遭受损害的情况下，虽对人们的生活造成不便，有时产生经济上损失，但电力供应短期即 告回复，纵有经济损失，亦属轻微,一般人观念中多认为对此应负容忍义务。其二，被害人对 于此等意外事故,若皆得请求经济上损失赔偿，则其请求权将漫无边际，加重了加害人的赔 偿义务，有违公平正义，也不利于整个社会经济的发展。因此除经济损失系因用户的人身 或所有权遭受侵害而发生外，原则上不予赔偿。基于上述适当限制加害人赔偿责任的政策 考量，对《电力法》第</w:t>
      </w:r>
      <w:r>
        <w:rPr>
          <w:rFonts w:ascii="Times New Roman" w:hAnsi="Times New Roman" w:eastAsia="Times New Roman" w:cs="Times New Roman"/>
          <w:color w:val="000000"/>
          <w:spacing w:val="0"/>
          <w:w w:val="100"/>
          <w:position w:val="0"/>
          <w:sz w:val="19"/>
          <w:szCs w:val="19"/>
        </w:rPr>
        <w:t>60</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款中的</w:t>
      </w:r>
      <w:r>
        <w:rPr>
          <w:color w:val="000000"/>
          <w:spacing w:val="0"/>
          <w:w w:val="100"/>
          <w:position w:val="0"/>
          <w:lang w:val="zh-CN" w:eastAsia="zh-CN" w:bidi="zh-CN"/>
        </w:rPr>
        <w:t>“损害”应限</w:t>
      </w:r>
      <w:r>
        <w:rPr>
          <w:color w:val="000000"/>
          <w:spacing w:val="0"/>
          <w:w w:val="100"/>
          <w:position w:val="0"/>
        </w:rPr>
        <w:t>缩解释为因“人身或所有权遭受侵害而发 生的损害”。由此,二审法院认为本案民族医院要求赔付的停电期间的营业损失在性质属 于纯粹经济上损失,不应获得支持，故撤销一审判决，驳回民族医院的诉讼请求。</w:t>
      </w:r>
    </w:p>
    <w:p w14:paraId="7AB6465D">
      <w:pPr>
        <w:pStyle w:val="11"/>
        <w:keepNext w:val="0"/>
        <w:keepLines w:val="0"/>
        <w:widowControl w:val="0"/>
        <w:shd w:val="clear" w:color="auto" w:fill="auto"/>
        <w:bidi w:val="0"/>
        <w:spacing w:before="0" w:after="220" w:line="341" w:lineRule="exact"/>
        <w:ind w:left="0" w:right="0" w:firstLine="0"/>
        <w:jc w:val="both"/>
      </w:pPr>
      <w:r>
        <w:rPr>
          <w:color w:val="000000"/>
          <w:spacing w:val="0"/>
          <w:w w:val="100"/>
          <w:position w:val="0"/>
        </w:rPr>
        <w:t>■评析</w:t>
      </w:r>
    </w:p>
    <w:p w14:paraId="78E5D29B">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m</w:t>
      </w:r>
      <w:r>
        <w:rPr>
          <w:color w:val="000000"/>
          <w:spacing w:val="0"/>
          <w:w w:val="100"/>
          <w:position w:val="0"/>
        </w:rPr>
        <w:t>本判决的思路和意义</w:t>
      </w:r>
    </w:p>
    <w:p w14:paraId="33CC92A3">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本案焦点在于纯粹经济损失的侵权责任法保护问题。民族医院主张的损失为医院因 停电所遭受的利润损失，二审法院将该损失认定为纯粹经济损失，即非因人身或物（所有 权）受到侵害而直接遭受的财产上的不利益，并认为对于纯粹经济损失，除加害人故意以悖 于善良风俗之方法导致外,侵权责任法一般不予赔偿。法院给出了不予赔偿的政策考量， 即一方面社会大众对于该种损失具有容忍义务;另一方面肯定该种损失赔偿将会导致众多 潜在的受害者请求加害人赔偿损失,导致加害人承担过重的赔偿义务,有违公平正义，也会 阻碍社会经济的发展。</w:t>
      </w:r>
    </w:p>
    <w:p w14:paraId="470A1DB7">
      <w:pPr>
        <w:pStyle w:val="17"/>
        <w:keepNext w:val="0"/>
        <w:keepLines w:val="0"/>
        <w:widowControl w:val="0"/>
        <w:shd w:val="clear" w:color="auto" w:fill="auto"/>
        <w:bidi w:val="0"/>
        <w:spacing w:before="0" w:after="220" w:line="337" w:lineRule="exact"/>
        <w:ind w:left="0" w:right="0" w:firstLine="420"/>
        <w:jc w:val="both"/>
        <w:sectPr>
          <w:headerReference r:id="rId537" w:type="default"/>
          <w:headerReference r:id="rId538" w:type="even"/>
          <w:footnotePr>
            <w:numFmt w:val="chicago"/>
          </w:footnotePr>
          <w:pgSz w:w="10099" w:h="14782"/>
          <w:pgMar w:top="1268" w:right="1081" w:bottom="1118" w:left="1009" w:header="0" w:footer="690" w:gutter="0"/>
          <w:pgNumType w:start="460"/>
          <w:cols w:space="720" w:num="1"/>
          <w:rtlGutter w:val="0"/>
          <w:docGrid w:linePitch="360" w:charSpace="0"/>
        </w:sectPr>
      </w:pPr>
      <w:r>
        <w:rPr>
          <w:color w:val="000000"/>
          <w:spacing w:val="0"/>
          <w:w w:val="100"/>
          <w:position w:val="0"/>
        </w:rPr>
        <w:t>本案中的纯粹经济损失在类型界定上应属于“物之使用不能</w:t>
      </w:r>
      <w:r>
        <w:rPr>
          <w:color w:val="000000"/>
          <w:spacing w:val="0"/>
          <w:w w:val="100"/>
          <w:position w:val="0"/>
          <w:lang w:val="zh-CN" w:eastAsia="zh-CN" w:bidi="zh-CN"/>
        </w:rPr>
        <w:t>”，属</w:t>
      </w:r>
      <w:r>
        <w:rPr>
          <w:color w:val="000000"/>
          <w:spacing w:val="0"/>
          <w:w w:val="100"/>
          <w:position w:val="0"/>
        </w:rPr>
        <w:t>于典型的反射损害。 本案的裁判意见对于明确纯粹经济损失的概念内涵及纯粹经济损失的侵权责任法保护问 题有重要参考意义。</w:t>
      </w:r>
    </w:p>
    <w:p w14:paraId="35E4D49B">
      <w:pPr>
        <w:pStyle w:val="17"/>
        <w:keepNext w:val="0"/>
        <w:keepLines w:val="0"/>
        <w:widowControl w:val="0"/>
        <w:shd w:val="clear" w:color="auto" w:fill="auto"/>
        <w:bidi w:val="0"/>
        <w:spacing w:before="0" w:after="140" w:line="346"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侵权责任法对于纯粹经济损失的规范及学理</w:t>
      </w:r>
    </w:p>
    <w:p w14:paraId="5C4EEBC9">
      <w:pPr>
        <w:pStyle w:val="17"/>
        <w:keepNext w:val="0"/>
        <w:keepLines w:val="0"/>
        <w:widowControl w:val="0"/>
        <w:shd w:val="clear" w:color="auto" w:fill="auto"/>
        <w:bidi w:val="0"/>
        <w:spacing w:before="0" w:after="0" w:line="346" w:lineRule="exact"/>
        <w:ind w:left="0" w:right="0" w:firstLine="420"/>
        <w:jc w:val="both"/>
      </w:pPr>
      <w:r>
        <w:rPr>
          <w:color w:val="000000"/>
          <w:spacing w:val="0"/>
          <w:w w:val="100"/>
          <w:position w:val="0"/>
        </w:rPr>
        <w:t>我国现行立法中并未出现纯粹经济损失这一概念，而是由学理对其进行了归纳总结。 有学者将其界定为</w:t>
      </w:r>
      <w:r>
        <w:rPr>
          <w:color w:val="000000"/>
          <w:spacing w:val="0"/>
          <w:w w:val="100"/>
          <w:position w:val="0"/>
          <w:lang w:val="zh-CN" w:eastAsia="zh-CN" w:bidi="zh-CN"/>
        </w:rPr>
        <w:t>“被害</w:t>
      </w:r>
      <w:r>
        <w:rPr>
          <w:color w:val="000000"/>
          <w:spacing w:val="0"/>
          <w:w w:val="100"/>
          <w:position w:val="0"/>
        </w:rPr>
        <w:t>人所直接遭受的经济上的不利益或金钱上的损失，它并非是因被 害人的人身或有形财产遭受损害而间接引起的,或者说，它并非被害人所享有的人身权或 物权遭到侵犯而间接引起的</w:t>
      </w:r>
      <w:r>
        <w:rPr>
          <w:color w:val="000000"/>
          <w:spacing w:val="0"/>
          <w:w w:val="100"/>
          <w:position w:val="0"/>
          <w:sz w:val="11"/>
          <w:szCs w:val="11"/>
          <w:lang w:val="zh-CN" w:eastAsia="zh-CN" w:bidi="zh-CN"/>
        </w:rPr>
        <w:t>”（李</w:t>
      </w:r>
      <w:r>
        <w:rPr>
          <w:color w:val="000000"/>
          <w:spacing w:val="0"/>
          <w:w w:val="100"/>
          <w:position w:val="0"/>
          <w:sz w:val="11"/>
          <w:szCs w:val="11"/>
        </w:rPr>
        <w:t>昊:《纯经济上损失赔偿制度研究》，北京大学出版社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sz w:val="11"/>
          <w:szCs w:val="11"/>
        </w:rPr>
        <w:t xml:space="preserve">年版，第 </w:t>
      </w:r>
      <w:r>
        <w:rPr>
          <w:rFonts w:ascii="Times New Roman" w:hAnsi="Times New Roman" w:eastAsia="Times New Roman" w:cs="Times New Roman"/>
          <w:color w:val="000000"/>
          <w:spacing w:val="0"/>
          <w:w w:val="100"/>
          <w:position w:val="0"/>
          <w:sz w:val="17"/>
          <w:szCs w:val="17"/>
        </w:rPr>
        <w:t>7</w:t>
      </w:r>
      <w:r>
        <w:rPr>
          <w:color w:val="000000"/>
          <w:spacing w:val="0"/>
          <w:w w:val="100"/>
          <w:position w:val="0"/>
          <w:sz w:val="11"/>
          <w:szCs w:val="11"/>
        </w:rPr>
        <w:t>页）</w:t>
      </w:r>
      <w:r>
        <w:rPr>
          <w:color w:val="000000"/>
          <w:spacing w:val="0"/>
          <w:w w:val="100"/>
          <w:position w:val="0"/>
        </w:rPr>
        <w:t>，该种界定对纯粹经济损失的范围采取了较为宽泛的认定。其他学者对纯粹经济损失 的界定在概念的核心特征上与上述观点基本保持一致,但是在范围认定上或多或少有一定 的限缩，如有学者将其界定为“并非通过对被侵害人的人身和确定的财产权利造成的实质 损害而产生的费用损失</w:t>
      </w:r>
      <w:r>
        <w:rPr>
          <w:color w:val="000000"/>
          <w:spacing w:val="0"/>
          <w:w w:val="100"/>
          <w:position w:val="0"/>
          <w:sz w:val="11"/>
          <w:szCs w:val="11"/>
          <w:lang w:val="zh-CN" w:eastAsia="zh-CN" w:bidi="zh-CN"/>
        </w:rPr>
        <w:t>”（张</w:t>
      </w:r>
      <w:r>
        <w:rPr>
          <w:color w:val="000000"/>
          <w:spacing w:val="0"/>
          <w:w w:val="100"/>
          <w:position w:val="0"/>
          <w:sz w:val="11"/>
          <w:szCs w:val="11"/>
        </w:rPr>
        <w:t>新宝：《侵权责任法》，中国人民大学出版社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199</w:t>
      </w:r>
      <w:r>
        <w:rPr>
          <w:color w:val="000000"/>
          <w:spacing w:val="0"/>
          <w:w w:val="100"/>
          <w:position w:val="0"/>
          <w:sz w:val="11"/>
          <w:szCs w:val="11"/>
        </w:rPr>
        <w:t>页）</w:t>
      </w:r>
      <w:r>
        <w:rPr>
          <w:color w:val="000000"/>
          <w:spacing w:val="0"/>
          <w:w w:val="100"/>
          <w:position w:val="0"/>
        </w:rPr>
        <w:t>，在该 种界定模式下，侵害债权或知识产权等导致的损失就会被排除在纯粹经济损失的范围外。</w:t>
      </w:r>
    </w:p>
    <w:p w14:paraId="0BE7AC67">
      <w:pPr>
        <w:pStyle w:val="17"/>
        <w:keepNext w:val="0"/>
        <w:keepLines w:val="0"/>
        <w:widowControl w:val="0"/>
        <w:shd w:val="clear" w:color="auto" w:fill="auto"/>
        <w:bidi w:val="0"/>
        <w:spacing w:before="0" w:after="0" w:line="347" w:lineRule="exact"/>
        <w:ind w:left="0" w:right="0" w:firstLine="420"/>
        <w:jc w:val="both"/>
      </w:pPr>
      <w:r>
        <w:rPr>
          <w:color w:val="000000"/>
          <w:spacing w:val="0"/>
          <w:w w:val="100"/>
          <w:position w:val="0"/>
        </w:rPr>
        <w:t>我国法律并未完全否定纯粹经济损失的侵权责任法保护，例如原《民法通则》第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 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款规定:</w:t>
      </w:r>
      <w:r>
        <w:rPr>
          <w:color w:val="000000"/>
          <w:spacing w:val="0"/>
          <w:w w:val="100"/>
          <w:position w:val="0"/>
          <w:lang w:val="zh-CN" w:eastAsia="zh-CN" w:bidi="zh-CN"/>
        </w:rPr>
        <w:t>“公民</w:t>
      </w:r>
      <w:r>
        <w:rPr>
          <w:color w:val="000000"/>
          <w:spacing w:val="0"/>
          <w:w w:val="100"/>
          <w:position w:val="0"/>
        </w:rPr>
        <w:t>、法人由于过错侵害国家的、集体的财产，侵害他人财产、人身的应当承 担民事责任。”该条在原《侵权责任法》出台前发挥着侵权责任法一般条款的作用，学界通说 认为该处的</w:t>
      </w:r>
      <w:r>
        <w:rPr>
          <w:color w:val="000000"/>
          <w:spacing w:val="0"/>
          <w:w w:val="100"/>
          <w:position w:val="0"/>
          <w:lang w:val="zh-CN" w:eastAsia="zh-CN" w:bidi="zh-CN"/>
        </w:rPr>
        <w:t>“财产”并</w:t>
      </w:r>
      <w:r>
        <w:rPr>
          <w:color w:val="000000"/>
          <w:spacing w:val="0"/>
          <w:w w:val="100"/>
          <w:position w:val="0"/>
        </w:rPr>
        <w:t>非仅指财产权，还包括财产性利益</w:t>
      </w:r>
      <w:r>
        <w:rPr>
          <w:color w:val="000000"/>
          <w:spacing w:val="0"/>
          <w:w w:val="100"/>
          <w:position w:val="0"/>
          <w:sz w:val="11"/>
          <w:szCs w:val="11"/>
        </w:rPr>
        <w:t>（张新宝、李倩:《纯粹经济损失赔偿规 则：理论、实践及立法选择》，载《法学论坛》</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，这实际上为肯定纯粹经济损失的赔偿 提供了规范基础。本案法院也援引了原《民法通则》第</w:t>
      </w:r>
      <w:r>
        <w:rPr>
          <w:rFonts w:ascii="Times New Roman" w:hAnsi="Times New Roman" w:eastAsia="Times New Roman" w:cs="Times New Roman"/>
          <w:color w:val="000000"/>
          <w:spacing w:val="0"/>
          <w:w w:val="100"/>
          <w:position w:val="0"/>
          <w:sz w:val="17"/>
          <w:szCs w:val="17"/>
        </w:rPr>
        <w:t>106</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款作为裁判依据,且认为 经济上利益也可受到侵权责任法的保护,但限于其中的附随经济损失，纯粹经济损失原则 上则不予赔偿。在原《侵权责任法》颁布后，学界对于该法第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120</w:t>
      </w:r>
      <w:r>
        <w:rPr>
          <w:color w:val="000000"/>
          <w:spacing w:val="0"/>
          <w:w w:val="100"/>
          <w:position w:val="0"/>
        </w:rPr>
        <w:t xml:space="preserve">条与第 </w:t>
      </w:r>
      <w:r>
        <w:rPr>
          <w:rFonts w:ascii="Times New Roman" w:hAnsi="Times New Roman" w:eastAsia="Times New Roman" w:cs="Times New Roman"/>
          <w:color w:val="000000"/>
          <w:spacing w:val="0"/>
          <w:w w:val="100"/>
          <w:position w:val="0"/>
          <w:sz w:val="17"/>
          <w:szCs w:val="17"/>
        </w:rPr>
        <w:t>1164</w:t>
      </w:r>
      <w:r>
        <w:rPr>
          <w:color w:val="000000"/>
          <w:spacing w:val="0"/>
          <w:w w:val="100"/>
          <w:position w:val="0"/>
        </w:rPr>
        <w:t>条）中“民事权益</w:t>
      </w:r>
      <w:r>
        <w:rPr>
          <w:color w:val="000000"/>
          <w:spacing w:val="0"/>
          <w:w w:val="100"/>
          <w:position w:val="0"/>
          <w:lang w:val="zh-CN" w:eastAsia="zh-CN" w:bidi="zh-CN"/>
        </w:rPr>
        <w:t>”“财</w:t>
      </w:r>
      <w:r>
        <w:rPr>
          <w:color w:val="000000"/>
          <w:spacing w:val="0"/>
          <w:w w:val="100"/>
          <w:position w:val="0"/>
        </w:rPr>
        <w:t>产权益</w:t>
      </w:r>
      <w:r>
        <w:rPr>
          <w:color w:val="000000"/>
          <w:spacing w:val="0"/>
          <w:w w:val="100"/>
          <w:position w:val="0"/>
          <w:lang w:val="zh-CN" w:eastAsia="zh-CN" w:bidi="zh-CN"/>
        </w:rPr>
        <w:t>”的表</w:t>
      </w:r>
      <w:r>
        <w:rPr>
          <w:color w:val="000000"/>
          <w:spacing w:val="0"/>
          <w:w w:val="100"/>
          <w:position w:val="0"/>
        </w:rPr>
        <w:t>述展开了讨论，主流观点认为第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条所称权益既包 括权利也包括利益，纯粹经济损失依然可以受到侵权责任法的保护</w:t>
      </w:r>
      <w:r>
        <w:rPr>
          <w:color w:val="000000"/>
          <w:spacing w:val="0"/>
          <w:w w:val="100"/>
          <w:position w:val="0"/>
          <w:sz w:val="11"/>
          <w:szCs w:val="11"/>
        </w:rPr>
        <w:t>（张新宝:《侵权责任法》，中 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199</w:t>
      </w:r>
      <w:r>
        <w:rPr>
          <w:color w:val="000000"/>
          <w:spacing w:val="0"/>
          <w:w w:val="100"/>
          <w:position w:val="0"/>
          <w:sz w:val="11"/>
          <w:szCs w:val="11"/>
        </w:rPr>
        <w:t>页；王利明：《侵权责任法》，中国人民大学出版社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 xml:space="preserve">29 </w:t>
      </w:r>
      <w:r>
        <w:rPr>
          <w:color w:val="000000"/>
          <w:spacing w:val="0"/>
          <w:w w:val="100"/>
          <w:position w:val="0"/>
          <w:sz w:val="11"/>
          <w:szCs w:val="11"/>
        </w:rPr>
        <w:t>页；葛云松:《〈侵权责任法〉保护的民事权益》，载《中国法学》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期）。</w:t>
      </w:r>
      <w:r>
        <w:rPr>
          <w:color w:val="000000"/>
          <w:spacing w:val="0"/>
          <w:w w:val="100"/>
          <w:position w:val="0"/>
        </w:rPr>
        <w:t>此外还有诸多类型 的纯粹经济损失被法律专门规定,并得到侵权责任法的保护。例如，《民法典》第</w:t>
      </w:r>
      <w:r>
        <w:rPr>
          <w:rFonts w:ascii="Times New Roman" w:hAnsi="Times New Roman" w:eastAsia="Times New Roman" w:cs="Times New Roman"/>
          <w:color w:val="000000"/>
          <w:spacing w:val="0"/>
          <w:w w:val="100"/>
          <w:position w:val="0"/>
          <w:sz w:val="17"/>
          <w:szCs w:val="17"/>
        </w:rPr>
        <w:t>1181</w:t>
      </w:r>
      <w:r>
        <w:rPr>
          <w:color w:val="000000"/>
          <w:spacing w:val="0"/>
          <w:w w:val="100"/>
          <w:position w:val="0"/>
        </w:rPr>
        <w:t xml:space="preserve">条第 </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款就肯定了第三人为被侵权人支付的医疗费和丧葬费可以获赔，《民法典》第</w:t>
      </w:r>
      <w:r>
        <w:rPr>
          <w:rFonts w:ascii="Times New Roman" w:hAnsi="Times New Roman" w:eastAsia="Times New Roman" w:cs="Times New Roman"/>
          <w:color w:val="000000"/>
          <w:spacing w:val="0"/>
          <w:w w:val="100"/>
          <w:position w:val="0"/>
          <w:sz w:val="17"/>
          <w:szCs w:val="17"/>
        </w:rPr>
        <w:t>1202</w:t>
      </w:r>
      <w:r>
        <w:rPr>
          <w:color w:val="000000"/>
          <w:spacing w:val="0"/>
          <w:w w:val="100"/>
          <w:position w:val="0"/>
        </w:rPr>
        <w:t>条肯定 了对产品伤害他人的赔偿，《民法典》第</w:t>
      </w:r>
      <w:r>
        <w:rPr>
          <w:rFonts w:ascii="Times New Roman" w:hAnsi="Times New Roman" w:eastAsia="Times New Roman" w:cs="Times New Roman"/>
          <w:color w:val="000000"/>
          <w:spacing w:val="0"/>
          <w:w w:val="100"/>
          <w:position w:val="0"/>
          <w:sz w:val="17"/>
          <w:szCs w:val="17"/>
        </w:rPr>
        <w:t>1229</w:t>
      </w:r>
      <w:r>
        <w:rPr>
          <w:color w:val="000000"/>
          <w:spacing w:val="0"/>
          <w:w w:val="100"/>
          <w:position w:val="0"/>
        </w:rPr>
        <w:t>条肯定了因环境污染、破坏生态对他人造成的 纯粹经济损失承担侵权责任。</w:t>
      </w:r>
    </w:p>
    <w:p w14:paraId="0EFF269E">
      <w:pPr>
        <w:pStyle w:val="17"/>
        <w:keepNext w:val="0"/>
        <w:keepLines w:val="0"/>
        <w:widowControl w:val="0"/>
        <w:shd w:val="clear" w:color="auto" w:fill="auto"/>
        <w:bidi w:val="0"/>
        <w:spacing w:before="0" w:after="0" w:line="340" w:lineRule="exact"/>
        <w:ind w:left="0" w:right="0" w:firstLine="420"/>
        <w:jc w:val="both"/>
        <w:rPr>
          <w:sz w:val="11"/>
          <w:szCs w:val="11"/>
        </w:rPr>
        <w:sectPr>
          <w:headerReference r:id="rId539" w:type="default"/>
          <w:headerReference r:id="rId540" w:type="even"/>
          <w:footnotePr>
            <w:numFmt w:val="chicago"/>
          </w:footnotePr>
          <w:pgSz w:w="10099" w:h="14782"/>
          <w:pgMar w:top="1268" w:right="1081" w:bottom="1118" w:left="1009" w:header="0" w:footer="690" w:gutter="0"/>
          <w:pgNumType w:start="477"/>
          <w:cols w:space="720" w:num="1"/>
          <w:rtlGutter w:val="0"/>
          <w:docGrid w:linePitch="360" w:charSpace="0"/>
        </w:sectPr>
      </w:pPr>
      <w:r>
        <w:rPr>
          <w:color w:val="000000"/>
          <w:spacing w:val="0"/>
          <w:w w:val="100"/>
          <w:position w:val="0"/>
          <w:sz w:val="18"/>
          <w:szCs w:val="18"/>
        </w:rPr>
        <w:t>虽然我国的侵权责任法并未明确排除对纯粹经济损失的赔偿，但在上述法定类型之外 的纯粹经济损失是否应予赔偿仍存在争议。否定说认为支持纯粹经济损失的侵权责任法 救济会导致加害人承担不合理的经济负担进而侵害其行为自由、侵权责任法过度侵蚀合同 法的适用领域、产生滥诉现象、此种损失一般人负有容忍义务等</w:t>
      </w:r>
      <w:r>
        <w:rPr>
          <w:color w:val="000000"/>
          <w:spacing w:val="0"/>
          <w:w w:val="100"/>
          <w:position w:val="0"/>
          <w:sz w:val="11"/>
          <w:szCs w:val="11"/>
        </w:rPr>
        <w:t>（张新宝、李倩:《纯粹经济损失 赔偿规则：理论、实践及立法选择》，载《法学论坛》</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期；葛云松:《纯粹经济损失的赔偿与一般 侵权行为条款》，载《中外法学》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r>
        <w:rPr>
          <w:color w:val="000000"/>
          <w:spacing w:val="0"/>
          <w:w w:val="100"/>
          <w:position w:val="0"/>
          <w:sz w:val="18"/>
          <w:szCs w:val="18"/>
        </w:rPr>
        <w:t>而肯定说则主张在个案中，受损当事人范围确 定，也能为行为人所能预见，对此进行赔偿并不会给行为人造成过重负担、将纯粹经济损失 排除在侵权责任法保护范围之外可能损害受害人的利益等</w:t>
      </w:r>
      <w:r>
        <w:rPr>
          <w:color w:val="000000"/>
          <w:spacing w:val="0"/>
          <w:w w:val="100"/>
          <w:position w:val="0"/>
          <w:sz w:val="11"/>
          <w:szCs w:val="11"/>
        </w:rPr>
        <w:t>［张红:《纯粹经济损失赔偿的可能与 限度》，载《武汉科技大学学报》（社会科学版</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 xml:space="preserve">期；朱晓詰、冯洁语：《产品自损、纯粹经济损 </w:t>
      </w:r>
    </w:p>
    <w:p w14:paraId="279E9093">
      <w:pPr>
        <w:pStyle w:val="17"/>
        <w:keepNext w:val="0"/>
        <w:keepLines w:val="0"/>
        <w:widowControl w:val="0"/>
        <w:shd w:val="clear" w:color="auto" w:fill="auto"/>
        <w:bidi w:val="0"/>
        <w:spacing w:before="0" w:after="0" w:line="340" w:lineRule="exact"/>
        <w:ind w:left="0" w:right="0" w:firstLine="0"/>
        <w:jc w:val="both"/>
      </w:pPr>
      <w:r>
        <w:rPr>
          <w:color w:val="000000"/>
          <w:spacing w:val="0"/>
          <w:w w:val="100"/>
          <w:position w:val="0"/>
          <w:sz w:val="11"/>
          <w:szCs w:val="11"/>
        </w:rPr>
        <w:t>失与侵权责任</w:t>
      </w:r>
      <w:r>
        <w:rPr>
          <w:color w:val="000000"/>
          <w:spacing w:val="0"/>
          <w:w w:val="100"/>
          <w:position w:val="0"/>
          <w:sz w:val="11"/>
          <w:szCs w:val="11"/>
          <w:lang w:val="en-US" w:eastAsia="en-US" w:bidi="en-US"/>
        </w:rPr>
        <w:t>一一</w:t>
      </w:r>
      <w:r>
        <w:rPr>
          <w:color w:val="000000"/>
          <w:spacing w:val="0"/>
          <w:w w:val="100"/>
          <w:position w:val="0"/>
          <w:sz w:val="11"/>
          <w:szCs w:val="11"/>
        </w:rPr>
        <w:t>以最高人民法院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908</w:t>
      </w:r>
      <w:r>
        <w:rPr>
          <w:color w:val="000000"/>
          <w:spacing w:val="0"/>
          <w:w w:val="100"/>
          <w:position w:val="0"/>
          <w:sz w:val="11"/>
          <w:szCs w:val="11"/>
        </w:rPr>
        <w:t>号民事裁定书为切入点》，载《交大法学》</w:t>
      </w:r>
      <w:r>
        <w:rPr>
          <w:rFonts w:ascii="Times New Roman" w:hAnsi="Times New Roman" w:eastAsia="Times New Roman" w:cs="Times New Roman"/>
          <w:color w:val="000000"/>
          <w:spacing w:val="0"/>
          <w:w w:val="100"/>
          <w:position w:val="0"/>
          <w:sz w:val="17"/>
          <w:szCs w:val="17"/>
        </w:rPr>
        <w:t xml:space="preserve">2016 </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rPr>
        <w:t>应当认为，对法定类型外的纯粹经济损失的赔偿不宜一概否认或肯定,而是应 当由法官在个案中进行综合的政策考量,并通过类型化的方式来逐步确定应予赔偿或不予 赔偿的纯粹经济损失类型。</w:t>
      </w:r>
    </w:p>
    <w:p w14:paraId="1D89E2EE">
      <w:pPr>
        <w:pStyle w:val="17"/>
        <w:keepNext w:val="0"/>
        <w:keepLines w:val="0"/>
        <w:widowControl w:val="0"/>
        <w:shd w:val="clear" w:color="auto" w:fill="auto"/>
        <w:bidi w:val="0"/>
        <w:spacing w:before="0" w:after="260" w:line="335" w:lineRule="exact"/>
        <w:ind w:left="0" w:right="0" w:firstLine="420"/>
        <w:jc w:val="both"/>
      </w:pPr>
      <w:r>
        <w:rPr>
          <w:color w:val="000000"/>
          <w:spacing w:val="0"/>
          <w:w w:val="100"/>
          <w:position w:val="0"/>
        </w:rPr>
        <w:t>本案中的损失属于反射损害型的</w:t>
      </w:r>
      <w:r>
        <w:rPr>
          <w:color w:val="000000"/>
          <w:spacing w:val="0"/>
          <w:w w:val="100"/>
          <w:position w:val="0"/>
          <w:lang w:val="zh-CN" w:eastAsia="zh-CN" w:bidi="zh-CN"/>
        </w:rPr>
        <w:t>“物之</w:t>
      </w:r>
      <w:r>
        <w:rPr>
          <w:color w:val="000000"/>
          <w:spacing w:val="0"/>
          <w:w w:val="100"/>
          <w:position w:val="0"/>
        </w:rPr>
        <w:t>使用不能”类型的纯粹经济损失，主要体现为营 业损失，国外的司法实践在该类损失的赔偿上存在争议，但英国法和德国法都否认了对其 的赔偿，最重要的理由是为避免加害人</w:t>
      </w:r>
      <w:r>
        <w:rPr>
          <w:color w:val="000000"/>
          <w:spacing w:val="0"/>
          <w:w w:val="100"/>
          <w:position w:val="0"/>
          <w:lang w:val="zh-CN" w:eastAsia="zh-CN" w:bidi="zh-CN"/>
        </w:rPr>
        <w:t>“面</w:t>
      </w:r>
      <w:r>
        <w:rPr>
          <w:color w:val="000000"/>
          <w:spacing w:val="0"/>
          <w:w w:val="100"/>
          <w:position w:val="0"/>
        </w:rPr>
        <w:t>临在不特定时间中,对不特定人员负不特定责任 之危险</w:t>
      </w:r>
      <w:r>
        <w:rPr>
          <w:color w:val="000000"/>
          <w:spacing w:val="0"/>
          <w:w w:val="100"/>
          <w:position w:val="0"/>
          <w:lang w:val="zh-CN" w:eastAsia="zh-CN" w:bidi="zh-CN"/>
        </w:rPr>
        <w:t>”，即</w:t>
      </w:r>
      <w:r>
        <w:rPr>
          <w:color w:val="000000"/>
          <w:spacing w:val="0"/>
          <w:w w:val="100"/>
          <w:position w:val="0"/>
        </w:rPr>
        <w:t>所谓的</w:t>
      </w:r>
      <w:r>
        <w:rPr>
          <w:color w:val="000000"/>
          <w:spacing w:val="0"/>
          <w:w w:val="100"/>
          <w:position w:val="0"/>
          <w:lang w:val="zh-CN" w:eastAsia="zh-CN" w:bidi="zh-CN"/>
        </w:rPr>
        <w:t>“水</w:t>
      </w:r>
      <w:r>
        <w:rPr>
          <w:color w:val="000000"/>
          <w:spacing w:val="0"/>
          <w:w w:val="100"/>
          <w:position w:val="0"/>
        </w:rPr>
        <w:t>闸理论”</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 xml:space="preserve">Flood Gate） </w:t>
      </w:r>
      <w:r>
        <w:rPr>
          <w:rFonts w:ascii="Times New Roman" w:hAnsi="Times New Roman" w:eastAsia="Times New Roman" w:cs="Times New Roman"/>
          <w:color w:val="000000"/>
          <w:spacing w:val="0"/>
          <w:w w:val="100"/>
          <w:position w:val="0"/>
          <w:sz w:val="19"/>
          <w:szCs w:val="19"/>
          <w:vertAlign w:val="subscript"/>
          <w:lang w:val="en-US" w:eastAsia="en-US" w:bidi="en-US"/>
        </w:rPr>
        <w:t>o</w:t>
      </w:r>
      <w:r>
        <w:rPr>
          <w:color w:val="000000"/>
          <w:spacing w:val="0"/>
          <w:w w:val="100"/>
          <w:position w:val="0"/>
        </w:rPr>
        <w:t>本案二审法院亦主要秉持了这一理由。</w:t>
      </w:r>
    </w:p>
    <w:p w14:paraId="337EB677">
      <w:pPr>
        <w:pStyle w:val="17"/>
        <w:keepNext w:val="0"/>
        <w:keepLines w:val="0"/>
        <w:widowControl w:val="0"/>
        <w:shd w:val="clear" w:color="auto" w:fill="auto"/>
        <w:bidi w:val="0"/>
        <w:spacing w:before="0" w:after="0" w:line="41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516EC8C4">
      <w:pPr>
        <w:pStyle w:val="17"/>
        <w:keepNext w:val="0"/>
        <w:keepLines w:val="0"/>
        <w:widowControl w:val="0"/>
        <w:shd w:val="clear" w:color="auto" w:fill="auto"/>
        <w:bidi w:val="0"/>
        <w:spacing w:before="0" w:after="0" w:line="334" w:lineRule="exact"/>
        <w:ind w:left="0" w:right="0" w:firstLine="420"/>
        <w:jc w:val="both"/>
        <w:rPr>
          <w:sz w:val="11"/>
          <w:szCs w:val="11"/>
        </w:rPr>
      </w:pPr>
      <w:r>
        <w:rPr>
          <w:color w:val="000000"/>
          <w:spacing w:val="0"/>
          <w:w w:val="100"/>
          <w:position w:val="0"/>
          <w:sz w:val="18"/>
          <w:szCs w:val="18"/>
        </w:rPr>
        <w:t>在本案中，二审法院否定了对反射损害型的</w:t>
      </w:r>
      <w:r>
        <w:rPr>
          <w:color w:val="000000"/>
          <w:spacing w:val="0"/>
          <w:w w:val="100"/>
          <w:position w:val="0"/>
          <w:sz w:val="18"/>
          <w:szCs w:val="18"/>
          <w:lang w:val="zh-CN" w:eastAsia="zh-CN" w:bidi="zh-CN"/>
        </w:rPr>
        <w:t>“物</w:t>
      </w:r>
      <w:r>
        <w:rPr>
          <w:color w:val="000000"/>
          <w:spacing w:val="0"/>
          <w:w w:val="100"/>
          <w:position w:val="0"/>
          <w:sz w:val="18"/>
          <w:szCs w:val="18"/>
        </w:rPr>
        <w:t>之使用不能”类型的纯粹经济损失（主 要是营业损失）的赔偿,这在该领域属于具有开创性的案例。在本案判决之后，对该类型的 纯粹经济损失，司法实践也基本保持了否定的态度。有法院认为加害人对其撞断他人专用 供电杆，导致他人因电力中断无法营业产生的营业收入损失无需进行赔偿,理由为该种损 失与受害人联系较远</w:t>
      </w:r>
      <w:r>
        <w:rPr>
          <w:color w:val="000000"/>
          <w:spacing w:val="0"/>
          <w:w w:val="100"/>
          <w:position w:val="0"/>
          <w:sz w:val="11"/>
          <w:szCs w:val="11"/>
        </w:rPr>
        <w:t>［湖北省荆门市中级人民法院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鄂</w:t>
      </w:r>
      <w:r>
        <w:rPr>
          <w:rFonts w:ascii="Times New Roman" w:hAnsi="Times New Roman" w:eastAsia="Times New Roman" w:cs="Times New Roman"/>
          <w:color w:val="000000"/>
          <w:spacing w:val="0"/>
          <w:w w:val="100"/>
          <w:position w:val="0"/>
          <w:sz w:val="17"/>
          <w:szCs w:val="17"/>
        </w:rPr>
        <w:t>08</w:t>
      </w:r>
      <w:r>
        <w:rPr>
          <w:color w:val="000000"/>
          <w:spacing w:val="0"/>
          <w:w w:val="100"/>
          <w:position w:val="0"/>
          <w:sz w:val="11"/>
          <w:szCs w:val="11"/>
        </w:rPr>
        <w:t>民终字第</w:t>
      </w:r>
      <w:r>
        <w:rPr>
          <w:rFonts w:ascii="Times New Roman" w:hAnsi="Times New Roman" w:eastAsia="Times New Roman" w:cs="Times New Roman"/>
          <w:color w:val="000000"/>
          <w:spacing w:val="0"/>
          <w:w w:val="100"/>
          <w:position w:val="0"/>
          <w:sz w:val="17"/>
          <w:szCs w:val="17"/>
        </w:rPr>
        <w:t>219</w:t>
      </w:r>
      <w:r>
        <w:rPr>
          <w:color w:val="000000"/>
          <w:spacing w:val="0"/>
          <w:w w:val="100"/>
          <w:position w:val="0"/>
          <w:sz w:val="11"/>
          <w:szCs w:val="11"/>
        </w:rPr>
        <w:t>号民事判决书］。</w:t>
      </w:r>
      <w:r>
        <w:rPr>
          <w:color w:val="000000"/>
          <w:spacing w:val="0"/>
          <w:w w:val="100"/>
          <w:position w:val="0"/>
          <w:sz w:val="18"/>
          <w:szCs w:val="18"/>
        </w:rPr>
        <w:t>当 然该案有其特殊性，即加害人的行为只导致某一特定主体停电停产，而非使潜在的不特定 主体受损，但其本质上也应归属于反射损失型的“物之使用不能</w:t>
      </w:r>
      <w:r>
        <w:rPr>
          <w:color w:val="000000"/>
          <w:spacing w:val="0"/>
          <w:w w:val="100"/>
          <w:position w:val="0"/>
          <w:sz w:val="18"/>
          <w:szCs w:val="18"/>
          <w:lang w:val="zh-CN" w:eastAsia="zh-CN" w:bidi="zh-CN"/>
        </w:rPr>
        <w:t>”损失</w:t>
      </w:r>
      <w:r>
        <w:rPr>
          <w:color w:val="000000"/>
          <w:spacing w:val="0"/>
          <w:w w:val="100"/>
          <w:position w:val="0"/>
          <w:sz w:val="18"/>
          <w:szCs w:val="18"/>
        </w:rPr>
        <w:t>，因此该案法官虽没 有援引</w:t>
      </w:r>
      <w:r>
        <w:rPr>
          <w:color w:val="000000"/>
          <w:spacing w:val="0"/>
          <w:w w:val="100"/>
          <w:position w:val="0"/>
          <w:sz w:val="18"/>
          <w:szCs w:val="18"/>
          <w:lang w:val="zh-CN" w:eastAsia="zh-CN" w:bidi="zh-CN"/>
        </w:rPr>
        <w:t>“水</w:t>
      </w:r>
      <w:r>
        <w:rPr>
          <w:color w:val="000000"/>
          <w:spacing w:val="0"/>
          <w:w w:val="100"/>
          <w:position w:val="0"/>
          <w:sz w:val="18"/>
          <w:szCs w:val="18"/>
        </w:rPr>
        <w:t>闸理论</w:t>
      </w:r>
      <w:r>
        <w:rPr>
          <w:color w:val="000000"/>
          <w:spacing w:val="0"/>
          <w:w w:val="100"/>
          <w:position w:val="0"/>
          <w:sz w:val="18"/>
          <w:szCs w:val="18"/>
          <w:lang w:val="zh-CN" w:eastAsia="zh-CN" w:bidi="zh-CN"/>
        </w:rPr>
        <w:t>”，但</w:t>
      </w:r>
      <w:r>
        <w:rPr>
          <w:color w:val="000000"/>
          <w:spacing w:val="0"/>
          <w:w w:val="100"/>
          <w:position w:val="0"/>
          <w:sz w:val="18"/>
          <w:szCs w:val="18"/>
        </w:rPr>
        <w:t>还是否定了原告的诉求。还有类似案件认为，由于公共运输通道或 公用设施的关闭而造成的非财产和人身的损害是国际上普遍认可的一种典型的纯粹经济 损失,除非法律有特别规定，此类损失通常不予保护和支持</w:t>
      </w:r>
      <w:r>
        <w:rPr>
          <w:color w:val="000000"/>
          <w:spacing w:val="0"/>
          <w:w w:val="100"/>
          <w:position w:val="0"/>
          <w:sz w:val="11"/>
          <w:szCs w:val="11"/>
        </w:rPr>
        <w:t>［上海海事法院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沪</w:t>
      </w:r>
      <w:r>
        <w:rPr>
          <w:rFonts w:ascii="Times New Roman" w:hAnsi="Times New Roman" w:eastAsia="Times New Roman" w:cs="Times New Roman"/>
          <w:color w:val="000000"/>
          <w:spacing w:val="0"/>
          <w:w w:val="100"/>
          <w:position w:val="0"/>
          <w:sz w:val="17"/>
          <w:szCs w:val="17"/>
        </w:rPr>
        <w:t>72</w:t>
      </w:r>
      <w:r>
        <w:rPr>
          <w:color w:val="000000"/>
          <w:spacing w:val="0"/>
          <w:w w:val="100"/>
          <w:position w:val="0"/>
          <w:sz w:val="11"/>
          <w:szCs w:val="11"/>
        </w:rPr>
        <w:t>民初字 第</w:t>
      </w:r>
      <w:r>
        <w:rPr>
          <w:rFonts w:ascii="Times New Roman" w:hAnsi="Times New Roman" w:eastAsia="Times New Roman" w:cs="Times New Roman"/>
          <w:color w:val="000000"/>
          <w:spacing w:val="0"/>
          <w:w w:val="100"/>
          <w:position w:val="0"/>
          <w:sz w:val="17"/>
          <w:szCs w:val="17"/>
        </w:rPr>
        <w:t>899</w:t>
      </w:r>
      <w:r>
        <w:rPr>
          <w:color w:val="000000"/>
          <w:spacing w:val="0"/>
          <w:w w:val="100"/>
          <w:position w:val="0"/>
          <w:sz w:val="11"/>
          <w:szCs w:val="11"/>
        </w:rPr>
        <w:t>号民事判决书］。</w:t>
      </w:r>
    </w:p>
    <w:p w14:paraId="4FFCA78B">
      <w:pPr>
        <w:pStyle w:val="17"/>
        <w:keepNext w:val="0"/>
        <w:keepLines w:val="0"/>
        <w:widowControl w:val="0"/>
        <w:shd w:val="clear" w:color="auto" w:fill="auto"/>
        <w:bidi w:val="0"/>
        <w:spacing w:before="0" w:after="0" w:line="334" w:lineRule="exact"/>
        <w:ind w:left="0" w:right="0" w:firstLine="420"/>
        <w:jc w:val="both"/>
        <w:rPr>
          <w:sz w:val="11"/>
          <w:szCs w:val="11"/>
        </w:rPr>
      </w:pPr>
      <w:r>
        <w:rPr>
          <w:color w:val="000000"/>
          <w:spacing w:val="0"/>
          <w:w w:val="100"/>
          <w:position w:val="0"/>
          <w:sz w:val="18"/>
          <w:szCs w:val="18"/>
        </w:rPr>
        <w:t>而对于其他类型的纯粹经济损失，则不乏持肯定意见的法院判决。例如，在错误保全 型案件中，法院认为侵权人故意超值查封受害人房产,导致受害人无法履行与他人签订的 租赁、转让、经营管理合同，因此产生利润损失，侵权人对此应承担赔偿责任</w:t>
      </w:r>
      <w:r>
        <w:rPr>
          <w:color w:val="000000"/>
          <w:spacing w:val="0"/>
          <w:w w:val="100"/>
          <w:position w:val="0"/>
          <w:sz w:val="11"/>
          <w:szCs w:val="11"/>
        </w:rPr>
        <w:t xml:space="preserve">［最高人民法院 </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1520</w:t>
      </w:r>
      <w:r>
        <w:rPr>
          <w:color w:val="000000"/>
          <w:spacing w:val="0"/>
          <w:w w:val="100"/>
          <w:position w:val="0"/>
          <w:sz w:val="11"/>
          <w:szCs w:val="11"/>
        </w:rPr>
        <w:t>号民事裁定书］;</w:t>
      </w:r>
      <w:r>
        <w:rPr>
          <w:color w:val="000000"/>
          <w:spacing w:val="0"/>
          <w:w w:val="100"/>
          <w:position w:val="0"/>
          <w:sz w:val="18"/>
          <w:szCs w:val="18"/>
        </w:rPr>
        <w:t>在产品自伤案件中，法院认为受害人购买侵权人生产的 存在缺陷的混凝土搅拌站,并出卖由该产品生产出的不达标水泥进而对他人承担的赔偿责 任属于纯粹经济损失,侵权人应予赔偿</w:t>
      </w:r>
      <w:r>
        <w:rPr>
          <w:color w:val="000000"/>
          <w:spacing w:val="0"/>
          <w:w w:val="100"/>
          <w:position w:val="0"/>
          <w:sz w:val="11"/>
          <w:szCs w:val="11"/>
        </w:rPr>
        <w:t>［最高人民法院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民申字第</w:t>
      </w:r>
      <w:r>
        <w:rPr>
          <w:rFonts w:ascii="Times New Roman" w:hAnsi="Times New Roman" w:eastAsia="Times New Roman" w:cs="Times New Roman"/>
          <w:color w:val="000000"/>
          <w:spacing w:val="0"/>
          <w:w w:val="100"/>
          <w:position w:val="0"/>
          <w:sz w:val="17"/>
          <w:szCs w:val="17"/>
        </w:rPr>
        <w:t>908</w:t>
      </w:r>
      <w:r>
        <w:rPr>
          <w:color w:val="000000"/>
          <w:spacing w:val="0"/>
          <w:w w:val="100"/>
          <w:position w:val="0"/>
          <w:sz w:val="11"/>
          <w:szCs w:val="11"/>
        </w:rPr>
        <w:t>号民事裁定书］;</w:t>
      </w:r>
      <w:r>
        <w:rPr>
          <w:color w:val="000000"/>
          <w:spacing w:val="0"/>
          <w:w w:val="100"/>
          <w:position w:val="0"/>
          <w:sz w:val="18"/>
          <w:szCs w:val="18"/>
        </w:rPr>
        <w:t>还有 法院认为，在用人单位拒绝协助劳动者办理注册建造师执业单位变更，导致该劳动者不能 使用注册二级建造师名称在其他单位从事相应的执业活动，因此取得低于持证工作获得的 工作报酬时,此种收入的差额属于纯粹经济损失,用人单位应予赔偿</w:t>
      </w:r>
      <w:r>
        <w:rPr>
          <w:color w:val="000000"/>
          <w:spacing w:val="0"/>
          <w:w w:val="100"/>
          <w:position w:val="0"/>
          <w:sz w:val="11"/>
          <w:szCs w:val="11"/>
        </w:rPr>
        <w:t>［重庆市第一中级人民法 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渝一中法民终字第</w:t>
      </w:r>
      <w:r>
        <w:rPr>
          <w:rFonts w:ascii="Times New Roman" w:hAnsi="Times New Roman" w:eastAsia="Times New Roman" w:cs="Times New Roman"/>
          <w:color w:val="000000"/>
          <w:spacing w:val="0"/>
          <w:w w:val="100"/>
          <w:position w:val="0"/>
          <w:sz w:val="17"/>
          <w:szCs w:val="17"/>
        </w:rPr>
        <w:t>06265</w:t>
      </w:r>
      <w:r>
        <w:rPr>
          <w:color w:val="000000"/>
          <w:spacing w:val="0"/>
          <w:w w:val="100"/>
          <w:position w:val="0"/>
          <w:sz w:val="11"/>
          <w:szCs w:val="11"/>
        </w:rPr>
        <w:t>号民事判决书］。</w:t>
      </w:r>
    </w:p>
    <w:p w14:paraId="6C7008AF">
      <w:pPr>
        <w:pStyle w:val="17"/>
        <w:keepNext w:val="0"/>
        <w:keepLines w:val="0"/>
        <w:widowControl w:val="0"/>
        <w:shd w:val="clear" w:color="auto" w:fill="auto"/>
        <w:bidi w:val="0"/>
        <w:spacing w:before="0" w:after="160" w:line="334" w:lineRule="exact"/>
        <w:ind w:left="0" w:right="0" w:firstLine="420"/>
        <w:jc w:val="both"/>
      </w:pPr>
      <w:r>
        <w:rPr>
          <w:color w:val="000000"/>
          <w:spacing w:val="0"/>
          <w:w w:val="100"/>
          <w:position w:val="0"/>
        </w:rPr>
        <w:t>可见本案所代表的反射损害型的</w:t>
      </w:r>
      <w:r>
        <w:rPr>
          <w:color w:val="000000"/>
          <w:spacing w:val="0"/>
          <w:w w:val="100"/>
          <w:position w:val="0"/>
          <w:lang w:val="zh-CN" w:eastAsia="zh-CN" w:bidi="zh-CN"/>
        </w:rPr>
        <w:t>“物之</w:t>
      </w:r>
      <w:r>
        <w:rPr>
          <w:color w:val="000000"/>
          <w:spacing w:val="0"/>
          <w:w w:val="100"/>
          <w:position w:val="0"/>
        </w:rPr>
        <w:t>使用不能”类纯粹经济损失，在立法没有明确规 制的情况下，司法实践中已形成一般不予赔偿的裁判规则，而其他类型的纯粹经济损失还 有待于司法实践进一步加以类型化以明确赔偿规则。</w:t>
      </w:r>
    </w:p>
    <w:p w14:paraId="4D0E7CAE">
      <w:pPr>
        <w:pStyle w:val="17"/>
        <w:keepNext w:val="0"/>
        <w:keepLines w:val="0"/>
        <w:widowControl w:val="0"/>
        <w:shd w:val="clear" w:color="auto" w:fill="auto"/>
        <w:bidi w:val="0"/>
        <w:spacing w:before="0" w:after="160" w:line="334" w:lineRule="exact"/>
        <w:ind w:left="0" w:right="0" w:firstLine="0"/>
        <w:jc w:val="both"/>
      </w:pPr>
      <w:r>
        <w:rPr>
          <w:color w:val="000000"/>
          <w:spacing w:val="0"/>
          <w:w w:val="100"/>
          <w:position w:val="0"/>
          <w:lang w:val="en-US" w:eastAsia="en-US" w:bidi="en-US"/>
        </w:rPr>
        <w:t>®</w:t>
      </w:r>
      <w:r>
        <w:rPr>
          <w:color w:val="000000"/>
          <w:spacing w:val="0"/>
          <w:w w:val="100"/>
          <w:position w:val="0"/>
        </w:rPr>
        <w:t>本判决的参考意义及将来的课题</w:t>
      </w:r>
    </w:p>
    <w:p w14:paraId="486D8926">
      <w:pPr>
        <w:pStyle w:val="17"/>
        <w:keepNext w:val="0"/>
        <w:keepLines w:val="0"/>
        <w:widowControl w:val="0"/>
        <w:shd w:val="clear" w:color="auto" w:fill="auto"/>
        <w:bidi w:val="0"/>
        <w:spacing w:before="0" w:after="80" w:line="334" w:lineRule="exact"/>
        <w:ind w:left="0" w:right="0" w:firstLine="420"/>
        <w:jc w:val="both"/>
        <w:sectPr>
          <w:headerReference r:id="rId541" w:type="default"/>
          <w:headerReference r:id="rId542" w:type="even"/>
          <w:footnotePr>
            <w:numFmt w:val="chicago"/>
          </w:footnotePr>
          <w:pgSz w:w="10099" w:h="14782"/>
          <w:pgMar w:top="1268" w:right="1081" w:bottom="1118" w:left="1009" w:header="0" w:footer="690" w:gutter="0"/>
          <w:pgNumType w:start="462"/>
          <w:cols w:space="720" w:num="1"/>
          <w:rtlGutter w:val="0"/>
          <w:docGrid w:linePitch="360" w:charSpace="0"/>
        </w:sectPr>
      </w:pPr>
      <w:r>
        <w:rPr>
          <w:color w:val="000000"/>
          <w:spacing w:val="0"/>
          <w:w w:val="100"/>
          <w:position w:val="0"/>
        </w:rPr>
        <w:t>本判决对纯粹经济损失这一概念给出了相对明确的界定，同时排除了对反射损害型的</w:t>
      </w:r>
    </w:p>
    <w:p w14:paraId="7E3AE83F">
      <w:pPr>
        <w:pStyle w:val="17"/>
        <w:keepNext w:val="0"/>
        <w:keepLines w:val="0"/>
        <w:widowControl w:val="0"/>
        <w:shd w:val="clear" w:color="auto" w:fill="auto"/>
        <w:bidi w:val="0"/>
        <w:spacing w:before="0" w:after="360" w:line="343" w:lineRule="exact"/>
        <w:ind w:left="0" w:right="0" w:firstLine="0"/>
        <w:jc w:val="both"/>
      </w:pPr>
      <w:r>
        <w:rPr>
          <w:color w:val="000000"/>
          <w:spacing w:val="0"/>
          <w:w w:val="100"/>
          <w:position w:val="0"/>
          <w:lang w:val="zh-CN" w:eastAsia="zh-CN" w:bidi="zh-CN"/>
        </w:rPr>
        <w:t>“物</w:t>
      </w:r>
      <w:r>
        <w:rPr>
          <w:color w:val="000000"/>
          <w:spacing w:val="0"/>
          <w:w w:val="100"/>
          <w:position w:val="0"/>
        </w:rPr>
        <w:t>之使用不能”类型的纯粹经济损失的赔偿，有助于确立此类型案件适用的一般规则。但 是并不能将该判决理解为一概排除对纯粹经济损失的侵权责任法救济，对其他类型的纯粹 经济损失的侵权责任法保护问题，还需要法官在结合具体案情的基础上，综合考量各方利 益进行类型化的操作才能得出妥适的结论。</w:t>
      </w:r>
    </w:p>
    <w:p w14:paraId="39DE1D6C">
      <w:pPr>
        <w:pStyle w:val="11"/>
        <w:keepNext w:val="0"/>
        <w:keepLines w:val="0"/>
        <w:widowControl w:val="0"/>
        <w:shd w:val="clear" w:color="auto" w:fill="auto"/>
        <w:bidi w:val="0"/>
        <w:spacing w:before="0" w:after="60" w:line="343" w:lineRule="exact"/>
        <w:ind w:left="0" w:right="0" w:firstLine="0"/>
        <w:jc w:val="both"/>
      </w:pPr>
      <w:r>
        <w:rPr>
          <w:color w:val="000000"/>
          <w:spacing w:val="0"/>
          <w:w w:val="100"/>
          <w:position w:val="0"/>
        </w:rPr>
        <w:t>回参考文献</w:t>
      </w:r>
    </w:p>
    <w:p w14:paraId="717A87CD">
      <w:pPr>
        <w:pStyle w:val="33"/>
        <w:keepNext w:val="0"/>
        <w:keepLines w:val="0"/>
        <w:widowControl w:val="0"/>
        <w:shd w:val="clear" w:color="auto" w:fill="auto"/>
        <w:bidi w:val="0"/>
        <w:spacing w:before="0" w:after="0" w:line="311" w:lineRule="exact"/>
        <w:ind w:left="0" w:right="0" w:firstLine="0"/>
        <w:jc w:val="left"/>
      </w:pPr>
      <w:r>
        <w:rPr>
          <w:color w:val="000000"/>
          <w:spacing w:val="0"/>
          <w:w w:val="100"/>
          <w:position w:val="0"/>
        </w:rPr>
        <w:t>李昊:《纯经济上损失赔偿制度研究》，北京大学出版社</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年版」</w:t>
      </w:r>
    </w:p>
    <w:p w14:paraId="0897C8ED">
      <w:pPr>
        <w:pStyle w:val="33"/>
        <w:keepNext w:val="0"/>
        <w:keepLines w:val="0"/>
        <w:widowControl w:val="0"/>
        <w:shd w:val="clear" w:color="auto" w:fill="auto"/>
        <w:bidi w:val="0"/>
        <w:spacing w:before="0" w:after="0" w:line="311" w:lineRule="exact"/>
        <w:ind w:left="0" w:right="0" w:firstLine="0"/>
        <w:jc w:val="both"/>
      </w:pPr>
      <w:r>
        <w:rPr>
          <w:color w:val="000000"/>
          <w:spacing w:val="0"/>
          <w:w w:val="100"/>
          <w:position w:val="0"/>
        </w:rPr>
        <w:t>王利明：《侵权责任法》，中国人民大学出版社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6132BDC7">
      <w:pPr>
        <w:pStyle w:val="33"/>
        <w:keepNext w:val="0"/>
        <w:keepLines w:val="0"/>
        <w:widowControl w:val="0"/>
        <w:shd w:val="clear" w:color="auto" w:fill="auto"/>
        <w:bidi w:val="0"/>
        <w:spacing w:before="0" w:after="0" w:line="311" w:lineRule="exact"/>
        <w:ind w:left="0" w:right="0" w:firstLine="0"/>
        <w:jc w:val="both"/>
      </w:pPr>
      <w:r>
        <w:rPr>
          <w:color w:val="000000"/>
          <w:spacing w:val="0"/>
          <w:w w:val="100"/>
          <w:position w:val="0"/>
        </w:rPr>
        <w:t>杨立新:《侵权责任法》（第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w:t>
      </w:r>
      <w:r>
        <w:rPr>
          <w:color w:val="000000"/>
          <w:spacing w:val="0"/>
          <w:w w:val="100"/>
          <w:position w:val="0"/>
          <w:sz w:val="17"/>
          <w:szCs w:val="17"/>
        </w:rPr>
        <w:t>），</w:t>
      </w:r>
      <w:r>
        <w:rPr>
          <w:color w:val="000000"/>
          <w:spacing w:val="0"/>
          <w:w w:val="100"/>
          <w:position w:val="0"/>
        </w:rPr>
        <w:t>法律出版社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6BCF46C3">
      <w:pPr>
        <w:pStyle w:val="33"/>
        <w:keepNext w:val="0"/>
        <w:keepLines w:val="0"/>
        <w:widowControl w:val="0"/>
        <w:shd w:val="clear" w:color="auto" w:fill="auto"/>
        <w:bidi w:val="0"/>
        <w:spacing w:before="0" w:after="0" w:line="311" w:lineRule="exact"/>
        <w:ind w:left="0" w:right="0" w:firstLine="0"/>
        <w:jc w:val="both"/>
      </w:pPr>
      <w:r>
        <w:rPr>
          <w:color w:val="000000"/>
          <w:spacing w:val="0"/>
          <w:w w:val="100"/>
          <w:position w:val="0"/>
        </w:rPr>
        <w:t>张新宝：《侵权责任法》（第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32141C02">
      <w:pPr>
        <w:pStyle w:val="33"/>
        <w:keepNext w:val="0"/>
        <w:keepLines w:val="0"/>
        <w:widowControl w:val="0"/>
        <w:shd w:val="clear" w:color="auto" w:fill="auto"/>
        <w:bidi w:val="0"/>
        <w:spacing w:before="0" w:after="0" w:line="305" w:lineRule="exact"/>
        <w:ind w:left="0" w:right="0" w:firstLine="0"/>
        <w:jc w:val="both"/>
      </w:pPr>
      <w:r>
        <w:rPr>
          <w:color w:val="000000"/>
          <w:spacing w:val="0"/>
          <w:w w:val="100"/>
          <w:position w:val="0"/>
        </w:rPr>
        <w:t>王泽鉴:《侵权行为法》，北京大学出版社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511D7440">
      <w:pPr>
        <w:pStyle w:val="33"/>
        <w:keepNext w:val="0"/>
        <w:keepLines w:val="0"/>
        <w:widowControl w:val="0"/>
        <w:shd w:val="clear" w:color="auto" w:fill="auto"/>
        <w:bidi w:val="0"/>
        <w:spacing w:before="0" w:after="0" w:line="305" w:lineRule="exact"/>
        <w:ind w:left="200" w:right="0" w:hanging="200"/>
        <w:jc w:val="both"/>
      </w:pPr>
      <w:r>
        <w:rPr>
          <w:color w:val="000000"/>
          <w:spacing w:val="0"/>
          <w:w w:val="100"/>
          <w:position w:val="0"/>
        </w:rPr>
        <w:t>［意］毛罗</w:t>
      </w:r>
      <w:r>
        <w:rPr>
          <w:color w:val="000000"/>
          <w:spacing w:val="0"/>
          <w:w w:val="100"/>
          <w:position w:val="0"/>
          <w:lang w:val="zh-CN" w:eastAsia="zh-CN" w:bidi="zh-CN"/>
        </w:rPr>
        <w:t>•布</w:t>
      </w:r>
      <w:r>
        <w:rPr>
          <w:color w:val="000000"/>
          <w:spacing w:val="0"/>
          <w:w w:val="100"/>
          <w:position w:val="0"/>
        </w:rPr>
        <w:t xml:space="preserve">萨尼、［美］弗农-瓦伦丁 </w:t>
      </w:r>
      <w:r>
        <w:rPr>
          <w:color w:val="000000"/>
          <w:spacing w:val="0"/>
          <w:w w:val="100"/>
          <w:position w:val="0"/>
          <w:lang w:val="zh-CN" w:eastAsia="zh-CN" w:bidi="zh-CN"/>
        </w:rPr>
        <w:t>•帕</w:t>
      </w:r>
      <w:r>
        <w:rPr>
          <w:color w:val="000000"/>
          <w:spacing w:val="0"/>
          <w:w w:val="100"/>
          <w:position w:val="0"/>
        </w:rPr>
        <w:t>尔默主编：《欧洲法中的纯粹经济损失》，张小义、钟洪明 译，法律出版社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w:t>
      </w:r>
    </w:p>
    <w:p w14:paraId="4A067E35">
      <w:pPr>
        <w:pStyle w:val="33"/>
        <w:keepNext w:val="0"/>
        <w:keepLines w:val="0"/>
        <w:widowControl w:val="0"/>
        <w:shd w:val="clear" w:color="auto" w:fill="auto"/>
        <w:bidi w:val="0"/>
        <w:spacing w:before="0" w:after="0" w:line="305" w:lineRule="exact"/>
        <w:ind w:left="200" w:right="0" w:hanging="200"/>
        <w:jc w:val="both"/>
      </w:pPr>
      <w:r>
        <w:rPr>
          <w:color w:val="000000"/>
          <w:spacing w:val="0"/>
          <w:w w:val="100"/>
          <w:position w:val="0"/>
        </w:rPr>
        <w:t>张新宝、李倩:《纯粹经济损失赔偿规则：理论、实践及立法选择》，载《法学论坛》</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EA30CA3">
      <w:pPr>
        <w:pStyle w:val="33"/>
        <w:keepNext w:val="0"/>
        <w:keepLines w:val="0"/>
        <w:widowControl w:val="0"/>
        <w:shd w:val="clear" w:color="auto" w:fill="auto"/>
        <w:bidi w:val="0"/>
        <w:spacing w:before="0" w:after="0" w:line="305" w:lineRule="exact"/>
        <w:ind w:left="200" w:right="0" w:hanging="200"/>
        <w:jc w:val="both"/>
      </w:pPr>
      <w:r>
        <w:rPr>
          <w:color w:val="000000"/>
          <w:spacing w:val="0"/>
          <w:w w:val="100"/>
          <w:position w:val="0"/>
        </w:rPr>
        <w:t>葛云松.:《纯粹经济损失的赔偿与一般侵权行为条款》，载《中外法学》</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ED00EC7">
      <w:pPr>
        <w:pStyle w:val="33"/>
        <w:keepNext w:val="0"/>
        <w:keepLines w:val="0"/>
        <w:widowControl w:val="0"/>
        <w:shd w:val="clear" w:color="auto" w:fill="auto"/>
        <w:bidi w:val="0"/>
        <w:spacing w:before="0" w:after="0" w:line="317" w:lineRule="exact"/>
        <w:ind w:left="200" w:right="0" w:hanging="200"/>
        <w:jc w:val="both"/>
      </w:pPr>
      <w:r>
        <w:rPr>
          <w:color w:val="000000"/>
          <w:spacing w:val="0"/>
          <w:w w:val="100"/>
          <w:position w:val="0"/>
        </w:rPr>
        <w:t>葛云松:《〈侵权责任法〉保护的民事权益》，载《中国法学》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5194C249">
      <w:pPr>
        <w:pStyle w:val="33"/>
        <w:keepNext w:val="0"/>
        <w:keepLines w:val="0"/>
        <w:widowControl w:val="0"/>
        <w:shd w:val="clear" w:color="auto" w:fill="auto"/>
        <w:bidi w:val="0"/>
        <w:spacing w:before="0" w:after="0" w:line="317" w:lineRule="exact"/>
        <w:ind w:left="200" w:right="0" w:hanging="200"/>
        <w:jc w:val="both"/>
      </w:pPr>
      <w:r>
        <w:rPr>
          <w:color w:val="000000"/>
          <w:spacing w:val="0"/>
          <w:w w:val="100"/>
          <w:position w:val="0"/>
        </w:rPr>
        <w:t>朱晓詰、冯洁语:《产品自损、纯粹经济损失与侵权责任——以最高人民法院（</w:t>
      </w:r>
      <w:r>
        <w:rPr>
          <w:rFonts w:ascii="Times New Roman" w:hAnsi="Times New Roman" w:eastAsia="Times New Roman" w:cs="Times New Roman"/>
          <w:color w:val="000000"/>
          <w:spacing w:val="0"/>
          <w:w w:val="100"/>
          <w:position w:val="0"/>
          <w:sz w:val="17"/>
          <w:szCs w:val="17"/>
        </w:rPr>
        <w:t xml:space="preserve">2013 </w:t>
      </w:r>
      <w:r>
        <w:rPr>
          <w:color w:val="000000"/>
          <w:spacing w:val="0"/>
          <w:w w:val="100"/>
          <w:position w:val="0"/>
        </w:rPr>
        <w:t>）民申字第</w:t>
      </w:r>
      <w:r>
        <w:rPr>
          <w:rFonts w:ascii="Times New Roman" w:hAnsi="Times New Roman" w:eastAsia="Times New Roman" w:cs="Times New Roman"/>
          <w:color w:val="000000"/>
          <w:spacing w:val="0"/>
          <w:w w:val="100"/>
          <w:position w:val="0"/>
          <w:sz w:val="17"/>
          <w:szCs w:val="17"/>
        </w:rPr>
        <w:t>908</w:t>
      </w:r>
      <w:r>
        <w:rPr>
          <w:color w:val="000000"/>
          <w:spacing w:val="0"/>
          <w:w w:val="100"/>
          <w:position w:val="0"/>
        </w:rPr>
        <w:t>号民 事裁定书为切入点》，载《交大法学》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2D39FE48">
      <w:pPr>
        <w:pStyle w:val="33"/>
        <w:keepNext w:val="0"/>
        <w:keepLines w:val="0"/>
        <w:widowControl w:val="0"/>
        <w:shd w:val="clear" w:color="auto" w:fill="auto"/>
        <w:bidi w:val="0"/>
        <w:spacing w:before="0" w:after="0" w:line="317" w:lineRule="exact"/>
        <w:ind w:left="0" w:right="0" w:firstLine="0"/>
        <w:jc w:val="both"/>
        <w:sectPr>
          <w:headerReference r:id="rId543" w:type="default"/>
          <w:headerReference r:id="rId544" w:type="even"/>
          <w:footnotePr>
            <w:numFmt w:val="chicago"/>
          </w:footnotePr>
          <w:pgSz w:w="10099" w:h="14782"/>
          <w:pgMar w:top="1268" w:right="1081" w:bottom="1118" w:left="1009" w:header="0" w:footer="690" w:gutter="0"/>
          <w:pgNumType w:start="479"/>
          <w:cols w:space="720" w:num="1"/>
          <w:rtlGutter w:val="0"/>
          <w:docGrid w:linePitch="360" w:charSpace="0"/>
        </w:sectPr>
      </w:pPr>
      <w:r>
        <w:rPr>
          <w:color w:val="000000"/>
          <w:spacing w:val="0"/>
          <w:w w:val="100"/>
          <w:position w:val="0"/>
        </w:rPr>
        <w:t>陈红梅:《论环境侵权中纯粹经济损失的赔偿与控制》，载《华东政法大学学报》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F5B04AD">
      <w:pPr>
        <w:widowControl w:val="0"/>
        <w:spacing w:line="1" w:lineRule="exact"/>
      </w:pPr>
      <w:r>
        <w:drawing>
          <wp:anchor distT="0" distB="277495" distL="114300" distR="3895725" simplePos="0" relativeHeight="251660288" behindDoc="0" locked="0" layoutInCell="1" allowOverlap="1">
            <wp:simplePos x="0" y="0"/>
            <wp:positionH relativeFrom="page">
              <wp:posOffset>848360</wp:posOffset>
            </wp:positionH>
            <wp:positionV relativeFrom="paragraph">
              <wp:posOffset>12700</wp:posOffset>
            </wp:positionV>
            <wp:extent cx="481330" cy="414655"/>
            <wp:effectExtent l="0" t="0" r="1270" b="4445"/>
            <wp:wrapTopAndBottom/>
            <wp:docPr id="1279" name="Shape 1279"/>
            <wp:cNvGraphicFramePr/>
            <a:graphic xmlns:a="http://schemas.openxmlformats.org/drawingml/2006/main">
              <a:graphicData uri="http://schemas.openxmlformats.org/drawingml/2006/picture">
                <pic:pic xmlns:pic="http://schemas.openxmlformats.org/drawingml/2006/picture">
                  <pic:nvPicPr>
                    <pic:cNvPr id="1279" name="Shape 1279"/>
                    <pic:cNvPicPr/>
                  </pic:nvPicPr>
                  <pic:blipFill>
                    <a:blip r:embed="rId709"/>
                    <a:stretch>
                      <a:fillRect/>
                    </a:stretch>
                  </pic:blipFill>
                  <pic:spPr>
                    <a:xfrm>
                      <a:off x="0" y="0"/>
                      <a:ext cx="481330" cy="414655"/>
                    </a:xfrm>
                    <a:prstGeom prst="rect">
                      <a:avLst/>
                    </a:prstGeom>
                  </pic:spPr>
                </pic:pic>
              </a:graphicData>
            </a:graphic>
          </wp:anchor>
        </w:drawing>
      </w:r>
      <w:r>
        <mc:AlternateContent>
          <mc:Choice Requires="wps">
            <w:drawing>
              <wp:anchor distT="38100" distB="0" distL="727075" distR="114300" simplePos="0" relativeHeight="251660288" behindDoc="0" locked="0" layoutInCell="1" allowOverlap="1">
                <wp:simplePos x="0" y="0"/>
                <wp:positionH relativeFrom="page">
                  <wp:posOffset>1461135</wp:posOffset>
                </wp:positionH>
                <wp:positionV relativeFrom="paragraph">
                  <wp:posOffset>50800</wp:posOffset>
                </wp:positionV>
                <wp:extent cx="3649980" cy="650875"/>
                <wp:effectExtent l="0" t="0" r="0" b="0"/>
                <wp:wrapTopAndBottom/>
                <wp:docPr id="1281" name="Shape 1281"/>
                <wp:cNvGraphicFramePr/>
                <a:graphic xmlns:a="http://schemas.openxmlformats.org/drawingml/2006/main">
                  <a:graphicData uri="http://schemas.microsoft.com/office/word/2010/wordprocessingShape">
                    <wps:wsp>
                      <wps:cNvSpPr txBox="1"/>
                      <wps:spPr>
                        <a:xfrm>
                          <a:off x="0" y="0"/>
                          <a:ext cx="3649980" cy="650875"/>
                        </a:xfrm>
                        <a:prstGeom prst="rect">
                          <a:avLst/>
                        </a:prstGeom>
                        <a:noFill/>
                      </wps:spPr>
                      <wps:txbx>
                        <w:txbxContent>
                          <w:p w14:paraId="5B550A79">
                            <w:pPr>
                              <w:pStyle w:val="15"/>
                              <w:keepNext/>
                              <w:keepLines/>
                              <w:widowControl w:val="0"/>
                              <w:shd w:val="clear" w:color="auto" w:fill="auto"/>
                              <w:bidi w:val="0"/>
                              <w:spacing w:before="0" w:after="0" w:line="502" w:lineRule="exact"/>
                              <w:ind w:left="0" w:right="0" w:firstLine="0"/>
                              <w:jc w:val="left"/>
                            </w:pPr>
                            <w:bookmarkStart w:id="618" w:name="bookmark590"/>
                            <w:bookmarkStart w:id="619" w:name="bookmark589"/>
                            <w:bookmarkStart w:id="620" w:name="bookmark588"/>
                            <w:r>
                              <w:rPr>
                                <w:color w:val="000000"/>
                                <w:spacing w:val="0"/>
                                <w:w w:val="100"/>
                                <w:position w:val="0"/>
                              </w:rPr>
                              <w:t>适用公平责任规则是否以存在法律因果关 系为要件</w:t>
                            </w:r>
                            <w:bookmarkEnd w:id="618"/>
                            <w:bookmarkEnd w:id="619"/>
                            <w:bookmarkEnd w:id="620"/>
                          </w:p>
                        </w:txbxContent>
                      </wps:txbx>
                      <wps:bodyPr lIns="0" tIns="0" rIns="0" bIns="0">
                        <a:noAutofit/>
                      </wps:bodyPr>
                    </wps:wsp>
                  </a:graphicData>
                </a:graphic>
              </wp:anchor>
            </w:drawing>
          </mc:Choice>
          <mc:Fallback>
            <w:pict>
              <v:shape id="Shape 1281" o:spid="_x0000_s1026" o:spt="202" type="#_x0000_t202" style="position:absolute;left:0pt;margin-left:115.05pt;margin-top:4pt;height:51.25pt;width:287.4pt;mso-position-horizontal-relative:page;mso-wrap-distance-bottom:0pt;mso-wrap-distance-top:3pt;z-index:251660288;mso-width-relative:page;mso-height-relative:page;" filled="f" stroked="f" coordsize="21600,21600" o:gfxdata="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b8tbU1wAAAAkBAAAP&#10;AAAAAAAAAAEAIAAAACIAAABkcnMvZG93bnJldi54bWxQSwECFAAUAAAACACHTuJAztG4gKcBAABq&#10;AwAADgAAAAAAAAABACAAAAAmAQAAZHJzL2Uyb0RvYy54bWxQSwUGAAAAAAYABgBZAQAAPwUAAAAA&#10;">
                <v:fill on="f" focussize="0,0"/>
                <v:stroke on="f"/>
                <v:imagedata o:title=""/>
                <o:lock v:ext="edit" aspectratio="f"/>
                <v:textbox inset="0mm,0mm,0mm,0mm">
                  <w:txbxContent>
                    <w:p w14:paraId="5B550A79">
                      <w:pPr>
                        <w:pStyle w:val="15"/>
                        <w:keepNext/>
                        <w:keepLines/>
                        <w:widowControl w:val="0"/>
                        <w:shd w:val="clear" w:color="auto" w:fill="auto"/>
                        <w:bidi w:val="0"/>
                        <w:spacing w:before="0" w:after="0" w:line="502" w:lineRule="exact"/>
                        <w:ind w:left="0" w:right="0" w:firstLine="0"/>
                        <w:jc w:val="left"/>
                      </w:pPr>
                      <w:bookmarkStart w:id="618" w:name="bookmark590"/>
                      <w:bookmarkStart w:id="619" w:name="bookmark589"/>
                      <w:bookmarkStart w:id="620" w:name="bookmark588"/>
                      <w:r>
                        <w:rPr>
                          <w:color w:val="000000"/>
                          <w:spacing w:val="0"/>
                          <w:w w:val="100"/>
                          <w:position w:val="0"/>
                        </w:rPr>
                        <w:t>适用公平责任规则是否以存在法律因果关 系为要件</w:t>
                      </w:r>
                      <w:bookmarkEnd w:id="618"/>
                      <w:bookmarkEnd w:id="619"/>
                      <w:bookmarkEnd w:id="620"/>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5304155</wp:posOffset>
            </wp:positionH>
            <wp:positionV relativeFrom="paragraph">
              <wp:posOffset>521335</wp:posOffset>
            </wp:positionV>
            <wp:extent cx="548640" cy="542290"/>
            <wp:effectExtent l="0" t="0" r="10160" b="3810"/>
            <wp:wrapSquare wrapText="left"/>
            <wp:docPr id="1283" name="Shape 1283"/>
            <wp:cNvGraphicFramePr/>
            <a:graphic xmlns:a="http://schemas.openxmlformats.org/drawingml/2006/main">
              <a:graphicData uri="http://schemas.openxmlformats.org/drawingml/2006/picture">
                <pic:pic xmlns:pic="http://schemas.openxmlformats.org/drawingml/2006/picture">
                  <pic:nvPicPr>
                    <pic:cNvPr id="1283" name="Shape 1283"/>
                    <pic:cNvPicPr/>
                  </pic:nvPicPr>
                  <pic:blipFill>
                    <a:blip r:embed="rId710"/>
                    <a:stretch>
                      <a:fillRect/>
                    </a:stretch>
                  </pic:blipFill>
                  <pic:spPr>
                    <a:xfrm>
                      <a:off x="0" y="0"/>
                      <a:ext cx="548640" cy="542290"/>
                    </a:xfrm>
                    <a:prstGeom prst="rect">
                      <a:avLst/>
                    </a:prstGeom>
                  </pic:spPr>
                </pic:pic>
              </a:graphicData>
            </a:graphic>
          </wp:anchor>
        </w:drawing>
      </w:r>
      <w:r>
        <mc:AlternateContent>
          <mc:Choice Requires="wps">
            <w:drawing>
              <wp:anchor distT="0" distB="165100" distL="114300" distR="114300" simplePos="0" relativeHeight="251660288" behindDoc="0" locked="0" layoutInCell="1" allowOverlap="1">
                <wp:simplePos x="0" y="0"/>
                <wp:positionH relativeFrom="page">
                  <wp:posOffset>1466850</wp:posOffset>
                </wp:positionH>
                <wp:positionV relativeFrom="paragraph">
                  <wp:posOffset>938530</wp:posOffset>
                </wp:positionV>
                <wp:extent cx="2101850" cy="161290"/>
                <wp:effectExtent l="0" t="0" r="0" b="0"/>
                <wp:wrapTopAndBottom/>
                <wp:docPr id="1285" name="Shape 1285"/>
                <wp:cNvGraphicFramePr/>
                <a:graphic xmlns:a="http://schemas.openxmlformats.org/drawingml/2006/main">
                  <a:graphicData uri="http://schemas.microsoft.com/office/word/2010/wordprocessingShape">
                    <wps:wsp>
                      <wps:cNvSpPr txBox="1"/>
                      <wps:spPr>
                        <a:xfrm>
                          <a:off x="0" y="0"/>
                          <a:ext cx="2101850" cy="161290"/>
                        </a:xfrm>
                        <a:prstGeom prst="rect">
                          <a:avLst/>
                        </a:prstGeom>
                        <a:noFill/>
                      </wps:spPr>
                      <wps:txbx>
                        <w:txbxContent>
                          <w:p w14:paraId="78E5E746">
                            <w:pPr>
                              <w:pStyle w:val="2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rPr>
                              <w:t>(2017)</w:t>
                            </w:r>
                            <w:r>
                              <w:rPr>
                                <w:rFonts w:ascii="宋体" w:hAnsi="宋体" w:eastAsia="宋体" w:cs="宋体"/>
                                <w:color w:val="000000"/>
                                <w:spacing w:val="0"/>
                                <w:w w:val="100"/>
                                <w:position w:val="0"/>
                                <w:sz w:val="18"/>
                                <w:szCs w:val="18"/>
                              </w:rPr>
                              <w:t>豫</w:t>
                            </w:r>
                            <w:r>
                              <w:rPr>
                                <w:rFonts w:ascii="Times New Roman" w:hAnsi="Times New Roman" w:eastAsia="Times New Roman" w:cs="Times New Roman"/>
                                <w:color w:val="000000"/>
                                <w:spacing w:val="0"/>
                                <w:w w:val="100"/>
                                <w:position w:val="0"/>
                                <w:sz w:val="19"/>
                                <w:szCs w:val="19"/>
                              </w:rPr>
                              <w:t>01</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14848</w:t>
                            </w:r>
                            <w:r>
                              <w:rPr>
                                <w:rFonts w:ascii="宋体" w:hAnsi="宋体" w:eastAsia="宋体" w:cs="宋体"/>
                                <w:color w:val="000000"/>
                                <w:spacing w:val="0"/>
                                <w:w w:val="100"/>
                                <w:position w:val="0"/>
                                <w:sz w:val="18"/>
                                <w:szCs w:val="18"/>
                              </w:rPr>
                              <w:t>号民事判决书</w:t>
                            </w:r>
                          </w:p>
                        </w:txbxContent>
                      </wps:txbx>
                      <wps:bodyPr wrap="none" lIns="0" tIns="0" rIns="0" bIns="0">
                        <a:noAutofit/>
                      </wps:bodyPr>
                    </wps:wsp>
                  </a:graphicData>
                </a:graphic>
              </wp:anchor>
            </w:drawing>
          </mc:Choice>
          <mc:Fallback>
            <w:pict>
              <v:shape id="Shape 1285" o:spid="_x0000_s1026" o:spt="202" type="#_x0000_t202" style="position:absolute;left:0pt;margin-left:115.5pt;margin-top:73.9pt;height:12.7pt;width:165.5pt;mso-position-horizontal-relative:page;mso-wrap-distance-bottom:13pt;mso-wrap-distance-top:0pt;mso-wrap-style:none;z-index:251660288;mso-width-relative:page;mso-height-relative:page;" filled="f" stroked="f" coordsize="21600,21600" o:gfxdata="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itiOfX&#10;AAAACwEAAA8AAAAAAAAAAQAgAAAAIgAAAGRycy9kb3ducmV2LnhtbFBLAQIUABQAAAAIAIdO4kCA&#10;YgNxrwEAAHYDAAAOAAAAAAAAAAEAIAAAACYBAABkcnMvZTJvRG9jLnhtbFBLBQYAAAAABgAGAFkB&#10;AABHBQAAAAA=&#10;">
                <v:fill on="f" focussize="0,0"/>
                <v:stroke on="f"/>
                <v:imagedata o:title=""/>
                <o:lock v:ext="edit" aspectratio="f"/>
                <v:textbox inset="0mm,0mm,0mm,0mm">
                  <w:txbxContent>
                    <w:p w14:paraId="78E5E746">
                      <w:pPr>
                        <w:pStyle w:val="21"/>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9"/>
                          <w:szCs w:val="19"/>
                        </w:rPr>
                        <w:t>(2017)</w:t>
                      </w:r>
                      <w:r>
                        <w:rPr>
                          <w:rFonts w:ascii="宋体" w:hAnsi="宋体" w:eastAsia="宋体" w:cs="宋体"/>
                          <w:color w:val="000000"/>
                          <w:spacing w:val="0"/>
                          <w:w w:val="100"/>
                          <w:position w:val="0"/>
                          <w:sz w:val="18"/>
                          <w:szCs w:val="18"/>
                        </w:rPr>
                        <w:t>豫</w:t>
                      </w:r>
                      <w:r>
                        <w:rPr>
                          <w:rFonts w:ascii="Times New Roman" w:hAnsi="Times New Roman" w:eastAsia="Times New Roman" w:cs="Times New Roman"/>
                          <w:color w:val="000000"/>
                          <w:spacing w:val="0"/>
                          <w:w w:val="100"/>
                          <w:position w:val="0"/>
                          <w:sz w:val="19"/>
                          <w:szCs w:val="19"/>
                        </w:rPr>
                        <w:t>01</w:t>
                      </w:r>
                      <w:r>
                        <w:rPr>
                          <w:rFonts w:ascii="宋体" w:hAnsi="宋体" w:eastAsia="宋体" w:cs="宋体"/>
                          <w:color w:val="000000"/>
                          <w:spacing w:val="0"/>
                          <w:w w:val="100"/>
                          <w:position w:val="0"/>
                          <w:sz w:val="18"/>
                          <w:szCs w:val="18"/>
                        </w:rPr>
                        <w:t>民终</w:t>
                      </w:r>
                      <w:r>
                        <w:rPr>
                          <w:rFonts w:ascii="Times New Roman" w:hAnsi="Times New Roman" w:eastAsia="Times New Roman" w:cs="Times New Roman"/>
                          <w:color w:val="000000"/>
                          <w:spacing w:val="0"/>
                          <w:w w:val="100"/>
                          <w:position w:val="0"/>
                          <w:sz w:val="19"/>
                          <w:szCs w:val="19"/>
                        </w:rPr>
                        <w:t>14848</w:t>
                      </w:r>
                      <w:r>
                        <w:rPr>
                          <w:rFonts w:ascii="宋体" w:hAnsi="宋体" w:eastAsia="宋体" w:cs="宋体"/>
                          <w:color w:val="000000"/>
                          <w:spacing w:val="0"/>
                          <w:w w:val="100"/>
                          <w:position w:val="0"/>
                          <w:sz w:val="18"/>
                          <w:szCs w:val="18"/>
                        </w:rPr>
                        <w:t>号民事判决书</w:t>
                      </w:r>
                    </w:p>
                  </w:txbxContent>
                </v:textbox>
                <w10:wrap type="topAndBottom"/>
              </v:shape>
            </w:pict>
          </mc:Fallback>
        </mc:AlternateContent>
      </w:r>
    </w:p>
    <w:p w14:paraId="07C8D4F3">
      <w:pPr>
        <w:pStyle w:val="17"/>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田九菊诉杨帆生命权纠纷案丨河南省郑州市中级人民法院</w:t>
      </w:r>
    </w:p>
    <w:p w14:paraId="7B601210">
      <w:pPr>
        <w:pStyle w:val="33"/>
        <w:keepNext w:val="0"/>
        <w:keepLines w:val="0"/>
        <w:widowControl w:val="0"/>
        <w:shd w:val="clear" w:color="auto" w:fill="auto"/>
        <w:bidi w:val="0"/>
        <w:spacing w:before="100" w:after="1400" w:line="240" w:lineRule="auto"/>
        <w:ind w:left="0" w:right="0" w:firstLine="0"/>
        <w:jc w:val="right"/>
      </w:pPr>
      <w:r>
        <w:rPr>
          <w:color w:val="000000"/>
          <w:spacing w:val="0"/>
          <w:w w:val="100"/>
          <w:position w:val="0"/>
          <w:sz w:val="18"/>
          <w:szCs w:val="18"/>
        </w:rPr>
        <w:t>王文胜</w:t>
      </w:r>
      <w:r>
        <w:rPr>
          <w:color w:val="000000"/>
          <w:spacing w:val="0"/>
          <w:w w:val="100"/>
          <w:position w:val="0"/>
        </w:rPr>
        <w:t>湖南大学法学院</w:t>
      </w:r>
    </w:p>
    <w:p w14:paraId="48701E3B">
      <w:pPr>
        <w:pStyle w:val="11"/>
        <w:keepNext w:val="0"/>
        <w:keepLines w:val="0"/>
        <w:widowControl w:val="0"/>
        <w:shd w:val="clear" w:color="auto" w:fill="auto"/>
        <w:bidi w:val="0"/>
        <w:spacing w:before="0" w:after="10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3B1518A4">
      <w:pPr>
        <w:pStyle w:val="17"/>
        <w:keepNext w:val="0"/>
        <w:keepLines w:val="0"/>
        <w:widowControl w:val="0"/>
        <w:shd w:val="clear" w:color="auto" w:fill="auto"/>
        <w:bidi w:val="0"/>
        <w:spacing w:before="0" w:after="0" w:line="344" w:lineRule="exact"/>
        <w:ind w:left="0" w:right="0" w:firstLine="420"/>
        <w:jc w:val="both"/>
      </w:pP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时</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分许，受害人段小立与杨帆先后进入金水区</w:t>
      </w:r>
      <w:r>
        <w:rPr>
          <w:rFonts w:ascii="Times New Roman" w:hAnsi="Times New Roman" w:eastAsia="Times New Roman" w:cs="Times New Roman"/>
          <w:color w:val="000000"/>
          <w:spacing w:val="0"/>
          <w:w w:val="100"/>
          <w:position w:val="0"/>
          <w:sz w:val="19"/>
          <w:szCs w:val="19"/>
          <w:lang w:val="en-US" w:eastAsia="en-US" w:bidi="en-US"/>
        </w:rPr>
        <w:t>x x</w:t>
      </w:r>
      <w:r>
        <w:rPr>
          <w:color w:val="000000"/>
          <w:spacing w:val="0"/>
          <w:w w:val="100"/>
          <w:position w:val="0"/>
        </w:rPr>
        <w:t>小区</w:t>
      </w:r>
      <w:r>
        <w:rPr>
          <w:rFonts w:ascii="Times New Roman" w:hAnsi="Times New Roman" w:eastAsia="Times New Roman" w:cs="Times New Roman"/>
          <w:color w:val="000000"/>
          <w:spacing w:val="0"/>
          <w:w w:val="100"/>
          <w:position w:val="0"/>
          <w:sz w:val="19"/>
          <w:szCs w:val="19"/>
          <w:lang w:val="en-US" w:eastAsia="en-US" w:bidi="en-US"/>
        </w:rPr>
        <w:t>x</w:t>
      </w:r>
      <w:r>
        <w:rPr>
          <w:color w:val="000000"/>
          <w:spacing w:val="0"/>
          <w:w w:val="100"/>
          <w:position w:val="0"/>
        </w:rPr>
        <w:t>号楼</w:t>
      </w:r>
      <w:r>
        <w:rPr>
          <w:rFonts w:ascii="Times New Roman" w:hAnsi="Times New Roman" w:eastAsia="Times New Roman" w:cs="Times New Roman"/>
          <w:color w:val="000000"/>
          <w:spacing w:val="0"/>
          <w:w w:val="100"/>
          <w:position w:val="0"/>
          <w:sz w:val="19"/>
          <w:szCs w:val="19"/>
          <w:lang w:val="en-US" w:eastAsia="en-US" w:bidi="en-US"/>
        </w:rPr>
        <w:t xml:space="preserve">x </w:t>
      </w:r>
      <w:r>
        <w:rPr>
          <w:color w:val="000000"/>
          <w:spacing w:val="0"/>
          <w:w w:val="100"/>
          <w:position w:val="0"/>
        </w:rPr>
        <w:t>单元电梯内，因段小立在电梯内吸烟,二人发生言语争执。段小立与杨帆走出电梯后，仍有 言语争执,双方被该小区物业公司的工作人员劝阻后，杨帆离开，段小立同物业公司工作人 员一同进入物业公司办公室。其后,段小立在物业公司办公室突然晕倒</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时</w:t>
      </w:r>
      <w:r>
        <w:rPr>
          <w:rFonts w:ascii="Times New Roman" w:hAnsi="Times New Roman" w:eastAsia="Times New Roman" w:cs="Times New Roman"/>
          <w:color w:val="000000"/>
          <w:spacing w:val="0"/>
          <w:w w:val="100"/>
          <w:position w:val="0"/>
          <w:sz w:val="19"/>
          <w:szCs w:val="19"/>
        </w:rPr>
        <w:t>31</w:t>
      </w:r>
      <w:r>
        <w:rPr>
          <w:color w:val="000000"/>
          <w:spacing w:val="0"/>
          <w:w w:val="100"/>
          <w:position w:val="0"/>
        </w:rPr>
        <w:t>分物业工 作人员呼叫</w:t>
      </w:r>
      <w:r>
        <w:rPr>
          <w:rFonts w:ascii="Times New Roman" w:hAnsi="Times New Roman" w:eastAsia="Times New Roman" w:cs="Times New Roman"/>
          <w:color w:val="000000"/>
          <w:spacing w:val="0"/>
          <w:w w:val="100"/>
          <w:position w:val="0"/>
          <w:sz w:val="19"/>
          <w:szCs w:val="19"/>
        </w:rPr>
        <w:t>“120”</w:t>
      </w:r>
      <w:r>
        <w:rPr>
          <w:color w:val="000000"/>
          <w:spacing w:val="0"/>
          <w:w w:val="100"/>
          <w:position w:val="0"/>
          <w:sz w:val="19"/>
          <w:szCs w:val="19"/>
        </w:rPr>
        <w:t>，</w:t>
      </w:r>
      <w:r>
        <w:rPr>
          <w:color w:val="000000"/>
          <w:spacing w:val="0"/>
          <w:w w:val="100"/>
          <w:position w:val="0"/>
        </w:rPr>
        <w:t>急救人员于</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分钟后到达并当场抢救。最终，段小立经抢救无效死亡。</w:t>
      </w:r>
    </w:p>
    <w:p w14:paraId="7C2715E5">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另查明，事件发生过程中,段小立情绪较为激动，并随着时间的推移情绪激动程度不断 升级;杨帆情绪相对比较冷静、克制;二人只有语言交流,无拉扯行为,无肢体冲突。二人接 触时长不足</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分钟。</w:t>
      </w:r>
    </w:p>
    <w:p w14:paraId="796B6D57">
      <w:pPr>
        <w:pStyle w:val="17"/>
        <w:keepNext w:val="0"/>
        <w:keepLines w:val="0"/>
        <w:widowControl w:val="0"/>
        <w:shd w:val="clear" w:color="auto" w:fill="auto"/>
        <w:bidi w:val="0"/>
        <w:spacing w:before="0" w:after="0" w:line="337" w:lineRule="exact"/>
        <w:ind w:left="0" w:right="0" w:firstLine="420"/>
        <w:jc w:val="both"/>
      </w:pPr>
      <w:r>
        <w:rPr>
          <w:color w:val="000000"/>
          <w:spacing w:val="0"/>
          <w:w w:val="100"/>
          <w:position w:val="0"/>
        </w:rPr>
        <w:t>受害人家属田九菊向法院起诉,请求判令被告杨帆赔偿死亡赔偿金等共计</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余万元。</w:t>
      </w:r>
    </w:p>
    <w:p w14:paraId="5C9BEDB5">
      <w:pPr>
        <w:pStyle w:val="17"/>
        <w:keepNext w:val="0"/>
        <w:keepLines w:val="0"/>
        <w:widowControl w:val="0"/>
        <w:shd w:val="clear" w:color="auto" w:fill="auto"/>
        <w:bidi w:val="0"/>
        <w:spacing w:before="0" w:after="360" w:line="337" w:lineRule="exact"/>
        <w:ind w:left="0" w:right="0" w:firstLine="420"/>
        <w:jc w:val="both"/>
      </w:pPr>
      <w:r>
        <w:rPr>
          <w:color w:val="000000"/>
          <w:spacing w:val="0"/>
          <w:w w:val="100"/>
          <w:position w:val="0"/>
        </w:rPr>
        <w:t>一审法院认为，段小立猝死的结果是杨帆未能预料到的，杨帆的行为与段小立的死亡 之间并无必然的因果关系，但段小立确实在与杨帆发生言语争执后猝死，依照《侵权责任 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条的规定,根据公平原则，酌定杨帆向田九菊补偿</w:t>
      </w:r>
      <w:r>
        <w:rPr>
          <w:rFonts w:ascii="Times New Roman" w:hAnsi="Times New Roman" w:eastAsia="Times New Roman" w:cs="Times New Roman"/>
          <w:color w:val="000000"/>
          <w:spacing w:val="0"/>
          <w:w w:val="100"/>
          <w:position w:val="0"/>
          <w:sz w:val="19"/>
          <w:szCs w:val="19"/>
          <w:lang w:val="en-US" w:eastAsia="en-US" w:bidi="en-US"/>
        </w:rPr>
        <w:t xml:space="preserve">1.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万元。田九菊不服一审判 决，提起上诉。</w:t>
      </w:r>
    </w:p>
    <w:p w14:paraId="5048E2E8">
      <w:pPr>
        <w:pStyle w:val="11"/>
        <w:keepNext w:val="0"/>
        <w:keepLines w:val="0"/>
        <w:widowControl w:val="0"/>
        <w:shd w:val="clear" w:color="auto" w:fill="auto"/>
        <w:bidi w:val="0"/>
        <w:spacing w:before="0" w:after="100" w:line="344"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3E01B2C1">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二审判决撤销一审判决，驳回田九菊的诉讼请求。</w:t>
      </w:r>
    </w:p>
    <w:p w14:paraId="45990234">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适用《侵权责任法》第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条的前提是行为与损害结果之间有法律上的因果关系，且受 害人和行为人对损害的发生都没有过错。本案中杨帆劝阻吸烟行为与段小立死亡结果之 间并无法律上的因果关系，因此，一审判决以段小立确实在与杨帆发生言语争执后猝死为 由，依照《侵权责任法》第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条的规定,适用公平原则判决杨帆补偿田九菊</w:t>
      </w:r>
      <w:r>
        <w:rPr>
          <w:rFonts w:ascii="Times New Roman" w:hAnsi="Times New Roman" w:eastAsia="Times New Roman" w:cs="Times New Roman"/>
          <w:color w:val="000000"/>
          <w:spacing w:val="0"/>
          <w:w w:val="100"/>
          <w:position w:val="0"/>
          <w:sz w:val="19"/>
          <w:szCs w:val="19"/>
          <w:lang w:val="en-US" w:eastAsia="en-US" w:bidi="en-US"/>
        </w:rPr>
        <w:t>1.5</w:t>
      </w:r>
      <w:r>
        <w:rPr>
          <w:color w:val="000000"/>
          <w:spacing w:val="0"/>
          <w:w w:val="100"/>
          <w:position w:val="0"/>
        </w:rPr>
        <w:t>万元，属于 适用法律错误。</w:t>
      </w:r>
    </w:p>
    <w:p w14:paraId="057683B9">
      <w:pPr>
        <w:pStyle w:val="17"/>
        <w:keepNext w:val="0"/>
        <w:keepLines w:val="0"/>
        <w:widowControl w:val="0"/>
        <w:shd w:val="clear" w:color="auto" w:fill="auto"/>
        <w:bidi w:val="0"/>
        <w:spacing w:before="0" w:after="100" w:line="344" w:lineRule="exact"/>
        <w:ind w:left="0" w:right="0" w:firstLine="420"/>
        <w:jc w:val="both"/>
        <w:sectPr>
          <w:headerReference r:id="rId545" w:type="default"/>
          <w:headerReference r:id="rId546" w:type="even"/>
          <w:footnotePr>
            <w:numFmt w:val="chicago"/>
          </w:footnotePr>
          <w:pgSz w:w="10099" w:h="14782"/>
          <w:pgMar w:top="1218" w:right="983" w:bottom="907" w:left="1105" w:header="790" w:footer="479" w:gutter="0"/>
          <w:cols w:space="720" w:num="1"/>
          <w:rtlGutter w:val="0"/>
          <w:docGrid w:linePitch="360" w:charSpace="0"/>
        </w:sectPr>
      </w:pPr>
      <w:r>
        <w:rPr>
          <w:color w:val="000000"/>
          <w:spacing w:val="0"/>
          <w:w w:val="100"/>
          <w:position w:val="0"/>
        </w:rPr>
        <w:t>本案一审判决作出后,杨帆未上诉，但一审判决适用法律错误,损害社会公共利益，依 法应予改判。杨帆对段小立在电梯内吸烟的劝阻行为合法正当，是自觉维护社会公共秩序</w:t>
      </w:r>
    </w:p>
    <w:p w14:paraId="30F3EC64">
      <w:pPr>
        <w:pStyle w:val="17"/>
        <w:keepNext w:val="0"/>
        <w:keepLines w:val="0"/>
        <w:widowControl w:val="0"/>
        <w:shd w:val="clear" w:color="auto" w:fill="auto"/>
        <w:bidi w:val="0"/>
        <w:spacing w:before="0" w:after="360" w:line="342" w:lineRule="exact"/>
        <w:ind w:left="0" w:right="0" w:firstLine="0"/>
        <w:jc w:val="both"/>
      </w:pPr>
      <w:r>
        <w:rPr>
          <w:color w:val="000000"/>
          <w:spacing w:val="0"/>
          <w:w w:val="100"/>
          <w:position w:val="0"/>
        </w:rPr>
        <w:t>和公共利益的行为,一审判决判令杨帆分担损失，让正当行使劝阻吸烟权利的公民承担补 偿责任，将会挫伤公民依法维护社会公共利益的积极性，既是对社会公共利益的损害，也与 民法的立法宗旨相悖，不利于促进社会文明，不利于引导公众共同创造良好的公共环境。</w:t>
      </w:r>
    </w:p>
    <w:p w14:paraId="4F95E329">
      <w:pPr>
        <w:pStyle w:val="11"/>
        <w:keepNext w:val="0"/>
        <w:keepLines w:val="0"/>
        <w:widowControl w:val="0"/>
        <w:shd w:val="clear" w:color="auto" w:fill="auto"/>
        <w:bidi w:val="0"/>
        <w:spacing w:before="0" w:after="0" w:line="342" w:lineRule="exact"/>
        <w:ind w:left="0" w:right="0" w:firstLine="0"/>
        <w:jc w:val="left"/>
      </w:pPr>
      <w:r>
        <w:rPr>
          <w:color w:val="000000"/>
          <w:spacing w:val="0"/>
          <w:w w:val="100"/>
          <w:position w:val="0"/>
        </w:rPr>
        <w:t>■评析</w:t>
      </w:r>
    </w:p>
    <w:p w14:paraId="301CACB2">
      <w:pPr>
        <w:pStyle w:val="17"/>
        <w:keepNext w:val="0"/>
        <w:keepLines w:val="0"/>
        <w:widowControl w:val="0"/>
        <w:shd w:val="clear" w:color="auto" w:fill="auto"/>
        <w:bidi w:val="0"/>
        <w:spacing w:before="0" w:after="0" w:line="342" w:lineRule="exact"/>
        <w:ind w:left="0" w:right="0" w:firstLine="0"/>
        <w:jc w:val="left"/>
      </w:pPr>
      <w:r>
        <w:rPr>
          <w:color w:val="000000"/>
          <w:spacing w:val="0"/>
          <w:w w:val="100"/>
          <w:position w:val="0"/>
        </w:rPr>
        <w:t>田本判决的思路和意义</w:t>
      </w:r>
    </w:p>
    <w:p w14:paraId="3406C278">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一审法院适用原《侵权责任法》第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条，酌定杨帆向田九菊补偿</w:t>
      </w:r>
      <w:r>
        <w:rPr>
          <w:rFonts w:ascii="Times New Roman" w:hAnsi="Times New Roman" w:eastAsia="Times New Roman" w:cs="Times New Roman"/>
          <w:color w:val="000000"/>
          <w:spacing w:val="0"/>
          <w:w w:val="100"/>
          <w:position w:val="0"/>
          <w:sz w:val="17"/>
          <w:szCs w:val="17"/>
          <w:lang w:val="en-US" w:eastAsia="en-US" w:bidi="en-US"/>
        </w:rPr>
        <w:t>1.5</w:t>
      </w:r>
      <w:r>
        <w:rPr>
          <w:color w:val="000000"/>
          <w:spacing w:val="0"/>
          <w:w w:val="100"/>
          <w:position w:val="0"/>
        </w:rPr>
        <w:t>万元，引发了广泛 的质疑和批评。为改变一审判决结果，在被告并未上诉的情况下，二审法院不惜突破程序 规则的束缚，以</w:t>
      </w:r>
      <w:r>
        <w:rPr>
          <w:color w:val="000000"/>
          <w:spacing w:val="0"/>
          <w:w w:val="100"/>
          <w:position w:val="0"/>
          <w:lang w:val="zh-CN" w:eastAsia="zh-CN" w:bidi="zh-CN"/>
        </w:rPr>
        <w:t>“一</w:t>
      </w:r>
      <w:r>
        <w:rPr>
          <w:color w:val="000000"/>
          <w:spacing w:val="0"/>
          <w:w w:val="100"/>
          <w:position w:val="0"/>
        </w:rPr>
        <w:t>审判决适用法律错误，损害社会公共利益”为由加以改判。</w:t>
      </w:r>
    </w:p>
    <w:p w14:paraId="0457161B">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两审法院所认定的核心事实一致，对于过错和因果关系的判断结论也基本一致:杨帆 没有过错,其行为与受害人死亡之间没有法律上的因果关系。因此，导致两审法院判决结 果完全相反的根本原因，是对适用原《侵权责任法》第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条有不同理解。一审法院在确认 不存在法律上的因果关系后仍适用原《侵权责任法》第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条。二审法院则认为,适用原《侵 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条的“前提是行为与损害结果之间有法律上的因果关系</w:t>
      </w:r>
      <w:r>
        <w:rPr>
          <w:color w:val="000000"/>
          <w:spacing w:val="0"/>
          <w:w w:val="100"/>
          <w:position w:val="0"/>
          <w:lang w:val="zh-CN" w:eastAsia="zh-CN" w:bidi="zh-CN"/>
        </w:rPr>
        <w:t>”，因</w:t>
      </w:r>
      <w:r>
        <w:rPr>
          <w:color w:val="000000"/>
          <w:spacing w:val="0"/>
          <w:w w:val="100"/>
          <w:position w:val="0"/>
        </w:rPr>
        <w:t>此不能适用原 《侵权责任法》第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w:t>
      </w:r>
    </w:p>
    <w:p w14:paraId="55F2D62B">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对于二审判决结果，舆论多持赞同和支持立场。最高人民法院也在</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年度的工作报 告中明确表达了对该案二审判决的赞赏。在原《侵权责任法》第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条长期被滥用或误用、 引发社会不满的背景下，该案二审判决明确传达了</w:t>
      </w:r>
      <w:r>
        <w:rPr>
          <w:color w:val="000000"/>
          <w:spacing w:val="0"/>
          <w:w w:val="100"/>
          <w:position w:val="0"/>
          <w:lang w:val="zh-CN" w:eastAsia="zh-CN" w:bidi="zh-CN"/>
        </w:rPr>
        <w:t>“维</w:t>
      </w:r>
      <w:r>
        <w:rPr>
          <w:color w:val="000000"/>
          <w:spacing w:val="0"/>
          <w:w w:val="100"/>
          <w:position w:val="0"/>
        </w:rPr>
        <w:t>护社会公共秩序和公共利益的行为 应受到鼓励”这样的价值取向，无论在法律适用方面还是社会影响方面，都具有积极的意 义。</w:t>
      </w:r>
    </w:p>
    <w:p w14:paraId="0C47FF6C">
      <w:pPr>
        <w:pStyle w:val="17"/>
        <w:keepNext w:val="0"/>
        <w:keepLines w:val="0"/>
        <w:widowControl w:val="0"/>
        <w:shd w:val="clear" w:color="auto" w:fill="auto"/>
        <w:bidi w:val="0"/>
        <w:spacing w:before="0" w:after="0" w:line="342" w:lineRule="exact"/>
        <w:ind w:left="0" w:right="0" w:firstLine="0"/>
        <w:jc w:val="left"/>
      </w:pPr>
      <w:r>
        <w:rPr>
          <w:color w:val="000000"/>
          <w:spacing w:val="0"/>
          <w:w w:val="100"/>
          <w:position w:val="0"/>
        </w:rPr>
        <w:t>团相关的规范及学理</w:t>
      </w:r>
    </w:p>
    <w:p w14:paraId="3AB754D0">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原《民法通则》第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有就损害都没有过错的,可以根据实际情况， 由当事人分担民事责任</w:t>
      </w:r>
      <w:r>
        <w:rPr>
          <w:color w:val="000000"/>
          <w:spacing w:val="0"/>
          <w:w w:val="100"/>
          <w:position w:val="0"/>
          <w:lang w:val="zh-CN" w:eastAsia="zh-CN" w:bidi="zh-CN"/>
        </w:rPr>
        <w:t>。”原</w:t>
      </w:r>
      <w:r>
        <w:rPr>
          <w:color w:val="000000"/>
          <w:spacing w:val="0"/>
          <w:w w:val="100"/>
          <w:position w:val="0"/>
        </w:rPr>
        <w:t>《侵权责任法》第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条规定:</w:t>
      </w:r>
      <w:r>
        <w:rPr>
          <w:color w:val="000000"/>
          <w:spacing w:val="0"/>
          <w:w w:val="100"/>
          <w:position w:val="0"/>
          <w:lang w:val="zh-CN" w:eastAsia="zh-CN" w:bidi="zh-CN"/>
        </w:rPr>
        <w:t>“受害</w:t>
      </w:r>
      <w:r>
        <w:rPr>
          <w:color w:val="000000"/>
          <w:spacing w:val="0"/>
          <w:w w:val="100"/>
          <w:position w:val="0"/>
        </w:rPr>
        <w:t>人和行为人对损害的发生都 没有过错的，可以根据实际情况，由双方分担损失</w:t>
      </w:r>
      <w:r>
        <w:rPr>
          <w:color w:val="000000"/>
          <w:spacing w:val="0"/>
          <w:w w:val="100"/>
          <w:position w:val="0"/>
          <w:lang w:val="zh-CN" w:eastAsia="zh-CN" w:bidi="zh-CN"/>
        </w:rPr>
        <w:t>。”对</w:t>
      </w:r>
      <w:r>
        <w:rPr>
          <w:color w:val="000000"/>
          <w:spacing w:val="0"/>
          <w:w w:val="100"/>
          <w:position w:val="0"/>
        </w:rPr>
        <w:t>照来看，原《侵权责任法》第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条基 本沿袭了原《民法通则》第</w:t>
      </w:r>
      <w:r>
        <w:rPr>
          <w:rFonts w:ascii="Times New Roman" w:hAnsi="Times New Roman" w:eastAsia="Times New Roman" w:cs="Times New Roman"/>
          <w:color w:val="000000"/>
          <w:spacing w:val="0"/>
          <w:w w:val="100"/>
          <w:position w:val="0"/>
          <w:sz w:val="17"/>
          <w:szCs w:val="17"/>
        </w:rPr>
        <w:t>132</w:t>
      </w:r>
      <w:r>
        <w:rPr>
          <w:color w:val="000000"/>
          <w:spacing w:val="0"/>
          <w:w w:val="100"/>
          <w:position w:val="0"/>
        </w:rPr>
        <w:t>条的规定，仅有几处文字表述的变化：以</w:t>
      </w:r>
      <w:r>
        <w:rPr>
          <w:color w:val="000000"/>
          <w:spacing w:val="0"/>
          <w:w w:val="100"/>
          <w:position w:val="0"/>
          <w:lang w:val="zh-CN" w:eastAsia="zh-CN" w:bidi="zh-CN"/>
        </w:rPr>
        <w:t>“受害</w:t>
      </w:r>
      <w:r>
        <w:rPr>
          <w:color w:val="000000"/>
          <w:spacing w:val="0"/>
          <w:w w:val="100"/>
          <w:position w:val="0"/>
        </w:rPr>
        <w:t>人和行为人” 取代“当事人</w:t>
      </w:r>
      <w:r>
        <w:rPr>
          <w:color w:val="000000"/>
          <w:spacing w:val="0"/>
          <w:w w:val="100"/>
          <w:position w:val="0"/>
          <w:lang w:val="zh-CN" w:eastAsia="zh-CN" w:bidi="zh-CN"/>
        </w:rPr>
        <w:t>”，以</w:t>
      </w:r>
      <w:r>
        <w:rPr>
          <w:color w:val="000000"/>
          <w:spacing w:val="0"/>
          <w:w w:val="100"/>
          <w:position w:val="0"/>
        </w:rPr>
        <w:t>“对损害的发生都没有过错”取代“对造成损害都没有过错</w:t>
      </w:r>
      <w:r>
        <w:rPr>
          <w:color w:val="000000"/>
          <w:spacing w:val="0"/>
          <w:w w:val="100"/>
          <w:position w:val="0"/>
          <w:lang w:val="zh-CN" w:eastAsia="zh-CN" w:bidi="zh-CN"/>
        </w:rPr>
        <w:t>”，以</w:t>
      </w:r>
      <w:r>
        <w:rPr>
          <w:color w:val="000000"/>
          <w:spacing w:val="0"/>
          <w:w w:val="100"/>
          <w:position w:val="0"/>
        </w:rPr>
        <w:t>“分担损 失”取代“分担民事责任”。从法条的文义和一般社会观念来看，适用公平责任规则至少要 求行为人的行为与损害后果之间存在事实上的因果关系，但争议在于是否还要求存在法律 上的因果关系。对此，主要有三种观点：</w:t>
      </w:r>
    </w:p>
    <w:p w14:paraId="257C2486">
      <w:pPr>
        <w:pStyle w:val="17"/>
        <w:keepNext w:val="0"/>
        <w:keepLines w:val="0"/>
        <w:widowControl w:val="0"/>
        <w:shd w:val="clear" w:color="auto" w:fill="auto"/>
        <w:bidi w:val="0"/>
        <w:spacing w:before="0" w:after="180" w:line="340" w:lineRule="exact"/>
        <w:ind w:left="0" w:right="0" w:firstLine="420"/>
        <w:jc w:val="both"/>
      </w:pPr>
      <w:r>
        <w:rPr>
          <w:color w:val="000000"/>
          <w:spacing w:val="0"/>
          <w:w w:val="100"/>
          <w:position w:val="0"/>
        </w:rPr>
        <w:t>第一,法律因果关系不要说。该说认为，只要行为人的行为与受害人所受损害之间存 在事实因果关系，即可适用公平责任规则，无须存在法律因果关系。目前，多数学者釆这一 观点［曹险峰:《论公平责任的适用——以对〈侵权责任法〉第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条的解释论研读为中心》，载《法律科 学》（西北政法大学学报）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期；王毓莹、向国慧：《论公平责任原则的限制适用》，载《法律适 用》</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期；李昊、张博文：《受害人特殊体质与公平责任——反思“劝烟案</w:t>
      </w:r>
      <w:r>
        <w:rPr>
          <w:color w:val="000000"/>
          <w:spacing w:val="0"/>
          <w:w w:val="100"/>
          <w:position w:val="0"/>
          <w:lang w:val="zh-CN" w:eastAsia="zh-CN" w:bidi="zh-CN"/>
        </w:rPr>
        <w:t>”中</w:t>
      </w:r>
      <w:r>
        <w:rPr>
          <w:color w:val="000000"/>
          <w:spacing w:val="0"/>
          <w:w w:val="100"/>
          <w:position w:val="0"/>
        </w:rPr>
        <w:t>的因果关系》，载</w:t>
      </w:r>
    </w:p>
    <w:p w14:paraId="0A9AB276">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《法治现代化研究》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7C700D04">
      <w:pPr>
        <w:pStyle w:val="17"/>
        <w:keepNext w:val="0"/>
        <w:keepLines w:val="0"/>
        <w:widowControl w:val="0"/>
        <w:shd w:val="clear" w:color="auto" w:fill="auto"/>
        <w:bidi w:val="0"/>
        <w:spacing w:before="0" w:after="0" w:line="340" w:lineRule="exact"/>
        <w:ind w:left="0" w:right="0" w:firstLine="420"/>
        <w:jc w:val="both"/>
        <w:rPr>
          <w:sz w:val="11"/>
          <w:szCs w:val="11"/>
        </w:rPr>
      </w:pPr>
      <w:r>
        <w:rPr>
          <w:color w:val="000000"/>
          <w:spacing w:val="0"/>
          <w:w w:val="100"/>
          <w:position w:val="0"/>
          <w:sz w:val="18"/>
          <w:szCs w:val="18"/>
        </w:rPr>
        <w:t>第二，法律因果关系必要说。有学者主张，在适用公平责任规则时，既需要存在事实因 果关系，也需要存在法律因果关系。其核心理由是:“公平责任本属侵权责任一般原则之例 外,如果在因果关系上釆’条件说'而否定’相当性’，将无法防止’公平责任’的泛滥。换言 之，公平责任作为过错责任之例外,其</w:t>
      </w:r>
      <w:r>
        <w:rPr>
          <w:color w:val="000000"/>
          <w:spacing w:val="0"/>
          <w:w w:val="100"/>
          <w:position w:val="0"/>
          <w:sz w:val="18"/>
          <w:szCs w:val="18"/>
          <w:lang w:val="en-US" w:eastAsia="en-US" w:bidi="en-US"/>
        </w:rPr>
        <w:t>'</w:t>
      </w:r>
      <w:r>
        <w:rPr>
          <w:color w:val="000000"/>
          <w:spacing w:val="0"/>
          <w:w w:val="100"/>
          <w:position w:val="0"/>
          <w:sz w:val="18"/>
          <w:szCs w:val="18"/>
        </w:rPr>
        <w:t>公平性</w:t>
      </w:r>
      <w:r>
        <w:rPr>
          <w:color w:val="000000"/>
          <w:spacing w:val="0"/>
          <w:w w:val="100"/>
          <w:position w:val="0"/>
          <w:sz w:val="18"/>
          <w:szCs w:val="18"/>
          <w:lang w:val="en-US" w:eastAsia="en-US" w:bidi="en-US"/>
        </w:rPr>
        <w:t>'</w:t>
      </w:r>
      <w:r>
        <w:rPr>
          <w:color w:val="000000"/>
          <w:spacing w:val="0"/>
          <w:w w:val="100"/>
          <w:position w:val="0"/>
          <w:sz w:val="18"/>
          <w:szCs w:val="18"/>
        </w:rPr>
        <w:t>体现在对'过错</w:t>
      </w:r>
      <w:r>
        <w:rPr>
          <w:color w:val="000000"/>
          <w:spacing w:val="0"/>
          <w:w w:val="100"/>
          <w:position w:val="0"/>
          <w:sz w:val="18"/>
          <w:szCs w:val="18"/>
          <w:lang w:val="en-US" w:eastAsia="en-US" w:bidi="en-US"/>
        </w:rPr>
        <w:t>'</w:t>
      </w:r>
      <w:r>
        <w:rPr>
          <w:color w:val="000000"/>
          <w:spacing w:val="0"/>
          <w:w w:val="100"/>
          <w:position w:val="0"/>
          <w:sz w:val="18"/>
          <w:szCs w:val="18"/>
        </w:rPr>
        <w:t>要件的省却,如果进一步弱 化因果关系要件，不仅将根本动摇侵权责任的价值体系，也与我国’公平责任规定</w:t>
      </w:r>
      <w:r>
        <w:rPr>
          <w:color w:val="000000"/>
          <w:spacing w:val="0"/>
          <w:w w:val="100"/>
          <w:position w:val="0"/>
          <w:sz w:val="18"/>
          <w:szCs w:val="18"/>
          <w:lang w:val="en-US" w:eastAsia="en-US" w:bidi="en-US"/>
        </w:rPr>
        <w:t>’</w:t>
      </w:r>
      <w:r>
        <w:rPr>
          <w:color w:val="000000"/>
          <w:spacing w:val="0"/>
          <w:w w:val="100"/>
          <w:position w:val="0"/>
          <w:sz w:val="18"/>
          <w:szCs w:val="18"/>
        </w:rPr>
        <w:t>仅排除 致害人过错要件的规范文义不符。因此，在欠缺更强理由的情况下，适用公平责任显然应 采纳与过错责任相同的因果关系判定标准。</w:t>
      </w:r>
      <w:r>
        <w:rPr>
          <w:color w:val="000000"/>
          <w:spacing w:val="0"/>
          <w:w w:val="100"/>
          <w:position w:val="0"/>
          <w:sz w:val="11"/>
          <w:szCs w:val="11"/>
          <w:lang w:val="zh-CN" w:eastAsia="zh-CN" w:bidi="zh-CN"/>
        </w:rPr>
        <w:t>”（张</w:t>
      </w:r>
      <w:r>
        <w:rPr>
          <w:color w:val="000000"/>
          <w:spacing w:val="0"/>
          <w:w w:val="100"/>
          <w:position w:val="0"/>
          <w:sz w:val="11"/>
          <w:szCs w:val="11"/>
        </w:rPr>
        <w:t>家勇：《也论</w:t>
      </w:r>
      <w:r>
        <w:rPr>
          <w:color w:val="000000"/>
          <w:spacing w:val="0"/>
          <w:w w:val="100"/>
          <w:position w:val="0"/>
          <w:sz w:val="11"/>
          <w:szCs w:val="11"/>
          <w:lang w:val="zh-CN" w:eastAsia="zh-CN" w:bidi="zh-CN"/>
        </w:rPr>
        <w:t>“电梯</w:t>
      </w:r>
      <w:r>
        <w:rPr>
          <w:color w:val="000000"/>
          <w:spacing w:val="0"/>
          <w:w w:val="100"/>
          <w:position w:val="0"/>
          <w:sz w:val="11"/>
          <w:szCs w:val="11"/>
        </w:rPr>
        <w:t>劝阻吸烟案”的法律适用》，载 《法治研究》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p>
    <w:p w14:paraId="5537AD0A">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第三，折中说。有学者认为,原则上，在既有事实因果关系又有法律因果关系时,才能适 用公平责任规则;若行为人的行为与受害人的损害之间仅存在事实因果关系，原则上不能 适用公平责任规则;但是,在例外情况下，若</w:t>
      </w:r>
      <w:r>
        <w:rPr>
          <w:color w:val="000000"/>
          <w:spacing w:val="0"/>
          <w:w w:val="100"/>
          <w:position w:val="0"/>
          <w:sz w:val="18"/>
          <w:szCs w:val="18"/>
          <w:lang w:val="zh-CN" w:eastAsia="zh-CN" w:bidi="zh-CN"/>
        </w:rPr>
        <w:t>“行为</w:t>
      </w:r>
      <w:r>
        <w:rPr>
          <w:color w:val="000000"/>
          <w:spacing w:val="0"/>
          <w:w w:val="100"/>
          <w:position w:val="0"/>
          <w:sz w:val="18"/>
          <w:szCs w:val="18"/>
        </w:rPr>
        <w:t>人的行为的确开启或维持了一定的风险, 使受害人遭遇损害事件的概率增大</w:t>
      </w:r>
      <w:r>
        <w:rPr>
          <w:color w:val="000000"/>
          <w:spacing w:val="0"/>
          <w:w w:val="100"/>
          <w:position w:val="0"/>
          <w:sz w:val="18"/>
          <w:szCs w:val="18"/>
          <w:lang w:val="zh-CN" w:eastAsia="zh-CN" w:bidi="zh-CN"/>
        </w:rPr>
        <w:t>”，则</w:t>
      </w:r>
      <w:r>
        <w:rPr>
          <w:color w:val="000000"/>
          <w:spacing w:val="0"/>
          <w:w w:val="100"/>
          <w:position w:val="0"/>
          <w:sz w:val="18"/>
          <w:szCs w:val="18"/>
        </w:rPr>
        <w:t>仍可以在仅存在</w:t>
      </w:r>
      <w:r>
        <w:rPr>
          <w:color w:val="000000"/>
          <w:spacing w:val="0"/>
          <w:w w:val="100"/>
          <w:position w:val="0"/>
          <w:sz w:val="18"/>
          <w:szCs w:val="18"/>
          <w:lang w:val="zh-CN" w:eastAsia="zh-CN" w:bidi="zh-CN"/>
        </w:rPr>
        <w:t>“某种</w:t>
      </w:r>
      <w:r>
        <w:rPr>
          <w:color w:val="000000"/>
          <w:spacing w:val="0"/>
          <w:w w:val="100"/>
          <w:position w:val="0"/>
          <w:sz w:val="18"/>
          <w:szCs w:val="18"/>
        </w:rPr>
        <w:t>事实上的关联</w:t>
      </w:r>
      <w:r>
        <w:rPr>
          <w:color w:val="000000"/>
          <w:spacing w:val="0"/>
          <w:w w:val="100"/>
          <w:position w:val="0"/>
          <w:sz w:val="18"/>
          <w:szCs w:val="18"/>
          <w:lang w:val="zh-CN" w:eastAsia="zh-CN" w:bidi="zh-CN"/>
        </w:rPr>
        <w:t>”、不</w:t>
      </w:r>
      <w:r>
        <w:rPr>
          <w:color w:val="000000"/>
          <w:spacing w:val="0"/>
          <w:w w:val="100"/>
          <w:position w:val="0"/>
          <w:sz w:val="18"/>
          <w:szCs w:val="18"/>
        </w:rPr>
        <w:t>存在</w:t>
      </w:r>
      <w:r>
        <w:rPr>
          <w:color w:val="000000"/>
          <w:spacing w:val="0"/>
          <w:w w:val="100"/>
          <w:position w:val="0"/>
          <w:sz w:val="18"/>
          <w:szCs w:val="18"/>
          <w:lang w:val="zh-CN" w:eastAsia="zh-CN" w:bidi="zh-CN"/>
        </w:rPr>
        <w:t xml:space="preserve">“法 </w:t>
      </w:r>
      <w:r>
        <w:rPr>
          <w:color w:val="000000"/>
          <w:spacing w:val="0"/>
          <w:w w:val="100"/>
          <w:position w:val="0"/>
          <w:sz w:val="18"/>
          <w:szCs w:val="18"/>
        </w:rPr>
        <w:t>律意义上的因果关系</w:t>
      </w:r>
      <w:r>
        <w:rPr>
          <w:color w:val="000000"/>
          <w:spacing w:val="0"/>
          <w:w w:val="100"/>
          <w:position w:val="0"/>
          <w:sz w:val="18"/>
          <w:szCs w:val="18"/>
          <w:lang w:val="zh-CN" w:eastAsia="zh-CN" w:bidi="zh-CN"/>
        </w:rPr>
        <w:t>”时</w:t>
      </w:r>
      <w:r>
        <w:rPr>
          <w:color w:val="000000"/>
          <w:spacing w:val="0"/>
          <w:w w:val="100"/>
          <w:position w:val="0"/>
          <w:sz w:val="18"/>
          <w:szCs w:val="18"/>
        </w:rPr>
        <w:t>适用公平责任规则，如一同去河里游泳或一起喝酒的过程有人伤 亡的情形</w:t>
      </w:r>
      <w:r>
        <w:rPr>
          <w:color w:val="000000"/>
          <w:spacing w:val="0"/>
          <w:w w:val="100"/>
          <w:position w:val="0"/>
          <w:sz w:val="11"/>
          <w:szCs w:val="11"/>
        </w:rPr>
        <w:t>（窦海阳：《侵权法中公平分担损失规则的司法适用》，载《法商研究》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p>
    <w:p w14:paraId="59A13C9F">
      <w:pPr>
        <w:pStyle w:val="17"/>
        <w:keepNext w:val="0"/>
        <w:keepLines w:val="0"/>
        <w:widowControl w:val="0"/>
        <w:shd w:val="clear" w:color="auto" w:fill="auto"/>
        <w:bidi w:val="0"/>
        <w:spacing w:before="0" w:after="160" w:line="342" w:lineRule="exact"/>
        <w:ind w:left="0" w:right="0" w:firstLine="420"/>
        <w:jc w:val="both"/>
        <w:rPr>
          <w:sz w:val="11"/>
          <w:szCs w:val="11"/>
        </w:rPr>
      </w:pPr>
      <w:r>
        <w:rPr>
          <w:color w:val="000000"/>
          <w:spacing w:val="0"/>
          <w:w w:val="100"/>
          <w:position w:val="0"/>
          <w:sz w:val="18"/>
          <w:szCs w:val="18"/>
        </w:rPr>
        <w:t>从《侵权责任法》第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7"/>
          <w:szCs w:val="17"/>
        </w:rPr>
        <w:t>1186</w:t>
      </w:r>
      <w:r>
        <w:rPr>
          <w:color w:val="000000"/>
          <w:spacing w:val="0"/>
          <w:w w:val="100"/>
          <w:position w:val="0"/>
          <w:sz w:val="18"/>
          <w:szCs w:val="18"/>
        </w:rPr>
        <w:t>条）</w:t>
      </w:r>
      <w:r>
        <w:rPr>
          <w:color w:val="000000"/>
          <w:spacing w:val="0"/>
          <w:w w:val="100"/>
          <w:position w:val="0"/>
          <w:sz w:val="18"/>
          <w:szCs w:val="18"/>
          <w:lang w:val="zh-CN" w:eastAsia="zh-CN" w:bidi="zh-CN"/>
        </w:rPr>
        <w:t>“对损</w:t>
      </w:r>
      <w:r>
        <w:rPr>
          <w:color w:val="000000"/>
          <w:spacing w:val="0"/>
          <w:w w:val="100"/>
          <w:position w:val="0"/>
          <w:sz w:val="18"/>
          <w:szCs w:val="18"/>
        </w:rPr>
        <w:t>害的发生都没有过错</w:t>
      </w:r>
      <w:r>
        <w:rPr>
          <w:color w:val="000000"/>
          <w:spacing w:val="0"/>
          <w:w w:val="100"/>
          <w:position w:val="0"/>
          <w:sz w:val="18"/>
          <w:szCs w:val="18"/>
          <w:lang w:val="zh-CN" w:eastAsia="zh-CN" w:bidi="zh-CN"/>
        </w:rPr>
        <w:t>”的</w:t>
      </w:r>
      <w:r>
        <w:rPr>
          <w:color w:val="000000"/>
          <w:spacing w:val="0"/>
          <w:w w:val="100"/>
          <w:position w:val="0"/>
          <w:sz w:val="18"/>
          <w:szCs w:val="18"/>
        </w:rPr>
        <w:t>文义来 看,在有事实因果关系的前提下，如果没有法律因果关系,不论行为本身是否存在过错，都 可以适用第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条；如果具有法律因果关系，在行为没有过错时,也可以适用第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条。也就 是说，原《侵权责任法》第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条在文义上并未以存在法律因果关系作为其构成要件。因此, 主张应以（或原则上应以）存在法律因果关系为要件，是论者为了阻止第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条适用泛滥而 对该条在文义上的适用范围所作的极大限缩，自方法论而言，已属于对第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sz w:val="18"/>
          <w:szCs w:val="18"/>
        </w:rPr>
        <w:t>条所作的“目 的性限缩解释</w:t>
      </w:r>
      <w:r>
        <w:rPr>
          <w:color w:val="000000"/>
          <w:spacing w:val="0"/>
          <w:w w:val="100"/>
          <w:position w:val="0"/>
          <w:sz w:val="18"/>
          <w:szCs w:val="18"/>
          <w:lang w:val="zh-CN" w:eastAsia="zh-CN" w:bidi="zh-CN"/>
        </w:rPr>
        <w:t>”，其</w:t>
      </w:r>
      <w:r>
        <w:rPr>
          <w:color w:val="000000"/>
          <w:spacing w:val="0"/>
          <w:w w:val="100"/>
          <w:position w:val="0"/>
          <w:sz w:val="18"/>
          <w:szCs w:val="18"/>
        </w:rPr>
        <w:t>在本质上已属于漏洞填补的范畴</w:t>
      </w:r>
      <w:r>
        <w:rPr>
          <w:color w:val="000000"/>
          <w:spacing w:val="0"/>
          <w:w w:val="100"/>
          <w:position w:val="0"/>
          <w:sz w:val="11"/>
          <w:szCs w:val="11"/>
        </w:rPr>
        <w:t>（王文胜:《〈侵权责任法〉中公平责任规则的 构造、表达及其反思——从“郑州电梯劝烟案</w:t>
      </w:r>
      <w:r>
        <w:rPr>
          <w:color w:val="000000"/>
          <w:spacing w:val="0"/>
          <w:w w:val="100"/>
          <w:position w:val="0"/>
          <w:sz w:val="11"/>
          <w:szCs w:val="11"/>
          <w:lang w:val="zh-CN" w:eastAsia="zh-CN" w:bidi="zh-CN"/>
        </w:rPr>
        <w:t>”说</w:t>
      </w:r>
      <w:r>
        <w:rPr>
          <w:color w:val="000000"/>
          <w:spacing w:val="0"/>
          <w:w w:val="100"/>
          <w:position w:val="0"/>
          <w:sz w:val="11"/>
          <w:szCs w:val="11"/>
        </w:rPr>
        <w:t>起》，载《法治现代化研究》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p>
    <w:p w14:paraId="0B8E163F">
      <w:pPr>
        <w:pStyle w:val="17"/>
        <w:keepNext w:val="0"/>
        <w:keepLines w:val="0"/>
        <w:widowControl w:val="0"/>
        <w:shd w:val="clear" w:color="auto" w:fill="auto"/>
        <w:bidi w:val="0"/>
        <w:spacing w:before="0" w:after="160" w:line="342" w:lineRule="exact"/>
        <w:ind w:left="0" w:right="0" w:firstLine="0"/>
        <w:jc w:val="left"/>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7EA827CE">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 xml:space="preserve">多数法院采法律因果关系不要说。例如，著名的南京彭宇案一审判决,法院认定的事 实是，原告赶车到达前一辆公交车后门时和刚从该车第一个下车的被告瞬间相撞，被告下 车时无法准确判断车后门左右的情况;按照法院认定的这一事实，该案被告的行为与原告 所受损害之间存在事实因果关系但不存在法律因果关系，而法院最终是适用了公平责任规 </w:t>
      </w:r>
      <w:r>
        <w:rPr>
          <w:color w:val="000000"/>
          <w:spacing w:val="0"/>
          <w:w w:val="100"/>
          <w:position w:val="0"/>
          <w:sz w:val="11"/>
          <w:szCs w:val="11"/>
          <w:lang w:val="zh-CN" w:eastAsia="zh-CN" w:bidi="zh-CN"/>
        </w:rPr>
        <w:t>贝叽南</w:t>
      </w:r>
      <w:r>
        <w:rPr>
          <w:color w:val="000000"/>
          <w:spacing w:val="0"/>
          <w:w w:val="100"/>
          <w:position w:val="0"/>
          <w:sz w:val="11"/>
          <w:szCs w:val="11"/>
        </w:rPr>
        <w:t>京市鼓楼区人民法院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sz w:val="11"/>
          <w:szCs w:val="11"/>
        </w:rPr>
        <w:t>鼓民一初字第</w:t>
      </w:r>
      <w:r>
        <w:rPr>
          <w:rFonts w:ascii="Times New Roman" w:hAnsi="Times New Roman" w:eastAsia="Times New Roman" w:cs="Times New Roman"/>
          <w:color w:val="000000"/>
          <w:spacing w:val="0"/>
          <w:w w:val="100"/>
          <w:position w:val="0"/>
          <w:sz w:val="17"/>
          <w:szCs w:val="17"/>
        </w:rPr>
        <w:t>212</w:t>
      </w:r>
      <w:r>
        <w:rPr>
          <w:color w:val="000000"/>
          <w:spacing w:val="0"/>
          <w:w w:val="100"/>
          <w:position w:val="0"/>
          <w:sz w:val="11"/>
          <w:szCs w:val="11"/>
        </w:rPr>
        <w:t>号民事判决书］。</w:t>
      </w:r>
      <w:r>
        <w:rPr>
          <w:color w:val="000000"/>
          <w:spacing w:val="0"/>
          <w:w w:val="100"/>
          <w:position w:val="0"/>
          <w:sz w:val="18"/>
          <w:szCs w:val="18"/>
        </w:rPr>
        <w:t>另一起案件中，被告饲养的 宠物狗（小型犬）跑向原告，原告因避让而摔倒受伤。法院认为,“依照一般社会见解和生活 经验，本案所涉的小型犬于人脚下奔跑扒挠，在通常情形下并不会造成致人脚踝骨折的严 重后果，所以被告饲养宠物的行为与原告脚踝骨折的损害后果之间不足以建立相当因果关 系</w:t>
      </w:r>
      <w:r>
        <w:rPr>
          <w:color w:val="000000"/>
          <w:spacing w:val="0"/>
          <w:w w:val="100"/>
          <w:position w:val="0"/>
          <w:sz w:val="18"/>
          <w:szCs w:val="18"/>
          <w:lang w:val="zh-CN" w:eastAsia="zh-CN" w:bidi="zh-CN"/>
        </w:rPr>
        <w:t>”，从</w:t>
      </w:r>
      <w:r>
        <w:rPr>
          <w:color w:val="000000"/>
          <w:spacing w:val="0"/>
          <w:w w:val="100"/>
          <w:position w:val="0"/>
          <w:sz w:val="18"/>
          <w:szCs w:val="18"/>
        </w:rPr>
        <w:t>而原告所主张的侵权责任不成立,但仍依公平责任规则判决被告对原告的合理损失 进行适当补偿（酌定为</w:t>
      </w:r>
      <w:r>
        <w:rPr>
          <w:rFonts w:ascii="Times New Roman" w:hAnsi="Times New Roman" w:eastAsia="Times New Roman" w:cs="Times New Roman"/>
          <w:color w:val="000000"/>
          <w:spacing w:val="0"/>
          <w:w w:val="100"/>
          <w:position w:val="0"/>
          <w:sz w:val="17"/>
          <w:szCs w:val="17"/>
        </w:rPr>
        <w:t>30% ）</w:t>
      </w:r>
      <w:r>
        <w:rPr>
          <w:color w:val="000000"/>
          <w:spacing w:val="0"/>
          <w:w w:val="100"/>
          <w:position w:val="0"/>
          <w:sz w:val="11"/>
          <w:szCs w:val="11"/>
        </w:rPr>
        <w:t>［北京市通州区人民法院（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京</w:t>
      </w:r>
      <w:r>
        <w:rPr>
          <w:rFonts w:ascii="Times New Roman" w:hAnsi="Times New Roman" w:eastAsia="Times New Roman" w:cs="Times New Roman"/>
          <w:color w:val="000000"/>
          <w:spacing w:val="0"/>
          <w:w w:val="100"/>
          <w:position w:val="0"/>
          <w:sz w:val="17"/>
          <w:szCs w:val="17"/>
        </w:rPr>
        <w:t>0112</w:t>
      </w:r>
      <w:r>
        <w:rPr>
          <w:color w:val="000000"/>
          <w:spacing w:val="0"/>
          <w:w w:val="100"/>
          <w:position w:val="0"/>
          <w:sz w:val="11"/>
          <w:szCs w:val="11"/>
        </w:rPr>
        <w:t>民初</w:t>
      </w:r>
      <w:r>
        <w:rPr>
          <w:rFonts w:ascii="Times New Roman" w:hAnsi="Times New Roman" w:eastAsia="Times New Roman" w:cs="Times New Roman"/>
          <w:color w:val="000000"/>
          <w:spacing w:val="0"/>
          <w:w w:val="100"/>
          <w:position w:val="0"/>
          <w:sz w:val="17"/>
          <w:szCs w:val="17"/>
        </w:rPr>
        <w:t>2407</w:t>
      </w:r>
      <w:r>
        <w:rPr>
          <w:color w:val="000000"/>
          <w:spacing w:val="0"/>
          <w:w w:val="100"/>
          <w:position w:val="0"/>
          <w:sz w:val="11"/>
          <w:szCs w:val="11"/>
        </w:rPr>
        <w:t xml:space="preserve">号民事判决书］。 </w:t>
      </w:r>
      <w:r>
        <w:rPr>
          <w:color w:val="000000"/>
          <w:spacing w:val="0"/>
          <w:w w:val="100"/>
          <w:position w:val="0"/>
          <w:sz w:val="18"/>
          <w:szCs w:val="18"/>
        </w:rPr>
        <w:t>又如,在一起体育运动伤害案件中，原被告均为体育学院足球专业学生,在踢球过程中，被 告跑上前将球抢断，球触碰到被告的脚后反弹击打到了原告的左眼并致其受伤。法院认 为,双方都没有过错,但被告的行为与原告的受伤</w:t>
      </w:r>
      <w:r>
        <w:rPr>
          <w:color w:val="000000"/>
          <w:spacing w:val="0"/>
          <w:w w:val="100"/>
          <w:position w:val="0"/>
          <w:sz w:val="18"/>
          <w:szCs w:val="18"/>
          <w:lang w:val="zh-CN" w:eastAsia="zh-CN" w:bidi="zh-CN"/>
        </w:rPr>
        <w:t>“有一</w:t>
      </w:r>
      <w:r>
        <w:rPr>
          <w:color w:val="000000"/>
          <w:spacing w:val="0"/>
          <w:w w:val="100"/>
          <w:position w:val="0"/>
          <w:sz w:val="18"/>
          <w:szCs w:val="18"/>
        </w:rPr>
        <w:t>定的因果联系</w:t>
      </w:r>
      <w:r>
        <w:rPr>
          <w:color w:val="000000"/>
          <w:spacing w:val="0"/>
          <w:w w:val="100"/>
          <w:position w:val="0"/>
          <w:sz w:val="18"/>
          <w:szCs w:val="18"/>
          <w:lang w:val="zh-CN" w:eastAsia="zh-CN" w:bidi="zh-CN"/>
        </w:rPr>
        <w:t>”，适</w:t>
      </w:r>
      <w:r>
        <w:rPr>
          <w:color w:val="000000"/>
          <w:spacing w:val="0"/>
          <w:w w:val="100"/>
          <w:position w:val="0"/>
          <w:sz w:val="18"/>
          <w:szCs w:val="18"/>
        </w:rPr>
        <w:t>用公平责任规则 判决被告补偿原告</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万元</w:t>
      </w:r>
      <w:r>
        <w:rPr>
          <w:color w:val="000000"/>
          <w:spacing w:val="0"/>
          <w:w w:val="100"/>
          <w:position w:val="0"/>
          <w:sz w:val="11"/>
          <w:szCs w:val="11"/>
        </w:rPr>
        <w:t>［武汉市中级人民法院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鄂</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6284</w:t>
      </w:r>
      <w:r>
        <w:rPr>
          <w:color w:val="000000"/>
          <w:spacing w:val="0"/>
          <w:w w:val="100"/>
          <w:position w:val="0"/>
          <w:sz w:val="11"/>
          <w:szCs w:val="11"/>
        </w:rPr>
        <w:t>号民事判决书］。</w:t>
      </w:r>
    </w:p>
    <w:p w14:paraId="24BCA54F">
      <w:pPr>
        <w:pStyle w:val="17"/>
        <w:keepNext w:val="0"/>
        <w:keepLines w:val="0"/>
        <w:widowControl w:val="0"/>
        <w:shd w:val="clear" w:color="auto" w:fill="auto"/>
        <w:bidi w:val="0"/>
        <w:spacing w:before="0" w:after="0" w:line="340" w:lineRule="exact"/>
        <w:ind w:left="0" w:right="0" w:firstLine="420"/>
        <w:jc w:val="both"/>
        <w:rPr>
          <w:sz w:val="11"/>
          <w:szCs w:val="11"/>
        </w:rPr>
      </w:pPr>
      <w:r>
        <w:rPr>
          <w:color w:val="000000"/>
          <w:spacing w:val="0"/>
          <w:w w:val="100"/>
          <w:position w:val="0"/>
          <w:sz w:val="18"/>
          <w:szCs w:val="18"/>
        </w:rPr>
        <w:t>也有法院采法律因果关系必要说。例如，在一起案件中,受害人与几位被上诉人相约 自驾游，途中未系安全带的受害人因车辆爆胎失控而被甩出身亡。二审法院认为，公平责 任规则的适用应当具备行为人的行为与受害人损失之间存在因果关系等要件，而因果关系 的判断，应采取相当因果关系的标准，在本案中，相约自驾游通常不会发生涉案的损害，故 相约自驾游的行为与受害人的死亡之间不存在因果关系，不能适用公平责任规则</w:t>
      </w:r>
      <w:r>
        <w:rPr>
          <w:color w:val="000000"/>
          <w:spacing w:val="0"/>
          <w:w w:val="100"/>
          <w:position w:val="0"/>
          <w:sz w:val="11"/>
          <w:szCs w:val="11"/>
        </w:rPr>
        <w:t>［南京市中 级人民法院</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苏</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3152</w:t>
      </w:r>
      <w:r>
        <w:rPr>
          <w:color w:val="000000"/>
          <w:spacing w:val="0"/>
          <w:w w:val="100"/>
          <w:position w:val="0"/>
          <w:sz w:val="11"/>
          <w:szCs w:val="11"/>
        </w:rPr>
        <w:t>号民事判决书］。</w:t>
      </w:r>
      <w:r>
        <w:rPr>
          <w:color w:val="000000"/>
          <w:spacing w:val="0"/>
          <w:w w:val="100"/>
          <w:position w:val="0"/>
          <w:sz w:val="18"/>
          <w:szCs w:val="18"/>
        </w:rPr>
        <w:t>在另一起同样广受舆论关注的案件中，苏某 将无毒可食用的芭蕉分享给儿童覃某吃,覃某在与另一儿童曾某玩耍时又将芭蕉分享给曾 某吃,曾某在吃的过程中因噎窒息死亡。法院认为，曾某的死亡与苏某及覃某的行为之间 没有法律因果关系,判决二人不承担过错侵权责任,也未判决二人承担公平责任</w:t>
      </w:r>
      <w:r>
        <w:rPr>
          <w:color w:val="000000"/>
          <w:spacing w:val="0"/>
          <w:w w:val="100"/>
          <w:position w:val="0"/>
          <w:sz w:val="11"/>
          <w:szCs w:val="11"/>
        </w:rPr>
        <w:t>［广东省佛山 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佛中法民一终字第</w:t>
      </w:r>
      <w:r>
        <w:rPr>
          <w:rFonts w:ascii="Times New Roman" w:hAnsi="Times New Roman" w:eastAsia="Times New Roman" w:cs="Times New Roman"/>
          <w:color w:val="000000"/>
          <w:spacing w:val="0"/>
          <w:w w:val="100"/>
          <w:position w:val="0"/>
          <w:sz w:val="17"/>
          <w:szCs w:val="17"/>
        </w:rPr>
        <w:t>1211</w:t>
      </w:r>
      <w:r>
        <w:rPr>
          <w:color w:val="000000"/>
          <w:spacing w:val="0"/>
          <w:w w:val="100"/>
          <w:position w:val="0"/>
          <w:sz w:val="11"/>
          <w:szCs w:val="11"/>
        </w:rPr>
        <w:t>号民事判决书］。</w:t>
      </w:r>
    </w:p>
    <w:p w14:paraId="6A0223F8">
      <w:pPr>
        <w:pStyle w:val="17"/>
        <w:keepNext w:val="0"/>
        <w:keepLines w:val="0"/>
        <w:widowControl w:val="0"/>
        <w:shd w:val="clear" w:color="auto" w:fill="auto"/>
        <w:bidi w:val="0"/>
        <w:spacing w:before="0" w:after="300" w:line="341" w:lineRule="exact"/>
        <w:ind w:left="0" w:right="0" w:firstLine="420"/>
        <w:jc w:val="both"/>
        <w:rPr>
          <w:sz w:val="11"/>
          <w:szCs w:val="11"/>
        </w:rPr>
      </w:pPr>
      <w:r>
        <w:rPr>
          <w:color w:val="000000"/>
          <w:spacing w:val="0"/>
          <w:w w:val="100"/>
          <w:position w:val="0"/>
          <w:sz w:val="18"/>
          <w:szCs w:val="18"/>
        </w:rPr>
        <w:t>不过，又有法院在明确没有事实因果关系的场合适用公平责任规则进行裁判。例如， 在一起案件中，四人共同饮酒，其中一人在饮酒后第二日死亡,其饮酒未过量,死亡原因不 明，法院认为，不能认定共同饮酒与死亡之间存在因果关系，但仍适用公平责任规则，判决 其他三人进行补偿,且补偿数额根据三人在组织、召集及相互之间熟识程度等情况而在</w:t>
      </w:r>
      <w:r>
        <w:rPr>
          <w:rFonts w:ascii="Times New Roman" w:hAnsi="Times New Roman" w:eastAsia="Times New Roman" w:cs="Times New Roman"/>
          <w:color w:val="000000"/>
          <w:spacing w:val="0"/>
          <w:w w:val="100"/>
          <w:position w:val="0"/>
          <w:sz w:val="19"/>
          <w:szCs w:val="19"/>
          <w:lang w:val="en-US" w:eastAsia="en-US" w:bidi="en-US"/>
        </w:rPr>
        <w:t xml:space="preserve">1.5 </w:t>
      </w:r>
      <w:r>
        <w:rPr>
          <w:color w:val="000000"/>
          <w:spacing w:val="0"/>
          <w:w w:val="100"/>
          <w:position w:val="0"/>
          <w:sz w:val="18"/>
          <w:szCs w:val="18"/>
        </w:rPr>
        <w:t>万〜</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万元</w:t>
      </w:r>
      <w:r>
        <w:rPr>
          <w:color w:val="000000"/>
          <w:spacing w:val="0"/>
          <w:w w:val="100"/>
          <w:position w:val="0"/>
          <w:sz w:val="11"/>
          <w:szCs w:val="11"/>
        </w:rPr>
        <w:t>［河南省平顶山市中级人民法院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豫</w:t>
      </w:r>
      <w:r>
        <w:rPr>
          <w:rFonts w:ascii="Times New Roman" w:hAnsi="Times New Roman" w:eastAsia="Times New Roman" w:cs="Times New Roman"/>
          <w:color w:val="000000"/>
          <w:spacing w:val="0"/>
          <w:w w:val="100"/>
          <w:position w:val="0"/>
          <w:sz w:val="17"/>
          <w:szCs w:val="17"/>
        </w:rPr>
        <w:t>04</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2995</w:t>
      </w:r>
      <w:r>
        <w:rPr>
          <w:color w:val="000000"/>
          <w:spacing w:val="0"/>
          <w:w w:val="100"/>
          <w:position w:val="0"/>
          <w:sz w:val="11"/>
          <w:szCs w:val="11"/>
        </w:rPr>
        <w:t>号民事判决书］。</w:t>
      </w:r>
      <w:r>
        <w:rPr>
          <w:color w:val="000000"/>
          <w:spacing w:val="0"/>
          <w:w w:val="100"/>
          <w:position w:val="0"/>
          <w:sz w:val="18"/>
          <w:szCs w:val="18"/>
        </w:rPr>
        <w:t>也有法院在不 能确认存在事实因果关系时明确拒绝适用公平责任规则，例如，某房屋发生火灾,无法确认 具体的起火原因,受害人起诉要求该房屋外墙电线的管理者（供电公司）承担责任,法院认 为，不能确认被申请人的行为与损害结果之间存在因果关系,显然也就不能适用公平责任 原则进行处理</w:t>
      </w:r>
      <w:r>
        <w:rPr>
          <w:color w:val="000000"/>
          <w:spacing w:val="0"/>
          <w:w w:val="100"/>
          <w:position w:val="0"/>
          <w:sz w:val="11"/>
          <w:szCs w:val="11"/>
        </w:rPr>
        <w:t>［湖南省高级人民法院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湘民申</w:t>
      </w:r>
      <w:r>
        <w:rPr>
          <w:rFonts w:ascii="Times New Roman" w:hAnsi="Times New Roman" w:eastAsia="Times New Roman" w:cs="Times New Roman"/>
          <w:color w:val="000000"/>
          <w:spacing w:val="0"/>
          <w:w w:val="100"/>
          <w:position w:val="0"/>
          <w:sz w:val="17"/>
          <w:szCs w:val="17"/>
        </w:rPr>
        <w:t>1340</w:t>
      </w:r>
      <w:r>
        <w:rPr>
          <w:color w:val="000000"/>
          <w:spacing w:val="0"/>
          <w:w w:val="100"/>
          <w:position w:val="0"/>
          <w:sz w:val="11"/>
          <w:szCs w:val="11"/>
        </w:rPr>
        <w:t>号民事裁定书］。</w:t>
      </w:r>
    </w:p>
    <w:p w14:paraId="6077AB9E">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0CACF3E6">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原《侵权责任法》第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条完全釆用负面的表达方式，只规定负面的构成要件，不规定任 何正面的构成要件;在法律后果上，第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条以</w:t>
      </w:r>
      <w:r>
        <w:rPr>
          <w:color w:val="000000"/>
          <w:spacing w:val="0"/>
          <w:w w:val="100"/>
          <w:position w:val="0"/>
          <w:lang w:val="zh-CN" w:eastAsia="zh-CN" w:bidi="zh-CN"/>
        </w:rPr>
        <w:t>“可以</w:t>
      </w:r>
      <w:r>
        <w:rPr>
          <w:color w:val="000000"/>
          <w:spacing w:val="0"/>
          <w:w w:val="100"/>
          <w:position w:val="0"/>
        </w:rPr>
        <w:t>根据实际情况，由双方分担损失</w:t>
      </w:r>
      <w:r>
        <w:rPr>
          <w:color w:val="000000"/>
          <w:spacing w:val="0"/>
          <w:w w:val="100"/>
          <w:position w:val="0"/>
          <w:lang w:val="zh-CN" w:eastAsia="zh-CN" w:bidi="zh-CN"/>
        </w:rPr>
        <w:t xml:space="preserve">”的表 </w:t>
      </w:r>
      <w:r>
        <w:rPr>
          <w:color w:val="000000"/>
          <w:spacing w:val="0"/>
          <w:w w:val="100"/>
          <w:position w:val="0"/>
        </w:rPr>
        <w:t>述,本质上没有提供任何具体明确的法律规则，只是给法官赋予了极大的自由裁量权。该 条给受害人提供了不合理的预期，同时也给法官带来了极大的裁判风险。在司法实践中， 该条已经沦为法官“和稀泥</w:t>
      </w:r>
      <w:r>
        <w:rPr>
          <w:color w:val="000000"/>
          <w:spacing w:val="0"/>
          <w:w w:val="100"/>
          <w:position w:val="0"/>
          <w:lang w:val="zh-CN" w:eastAsia="zh-CN" w:bidi="zh-CN"/>
        </w:rPr>
        <w:t>”的工</w:t>
      </w:r>
      <w:r>
        <w:rPr>
          <w:color w:val="000000"/>
          <w:spacing w:val="0"/>
          <w:w w:val="100"/>
          <w:position w:val="0"/>
        </w:rPr>
        <w:t>具之一，导致许多引发社会广泛不满的判决的产生。在此 背景下，本案二审判决采纳了对第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条进行</w:t>
      </w:r>
      <w:r>
        <w:rPr>
          <w:color w:val="000000"/>
          <w:spacing w:val="0"/>
          <w:w w:val="100"/>
          <w:position w:val="0"/>
          <w:lang w:val="zh-CN" w:eastAsia="zh-CN" w:bidi="zh-CN"/>
        </w:rPr>
        <w:t>“目</w:t>
      </w:r>
      <w:r>
        <w:rPr>
          <w:color w:val="000000"/>
          <w:spacing w:val="0"/>
          <w:w w:val="100"/>
          <w:position w:val="0"/>
        </w:rPr>
        <w:t>的性限缩解释</w:t>
      </w:r>
      <w:r>
        <w:rPr>
          <w:color w:val="000000"/>
          <w:spacing w:val="0"/>
          <w:w w:val="100"/>
          <w:position w:val="0"/>
          <w:lang w:val="zh-CN" w:eastAsia="zh-CN" w:bidi="zh-CN"/>
        </w:rPr>
        <w:t>”的</w:t>
      </w:r>
      <w:r>
        <w:rPr>
          <w:color w:val="000000"/>
          <w:spacing w:val="0"/>
          <w:w w:val="100"/>
          <w:position w:val="0"/>
        </w:rPr>
        <w:t>法律因果关系必要说，拒 绝滥用公平责任规则，其判决结果值得赞同，其裁判思路和价值取向对于类似案件都具有 参考意义。</w:t>
      </w:r>
    </w:p>
    <w:p w14:paraId="5959EFAC">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不过，从司法实务来看，在类似的案例中，多数法院选择的是与本案一审相同的裁判思 路。这充分说明，问题的根源在于原《侵权责任法》的立法者没有在第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条中给出具体明 确的法律规则。</w:t>
      </w:r>
    </w:p>
    <w:p w14:paraId="69DDF673">
      <w:pPr>
        <w:pStyle w:val="17"/>
        <w:keepNext w:val="0"/>
        <w:keepLines w:val="0"/>
        <w:widowControl w:val="0"/>
        <w:shd w:val="clear" w:color="auto" w:fill="auto"/>
        <w:bidi w:val="0"/>
        <w:spacing w:before="0" w:after="460" w:line="345" w:lineRule="exact"/>
        <w:ind w:left="0" w:right="0" w:firstLine="420"/>
        <w:jc w:val="both"/>
      </w:pPr>
      <w:r>
        <w:rPr>
          <w:color w:val="000000"/>
          <w:spacing w:val="0"/>
          <w:w w:val="100"/>
          <w:position w:val="0"/>
        </w:rPr>
        <w:t>在民法典编纂过程中，立法者关注到了这一问题。《民法典》第</w:t>
      </w:r>
      <w:r>
        <w:rPr>
          <w:rFonts w:ascii="Times New Roman" w:hAnsi="Times New Roman" w:eastAsia="Times New Roman" w:cs="Times New Roman"/>
          <w:color w:val="000000"/>
          <w:spacing w:val="0"/>
          <w:w w:val="100"/>
          <w:position w:val="0"/>
          <w:sz w:val="19"/>
          <w:szCs w:val="19"/>
        </w:rPr>
        <w:t>1186</w:t>
      </w:r>
      <w:r>
        <w:rPr>
          <w:color w:val="000000"/>
          <w:spacing w:val="0"/>
          <w:w w:val="100"/>
          <w:position w:val="0"/>
        </w:rPr>
        <w:t>条修改了原《侵权 责任法》第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条的表述，改为</w:t>
      </w:r>
      <w:r>
        <w:rPr>
          <w:color w:val="000000"/>
          <w:spacing w:val="0"/>
          <w:w w:val="100"/>
          <w:position w:val="0"/>
          <w:lang w:val="zh-CN" w:eastAsia="zh-CN" w:bidi="zh-CN"/>
        </w:rPr>
        <w:t>“受害</w:t>
      </w:r>
      <w:r>
        <w:rPr>
          <w:color w:val="000000"/>
          <w:spacing w:val="0"/>
          <w:w w:val="100"/>
          <w:position w:val="0"/>
        </w:rPr>
        <w:t>人和行为人对损害的发生都没有过错的,依照法律的规 定由双方分担损失</w:t>
      </w:r>
      <w:r>
        <w:rPr>
          <w:color w:val="000000"/>
          <w:spacing w:val="0"/>
          <w:w w:val="100"/>
          <w:position w:val="0"/>
          <w:lang w:val="zh-CN" w:eastAsia="zh-CN" w:bidi="zh-CN"/>
        </w:rPr>
        <w:t>”，增</w:t>
      </w:r>
      <w:r>
        <w:rPr>
          <w:color w:val="000000"/>
          <w:spacing w:val="0"/>
          <w:w w:val="100"/>
          <w:position w:val="0"/>
        </w:rPr>
        <w:t>加了</w:t>
      </w:r>
      <w:r>
        <w:rPr>
          <w:color w:val="000000"/>
          <w:spacing w:val="0"/>
          <w:w w:val="100"/>
          <w:position w:val="0"/>
          <w:lang w:val="zh-CN" w:eastAsia="zh-CN" w:bidi="zh-CN"/>
        </w:rPr>
        <w:t>“依</w:t>
      </w:r>
      <w:r>
        <w:rPr>
          <w:color w:val="000000"/>
          <w:spacing w:val="0"/>
          <w:w w:val="100"/>
          <w:position w:val="0"/>
        </w:rPr>
        <w:t>照法律的规定</w:t>
      </w:r>
      <w:r>
        <w:rPr>
          <w:color w:val="000000"/>
          <w:spacing w:val="0"/>
          <w:w w:val="100"/>
          <w:position w:val="0"/>
          <w:lang w:val="zh-CN" w:eastAsia="zh-CN" w:bidi="zh-CN"/>
        </w:rPr>
        <w:t>”这一</w:t>
      </w:r>
      <w:r>
        <w:rPr>
          <w:color w:val="000000"/>
          <w:spacing w:val="0"/>
          <w:w w:val="100"/>
          <w:position w:val="0"/>
        </w:rPr>
        <w:t>条件。从而,作为第</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 xml:space="preserve">条承继者的第 </w:t>
      </w:r>
      <w:r>
        <w:rPr>
          <w:rFonts w:ascii="Times New Roman" w:hAnsi="Times New Roman" w:eastAsia="Times New Roman" w:cs="Times New Roman"/>
          <w:color w:val="000000"/>
          <w:spacing w:val="0"/>
          <w:w w:val="100"/>
          <w:position w:val="0"/>
          <w:sz w:val="19"/>
          <w:szCs w:val="19"/>
        </w:rPr>
        <w:t>1186</w:t>
      </w:r>
      <w:r>
        <w:rPr>
          <w:color w:val="000000"/>
          <w:spacing w:val="0"/>
          <w:w w:val="100"/>
          <w:position w:val="0"/>
        </w:rPr>
        <w:t>条不再具有独立的规范意义，不再属于独立的请求权基础规范，在裁判时应适用其他 的、具体的法律规定。由此,公平责任规则被司法滥用的问题应能基本消除。</w:t>
      </w:r>
    </w:p>
    <w:p w14:paraId="15AAF71B">
      <w:pPr>
        <w:pStyle w:val="11"/>
        <w:keepNext w:val="0"/>
        <w:keepLines w:val="0"/>
        <w:widowControl w:val="0"/>
        <w:shd w:val="clear" w:color="auto" w:fill="auto"/>
        <w:bidi w:val="0"/>
        <w:spacing w:before="0" w:after="80" w:line="240" w:lineRule="auto"/>
        <w:ind w:left="0" w:right="0" w:firstLine="0"/>
        <w:jc w:val="both"/>
      </w:pPr>
      <w:r>
        <w:rPr>
          <w:color w:val="000000"/>
          <w:spacing w:val="0"/>
          <w:w w:val="100"/>
          <w:position w:val="0"/>
        </w:rPr>
        <w:t>回参考文献</w:t>
      </w:r>
    </w:p>
    <w:p w14:paraId="628F06EF">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王文胜:《〈侵权责任法〉中公平责任规则的构造、表达及其反思——从</w:t>
      </w:r>
      <w:r>
        <w:rPr>
          <w:color w:val="000000"/>
          <w:spacing w:val="0"/>
          <w:w w:val="100"/>
          <w:position w:val="0"/>
          <w:lang w:val="zh-CN" w:eastAsia="zh-CN" w:bidi="zh-CN"/>
        </w:rPr>
        <w:t>“郑州</w:t>
      </w:r>
      <w:r>
        <w:rPr>
          <w:color w:val="000000"/>
          <w:spacing w:val="0"/>
          <w:w w:val="100"/>
          <w:position w:val="0"/>
        </w:rPr>
        <w:t>电梯劝烟案”说起》，载《法 治现代化研究》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8E610F3">
      <w:pPr>
        <w:pStyle w:val="33"/>
        <w:keepNext w:val="0"/>
        <w:keepLines w:val="0"/>
        <w:widowControl w:val="0"/>
        <w:shd w:val="clear" w:color="auto" w:fill="auto"/>
        <w:bidi w:val="0"/>
        <w:spacing w:before="0" w:after="0" w:line="300" w:lineRule="exact"/>
        <w:ind w:left="180" w:right="0" w:hanging="180"/>
        <w:jc w:val="both"/>
      </w:pPr>
      <w:r>
        <w:rPr>
          <w:color w:val="000000"/>
          <w:spacing w:val="0"/>
          <w:w w:val="100"/>
          <w:position w:val="0"/>
        </w:rPr>
        <w:t>李昊、张博文:《受害人特殊体质与公平责任一反思</w:t>
      </w:r>
      <w:r>
        <w:rPr>
          <w:color w:val="000000"/>
          <w:spacing w:val="0"/>
          <w:w w:val="100"/>
          <w:position w:val="0"/>
          <w:lang w:val="zh-CN" w:eastAsia="zh-CN" w:bidi="zh-CN"/>
        </w:rPr>
        <w:t>“劝烟</w:t>
      </w:r>
      <w:r>
        <w:rPr>
          <w:color w:val="000000"/>
          <w:spacing w:val="0"/>
          <w:w w:val="100"/>
          <w:position w:val="0"/>
        </w:rPr>
        <w:t xml:space="preserve">案”中的因果关系》，载《法治现代化研究》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1273AB50">
      <w:pPr>
        <w:pStyle w:val="33"/>
        <w:keepNext w:val="0"/>
        <w:keepLines w:val="0"/>
        <w:widowControl w:val="0"/>
        <w:shd w:val="clear" w:color="auto" w:fill="auto"/>
        <w:bidi w:val="0"/>
        <w:spacing w:before="0" w:after="0" w:line="293" w:lineRule="exact"/>
        <w:ind w:left="180" w:right="0" w:hanging="180"/>
        <w:jc w:val="both"/>
      </w:pPr>
      <w:r>
        <w:rPr>
          <w:color w:val="000000"/>
          <w:spacing w:val="0"/>
          <w:w w:val="100"/>
          <w:position w:val="0"/>
        </w:rPr>
        <w:t>孙良国：《语境约束条件下的结果妥当性一法律经济学视角中的</w:t>
      </w:r>
      <w:r>
        <w:rPr>
          <w:color w:val="000000"/>
          <w:spacing w:val="0"/>
          <w:w w:val="100"/>
          <w:position w:val="0"/>
          <w:lang w:val="zh-CN" w:eastAsia="zh-CN" w:bidi="zh-CN"/>
        </w:rPr>
        <w:t>“郑</w:t>
      </w:r>
      <w:r>
        <w:rPr>
          <w:color w:val="000000"/>
          <w:spacing w:val="0"/>
          <w:w w:val="100"/>
          <w:position w:val="0"/>
        </w:rPr>
        <w:t>州电梯劝烟案”》，载《法治现代化 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38DE7A6A">
      <w:pPr>
        <w:pStyle w:val="33"/>
        <w:keepNext w:val="0"/>
        <w:keepLines w:val="0"/>
        <w:widowControl w:val="0"/>
        <w:shd w:val="clear" w:color="auto" w:fill="auto"/>
        <w:bidi w:val="0"/>
        <w:spacing w:before="0" w:after="0" w:line="293" w:lineRule="exact"/>
        <w:ind w:left="180" w:right="0" w:hanging="180"/>
        <w:jc w:val="both"/>
      </w:pPr>
      <w:r>
        <w:rPr>
          <w:color w:val="000000"/>
          <w:spacing w:val="0"/>
          <w:w w:val="100"/>
          <w:position w:val="0"/>
        </w:rPr>
        <w:t>张家勇：《也论</w:t>
      </w:r>
      <w:r>
        <w:rPr>
          <w:color w:val="000000"/>
          <w:spacing w:val="0"/>
          <w:w w:val="100"/>
          <w:position w:val="0"/>
          <w:lang w:val="zh-CN" w:eastAsia="zh-CN" w:bidi="zh-CN"/>
        </w:rPr>
        <w:t>“电梯</w:t>
      </w:r>
      <w:r>
        <w:rPr>
          <w:color w:val="000000"/>
          <w:spacing w:val="0"/>
          <w:w w:val="100"/>
          <w:position w:val="0"/>
        </w:rPr>
        <w:t>劝阻吸烟案”的法律适用》，载《法治研究》</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5F99CFF">
      <w:pPr>
        <w:pStyle w:val="33"/>
        <w:keepNext w:val="0"/>
        <w:keepLines w:val="0"/>
        <w:widowControl w:val="0"/>
        <w:shd w:val="clear" w:color="auto" w:fill="auto"/>
        <w:bidi w:val="0"/>
        <w:spacing w:before="0" w:after="0" w:line="329" w:lineRule="exact"/>
        <w:ind w:left="0" w:right="0" w:firstLine="0"/>
        <w:jc w:val="both"/>
      </w:pPr>
      <w:r>
        <w:rPr>
          <w:color w:val="000000"/>
          <w:spacing w:val="0"/>
          <w:w w:val="100"/>
          <w:position w:val="0"/>
        </w:rPr>
        <w:t>窦海阳：《侵权法中公平分担损失规则的司法适用》，载《法商研究》</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0335A96F">
      <w:pPr>
        <w:pStyle w:val="33"/>
        <w:keepNext w:val="0"/>
        <w:keepLines w:val="0"/>
        <w:widowControl w:val="0"/>
        <w:shd w:val="clear" w:color="auto" w:fill="auto"/>
        <w:bidi w:val="0"/>
        <w:spacing w:before="0" w:after="0" w:line="329" w:lineRule="exact"/>
        <w:ind w:left="180" w:right="0" w:hanging="180"/>
        <w:jc w:val="both"/>
      </w:pPr>
      <w:r>
        <w:rPr>
          <w:color w:val="000000"/>
          <w:spacing w:val="0"/>
          <w:w w:val="100"/>
          <w:position w:val="0"/>
        </w:rPr>
        <w:t>陈科:《公平责任一般条款的司法适用——以</w:t>
      </w:r>
      <w:r>
        <w:rPr>
          <w:rFonts w:ascii="Times New Roman" w:hAnsi="Times New Roman" w:eastAsia="Times New Roman" w:cs="Times New Roman"/>
          <w:color w:val="000000"/>
          <w:spacing w:val="0"/>
          <w:w w:val="100"/>
          <w:position w:val="0"/>
          <w:sz w:val="17"/>
          <w:szCs w:val="17"/>
        </w:rPr>
        <w:t>100</w:t>
      </w:r>
      <w:r>
        <w:rPr>
          <w:color w:val="000000"/>
          <w:spacing w:val="0"/>
          <w:w w:val="100"/>
          <w:position w:val="0"/>
        </w:rPr>
        <w:t>份侵权案件判决书为分析样本》，载《法律适用》</w:t>
      </w:r>
      <w:r>
        <w:rPr>
          <w:rFonts w:ascii="Times New Roman" w:hAnsi="Times New Roman" w:eastAsia="Times New Roman" w:cs="Times New Roman"/>
          <w:color w:val="000000"/>
          <w:spacing w:val="0"/>
          <w:w w:val="100"/>
          <w:position w:val="0"/>
          <w:sz w:val="17"/>
          <w:szCs w:val="17"/>
        </w:rPr>
        <w:t xml:space="preserve">2015 </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5F97C3E6">
      <w:pPr>
        <w:pStyle w:val="33"/>
        <w:keepNext w:val="0"/>
        <w:keepLines w:val="0"/>
        <w:widowControl w:val="0"/>
        <w:shd w:val="clear" w:color="auto" w:fill="auto"/>
        <w:bidi w:val="0"/>
        <w:spacing w:before="0" w:after="0" w:line="314" w:lineRule="exact"/>
        <w:ind w:left="180" w:right="0" w:hanging="180"/>
        <w:jc w:val="both"/>
      </w:pPr>
      <w:r>
        <w:rPr>
          <w:color w:val="000000"/>
          <w:spacing w:val="0"/>
          <w:w w:val="100"/>
          <w:position w:val="0"/>
        </w:rPr>
        <w:t>曹险峰:《论公平责任的适用——以对〈侵权责任法〉第</w:t>
      </w:r>
      <w:r>
        <w:rPr>
          <w:rFonts w:ascii="Times New Roman" w:hAnsi="Times New Roman" w:eastAsia="Times New Roman" w:cs="Times New Roman"/>
          <w:color w:val="000000"/>
          <w:spacing w:val="0"/>
          <w:w w:val="100"/>
          <w:position w:val="0"/>
          <w:sz w:val="17"/>
          <w:szCs w:val="17"/>
        </w:rPr>
        <w:t>24</w:t>
      </w:r>
      <w:r>
        <w:rPr>
          <w:color w:val="000000"/>
          <w:spacing w:val="0"/>
          <w:w w:val="100"/>
          <w:position w:val="0"/>
        </w:rPr>
        <w:t>条的解释论研读为中心》，载《法律科学》（西 北政法大学学报</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3FC97888">
      <w:pPr>
        <w:pStyle w:val="33"/>
        <w:keepNext w:val="0"/>
        <w:keepLines w:val="0"/>
        <w:widowControl w:val="0"/>
        <w:shd w:val="clear" w:color="auto" w:fill="auto"/>
        <w:bidi w:val="0"/>
        <w:spacing w:before="0" w:after="0" w:line="295" w:lineRule="exact"/>
        <w:ind w:left="180" w:right="0" w:hanging="180"/>
        <w:jc w:val="both"/>
        <w:sectPr>
          <w:headerReference r:id="rId547" w:type="default"/>
          <w:headerReference r:id="rId548" w:type="even"/>
          <w:footnotePr>
            <w:numFmt w:val="chicago"/>
          </w:footnotePr>
          <w:pgSz w:w="10099" w:h="14782"/>
          <w:pgMar w:top="1218" w:right="983" w:bottom="907" w:left="1105" w:header="0" w:footer="3" w:gutter="0"/>
          <w:pgNumType w:start="465"/>
          <w:cols w:space="720" w:num="1"/>
          <w:rtlGutter w:val="0"/>
          <w:docGrid w:linePitch="360" w:charSpace="0"/>
        </w:sectPr>
      </w:pPr>
      <w:r>
        <w:rPr>
          <w:color w:val="000000"/>
          <w:spacing w:val="0"/>
          <w:w w:val="100"/>
          <w:position w:val="0"/>
        </w:rPr>
        <w:t>王毓莹、向国慧：《论公平责任原则的限制适用</w:t>
      </w:r>
      <w:r>
        <w:rPr>
          <w:color w:val="000000"/>
          <w:spacing w:val="0"/>
          <w:w w:val="100"/>
          <w:position w:val="0"/>
          <w:lang w:val="en-US" w:eastAsia="en-US" w:bidi="en-US"/>
        </w:rPr>
        <w:t>一一</w:t>
      </w:r>
      <w:r>
        <w:rPr>
          <w:color w:val="000000"/>
          <w:spacing w:val="0"/>
          <w:w w:val="100"/>
          <w:position w:val="0"/>
        </w:rPr>
        <w:t xml:space="preserve">公平责任原则的公平危机及其防范》，载《法律适用》 </w:t>
      </w:r>
      <w:r>
        <w:rPr>
          <w:rFonts w:ascii="Times New Roman" w:hAnsi="Times New Roman" w:eastAsia="Times New Roman" w:cs="Times New Roman"/>
          <w:color w:val="000000"/>
          <w:spacing w:val="0"/>
          <w:w w:val="100"/>
          <w:position w:val="0"/>
          <w:sz w:val="17"/>
          <w:szCs w:val="17"/>
        </w:rPr>
        <w:t>2004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19A482E4">
      <w:pPr>
        <w:widowControl w:val="0"/>
        <w:spacing w:line="1" w:lineRule="exact"/>
      </w:pPr>
      <w:r>
        <mc:AlternateContent>
          <mc:Choice Requires="wps">
            <w:drawing>
              <wp:anchor distT="0" distB="0" distL="114300" distR="114300" simplePos="0" relativeHeight="251660288" behindDoc="0" locked="0" layoutInCell="1" allowOverlap="1">
                <wp:simplePos x="0" y="0"/>
                <wp:positionH relativeFrom="page">
                  <wp:posOffset>675640</wp:posOffset>
                </wp:positionH>
                <wp:positionV relativeFrom="paragraph">
                  <wp:posOffset>12700</wp:posOffset>
                </wp:positionV>
                <wp:extent cx="484505" cy="420370"/>
                <wp:effectExtent l="0" t="0" r="10795" b="11430"/>
                <wp:wrapSquare wrapText="right"/>
                <wp:docPr id="1291" name="Shape 1291"/>
                <wp:cNvGraphicFramePr/>
                <a:graphic xmlns:a="http://schemas.openxmlformats.org/drawingml/2006/main">
                  <a:graphicData uri="http://schemas.microsoft.com/office/word/2010/wordprocessingShape">
                    <wps:wsp>
                      <wps:cNvSpPr txBox="1"/>
                      <wps:spPr>
                        <a:xfrm>
                          <a:off x="0" y="0"/>
                          <a:ext cx="484505" cy="420370"/>
                        </a:xfrm>
                        <a:prstGeom prst="rect">
                          <a:avLst/>
                        </a:prstGeom>
                        <a:solidFill>
                          <a:srgbClr val="000000"/>
                        </a:solidFill>
                      </wps:spPr>
                      <wps:txbx>
                        <w:txbxContent>
                          <w:p w14:paraId="63908115">
                            <w:pPr>
                              <w:pStyle w:val="29"/>
                              <w:keepNext w:val="0"/>
                              <w:keepLines w:val="0"/>
                              <w:widowControl w:val="0"/>
                              <w:shd w:val="clear" w:color="auto" w:fill="auto"/>
                              <w:bidi w:val="0"/>
                              <w:spacing w:before="8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095</w:t>
                            </w:r>
                          </w:p>
                        </w:txbxContent>
                      </wps:txbx>
                      <wps:bodyPr wrap="none" lIns="0" tIns="0" rIns="0" bIns="0">
                        <a:noAutofit/>
                      </wps:bodyPr>
                    </wps:wsp>
                  </a:graphicData>
                </a:graphic>
              </wp:anchor>
            </w:drawing>
          </mc:Choice>
          <mc:Fallback>
            <w:pict>
              <v:shape id="Shape 1291" o:spid="_x0000_s1026" o:spt="202" type="#_x0000_t202" style="position:absolute;left:0pt;margin-left:53.2pt;margin-top:1pt;height:33.1pt;width:38.15pt;mso-position-horizontal-relative:page;mso-wrap-distance-bottom:0pt;mso-wrap-distance-left:9pt;mso-wrap-distance-right:9pt;mso-wrap-distance-top:0pt;mso-wrap-style:none;z-index:251660288;mso-width-relative:page;mso-height-relative:page;" fillcolor="#000000" filled="t" stroked="f" coordsize="21600,21600" o:gfxdata="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Nr5SzWAAAACAEAAA8AAAAAAAAAAQAgAAAAIgAAAGRycy9kb3ducmV2&#10;LnhtbFBLAQIUABQAAAAIAIdO4kC6PPpJxQEAAJ4DAAAOAAAAAAAAAAEAIAAAACUBAABkcnMvZTJv&#10;RG9jLnhtbFBLBQYAAAAABgAGAFkBAABcBQAAAAA=&#10;">
                <v:fill on="t" focussize="0,0"/>
                <v:stroke on="f"/>
                <v:imagedata o:title=""/>
                <o:lock v:ext="edit" aspectratio="f"/>
                <v:textbox inset="0mm,0mm,0mm,0mm">
                  <w:txbxContent>
                    <w:p w14:paraId="63908115">
                      <w:pPr>
                        <w:pStyle w:val="29"/>
                        <w:keepNext w:val="0"/>
                        <w:keepLines w:val="0"/>
                        <w:widowControl w:val="0"/>
                        <w:shd w:val="clear" w:color="auto" w:fill="auto"/>
                        <w:bidi w:val="0"/>
                        <w:spacing w:before="80" w:after="0" w:line="240" w:lineRule="auto"/>
                        <w:ind w:left="0" w:right="0" w:firstLine="0"/>
                        <w:jc w:val="left"/>
                        <w:rPr>
                          <w:sz w:val="40"/>
                          <w:szCs w:val="40"/>
                        </w:rPr>
                      </w:pPr>
                      <w:r>
                        <w:rPr>
                          <w:rFonts w:ascii="Times New Roman" w:hAnsi="Times New Roman" w:eastAsia="Times New Roman" w:cs="Times New Roman"/>
                          <w:color w:val="000000"/>
                          <w:spacing w:val="0"/>
                          <w:w w:val="100"/>
                          <w:position w:val="0"/>
                          <w:sz w:val="40"/>
                          <w:szCs w:val="40"/>
                          <w:shd w:val="clear" w:color="auto" w:fill="FFFFFF"/>
                          <w:lang w:val="zh-CN" w:eastAsia="zh-CN" w:bidi="zh-CN"/>
                        </w:rPr>
                        <w:t>095</w:t>
                      </w:r>
                    </w:p>
                  </w:txbxContent>
                </v:textbox>
                <w10:wrap type="square" side="right"/>
              </v:shape>
            </w:pict>
          </mc:Fallback>
        </mc:AlternateContent>
      </w:r>
      <w:r>
        <w:drawing>
          <wp:anchor distT="0" distB="0" distL="114300" distR="114300" simplePos="0" relativeHeight="251660288" behindDoc="0" locked="0" layoutInCell="1" allowOverlap="1">
            <wp:simplePos x="0" y="0"/>
            <wp:positionH relativeFrom="page">
              <wp:posOffset>5083175</wp:posOffset>
            </wp:positionH>
            <wp:positionV relativeFrom="paragraph">
              <wp:posOffset>509270</wp:posOffset>
            </wp:positionV>
            <wp:extent cx="628015" cy="628015"/>
            <wp:effectExtent l="0" t="0" r="6985" b="6985"/>
            <wp:wrapSquare wrapText="left"/>
            <wp:docPr id="1293" name="Shape 1293"/>
            <wp:cNvGraphicFramePr/>
            <a:graphic xmlns:a="http://schemas.openxmlformats.org/drawingml/2006/main">
              <a:graphicData uri="http://schemas.openxmlformats.org/drawingml/2006/picture">
                <pic:pic xmlns:pic="http://schemas.openxmlformats.org/drawingml/2006/picture">
                  <pic:nvPicPr>
                    <pic:cNvPr id="1293" name="Shape 1293"/>
                    <pic:cNvPicPr/>
                  </pic:nvPicPr>
                  <pic:blipFill>
                    <a:blip r:embed="rId711"/>
                    <a:stretch>
                      <a:fillRect/>
                    </a:stretch>
                  </pic:blipFill>
                  <pic:spPr>
                    <a:xfrm>
                      <a:off x="0" y="0"/>
                      <a:ext cx="628015" cy="628015"/>
                    </a:xfrm>
                    <a:prstGeom prst="rect">
                      <a:avLst/>
                    </a:prstGeom>
                  </pic:spPr>
                </pic:pic>
              </a:graphicData>
            </a:graphic>
          </wp:anchor>
        </w:drawing>
      </w:r>
    </w:p>
    <w:p w14:paraId="3D72409D">
      <w:pPr>
        <w:pStyle w:val="15"/>
        <w:keepNext/>
        <w:keepLines/>
        <w:widowControl w:val="0"/>
        <w:shd w:val="clear" w:color="auto" w:fill="auto"/>
        <w:bidi w:val="0"/>
        <w:spacing w:before="0" w:after="0" w:line="494" w:lineRule="exact"/>
        <w:ind w:left="1000" w:right="0" w:hanging="1000"/>
        <w:jc w:val="left"/>
      </w:pPr>
      <w:bookmarkStart w:id="177" w:name="bookmark591"/>
      <w:bookmarkStart w:id="178" w:name="bookmark592"/>
      <w:bookmarkStart w:id="179" w:name="bookmark593"/>
      <w:r>
        <w:rPr>
          <w:color w:val="000000"/>
          <w:spacing w:val="0"/>
          <w:w w:val="100"/>
          <w:position w:val="0"/>
        </w:rPr>
        <w:t>经营者未尽产品特殊危险的充分警示义务 与被侵权人过错的责任分担规则</w:t>
      </w:r>
      <w:bookmarkEnd w:id="177"/>
      <w:bookmarkEnd w:id="178"/>
      <w:bookmarkEnd w:id="179"/>
    </w:p>
    <w:p w14:paraId="20404F89">
      <w:pPr>
        <w:pStyle w:val="17"/>
        <w:keepNext w:val="0"/>
        <w:keepLines w:val="0"/>
        <w:widowControl w:val="0"/>
        <w:shd w:val="clear" w:color="auto" w:fill="auto"/>
        <w:bidi w:val="0"/>
        <w:spacing w:before="0" w:after="420" w:line="319" w:lineRule="exact"/>
        <w:ind w:left="1000" w:right="0" w:firstLine="0"/>
        <w:jc w:val="both"/>
      </w:pPr>
      <w:r>
        <w:rPr>
          <w:color w:val="000000"/>
          <w:spacing w:val="0"/>
          <w:w w:val="100"/>
          <w:position w:val="0"/>
        </w:rPr>
        <w:t>张玉梅诉南京港华燃气有限公司产品生产者责任纠纷案丨《最高 人民法院公报》</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期</w:t>
      </w:r>
    </w:p>
    <w:p w14:paraId="390DC6EF">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王竹</w:t>
      </w:r>
      <w:r>
        <w:rPr>
          <w:color w:val="000000"/>
          <w:spacing w:val="0"/>
          <w:w w:val="100"/>
          <w:position w:val="0"/>
        </w:rPr>
        <w:t>四川大学法学院</w:t>
      </w:r>
    </w:p>
    <w:p w14:paraId="190C8185">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7887E62D">
      <w:pPr>
        <w:pStyle w:val="17"/>
        <w:keepNext w:val="0"/>
        <w:keepLines w:val="0"/>
        <w:widowControl w:val="0"/>
        <w:shd w:val="clear" w:color="auto" w:fill="auto"/>
        <w:bidi w:val="0"/>
        <w:spacing w:before="0" w:after="0" w:line="342" w:lineRule="exact"/>
        <w:ind w:left="0" w:right="0"/>
        <w:jc w:val="both"/>
        <w:rPr>
          <w:sz w:val="19"/>
          <w:szCs w:val="19"/>
        </w:rPr>
      </w:pPr>
      <w:r>
        <w:rPr>
          <w:rFonts w:ascii="Times New Roman" w:hAnsi="Times New Roman" w:eastAsia="Times New Roman" w:cs="Times New Roman"/>
          <w:color w:val="000000"/>
          <w:spacing w:val="0"/>
          <w:w w:val="100"/>
          <w:position w:val="0"/>
          <w:sz w:val="19"/>
          <w:szCs w:val="19"/>
        </w:rPr>
        <w:t>2015</w:t>
      </w:r>
      <w:r>
        <w:rPr>
          <w:color w:val="000000"/>
          <w:spacing w:val="0"/>
          <w:w w:val="100"/>
          <w:position w:val="0"/>
          <w:sz w:val="18"/>
          <w:szCs w:val="18"/>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11</w:t>
      </w:r>
      <w:r>
        <w:rPr>
          <w:color w:val="000000"/>
          <w:spacing w:val="0"/>
          <w:w w:val="100"/>
          <w:position w:val="0"/>
          <w:sz w:val="18"/>
          <w:szCs w:val="18"/>
        </w:rPr>
        <w:t>日，南京市秦淮区一出租房屋厨房内发生爆燃事故，原告张玉梅在做饭 过程中被爆燃气体烧伤。火灾现场的勘验笔录记载：</w:t>
      </w:r>
      <w:r>
        <w:rPr>
          <w:color w:val="000000"/>
          <w:spacing w:val="0"/>
          <w:w w:val="100"/>
          <w:position w:val="0"/>
          <w:sz w:val="18"/>
          <w:szCs w:val="18"/>
          <w:lang w:val="zh-CN" w:eastAsia="zh-CN" w:bidi="zh-CN"/>
        </w:rPr>
        <w:t>“厨</w:t>
      </w:r>
      <w:r>
        <w:rPr>
          <w:color w:val="000000"/>
          <w:spacing w:val="0"/>
          <w:w w:val="100"/>
          <w:position w:val="0"/>
          <w:sz w:val="18"/>
          <w:szCs w:val="18"/>
        </w:rPr>
        <w:t>房内西侧橱柜内有一瓶液化石油 气，液化石油气总阀门处于关闭状态，钢瓶阀门处接有软管，软管通至厨房北侧的灶台下方 的橱柜内,软管另一头未接灶具，软管表面过火。灶台下方橱柜内北侧墙壁接有金属燃气 管,燃气管一头接在灶具上，一头接港华管道天然气，金属燃气管表面有过火痕迹。</w:t>
      </w:r>
      <w:r>
        <w:rPr>
          <w:color w:val="000000"/>
          <w:spacing w:val="0"/>
          <w:w w:val="100"/>
          <w:position w:val="0"/>
          <w:sz w:val="18"/>
          <w:szCs w:val="18"/>
          <w:lang w:val="zh-CN" w:eastAsia="zh-CN" w:bidi="zh-CN"/>
        </w:rPr>
        <w:t>”同年</w:t>
      </w:r>
      <w:r>
        <w:rPr>
          <w:rFonts w:ascii="Times New Roman" w:hAnsi="Times New Roman" w:eastAsia="Times New Roman" w:cs="Times New Roman"/>
          <w:color w:val="000000"/>
          <w:spacing w:val="0"/>
          <w:w w:val="100"/>
          <w:position w:val="0"/>
          <w:sz w:val="19"/>
          <w:szCs w:val="19"/>
        </w:rPr>
        <w:t xml:space="preserve">7 </w:t>
      </w:r>
      <w:r>
        <w:rPr>
          <w:color w:val="000000"/>
          <w:spacing w:val="0"/>
          <w:w w:val="100"/>
          <w:position w:val="0"/>
          <w:sz w:val="18"/>
          <w:szCs w:val="18"/>
        </w:rPr>
        <w:t>月</w:t>
      </w:r>
      <w:r>
        <w:rPr>
          <w:rFonts w:ascii="Times New Roman" w:hAnsi="Times New Roman" w:eastAsia="Times New Roman" w:cs="Times New Roman"/>
          <w:color w:val="000000"/>
          <w:spacing w:val="0"/>
          <w:w w:val="100"/>
          <w:position w:val="0"/>
          <w:sz w:val="19"/>
          <w:szCs w:val="19"/>
        </w:rPr>
        <w:t>31</w:t>
      </w:r>
      <w:r>
        <w:rPr>
          <w:color w:val="000000"/>
          <w:spacing w:val="0"/>
          <w:w w:val="100"/>
          <w:position w:val="0"/>
          <w:sz w:val="18"/>
          <w:szCs w:val="18"/>
        </w:rPr>
        <w:t>日出具的火灾事故认定书对起火原因认定如下:</w:t>
      </w:r>
      <w:r>
        <w:rPr>
          <w:color w:val="000000"/>
          <w:spacing w:val="0"/>
          <w:w w:val="100"/>
          <w:position w:val="0"/>
          <w:sz w:val="18"/>
          <w:szCs w:val="18"/>
          <w:lang w:val="zh-CN" w:eastAsia="zh-CN" w:bidi="zh-CN"/>
        </w:rPr>
        <w:t>“此</w:t>
      </w:r>
      <w:r>
        <w:rPr>
          <w:color w:val="000000"/>
          <w:spacing w:val="0"/>
          <w:w w:val="100"/>
          <w:position w:val="0"/>
          <w:sz w:val="18"/>
          <w:szCs w:val="18"/>
        </w:rPr>
        <w:t>次火灾</w:t>
      </w:r>
      <w:r>
        <w:rPr>
          <w:color w:val="000000"/>
          <w:spacing w:val="0"/>
          <w:w w:val="100"/>
          <w:position w:val="0"/>
          <w:sz w:val="18"/>
          <w:szCs w:val="18"/>
          <w:lang w:val="zh-CN" w:eastAsia="zh-CN" w:bidi="zh-CN"/>
        </w:rPr>
        <w:t>……</w:t>
      </w:r>
      <w:r>
        <w:rPr>
          <w:color w:val="000000"/>
          <w:spacing w:val="0"/>
          <w:w w:val="100"/>
          <w:position w:val="0"/>
          <w:sz w:val="18"/>
          <w:szCs w:val="18"/>
        </w:rPr>
        <w:t>起火原因为大量泄漏 的可燃气体与空气混合形成爆炸性混合物，遇激发能源引发爆燃</w:t>
      </w:r>
      <w:r>
        <w:rPr>
          <w:rFonts w:ascii="Times New Roman" w:hAnsi="Times New Roman" w:eastAsia="Times New Roman" w:cs="Times New Roman"/>
          <w:color w:val="000000"/>
          <w:spacing w:val="0"/>
          <w:w w:val="100"/>
          <w:position w:val="0"/>
          <w:sz w:val="19"/>
          <w:szCs w:val="19"/>
          <w:lang w:val="en-US" w:eastAsia="en-US" w:bidi="en-US"/>
        </w:rPr>
        <w:t xml:space="preserve">o </w:t>
      </w:r>
      <w:r>
        <w:rPr>
          <w:rFonts w:ascii="Times New Roman" w:hAnsi="Times New Roman" w:eastAsia="Times New Roman" w:cs="Times New Roman"/>
          <w:color w:val="000000"/>
          <w:spacing w:val="0"/>
          <w:w w:val="100"/>
          <w:position w:val="0"/>
          <w:sz w:val="19"/>
          <w:szCs w:val="19"/>
        </w:rPr>
        <w:t>”</w:t>
      </w:r>
    </w:p>
    <w:p w14:paraId="4F7B33DB">
      <w:pPr>
        <w:pStyle w:val="17"/>
        <w:keepNext w:val="0"/>
        <w:keepLines w:val="0"/>
        <w:widowControl w:val="0"/>
        <w:shd w:val="clear" w:color="auto" w:fill="auto"/>
        <w:bidi w:val="0"/>
        <w:spacing w:before="0" w:after="0" w:line="342" w:lineRule="exact"/>
        <w:ind w:left="0" w:right="0"/>
        <w:jc w:val="both"/>
      </w:pPr>
      <w:r>
        <w:rPr>
          <w:color w:val="000000"/>
          <w:spacing w:val="0"/>
          <w:w w:val="100"/>
          <w:position w:val="0"/>
        </w:rPr>
        <w:t>该房屋系案外人胡幸民所有并用于出租。</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日，胡幸民与被告港华公司签 订《城市管道燃气供用气合同》，被告港华公司向胡幸民发放了天然气新客户使用手册，该 手册在</w:t>
      </w:r>
      <w:r>
        <w:rPr>
          <w:color w:val="000000"/>
          <w:spacing w:val="0"/>
          <w:w w:val="100"/>
          <w:position w:val="0"/>
          <w:lang w:val="zh-CN" w:eastAsia="zh-CN" w:bidi="zh-CN"/>
        </w:rPr>
        <w:t>“燃</w:t>
      </w:r>
      <w:r>
        <w:rPr>
          <w:color w:val="000000"/>
          <w:spacing w:val="0"/>
          <w:w w:val="100"/>
          <w:position w:val="0"/>
        </w:rPr>
        <w:t>气安全</w:t>
      </w:r>
      <w:r>
        <w:rPr>
          <w:color w:val="000000"/>
          <w:spacing w:val="0"/>
          <w:w w:val="100"/>
          <w:position w:val="0"/>
          <w:lang w:val="zh-CN" w:eastAsia="zh-CN" w:bidi="zh-CN"/>
        </w:rPr>
        <w:t>”章节</w:t>
      </w:r>
      <w:r>
        <w:rPr>
          <w:color w:val="000000"/>
          <w:spacing w:val="0"/>
          <w:w w:val="100"/>
          <w:position w:val="0"/>
        </w:rPr>
        <w:t>写明：</w:t>
      </w:r>
      <w:r>
        <w:rPr>
          <w:color w:val="000000"/>
          <w:spacing w:val="0"/>
          <w:w w:val="100"/>
          <w:position w:val="0"/>
          <w:lang w:val="zh-CN" w:eastAsia="zh-CN" w:bidi="zh-CN"/>
        </w:rPr>
        <w:t>“不</w:t>
      </w:r>
      <w:r>
        <w:rPr>
          <w:color w:val="000000"/>
          <w:spacing w:val="0"/>
          <w:w w:val="100"/>
          <w:position w:val="0"/>
        </w:rPr>
        <w:t>得在同一室内同时使用含天然气在内的两个或两个以上 独立燃料源。</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日，南京坤旭商贸有限公司工作人员上门安装了胡幸民购买的港华紫 荆双眼台式灶。次日，南京燃气管线工程有限公司工作人员上门对燃气表及相关设施进行 验收通气,胡幸民在通气工作单上签字确认。</w:t>
      </w:r>
    </w:p>
    <w:p w14:paraId="70E4C013">
      <w:pPr>
        <w:pStyle w:val="17"/>
        <w:keepNext w:val="0"/>
        <w:keepLines w:val="0"/>
        <w:widowControl w:val="0"/>
        <w:shd w:val="clear" w:color="auto" w:fill="auto"/>
        <w:bidi w:val="0"/>
        <w:spacing w:before="0" w:after="340" w:line="342" w:lineRule="exact"/>
        <w:ind w:left="0" w:right="0"/>
        <w:jc w:val="both"/>
      </w:pPr>
      <w:r>
        <w:rPr>
          <w:color w:val="000000"/>
          <w:spacing w:val="0"/>
          <w:w w:val="100"/>
          <w:position w:val="0"/>
        </w:rPr>
        <w:t>经法院实地勘查及向消防部门、燃气管理部门调查认定,爆炸确系由于液化石油气罐 中的液化石油气泄漏造成，而非被告港华公司提供的天然气泄漏所致。</w:t>
      </w:r>
    </w:p>
    <w:p w14:paraId="49F8F091">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6F6FA1B">
      <w:pPr>
        <w:pStyle w:val="17"/>
        <w:keepNext w:val="0"/>
        <w:keepLines w:val="0"/>
        <w:widowControl w:val="0"/>
        <w:shd w:val="clear" w:color="auto" w:fill="auto"/>
        <w:bidi w:val="0"/>
        <w:spacing w:before="0" w:after="220" w:line="341" w:lineRule="exact"/>
        <w:ind w:left="0" w:right="0"/>
        <w:jc w:val="both"/>
        <w:sectPr>
          <w:headerReference r:id="rId549" w:type="default"/>
          <w:headerReference r:id="rId550" w:type="even"/>
          <w:footnotePr>
            <w:numFmt w:val="chicago"/>
          </w:footnotePr>
          <w:pgSz w:w="10099" w:h="14782"/>
          <w:pgMar w:top="1409" w:right="936" w:bottom="1015" w:left="875" w:header="981" w:footer="587" w:gutter="0"/>
          <w:pgNumType w:start="485"/>
          <w:cols w:space="720" w:num="1"/>
          <w:rtlGutter w:val="0"/>
          <w:docGrid w:linePitch="360" w:charSpace="0"/>
        </w:sectPr>
      </w:pPr>
      <w:r>
        <w:rPr>
          <w:color w:val="000000"/>
          <w:spacing w:val="0"/>
          <w:w w:val="100"/>
          <w:position w:val="0"/>
        </w:rPr>
        <w:t>燃气经营企业仅以发放用户手册等方式进行安全风险的书面告知，而未能在发现安全 隐患后作出具体、明确的警示，以保证消费者清楚认知到危险的存在从而避免危险后果发 生的,应就未积极履行安保义务所导致的消费者的损害后果承担侵权责任。</w:t>
      </w:r>
    </w:p>
    <w:p w14:paraId="73897634">
      <w:pPr>
        <w:pStyle w:val="11"/>
        <w:keepNext w:val="0"/>
        <w:keepLines w:val="0"/>
        <w:widowControl w:val="0"/>
        <w:shd w:val="clear" w:color="auto" w:fill="auto"/>
        <w:bidi w:val="0"/>
        <w:spacing w:before="0" w:after="140" w:line="345" w:lineRule="exact"/>
        <w:ind w:left="0" w:right="0" w:firstLine="0"/>
        <w:jc w:val="both"/>
      </w:pPr>
      <w:r>
        <w:rPr>
          <w:color w:val="000000"/>
          <w:spacing w:val="0"/>
          <w:w w:val="100"/>
          <w:position w:val="0"/>
        </w:rPr>
        <w:t>■评析</w:t>
      </w:r>
    </w:p>
    <w:p w14:paraId="1A20037D">
      <w:pPr>
        <w:pStyle w:val="17"/>
        <w:keepNext w:val="0"/>
        <w:keepLines w:val="0"/>
        <w:widowControl w:val="0"/>
        <w:shd w:val="clear" w:color="auto" w:fill="auto"/>
        <w:bidi w:val="0"/>
        <w:spacing w:before="0" w:after="0" w:line="345"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w:t>
      </w:r>
    </w:p>
    <w:p w14:paraId="016016E1">
      <w:pPr>
        <w:pStyle w:val="17"/>
        <w:keepNext w:val="0"/>
        <w:keepLines w:val="0"/>
        <w:widowControl w:val="0"/>
        <w:shd w:val="clear" w:color="auto" w:fill="auto"/>
        <w:bidi w:val="0"/>
        <w:spacing w:before="0" w:after="0" w:line="386" w:lineRule="exact"/>
        <w:ind w:left="0" w:right="0" w:firstLine="420"/>
        <w:jc w:val="both"/>
      </w:pPr>
      <w:r>
        <w:rPr>
          <w:color w:val="000000"/>
          <w:spacing w:val="0"/>
          <w:w w:val="100"/>
          <w:position w:val="0"/>
        </w:rPr>
        <w:t>本案争点为:危险气体经营企业仅以出具格式条款的方式进行安全注意事项告知和风 险警示，能否认为已尽到充分的安全保障义务及缺陷告知义务。</w:t>
      </w:r>
    </w:p>
    <w:p w14:paraId="30AC46D3">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在判断义务人在何种限度内承担安全保障义务时，要考虑义务人预防、控制损害的能 力。能力范围内能够遇见及避免的危险，义务人应当尽力避免、加以控制，否则便存在过错。 港华公司作为安装燃气管道和燃气器具的专业性公司，在从事上述安装、验收服务过程中， 理应发现该用户厨房内原先使用的罐装液化石油气，且对于在同一室内同时存放和使用两 种独立气源的安全风险，港华公司较原告张玉梅显然具备更强的判断能力，故其应当承担 与该种判断能力相匹配的安全保障义务。</w:t>
      </w:r>
    </w:p>
    <w:p w14:paraId="10DDD38E">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就警示义务，港华公司向用气人发放客户使用手册的行为，虽然能够证明其已履行了 作为燃气经营企业的告知义务，但在发现罐装液化石油气后,港华公司未能釆取进一步的 措施防范事故的发生。港华公司虽无权将液化石油气罐收走或者移到户外,但至少可以做 到将液化石油气罐移出原存放点或者在灶具附近加贴明显的警示标志，警醒任何潜在的厨 房使用人。</w:t>
      </w:r>
    </w:p>
    <w:p w14:paraId="3ED83456">
      <w:pPr>
        <w:pStyle w:val="17"/>
        <w:keepNext w:val="0"/>
        <w:keepLines w:val="0"/>
        <w:widowControl w:val="0"/>
        <w:shd w:val="clear" w:color="auto" w:fill="auto"/>
        <w:bidi w:val="0"/>
        <w:spacing w:before="0" w:after="180" w:line="345" w:lineRule="exact"/>
        <w:ind w:left="0" w:right="0" w:firstLine="420"/>
        <w:jc w:val="both"/>
      </w:pPr>
      <w:r>
        <w:rPr>
          <w:color w:val="000000"/>
          <w:spacing w:val="0"/>
          <w:w w:val="100"/>
          <w:position w:val="0"/>
        </w:rPr>
        <w:t>法院综合全案事实，酌定港华公司对于此次事故所造成的原告张玉梅的损失承担</w:t>
      </w:r>
      <w:r>
        <w:rPr>
          <w:rFonts w:ascii="Times New Roman" w:hAnsi="Times New Roman" w:eastAsia="Times New Roman" w:cs="Times New Roman"/>
          <w:color w:val="000000"/>
          <w:spacing w:val="0"/>
          <w:w w:val="100"/>
          <w:position w:val="0"/>
          <w:sz w:val="19"/>
          <w:szCs w:val="19"/>
        </w:rPr>
        <w:t xml:space="preserve">15% </w:t>
      </w:r>
      <w:r>
        <w:rPr>
          <w:color w:val="000000"/>
          <w:spacing w:val="0"/>
          <w:w w:val="100"/>
          <w:position w:val="0"/>
        </w:rPr>
        <w:t>的赔偿责任。</w:t>
      </w:r>
    </w:p>
    <w:p w14:paraId="5E82012F">
      <w:pPr>
        <w:pStyle w:val="17"/>
        <w:keepNext w:val="0"/>
        <w:keepLines w:val="0"/>
        <w:widowControl w:val="0"/>
        <w:shd w:val="clear" w:color="auto" w:fill="auto"/>
        <w:bidi w:val="0"/>
        <w:spacing w:before="0" w:after="140" w:line="345"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本判决的参考意义</w:t>
      </w:r>
    </w:p>
    <w:p w14:paraId="2FAA7C8B">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本案判决试图引入安全保障义务来配合警示义务论证危险气体经营者的责任，尽管在 理论构建上具有尝试的可能性</w:t>
      </w:r>
      <w:r>
        <w:rPr>
          <w:color w:val="000000"/>
          <w:spacing w:val="0"/>
          <w:w w:val="100"/>
          <w:position w:val="0"/>
          <w:sz w:val="11"/>
          <w:szCs w:val="11"/>
        </w:rPr>
        <w:t>（冉克平:《产品责任理论与判例研究》，北京大学出版社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年版, 第</w:t>
      </w:r>
      <w:r>
        <w:rPr>
          <w:rFonts w:ascii="Times New Roman" w:hAnsi="Times New Roman" w:eastAsia="Times New Roman" w:cs="Times New Roman"/>
          <w:color w:val="000000"/>
          <w:spacing w:val="0"/>
          <w:w w:val="100"/>
          <w:position w:val="0"/>
          <w:sz w:val="17"/>
          <w:szCs w:val="17"/>
        </w:rPr>
        <w:t>114 ~ 115</w:t>
      </w:r>
      <w:r>
        <w:rPr>
          <w:color w:val="000000"/>
          <w:spacing w:val="0"/>
          <w:w w:val="100"/>
          <w:position w:val="0"/>
          <w:sz w:val="11"/>
          <w:szCs w:val="11"/>
        </w:rPr>
        <w:t>页）。</w:t>
      </w:r>
      <w:r>
        <w:rPr>
          <w:color w:val="000000"/>
          <w:spacing w:val="0"/>
          <w:w w:val="100"/>
          <w:position w:val="0"/>
        </w:rPr>
        <w:t>但由于《民法典》第</w:t>
      </w:r>
      <w:r>
        <w:rPr>
          <w:rFonts w:ascii="Times New Roman" w:hAnsi="Times New Roman" w:eastAsia="Times New Roman" w:cs="Times New Roman"/>
          <w:color w:val="000000"/>
          <w:spacing w:val="0"/>
          <w:w w:val="100"/>
          <w:position w:val="0"/>
          <w:sz w:val="19"/>
          <w:szCs w:val="19"/>
        </w:rPr>
        <w:t>1198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款规定的安全保障义务仅限于</w:t>
      </w:r>
      <w:r>
        <w:rPr>
          <w:color w:val="000000"/>
          <w:spacing w:val="0"/>
          <w:w w:val="100"/>
          <w:position w:val="0"/>
          <w:lang w:val="zh-CN" w:eastAsia="zh-CN" w:bidi="zh-CN"/>
        </w:rPr>
        <w:t>“经营</w:t>
      </w:r>
      <w:r>
        <w:rPr>
          <w:color w:val="000000"/>
          <w:spacing w:val="0"/>
          <w:w w:val="100"/>
          <w:position w:val="0"/>
        </w:rPr>
        <w:t>场所、 公共场所的经营者、管理者或者群众性活动的组织者</w:t>
      </w:r>
      <w:r>
        <w:rPr>
          <w:color w:val="000000"/>
          <w:spacing w:val="0"/>
          <w:w w:val="100"/>
          <w:position w:val="0"/>
          <w:sz w:val="11"/>
          <w:szCs w:val="11"/>
          <w:lang w:val="zh-CN" w:eastAsia="zh-CN" w:bidi="zh-CN"/>
        </w:rPr>
        <w:t>”（原</w:t>
      </w:r>
      <w:r>
        <w:rPr>
          <w:color w:val="000000"/>
          <w:spacing w:val="0"/>
          <w:w w:val="100"/>
          <w:position w:val="0"/>
          <w:sz w:val="11"/>
          <w:szCs w:val="11"/>
        </w:rPr>
        <w:t>《侵权责任法》第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sz w:val="11"/>
          <w:szCs w:val="11"/>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 xml:space="preserve">款限定为 </w:t>
      </w:r>
      <w:r>
        <w:rPr>
          <w:color w:val="000000"/>
          <w:spacing w:val="0"/>
          <w:w w:val="100"/>
          <w:position w:val="0"/>
          <w:sz w:val="11"/>
          <w:szCs w:val="11"/>
          <w:lang w:val="zh-CN" w:eastAsia="zh-CN" w:bidi="zh-CN"/>
        </w:rPr>
        <w:t>“公</w:t>
      </w:r>
      <w:r>
        <w:rPr>
          <w:color w:val="000000"/>
          <w:spacing w:val="0"/>
          <w:w w:val="100"/>
          <w:position w:val="0"/>
          <w:sz w:val="11"/>
          <w:szCs w:val="11"/>
        </w:rPr>
        <w:t>共场所的管理人或者群众性活动的组织者”）</w:t>
      </w:r>
      <w:r>
        <w:rPr>
          <w:color w:val="000000"/>
          <w:spacing w:val="0"/>
          <w:w w:val="100"/>
          <w:position w:val="0"/>
        </w:rPr>
        <w:t xml:space="preserve">，故应回到缺陷产品的警示缺陷领域予以处理, 主要包括三个方面:第一，产品经营者的警示义务;第二，产品特殊危险的充分警示义务;第 </w:t>
      </w:r>
      <w:r>
        <w:rPr>
          <w:color w:val="000000"/>
          <w:spacing w:val="0"/>
          <w:w w:val="100"/>
          <w:position w:val="0"/>
          <w:sz w:val="11"/>
          <w:szCs w:val="11"/>
        </w:rPr>
        <w:t>三,</w:t>
      </w:r>
      <w:r>
        <w:rPr>
          <w:color w:val="000000"/>
          <w:spacing w:val="0"/>
          <w:w w:val="100"/>
          <w:position w:val="0"/>
        </w:rPr>
        <w:t>未按照警示使用产品构成被侵权人过错。</w:t>
      </w:r>
    </w:p>
    <w:p w14:paraId="0964F1C5">
      <w:pPr>
        <w:pStyle w:val="17"/>
        <w:keepNext w:val="0"/>
        <w:keepLines w:val="0"/>
        <w:widowControl w:val="0"/>
        <w:numPr>
          <w:ilvl w:val="0"/>
          <w:numId w:val="41"/>
        </w:numPr>
        <w:shd w:val="clear" w:color="auto" w:fill="auto"/>
        <w:bidi w:val="0"/>
        <w:spacing w:before="0" w:after="0" w:line="345" w:lineRule="exact"/>
        <w:ind w:left="0" w:right="0" w:firstLine="420"/>
        <w:jc w:val="both"/>
      </w:pPr>
      <w:bookmarkStart w:id="180" w:name="bookmark594"/>
      <w:bookmarkEnd w:id="180"/>
      <w:r>
        <w:rPr>
          <w:color w:val="000000"/>
          <w:spacing w:val="0"/>
          <w:w w:val="100"/>
          <w:position w:val="0"/>
        </w:rPr>
        <w:t>产品经营者的警示义务</w:t>
      </w:r>
    </w:p>
    <w:p w14:paraId="5BA95AB4">
      <w:pPr>
        <w:pStyle w:val="17"/>
        <w:keepNext w:val="0"/>
        <w:keepLines w:val="0"/>
        <w:widowControl w:val="0"/>
        <w:shd w:val="clear" w:color="auto" w:fill="auto"/>
        <w:bidi w:val="0"/>
        <w:spacing w:before="0" w:after="0" w:line="345" w:lineRule="exact"/>
        <w:ind w:left="0" w:right="0" w:firstLine="420"/>
        <w:jc w:val="both"/>
      </w:pPr>
      <w:r>
        <w:rPr>
          <w:color w:val="000000"/>
          <w:spacing w:val="0"/>
          <w:w w:val="100"/>
          <w:position w:val="0"/>
        </w:rPr>
        <w:t>《产品质量法》第</w:t>
      </w:r>
      <w:r>
        <w:rPr>
          <w:rFonts w:ascii="Times New Roman" w:hAnsi="Times New Roman" w:eastAsia="Times New Roman" w:cs="Times New Roman"/>
          <w:color w:val="000000"/>
          <w:spacing w:val="0"/>
          <w:w w:val="100"/>
          <w:position w:val="0"/>
          <w:sz w:val="19"/>
          <w:szCs w:val="19"/>
        </w:rPr>
        <w:t>46</w:t>
      </w:r>
      <w:r>
        <w:rPr>
          <w:color w:val="000000"/>
          <w:spacing w:val="0"/>
          <w:w w:val="100"/>
          <w:position w:val="0"/>
        </w:rPr>
        <w:t>条规定:“本法所称缺陷，是指产品存在危及人身、他人财产安全的 不合理的危险;产品有保障人体健康和人身、财产安全的国家标准、行业标准的，是指不符 合该标准</w:t>
      </w:r>
      <w:r>
        <w:rPr>
          <w:color w:val="000000"/>
          <w:spacing w:val="0"/>
          <w:w w:val="100"/>
          <w:position w:val="0"/>
          <w:lang w:val="zh-CN" w:eastAsia="zh-CN" w:bidi="zh-CN"/>
        </w:rPr>
        <w:t>。”该</w:t>
      </w:r>
      <w:r>
        <w:rPr>
          <w:color w:val="000000"/>
          <w:spacing w:val="0"/>
          <w:w w:val="100"/>
          <w:position w:val="0"/>
        </w:rPr>
        <w:t>法第</w:t>
      </w:r>
      <w:r>
        <w:rPr>
          <w:rFonts w:ascii="Times New Roman" w:hAnsi="Times New Roman" w:eastAsia="Times New Roman" w:cs="Times New Roman"/>
          <w:color w:val="000000"/>
          <w:spacing w:val="0"/>
          <w:w w:val="100"/>
          <w:position w:val="0"/>
          <w:sz w:val="19"/>
          <w:szCs w:val="19"/>
        </w:rPr>
        <w:t>27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项规定了产品的警示义务,但未纳入缺陷类型划分中。 可见该法并未区分缺陷的类型。《消费者权益保护法》第</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款有类似规定:“经营者 应当保证其提供的商品或者服务符合保障人身、财产安全的要求。对可能危及人身、财产 安全的商品和服务，应当向消费者作出真实的说明和明确的警示，并说明和标明正确使用 商品或者接受服务的方法以及防止危害发生的方法。”</w:t>
      </w:r>
    </w:p>
    <w:p w14:paraId="1830F26E">
      <w:pPr>
        <w:pStyle w:val="17"/>
        <w:keepNext w:val="0"/>
        <w:keepLines w:val="0"/>
        <w:widowControl w:val="0"/>
        <w:shd w:val="clear" w:color="auto" w:fill="auto"/>
        <w:bidi w:val="0"/>
        <w:spacing w:before="0" w:after="120" w:line="345" w:lineRule="exact"/>
        <w:ind w:left="0" w:right="0" w:firstLine="420"/>
        <w:jc w:val="both"/>
        <w:rPr>
          <w:sz w:val="11"/>
          <w:szCs w:val="11"/>
        </w:rPr>
      </w:pPr>
      <w:r>
        <w:rPr>
          <w:color w:val="000000"/>
          <w:spacing w:val="0"/>
          <w:w w:val="100"/>
          <w:position w:val="0"/>
          <w:sz w:val="18"/>
          <w:szCs w:val="18"/>
        </w:rPr>
        <w:t>尽管国家市场监督管理总局</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sz w:val="18"/>
          <w:szCs w:val="18"/>
        </w:rPr>
        <w:t>年制定的《消费品召回管理暂行规定》中关于缺陷的 定义是以“召回</w:t>
      </w:r>
      <w:r>
        <w:rPr>
          <w:color w:val="000000"/>
          <w:spacing w:val="0"/>
          <w:w w:val="100"/>
          <w:position w:val="0"/>
          <w:sz w:val="18"/>
          <w:szCs w:val="18"/>
          <w:lang w:val="zh-CN" w:eastAsia="zh-CN" w:bidi="zh-CN"/>
        </w:rPr>
        <w:t>”为中</w:t>
      </w:r>
      <w:r>
        <w:rPr>
          <w:color w:val="000000"/>
          <w:spacing w:val="0"/>
          <w:w w:val="100"/>
          <w:position w:val="0"/>
          <w:sz w:val="18"/>
          <w:szCs w:val="18"/>
        </w:rPr>
        <w:t>心,但该规定第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款'本规定所称缺陷，是指因设计、制造、警示 等原因</w:t>
      </w:r>
      <w:r>
        <w:rPr>
          <w:color w:val="000000"/>
          <w:spacing w:val="0"/>
          <w:w w:val="100"/>
          <w:position w:val="0"/>
          <w:sz w:val="18"/>
          <w:szCs w:val="18"/>
          <w:lang w:val="zh-CN" w:eastAsia="zh-CN" w:bidi="zh-CN"/>
        </w:rPr>
        <w:t>……”却</w:t>
      </w:r>
      <w:r>
        <w:rPr>
          <w:color w:val="000000"/>
          <w:spacing w:val="0"/>
          <w:w w:val="100"/>
          <w:position w:val="0"/>
          <w:sz w:val="18"/>
          <w:szCs w:val="18"/>
        </w:rPr>
        <w:t>似将美国侵权法的缺陷三分法纳入了我国的立法体系，本案也是法官利用 警示缺陷理论进行判决的尝试。存在警示缺陷的前提是产品的生产者或销售者负有警示 的义务</w:t>
      </w:r>
      <w:r>
        <w:rPr>
          <w:color w:val="000000"/>
          <w:spacing w:val="0"/>
          <w:w w:val="100"/>
          <w:position w:val="0"/>
          <w:sz w:val="11"/>
          <w:szCs w:val="11"/>
        </w:rPr>
        <w:t>(程啸:《侵权责任法》，法律出版社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499</w:t>
      </w:r>
      <w:r>
        <w:rPr>
          <w:color w:val="000000"/>
          <w:spacing w:val="0"/>
          <w:w w:val="100"/>
          <w:position w:val="0"/>
          <w:sz w:val="11"/>
          <w:szCs w:val="11"/>
        </w:rPr>
        <w:t>页)。</w:t>
      </w:r>
    </w:p>
    <w:p w14:paraId="48B71E4A">
      <w:pPr>
        <w:pStyle w:val="17"/>
        <w:keepNext w:val="0"/>
        <w:keepLines w:val="0"/>
        <w:widowControl w:val="0"/>
        <w:numPr>
          <w:ilvl w:val="0"/>
          <w:numId w:val="42"/>
        </w:numPr>
        <w:shd w:val="clear" w:color="auto" w:fill="auto"/>
        <w:tabs>
          <w:tab w:val="left" w:pos="834"/>
        </w:tabs>
        <w:bidi w:val="0"/>
        <w:spacing w:before="0" w:after="0" w:line="377" w:lineRule="auto"/>
        <w:ind w:left="0" w:right="0" w:firstLine="420"/>
        <w:jc w:val="both"/>
      </w:pPr>
      <w:bookmarkStart w:id="181" w:name="bookmark595"/>
      <w:bookmarkEnd w:id="181"/>
      <w:r>
        <w:rPr>
          <w:color w:val="000000"/>
          <w:spacing w:val="0"/>
          <w:w w:val="100"/>
          <w:position w:val="0"/>
        </w:rPr>
        <w:t>警示义务针对产品内在危险</w:t>
      </w:r>
    </w:p>
    <w:p w14:paraId="2F30E8B3">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警示是指向使用者和消费者提出产品风险及性质的警告，从而让使用者和消费者能够 通过在使用或消费中采取适当的行为或者选择不使用或消费该种产品来避免损害。警示 义务针对产品内在危险，是指产品在生产当时客观具有的产生危险的可能,而且这种产生 危险的可能是无法通过其他的改进或替代而能够加以避免的。</w:t>
      </w:r>
      <w:r>
        <w:rPr>
          <w:color w:val="000000"/>
          <w:spacing w:val="0"/>
          <w:w w:val="100"/>
          <w:position w:val="0"/>
          <w:sz w:val="11"/>
          <w:szCs w:val="11"/>
        </w:rPr>
        <w:t>(张庆、刘宁、乔栋:《产品质量 责任:法律风险与对策》，法律出版社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111</w:t>
      </w:r>
      <w:r>
        <w:rPr>
          <w:color w:val="000000"/>
          <w:spacing w:val="0"/>
          <w:w w:val="100"/>
          <w:position w:val="0"/>
          <w:sz w:val="11"/>
          <w:szCs w:val="11"/>
        </w:rPr>
        <w:t>页)。</w:t>
      </w:r>
      <w:r>
        <w:rPr>
          <w:color w:val="000000"/>
          <w:spacing w:val="0"/>
          <w:w w:val="100"/>
          <w:position w:val="0"/>
        </w:rPr>
        <w:t>产品的内在危险是产品本身所具有 的危险性，包括某些产品从其特性上看属于危险品或具有潜在的危险。这种关于产品内在 危险的警示义务,一般以生产者主观上明知或者应当知道为前提。</w:t>
      </w:r>
    </w:p>
    <w:p w14:paraId="76770EE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尽管生产者、销售者负有对产品的可预见危险进行警示的义务,但不能不合理地要求 生产者、销售者对与产品相关的一切风险承担漫无边际的警示义务。美国法上</w:t>
      </w:r>
      <w:r>
        <w:rPr>
          <w:rFonts w:ascii="Times New Roman" w:hAnsi="Times New Roman" w:eastAsia="Times New Roman" w:cs="Times New Roman"/>
          <w:color w:val="000000"/>
          <w:spacing w:val="0"/>
          <w:w w:val="100"/>
          <w:position w:val="0"/>
          <w:sz w:val="19"/>
          <w:szCs w:val="19"/>
        </w:rPr>
        <w:t>,1950</w:t>
      </w:r>
      <w:r>
        <w:rPr>
          <w:color w:val="000000"/>
          <w:spacing w:val="0"/>
          <w:w w:val="100"/>
          <w:position w:val="0"/>
        </w:rPr>
        <w:t xml:space="preserve">年的 </w:t>
      </w:r>
      <w:r>
        <w:rPr>
          <w:rFonts w:ascii="Times New Roman" w:hAnsi="Times New Roman" w:eastAsia="Times New Roman" w:cs="Times New Roman"/>
          <w:color w:val="000000"/>
          <w:spacing w:val="0"/>
          <w:w w:val="100"/>
          <w:position w:val="0"/>
          <w:sz w:val="19"/>
          <w:szCs w:val="19"/>
          <w:lang w:val="en-US" w:eastAsia="en-US" w:bidi="en-US"/>
        </w:rPr>
        <w:t>Campo vs. Scofield</w:t>
      </w:r>
      <w:r>
        <w:rPr>
          <w:color w:val="000000"/>
          <w:spacing w:val="0"/>
          <w:w w:val="100"/>
          <w:position w:val="0"/>
        </w:rPr>
        <w:t>案确立了产品责任法领域的</w:t>
      </w:r>
      <w:r>
        <w:rPr>
          <w:color w:val="000000"/>
          <w:spacing w:val="0"/>
          <w:w w:val="100"/>
          <w:position w:val="0"/>
          <w:lang w:val="zh-CN" w:eastAsia="zh-CN" w:bidi="zh-CN"/>
        </w:rPr>
        <w:t>“明显</w:t>
      </w:r>
      <w:r>
        <w:rPr>
          <w:color w:val="000000"/>
          <w:spacing w:val="0"/>
          <w:w w:val="100"/>
          <w:position w:val="0"/>
        </w:rPr>
        <w:t>危险无警示义务原则</w:t>
      </w:r>
      <w:r>
        <w:rPr>
          <w:color w:val="000000"/>
          <w:spacing w:val="0"/>
          <w:w w:val="100"/>
          <w:position w:val="0"/>
          <w:lang w:val="zh-CN" w:eastAsia="zh-CN" w:bidi="zh-CN"/>
        </w:rPr>
        <w:t>”。该</w:t>
      </w:r>
      <w:r>
        <w:rPr>
          <w:color w:val="000000"/>
          <w:spacing w:val="0"/>
          <w:w w:val="100"/>
          <w:position w:val="0"/>
        </w:rPr>
        <w:t>原则认 为，能够引发警示义务的危险应当以普通人的预见为认定标准，对于具有明显危险性的产 品和产品风险，不具有警示义务。</w:t>
      </w:r>
    </w:p>
    <w:p w14:paraId="42F45203">
      <w:pPr>
        <w:pStyle w:val="17"/>
        <w:keepNext w:val="0"/>
        <w:keepLines w:val="0"/>
        <w:widowControl w:val="0"/>
        <w:numPr>
          <w:ilvl w:val="0"/>
          <w:numId w:val="42"/>
        </w:numPr>
        <w:shd w:val="clear" w:color="auto" w:fill="auto"/>
        <w:tabs>
          <w:tab w:val="left" w:pos="836"/>
        </w:tabs>
        <w:bidi w:val="0"/>
        <w:spacing w:before="0" w:after="0" w:line="342" w:lineRule="exact"/>
        <w:ind w:left="0" w:right="0" w:firstLine="420"/>
        <w:jc w:val="both"/>
      </w:pPr>
      <w:bookmarkStart w:id="182" w:name="bookmark596"/>
      <w:bookmarkEnd w:id="182"/>
      <w:r>
        <w:rPr>
          <w:color w:val="000000"/>
          <w:spacing w:val="0"/>
          <w:w w:val="100"/>
          <w:position w:val="0"/>
        </w:rPr>
        <w:t>警示义务两种判断标准的关系</w:t>
      </w:r>
    </w:p>
    <w:p w14:paraId="2CE16849">
      <w:pPr>
        <w:pStyle w:val="17"/>
        <w:keepNext w:val="0"/>
        <w:keepLines w:val="0"/>
        <w:widowControl w:val="0"/>
        <w:shd w:val="clear" w:color="auto" w:fill="auto"/>
        <w:tabs>
          <w:tab w:val="left" w:leader="dot" w:pos="3430"/>
        </w:tabs>
        <w:bidi w:val="0"/>
        <w:spacing w:before="0" w:after="120" w:line="342" w:lineRule="exact"/>
        <w:ind w:left="0" w:right="0" w:firstLine="420"/>
        <w:jc w:val="both"/>
      </w:pPr>
      <w:r>
        <w:rPr>
          <w:color w:val="000000"/>
          <w:spacing w:val="0"/>
          <w:w w:val="100"/>
          <w:position w:val="0"/>
        </w:rPr>
        <w:t>警示义务的判断标准主要是</w:t>
      </w:r>
      <w:r>
        <w:rPr>
          <w:color w:val="000000"/>
          <w:spacing w:val="0"/>
          <w:w w:val="100"/>
          <w:position w:val="0"/>
          <w:lang w:val="zh-CN" w:eastAsia="zh-CN" w:bidi="zh-CN"/>
        </w:rPr>
        <w:t>“消</w:t>
      </w:r>
      <w:r>
        <w:rPr>
          <w:color w:val="000000"/>
          <w:spacing w:val="0"/>
          <w:w w:val="100"/>
          <w:position w:val="0"/>
        </w:rPr>
        <w:t>费者期待标准</w:t>
      </w:r>
      <w:r>
        <w:rPr>
          <w:color w:val="000000"/>
          <w:spacing w:val="0"/>
          <w:w w:val="100"/>
          <w:position w:val="0"/>
          <w:lang w:val="zh-CN" w:eastAsia="zh-CN" w:bidi="zh-CN"/>
        </w:rPr>
        <w:t>”和“风险</w:t>
      </w:r>
      <w:r>
        <w:rPr>
          <w:color w:val="000000"/>
          <w:spacing w:val="0"/>
          <w:w w:val="100"/>
          <w:position w:val="0"/>
        </w:rPr>
        <w:t>一效益</w:t>
      </w:r>
      <w:r>
        <w:rPr>
          <w:color w:val="000000"/>
          <w:spacing w:val="0"/>
          <w:w w:val="100"/>
          <w:position w:val="0"/>
          <w:lang w:val="zh-CN" w:eastAsia="zh-CN" w:bidi="zh-CN"/>
        </w:rPr>
        <w:t>”标</w:t>
      </w:r>
      <w:r>
        <w:rPr>
          <w:color w:val="000000"/>
          <w:spacing w:val="0"/>
          <w:w w:val="100"/>
          <w:position w:val="0"/>
        </w:rPr>
        <w:t>准。消费者期待标 准的典型代表是《侵权法重述-第二次》第</w:t>
      </w:r>
      <w:r>
        <w:rPr>
          <w:rFonts w:ascii="Times New Roman" w:hAnsi="Times New Roman" w:eastAsia="Times New Roman" w:cs="Times New Roman"/>
          <w:color w:val="000000"/>
          <w:spacing w:val="0"/>
          <w:w w:val="100"/>
          <w:position w:val="0"/>
          <w:sz w:val="19"/>
          <w:szCs w:val="19"/>
          <w:lang w:val="en-US" w:eastAsia="en-US" w:bidi="en-US"/>
        </w:rPr>
        <w:t>402A</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款导语的规定:</w:t>
      </w:r>
      <w:r>
        <w:rPr>
          <w:rFonts w:ascii="Times New Roman" w:hAnsi="Times New Roman" w:eastAsia="Times New Roman" w:cs="Times New Roman"/>
          <w:color w:val="000000"/>
          <w:spacing w:val="0"/>
          <w:w w:val="100"/>
          <w:position w:val="0"/>
          <w:sz w:val="19"/>
          <w:szCs w:val="19"/>
        </w:rPr>
        <w:t>“</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岀售任何处于 对使用者或者消费者及其财产具有不合理危险性缺陷状况产品的人,对由此造成的最终使 用者或者消费者物质伤害承担责任</w:t>
      </w:r>
      <w:r>
        <w:rPr>
          <w:color w:val="000000"/>
          <w:spacing w:val="0"/>
          <w:w w:val="100"/>
          <w:position w:val="0"/>
          <w:lang w:val="en-US" w:eastAsia="en-US" w:bidi="en-US"/>
        </w:rPr>
        <w:tab/>
      </w:r>
      <w:r>
        <w:rPr>
          <w:color w:val="000000"/>
          <w:spacing w:val="0"/>
          <w:w w:val="100"/>
          <w:position w:val="0"/>
          <w:lang w:val="en-US" w:eastAsia="en-US" w:bidi="en-US"/>
        </w:rPr>
        <w:t>.....</w:t>
      </w:r>
      <w:r>
        <w:rPr>
          <w:color w:val="000000"/>
          <w:spacing w:val="0"/>
          <w:w w:val="100"/>
          <w:position w:val="0"/>
          <w:lang w:val="zh-CN" w:eastAsia="zh-CN" w:bidi="zh-CN"/>
        </w:rPr>
        <w:t>”“不</w:t>
      </w:r>
      <w:r>
        <w:rPr>
          <w:color w:val="000000"/>
          <w:spacing w:val="0"/>
          <w:w w:val="100"/>
          <w:position w:val="0"/>
        </w:rPr>
        <w:t>合理危险性缺陷”实际上是以消费者期待为判 断标准。而</w:t>
      </w:r>
      <w:r>
        <w:rPr>
          <w:color w:val="000000"/>
          <w:spacing w:val="0"/>
          <w:w w:val="100"/>
          <w:position w:val="0"/>
          <w:lang w:val="zh-CN" w:eastAsia="zh-CN" w:bidi="zh-CN"/>
        </w:rPr>
        <w:t>“风险</w:t>
      </w:r>
      <w:r>
        <w:rPr>
          <w:color w:val="000000"/>
          <w:spacing w:val="0"/>
          <w:w w:val="100"/>
          <w:position w:val="0"/>
        </w:rPr>
        <w:t>一效益</w:t>
      </w:r>
      <w:r>
        <w:rPr>
          <w:color w:val="000000"/>
          <w:spacing w:val="0"/>
          <w:w w:val="100"/>
          <w:position w:val="0"/>
          <w:lang w:val="zh-CN" w:eastAsia="zh-CN" w:bidi="zh-CN"/>
        </w:rPr>
        <w:t>”标准</w:t>
      </w:r>
      <w:r>
        <w:rPr>
          <w:color w:val="000000"/>
          <w:spacing w:val="0"/>
          <w:w w:val="100"/>
          <w:position w:val="0"/>
        </w:rPr>
        <w:t>的典型代表是《侵权法重述-第三次-产品责任编》第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 第</w:t>
      </w:r>
      <w:r>
        <w:rPr>
          <w:rFonts w:ascii="Times New Roman" w:hAnsi="Times New Roman" w:eastAsia="Times New Roman" w:cs="Times New Roman"/>
          <w:color w:val="000000"/>
          <w:spacing w:val="0"/>
          <w:w w:val="100"/>
          <w:position w:val="0"/>
          <w:sz w:val="19"/>
          <w:szCs w:val="19"/>
          <w:lang w:val="en-US" w:eastAsia="en-US" w:bidi="en-US"/>
        </w:rPr>
        <w:t>c</w:t>
      </w:r>
      <w:r>
        <w:rPr>
          <w:color w:val="000000"/>
          <w:spacing w:val="0"/>
          <w:w w:val="100"/>
          <w:position w:val="0"/>
        </w:rPr>
        <w:t>款的规定:</w:t>
      </w:r>
      <w:r>
        <w:rPr>
          <w:color w:val="000000"/>
          <w:spacing w:val="0"/>
          <w:w w:val="100"/>
          <w:position w:val="0"/>
          <w:lang w:val="zh-CN" w:eastAsia="zh-CN" w:bidi="zh-CN"/>
        </w:rPr>
        <w:t>“如</w:t>
      </w:r>
      <w:r>
        <w:rPr>
          <w:color w:val="000000"/>
          <w:spacing w:val="0"/>
          <w:w w:val="100"/>
          <w:position w:val="0"/>
        </w:rPr>
        <w:t>果可预见的因该产品引起的损害风险能够通过出售者或者以其他方式 分发者，或者他们在商业分销链条中的前手，通过提供合理的说明或者警示而减少或者避 免，而没有提供合理的说明或者警示致使产品不具有合理性安全，那么因说明或者警示不 足而存在缺陷</w:t>
      </w:r>
      <w:r>
        <w:rPr>
          <w:color w:val="000000"/>
          <w:spacing w:val="0"/>
          <w:w w:val="100"/>
          <w:position w:val="0"/>
          <w:lang w:val="zh-CN" w:eastAsia="zh-CN" w:bidi="zh-CN"/>
        </w:rPr>
        <w:t>。”这</w:t>
      </w:r>
      <w:r>
        <w:rPr>
          <w:color w:val="000000"/>
          <w:spacing w:val="0"/>
          <w:w w:val="100"/>
          <w:position w:val="0"/>
        </w:rPr>
        <w:t>种</w:t>
      </w:r>
      <w:r>
        <w:rPr>
          <w:color w:val="000000"/>
          <w:spacing w:val="0"/>
          <w:w w:val="100"/>
          <w:position w:val="0"/>
          <w:lang w:val="zh-CN" w:eastAsia="zh-CN" w:bidi="zh-CN"/>
        </w:rPr>
        <w:t>“可预</w:t>
      </w:r>
      <w:r>
        <w:rPr>
          <w:color w:val="000000"/>
          <w:spacing w:val="0"/>
          <w:w w:val="100"/>
          <w:position w:val="0"/>
        </w:rPr>
        <w:t>见”与</w:t>
      </w:r>
      <w:r>
        <w:rPr>
          <w:color w:val="000000"/>
          <w:spacing w:val="0"/>
          <w:w w:val="100"/>
          <w:position w:val="0"/>
          <w:lang w:val="zh-CN" w:eastAsia="zh-CN" w:bidi="zh-CN"/>
        </w:rPr>
        <w:t>“合理”的</w:t>
      </w:r>
      <w:r>
        <w:rPr>
          <w:color w:val="000000"/>
          <w:spacing w:val="0"/>
          <w:w w:val="100"/>
          <w:position w:val="0"/>
        </w:rPr>
        <w:t>表述实质上就是基于</w:t>
      </w:r>
      <w:r>
        <w:rPr>
          <w:color w:val="000000"/>
          <w:spacing w:val="0"/>
          <w:w w:val="100"/>
          <w:position w:val="0"/>
          <w:lang w:val="zh-CN" w:eastAsia="zh-CN" w:bidi="zh-CN"/>
        </w:rPr>
        <w:t>“风险</w:t>
      </w:r>
      <w:r>
        <w:rPr>
          <w:color w:val="000000"/>
          <w:spacing w:val="0"/>
          <w:w w:val="100"/>
          <w:position w:val="0"/>
        </w:rPr>
        <w:t>一效益</w:t>
      </w:r>
      <w:r>
        <w:rPr>
          <w:color w:val="000000"/>
          <w:spacing w:val="0"/>
          <w:w w:val="100"/>
          <w:position w:val="0"/>
          <w:lang w:val="zh-CN" w:eastAsia="zh-CN" w:bidi="zh-CN"/>
        </w:rPr>
        <w:t>”标</w:t>
      </w:r>
      <w:r>
        <w:rPr>
          <w:color w:val="000000"/>
          <w:spacing w:val="0"/>
          <w:w w:val="100"/>
          <w:position w:val="0"/>
        </w:rPr>
        <w:t>准。就两 种标准的关系，产品危险性越高，危险越特殊，消费者期待标准在衡量中就越占主导地位。</w:t>
      </w:r>
    </w:p>
    <w:p w14:paraId="0A573A6E">
      <w:pPr>
        <w:pStyle w:val="17"/>
        <w:keepNext w:val="0"/>
        <w:keepLines w:val="0"/>
        <w:widowControl w:val="0"/>
        <w:numPr>
          <w:ilvl w:val="0"/>
          <w:numId w:val="41"/>
        </w:numPr>
        <w:shd w:val="clear" w:color="auto" w:fill="auto"/>
        <w:bidi w:val="0"/>
        <w:spacing w:before="0" w:after="0" w:line="379" w:lineRule="auto"/>
        <w:ind w:left="0" w:right="0" w:firstLine="420"/>
        <w:jc w:val="both"/>
      </w:pPr>
      <w:bookmarkStart w:id="183" w:name="bookmark597"/>
      <w:bookmarkEnd w:id="183"/>
      <w:r>
        <w:rPr>
          <w:color w:val="000000"/>
          <w:spacing w:val="0"/>
          <w:w w:val="100"/>
          <w:position w:val="0"/>
        </w:rPr>
        <w:t>产品特殊危险的充分警示义务</w:t>
      </w:r>
    </w:p>
    <w:p w14:paraId="41712AC8">
      <w:pPr>
        <w:pStyle w:val="17"/>
        <w:keepNext w:val="0"/>
        <w:keepLines w:val="0"/>
        <w:widowControl w:val="0"/>
        <w:shd w:val="clear" w:color="auto" w:fill="auto"/>
        <w:bidi w:val="0"/>
        <w:spacing w:before="0" w:after="120" w:line="344" w:lineRule="exact"/>
        <w:ind w:left="0" w:right="0" w:firstLine="420"/>
        <w:jc w:val="both"/>
      </w:pPr>
      <w:r>
        <w:rPr>
          <w:color w:val="000000"/>
          <w:spacing w:val="0"/>
          <w:w w:val="100"/>
          <w:position w:val="0"/>
        </w:rPr>
        <w:t>本案争议的核心在于，该</w:t>
      </w:r>
      <w:r>
        <w:rPr>
          <w:color w:val="000000"/>
          <w:spacing w:val="0"/>
          <w:w w:val="100"/>
          <w:position w:val="0"/>
          <w:lang w:val="zh-CN" w:eastAsia="zh-CN" w:bidi="zh-CN"/>
        </w:rPr>
        <w:t>“警示”是</w:t>
      </w:r>
      <w:r>
        <w:rPr>
          <w:color w:val="000000"/>
          <w:spacing w:val="0"/>
          <w:w w:val="100"/>
          <w:position w:val="0"/>
        </w:rPr>
        <w:t>否足够充分。法院试图引入安全保障义务理论来论 证的原因，正是认识到经营者应达到</w:t>
      </w:r>
      <w:r>
        <w:rPr>
          <w:color w:val="000000"/>
          <w:spacing w:val="0"/>
          <w:w w:val="100"/>
          <w:position w:val="0"/>
          <w:lang w:val="zh-CN" w:eastAsia="zh-CN" w:bidi="zh-CN"/>
        </w:rPr>
        <w:t>“充分</w:t>
      </w:r>
      <w:r>
        <w:rPr>
          <w:color w:val="000000"/>
          <w:spacing w:val="0"/>
          <w:w w:val="100"/>
          <w:position w:val="0"/>
        </w:rPr>
        <w:t>警示义务”的要求。那么,这种要求的正当性只 能诉诸这是一种易燃、易爆的“高度危险物品</w:t>
      </w:r>
      <w:r>
        <w:rPr>
          <w:color w:val="000000"/>
          <w:spacing w:val="0"/>
          <w:w w:val="100"/>
          <w:position w:val="0"/>
          <w:lang w:val="zh-CN" w:eastAsia="zh-CN" w:bidi="zh-CN"/>
        </w:rPr>
        <w:t>”，且“对于</w:t>
      </w:r>
      <w:r>
        <w:rPr>
          <w:color w:val="000000"/>
          <w:spacing w:val="0"/>
          <w:w w:val="100"/>
          <w:position w:val="0"/>
        </w:rPr>
        <w:t>在同一室内同时存放和使用两种独 立气源的安全风险</w:t>
      </w:r>
      <w:r>
        <w:rPr>
          <w:color w:val="000000"/>
          <w:spacing w:val="0"/>
          <w:w w:val="100"/>
          <w:position w:val="0"/>
          <w:lang w:val="zh-CN" w:eastAsia="zh-CN" w:bidi="zh-CN"/>
        </w:rPr>
        <w:t>”超</w:t>
      </w:r>
      <w:r>
        <w:rPr>
          <w:color w:val="000000"/>
          <w:spacing w:val="0"/>
          <w:w w:val="100"/>
          <w:position w:val="0"/>
        </w:rPr>
        <w:t>过了普通人的注意义务范围，因此应该对产品</w:t>
      </w:r>
      <w:r>
        <w:rPr>
          <w:color w:val="000000"/>
          <w:spacing w:val="0"/>
          <w:w w:val="100"/>
          <w:position w:val="0"/>
          <w:lang w:val="zh-CN" w:eastAsia="zh-CN" w:bidi="zh-CN"/>
        </w:rPr>
        <w:t>“特殊”危</w:t>
      </w:r>
      <w:r>
        <w:rPr>
          <w:color w:val="000000"/>
          <w:spacing w:val="0"/>
          <w:w w:val="100"/>
          <w:position w:val="0"/>
        </w:rPr>
        <w:t>险对应的更 高的</w:t>
      </w:r>
      <w:r>
        <w:rPr>
          <w:color w:val="000000"/>
          <w:spacing w:val="0"/>
          <w:w w:val="100"/>
          <w:position w:val="0"/>
          <w:lang w:val="zh-CN" w:eastAsia="zh-CN" w:bidi="zh-CN"/>
        </w:rPr>
        <w:t>“充分”警示</w:t>
      </w:r>
      <w:r>
        <w:rPr>
          <w:color w:val="000000"/>
          <w:spacing w:val="0"/>
          <w:w w:val="100"/>
          <w:position w:val="0"/>
        </w:rPr>
        <w:t>义务予以明确。</w:t>
      </w:r>
    </w:p>
    <w:p w14:paraId="2E09E4C2">
      <w:pPr>
        <w:pStyle w:val="17"/>
        <w:keepNext w:val="0"/>
        <w:keepLines w:val="0"/>
        <w:widowControl w:val="0"/>
        <w:numPr>
          <w:ilvl w:val="0"/>
          <w:numId w:val="43"/>
        </w:numPr>
        <w:shd w:val="clear" w:color="auto" w:fill="auto"/>
        <w:bidi w:val="0"/>
        <w:spacing w:before="0" w:after="0" w:line="379" w:lineRule="auto"/>
        <w:ind w:left="0" w:right="0" w:firstLine="420"/>
        <w:jc w:val="both"/>
      </w:pPr>
      <w:bookmarkStart w:id="184" w:name="bookmark598"/>
      <w:bookmarkEnd w:id="184"/>
      <w:r>
        <w:rPr>
          <w:color w:val="000000"/>
          <w:spacing w:val="0"/>
          <w:w w:val="100"/>
          <w:position w:val="0"/>
        </w:rPr>
        <w:t>产品的特殊危险</w:t>
      </w:r>
    </w:p>
    <w:p w14:paraId="10B4070C">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学说上认为，产品是否存在危险,分为四种情况:完全没有危险;合理危险;不合理危险; 具有高度危险</w:t>
      </w:r>
      <w:r>
        <w:rPr>
          <w:color w:val="000000"/>
          <w:spacing w:val="0"/>
          <w:w w:val="100"/>
          <w:position w:val="0"/>
          <w:sz w:val="11"/>
          <w:szCs w:val="11"/>
        </w:rPr>
        <w:t>（杨立新:《侵权法论》，人民法院出版社</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717</w:t>
      </w:r>
      <w:r>
        <w:rPr>
          <w:color w:val="000000"/>
          <w:spacing w:val="0"/>
          <w:w w:val="100"/>
          <w:position w:val="0"/>
          <w:sz w:val="11"/>
          <w:szCs w:val="11"/>
        </w:rPr>
        <w:t>页）。</w:t>
      </w:r>
      <w:r>
        <w:rPr>
          <w:color w:val="000000"/>
          <w:spacing w:val="0"/>
          <w:w w:val="100"/>
          <w:position w:val="0"/>
        </w:rPr>
        <w:t>对一些特殊的产品 （如易燃易爆物品等），应当对其危害性等作出特别的警示</w:t>
      </w:r>
      <w:r>
        <w:rPr>
          <w:color w:val="000000"/>
          <w:spacing w:val="0"/>
          <w:w w:val="100"/>
          <w:position w:val="0"/>
          <w:sz w:val="11"/>
          <w:szCs w:val="11"/>
        </w:rPr>
        <w:t>［王利明：《侵权责任法研究》（下卷）， 中国人民大学出版社</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250</w:t>
      </w:r>
      <w:r>
        <w:rPr>
          <w:color w:val="000000"/>
          <w:spacing w:val="0"/>
          <w:w w:val="100"/>
          <w:position w:val="0"/>
          <w:sz w:val="11"/>
          <w:szCs w:val="11"/>
        </w:rPr>
        <w:t>页］。</w:t>
      </w:r>
      <w:r>
        <w:rPr>
          <w:color w:val="000000"/>
          <w:spacing w:val="0"/>
          <w:w w:val="100"/>
          <w:position w:val="0"/>
        </w:rPr>
        <w:t>《产品质量法》第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条就特殊危险产品的包装质量 作岀了特别规定:</w:t>
      </w:r>
      <w:r>
        <w:rPr>
          <w:color w:val="000000"/>
          <w:spacing w:val="0"/>
          <w:w w:val="100"/>
          <w:position w:val="0"/>
          <w:lang w:val="zh-CN" w:eastAsia="zh-CN" w:bidi="zh-CN"/>
        </w:rPr>
        <w:t>“易碎</w:t>
      </w:r>
      <w:r>
        <w:rPr>
          <w:color w:val="000000"/>
          <w:spacing w:val="0"/>
          <w:w w:val="100"/>
          <w:position w:val="0"/>
        </w:rPr>
        <w:t>、易燃、易爆、有毒、有腐蚀性、有放射性等危险物品以及储运中不能 倒置和其他有特殊要求的产品，其包装质量必须符合相应要求，依照国家有关规定作出警 示标志或者中文警示说明，标明储运注意事项。”</w:t>
      </w:r>
    </w:p>
    <w:p w14:paraId="5BA6FFCD">
      <w:pPr>
        <w:pStyle w:val="17"/>
        <w:keepNext w:val="0"/>
        <w:keepLines w:val="0"/>
        <w:widowControl w:val="0"/>
        <w:shd w:val="clear" w:color="auto" w:fill="auto"/>
        <w:bidi w:val="0"/>
        <w:spacing w:before="0" w:after="0" w:line="344" w:lineRule="exact"/>
        <w:ind w:left="300" w:right="0" w:firstLine="420"/>
        <w:jc w:val="both"/>
      </w:pPr>
      <w:r>
        <w:rPr>
          <w:color w:val="000000"/>
          <w:spacing w:val="0"/>
          <w:w w:val="100"/>
          <w:position w:val="0"/>
        </w:rPr>
        <w:t>产品特殊危险，是指由于产品固有的危险性，在特殊情形下容易发生通常认识之外的 损害风险。常见的产品特殊危险包括:第一，看似安全的产品在使用超过一定临界使用量 时突发的危险，例如杀虫剂过量喷洒可能形成易燃易爆气体。第二,产品仅与特殊物品同 时使用时发生突发的危险，如用微波炉加热容器中的两颗葡萄可能会引发爆炸。第三，两 种明显风险意外叠加造成的意外危险，如本案中一种燃气源的点火装置点燃了另一种燃气 源溢出的燃气。如无特别警示，产品特殊风险会在安全的假象中突然爆发，造成严重损害, 是一种既“不合理”也本可以通过充分警示予以避免的危险。</w:t>
      </w:r>
    </w:p>
    <w:p w14:paraId="33C27B47">
      <w:pPr>
        <w:pStyle w:val="17"/>
        <w:keepNext w:val="0"/>
        <w:keepLines w:val="0"/>
        <w:widowControl w:val="0"/>
        <w:shd w:val="clear" w:color="auto" w:fill="auto"/>
        <w:bidi w:val="0"/>
        <w:spacing w:before="0" w:after="0" w:line="344" w:lineRule="exact"/>
        <w:ind w:left="0" w:right="0" w:firstLine="700"/>
        <w:jc w:val="both"/>
      </w:pPr>
      <w:bookmarkStart w:id="185" w:name="bookmark599"/>
      <w:r>
        <w:rPr>
          <w:rFonts w:ascii="Times New Roman" w:hAnsi="Times New Roman" w:eastAsia="Times New Roman" w:cs="Times New Roman"/>
          <w:color w:val="000000"/>
          <w:spacing w:val="0"/>
          <w:w w:val="100"/>
          <w:position w:val="0"/>
          <w:sz w:val="19"/>
          <w:szCs w:val="19"/>
        </w:rPr>
        <w:t>（</w:t>
      </w:r>
      <w:bookmarkEnd w:id="185"/>
      <w:r>
        <w:rPr>
          <w:rFonts w:ascii="Times New Roman" w:hAnsi="Times New Roman" w:eastAsia="Times New Roman" w:cs="Times New Roman"/>
          <w:color w:val="000000"/>
          <w:spacing w:val="0"/>
          <w:w w:val="100"/>
          <w:position w:val="0"/>
          <w:sz w:val="19"/>
          <w:szCs w:val="19"/>
        </w:rPr>
        <w:t>2）</w:t>
      </w:r>
      <w:r>
        <w:rPr>
          <w:color w:val="000000"/>
          <w:spacing w:val="0"/>
          <w:w w:val="100"/>
          <w:position w:val="0"/>
        </w:rPr>
        <w:t>产品特殊危险的充分警示义务不能仅仅通过产品手册作出</w:t>
      </w:r>
    </w:p>
    <w:p w14:paraId="3B39BDF7">
      <w:pPr>
        <w:pStyle w:val="17"/>
        <w:keepNext w:val="0"/>
        <w:keepLines w:val="0"/>
        <w:widowControl w:val="0"/>
        <w:shd w:val="clear" w:color="auto" w:fill="auto"/>
        <w:bidi w:val="0"/>
        <w:spacing w:before="0" w:after="0" w:line="344" w:lineRule="exact"/>
        <w:ind w:left="300" w:right="0" w:firstLine="420"/>
        <w:jc w:val="both"/>
      </w:pPr>
      <w:r>
        <w:rPr>
          <w:color w:val="000000"/>
          <w:spacing w:val="0"/>
          <w:w w:val="100"/>
          <w:position w:val="0"/>
        </w:rPr>
        <w:t>就警示义务而言，本案的经营者发放的“天然气新客户使用手册</w:t>
      </w:r>
      <w:r>
        <w:rPr>
          <w:color w:val="000000"/>
          <w:spacing w:val="0"/>
          <w:w w:val="100"/>
          <w:position w:val="0"/>
          <w:lang w:val="zh-CN" w:eastAsia="zh-CN" w:bidi="zh-CN"/>
        </w:rPr>
        <w:t>”有</w:t>
      </w:r>
      <w:r>
        <w:rPr>
          <w:color w:val="000000"/>
          <w:spacing w:val="0"/>
          <w:w w:val="100"/>
          <w:position w:val="0"/>
        </w:rPr>
        <w:t xml:space="preserve">如下内容:“不得在 同一室内同时使用含天然气在内的两个或两个以上独立燃料源”。《消费者权益保护法》第 </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款规定:“经营者在经营活动中使用格式条款的,应当以显著方式提请消费者……安 全注意事项和风险警示</w:t>
      </w:r>
      <w:r>
        <w:rPr>
          <w:color w:val="000000"/>
          <w:spacing w:val="0"/>
          <w:w w:val="100"/>
          <w:position w:val="0"/>
          <w:lang w:val="zh-CN" w:eastAsia="zh-CN" w:bidi="zh-CN"/>
        </w:rPr>
        <w:t>……</w:t>
      </w:r>
      <w:r>
        <w:rPr>
          <w:color w:val="000000"/>
          <w:spacing w:val="0"/>
          <w:w w:val="100"/>
          <w:position w:val="0"/>
        </w:rPr>
        <w:t>并按照消费者的要求予以说明</w:t>
      </w:r>
      <w:r>
        <w:rPr>
          <w:color w:val="000000"/>
          <w:spacing w:val="0"/>
          <w:w w:val="100"/>
          <w:position w:val="0"/>
          <w:lang w:val="zh-CN" w:eastAsia="zh-CN" w:bidi="zh-CN"/>
        </w:rPr>
        <w:t>。”应</w:t>
      </w:r>
      <w:r>
        <w:rPr>
          <w:color w:val="000000"/>
          <w:spacing w:val="0"/>
          <w:w w:val="100"/>
          <w:position w:val="0"/>
        </w:rPr>
        <w:t>当认为，本案经营者已经在 一定程度上尽到了“警示义务”。如果本案涉及的是普通产品，经营者就应该免责。但作为 产品特殊危险，还应尽到</w:t>
      </w:r>
      <w:r>
        <w:rPr>
          <w:color w:val="000000"/>
          <w:spacing w:val="0"/>
          <w:w w:val="100"/>
          <w:position w:val="0"/>
          <w:lang w:val="zh-CN" w:eastAsia="zh-CN" w:bidi="zh-CN"/>
        </w:rPr>
        <w:t>“充分”警</w:t>
      </w:r>
      <w:r>
        <w:rPr>
          <w:color w:val="000000"/>
          <w:spacing w:val="0"/>
          <w:w w:val="100"/>
          <w:position w:val="0"/>
        </w:rPr>
        <w:t>示义务,至少在两个方面应该提高:第一,警示的具体性， 确保使用人注意到特殊危险的具体警示，包括使用一些容易理解的图示和符号，警示的语 言准确、明确、易解等。第二,警示的显著性，特殊危险产品有必要写在产品能够确保使用人 看到的位置，并且确保警示在产品的安全使用期内如无故意损害能够清晰地被识别。本案 中，法院认为更好的警示方式是“在灶具附近加贴明显的警示标志”。</w:t>
      </w:r>
    </w:p>
    <w:p w14:paraId="09C4099E">
      <w:pPr>
        <w:pStyle w:val="17"/>
        <w:keepNext w:val="0"/>
        <w:keepLines w:val="0"/>
        <w:widowControl w:val="0"/>
        <w:numPr>
          <w:ilvl w:val="0"/>
          <w:numId w:val="41"/>
        </w:numPr>
        <w:shd w:val="clear" w:color="auto" w:fill="auto"/>
        <w:bidi w:val="0"/>
        <w:spacing w:before="0" w:after="0" w:line="344" w:lineRule="exact"/>
        <w:ind w:left="0" w:right="0" w:firstLine="700"/>
        <w:jc w:val="both"/>
      </w:pPr>
      <w:bookmarkStart w:id="186" w:name="bookmark600"/>
      <w:bookmarkEnd w:id="186"/>
      <w:r>
        <w:rPr>
          <w:color w:val="000000"/>
          <w:spacing w:val="0"/>
          <w:w w:val="100"/>
          <w:position w:val="0"/>
        </w:rPr>
        <w:t>未按照警示使用产品构成被侵权人过错</w:t>
      </w:r>
    </w:p>
    <w:p w14:paraId="1BCC8120">
      <w:pPr>
        <w:pStyle w:val="17"/>
        <w:keepNext w:val="0"/>
        <w:keepLines w:val="0"/>
        <w:widowControl w:val="0"/>
        <w:shd w:val="clear" w:color="auto" w:fill="auto"/>
        <w:bidi w:val="0"/>
        <w:spacing w:before="0" w:after="0" w:line="344" w:lineRule="exact"/>
        <w:ind w:left="0" w:right="0" w:firstLine="700"/>
        <w:jc w:val="both"/>
      </w:pPr>
      <w:r>
        <w:rPr>
          <w:rFonts w:ascii="Times New Roman" w:hAnsi="Times New Roman" w:eastAsia="Times New Roman" w:cs="Times New Roman"/>
          <w:color w:val="000000"/>
          <w:spacing w:val="0"/>
          <w:w w:val="100"/>
          <w:position w:val="0"/>
          <w:sz w:val="19"/>
          <w:szCs w:val="19"/>
        </w:rPr>
        <w:t>（1）</w:t>
      </w:r>
      <w:r>
        <w:rPr>
          <w:color w:val="000000"/>
          <w:spacing w:val="0"/>
          <w:w w:val="100"/>
          <w:position w:val="0"/>
        </w:rPr>
        <w:t>产品责任中的被侵权人过错</w:t>
      </w:r>
    </w:p>
    <w:p w14:paraId="3D5751CE">
      <w:pPr>
        <w:pStyle w:val="17"/>
        <w:keepNext w:val="0"/>
        <w:keepLines w:val="0"/>
        <w:widowControl w:val="0"/>
        <w:shd w:val="clear" w:color="auto" w:fill="auto"/>
        <w:bidi w:val="0"/>
        <w:spacing w:before="0" w:after="0" w:line="343" w:lineRule="exact"/>
        <w:ind w:left="300" w:right="0" w:firstLine="420"/>
        <w:jc w:val="both"/>
      </w:pPr>
      <w:r>
        <w:rPr>
          <w:color w:val="000000"/>
          <w:spacing w:val="0"/>
          <w:w w:val="100"/>
          <w:position w:val="0"/>
        </w:rPr>
        <w:t>《民法典》第</w:t>
      </w:r>
      <w:r>
        <w:rPr>
          <w:rFonts w:ascii="Times New Roman" w:hAnsi="Times New Roman" w:eastAsia="Times New Roman" w:cs="Times New Roman"/>
          <w:color w:val="000000"/>
          <w:spacing w:val="0"/>
          <w:w w:val="100"/>
          <w:position w:val="0"/>
          <w:sz w:val="19"/>
          <w:szCs w:val="19"/>
        </w:rPr>
        <w:t>1202</w:t>
      </w:r>
      <w:r>
        <w:rPr>
          <w:color w:val="000000"/>
          <w:spacing w:val="0"/>
          <w:w w:val="100"/>
          <w:position w:val="0"/>
        </w:rPr>
        <w:t>条未规定相当于《产品质量法》第</w:t>
      </w:r>
      <w:r>
        <w:rPr>
          <w:rFonts w:ascii="Times New Roman" w:hAnsi="Times New Roman" w:eastAsia="Times New Roman" w:cs="Times New Roman"/>
          <w:color w:val="000000"/>
          <w:spacing w:val="0"/>
          <w:w w:val="100"/>
          <w:position w:val="0"/>
          <w:sz w:val="19"/>
          <w:szCs w:val="19"/>
        </w:rPr>
        <w:t>41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款规定的三项抗辩事由， 而整个</w:t>
      </w:r>
      <w:r>
        <w:rPr>
          <w:color w:val="000000"/>
          <w:spacing w:val="0"/>
          <w:w w:val="100"/>
          <w:position w:val="0"/>
          <w:lang w:val="zh-CN" w:eastAsia="zh-CN" w:bidi="zh-CN"/>
        </w:rPr>
        <w:t>“产</w:t>
      </w:r>
      <w:r>
        <w:rPr>
          <w:color w:val="000000"/>
          <w:spacing w:val="0"/>
          <w:w w:val="100"/>
          <w:position w:val="0"/>
        </w:rPr>
        <w:t>品责任</w:t>
      </w:r>
      <w:r>
        <w:rPr>
          <w:color w:val="000000"/>
          <w:spacing w:val="0"/>
          <w:w w:val="100"/>
          <w:position w:val="0"/>
          <w:lang w:val="zh-CN" w:eastAsia="zh-CN" w:bidi="zh-CN"/>
        </w:rPr>
        <w:t>”章也</w:t>
      </w:r>
      <w:r>
        <w:rPr>
          <w:color w:val="000000"/>
          <w:spacing w:val="0"/>
          <w:w w:val="100"/>
          <w:position w:val="0"/>
        </w:rPr>
        <w:t>是特殊侵权责任部分唯一未规定抗辩事由的章。这种立法模式实 际上就将产品责任领域的免责事由体系诉诸《产品质量法》第</w:t>
      </w:r>
      <w:r>
        <w:rPr>
          <w:rFonts w:ascii="Times New Roman" w:hAnsi="Times New Roman" w:eastAsia="Times New Roman" w:cs="Times New Roman"/>
          <w:color w:val="000000"/>
          <w:spacing w:val="0"/>
          <w:w w:val="100"/>
          <w:position w:val="0"/>
          <w:sz w:val="19"/>
          <w:szCs w:val="19"/>
        </w:rPr>
        <w:t>41</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款,而将减责事由 诉诸《民法典》第</w:t>
      </w:r>
      <w:r>
        <w:rPr>
          <w:rFonts w:ascii="Times New Roman" w:hAnsi="Times New Roman" w:eastAsia="Times New Roman" w:cs="Times New Roman"/>
          <w:color w:val="000000"/>
          <w:spacing w:val="0"/>
          <w:w w:val="100"/>
          <w:position w:val="0"/>
          <w:sz w:val="19"/>
          <w:szCs w:val="19"/>
        </w:rPr>
        <w:t>1173</w:t>
      </w:r>
      <w:r>
        <w:rPr>
          <w:color w:val="000000"/>
          <w:spacing w:val="0"/>
          <w:w w:val="100"/>
          <w:position w:val="0"/>
        </w:rPr>
        <w:t>条规定的</w:t>
      </w:r>
      <w:r>
        <w:rPr>
          <w:color w:val="000000"/>
          <w:spacing w:val="0"/>
          <w:w w:val="100"/>
          <w:position w:val="0"/>
          <w:lang w:val="zh-CN" w:eastAsia="zh-CN" w:bidi="zh-CN"/>
        </w:rPr>
        <w:t>“被侵</w:t>
      </w:r>
      <w:r>
        <w:rPr>
          <w:color w:val="000000"/>
          <w:spacing w:val="0"/>
          <w:w w:val="100"/>
          <w:position w:val="0"/>
        </w:rPr>
        <w:t>权人过错”：</w:t>
      </w:r>
      <w:r>
        <w:rPr>
          <w:color w:val="000000"/>
          <w:spacing w:val="0"/>
          <w:w w:val="100"/>
          <w:position w:val="0"/>
          <w:lang w:val="zh-CN" w:eastAsia="zh-CN" w:bidi="zh-CN"/>
        </w:rPr>
        <w:t>“被侵</w:t>
      </w:r>
      <w:r>
        <w:rPr>
          <w:color w:val="000000"/>
          <w:spacing w:val="0"/>
          <w:w w:val="100"/>
          <w:position w:val="0"/>
        </w:rPr>
        <w:t>权人对同一损害的发生或者扩大有 过错的，可以减轻侵权人的责任。”</w:t>
      </w:r>
    </w:p>
    <w:p w14:paraId="0B49BEFB">
      <w:pPr>
        <w:pStyle w:val="17"/>
        <w:keepNext w:val="0"/>
        <w:keepLines w:val="0"/>
        <w:widowControl w:val="0"/>
        <w:shd w:val="clear" w:color="auto" w:fill="auto"/>
        <w:bidi w:val="0"/>
        <w:spacing w:before="0" w:after="0" w:line="343" w:lineRule="exact"/>
        <w:ind w:left="300" w:right="0" w:firstLine="420"/>
        <w:jc w:val="both"/>
        <w:sectPr>
          <w:headerReference r:id="rId551" w:type="default"/>
          <w:headerReference r:id="rId552" w:type="even"/>
          <w:footnotePr>
            <w:numFmt w:val="chicago"/>
          </w:footnotePr>
          <w:pgSz w:w="10099" w:h="14782"/>
          <w:pgMar w:top="1409" w:right="936" w:bottom="1015" w:left="875" w:header="0" w:footer="3" w:gutter="0"/>
          <w:pgNumType w:start="470"/>
          <w:cols w:space="720" w:num="1"/>
          <w:rtlGutter w:val="0"/>
          <w:docGrid w:linePitch="360" w:charSpace="0"/>
        </w:sectPr>
      </w:pPr>
      <w:r>
        <w:rPr>
          <w:color w:val="000000"/>
          <w:spacing w:val="0"/>
          <w:w w:val="100"/>
          <w:position w:val="0"/>
        </w:rPr>
        <w:t>本案提出的问题是,消费者（如果）（因被侵权人是房屋承租人而非房屋所有人，本案案 情并未交代这一细节，暂且推断被侵权人获取了“使用手册”）。获取了使用手册，但未阅读 或者未能认真阅读其中的警示信息，是否构成</w:t>
      </w:r>
      <w:r>
        <w:rPr>
          <w:color w:val="000000"/>
          <w:spacing w:val="0"/>
          <w:w w:val="100"/>
          <w:position w:val="0"/>
          <w:lang w:val="zh-CN" w:eastAsia="zh-CN" w:bidi="zh-CN"/>
        </w:rPr>
        <w:t>“被侵</w:t>
      </w:r>
      <w:r>
        <w:rPr>
          <w:color w:val="000000"/>
          <w:spacing w:val="0"/>
          <w:w w:val="100"/>
          <w:position w:val="0"/>
        </w:rPr>
        <w:t>权人过错”而减轻经营者的责任。由于 我国侵权法上未明确规定使用人</w:t>
      </w:r>
      <w:r>
        <w:rPr>
          <w:color w:val="000000"/>
          <w:spacing w:val="0"/>
          <w:w w:val="100"/>
          <w:position w:val="0"/>
          <w:lang w:val="zh-CN" w:eastAsia="zh-CN" w:bidi="zh-CN"/>
        </w:rPr>
        <w:t>“误用”这</w:t>
      </w:r>
      <w:r>
        <w:rPr>
          <w:color w:val="000000"/>
          <w:spacing w:val="0"/>
          <w:w w:val="100"/>
          <w:position w:val="0"/>
        </w:rPr>
        <w:t xml:space="preserve">一产品责任的特殊抗辩事由，且《民法典》第 </w:t>
      </w:r>
      <w:r>
        <w:rPr>
          <w:rFonts w:ascii="Times New Roman" w:hAnsi="Times New Roman" w:eastAsia="Times New Roman" w:cs="Times New Roman"/>
          <w:color w:val="000000"/>
          <w:spacing w:val="0"/>
          <w:w w:val="100"/>
          <w:position w:val="0"/>
          <w:sz w:val="19"/>
          <w:szCs w:val="19"/>
          <w:lang w:val="en-US" w:eastAsia="en-US" w:bidi="en-US"/>
        </w:rPr>
        <w:t>H76</w:t>
      </w:r>
      <w:r>
        <w:rPr>
          <w:color w:val="000000"/>
          <w:spacing w:val="0"/>
          <w:w w:val="100"/>
          <w:position w:val="0"/>
        </w:rPr>
        <w:t>条规定的自甘风险规则仅限于“自愿参加具有一定风险的文体活动</w:t>
      </w:r>
      <w:r>
        <w:rPr>
          <w:color w:val="000000"/>
          <w:spacing w:val="0"/>
          <w:w w:val="100"/>
          <w:position w:val="0"/>
          <w:lang w:val="zh-CN" w:eastAsia="zh-CN" w:bidi="zh-CN"/>
        </w:rPr>
        <w:t>”，这</w:t>
      </w:r>
      <w:r>
        <w:rPr>
          <w:color w:val="000000"/>
          <w:spacing w:val="0"/>
          <w:w w:val="100"/>
          <w:position w:val="0"/>
        </w:rPr>
        <w:t>使更为契合我</w:t>
      </w:r>
    </w:p>
    <w:p w14:paraId="62F9AC99">
      <w:pPr>
        <w:pStyle w:val="17"/>
        <w:keepNext w:val="0"/>
        <w:keepLines w:val="0"/>
        <w:widowControl w:val="0"/>
        <w:shd w:val="clear" w:color="auto" w:fill="auto"/>
        <w:bidi w:val="0"/>
        <w:spacing w:before="0" w:after="0" w:line="505" w:lineRule="exact"/>
        <w:ind w:left="0" w:right="0" w:firstLine="2740"/>
        <w:jc w:val="left"/>
      </w:pPr>
      <w:r>
        <w:rPr>
          <w:color w:val="000000"/>
          <w:spacing w:val="0"/>
          <w:w w:val="100"/>
          <w:position w:val="0"/>
        </w:rPr>
        <w:t>经营者未尽产品特殊危险的充分警示义务与被侵权人过错的责任分担规则</w:t>
      </w:r>
      <w:r>
        <w:rPr>
          <w:rFonts w:ascii="Times New Roman" w:hAnsi="Times New Roman" w:eastAsia="Times New Roman" w:cs="Times New Roman"/>
          <w:color w:val="000000"/>
          <w:spacing w:val="0"/>
          <w:w w:val="100"/>
          <w:position w:val="0"/>
          <w:sz w:val="19"/>
          <w:szCs w:val="19"/>
        </w:rPr>
        <w:t xml:space="preserve">I </w:t>
      </w:r>
      <w:r>
        <w:rPr>
          <w:rFonts w:ascii="Times New Roman" w:hAnsi="Times New Roman" w:eastAsia="Times New Roman" w:cs="Times New Roman"/>
          <w:b/>
          <w:bCs/>
          <w:color w:val="000000"/>
          <w:spacing w:val="0"/>
          <w:w w:val="100"/>
          <w:position w:val="0"/>
          <w:sz w:val="15"/>
          <w:szCs w:val="15"/>
        </w:rPr>
        <w:t xml:space="preserve">473 </w:t>
      </w:r>
      <w:r>
        <w:rPr>
          <w:color w:val="000000"/>
          <w:spacing w:val="0"/>
          <w:w w:val="100"/>
          <w:position w:val="0"/>
        </w:rPr>
        <w:t>国立法模式的构建是将</w:t>
      </w:r>
      <w:r>
        <w:rPr>
          <w:color w:val="000000"/>
          <w:spacing w:val="0"/>
          <w:w w:val="100"/>
          <w:position w:val="0"/>
          <w:lang w:val="zh-CN" w:eastAsia="zh-CN" w:bidi="zh-CN"/>
        </w:rPr>
        <w:t>“误用”这一</w:t>
      </w:r>
      <w:r>
        <w:rPr>
          <w:color w:val="000000"/>
          <w:spacing w:val="0"/>
          <w:w w:val="100"/>
          <w:position w:val="0"/>
        </w:rPr>
        <w:t>抗辩事由纳入</w:t>
      </w:r>
      <w:r>
        <w:rPr>
          <w:color w:val="000000"/>
          <w:spacing w:val="0"/>
          <w:w w:val="100"/>
          <w:position w:val="0"/>
          <w:lang w:val="zh-CN" w:eastAsia="zh-CN" w:bidi="zh-CN"/>
        </w:rPr>
        <w:t>“被侵</w:t>
      </w:r>
      <w:r>
        <w:rPr>
          <w:color w:val="000000"/>
          <w:spacing w:val="0"/>
          <w:w w:val="100"/>
          <w:position w:val="0"/>
        </w:rPr>
        <w:t>权人过错”在产品责任的特殊体现 中，并包含消费者未遵守警示信息的类型。</w:t>
      </w:r>
    </w:p>
    <w:p w14:paraId="4EFF61D9">
      <w:pPr>
        <w:pStyle w:val="17"/>
        <w:keepNext w:val="0"/>
        <w:keepLines w:val="0"/>
        <w:widowControl w:val="0"/>
        <w:shd w:val="clear" w:color="auto" w:fill="auto"/>
        <w:bidi w:val="0"/>
        <w:spacing w:before="0" w:after="0" w:line="342" w:lineRule="exact"/>
        <w:ind w:left="0" w:right="0"/>
        <w:jc w:val="left"/>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经营者未尽产品特殊危险的充分警示义务与被侵权人过错的责任分担规则</w:t>
      </w:r>
    </w:p>
    <w:p w14:paraId="27C58FA9">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在经营者未尽足够充分的警示义务,而使用人未遵守警示信息的情形,其责任结构为 产品责任的减轻，减轻幅度一般不应超过</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。而本案展示的是产品存在特殊危险的情 形，一方面应该强化经营者的</w:t>
      </w:r>
      <w:r>
        <w:rPr>
          <w:color w:val="000000"/>
          <w:spacing w:val="0"/>
          <w:w w:val="100"/>
          <w:position w:val="0"/>
          <w:lang w:val="zh-CN" w:eastAsia="zh-CN" w:bidi="zh-CN"/>
        </w:rPr>
        <w:t>“充分”警示</w:t>
      </w:r>
      <w:r>
        <w:rPr>
          <w:color w:val="000000"/>
          <w:spacing w:val="0"/>
          <w:w w:val="100"/>
          <w:position w:val="0"/>
        </w:rPr>
        <w:t>义务;另一方面也应该将消费者未遵守</w:t>
      </w:r>
      <w:r>
        <w:rPr>
          <w:color w:val="000000"/>
          <w:spacing w:val="0"/>
          <w:w w:val="100"/>
          <w:position w:val="0"/>
          <w:lang w:val="zh-CN" w:eastAsia="zh-CN" w:bidi="zh-CN"/>
        </w:rPr>
        <w:t>“警示</w:t>
      </w:r>
      <w:r>
        <w:rPr>
          <w:color w:val="000000"/>
          <w:spacing w:val="0"/>
          <w:w w:val="100"/>
          <w:position w:val="0"/>
        </w:rPr>
        <w:t>”认 定为被侵权人的过错。法院以仅承担</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责任的方式进行判决，实际上是一种</w:t>
      </w:r>
      <w:r>
        <w:rPr>
          <w:color w:val="000000"/>
          <w:spacing w:val="0"/>
          <w:w w:val="100"/>
          <w:position w:val="0"/>
          <w:lang w:val="zh-CN" w:eastAsia="zh-CN" w:bidi="zh-CN"/>
        </w:rPr>
        <w:t>“责任</w:t>
      </w:r>
      <w:r>
        <w:rPr>
          <w:color w:val="000000"/>
          <w:spacing w:val="0"/>
          <w:w w:val="100"/>
          <w:position w:val="0"/>
        </w:rPr>
        <w:t>分担” 而非</w:t>
      </w:r>
      <w:r>
        <w:rPr>
          <w:color w:val="000000"/>
          <w:spacing w:val="0"/>
          <w:w w:val="100"/>
          <w:position w:val="0"/>
          <w:lang w:val="zh-CN" w:eastAsia="zh-CN" w:bidi="zh-CN"/>
        </w:rPr>
        <w:t>“责</w:t>
      </w:r>
      <w:r>
        <w:rPr>
          <w:color w:val="000000"/>
          <w:spacing w:val="0"/>
          <w:w w:val="100"/>
          <w:position w:val="0"/>
        </w:rPr>
        <w:t>任减轻</w:t>
      </w:r>
      <w:r>
        <w:rPr>
          <w:color w:val="000000"/>
          <w:spacing w:val="0"/>
          <w:w w:val="100"/>
          <w:position w:val="0"/>
          <w:lang w:val="zh-CN" w:eastAsia="zh-CN" w:bidi="zh-CN"/>
        </w:rPr>
        <w:t>”的</w:t>
      </w:r>
      <w:r>
        <w:rPr>
          <w:color w:val="000000"/>
          <w:spacing w:val="0"/>
          <w:w w:val="100"/>
          <w:position w:val="0"/>
        </w:rPr>
        <w:t>思路。这印证了笔者长期的主张:被侵权人过错实质上是一种损害的分 担规则。</w:t>
      </w:r>
    </w:p>
    <w:p w14:paraId="16A2823B">
      <w:pPr>
        <w:pStyle w:val="17"/>
        <w:keepNext w:val="0"/>
        <w:keepLines w:val="0"/>
        <w:widowControl w:val="0"/>
        <w:shd w:val="clear" w:color="auto" w:fill="auto"/>
        <w:bidi w:val="0"/>
        <w:spacing w:before="0" w:after="0" w:line="377" w:lineRule="auto"/>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本案遗留的问题</w:t>
      </w:r>
    </w:p>
    <w:p w14:paraId="4AB56085">
      <w:pPr>
        <w:pStyle w:val="17"/>
        <w:keepNext w:val="0"/>
        <w:keepLines w:val="0"/>
        <w:widowControl w:val="0"/>
        <w:shd w:val="clear" w:color="auto" w:fill="auto"/>
        <w:bidi w:val="0"/>
        <w:spacing w:before="0" w:after="360" w:line="340" w:lineRule="exact"/>
        <w:ind w:left="0" w:right="0" w:firstLine="420"/>
        <w:jc w:val="both"/>
      </w:pPr>
      <w:r>
        <w:rPr>
          <w:color w:val="000000"/>
          <w:spacing w:val="0"/>
          <w:w w:val="100"/>
          <w:position w:val="0"/>
        </w:rPr>
        <w:t>对于普通产品，警示的对象是生产者能够合理预见的最终使用者，而对可能负有责任 的中间人作适当的警示可能足以免除生产者的责任</w:t>
      </w:r>
      <w:r>
        <w:rPr>
          <w:color w:val="000000"/>
          <w:spacing w:val="0"/>
          <w:w w:val="100"/>
          <w:position w:val="0"/>
          <w:sz w:val="11"/>
          <w:szCs w:val="11"/>
        </w:rPr>
        <w:t>（董春华:《中美产品缺陷法律制度比较研 究》，法律出版社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120</w:t>
      </w:r>
      <w:r>
        <w:rPr>
          <w:color w:val="000000"/>
          <w:spacing w:val="0"/>
          <w:w w:val="100"/>
          <w:position w:val="0"/>
          <w:sz w:val="11"/>
          <w:szCs w:val="11"/>
        </w:rPr>
        <w:t>页）。</w:t>
      </w:r>
      <w:r>
        <w:rPr>
          <w:color w:val="000000"/>
          <w:spacing w:val="0"/>
          <w:w w:val="100"/>
          <w:position w:val="0"/>
        </w:rPr>
        <w:t>如果由于出租人未能将</w:t>
      </w:r>
      <w:r>
        <w:rPr>
          <w:color w:val="000000"/>
          <w:spacing w:val="0"/>
          <w:w w:val="100"/>
          <w:position w:val="0"/>
          <w:lang w:val="zh-CN" w:eastAsia="zh-CN" w:bidi="zh-CN"/>
        </w:rPr>
        <w:t>“使用</w:t>
      </w:r>
      <w:r>
        <w:rPr>
          <w:color w:val="000000"/>
          <w:spacing w:val="0"/>
          <w:w w:val="100"/>
          <w:position w:val="0"/>
        </w:rPr>
        <w:t>手册”移交给承租人，使 得承租人没有机会得到警示并最终因此发生了损害，出租人应当承担侵权责任。但对于燃 气灶具这种具有特殊危险的产品，法院认为，燃气经营企业不仅应当向燃气用户持续、稳 定、安全供应符合国家质量标准的燃气，指导燃气用户安全用气，并对燃气设施定期进行安 全检查,还应当建立健全燃气安全评估和风险管理体系,发现燃气安全事故隐患的,应当及 时采取措施消除隐患。因此，燃气经营者有义务对燃气设施定期进行安全检查,且每次均 就产品特殊危险对最终使用者予以充分的警示。</w:t>
      </w:r>
    </w:p>
    <w:p w14:paraId="2408DE20">
      <w:pPr>
        <w:pStyle w:val="11"/>
        <w:keepNext w:val="0"/>
        <w:keepLines w:val="0"/>
        <w:widowControl w:val="0"/>
        <w:shd w:val="clear" w:color="auto" w:fill="auto"/>
        <w:bidi w:val="0"/>
        <w:spacing w:before="0" w:after="0" w:line="342" w:lineRule="exact"/>
        <w:ind w:left="0" w:right="0" w:firstLine="0"/>
        <w:jc w:val="left"/>
      </w:pPr>
      <w:r>
        <w:rPr>
          <w:i/>
          <w:iCs/>
          <w:color w:val="000000"/>
          <w:spacing w:val="0"/>
          <w:w w:val="100"/>
          <w:position w:val="0"/>
        </w:rPr>
        <w:t>回</w:t>
      </w:r>
      <w:r>
        <w:rPr>
          <w:color w:val="000000"/>
          <w:spacing w:val="0"/>
          <w:w w:val="100"/>
          <w:position w:val="0"/>
        </w:rPr>
        <w:t>参考文献</w:t>
      </w:r>
    </w:p>
    <w:p w14:paraId="0ABD949D">
      <w:pPr>
        <w:pStyle w:val="33"/>
        <w:keepNext w:val="0"/>
        <w:keepLines w:val="0"/>
        <w:widowControl w:val="0"/>
        <w:shd w:val="clear" w:color="auto" w:fill="auto"/>
        <w:bidi w:val="0"/>
        <w:spacing w:before="0" w:after="0" w:line="320" w:lineRule="exact"/>
        <w:ind w:left="0" w:right="0" w:firstLine="0"/>
        <w:jc w:val="left"/>
      </w:pPr>
      <w:r>
        <w:rPr>
          <w:color w:val="000000"/>
          <w:spacing w:val="0"/>
          <w:w w:val="100"/>
          <w:position w:val="0"/>
        </w:rPr>
        <w:t>杨立新:《侵权法论》（第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版），人民法院出版社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6E4778AB">
      <w:pPr>
        <w:pStyle w:val="33"/>
        <w:keepNext w:val="0"/>
        <w:keepLines w:val="0"/>
        <w:widowControl w:val="0"/>
        <w:shd w:val="clear" w:color="auto" w:fill="auto"/>
        <w:bidi w:val="0"/>
        <w:spacing w:before="0" w:after="0" w:line="320" w:lineRule="exact"/>
        <w:ind w:left="0" w:right="0" w:firstLine="0"/>
        <w:jc w:val="left"/>
      </w:pPr>
      <w:r>
        <w:rPr>
          <w:color w:val="000000"/>
          <w:spacing w:val="0"/>
          <w:w w:val="100"/>
          <w:position w:val="0"/>
        </w:rPr>
        <w:t>王利明：《侵权责任法研究》（下卷），中国人民大学出版社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 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3DF2C27B">
      <w:pPr>
        <w:pStyle w:val="33"/>
        <w:keepNext w:val="0"/>
        <w:keepLines w:val="0"/>
        <w:widowControl w:val="0"/>
        <w:shd w:val="clear" w:color="auto" w:fill="auto"/>
        <w:bidi w:val="0"/>
        <w:spacing w:before="0" w:after="0" w:line="320" w:lineRule="exact"/>
        <w:ind w:left="0" w:right="0" w:firstLine="0"/>
        <w:jc w:val="left"/>
      </w:pPr>
      <w:r>
        <w:rPr>
          <w:color w:val="000000"/>
          <w:spacing w:val="0"/>
          <w:w w:val="100"/>
          <w:position w:val="0"/>
        </w:rPr>
        <w:t>张庆、刘宁、乔栋:《产品质量责任：法律风险与对策》，法律出版社</w:t>
      </w:r>
      <w:r>
        <w:rPr>
          <w:rFonts w:ascii="Times New Roman" w:hAnsi="Times New Roman" w:eastAsia="Times New Roman" w:cs="Times New Roman"/>
          <w:color w:val="000000"/>
          <w:spacing w:val="0"/>
          <w:w w:val="100"/>
          <w:position w:val="0"/>
          <w:sz w:val="17"/>
          <w:szCs w:val="17"/>
        </w:rPr>
        <w:t>2005</w:t>
      </w:r>
      <w:r>
        <w:rPr>
          <w:color w:val="000000"/>
          <w:spacing w:val="0"/>
          <w:w w:val="100"/>
          <w:position w:val="0"/>
        </w:rPr>
        <w:t>年版。</w:t>
      </w:r>
    </w:p>
    <w:p w14:paraId="7826DAA3">
      <w:pPr>
        <w:pStyle w:val="33"/>
        <w:keepNext w:val="0"/>
        <w:keepLines w:val="0"/>
        <w:widowControl w:val="0"/>
        <w:shd w:val="clear" w:color="auto" w:fill="auto"/>
        <w:bidi w:val="0"/>
        <w:spacing w:before="0" w:after="0" w:line="320" w:lineRule="exact"/>
        <w:ind w:left="0" w:right="0" w:firstLine="0"/>
        <w:jc w:val="left"/>
        <w:sectPr>
          <w:headerReference r:id="rId553" w:type="default"/>
          <w:headerReference r:id="rId554" w:type="even"/>
          <w:footnotePr>
            <w:numFmt w:val="chicago"/>
          </w:footnotePr>
          <w:pgSz w:w="10099" w:h="14782"/>
          <w:pgMar w:top="532" w:right="961" w:bottom="532" w:left="851" w:header="104" w:footer="104" w:gutter="0"/>
          <w:pgNumType w:start="489"/>
          <w:cols w:space="720" w:num="1"/>
          <w:rtlGutter w:val="0"/>
          <w:docGrid w:linePitch="360" w:charSpace="0"/>
        </w:sectPr>
      </w:pPr>
      <w:r>
        <w:rPr>
          <w:color w:val="000000"/>
          <w:spacing w:val="0"/>
          <w:w w:val="100"/>
          <w:position w:val="0"/>
        </w:rPr>
        <w:t>冉克平:《产品责任理论与判例研究》，北京大学出版社</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年版。 董春华:《中美产品缺陷法律制度比较研究》，法律出版社</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年版。</w:t>
      </w:r>
    </w:p>
    <w:p w14:paraId="718A9644">
      <w:pPr>
        <w:widowControl w:val="0"/>
        <w:spacing w:line="89" w:lineRule="exact"/>
        <w:rPr>
          <w:sz w:val="7"/>
          <w:szCs w:val="7"/>
        </w:rPr>
      </w:pPr>
    </w:p>
    <w:p w14:paraId="350EF289">
      <w:pPr>
        <w:widowControl w:val="0"/>
        <w:spacing w:line="1" w:lineRule="exact"/>
        <w:sectPr>
          <w:footnotePr>
            <w:numFmt w:val="chicago"/>
          </w:footnotePr>
          <w:pgSz w:w="10099" w:h="14782"/>
          <w:pgMar w:top="1259" w:right="925" w:bottom="1018" w:left="886" w:header="0" w:footer="3" w:gutter="0"/>
          <w:cols w:space="720" w:num="1"/>
          <w:rtlGutter w:val="0"/>
          <w:docGrid w:linePitch="360" w:charSpace="0"/>
        </w:sectPr>
      </w:pPr>
    </w:p>
    <w:p w14:paraId="1F3C1B9E">
      <w:pPr>
        <w:widowControl w:val="0"/>
        <w:spacing w:line="1" w:lineRule="exact"/>
      </w:pPr>
      <w:r>
        <w:drawing>
          <wp:anchor distT="0" distB="0" distL="114300" distR="2263140" simplePos="0" relativeHeight="251660288" behindDoc="0" locked="0" layoutInCell="1" allowOverlap="1">
            <wp:simplePos x="0" y="0"/>
            <wp:positionH relativeFrom="page">
              <wp:posOffset>783590</wp:posOffset>
            </wp:positionH>
            <wp:positionV relativeFrom="paragraph">
              <wp:posOffset>12700</wp:posOffset>
            </wp:positionV>
            <wp:extent cx="481330" cy="408305"/>
            <wp:effectExtent l="0" t="0" r="1270" b="10795"/>
            <wp:wrapTopAndBottom/>
            <wp:docPr id="1299" name="Shape 1299"/>
            <wp:cNvGraphicFramePr/>
            <a:graphic xmlns:a="http://schemas.openxmlformats.org/drawingml/2006/main">
              <a:graphicData uri="http://schemas.openxmlformats.org/drawingml/2006/picture">
                <pic:pic xmlns:pic="http://schemas.openxmlformats.org/drawingml/2006/picture">
                  <pic:nvPicPr>
                    <pic:cNvPr id="1299" name="Shape 1299"/>
                    <pic:cNvPicPr/>
                  </pic:nvPicPr>
                  <pic:blipFill>
                    <a:blip r:embed="rId712"/>
                    <a:stretch>
                      <a:fillRect/>
                    </a:stretch>
                  </pic:blipFill>
                  <pic:spPr>
                    <a:xfrm>
                      <a:off x="0" y="0"/>
                      <a:ext cx="481330" cy="408305"/>
                    </a:xfrm>
                    <a:prstGeom prst="rect">
                      <a:avLst/>
                    </a:prstGeom>
                  </pic:spPr>
                </pic:pic>
              </a:graphicData>
            </a:graphic>
          </wp:anchor>
        </w:drawing>
      </w:r>
      <w:r>
        <mc:AlternateContent>
          <mc:Choice Requires="wps">
            <w:drawing>
              <wp:anchor distT="133985" distB="44450" distL="727075" distR="114300" simplePos="0" relativeHeight="251660288" behindDoc="0" locked="0" layoutInCell="1" allowOverlap="1">
                <wp:simplePos x="0" y="0"/>
                <wp:positionH relativeFrom="page">
                  <wp:posOffset>1396365</wp:posOffset>
                </wp:positionH>
                <wp:positionV relativeFrom="paragraph">
                  <wp:posOffset>146685</wp:posOffset>
                </wp:positionV>
                <wp:extent cx="2014855" cy="229870"/>
                <wp:effectExtent l="0" t="0" r="0" b="0"/>
                <wp:wrapTopAndBottom/>
                <wp:docPr id="1301" name="Shape 1301"/>
                <wp:cNvGraphicFramePr/>
                <a:graphic xmlns:a="http://schemas.openxmlformats.org/drawingml/2006/main">
                  <a:graphicData uri="http://schemas.microsoft.com/office/word/2010/wordprocessingShape">
                    <wps:wsp>
                      <wps:cNvSpPr txBox="1"/>
                      <wps:spPr>
                        <a:xfrm>
                          <a:off x="0" y="0"/>
                          <a:ext cx="2014855" cy="229870"/>
                        </a:xfrm>
                        <a:prstGeom prst="rect">
                          <a:avLst/>
                        </a:prstGeom>
                        <a:noFill/>
                      </wps:spPr>
                      <wps:txbx>
                        <w:txbxContent>
                          <w:p w14:paraId="2BF3FD8F">
                            <w:pPr>
                              <w:pStyle w:val="15"/>
                              <w:keepNext/>
                              <w:keepLines/>
                              <w:widowControl w:val="0"/>
                              <w:shd w:val="clear" w:color="auto" w:fill="auto"/>
                              <w:bidi w:val="0"/>
                              <w:spacing w:before="0" w:after="0" w:line="240" w:lineRule="auto"/>
                              <w:ind w:left="0" w:right="0" w:firstLine="0"/>
                              <w:jc w:val="left"/>
                            </w:pPr>
                            <w:bookmarkStart w:id="621" w:name="bookmark602"/>
                            <w:bookmarkStart w:id="622" w:name="bookmark601"/>
                            <w:bookmarkStart w:id="623" w:name="bookmark603"/>
                            <w:r>
                              <w:rPr>
                                <w:color w:val="000000"/>
                                <w:spacing w:val="0"/>
                                <w:w w:val="100"/>
                                <w:position w:val="0"/>
                              </w:rPr>
                              <w:t>惩罚性赔偿的适用规则</w:t>
                            </w:r>
                            <w:bookmarkEnd w:id="621"/>
                            <w:bookmarkEnd w:id="622"/>
                            <w:bookmarkEnd w:id="623"/>
                          </w:p>
                        </w:txbxContent>
                      </wps:txbx>
                      <wps:bodyPr wrap="none" lIns="0" tIns="0" rIns="0" bIns="0">
                        <a:noAutofit/>
                      </wps:bodyPr>
                    </wps:wsp>
                  </a:graphicData>
                </a:graphic>
              </wp:anchor>
            </w:drawing>
          </mc:Choice>
          <mc:Fallback>
            <w:pict>
              <v:shape id="Shape 1301" o:spid="_x0000_s1026" o:spt="202" type="#_x0000_t202" style="position:absolute;left:0pt;margin-left:109.95pt;margin-top:11.55pt;height:18.1pt;width:158.65pt;mso-position-horizontal-relative:page;mso-wrap-distance-bottom:3.5pt;mso-wrap-distance-top:10.55pt;mso-wrap-style:none;z-index:251660288;mso-width-relative:page;mso-height-relative:page;" filled="f" stroked="f" coordsize="21600,21600" o:gfxdata="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N3bu9YA&#10;AAAJAQAADwAAAAAAAAABACAAAAAiAAAAZHJzL2Rvd25yZXYueG1sUEsBAhQAFAAAAAgAh07iQNPY&#10;YamvAQAAdgMAAA4AAAAAAAAAAQAgAAAAJQEAAGRycy9lMm9Eb2MueG1sUEsFBgAAAAAGAAYAWQEA&#10;AEYFAAAAAA==&#10;">
                <v:fill on="f" focussize="0,0"/>
                <v:stroke on="f"/>
                <v:imagedata o:title=""/>
                <o:lock v:ext="edit" aspectratio="f"/>
                <v:textbox inset="0mm,0mm,0mm,0mm">
                  <w:txbxContent>
                    <w:p w14:paraId="2BF3FD8F">
                      <w:pPr>
                        <w:pStyle w:val="15"/>
                        <w:keepNext/>
                        <w:keepLines/>
                        <w:widowControl w:val="0"/>
                        <w:shd w:val="clear" w:color="auto" w:fill="auto"/>
                        <w:bidi w:val="0"/>
                        <w:spacing w:before="0" w:after="0" w:line="240" w:lineRule="auto"/>
                        <w:ind w:left="0" w:right="0" w:firstLine="0"/>
                        <w:jc w:val="left"/>
                      </w:pPr>
                      <w:bookmarkStart w:id="621" w:name="bookmark602"/>
                      <w:bookmarkStart w:id="622" w:name="bookmark601"/>
                      <w:bookmarkStart w:id="623" w:name="bookmark603"/>
                      <w:r>
                        <w:rPr>
                          <w:color w:val="000000"/>
                          <w:spacing w:val="0"/>
                          <w:w w:val="100"/>
                          <w:position w:val="0"/>
                        </w:rPr>
                        <w:t>惩罚性赔偿的适用规则</w:t>
                      </w:r>
                      <w:bookmarkEnd w:id="621"/>
                      <w:bookmarkEnd w:id="622"/>
                      <w:bookmarkEnd w:id="623"/>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5187950</wp:posOffset>
            </wp:positionH>
            <wp:positionV relativeFrom="paragraph">
              <wp:posOffset>274320</wp:posOffset>
            </wp:positionV>
            <wp:extent cx="621665" cy="615950"/>
            <wp:effectExtent l="0" t="0" r="635" b="6350"/>
            <wp:wrapSquare wrapText="left"/>
            <wp:docPr id="1303" name="Shape 1303"/>
            <wp:cNvGraphicFramePr/>
            <a:graphic xmlns:a="http://schemas.openxmlformats.org/drawingml/2006/main">
              <a:graphicData uri="http://schemas.openxmlformats.org/drawingml/2006/picture">
                <pic:pic xmlns:pic="http://schemas.openxmlformats.org/drawingml/2006/picture">
                  <pic:nvPicPr>
                    <pic:cNvPr id="1303" name="Shape 1303"/>
                    <pic:cNvPicPr/>
                  </pic:nvPicPr>
                  <pic:blipFill>
                    <a:blip r:embed="rId713"/>
                    <a:stretch>
                      <a:fillRect/>
                    </a:stretch>
                  </pic:blipFill>
                  <pic:spPr>
                    <a:xfrm>
                      <a:off x="0" y="0"/>
                      <a:ext cx="621665" cy="615950"/>
                    </a:xfrm>
                    <a:prstGeom prst="rect">
                      <a:avLst/>
                    </a:prstGeom>
                  </pic:spPr>
                </pic:pic>
              </a:graphicData>
            </a:graphic>
          </wp:anchor>
        </w:drawing>
      </w:r>
    </w:p>
    <w:p w14:paraId="78AC9C0C">
      <w:pPr>
        <w:pStyle w:val="17"/>
        <w:keepNext w:val="0"/>
        <w:keepLines w:val="0"/>
        <w:widowControl w:val="0"/>
        <w:shd w:val="clear" w:color="auto" w:fill="auto"/>
        <w:bidi w:val="0"/>
        <w:spacing w:before="0" w:after="440" w:line="324" w:lineRule="exact"/>
        <w:ind w:left="1320" w:right="0" w:firstLine="0"/>
        <w:jc w:val="left"/>
      </w:pPr>
      <w:r>
        <w:rPr>
          <w:color w:val="000000"/>
          <w:spacing w:val="0"/>
          <w:w w:val="100"/>
          <w:position w:val="0"/>
        </w:rPr>
        <w:t>孙银山诉南京欧尚超市有限公司江宁店买卖合同纠纷案丨最高 人民法院第</w:t>
      </w:r>
      <w:r>
        <w:rPr>
          <w:rFonts w:ascii="Times New Roman" w:hAnsi="Times New Roman" w:eastAsia="Times New Roman" w:cs="Times New Roman"/>
          <w:color w:val="000000"/>
          <w:spacing w:val="0"/>
          <w:w w:val="100"/>
          <w:position w:val="0"/>
          <w:sz w:val="19"/>
          <w:szCs w:val="19"/>
        </w:rPr>
        <w:t>23</w:t>
      </w:r>
      <w:r>
        <w:rPr>
          <w:color w:val="000000"/>
          <w:spacing w:val="0"/>
          <w:w w:val="100"/>
          <w:position w:val="0"/>
        </w:rPr>
        <w:t>号指导性案例</w:t>
      </w:r>
    </w:p>
    <w:p w14:paraId="50D067BF">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税兵</w:t>
      </w:r>
      <w:r>
        <w:rPr>
          <w:color w:val="000000"/>
          <w:spacing w:val="0"/>
          <w:w w:val="100"/>
          <w:position w:val="0"/>
        </w:rPr>
        <w:t>澳门大学法学院</w:t>
      </w:r>
    </w:p>
    <w:p w14:paraId="4645618A">
      <w:pPr>
        <w:pStyle w:val="11"/>
        <w:keepNext w:val="0"/>
        <w:keepLines w:val="0"/>
        <w:widowControl w:val="0"/>
        <w:shd w:val="clear" w:color="auto" w:fill="auto"/>
        <w:bidi w:val="0"/>
        <w:spacing w:before="0" w:after="80" w:line="345" w:lineRule="exact"/>
        <w:ind w:left="0" w:right="0" w:firstLine="300"/>
        <w:jc w:val="both"/>
      </w:pPr>
      <w:r>
        <w:rPr>
          <w:color w:val="000000"/>
          <w:spacing w:val="0"/>
          <w:w w:val="100"/>
          <w:position w:val="0"/>
          <w:lang w:val="en-US" w:eastAsia="en-US" w:bidi="en-US"/>
        </w:rPr>
        <w:t>.</w:t>
      </w:r>
      <w:r>
        <w:rPr>
          <w:color w:val="000000"/>
          <w:spacing w:val="0"/>
          <w:w w:val="100"/>
          <w:position w:val="0"/>
        </w:rPr>
        <w:t>事实概要</w:t>
      </w:r>
    </w:p>
    <w:p w14:paraId="287BE61B">
      <w:pPr>
        <w:pStyle w:val="17"/>
        <w:keepNext w:val="0"/>
        <w:keepLines w:val="0"/>
        <w:widowControl w:val="0"/>
        <w:shd w:val="clear" w:color="auto" w:fill="auto"/>
        <w:bidi w:val="0"/>
        <w:spacing w:before="0" w:after="380" w:line="338" w:lineRule="exact"/>
        <w:ind w:left="300" w:right="0" w:firstLine="420"/>
        <w:jc w:val="both"/>
      </w:pPr>
      <w:r>
        <w:rPr>
          <w:rFonts w:ascii="Times New Roman" w:hAnsi="Times New Roman" w:eastAsia="Times New Roman" w:cs="Times New Roman"/>
          <w:color w:val="000000"/>
          <w:spacing w:val="0"/>
          <w:w w:val="100"/>
          <w:position w:val="0"/>
          <w:sz w:val="19"/>
          <w:szCs w:val="19"/>
        </w:rPr>
        <w:t>2012</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日，原告孙银山在被告南京欧尚超市有限公司江宁店（以下简称欧尚超 市）购买“玉兔牌</w:t>
      </w:r>
      <w:r>
        <w:rPr>
          <w:color w:val="000000"/>
          <w:spacing w:val="0"/>
          <w:w w:val="100"/>
          <w:position w:val="0"/>
          <w:lang w:val="zh-CN" w:eastAsia="zh-CN" w:bidi="zh-CN"/>
        </w:rPr>
        <w:t>”香肠</w:t>
      </w:r>
      <w:r>
        <w:rPr>
          <w:rFonts w:ascii="Times New Roman" w:hAnsi="Times New Roman" w:eastAsia="Times New Roman" w:cs="Times New Roman"/>
          <w:color w:val="000000"/>
          <w:spacing w:val="0"/>
          <w:w w:val="100"/>
          <w:position w:val="0"/>
          <w:sz w:val="19"/>
          <w:szCs w:val="19"/>
        </w:rPr>
        <w:t>15</w:t>
      </w:r>
      <w:r>
        <w:rPr>
          <w:color w:val="000000"/>
          <w:spacing w:val="0"/>
          <w:w w:val="100"/>
          <w:position w:val="0"/>
        </w:rPr>
        <w:t>包，其中价值</w:t>
      </w:r>
      <w:r>
        <w:rPr>
          <w:rFonts w:ascii="Times New Roman" w:hAnsi="Times New Roman" w:eastAsia="Times New Roman" w:cs="Times New Roman"/>
          <w:color w:val="000000"/>
          <w:spacing w:val="0"/>
          <w:w w:val="100"/>
          <w:position w:val="0"/>
          <w:sz w:val="19"/>
          <w:szCs w:val="19"/>
          <w:lang w:val="en-US" w:eastAsia="en-US" w:bidi="en-US"/>
        </w:rPr>
        <w:t xml:space="preserve">558. </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元的</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包香肠已过保质期。孙银山到收银 台结账后，即径直到服务台索赔，后因协商未果诉至法院，要求欧尚超市支付</w:t>
      </w:r>
      <w:r>
        <w:rPr>
          <w:rFonts w:ascii="Times New Roman" w:hAnsi="Times New Roman" w:eastAsia="Times New Roman" w:cs="Times New Roman"/>
          <w:color w:val="000000"/>
          <w:spacing w:val="0"/>
          <w:w w:val="100"/>
          <w:position w:val="0"/>
          <w:sz w:val="19"/>
          <w:szCs w:val="19"/>
        </w:rPr>
        <w:t>14</w:t>
      </w:r>
      <w:r>
        <w:rPr>
          <w:color w:val="000000"/>
          <w:spacing w:val="0"/>
          <w:w w:val="100"/>
          <w:position w:val="0"/>
        </w:rPr>
        <w:t xml:space="preserve">包香肠售价 </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倍的赔偿金</w:t>
      </w:r>
      <w:r>
        <w:rPr>
          <w:rFonts w:ascii="Times New Roman" w:hAnsi="Times New Roman" w:eastAsia="Times New Roman" w:cs="Times New Roman"/>
          <w:color w:val="000000"/>
          <w:spacing w:val="0"/>
          <w:w w:val="100"/>
          <w:position w:val="0"/>
          <w:sz w:val="19"/>
          <w:szCs w:val="19"/>
        </w:rPr>
        <w:t>5586</w:t>
      </w:r>
      <w:r>
        <w:rPr>
          <w:color w:val="000000"/>
          <w:spacing w:val="0"/>
          <w:w w:val="100"/>
          <w:position w:val="0"/>
        </w:rPr>
        <w:t>元。</w:t>
      </w:r>
    </w:p>
    <w:p w14:paraId="1DFE99FD">
      <w:pPr>
        <w:pStyle w:val="11"/>
        <w:keepNext w:val="0"/>
        <w:keepLines w:val="0"/>
        <w:widowControl w:val="0"/>
        <w:shd w:val="clear" w:color="auto" w:fill="auto"/>
        <w:bidi w:val="0"/>
        <w:spacing w:before="0" w:after="80" w:line="345" w:lineRule="exact"/>
        <w:ind w:left="0" w:right="0" w:firstLine="300"/>
        <w:jc w:val="both"/>
      </w:pPr>
      <w:r>
        <w:rPr>
          <w:color w:val="000000"/>
          <w:spacing w:val="0"/>
          <w:w w:val="100"/>
          <w:position w:val="0"/>
          <w:lang w:val="en-US" w:eastAsia="en-US" w:bidi="en-US"/>
        </w:rPr>
        <w:t>■</w:t>
      </w:r>
      <w:r>
        <w:rPr>
          <w:color w:val="000000"/>
          <w:spacing w:val="0"/>
          <w:w w:val="100"/>
          <w:position w:val="0"/>
        </w:rPr>
        <w:t>判决要旨</w:t>
      </w:r>
    </w:p>
    <w:p w14:paraId="4AFDDECC">
      <w:pPr>
        <w:pStyle w:val="17"/>
        <w:keepNext w:val="0"/>
        <w:keepLines w:val="0"/>
        <w:widowControl w:val="0"/>
        <w:shd w:val="clear" w:color="auto" w:fill="auto"/>
        <w:bidi w:val="0"/>
        <w:spacing w:before="0" w:after="0" w:line="346" w:lineRule="exact"/>
        <w:ind w:left="0" w:right="0" w:firstLine="700"/>
        <w:jc w:val="both"/>
      </w:pPr>
      <w:r>
        <w:rPr>
          <w:color w:val="000000"/>
          <w:spacing w:val="0"/>
          <w:w w:val="100"/>
          <w:position w:val="0"/>
        </w:rPr>
        <w:t>被告欧尚超市于判决发生法律效力之日起</w:t>
      </w:r>
      <w:r>
        <w:rPr>
          <w:rFonts w:ascii="Times New Roman" w:hAnsi="Times New Roman" w:eastAsia="Times New Roman" w:cs="Times New Roman"/>
          <w:b/>
          <w:bCs/>
          <w:color w:val="000000"/>
          <w:spacing w:val="0"/>
          <w:w w:val="100"/>
          <w:position w:val="0"/>
          <w:sz w:val="19"/>
          <w:szCs w:val="19"/>
        </w:rPr>
        <w:t>10</w:t>
      </w:r>
      <w:r>
        <w:rPr>
          <w:color w:val="000000"/>
          <w:spacing w:val="0"/>
          <w:w w:val="100"/>
          <w:position w:val="0"/>
        </w:rPr>
        <w:t>日内赔偿原告孙银山</w:t>
      </w:r>
      <w:r>
        <w:rPr>
          <w:rFonts w:ascii="Times New Roman" w:hAnsi="Times New Roman" w:eastAsia="Times New Roman" w:cs="Times New Roman"/>
          <w:b/>
          <w:bCs/>
          <w:color w:val="000000"/>
          <w:spacing w:val="0"/>
          <w:w w:val="100"/>
          <w:position w:val="0"/>
          <w:sz w:val="19"/>
          <w:szCs w:val="19"/>
        </w:rPr>
        <w:t>5586</w:t>
      </w:r>
      <w:r>
        <w:rPr>
          <w:color w:val="000000"/>
          <w:spacing w:val="0"/>
          <w:w w:val="100"/>
          <w:position w:val="0"/>
        </w:rPr>
        <w:t>元。</w:t>
      </w:r>
    </w:p>
    <w:p w14:paraId="63F411B6">
      <w:pPr>
        <w:pStyle w:val="17"/>
        <w:keepNext w:val="0"/>
        <w:keepLines w:val="0"/>
        <w:widowControl w:val="0"/>
        <w:numPr>
          <w:ilvl w:val="0"/>
          <w:numId w:val="44"/>
        </w:numPr>
        <w:shd w:val="clear" w:color="auto" w:fill="auto"/>
        <w:tabs>
          <w:tab w:val="left" w:pos="980"/>
        </w:tabs>
        <w:bidi w:val="0"/>
        <w:spacing w:before="0" w:after="0" w:line="346" w:lineRule="exact"/>
        <w:ind w:left="300" w:right="0" w:firstLine="420"/>
        <w:jc w:val="both"/>
      </w:pPr>
      <w:bookmarkStart w:id="187" w:name="bookmark607"/>
      <w:bookmarkEnd w:id="187"/>
      <w:r>
        <w:rPr>
          <w:color w:val="000000"/>
          <w:spacing w:val="0"/>
          <w:w w:val="100"/>
          <w:position w:val="0"/>
        </w:rPr>
        <w:t>原告孙银山属于消费者。《消费者权益保护法》第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条规定:“消费者为生活消费需 要购买、使用商品或者接受服务,其权益受本法保护;本法未作规定的，受其他有关法律、法 规保护</w:t>
      </w:r>
      <w:r>
        <w:rPr>
          <w:color w:val="000000"/>
          <w:spacing w:val="0"/>
          <w:w w:val="100"/>
          <w:position w:val="0"/>
          <w:lang w:val="zh-CN" w:eastAsia="zh-CN" w:bidi="zh-CN"/>
        </w:rPr>
        <w:t>。”消</w:t>
      </w:r>
      <w:r>
        <w:rPr>
          <w:color w:val="000000"/>
          <w:spacing w:val="0"/>
          <w:w w:val="100"/>
          <w:position w:val="0"/>
        </w:rPr>
        <w:t>费者是相对于销售者和生产者的概念。只要在市场交易中购买、使用商品或者 接受服务是为了个人、家庭生活需要，而不是为了生产经营活动或者职业活动需要的，就应 当认定为“为生活消费需要</w:t>
      </w:r>
      <w:r>
        <w:rPr>
          <w:color w:val="000000"/>
          <w:spacing w:val="0"/>
          <w:w w:val="100"/>
          <w:position w:val="0"/>
          <w:lang w:val="zh-CN" w:eastAsia="zh-CN" w:bidi="zh-CN"/>
        </w:rPr>
        <w:t>”的</w:t>
      </w:r>
      <w:r>
        <w:rPr>
          <w:color w:val="000000"/>
          <w:spacing w:val="0"/>
          <w:w w:val="100"/>
          <w:position w:val="0"/>
        </w:rPr>
        <w:t>消费者，属于消费者权益保护法调整的范围。本案中，孙银 山实施了购买商品的行为，且并未将所购香肠用于再次销售经营，其索赔属于行使法定权 利。因此欧尚超市认为孙银山</w:t>
      </w:r>
      <w:r>
        <w:rPr>
          <w:color w:val="000000"/>
          <w:spacing w:val="0"/>
          <w:w w:val="100"/>
          <w:position w:val="0"/>
          <w:lang w:val="zh-CN" w:eastAsia="zh-CN" w:bidi="zh-CN"/>
        </w:rPr>
        <w:t>“买假</w:t>
      </w:r>
      <w:r>
        <w:rPr>
          <w:color w:val="000000"/>
          <w:spacing w:val="0"/>
          <w:w w:val="100"/>
          <w:position w:val="0"/>
        </w:rPr>
        <w:t>索赔”不是消费者的抗辩理由不能成立。</w:t>
      </w:r>
    </w:p>
    <w:p w14:paraId="06A1629B">
      <w:pPr>
        <w:pStyle w:val="17"/>
        <w:keepNext w:val="0"/>
        <w:keepLines w:val="0"/>
        <w:widowControl w:val="0"/>
        <w:numPr>
          <w:ilvl w:val="0"/>
          <w:numId w:val="44"/>
        </w:numPr>
        <w:shd w:val="clear" w:color="auto" w:fill="auto"/>
        <w:tabs>
          <w:tab w:val="left" w:pos="980"/>
        </w:tabs>
        <w:bidi w:val="0"/>
        <w:spacing w:before="0" w:after="0" w:line="345" w:lineRule="exact"/>
        <w:ind w:left="300" w:right="0" w:firstLine="420"/>
        <w:jc w:val="both"/>
      </w:pPr>
      <w:bookmarkStart w:id="188" w:name="bookmark608"/>
      <w:bookmarkEnd w:id="188"/>
      <w:r>
        <w:rPr>
          <w:color w:val="000000"/>
          <w:spacing w:val="0"/>
          <w:w w:val="100"/>
          <w:position w:val="0"/>
        </w:rPr>
        <w:t>被告欧尚超市属于销售明知是不符合食品安全标准的食品。</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年《食品安全法》 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条规定:“食品生产经营者应当依照法律、法规和食品安全标准从事生产经营活动，对 社会和公众负责,保证食品安全，接受社会监督,承担社会责任</w:t>
      </w:r>
      <w:r>
        <w:rPr>
          <w:color w:val="000000"/>
          <w:spacing w:val="0"/>
          <w:w w:val="100"/>
          <w:position w:val="0"/>
          <w:lang w:val="zh-CN" w:eastAsia="zh-CN" w:bidi="zh-CN"/>
        </w:rPr>
        <w:t>。”该</w:t>
      </w:r>
      <w:r>
        <w:rPr>
          <w:color w:val="000000"/>
          <w:spacing w:val="0"/>
          <w:w w:val="100"/>
          <w:position w:val="0"/>
        </w:rPr>
        <w:t>法第</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项规定, 超过保质期的食品属于禁止生产经营的食品。欧尚超市作为食品销售者负有保证食品安 全的法定义务，应当对不符合安全标准的食品自行及时清理,但欧尚超市仍然摆放并销售 超过保质期的</w:t>
      </w:r>
      <w:r>
        <w:rPr>
          <w:color w:val="000000"/>
          <w:spacing w:val="0"/>
          <w:w w:val="100"/>
          <w:position w:val="0"/>
          <w:lang w:val="zh-CN" w:eastAsia="zh-CN" w:bidi="zh-CN"/>
        </w:rPr>
        <w:t>“玉</w:t>
      </w:r>
      <w:r>
        <w:rPr>
          <w:color w:val="000000"/>
          <w:spacing w:val="0"/>
          <w:w w:val="100"/>
          <w:position w:val="0"/>
        </w:rPr>
        <w:t>兔牌</w:t>
      </w:r>
      <w:r>
        <w:rPr>
          <w:color w:val="000000"/>
          <w:spacing w:val="0"/>
          <w:w w:val="100"/>
          <w:position w:val="0"/>
          <w:lang w:val="zh-CN" w:eastAsia="zh-CN" w:bidi="zh-CN"/>
        </w:rPr>
        <w:t>”香肠</w:t>
      </w:r>
      <w:r>
        <w:rPr>
          <w:color w:val="000000"/>
          <w:spacing w:val="0"/>
          <w:w w:val="100"/>
          <w:position w:val="0"/>
        </w:rPr>
        <w:t>，未履行法定义务,可以认定为销售明知是不符合食品安全标 准的食品。</w:t>
      </w:r>
    </w:p>
    <w:p w14:paraId="04293A5E">
      <w:pPr>
        <w:pStyle w:val="17"/>
        <w:keepNext w:val="0"/>
        <w:keepLines w:val="0"/>
        <w:widowControl w:val="0"/>
        <w:numPr>
          <w:ilvl w:val="0"/>
          <w:numId w:val="44"/>
        </w:numPr>
        <w:shd w:val="clear" w:color="auto" w:fill="auto"/>
        <w:tabs>
          <w:tab w:val="left" w:pos="985"/>
        </w:tabs>
        <w:bidi w:val="0"/>
        <w:spacing w:before="0" w:after="360" w:line="345" w:lineRule="exact"/>
        <w:ind w:left="300" w:right="0" w:firstLine="420"/>
        <w:jc w:val="both"/>
        <w:sectPr>
          <w:footnotePr>
            <w:numFmt w:val="chicago"/>
          </w:footnotePr>
          <w:type w:val="continuous"/>
          <w:pgSz w:w="10099" w:h="14782"/>
          <w:pgMar w:top="1259" w:right="925" w:bottom="1018" w:left="886" w:header="831" w:footer="590" w:gutter="0"/>
          <w:cols w:space="720" w:num="1"/>
          <w:rtlGutter w:val="0"/>
          <w:docGrid w:linePitch="360" w:charSpace="0"/>
        </w:sectPr>
      </w:pPr>
      <w:r>
        <w:rPr>
          <w:color w:val="000000"/>
          <w:spacing w:val="0"/>
          <w:w w:val="100"/>
          <w:position w:val="0"/>
        </w:rPr>
        <w:t>被告欧尚超市的责任承担问题。</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款规定:“违反本 法规定，造成人身、财产或者其他损害的，依法承担赔偿责任</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 xml:space="preserve">款规定:“生产不符合食 品安全标准的食品或者销售明知是不符合食品安全标准的食品，消费者除要求赔偿损失 </w:t>
      </w:r>
    </w:p>
    <w:p w14:paraId="7D999A7D">
      <w:pPr>
        <w:pStyle w:val="17"/>
        <w:keepNext w:val="0"/>
        <w:keepLines w:val="0"/>
        <w:widowControl w:val="0"/>
        <w:shd w:val="clear" w:color="auto" w:fill="auto"/>
        <w:tabs>
          <w:tab w:val="left" w:pos="985"/>
        </w:tabs>
        <w:bidi w:val="0"/>
        <w:spacing w:before="0" w:after="360" w:line="345" w:lineRule="exact"/>
        <w:ind w:left="300" w:right="0" w:firstLine="0"/>
        <w:jc w:val="both"/>
      </w:pPr>
      <w:bookmarkStart w:id="189" w:name="bookmark609"/>
      <w:bookmarkEnd w:id="189"/>
      <w:r>
        <w:rPr>
          <w:color w:val="000000"/>
          <w:spacing w:val="0"/>
          <w:w w:val="100"/>
          <w:position w:val="0"/>
        </w:rPr>
        <w:t>外,还可以向生产者或者销售者要求支付价款十倍的赔偿金</w:t>
      </w:r>
      <w:r>
        <w:rPr>
          <w:color w:val="000000"/>
          <w:spacing w:val="0"/>
          <w:w w:val="100"/>
          <w:position w:val="0"/>
          <w:lang w:val="zh-CN" w:eastAsia="zh-CN" w:bidi="zh-CN"/>
        </w:rPr>
        <w:t>。”当</w:t>
      </w:r>
      <w:r>
        <w:rPr>
          <w:color w:val="000000"/>
          <w:spacing w:val="0"/>
          <w:w w:val="100"/>
          <w:position w:val="0"/>
        </w:rPr>
        <w:t>销售者销售明知是不符合 安全标准的食品时,消费者可以同时主张赔偿损失和支付价款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倍的赔偿金，也可以只主 张支付价款</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倍的赔偿金。本案中，原告孙银山仅要求欧尚超市支付售价</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倍的赔偿金, 属于当事人自行处分权利的行为，应予支持。该赔偿获得的利益属于法律应当保护的利 益,且法律并未对消费者的主观购物动机作出限制性规定。</w:t>
      </w:r>
    </w:p>
    <w:p w14:paraId="7999DA17">
      <w:pPr>
        <w:pStyle w:val="11"/>
        <w:keepNext w:val="0"/>
        <w:keepLines w:val="0"/>
        <w:widowControl w:val="0"/>
        <w:shd w:val="clear" w:color="auto" w:fill="auto"/>
        <w:bidi w:val="0"/>
        <w:spacing w:before="0" w:after="80" w:line="340" w:lineRule="exact"/>
        <w:ind w:left="0" w:right="0" w:firstLine="280"/>
        <w:jc w:val="both"/>
      </w:pPr>
      <w:r>
        <w:rPr>
          <w:color w:val="000000"/>
          <w:spacing w:val="0"/>
          <w:w w:val="100"/>
          <w:position w:val="0"/>
        </w:rPr>
        <w:t>■评析</w:t>
      </w:r>
    </w:p>
    <w:p w14:paraId="6070EC80">
      <w:pPr>
        <w:pStyle w:val="17"/>
        <w:keepNext w:val="0"/>
        <w:keepLines w:val="0"/>
        <w:widowControl w:val="0"/>
        <w:shd w:val="clear" w:color="auto" w:fill="auto"/>
        <w:bidi w:val="0"/>
        <w:spacing w:before="0" w:after="280" w:line="342" w:lineRule="exact"/>
        <w:ind w:left="280" w:right="0" w:firstLine="420"/>
        <w:jc w:val="both"/>
      </w:pPr>
      <w:r>
        <w:rPr>
          <w:color w:val="000000"/>
          <w:spacing w:val="0"/>
          <w:w w:val="100"/>
          <w:position w:val="0"/>
        </w:rPr>
        <w:t>该案的诉争点是关于</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年《食品安全法》（以下均指</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 （现被</w:t>
      </w:r>
      <w:r>
        <w:rPr>
          <w:rFonts w:ascii="Times New Roman" w:hAnsi="Times New Roman" w:eastAsia="Times New Roman" w:cs="Times New Roman"/>
          <w:color w:val="000000"/>
          <w:spacing w:val="0"/>
          <w:w w:val="100"/>
          <w:position w:val="0"/>
          <w:sz w:val="19"/>
          <w:szCs w:val="19"/>
        </w:rPr>
        <w:t>2018</w:t>
      </w:r>
      <w:r>
        <w:rPr>
          <w:color w:val="000000"/>
          <w:spacing w:val="0"/>
          <w:w w:val="100"/>
          <w:position w:val="0"/>
        </w:rPr>
        <w:t>年《食品安全法》第</w:t>
      </w:r>
      <w:r>
        <w:rPr>
          <w:rFonts w:ascii="Times New Roman" w:hAnsi="Times New Roman" w:eastAsia="Times New Roman" w:cs="Times New Roman"/>
          <w:color w:val="000000"/>
          <w:spacing w:val="0"/>
          <w:w w:val="100"/>
          <w:position w:val="0"/>
          <w:sz w:val="19"/>
          <w:szCs w:val="19"/>
        </w:rPr>
        <w:t>147</w:t>
      </w:r>
      <w:r>
        <w:rPr>
          <w:color w:val="000000"/>
          <w:spacing w:val="0"/>
          <w:w w:val="100"/>
          <w:position w:val="0"/>
        </w:rPr>
        <w:t>条与第</w:t>
      </w:r>
      <w:r>
        <w:rPr>
          <w:rFonts w:ascii="Times New Roman" w:hAnsi="Times New Roman" w:eastAsia="Times New Roman" w:cs="Times New Roman"/>
          <w:color w:val="000000"/>
          <w:spacing w:val="0"/>
          <w:w w:val="100"/>
          <w:position w:val="0"/>
          <w:sz w:val="19"/>
          <w:szCs w:val="19"/>
        </w:rPr>
        <w:t>148</w:t>
      </w:r>
      <w:r>
        <w:rPr>
          <w:color w:val="000000"/>
          <w:spacing w:val="0"/>
          <w:w w:val="100"/>
          <w:position w:val="0"/>
        </w:rPr>
        <w:t>条吸收）关于</w:t>
      </w:r>
      <w:r>
        <w:rPr>
          <w:color w:val="000000"/>
          <w:spacing w:val="0"/>
          <w:w w:val="100"/>
          <w:position w:val="0"/>
          <w:lang w:val="zh-CN" w:eastAsia="zh-CN" w:bidi="zh-CN"/>
        </w:rPr>
        <w:t>“惩罚</w:t>
      </w:r>
      <w:r>
        <w:rPr>
          <w:color w:val="000000"/>
          <w:spacing w:val="0"/>
          <w:w w:val="100"/>
          <w:position w:val="0"/>
        </w:rPr>
        <w:t>性赔偿</w:t>
      </w:r>
      <w:r>
        <w:rPr>
          <w:color w:val="000000"/>
          <w:spacing w:val="0"/>
          <w:w w:val="100"/>
          <w:position w:val="0"/>
          <w:lang w:val="zh-CN" w:eastAsia="zh-CN" w:bidi="zh-CN"/>
        </w:rPr>
        <w:t>”之法</w:t>
      </w:r>
      <w:r>
        <w:rPr>
          <w:color w:val="000000"/>
          <w:spacing w:val="0"/>
          <w:w w:val="100"/>
          <w:position w:val="0"/>
        </w:rPr>
        <w:t>律适用，但 亦牵扯出《消费者权益保护法》、《侵权责任法》及《食品安全法》的规范性质、规范竞合及构 成要件等问题。</w:t>
      </w:r>
    </w:p>
    <w:p w14:paraId="5D5170E3">
      <w:pPr>
        <w:pStyle w:val="17"/>
        <w:keepNext w:val="0"/>
        <w:keepLines w:val="0"/>
        <w:widowControl w:val="0"/>
        <w:shd w:val="clear" w:color="auto" w:fill="auto"/>
        <w:bidi w:val="0"/>
        <w:spacing w:before="0" w:after="0" w:line="374" w:lineRule="auto"/>
        <w:ind w:left="0" w:right="0" w:firstLine="28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惩罚性赔偿的规范性质</w:t>
      </w:r>
    </w:p>
    <w:p w14:paraId="52760A65">
      <w:pPr>
        <w:pStyle w:val="17"/>
        <w:keepNext w:val="0"/>
        <w:keepLines w:val="0"/>
        <w:widowControl w:val="0"/>
        <w:shd w:val="clear" w:color="auto" w:fill="auto"/>
        <w:bidi w:val="0"/>
        <w:spacing w:before="0" w:after="0" w:line="340" w:lineRule="exact"/>
        <w:ind w:left="280" w:right="0" w:firstLine="420"/>
        <w:jc w:val="both"/>
        <w:rPr>
          <w:sz w:val="11"/>
          <w:szCs w:val="11"/>
        </w:rPr>
      </w:pPr>
      <w:r>
        <w:rPr>
          <w:color w:val="000000"/>
          <w:spacing w:val="0"/>
          <w:w w:val="100"/>
          <w:position w:val="0"/>
          <w:sz w:val="18"/>
          <w:szCs w:val="18"/>
        </w:rPr>
        <w:t>《食品安全法》第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sz w:val="18"/>
          <w:szCs w:val="18"/>
        </w:rPr>
        <w:t>条不是特殊侵权规范,而是请求权聚合规范,它确立了一种法定的 加重责任制度。所谓请求权聚合</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accumulation of claims</w:t>
      </w:r>
      <w:r>
        <w:rPr>
          <w:color w:val="000000"/>
          <w:spacing w:val="0"/>
          <w:w w:val="100"/>
          <w:position w:val="0"/>
          <w:sz w:val="18"/>
          <w:szCs w:val="18"/>
        </w:rPr>
        <w:t xml:space="preserve">）,是指一个行为产生出并列的 </w:t>
      </w:r>
      <w:r>
        <w:rPr>
          <w:rFonts w:ascii="Times New Roman" w:hAnsi="Times New Roman" w:eastAsia="Times New Roman" w:cs="Times New Roman"/>
          <w:color w:val="000000"/>
          <w:spacing w:val="0"/>
          <w:w w:val="100"/>
          <w:position w:val="0"/>
          <w:sz w:val="19"/>
          <w:szCs w:val="19"/>
          <w:lang w:val="en-US" w:eastAsia="en-US" w:bidi="en-US"/>
        </w:rPr>
        <w:t>（side by side）</w:t>
      </w:r>
      <w:r>
        <w:rPr>
          <w:color w:val="000000"/>
          <w:spacing w:val="0"/>
          <w:w w:val="100"/>
          <w:position w:val="0"/>
          <w:sz w:val="18"/>
          <w:szCs w:val="18"/>
        </w:rPr>
        <w:t>复数请求权,权利人可以同时主张，而不需择一行使（</w:t>
      </w:r>
      <w:r>
        <w:rPr>
          <w:rFonts w:ascii="Times New Roman" w:hAnsi="Times New Roman" w:eastAsia="Times New Roman" w:cs="Times New Roman"/>
          <w:color w:val="000000"/>
          <w:spacing w:val="0"/>
          <w:w w:val="100"/>
          <w:position w:val="0"/>
          <w:sz w:val="19"/>
          <w:szCs w:val="19"/>
          <w:lang w:val="en-US" w:eastAsia="en-US" w:bidi="en-US"/>
        </w:rPr>
        <w:t xml:space="preserve">Christian von Bar </w:t>
      </w:r>
      <w:r>
        <w:rPr>
          <w:rFonts w:ascii="Times New Roman" w:hAnsi="Times New Roman" w:eastAsia="Times New Roman" w:cs="Times New Roman"/>
          <w:color w:val="000000"/>
          <w:spacing w:val="0"/>
          <w:w w:val="100"/>
          <w:position w:val="0"/>
          <w:sz w:val="19"/>
          <w:szCs w:val="19"/>
        </w:rPr>
        <w:t xml:space="preserve">&amp; </w:t>
      </w:r>
      <w:r>
        <w:rPr>
          <w:rFonts w:ascii="Times New Roman" w:hAnsi="Times New Roman" w:eastAsia="Times New Roman" w:cs="Times New Roman"/>
          <w:color w:val="000000"/>
          <w:spacing w:val="0"/>
          <w:w w:val="100"/>
          <w:position w:val="0"/>
          <w:sz w:val="19"/>
          <w:szCs w:val="19"/>
          <w:lang w:val="en-US" w:eastAsia="en-US" w:bidi="en-US"/>
        </w:rPr>
        <w:t>Ul</w:t>
      </w:r>
      <w:r>
        <w:rPr>
          <w:rFonts w:ascii="Times New Roman" w:hAnsi="Times New Roman" w:eastAsia="Times New Roman" w:cs="Times New Roman"/>
          <w:color w:val="000000"/>
          <w:spacing w:val="0"/>
          <w:w w:val="100"/>
          <w:position w:val="0"/>
          <w:sz w:val="19"/>
          <w:szCs w:val="19"/>
          <w:lang w:val="en-US" w:eastAsia="en-US" w:bidi="en-US"/>
        </w:rPr>
        <w:softHyphen/>
      </w:r>
      <w:r>
        <w:rPr>
          <w:rFonts w:ascii="Times New Roman" w:hAnsi="Times New Roman" w:eastAsia="Times New Roman" w:cs="Times New Roman"/>
          <w:color w:val="000000"/>
          <w:spacing w:val="0"/>
          <w:w w:val="100"/>
          <w:position w:val="0"/>
          <w:sz w:val="19"/>
          <w:szCs w:val="19"/>
          <w:lang w:val="en-US" w:eastAsia="en-US" w:bidi="en-US"/>
        </w:rPr>
        <w:t xml:space="preserve">rich Drobnig, </w:t>
      </w:r>
      <w:r>
        <w:rPr>
          <w:rFonts w:ascii="Times New Roman" w:hAnsi="Times New Roman" w:eastAsia="Times New Roman" w:cs="Times New Roman"/>
          <w:i/>
          <w:iCs/>
          <w:color w:val="000000"/>
          <w:spacing w:val="0"/>
          <w:w w:val="100"/>
          <w:position w:val="0"/>
          <w:sz w:val="19"/>
          <w:szCs w:val="19"/>
          <w:lang w:val="en-US" w:eastAsia="en-US" w:bidi="en-US"/>
        </w:rPr>
        <w:t>The Interaction of Contract Law and Tort and Property Law in Europe</w:t>
      </w:r>
      <w:r>
        <w:rPr>
          <w:rFonts w:ascii="Times New Roman" w:hAnsi="Times New Roman" w:eastAsia="Times New Roman" w:cs="Times New Roman"/>
          <w:i/>
          <w:iCs/>
          <w:color w:val="000000"/>
          <w:spacing w:val="0"/>
          <w:w w:val="100"/>
          <w:position w:val="0"/>
          <w:sz w:val="19"/>
          <w:szCs w:val="19"/>
        </w:rPr>
        <w:t xml:space="preserve">: </w:t>
      </w:r>
      <w:r>
        <w:rPr>
          <w:rFonts w:ascii="Times New Roman" w:hAnsi="Times New Roman" w:eastAsia="Times New Roman" w:cs="Times New Roman"/>
          <w:i/>
          <w:iCs/>
          <w:color w:val="000000"/>
          <w:spacing w:val="0"/>
          <w:w w:val="100"/>
          <w:position w:val="0"/>
          <w:sz w:val="19"/>
          <w:szCs w:val="19"/>
          <w:lang w:val="en-US" w:eastAsia="en-US" w:bidi="en-US"/>
        </w:rPr>
        <w:t>A Com</w:t>
      </w:r>
      <w:r>
        <w:rPr>
          <w:rFonts w:ascii="Times New Roman" w:hAnsi="Times New Roman" w:eastAsia="Times New Roman" w:cs="Times New Roman"/>
          <w:i/>
          <w:iCs/>
          <w:color w:val="000000"/>
          <w:spacing w:val="0"/>
          <w:w w:val="100"/>
          <w:position w:val="0"/>
          <w:sz w:val="19"/>
          <w:szCs w:val="19"/>
          <w:lang w:val="en-US" w:eastAsia="en-US" w:bidi="en-US"/>
        </w:rPr>
        <w:softHyphen/>
      </w:r>
      <w:r>
        <w:rPr>
          <w:rFonts w:ascii="Times New Roman" w:hAnsi="Times New Roman" w:eastAsia="Times New Roman" w:cs="Times New Roman"/>
          <w:i/>
          <w:iCs/>
          <w:color w:val="000000"/>
          <w:spacing w:val="0"/>
          <w:w w:val="100"/>
          <w:position w:val="0"/>
          <w:sz w:val="19"/>
          <w:szCs w:val="19"/>
          <w:lang w:val="en-US" w:eastAsia="en-US" w:bidi="en-US"/>
        </w:rPr>
        <w:t>parative Study, Sellier,</w:t>
      </w:r>
      <w:r>
        <w:rPr>
          <w:rFonts w:ascii="Times New Roman" w:hAnsi="Times New Roman" w:eastAsia="Times New Roman" w:cs="Times New Roman"/>
          <w:color w:val="000000"/>
          <w:spacing w:val="0"/>
          <w:w w:val="100"/>
          <w:position w:val="0"/>
          <w:sz w:val="19"/>
          <w:szCs w:val="19"/>
          <w:lang w:val="en-US" w:eastAsia="en-US" w:bidi="en-US"/>
        </w:rPr>
        <w:t xml:space="preserve"> European Law Publishers, 2004, p. 198. </w:t>
      </w:r>
      <w:r>
        <w:rPr>
          <w:color w:val="000000"/>
          <w:spacing w:val="0"/>
          <w:w w:val="100"/>
          <w:position w:val="0"/>
          <w:sz w:val="18"/>
          <w:szCs w:val="18"/>
          <w:lang w:val="en-US" w:eastAsia="en-US" w:bidi="en-US"/>
        </w:rPr>
        <w:t xml:space="preserve">） </w:t>
      </w:r>
      <w:r>
        <w:rPr>
          <w:color w:val="000000"/>
          <w:spacing w:val="0"/>
          <w:w w:val="100"/>
          <w:position w:val="0"/>
          <w:sz w:val="18"/>
          <w:szCs w:val="18"/>
          <w:vertAlign w:val="subscript"/>
          <w:lang w:val="en-US" w:eastAsia="en-US" w:bidi="en-US"/>
        </w:rPr>
        <w:t>o</w:t>
      </w:r>
      <w:r>
        <w:rPr>
          <w:color w:val="000000"/>
          <w:spacing w:val="0"/>
          <w:w w:val="100"/>
          <w:position w:val="0"/>
          <w:sz w:val="18"/>
          <w:szCs w:val="18"/>
          <w:lang w:val="en-US" w:eastAsia="en-US" w:bidi="en-US"/>
        </w:rPr>
        <w:t xml:space="preserve"> </w:t>
      </w:r>
      <w:r>
        <w:rPr>
          <w:color w:val="000000"/>
          <w:spacing w:val="0"/>
          <w:w w:val="100"/>
          <w:position w:val="0"/>
          <w:sz w:val="18"/>
          <w:szCs w:val="18"/>
        </w:rPr>
        <w:t xml:space="preserve">就《食品安全法》第 </w:t>
      </w:r>
      <w:r>
        <w:rPr>
          <w:rFonts w:ascii="Times New Roman" w:hAnsi="Times New Roman" w:eastAsia="Times New Roman" w:cs="Times New Roman"/>
          <w:color w:val="000000"/>
          <w:spacing w:val="0"/>
          <w:w w:val="100"/>
          <w:position w:val="0"/>
          <w:sz w:val="19"/>
          <w:szCs w:val="19"/>
        </w:rPr>
        <w:t xml:space="preserve">96 </w:t>
      </w:r>
      <w:r>
        <w:rPr>
          <w:color w:val="000000"/>
          <w:spacing w:val="0"/>
          <w:w w:val="100"/>
          <w:position w:val="0"/>
          <w:sz w:val="18"/>
          <w:szCs w:val="18"/>
        </w:rPr>
        <w:t xml:space="preserve">条 而言，它同时赋予权利人填补性赔偿责任和惩罚性赔偿责任两项请求权,两者并行不悖 </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迪特尔-梅迪库斯:《德国民法总论》，邵建东译，法律出版社</w:t>
      </w:r>
      <w:r>
        <w:rPr>
          <w:rFonts w:ascii="Times New Roman" w:hAnsi="Times New Roman" w:eastAsia="Times New Roman" w:cs="Times New Roman"/>
          <w:color w:val="000000"/>
          <w:spacing w:val="0"/>
          <w:w w:val="100"/>
          <w:position w:val="0"/>
          <w:sz w:val="17"/>
          <w:szCs w:val="17"/>
        </w:rPr>
        <w:t>2000</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69</w:t>
      </w:r>
      <w:r>
        <w:rPr>
          <w:color w:val="000000"/>
          <w:spacing w:val="0"/>
          <w:w w:val="100"/>
          <w:position w:val="0"/>
          <w:sz w:val="11"/>
          <w:szCs w:val="11"/>
        </w:rPr>
        <w:t>页）。</w:t>
      </w:r>
    </w:p>
    <w:p w14:paraId="2F070B81">
      <w:pPr>
        <w:pStyle w:val="17"/>
        <w:keepNext w:val="0"/>
        <w:keepLines w:val="0"/>
        <w:widowControl w:val="0"/>
        <w:numPr>
          <w:ilvl w:val="0"/>
          <w:numId w:val="45"/>
        </w:numPr>
        <w:shd w:val="clear" w:color="auto" w:fill="auto"/>
        <w:tabs>
          <w:tab w:val="left" w:pos="960"/>
        </w:tabs>
        <w:bidi w:val="0"/>
        <w:spacing w:before="0" w:after="0" w:line="340" w:lineRule="exact"/>
        <w:ind w:left="280" w:right="0" w:firstLine="420"/>
        <w:jc w:val="both"/>
      </w:pPr>
      <w:bookmarkStart w:id="190" w:name="bookmark610"/>
      <w:bookmarkEnd w:id="190"/>
      <w:r>
        <w:rPr>
          <w:color w:val="000000"/>
          <w:spacing w:val="0"/>
          <w:w w:val="100"/>
          <w:position w:val="0"/>
        </w:rPr>
        <w:t>《食品安全法》第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款是不完全法条，确立了填补性赔偿责任。</w:t>
      </w:r>
      <w:r>
        <w:rPr>
          <w:color w:val="000000"/>
          <w:spacing w:val="0"/>
          <w:w w:val="100"/>
          <w:position w:val="0"/>
          <w:lang w:val="zh-CN" w:eastAsia="zh-CN" w:bidi="zh-CN"/>
        </w:rPr>
        <w:t>“依法</w:t>
      </w:r>
      <w:r>
        <w:rPr>
          <w:color w:val="000000"/>
          <w:spacing w:val="0"/>
          <w:w w:val="100"/>
          <w:position w:val="0"/>
        </w:rPr>
        <w:t>承担赔 偿责任</w:t>
      </w:r>
      <w:r>
        <w:rPr>
          <w:color w:val="000000"/>
          <w:spacing w:val="0"/>
          <w:w w:val="100"/>
          <w:position w:val="0"/>
          <w:lang w:val="zh-CN" w:eastAsia="zh-CN" w:bidi="zh-CN"/>
        </w:rPr>
        <w:t>”的表</w:t>
      </w:r>
      <w:r>
        <w:rPr>
          <w:color w:val="000000"/>
          <w:spacing w:val="0"/>
          <w:w w:val="100"/>
          <w:position w:val="0"/>
        </w:rPr>
        <w:t>述意味着该条款具有不完全法条的性质,属于指示性或者转介条款。食品经 营者和生产者是民事主体,赔偿责任是民事责任</w:t>
      </w:r>
      <w:r>
        <w:rPr>
          <w:color w:val="000000"/>
          <w:spacing w:val="0"/>
          <w:w w:val="100"/>
          <w:position w:val="0"/>
          <w:lang w:val="zh-CN" w:eastAsia="zh-CN" w:bidi="zh-CN"/>
        </w:rPr>
        <w:t>，“至</w:t>
      </w:r>
      <w:r>
        <w:rPr>
          <w:color w:val="000000"/>
          <w:spacing w:val="0"/>
          <w:w w:val="100"/>
          <w:position w:val="0"/>
        </w:rPr>
        <w:t>于责任主体、责任范围等一般性问题， 当然适用《侵权责任法》《合同法》等一般法的规定</w:t>
      </w:r>
      <w:r>
        <w:rPr>
          <w:color w:val="000000"/>
          <w:spacing w:val="0"/>
          <w:w w:val="100"/>
          <w:position w:val="0"/>
          <w:sz w:val="11"/>
          <w:szCs w:val="11"/>
          <w:lang w:val="zh-CN" w:eastAsia="zh-CN" w:bidi="zh-CN"/>
        </w:rPr>
        <w:t>”（高</w:t>
      </w:r>
      <w:r>
        <w:rPr>
          <w:color w:val="000000"/>
          <w:spacing w:val="0"/>
          <w:w w:val="100"/>
          <w:position w:val="0"/>
          <w:sz w:val="11"/>
          <w:szCs w:val="11"/>
        </w:rPr>
        <w:t>圣平:《食品安全惩罚性赔偿制度的立法 宗旨与规则设计》，载《法学家》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rPr>
        <w:t>同时，该条款没有对责任性质予以限定，其言及 的“依法承担责任</w:t>
      </w:r>
      <w:r>
        <w:rPr>
          <w:color w:val="000000"/>
          <w:spacing w:val="0"/>
          <w:w w:val="100"/>
          <w:position w:val="0"/>
          <w:lang w:val="zh-CN" w:eastAsia="zh-CN" w:bidi="zh-CN"/>
        </w:rPr>
        <w:t>”既可</w:t>
      </w:r>
      <w:r>
        <w:rPr>
          <w:color w:val="000000"/>
          <w:spacing w:val="0"/>
          <w:w w:val="100"/>
          <w:position w:val="0"/>
        </w:rPr>
        <w:t>解释为依据原《侵权责任法》主张侵权责任，也可解释为依据原《合 同法》主张合同责任，但均适用民事责任的一般原理,以填补损失为要旨。</w:t>
      </w:r>
    </w:p>
    <w:p w14:paraId="4F5582AA">
      <w:pPr>
        <w:pStyle w:val="17"/>
        <w:keepNext w:val="0"/>
        <w:keepLines w:val="0"/>
        <w:widowControl w:val="0"/>
        <w:numPr>
          <w:ilvl w:val="0"/>
          <w:numId w:val="45"/>
        </w:numPr>
        <w:shd w:val="clear" w:color="auto" w:fill="auto"/>
        <w:tabs>
          <w:tab w:val="left" w:pos="958"/>
        </w:tabs>
        <w:bidi w:val="0"/>
        <w:spacing w:before="0" w:after="80" w:line="340" w:lineRule="exact"/>
        <w:ind w:left="280" w:right="0" w:firstLine="420"/>
        <w:jc w:val="both"/>
      </w:pPr>
      <w:bookmarkStart w:id="191" w:name="bookmark611"/>
      <w:bookmarkEnd w:id="191"/>
      <w:r>
        <w:rPr>
          <w:color w:val="000000"/>
          <w:spacing w:val="0"/>
          <w:w w:val="100"/>
          <w:position w:val="0"/>
        </w:rPr>
        <w:t>《食品安全法》第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款是完全法条，确立了惩罚性赔偿责任。完全法条，包括 构成要件与法律效果两个部分</w:t>
      </w:r>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”不</w:t>
      </w:r>
      <w:r>
        <w:rPr>
          <w:color w:val="000000"/>
          <w:spacing w:val="0"/>
          <w:w w:val="100"/>
          <w:position w:val="0"/>
        </w:rPr>
        <w:t>可以被狭隘地限定为侵权责任。一方面，作 为前置性规范的《食品安全法》第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款,其所规定的民事责任既包括侵权责任,也包 括合同责任。那么，惩罚性赔偿可能是基于侵权责任产生,也可能是基于合同责任产生，这 完全取决于当事人对请求权基础的选择。另一方面，第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款规定的责任主体既包括 生产者，也包括销售者。姑且无论消费者与生产者之间的法律关系如何，至少消费者与销 售者之间是存在合同关系的，因此在生产或销售不安全食品时，消费者同样面临请求权基 础的竞合，不能武断地排除当事人基于合同责任主张惩罚性赔偿的可能性。</w:t>
      </w:r>
    </w:p>
    <w:p w14:paraId="486C3F97">
      <w:pPr>
        <w:pStyle w:val="17"/>
        <w:keepNext w:val="0"/>
        <w:keepLines w:val="0"/>
        <w:widowControl w:val="0"/>
        <w:numPr>
          <w:ilvl w:val="0"/>
          <w:numId w:val="45"/>
        </w:numPr>
        <w:shd w:val="clear" w:color="auto" w:fill="auto"/>
        <w:tabs>
          <w:tab w:val="left" w:pos="284"/>
        </w:tabs>
        <w:bidi w:val="0"/>
        <w:spacing w:before="0" w:after="160" w:line="374" w:lineRule="auto"/>
        <w:ind w:left="0" w:right="0" w:firstLine="700"/>
        <w:jc w:val="both"/>
      </w:pPr>
      <w:bookmarkStart w:id="192" w:name="bookmark612"/>
      <w:bookmarkEnd w:id="192"/>
      <w:r>
        <w:rPr>
          <w:color w:val="000000"/>
          <w:spacing w:val="0"/>
          <w:w w:val="100"/>
          <w:position w:val="0"/>
        </w:rPr>
        <w:t>《食品安全法》第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款之间是逻辑上的包容关系。在理解该第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款 与第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款的逻辑关系时，应该紧扣其中作为标识的关键字“还”。</w:t>
      </w:r>
      <w:r>
        <w:rPr>
          <w:color w:val="000000"/>
          <w:spacing w:val="0"/>
          <w:w w:val="100"/>
          <w:position w:val="0"/>
          <w:lang w:val="zh-CN" w:eastAsia="zh-CN" w:bidi="zh-CN"/>
        </w:rPr>
        <w:t>“还”</w:t>
      </w:r>
      <w:r>
        <w:rPr>
          <w:color w:val="000000"/>
          <w:spacing w:val="0"/>
          <w:w w:val="100"/>
          <w:position w:val="0"/>
        </w:rPr>
        <w:t>字意味着消费者同时 享有两个请求权,二者可以同时行使。具体而言，不安全食品的生产者与销售者可能出现 两种责任情形:一是在因侵权行为承担填补性责任的基础上，同时承担惩罚性赔偿责任;二 是在因违约行为承担填补性责任的基础上，同时承担惩罚性赔偿责任。由于《食品安全法》 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条赋予消费者两个独立的给付请求权，产生了两个平行的请求权规范,故构成请求权 的聚合。</w:t>
      </w:r>
    </w:p>
    <w:p w14:paraId="49E584E8">
      <w:pPr>
        <w:pStyle w:val="17"/>
        <w:keepNext w:val="0"/>
        <w:keepLines w:val="0"/>
        <w:widowControl w:val="0"/>
        <w:shd w:val="clear" w:color="auto" w:fill="auto"/>
        <w:bidi w:val="0"/>
        <w:spacing w:before="0" w:after="160" w:line="342" w:lineRule="exact"/>
        <w:ind w:left="0" w:right="0" w:firstLine="28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惩罚性赔偿的规范竞合</w:t>
      </w:r>
    </w:p>
    <w:p w14:paraId="4B6D9694">
      <w:pPr>
        <w:pStyle w:val="17"/>
        <w:keepNext w:val="0"/>
        <w:keepLines w:val="0"/>
        <w:widowControl w:val="0"/>
        <w:numPr>
          <w:ilvl w:val="0"/>
          <w:numId w:val="46"/>
        </w:numPr>
        <w:shd w:val="clear" w:color="auto" w:fill="auto"/>
        <w:tabs>
          <w:tab w:val="left" w:pos="986"/>
        </w:tabs>
        <w:bidi w:val="0"/>
        <w:spacing w:before="0" w:after="0" w:line="342" w:lineRule="exact"/>
        <w:ind w:left="0" w:right="0" w:firstLine="700"/>
        <w:jc w:val="both"/>
      </w:pPr>
      <w:bookmarkStart w:id="193" w:name="bookmark613"/>
      <w:bookmarkEnd w:id="193"/>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”与“知假</w:t>
      </w:r>
      <w:r>
        <w:rPr>
          <w:color w:val="000000"/>
          <w:spacing w:val="0"/>
          <w:w w:val="100"/>
          <w:position w:val="0"/>
        </w:rPr>
        <w:t>买假”</w:t>
      </w:r>
    </w:p>
    <w:p w14:paraId="7B705D5C">
      <w:pPr>
        <w:pStyle w:val="17"/>
        <w:keepNext w:val="0"/>
        <w:keepLines w:val="0"/>
        <w:widowControl w:val="0"/>
        <w:numPr>
          <w:ilvl w:val="0"/>
          <w:numId w:val="47"/>
        </w:numPr>
        <w:shd w:val="clear" w:color="auto" w:fill="auto"/>
        <w:tabs>
          <w:tab w:val="left" w:pos="1116"/>
        </w:tabs>
        <w:bidi w:val="0"/>
        <w:spacing w:before="0" w:after="0" w:line="342" w:lineRule="exact"/>
        <w:ind w:left="280" w:right="0" w:firstLine="420"/>
        <w:jc w:val="both"/>
      </w:pPr>
      <w:bookmarkStart w:id="194" w:name="bookmark614"/>
      <w:bookmarkEnd w:id="194"/>
      <w:r>
        <w:rPr>
          <w:color w:val="000000"/>
          <w:spacing w:val="0"/>
          <w:w w:val="100"/>
          <w:position w:val="0"/>
        </w:rPr>
        <w:t>《消费者权益保护法》与《食品安全法》在效力范围和调整对象上存在重叠和交叉， 属平行的同位阶规范。两部法律分别赋予消费者</w:t>
      </w:r>
      <w:r>
        <w:rPr>
          <w:color w:val="000000"/>
          <w:spacing w:val="0"/>
          <w:w w:val="100"/>
          <w:position w:val="0"/>
          <w:lang w:val="zh-CN" w:eastAsia="zh-CN" w:bidi="zh-CN"/>
        </w:rPr>
        <w:t>“三</w:t>
      </w:r>
      <w:r>
        <w:rPr>
          <w:color w:val="000000"/>
          <w:spacing w:val="0"/>
          <w:w w:val="100"/>
          <w:position w:val="0"/>
        </w:rPr>
        <w:t>倍赔偿</w:t>
      </w:r>
      <w:r>
        <w:rPr>
          <w:color w:val="000000"/>
          <w:spacing w:val="0"/>
          <w:w w:val="100"/>
          <w:position w:val="0"/>
          <w:lang w:val="zh-CN" w:eastAsia="zh-CN" w:bidi="zh-CN"/>
        </w:rPr>
        <w:t>”和“十</w:t>
      </w:r>
      <w:r>
        <w:rPr>
          <w:color w:val="000000"/>
          <w:spacing w:val="0"/>
          <w:w w:val="100"/>
          <w:position w:val="0"/>
        </w:rPr>
        <w:t>倍赔偿</w:t>
      </w:r>
      <w:r>
        <w:rPr>
          <w:color w:val="000000"/>
          <w:spacing w:val="0"/>
          <w:w w:val="100"/>
          <w:position w:val="0"/>
          <w:lang w:val="zh-CN" w:eastAsia="zh-CN" w:bidi="zh-CN"/>
        </w:rPr>
        <w:t>”两个</w:t>
      </w:r>
      <w:r>
        <w:rPr>
          <w:color w:val="000000"/>
          <w:spacing w:val="0"/>
          <w:w w:val="100"/>
          <w:position w:val="0"/>
        </w:rPr>
        <w:t>请求权，虽 均为惩罚性赔偿,但给付内容和构成要件并不相同,况且原告有选择权，因此这种情形属于 “择一行使的请求权聚合” (</w:t>
      </w:r>
      <w:r>
        <w:rPr>
          <w:rFonts w:ascii="Times New Roman" w:hAnsi="Times New Roman" w:eastAsia="Times New Roman" w:cs="Times New Roman"/>
          <w:color w:val="000000"/>
          <w:spacing w:val="0"/>
          <w:w w:val="100"/>
          <w:position w:val="0"/>
          <w:sz w:val="17"/>
          <w:szCs w:val="17"/>
          <w:lang w:val="en-US" w:eastAsia="en-US" w:bidi="en-US"/>
        </w:rPr>
        <w:t xml:space="preserve">alternative accumulation of claims) ( </w:t>
      </w:r>
      <w:r>
        <w:rPr>
          <w:i/>
          <w:iCs/>
          <w:color w:val="000000"/>
          <w:spacing w:val="0"/>
          <w:w w:val="100"/>
          <w:position w:val="0"/>
          <w:lang w:val="en-US" w:eastAsia="en-US" w:bidi="en-US"/>
        </w:rPr>
        <w:t>Christian von Bar ^Ulrich Drobnig</w:t>
      </w:r>
      <w:r>
        <w:rPr>
          <w:rFonts w:ascii="Times New Roman" w:hAnsi="Times New Roman" w:eastAsia="Times New Roman" w:cs="Times New Roman"/>
          <w:color w:val="000000"/>
          <w:spacing w:val="0"/>
          <w:w w:val="100"/>
          <w:position w:val="0"/>
          <w:sz w:val="17"/>
          <w:szCs w:val="17"/>
          <w:lang w:val="en-US" w:eastAsia="en-US" w:bidi="en-US"/>
        </w:rPr>
        <w:t>, p. 198)</w:t>
      </w:r>
      <w:r>
        <w:rPr>
          <w:color w:val="000000"/>
          <w:spacing w:val="0"/>
          <w:w w:val="100"/>
          <w:position w:val="0"/>
        </w:rPr>
        <w:t>，不同于针对同一给付的请求权竞合。</w:t>
      </w:r>
    </w:p>
    <w:p w14:paraId="507AF6F5">
      <w:pPr>
        <w:pStyle w:val="17"/>
        <w:keepNext w:val="0"/>
        <w:keepLines w:val="0"/>
        <w:widowControl w:val="0"/>
        <w:numPr>
          <w:ilvl w:val="0"/>
          <w:numId w:val="47"/>
        </w:numPr>
        <w:shd w:val="clear" w:color="auto" w:fill="auto"/>
        <w:tabs>
          <w:tab w:val="left" w:pos="1121"/>
        </w:tabs>
        <w:bidi w:val="0"/>
        <w:spacing w:before="0" w:after="0" w:line="342" w:lineRule="exact"/>
        <w:ind w:left="280" w:right="0" w:firstLine="420"/>
        <w:jc w:val="both"/>
      </w:pPr>
      <w:bookmarkStart w:id="195" w:name="bookmark615"/>
      <w:bookmarkEnd w:id="195"/>
      <w:r>
        <w:rPr>
          <w:rFonts w:ascii="Times New Roman" w:hAnsi="Times New Roman" w:eastAsia="Times New Roman" w:cs="Times New Roman"/>
          <w:color w:val="000000"/>
          <w:spacing w:val="0"/>
          <w:w w:val="100"/>
          <w:position w:val="0"/>
          <w:sz w:val="17"/>
          <w:szCs w:val="17"/>
        </w:rPr>
        <w:t>“</w:t>
      </w:r>
      <w:r>
        <w:rPr>
          <w:color w:val="000000"/>
          <w:spacing w:val="0"/>
          <w:w w:val="100"/>
          <w:position w:val="0"/>
        </w:rPr>
        <w:t>知假买假”不属于《消费者权益保护法》的调整范围，不能适用</w:t>
      </w:r>
      <w:r>
        <w:rPr>
          <w:color w:val="000000"/>
          <w:spacing w:val="0"/>
          <w:w w:val="100"/>
          <w:position w:val="0"/>
          <w:lang w:val="zh-CN" w:eastAsia="zh-CN" w:bidi="zh-CN"/>
        </w:rPr>
        <w:t>“三倍</w:t>
      </w:r>
      <w:r>
        <w:rPr>
          <w:color w:val="000000"/>
          <w:spacing w:val="0"/>
          <w:w w:val="100"/>
          <w:position w:val="0"/>
        </w:rPr>
        <w:t>赔偿”规则。 根据《消费者权益保护法》第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条的规定,该法的适用范围需符合两项要件:消费者+消费 行为。消费者是与生产者、经营者相对应的概念,如果不承认孙银山是消费者，只能把他从 逻辑上归入经营者、生产者的范畴，这显然更有悖于生活常识。该条文不是在界定消费者 内涵,而是在界定该法的适用范围</w:t>
      </w:r>
      <w:r>
        <w:rPr>
          <w:color w:val="000000"/>
          <w:spacing w:val="0"/>
          <w:w w:val="100"/>
          <w:position w:val="0"/>
          <w:lang w:val="zh-CN" w:eastAsia="zh-CN" w:bidi="zh-CN"/>
        </w:rPr>
        <w:t>，“知</w:t>
      </w:r>
      <w:r>
        <w:rPr>
          <w:color w:val="000000"/>
          <w:spacing w:val="0"/>
          <w:w w:val="100"/>
          <w:position w:val="0"/>
        </w:rPr>
        <w:t>假买假</w:t>
      </w:r>
      <w:r>
        <w:rPr>
          <w:color w:val="000000"/>
          <w:spacing w:val="0"/>
          <w:w w:val="100"/>
          <w:position w:val="0"/>
          <w:lang w:val="zh-CN" w:eastAsia="zh-CN" w:bidi="zh-CN"/>
        </w:rPr>
        <w:t>”的消</w:t>
      </w:r>
      <w:r>
        <w:rPr>
          <w:color w:val="000000"/>
          <w:spacing w:val="0"/>
          <w:w w:val="100"/>
          <w:position w:val="0"/>
        </w:rPr>
        <w:t>费者同样也是消费者，只不过是</w:t>
      </w:r>
      <w:r>
        <w:rPr>
          <w:color w:val="000000"/>
          <w:spacing w:val="0"/>
          <w:w w:val="100"/>
          <w:position w:val="0"/>
          <w:lang w:val="zh-CN" w:eastAsia="zh-CN" w:bidi="zh-CN"/>
        </w:rPr>
        <w:t xml:space="preserve">“非消 </w:t>
      </w:r>
      <w:r>
        <w:rPr>
          <w:color w:val="000000"/>
          <w:spacing w:val="0"/>
          <w:w w:val="100"/>
          <w:position w:val="0"/>
        </w:rPr>
        <w:t>费行为的消费者</w:t>
      </w:r>
      <w:r>
        <w:rPr>
          <w:color w:val="000000"/>
          <w:spacing w:val="0"/>
          <w:w w:val="100"/>
          <w:position w:val="0"/>
          <w:lang w:val="zh-CN" w:eastAsia="zh-CN" w:bidi="zh-CN"/>
        </w:rPr>
        <w:t>”而已</w:t>
      </w:r>
      <w:r>
        <w:rPr>
          <w:color w:val="000000"/>
          <w:spacing w:val="0"/>
          <w:w w:val="100"/>
          <w:position w:val="0"/>
        </w:rPr>
        <w:t>，不属于《消费者权益保护法》的调整范围，其权益不受该法保护。</w:t>
      </w:r>
    </w:p>
    <w:p w14:paraId="49A9CFDA">
      <w:pPr>
        <w:pStyle w:val="17"/>
        <w:keepNext w:val="0"/>
        <w:keepLines w:val="0"/>
        <w:widowControl w:val="0"/>
        <w:numPr>
          <w:ilvl w:val="0"/>
          <w:numId w:val="47"/>
        </w:numPr>
        <w:shd w:val="clear" w:color="auto" w:fill="auto"/>
        <w:tabs>
          <w:tab w:val="left" w:pos="1121"/>
        </w:tabs>
        <w:bidi w:val="0"/>
        <w:spacing w:before="0" w:after="0" w:line="342" w:lineRule="exact"/>
        <w:ind w:left="280" w:right="0" w:firstLine="420"/>
        <w:jc w:val="both"/>
      </w:pPr>
      <w:bookmarkStart w:id="196" w:name="bookmark616"/>
      <w:bookmarkEnd w:id="196"/>
      <w:r>
        <w:rPr>
          <w:rFonts w:ascii="Times New Roman" w:hAnsi="Times New Roman" w:eastAsia="Times New Roman" w:cs="Times New Roman"/>
          <w:color w:val="000000"/>
          <w:spacing w:val="0"/>
          <w:w w:val="100"/>
          <w:position w:val="0"/>
          <w:sz w:val="17"/>
          <w:szCs w:val="17"/>
        </w:rPr>
        <w:t>“</w:t>
      </w:r>
      <w:r>
        <w:rPr>
          <w:color w:val="000000"/>
          <w:spacing w:val="0"/>
          <w:w w:val="100"/>
          <w:position w:val="0"/>
        </w:rPr>
        <w:t>知假买假”并未被《食品安全法》第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条排除,基于惩罚性赔偿的法定性原则,应 适用</w:t>
      </w:r>
      <w:r>
        <w:rPr>
          <w:color w:val="000000"/>
          <w:spacing w:val="0"/>
          <w:w w:val="100"/>
          <w:position w:val="0"/>
          <w:lang w:val="zh-CN" w:eastAsia="zh-CN" w:bidi="zh-CN"/>
        </w:rPr>
        <w:t>“十倍</w:t>
      </w:r>
      <w:r>
        <w:rPr>
          <w:color w:val="000000"/>
          <w:spacing w:val="0"/>
          <w:w w:val="100"/>
          <w:position w:val="0"/>
        </w:rPr>
        <w:t>赔偿”规则。因此,本案中，判令被告向</w:t>
      </w:r>
      <w:r>
        <w:rPr>
          <w:color w:val="000000"/>
          <w:spacing w:val="0"/>
          <w:w w:val="100"/>
          <w:position w:val="0"/>
          <w:lang w:val="zh-CN" w:eastAsia="zh-CN" w:bidi="zh-CN"/>
        </w:rPr>
        <w:t>“知</w:t>
      </w:r>
      <w:r>
        <w:rPr>
          <w:color w:val="000000"/>
          <w:spacing w:val="0"/>
          <w:w w:val="100"/>
          <w:position w:val="0"/>
        </w:rPr>
        <w:t>假买假</w:t>
      </w:r>
      <w:r>
        <w:rPr>
          <w:color w:val="000000"/>
          <w:spacing w:val="0"/>
          <w:w w:val="100"/>
          <w:position w:val="0"/>
          <w:lang w:val="zh-CN" w:eastAsia="zh-CN" w:bidi="zh-CN"/>
        </w:rPr>
        <w:t>”的原</w:t>
      </w:r>
      <w:r>
        <w:rPr>
          <w:color w:val="000000"/>
          <w:spacing w:val="0"/>
          <w:w w:val="100"/>
          <w:position w:val="0"/>
        </w:rPr>
        <w:t>告承担</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倍赔偿责任, 在法律适用上完全正确。</w:t>
      </w:r>
    </w:p>
    <w:p w14:paraId="249D4471">
      <w:pPr>
        <w:pStyle w:val="17"/>
        <w:keepNext w:val="0"/>
        <w:keepLines w:val="0"/>
        <w:widowControl w:val="0"/>
        <w:numPr>
          <w:ilvl w:val="0"/>
          <w:numId w:val="46"/>
        </w:numPr>
        <w:shd w:val="clear" w:color="auto" w:fill="auto"/>
        <w:tabs>
          <w:tab w:val="left" w:pos="986"/>
        </w:tabs>
        <w:bidi w:val="0"/>
        <w:spacing w:before="0" w:after="0" w:line="342" w:lineRule="exact"/>
        <w:ind w:left="0" w:right="0" w:firstLine="700"/>
        <w:jc w:val="both"/>
      </w:pPr>
      <w:bookmarkStart w:id="197" w:name="bookmark617"/>
      <w:bookmarkEnd w:id="197"/>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”与“产</w:t>
      </w:r>
      <w:r>
        <w:rPr>
          <w:color w:val="000000"/>
          <w:spacing w:val="0"/>
          <w:w w:val="100"/>
          <w:position w:val="0"/>
        </w:rPr>
        <w:t>品缺陷惩罚性赔偿”</w:t>
      </w:r>
    </w:p>
    <w:p w14:paraId="46D86E88">
      <w:pPr>
        <w:pStyle w:val="17"/>
        <w:keepNext w:val="0"/>
        <w:keepLines w:val="0"/>
        <w:widowControl w:val="0"/>
        <w:shd w:val="clear" w:color="auto" w:fill="auto"/>
        <w:bidi w:val="0"/>
        <w:spacing w:before="0" w:after="0" w:line="342" w:lineRule="exact"/>
        <w:ind w:left="280" w:right="0" w:firstLine="420"/>
        <w:jc w:val="both"/>
      </w:pPr>
      <w:r>
        <w:rPr>
          <w:color w:val="000000"/>
          <w:spacing w:val="0"/>
          <w:w w:val="100"/>
          <w:position w:val="0"/>
        </w:rPr>
        <w:t>《食品安全法》第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条与《侵权责任法》第</w:t>
      </w:r>
      <w:r>
        <w:rPr>
          <w:rFonts w:ascii="Times New Roman" w:hAnsi="Times New Roman" w:eastAsia="Times New Roman" w:cs="Times New Roman"/>
          <w:color w:val="000000"/>
          <w:spacing w:val="0"/>
          <w:w w:val="100"/>
          <w:position w:val="0"/>
          <w:sz w:val="17"/>
          <w:szCs w:val="17"/>
        </w:rPr>
        <w:t>47</w:t>
      </w:r>
      <w:r>
        <w:rPr>
          <w:color w:val="000000"/>
          <w:spacing w:val="0"/>
          <w:w w:val="100"/>
          <w:position w:val="0"/>
        </w:rPr>
        <w:t>条(《民法典》第</w:t>
      </w:r>
      <w:r>
        <w:rPr>
          <w:rFonts w:ascii="Times New Roman" w:hAnsi="Times New Roman" w:eastAsia="Times New Roman" w:cs="Times New Roman"/>
          <w:color w:val="000000"/>
          <w:spacing w:val="0"/>
          <w:w w:val="100"/>
          <w:position w:val="0"/>
          <w:sz w:val="17"/>
          <w:szCs w:val="17"/>
        </w:rPr>
        <w:t>1207</w:t>
      </w:r>
      <w:r>
        <w:rPr>
          <w:color w:val="000000"/>
          <w:spacing w:val="0"/>
          <w:w w:val="100"/>
          <w:position w:val="0"/>
        </w:rPr>
        <w:t>条)之间的适用关 系，是司法实践中的难点问题之一。前者规定了</w:t>
      </w:r>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”规范</w:t>
      </w:r>
      <w:r>
        <w:rPr>
          <w:color w:val="000000"/>
          <w:spacing w:val="0"/>
          <w:w w:val="100"/>
          <w:position w:val="0"/>
        </w:rPr>
        <w:t>，后者规定了</w:t>
      </w:r>
      <w:r>
        <w:rPr>
          <w:color w:val="000000"/>
          <w:spacing w:val="0"/>
          <w:w w:val="100"/>
          <w:position w:val="0"/>
          <w:lang w:val="zh-CN" w:eastAsia="zh-CN" w:bidi="zh-CN"/>
        </w:rPr>
        <w:t>“产品</w:t>
      </w:r>
      <w:r>
        <w:rPr>
          <w:color w:val="000000"/>
          <w:spacing w:val="0"/>
          <w:w w:val="100"/>
          <w:position w:val="0"/>
        </w:rPr>
        <w:t>缺陷惩 罚性赔偿”。</w:t>
      </w:r>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”与“</w:t>
      </w:r>
      <w:r>
        <w:rPr>
          <w:color w:val="000000"/>
          <w:spacing w:val="0"/>
          <w:w w:val="100"/>
          <w:position w:val="0"/>
        </w:rPr>
        <w:t>产品缺陷惩罚性赔偿</w:t>
      </w:r>
      <w:r>
        <w:rPr>
          <w:color w:val="000000"/>
          <w:spacing w:val="0"/>
          <w:w w:val="100"/>
          <w:position w:val="0"/>
          <w:lang w:val="zh-CN" w:eastAsia="zh-CN" w:bidi="zh-CN"/>
        </w:rPr>
        <w:t>”是两</w:t>
      </w:r>
      <w:r>
        <w:rPr>
          <w:color w:val="000000"/>
          <w:spacing w:val="0"/>
          <w:w w:val="100"/>
          <w:position w:val="0"/>
        </w:rPr>
        <w:t>种竞合的请求权规范，当事人具有 选择权。就</w:t>
      </w:r>
      <w:r>
        <w:rPr>
          <w:color w:val="000000"/>
          <w:spacing w:val="0"/>
          <w:w w:val="100"/>
          <w:position w:val="0"/>
          <w:lang w:val="zh-CN" w:eastAsia="zh-CN" w:bidi="zh-CN"/>
        </w:rPr>
        <w:t>“产品</w:t>
      </w:r>
      <w:r>
        <w:rPr>
          <w:color w:val="000000"/>
          <w:spacing w:val="0"/>
          <w:w w:val="100"/>
          <w:position w:val="0"/>
        </w:rPr>
        <w:t>缺陷惩罚性赔偿”规范而言，其适用以造成受害人死亡、健康严重损害为 前提</w:t>
      </w:r>
      <w:r>
        <w:rPr>
          <w:color w:val="000000"/>
          <w:spacing w:val="0"/>
          <w:w w:val="100"/>
          <w:position w:val="0"/>
          <w:lang w:val="zh-CN" w:eastAsia="zh-CN" w:bidi="zh-CN"/>
        </w:rPr>
        <w:t>，“受</w:t>
      </w:r>
      <w:r>
        <w:rPr>
          <w:color w:val="000000"/>
          <w:spacing w:val="0"/>
          <w:w w:val="100"/>
          <w:position w:val="0"/>
        </w:rPr>
        <w:t>害人的生命、健康损害必须是已经实际发生的，而不能仅是一种危险”</w:t>
      </w:r>
      <w:r>
        <w:rPr>
          <w:color w:val="000000"/>
          <w:spacing w:val="0"/>
          <w:w w:val="100"/>
          <w:position w:val="0"/>
          <w:sz w:val="11"/>
          <w:szCs w:val="11"/>
        </w:rPr>
        <w:t>(最高人民法 院侵权责任法研究小组：《〈中华人民共和国侵权责任法〉条文理解与适用》，人民法院出版社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 版，第</w:t>
      </w:r>
      <w:r>
        <w:rPr>
          <w:rFonts w:ascii="Times New Roman" w:hAnsi="Times New Roman" w:eastAsia="Times New Roman" w:cs="Times New Roman"/>
          <w:color w:val="000000"/>
          <w:spacing w:val="0"/>
          <w:w w:val="100"/>
          <w:position w:val="0"/>
          <w:sz w:val="17"/>
          <w:szCs w:val="17"/>
        </w:rPr>
        <w:t>342</w:t>
      </w:r>
      <w:r>
        <w:rPr>
          <w:color w:val="000000"/>
          <w:spacing w:val="0"/>
          <w:w w:val="100"/>
          <w:position w:val="0"/>
          <w:sz w:val="11"/>
          <w:szCs w:val="11"/>
        </w:rPr>
        <w:t>页)；</w:t>
      </w:r>
      <w:r>
        <w:rPr>
          <w:color w:val="000000"/>
          <w:spacing w:val="0"/>
          <w:w w:val="100"/>
          <w:position w:val="0"/>
        </w:rPr>
        <w:t>但就</w:t>
      </w:r>
      <w:r>
        <w:rPr>
          <w:color w:val="000000"/>
          <w:spacing w:val="0"/>
          <w:w w:val="100"/>
          <w:position w:val="0"/>
          <w:lang w:val="zh-CN" w:eastAsia="zh-CN" w:bidi="zh-CN"/>
        </w:rPr>
        <w:t>“十</w:t>
      </w:r>
      <w:r>
        <w:rPr>
          <w:color w:val="000000"/>
          <w:spacing w:val="0"/>
          <w:w w:val="100"/>
          <w:position w:val="0"/>
        </w:rPr>
        <w:t>倍赔偿</w:t>
      </w:r>
      <w:r>
        <w:rPr>
          <w:color w:val="000000"/>
          <w:spacing w:val="0"/>
          <w:w w:val="100"/>
          <w:position w:val="0"/>
          <w:lang w:val="zh-CN" w:eastAsia="zh-CN" w:bidi="zh-CN"/>
        </w:rPr>
        <w:t>”规范</w:t>
      </w:r>
      <w:r>
        <w:rPr>
          <w:color w:val="000000"/>
          <w:spacing w:val="0"/>
          <w:w w:val="100"/>
          <w:position w:val="0"/>
        </w:rPr>
        <w:t>而言,毋需以实际损害发生为前提，仅以</w:t>
      </w:r>
      <w:r>
        <w:rPr>
          <w:color w:val="000000"/>
          <w:spacing w:val="0"/>
          <w:w w:val="100"/>
          <w:position w:val="0"/>
          <w:lang w:val="zh-CN" w:eastAsia="zh-CN" w:bidi="zh-CN"/>
        </w:rPr>
        <w:t>“生</w:t>
      </w:r>
      <w:r>
        <w:rPr>
          <w:color w:val="000000"/>
          <w:spacing w:val="0"/>
          <w:w w:val="100"/>
          <w:position w:val="0"/>
        </w:rPr>
        <w:t>产不符合食 品安全标准的食品或者销售明知是不符合食品安全标准的食品</w:t>
      </w:r>
      <w:r>
        <w:rPr>
          <w:color w:val="000000"/>
          <w:spacing w:val="0"/>
          <w:w w:val="100"/>
          <w:position w:val="0"/>
          <w:lang w:val="zh-CN" w:eastAsia="zh-CN" w:bidi="zh-CN"/>
        </w:rPr>
        <w:t>”为</w:t>
      </w:r>
      <w:r>
        <w:rPr>
          <w:color w:val="000000"/>
          <w:spacing w:val="0"/>
          <w:w w:val="100"/>
          <w:position w:val="0"/>
        </w:rPr>
        <w:t>要件，二者的构成要件 要素不具有逻辑上的涵括关系。</w:t>
      </w:r>
    </w:p>
    <w:p w14:paraId="02BF7AA2">
      <w:pPr>
        <w:pStyle w:val="17"/>
        <w:keepNext w:val="0"/>
        <w:keepLines w:val="0"/>
        <w:widowControl w:val="0"/>
        <w:shd w:val="clear" w:color="auto" w:fill="auto"/>
        <w:bidi w:val="0"/>
        <w:spacing w:before="0" w:after="80" w:line="334" w:lineRule="exact"/>
        <w:ind w:left="280" w:right="0" w:firstLine="420"/>
        <w:jc w:val="both"/>
        <w:sectPr>
          <w:headerReference r:id="rId557" w:type="first"/>
          <w:headerReference r:id="rId555" w:type="default"/>
          <w:headerReference r:id="rId556" w:type="even"/>
          <w:footnotePr>
            <w:numFmt w:val="chicago"/>
          </w:footnotePr>
          <w:pgSz w:w="10099" w:h="14782"/>
          <w:pgMar w:top="1259" w:right="925" w:bottom="1018" w:left="886" w:header="0" w:footer="3" w:gutter="0"/>
          <w:pgNumType w:start="475"/>
          <w:cols w:space="720" w:num="1"/>
          <w:titlePg/>
          <w:rtlGutter w:val="0"/>
          <w:docGrid w:linePitch="360" w:charSpace="0"/>
        </w:sectPr>
      </w:pPr>
      <w:r>
        <w:rPr>
          <w:color w:val="000000"/>
          <w:spacing w:val="0"/>
          <w:w w:val="100"/>
          <w:position w:val="0"/>
        </w:rPr>
        <w:t>就法律特性而论，缺陷产品与不安全食品是一种交叉重叠关系,不符合安全标准的食 品未必会致人损害，而符合安全标准的食品也有可能致人损害。那么，当不安全食品致人 死亡、健康严重损害时，《食品安全法》第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rPr>
        <w:t>条与原《侵权责任法》第</w:t>
      </w:r>
      <w:r>
        <w:rPr>
          <w:rFonts w:ascii="Times New Roman" w:hAnsi="Times New Roman" w:eastAsia="Times New Roman" w:cs="Times New Roman"/>
          <w:color w:val="000000"/>
          <w:spacing w:val="0"/>
          <w:w w:val="100"/>
          <w:position w:val="0"/>
          <w:sz w:val="17"/>
          <w:szCs w:val="17"/>
        </w:rPr>
        <w:t>47</w:t>
      </w:r>
      <w:r>
        <w:rPr>
          <w:color w:val="000000"/>
          <w:spacing w:val="0"/>
          <w:w w:val="100"/>
          <w:position w:val="0"/>
        </w:rPr>
        <w:t>条出现规范竞合，此</w:t>
      </w:r>
    </w:p>
    <w:p w14:paraId="392DC795">
      <w:pPr>
        <w:pStyle w:val="17"/>
        <w:keepNext w:val="0"/>
        <w:keepLines w:val="0"/>
        <w:widowControl w:val="0"/>
        <w:shd w:val="clear" w:color="auto" w:fill="auto"/>
        <w:tabs>
          <w:tab w:val="left" w:pos="5736"/>
        </w:tabs>
        <w:bidi w:val="0"/>
        <w:spacing w:before="0" w:after="0" w:line="364" w:lineRule="exact"/>
        <w:ind w:left="0" w:right="0" w:firstLine="0"/>
        <w:jc w:val="both"/>
        <w:rPr>
          <w:sz w:val="15"/>
          <w:szCs w:val="15"/>
        </w:rPr>
      </w:pPr>
      <w:r>
        <w:rPr>
          <w:color w:val="000000"/>
          <w:spacing w:val="0"/>
          <w:w w:val="100"/>
          <w:position w:val="0"/>
          <w:sz w:val="18"/>
          <w:szCs w:val="18"/>
        </w:rPr>
        <w:t>时的规范竞合是请求权规范竞合，在没有“特别规范排除一般规范</w:t>
      </w:r>
      <w:r>
        <w:rPr>
          <w:color w:val="000000"/>
          <w:spacing w:val="0"/>
          <w:w w:val="100"/>
          <w:position w:val="0"/>
          <w:sz w:val="18"/>
          <w:szCs w:val="18"/>
          <w:lang w:val="zh-CN" w:eastAsia="zh-CN" w:bidi="zh-CN"/>
        </w:rPr>
        <w:t>”时</w:t>
      </w:r>
      <w:r>
        <w:rPr>
          <w:color w:val="000000"/>
          <w:spacing w:val="0"/>
          <w:w w:val="100"/>
          <w:position w:val="0"/>
          <w:sz w:val="11"/>
          <w:szCs w:val="11"/>
        </w:rPr>
        <w:t>(［德</w:t>
      </w:r>
      <w:r>
        <w:rPr>
          <w:color w:val="000000"/>
          <w:spacing w:val="0"/>
          <w:w w:val="100"/>
          <w:position w:val="0"/>
          <w:sz w:val="11"/>
          <w:szCs w:val="11"/>
          <w:lang w:val="en-US" w:eastAsia="en-US" w:bidi="en-US"/>
        </w:rPr>
        <w:t>］</w:t>
      </w:r>
      <w:r>
        <w:rPr>
          <w:color w:val="000000"/>
          <w:spacing w:val="0"/>
          <w:w w:val="100"/>
          <w:position w:val="0"/>
          <w:sz w:val="11"/>
          <w:szCs w:val="11"/>
        </w:rPr>
        <w:t>迪特尔-施瓦布： 《民法导论》，郑冲译，法律出版社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166</w:t>
      </w:r>
      <w:r>
        <w:rPr>
          <w:color w:val="000000"/>
          <w:spacing w:val="0"/>
          <w:w w:val="100"/>
          <w:position w:val="0"/>
          <w:sz w:val="11"/>
          <w:szCs w:val="11"/>
        </w:rPr>
        <w:t>页)，</w:t>
      </w:r>
      <w:r>
        <w:rPr>
          <w:color w:val="000000"/>
          <w:spacing w:val="0"/>
          <w:w w:val="100"/>
          <w:position w:val="0"/>
          <w:sz w:val="18"/>
          <w:szCs w:val="18"/>
        </w:rPr>
        <w:t xml:space="preserve">当事人有权选择请求权规范，既可以依据 </w:t>
      </w:r>
      <w:r>
        <w:rPr>
          <w:color w:val="000000"/>
          <w:spacing w:val="0"/>
          <w:w w:val="100"/>
          <w:position w:val="0"/>
          <w:sz w:val="18"/>
          <w:szCs w:val="18"/>
          <w:lang w:val="zh-CN" w:eastAsia="zh-CN" w:bidi="zh-CN"/>
        </w:rPr>
        <w:t>“十倍</w:t>
      </w:r>
      <w:r>
        <w:rPr>
          <w:color w:val="000000"/>
          <w:spacing w:val="0"/>
          <w:w w:val="100"/>
          <w:position w:val="0"/>
          <w:sz w:val="18"/>
          <w:szCs w:val="18"/>
        </w:rPr>
        <w:t>赔偿”提出诉讼请求，也可依据</w:t>
      </w:r>
      <w:r>
        <w:rPr>
          <w:color w:val="000000"/>
          <w:spacing w:val="0"/>
          <w:w w:val="100"/>
          <w:position w:val="0"/>
          <w:sz w:val="18"/>
          <w:szCs w:val="18"/>
          <w:lang w:val="zh-CN" w:eastAsia="zh-CN" w:bidi="zh-CN"/>
        </w:rPr>
        <w:t>“产</w:t>
      </w:r>
      <w:r>
        <w:rPr>
          <w:color w:val="000000"/>
          <w:spacing w:val="0"/>
          <w:w w:val="100"/>
          <w:position w:val="0"/>
          <w:sz w:val="18"/>
          <w:szCs w:val="18"/>
        </w:rPr>
        <w:t>品缺陷惩罚性赔偿”提出诉讼请求。对于法院而 言，应当在当事人起诉时将诉讼请求固定，并按照不同构成要件进行审理。当然，也有学者 认为，就不符合食品安全标准的食品类产品致人死亡或健康严重损害的这一情形，两者之 间形成了适用规范并存的局面。此时，无法通过</w:t>
      </w:r>
      <w:r>
        <w:rPr>
          <w:color w:val="000000"/>
          <w:spacing w:val="0"/>
          <w:w w:val="100"/>
          <w:position w:val="0"/>
          <w:sz w:val="18"/>
          <w:szCs w:val="18"/>
          <w:lang w:val="zh-CN" w:eastAsia="zh-CN" w:bidi="zh-CN"/>
        </w:rPr>
        <w:t>“特别</w:t>
      </w:r>
      <w:r>
        <w:rPr>
          <w:color w:val="000000"/>
          <w:spacing w:val="0"/>
          <w:w w:val="100"/>
          <w:position w:val="0"/>
          <w:sz w:val="18"/>
          <w:szCs w:val="18"/>
        </w:rPr>
        <w:t>法优于一般法</w:t>
      </w:r>
      <w:r>
        <w:rPr>
          <w:color w:val="000000"/>
          <w:spacing w:val="0"/>
          <w:w w:val="100"/>
          <w:position w:val="0"/>
          <w:sz w:val="18"/>
          <w:szCs w:val="18"/>
          <w:lang w:val="zh-CN" w:eastAsia="zh-CN" w:bidi="zh-CN"/>
        </w:rPr>
        <w:t>”的</w:t>
      </w:r>
      <w:r>
        <w:rPr>
          <w:color w:val="000000"/>
          <w:spacing w:val="0"/>
          <w:w w:val="100"/>
          <w:position w:val="0"/>
          <w:sz w:val="18"/>
          <w:szCs w:val="18"/>
        </w:rPr>
        <w:t>法律冲突适用规则 解决两者之间的适用关系问题，由当事人选择其中之一适用亦不符合法理,应当直接适用 原《侵权责任法》第</w:t>
      </w:r>
      <w:r>
        <w:rPr>
          <w:rFonts w:ascii="Times New Roman" w:hAnsi="Times New Roman" w:eastAsia="Times New Roman" w:cs="Times New Roman"/>
          <w:color w:val="000000"/>
          <w:spacing w:val="0"/>
          <w:w w:val="100"/>
          <w:position w:val="0"/>
          <w:sz w:val="19"/>
          <w:szCs w:val="19"/>
        </w:rPr>
        <w:t>47</w:t>
      </w:r>
      <w:r>
        <w:rPr>
          <w:color w:val="000000"/>
          <w:spacing w:val="0"/>
          <w:w w:val="100"/>
          <w:position w:val="0"/>
          <w:sz w:val="18"/>
          <w:szCs w:val="18"/>
        </w:rPr>
        <w:t>条的规定</w:t>
      </w:r>
      <w:r>
        <w:rPr>
          <w:color w:val="000000"/>
          <w:spacing w:val="0"/>
          <w:w w:val="100"/>
          <w:position w:val="0"/>
          <w:sz w:val="11"/>
          <w:szCs w:val="11"/>
        </w:rPr>
        <w:t xml:space="preserve">(周江洪:《惩罚性赔偿责任的竞合及其适週——〈侵权责任法〉第 </w:t>
      </w:r>
      <w:r>
        <w:rPr>
          <w:rFonts w:ascii="Times New Roman" w:hAnsi="Times New Roman" w:eastAsia="Times New Roman" w:cs="Times New Roman"/>
          <w:color w:val="000000"/>
          <w:spacing w:val="0"/>
          <w:w w:val="100"/>
          <w:position w:val="0"/>
          <w:sz w:val="17"/>
          <w:szCs w:val="17"/>
        </w:rPr>
        <w:t>47</w:t>
      </w:r>
      <w:r>
        <w:rPr>
          <w:color w:val="000000"/>
          <w:spacing w:val="0"/>
          <w:w w:val="100"/>
          <w:position w:val="0"/>
          <w:sz w:val="11"/>
          <w:szCs w:val="11"/>
        </w:rPr>
        <w:t>条与〈食品安全法〉第</w:t>
      </w:r>
      <w:r>
        <w:rPr>
          <w:rFonts w:ascii="Times New Roman" w:hAnsi="Times New Roman" w:eastAsia="Times New Roman" w:cs="Times New Roman"/>
          <w:color w:val="000000"/>
          <w:spacing w:val="0"/>
          <w:w w:val="100"/>
          <w:position w:val="0"/>
          <w:sz w:val="17"/>
          <w:szCs w:val="17"/>
        </w:rPr>
        <w:t>96</w:t>
      </w:r>
      <w:r>
        <w:rPr>
          <w:color w:val="000000"/>
          <w:spacing w:val="0"/>
          <w:w w:val="100"/>
          <w:position w:val="0"/>
          <w:sz w:val="11"/>
          <w:szCs w:val="11"/>
        </w:rPr>
        <w:t>条第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款之适用关系》，载《法学》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 xml:space="preserve">期) </w:t>
      </w: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sz w:val="18"/>
          <w:szCs w:val="18"/>
        </w:rPr>
        <w:t>惩罚性赔偿的规范适用</w:t>
      </w:r>
      <w:r>
        <w:rPr>
          <w:color w:val="000000"/>
          <w:spacing w:val="0"/>
          <w:w w:val="100"/>
          <w:position w:val="0"/>
          <w:sz w:val="18"/>
          <w:szCs w:val="18"/>
        </w:rPr>
        <w:tab/>
      </w:r>
      <w:r>
        <w:rPr>
          <w:rFonts w:ascii="Times New Roman" w:hAnsi="Times New Roman" w:eastAsia="Times New Roman" w:cs="Times New Roman"/>
          <w:i/>
          <w:iCs/>
          <w:color w:val="000000"/>
          <w:spacing w:val="0"/>
          <w:w w:val="100"/>
          <w:position w:val="0"/>
          <w:sz w:val="15"/>
          <w:szCs w:val="15"/>
        </w:rPr>
        <w:t>I</w:t>
      </w:r>
    </w:p>
    <w:p w14:paraId="599D8054">
      <w:pPr>
        <w:pStyle w:val="17"/>
        <w:keepNext w:val="0"/>
        <w:keepLines w:val="0"/>
        <w:widowControl w:val="0"/>
        <w:shd w:val="clear" w:color="auto" w:fill="auto"/>
        <w:tabs>
          <w:tab w:val="left" w:pos="5736"/>
        </w:tabs>
        <w:bidi w:val="0"/>
        <w:spacing w:before="0" w:after="0" w:line="374" w:lineRule="auto"/>
        <w:ind w:left="0" w:right="0" w:firstLine="420"/>
        <w:jc w:val="both"/>
      </w:pP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rPr>
        <w:t>.如何辨识“十倍”</w:t>
      </w:r>
      <w:r>
        <w:rPr>
          <w:color w:val="000000"/>
          <w:spacing w:val="0"/>
          <w:w w:val="100"/>
          <w:position w:val="0"/>
        </w:rPr>
        <w:tab/>
      </w:r>
      <w:r>
        <w:rPr>
          <w:color w:val="000000"/>
          <w:spacing w:val="0"/>
          <w:w w:val="100"/>
          <w:position w:val="0"/>
          <w:lang w:val="en-US" w:eastAsia="en-US" w:bidi="en-US"/>
        </w:rPr>
        <w:t>*</w:t>
      </w:r>
    </w:p>
    <w:p w14:paraId="5E645DA1">
      <w:pPr>
        <w:pStyle w:val="17"/>
        <w:keepNext w:val="0"/>
        <w:keepLines w:val="0"/>
        <w:widowControl w:val="0"/>
        <w:shd w:val="clear" w:color="auto" w:fill="auto"/>
        <w:bidi w:val="0"/>
        <w:spacing w:before="0" w:after="140" w:line="340" w:lineRule="exact"/>
        <w:ind w:left="0" w:right="0" w:firstLine="420"/>
        <w:jc w:val="both"/>
      </w:pPr>
      <w:r>
        <w:rPr>
          <w:color w:val="000000"/>
          <w:spacing w:val="0"/>
          <w:w w:val="100"/>
          <w:position w:val="0"/>
        </w:rPr>
        <w:t>如前所述，填补性赔偿责任与惩罚性赔偿责任是两个独立的请求权规范，分别看敬</w:t>
      </w:r>
      <w:r>
        <w:rPr>
          <w:color w:val="000000"/>
          <w:spacing w:val="0"/>
          <w:w w:val="100"/>
          <w:position w:val="0"/>
          <w:vertAlign w:val="superscript"/>
        </w:rPr>
        <w:t xml:space="preserve">4 </w:t>
      </w:r>
      <w:r>
        <w:rPr>
          <w:color w:val="000000"/>
          <w:spacing w:val="0"/>
          <w:w w:val="100"/>
          <w:position w:val="0"/>
        </w:rPr>
        <w:t>的构成要件。其中，惩罚性赔偿作为一种法定责任，决定了其只能“赔</w:t>
      </w:r>
      <w:r>
        <w:rPr>
          <w:color w:val="000000"/>
          <w:spacing w:val="0"/>
          <w:w w:val="100"/>
          <w:position w:val="0"/>
          <w:lang w:val="zh-CN" w:eastAsia="zh-CN" w:bidi="zh-CN"/>
        </w:rPr>
        <w:t>”不能“退”，这</w:t>
      </w:r>
      <w:r>
        <w:rPr>
          <w:color w:val="000000"/>
          <w:spacing w:val="0"/>
          <w:w w:val="100"/>
          <w:position w:val="0"/>
        </w:rPr>
        <w:t>是因为 退货或者退款都是合同解除效力的体现，只应该发生在合同之债的语境之中。在适用《食 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款时,是否退还价款不影响</w:t>
      </w:r>
      <w:r>
        <w:rPr>
          <w:color w:val="000000"/>
          <w:spacing w:val="0"/>
          <w:w w:val="100"/>
          <w:position w:val="0"/>
          <w:lang w:val="zh-CN" w:eastAsia="zh-CN" w:bidi="zh-CN"/>
        </w:rPr>
        <w:t>“十倍</w:t>
      </w:r>
      <w:r>
        <w:rPr>
          <w:color w:val="000000"/>
          <w:spacing w:val="0"/>
          <w:w w:val="100"/>
          <w:position w:val="0"/>
        </w:rPr>
        <w:t>赔偿”责任的成立。</w:t>
      </w:r>
    </w:p>
    <w:p w14:paraId="14BA3044">
      <w:pPr>
        <w:pStyle w:val="17"/>
        <w:keepNext w:val="0"/>
        <w:keepLines w:val="0"/>
        <w:widowControl w:val="0"/>
        <w:shd w:val="clear" w:color="auto" w:fill="auto"/>
        <w:bidi w:val="0"/>
        <w:spacing w:before="0" w:after="0" w:line="374" w:lineRule="auto"/>
        <w:ind w:left="0" w:right="0" w:firstLine="420"/>
        <w:jc w:val="both"/>
      </w:pPr>
      <w:r>
        <w:rPr>
          <w:rFonts w:ascii="Times New Roman" w:hAnsi="Times New Roman" w:eastAsia="Times New Roman" w:cs="Times New Roman"/>
          <w:color w:val="000000"/>
          <w:spacing w:val="0"/>
          <w:w w:val="100"/>
          <w:position w:val="0"/>
          <w:sz w:val="19"/>
          <w:szCs w:val="19"/>
        </w:rPr>
        <w:t>2</w:t>
      </w:r>
      <w:r>
        <w:rPr>
          <w:color w:val="000000"/>
          <w:spacing w:val="0"/>
          <w:w w:val="100"/>
          <w:position w:val="0"/>
        </w:rPr>
        <w:t>.如何辨识“明知”</w:t>
      </w:r>
    </w:p>
    <w:p w14:paraId="5B7C3311">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首先</w:t>
      </w:r>
      <w:r>
        <w:rPr>
          <w:color w:val="000000"/>
          <w:spacing w:val="0"/>
          <w:w w:val="100"/>
          <w:position w:val="0"/>
          <w:lang w:val="zh-CN" w:eastAsia="zh-CN" w:bidi="zh-CN"/>
        </w:rPr>
        <w:t>，“明</w:t>
      </w:r>
      <w:r>
        <w:rPr>
          <w:color w:val="000000"/>
          <w:spacing w:val="0"/>
          <w:w w:val="100"/>
          <w:position w:val="0"/>
        </w:rPr>
        <w:t>知”只应限定为故意，不包括重大过失。本案裁判文书将明知等同于过错，并 用客观归责的方法(违反法定义务)认定被告符合明知要件。法律将</w:t>
      </w:r>
      <w:r>
        <w:rPr>
          <w:color w:val="000000"/>
          <w:spacing w:val="0"/>
          <w:w w:val="100"/>
          <w:position w:val="0"/>
          <w:lang w:val="zh-CN" w:eastAsia="zh-CN" w:bidi="zh-CN"/>
        </w:rPr>
        <w:t>“明知”作</w:t>
      </w:r>
      <w:r>
        <w:rPr>
          <w:color w:val="000000"/>
          <w:spacing w:val="0"/>
          <w:w w:val="100"/>
          <w:position w:val="0"/>
        </w:rPr>
        <w:t>为惩罚性赔 偿的可归责要件，作为最严苛的民事责任，惩罚性赔偿被各国立法例限定于被告有</w:t>
      </w:r>
      <w:r>
        <w:rPr>
          <w:color w:val="000000"/>
          <w:spacing w:val="0"/>
          <w:w w:val="100"/>
          <w:position w:val="0"/>
          <w:lang w:val="zh-CN" w:eastAsia="zh-CN" w:bidi="zh-CN"/>
        </w:rPr>
        <w:t>“归</w:t>
      </w:r>
      <w:r>
        <w:rPr>
          <w:color w:val="000000"/>
          <w:spacing w:val="0"/>
          <w:w w:val="100"/>
          <w:position w:val="0"/>
        </w:rPr>
        <w:t>责要 件</w:t>
      </w:r>
      <w:r>
        <w:rPr>
          <w:rFonts w:ascii="Times New Roman" w:hAnsi="Times New Roman" w:eastAsia="Times New Roman" w:cs="Times New Roman"/>
          <w:color w:val="000000"/>
          <w:spacing w:val="0"/>
          <w:w w:val="100"/>
          <w:position w:val="0"/>
          <w:sz w:val="19"/>
          <w:szCs w:val="19"/>
          <w:lang w:val="en-US" w:eastAsia="en-US" w:bidi="en-US"/>
        </w:rPr>
        <w:t>"(requisite culpability</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的情形，以凸显惩罚功能。从比较法的视角考察，美国法上的惩罚 性赔偿包括故意和重大过失两种情形</w:t>
      </w:r>
      <w:r>
        <w:rPr>
          <w:rFonts w:ascii="Times New Roman" w:hAnsi="Times New Roman" w:eastAsia="Times New Roman" w:cs="Times New Roman"/>
          <w:color w:val="000000"/>
          <w:spacing w:val="0"/>
          <w:w w:val="100"/>
          <w:position w:val="0"/>
          <w:sz w:val="17"/>
          <w:szCs w:val="17"/>
          <w:lang w:val="en-US" w:eastAsia="en-US" w:bidi="en-US"/>
        </w:rPr>
        <w:t>［See Doe v. Isaacs, 265 Va. 531, 579 S. E. 2d. 174 (2003).</w:t>
      </w:r>
      <w:r>
        <w:rPr>
          <w:color w:val="000000"/>
          <w:spacing w:val="0"/>
          <w:w w:val="100"/>
          <w:position w:val="0"/>
          <w:lang w:val="en-US" w:eastAsia="en-US" w:bidi="en-US"/>
        </w:rPr>
        <w:t>］</w:t>
      </w:r>
      <w:r>
        <w:rPr>
          <w:color w:val="000000"/>
          <w:spacing w:val="0"/>
          <w:w w:val="100"/>
          <w:position w:val="0"/>
        </w:rPr>
        <w:t>，重大过失的情形还须符合其他客观要件，其证据标准要高于一般民事案件</w:t>
      </w:r>
      <w:r>
        <w:rPr>
          <w:rFonts w:ascii="Times New Roman" w:hAnsi="Times New Roman" w:eastAsia="Times New Roman" w:cs="Times New Roman"/>
          <w:color w:val="000000"/>
          <w:spacing w:val="0"/>
          <w:w w:val="100"/>
          <w:position w:val="0"/>
          <w:sz w:val="17"/>
          <w:szCs w:val="17"/>
          <w:lang w:val="en-US" w:eastAsia="en-US" w:bidi="en-US"/>
        </w:rPr>
        <w:t>［See Anthony J. Sebok, Punitive Damages in the United States, in Helmut Koziol, Vanessa Wilcox (eds. ), Pu</w:t>
      </w:r>
      <w:r>
        <w:rPr>
          <w:rFonts w:ascii="Times New Roman" w:hAnsi="Times New Roman" w:eastAsia="Times New Roman" w:cs="Times New Roman"/>
          <w:color w:val="000000"/>
          <w:spacing w:val="0"/>
          <w:w w:val="100"/>
          <w:position w:val="0"/>
          <w:sz w:val="17"/>
          <w:szCs w:val="17"/>
          <w:lang w:val="en-US" w:eastAsia="en-US" w:bidi="en-US"/>
        </w:rPr>
        <w:softHyphen/>
      </w:r>
      <w:r>
        <w:rPr>
          <w:rFonts w:ascii="Times New Roman" w:hAnsi="Times New Roman" w:eastAsia="Times New Roman" w:cs="Times New Roman"/>
          <w:color w:val="000000"/>
          <w:spacing w:val="0"/>
          <w:w w:val="100"/>
          <w:position w:val="0"/>
          <w:sz w:val="17"/>
          <w:szCs w:val="17"/>
          <w:lang w:val="en-US" w:eastAsia="en-US" w:bidi="en-US"/>
        </w:rPr>
        <w:t>nitive Damages</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000000"/>
          <w:spacing w:val="0"/>
          <w:w w:val="100"/>
          <w:position w:val="0"/>
          <w:sz w:val="17"/>
          <w:szCs w:val="17"/>
          <w:lang w:val="en-US" w:eastAsia="en-US" w:bidi="en-US"/>
        </w:rPr>
        <w:t xml:space="preserve">Common Law and Civil Law Perspectives, Spinger Wien New York, 2009, pp. 181 </w:t>
      </w:r>
      <w:r>
        <w:rPr>
          <w:rFonts w:ascii="Times New Roman" w:hAnsi="Times New Roman" w:eastAsia="Times New Roman" w:cs="Times New Roman"/>
          <w:color w:val="000000"/>
          <w:spacing w:val="0"/>
          <w:w w:val="100"/>
          <w:position w:val="0"/>
          <w:sz w:val="17"/>
          <w:szCs w:val="17"/>
        </w:rPr>
        <w:t xml:space="preserve">- </w:t>
      </w:r>
      <w:r>
        <w:rPr>
          <w:rFonts w:ascii="Times New Roman" w:hAnsi="Times New Roman" w:eastAsia="Times New Roman" w:cs="Times New Roman"/>
          <w:color w:val="000000"/>
          <w:spacing w:val="0"/>
          <w:w w:val="100"/>
          <w:position w:val="0"/>
          <w:sz w:val="17"/>
          <w:szCs w:val="17"/>
          <w:lang w:val="en-US" w:eastAsia="en-US" w:bidi="en-US"/>
        </w:rPr>
        <w:t>186. ］</w:t>
      </w:r>
      <w:r>
        <w:rPr>
          <w:rFonts w:ascii="Times New Roman" w:hAnsi="Times New Roman" w:eastAsia="Times New Roman" w:cs="Times New Roman"/>
          <w:color w:val="000000"/>
          <w:spacing w:val="0"/>
          <w:w w:val="100"/>
          <w:position w:val="0"/>
          <w:sz w:val="17"/>
          <w:szCs w:val="17"/>
          <w:vertAlign w:val="subscript"/>
          <w:lang w:val="en-US" w:eastAsia="en-US" w:bidi="en-US"/>
        </w:rPr>
        <w:t>o</w:t>
      </w:r>
      <w:r>
        <w:rPr>
          <w:color w:val="000000"/>
          <w:spacing w:val="0"/>
          <w:w w:val="100"/>
          <w:position w:val="0"/>
        </w:rPr>
        <w:t>中国法应当将重大过失排除于惩罚性赔偿的适用范围之外。首要的理由是，把</w:t>
      </w:r>
      <w:r>
        <w:rPr>
          <w:color w:val="000000"/>
          <w:spacing w:val="0"/>
          <w:w w:val="100"/>
          <w:position w:val="0"/>
          <w:lang w:val="zh-CN" w:eastAsia="zh-CN" w:bidi="zh-CN"/>
        </w:rPr>
        <w:t xml:space="preserve">“明 </w:t>
      </w:r>
      <w:r>
        <w:rPr>
          <w:color w:val="000000"/>
          <w:spacing w:val="0"/>
          <w:w w:val="100"/>
          <w:position w:val="0"/>
        </w:rPr>
        <w:t>知</w:t>
      </w:r>
      <w:r>
        <w:rPr>
          <w:color w:val="000000"/>
          <w:spacing w:val="0"/>
          <w:w w:val="100"/>
          <w:position w:val="0"/>
          <w:lang w:val="zh-CN" w:eastAsia="zh-CN" w:bidi="zh-CN"/>
        </w:rPr>
        <w:t>”限定</w:t>
      </w:r>
      <w:r>
        <w:rPr>
          <w:color w:val="000000"/>
          <w:spacing w:val="0"/>
          <w:w w:val="100"/>
          <w:position w:val="0"/>
        </w:rPr>
        <w:t>为故意范畴,可以体现对惩罚性赔偿的慎用原则，方能最大效用地发挥该制度的吓 阻功能。包括重大过失行为在内的过失侵权者，纵然违反了各种程度的注意义务,但在主 观上并不追求损害事实的发生，在令其承担填补性责任的同时，强迫其承担惩罚性责任，属 于法经济学所言之</w:t>
      </w:r>
      <w:r>
        <w:rPr>
          <w:color w:val="000000"/>
          <w:spacing w:val="0"/>
          <w:w w:val="100"/>
          <w:position w:val="0"/>
          <w:lang w:val="zh-CN" w:eastAsia="zh-CN" w:bidi="zh-CN"/>
        </w:rPr>
        <w:t>“过</w:t>
      </w:r>
      <w:r>
        <w:rPr>
          <w:color w:val="000000"/>
          <w:spacing w:val="0"/>
          <w:w w:val="100"/>
          <w:position w:val="0"/>
        </w:rPr>
        <w:t>度震慑</w:t>
      </w:r>
      <w:r>
        <w:rPr>
          <w:rFonts w:ascii="Times New Roman" w:hAnsi="Times New Roman" w:eastAsia="Times New Roman" w:cs="Times New Roman"/>
          <w:color w:val="000000"/>
          <w:spacing w:val="0"/>
          <w:w w:val="100"/>
          <w:position w:val="0"/>
          <w:sz w:val="19"/>
          <w:szCs w:val="19"/>
          <w:lang w:val="en-US" w:eastAsia="en-US" w:bidi="en-US"/>
        </w:rPr>
        <w:t>"(Uberabschreckung)</w:t>
      </w:r>
      <w:r>
        <w:rPr>
          <w:color w:val="000000"/>
          <w:spacing w:val="0"/>
          <w:w w:val="100"/>
          <w:position w:val="0"/>
        </w:rPr>
        <w:t>，淡化了惩罚性赔偿制度的效率原则。</w:t>
      </w:r>
    </w:p>
    <w:p w14:paraId="17F6BF6F">
      <w:pPr>
        <w:pStyle w:val="25"/>
        <w:keepNext w:val="0"/>
        <w:keepLines w:val="0"/>
        <w:widowControl w:val="0"/>
        <w:shd w:val="clear" w:color="auto" w:fill="auto"/>
        <w:bidi w:val="0"/>
        <w:spacing w:before="0" w:after="0" w:line="337" w:lineRule="exact"/>
        <w:ind w:left="0" w:right="0" w:firstLine="420"/>
        <w:jc w:val="both"/>
        <w:sectPr>
          <w:headerReference r:id="rId558" w:type="default"/>
          <w:headerReference r:id="rId559" w:type="even"/>
          <w:footnotePr>
            <w:numFmt w:val="chicago"/>
          </w:footnotePr>
          <w:pgSz w:w="10099" w:h="14782"/>
          <w:pgMar w:top="1259" w:right="925" w:bottom="1018" w:left="886" w:header="0" w:footer="590" w:gutter="0"/>
          <w:pgNumType w:start="493"/>
          <w:cols w:space="720" w:num="1"/>
          <w:rtlGutter w:val="0"/>
          <w:docGrid w:linePitch="360" w:charSpace="0"/>
        </w:sectPr>
      </w:pPr>
      <w:r>
        <w:rPr>
          <w:rFonts w:ascii="宋体" w:hAnsi="宋体" w:eastAsia="宋体" w:cs="宋体"/>
          <w:color w:val="000000"/>
          <w:spacing w:val="0"/>
          <w:w w:val="100"/>
          <w:position w:val="0"/>
          <w:sz w:val="18"/>
          <w:szCs w:val="18"/>
          <w:lang w:val="zh-TW" w:eastAsia="zh-TW" w:bidi="zh-TW"/>
        </w:rPr>
        <w:t>其次，违反法定义务不等于“明知”。类似判决蕴含着如下的逻辑链条:违反法定义务一 具有主观过错</w:t>
      </w:r>
      <w:r>
        <w:rPr>
          <w:rFonts w:ascii="宋体" w:hAnsi="宋体" w:eastAsia="宋体" w:cs="宋体"/>
          <w:color w:val="000000"/>
          <w:spacing w:val="0"/>
          <w:w w:val="100"/>
          <w:position w:val="0"/>
          <w:sz w:val="18"/>
          <w:szCs w:val="18"/>
          <w:lang w:val="en-US" w:eastAsia="en-US" w:bidi="en-US"/>
        </w:rPr>
        <w:t>-</w:t>
      </w:r>
      <w:r>
        <w:rPr>
          <w:rFonts w:ascii="宋体" w:hAnsi="宋体" w:eastAsia="宋体" w:cs="宋体"/>
          <w:color w:val="000000"/>
          <w:spacing w:val="0"/>
          <w:w w:val="100"/>
          <w:position w:val="0"/>
          <w:sz w:val="18"/>
          <w:szCs w:val="18"/>
          <w:lang w:val="zh-TW" w:eastAsia="zh-TW" w:bidi="zh-TW"/>
        </w:rPr>
        <w:t>认定为明知一判令承担惩罚性赔偿责任。在此逻辑链条中的错漏在于将 违反法定义务等同于</w:t>
      </w:r>
      <w:r>
        <w:rPr>
          <w:rFonts w:ascii="宋体" w:hAnsi="宋体" w:eastAsia="宋体" w:cs="宋体"/>
          <w:color w:val="000000"/>
          <w:spacing w:val="0"/>
          <w:w w:val="100"/>
          <w:position w:val="0"/>
          <w:sz w:val="18"/>
          <w:szCs w:val="18"/>
          <w:lang w:val="zh-CN" w:eastAsia="zh-CN" w:bidi="zh-CN"/>
        </w:rPr>
        <w:t>“明知”，是</w:t>
      </w:r>
      <w:r>
        <w:rPr>
          <w:rFonts w:ascii="宋体" w:hAnsi="宋体" w:eastAsia="宋体" w:cs="宋体"/>
          <w:color w:val="000000"/>
          <w:spacing w:val="0"/>
          <w:w w:val="100"/>
          <w:position w:val="0"/>
          <w:sz w:val="18"/>
          <w:szCs w:val="18"/>
          <w:lang w:val="zh-TW" w:eastAsia="zh-TW" w:bidi="zh-TW"/>
        </w:rPr>
        <w:t>混淆了过错形态的区分。</w:t>
      </w:r>
      <w:r>
        <w:rPr>
          <w:rFonts w:ascii="宋体" w:hAnsi="宋体" w:eastAsia="宋体" w:cs="宋体"/>
          <w:color w:val="000000"/>
          <w:spacing w:val="0"/>
          <w:w w:val="100"/>
          <w:position w:val="0"/>
          <w:sz w:val="18"/>
          <w:szCs w:val="18"/>
          <w:lang w:val="zh-CN" w:eastAsia="zh-CN" w:bidi="zh-CN"/>
        </w:rPr>
        <w:t>“惩</w:t>
      </w:r>
      <w:r>
        <w:rPr>
          <w:rFonts w:ascii="宋体" w:hAnsi="宋体" w:eastAsia="宋体" w:cs="宋体"/>
          <w:color w:val="000000"/>
          <w:spacing w:val="0"/>
          <w:w w:val="100"/>
          <w:position w:val="0"/>
          <w:sz w:val="18"/>
          <w:szCs w:val="18"/>
          <w:lang w:val="zh-TW" w:eastAsia="zh-TW" w:bidi="zh-TW"/>
        </w:rPr>
        <w:t xml:space="preserve">罚性赔偿必须以侵权人的过 错形态为故意时方可适用” </w:t>
      </w:r>
      <w:r>
        <w:rPr>
          <w:rFonts w:ascii="Times New Roman" w:hAnsi="Times New Roman" w:eastAsia="Times New Roman" w:cs="Times New Roman"/>
          <w:color w:val="000000"/>
          <w:spacing w:val="0"/>
          <w:w w:val="100"/>
          <w:position w:val="0"/>
          <w:lang w:val="en-US" w:eastAsia="en-US" w:bidi="en-US"/>
        </w:rPr>
        <w:t>［See Anthony J. Sebok, Punitive Damages in the United States, in Helmut Koziol, Vanessa Wilcox (eds. ) , Punitive Damages</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Common Law and Civil Law Perspectives, Spinger Wien New York, 2009, p. 343. ］ </w:t>
      </w:r>
      <w:r>
        <w:rPr>
          <w:rFonts w:ascii="Times New Roman" w:hAnsi="Times New Roman" w:eastAsia="Times New Roman" w:cs="Times New Roman"/>
          <w:color w:val="000000"/>
          <w:spacing w:val="0"/>
          <w:w w:val="100"/>
          <w:position w:val="0"/>
          <w:vertAlign w:val="subscript"/>
          <w:lang w:val="en-US" w:eastAsia="en-US" w:bidi="en-US"/>
        </w:rPr>
        <w:t>o</w:t>
      </w:r>
      <w:r>
        <w:rPr>
          <w:rFonts w:ascii="宋体" w:hAnsi="宋体" w:eastAsia="宋体" w:cs="宋体"/>
          <w:color w:val="000000"/>
          <w:spacing w:val="0"/>
          <w:w w:val="100"/>
          <w:position w:val="0"/>
          <w:sz w:val="18"/>
          <w:szCs w:val="18"/>
          <w:lang w:val="zh-TW" w:eastAsia="zh-TW" w:bidi="zh-TW"/>
        </w:rPr>
        <w:t>私法意义上的故意，是指</w:t>
      </w:r>
      <w:r>
        <w:rPr>
          <w:rFonts w:ascii="宋体" w:hAnsi="宋体" w:eastAsia="宋体" w:cs="宋体"/>
          <w:color w:val="000000"/>
          <w:spacing w:val="0"/>
          <w:w w:val="100"/>
          <w:position w:val="0"/>
          <w:sz w:val="18"/>
          <w:szCs w:val="18"/>
          <w:lang w:val="zh-CN" w:eastAsia="zh-CN" w:bidi="zh-CN"/>
        </w:rPr>
        <w:t>“有</w:t>
      </w:r>
      <w:r>
        <w:rPr>
          <w:rFonts w:ascii="宋体" w:hAnsi="宋体" w:eastAsia="宋体" w:cs="宋体"/>
          <w:color w:val="000000"/>
          <w:spacing w:val="0"/>
          <w:w w:val="100"/>
          <w:position w:val="0"/>
          <w:sz w:val="18"/>
          <w:szCs w:val="18"/>
          <w:lang w:val="zh-TW" w:eastAsia="zh-TW" w:bidi="zh-TW"/>
        </w:rPr>
        <w:t>预谋的不当行为”</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dolus, in</w:t>
      </w:r>
      <w:r>
        <w:rPr>
          <w:rFonts w:ascii="Times New Roman" w:hAnsi="Times New Roman" w:eastAsia="Times New Roman" w:cs="Times New Roman"/>
          <w:color w:val="000000"/>
          <w:spacing w:val="0"/>
          <w:w w:val="100"/>
          <w:position w:val="0"/>
          <w:lang w:val="en-US" w:eastAsia="en-US" w:bidi="en-US"/>
        </w:rPr>
        <w:softHyphen/>
      </w:r>
    </w:p>
    <w:p w14:paraId="12F6774E">
      <w:pPr>
        <w:pStyle w:val="25"/>
        <w:keepNext w:val="0"/>
        <w:keepLines w:val="0"/>
        <w:widowControl w:val="0"/>
        <w:shd w:val="clear" w:color="auto" w:fill="auto"/>
        <w:bidi w:val="0"/>
        <w:spacing w:before="0" w:after="0" w:line="337" w:lineRule="exact"/>
        <w:ind w:left="0" w:right="0" w:firstLine="0"/>
        <w:jc w:val="both"/>
        <w:rPr>
          <w:sz w:val="18"/>
          <w:szCs w:val="18"/>
        </w:rPr>
      </w:pPr>
      <w:r>
        <w:rPr>
          <w:rStyle w:val="16"/>
          <w:rFonts w:ascii="Times New Roman" w:hAnsi="Times New Roman" w:eastAsia="Times New Roman" w:cs="Times New Roman"/>
          <w:b w:val="0"/>
          <w:bCs w:val="0"/>
          <w:i w:val="0"/>
          <w:iCs w:val="0"/>
          <w:smallCaps w:val="0"/>
          <w:strike w:val="0"/>
          <w:sz w:val="17"/>
          <w:szCs w:val="17"/>
          <w:lang w:val="en-US" w:eastAsia="en-US" w:bidi="en-US"/>
        </w:rPr>
        <w:t>tent)</w:t>
      </w:r>
      <w:r>
        <w:rPr>
          <w:rStyle w:val="16"/>
          <w:b w:val="0"/>
          <w:bCs w:val="0"/>
          <w:i w:val="0"/>
          <w:iCs w:val="0"/>
          <w:smallCaps w:val="0"/>
          <w:strike w:val="0"/>
          <w:sz w:val="11"/>
          <w:szCs w:val="11"/>
        </w:rPr>
        <w:t>(欧洲侵权法小组编著:《欧洲侵权法原则：文本与评注》，于敏、谢鸿飞译，法律出版社</w:t>
      </w:r>
      <w:r>
        <w:rPr>
          <w:rStyle w:val="16"/>
          <w:rFonts w:ascii="Times New Roman" w:hAnsi="Times New Roman" w:eastAsia="Times New Roman" w:cs="Times New Roman"/>
          <w:b w:val="0"/>
          <w:bCs w:val="0"/>
          <w:i w:val="0"/>
          <w:iCs w:val="0"/>
          <w:smallCaps w:val="0"/>
          <w:strike w:val="0"/>
          <w:sz w:val="17"/>
          <w:szCs w:val="17"/>
        </w:rPr>
        <w:t>2009</w:t>
      </w:r>
      <w:r>
        <w:rPr>
          <w:rStyle w:val="16"/>
          <w:b w:val="0"/>
          <w:bCs w:val="0"/>
          <w:i w:val="0"/>
          <w:iCs w:val="0"/>
          <w:smallCaps w:val="0"/>
          <w:strike w:val="0"/>
          <w:sz w:val="11"/>
          <w:szCs w:val="11"/>
        </w:rPr>
        <w:t>年版, 第</w:t>
      </w:r>
      <w:r>
        <w:rPr>
          <w:rStyle w:val="16"/>
          <w:rFonts w:ascii="Times New Roman" w:hAnsi="Times New Roman" w:eastAsia="Times New Roman" w:cs="Times New Roman"/>
          <w:b w:val="0"/>
          <w:bCs w:val="0"/>
          <w:i w:val="0"/>
          <w:iCs w:val="0"/>
          <w:smallCaps w:val="0"/>
          <w:strike w:val="0"/>
          <w:sz w:val="17"/>
          <w:szCs w:val="17"/>
        </w:rPr>
        <w:t>106</w:t>
      </w:r>
      <w:r>
        <w:rPr>
          <w:rStyle w:val="16"/>
          <w:b w:val="0"/>
          <w:bCs w:val="0"/>
          <w:i w:val="0"/>
          <w:iCs w:val="0"/>
          <w:smallCaps w:val="0"/>
          <w:strike w:val="0"/>
          <w:sz w:val="11"/>
          <w:szCs w:val="11"/>
        </w:rPr>
        <w:t>页)。</w:t>
      </w:r>
      <w:r>
        <w:rPr>
          <w:rStyle w:val="16"/>
          <w:b w:val="0"/>
          <w:bCs w:val="0"/>
          <w:i w:val="0"/>
          <w:iCs w:val="0"/>
          <w:smallCaps w:val="0"/>
          <w:strike w:val="0"/>
        </w:rPr>
        <w:t>由上述定义可以知晓</w:t>
      </w:r>
      <w:r>
        <w:rPr>
          <w:rStyle w:val="16"/>
          <w:b w:val="0"/>
          <w:bCs w:val="0"/>
          <w:i w:val="0"/>
          <w:iCs w:val="0"/>
          <w:smallCaps w:val="0"/>
          <w:strike w:val="0"/>
          <w:lang w:val="zh-CN" w:eastAsia="zh-CN" w:bidi="zh-CN"/>
        </w:rPr>
        <w:t>，“违</w:t>
      </w:r>
      <w:r>
        <w:rPr>
          <w:rStyle w:val="16"/>
          <w:b w:val="0"/>
          <w:bCs w:val="0"/>
          <w:i w:val="0"/>
          <w:iCs w:val="0"/>
          <w:smallCaps w:val="0"/>
          <w:strike w:val="0"/>
        </w:rPr>
        <w:t>反法定义务</w:t>
      </w:r>
      <w:r>
        <w:rPr>
          <w:rStyle w:val="16"/>
          <w:b w:val="0"/>
          <w:bCs w:val="0"/>
          <w:i w:val="0"/>
          <w:iCs w:val="0"/>
          <w:smallCaps w:val="0"/>
          <w:strike w:val="0"/>
          <w:lang w:val="zh-CN" w:eastAsia="zh-CN" w:bidi="zh-CN"/>
        </w:rPr>
        <w:t>”只能</w:t>
      </w:r>
      <w:r>
        <w:rPr>
          <w:rStyle w:val="16"/>
          <w:b w:val="0"/>
          <w:bCs w:val="0"/>
          <w:i w:val="0"/>
          <w:iCs w:val="0"/>
          <w:smallCaps w:val="0"/>
          <w:strike w:val="0"/>
        </w:rPr>
        <w:t>表明行为人存在过失，但并不能据 此认为其属于故意(甚至不能证明存在重大过失)，除非当事人是有意违反法定义务，即前 文所述的“明知故犯”。法院仅将超市的过错认为构成</w:t>
      </w:r>
      <w:r>
        <w:rPr>
          <w:rStyle w:val="16"/>
          <w:b w:val="0"/>
          <w:bCs w:val="0"/>
          <w:i w:val="0"/>
          <w:iCs w:val="0"/>
          <w:smallCaps w:val="0"/>
          <w:strike w:val="0"/>
          <w:lang w:val="zh-CN" w:eastAsia="zh-CN" w:bidi="zh-CN"/>
        </w:rPr>
        <w:t>“明知”，说</w:t>
      </w:r>
      <w:r>
        <w:rPr>
          <w:rStyle w:val="16"/>
          <w:b w:val="0"/>
          <w:bCs w:val="0"/>
          <w:i w:val="0"/>
          <w:iCs w:val="0"/>
          <w:smallCaps w:val="0"/>
          <w:strike w:val="0"/>
        </w:rPr>
        <w:t>理不够充分，法院的论证 说理需要从被告“知道或应当知道</w:t>
      </w:r>
      <w:r>
        <w:rPr>
          <w:rStyle w:val="16"/>
          <w:b w:val="0"/>
          <w:bCs w:val="0"/>
          <w:i w:val="0"/>
          <w:iCs w:val="0"/>
          <w:smallCaps w:val="0"/>
          <w:strike w:val="0"/>
          <w:lang w:val="zh-CN" w:eastAsia="zh-CN" w:bidi="zh-CN"/>
        </w:rPr>
        <w:t>”的</w:t>
      </w:r>
      <w:r>
        <w:rPr>
          <w:rStyle w:val="16"/>
          <w:b w:val="0"/>
          <w:bCs w:val="0"/>
          <w:i w:val="0"/>
          <w:iCs w:val="0"/>
          <w:smallCaps w:val="0"/>
          <w:strike w:val="0"/>
        </w:rPr>
        <w:t>角度加以补强，需考察行为人的过错形态,判定其是 否属于</w:t>
      </w:r>
      <w:r>
        <w:rPr>
          <w:rStyle w:val="16"/>
          <w:b w:val="0"/>
          <w:bCs w:val="0"/>
          <w:i w:val="0"/>
          <w:iCs w:val="0"/>
          <w:smallCaps w:val="0"/>
          <w:strike w:val="0"/>
          <w:lang w:val="zh-CN" w:eastAsia="zh-CN" w:bidi="zh-CN"/>
        </w:rPr>
        <w:t>“有</w:t>
      </w:r>
      <w:r>
        <w:rPr>
          <w:rStyle w:val="16"/>
          <w:b w:val="0"/>
          <w:bCs w:val="0"/>
          <w:i w:val="0"/>
          <w:iCs w:val="0"/>
          <w:smallCaps w:val="0"/>
          <w:strike w:val="0"/>
        </w:rPr>
        <w:t>意为之”。</w:t>
      </w:r>
    </w:p>
    <w:p w14:paraId="75CFA01F">
      <w:pPr>
        <w:pStyle w:val="17"/>
        <w:keepNext w:val="0"/>
        <w:keepLines w:val="0"/>
        <w:widowControl w:val="0"/>
        <w:numPr>
          <w:ilvl w:val="0"/>
          <w:numId w:val="46"/>
        </w:numPr>
        <w:shd w:val="clear" w:color="auto" w:fill="auto"/>
        <w:tabs>
          <w:tab w:val="left" w:pos="702"/>
        </w:tabs>
        <w:bidi w:val="0"/>
        <w:spacing w:before="0" w:after="0" w:line="341" w:lineRule="exact"/>
        <w:ind w:left="0" w:right="0" w:firstLine="420"/>
        <w:jc w:val="both"/>
      </w:pPr>
      <w:bookmarkStart w:id="198" w:name="bookmark618"/>
      <w:bookmarkEnd w:id="198"/>
      <w:r>
        <w:rPr>
          <w:color w:val="000000"/>
          <w:spacing w:val="0"/>
          <w:w w:val="100"/>
          <w:position w:val="0"/>
        </w:rPr>
        <w:t>如何辨识“损失”</w:t>
      </w:r>
    </w:p>
    <w:p w14:paraId="07C52D6B">
      <w:pPr>
        <w:pStyle w:val="17"/>
        <w:keepNext w:val="0"/>
        <w:keepLines w:val="0"/>
        <w:widowControl w:val="0"/>
        <w:shd w:val="clear" w:color="auto" w:fill="auto"/>
        <w:bidi w:val="0"/>
        <w:spacing w:before="0" w:after="0" w:line="341" w:lineRule="exact"/>
        <w:ind w:left="0" w:right="0" w:firstLine="420"/>
        <w:jc w:val="both"/>
      </w:pPr>
      <w:r>
        <w:rPr>
          <w:color w:val="000000"/>
          <w:spacing w:val="0"/>
          <w:w w:val="100"/>
          <w:position w:val="0"/>
        </w:rPr>
        <w:t>如前所述,《食品安全法》第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条的惩罚性赔偿责任与填补性赔偿责任并行不悖,各自 赋予当事人独立的请求权，因此</w:t>
      </w:r>
      <w:r>
        <w:rPr>
          <w:color w:val="000000"/>
          <w:spacing w:val="0"/>
          <w:w w:val="100"/>
          <w:position w:val="0"/>
          <w:lang w:val="zh-CN" w:eastAsia="zh-CN" w:bidi="zh-CN"/>
        </w:rPr>
        <w:t>“十</w:t>
      </w:r>
      <w:r>
        <w:rPr>
          <w:color w:val="000000"/>
          <w:spacing w:val="0"/>
          <w:w w:val="100"/>
          <w:position w:val="0"/>
        </w:rPr>
        <w:t>倍规范</w:t>
      </w:r>
      <w:r>
        <w:rPr>
          <w:color w:val="000000"/>
          <w:spacing w:val="0"/>
          <w:w w:val="100"/>
          <w:position w:val="0"/>
          <w:lang w:val="zh-CN" w:eastAsia="zh-CN" w:bidi="zh-CN"/>
        </w:rPr>
        <w:t>”的适</w:t>
      </w:r>
      <w:r>
        <w:rPr>
          <w:color w:val="000000"/>
          <w:spacing w:val="0"/>
          <w:w w:val="100"/>
          <w:position w:val="0"/>
        </w:rPr>
        <w:t>用毋需以实际损害为前提。在中国立法者 缺乏体系化民法规则的情况下从普通法借鉴</w:t>
      </w:r>
      <w:r>
        <w:rPr>
          <w:rFonts w:ascii="Times New Roman" w:hAnsi="Times New Roman" w:eastAsia="Times New Roman" w:cs="Times New Roman"/>
          <w:color w:val="000000"/>
          <w:spacing w:val="0"/>
          <w:w w:val="100"/>
          <w:position w:val="0"/>
          <w:sz w:val="19"/>
          <w:szCs w:val="19"/>
          <w:lang w:val="en-US" w:eastAsia="en-US" w:bidi="en-US"/>
        </w:rPr>
        <w:t>“punitive damages</w:t>
      </w:r>
      <w:r>
        <w:rPr>
          <w:color w:val="000000"/>
          <w:spacing w:val="0"/>
          <w:w w:val="100"/>
          <w:position w:val="0"/>
        </w:rPr>
        <w:t>”概念</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Victor E. Schwartz, Kathryn Kelly, David F. Partlett, Torts</w:t>
      </w:r>
      <w:r>
        <w:rPr>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 xml:space="preserve"> Cases and Materials (twelfth edition) , Foundation Press, 2010, p.568.］,</w:t>
      </w:r>
      <w:r>
        <w:rPr>
          <w:color w:val="000000"/>
          <w:spacing w:val="0"/>
          <w:w w:val="100"/>
          <w:position w:val="0"/>
        </w:rPr>
        <w:t>是改革开放中期用立法惩治混乱市场秩序的实用主义做法。正因如此，惩罚性赔 偿的内涵与传统的损害赔偿法并未对接，也与普通法中的</w:t>
      </w:r>
      <w:r>
        <w:rPr>
          <w:rFonts w:ascii="Times New Roman" w:hAnsi="Times New Roman" w:eastAsia="Times New Roman" w:cs="Times New Roman"/>
          <w:color w:val="000000"/>
          <w:spacing w:val="0"/>
          <w:w w:val="100"/>
          <w:position w:val="0"/>
          <w:sz w:val="19"/>
          <w:szCs w:val="19"/>
          <w:lang w:val="en-US" w:eastAsia="en-US" w:bidi="en-US"/>
        </w:rPr>
        <w:t>“punitive damages</w:t>
      </w:r>
      <w:r>
        <w:rPr>
          <w:rFonts w:ascii="Times New Roman" w:hAnsi="Times New Roman" w:eastAsia="Times New Roman" w:cs="Times New Roman"/>
          <w:color w:val="000000"/>
          <w:spacing w:val="0"/>
          <w:w w:val="100"/>
          <w:position w:val="0"/>
          <w:sz w:val="19"/>
          <w:szCs w:val="19"/>
          <w:vertAlign w:val="superscript"/>
          <w:lang w:val="en-US" w:eastAsia="en-US" w:bidi="en-US"/>
        </w:rPr>
        <w:t>u</w:t>
      </w:r>
      <w:r>
        <w:rPr>
          <w:rFonts w:ascii="Times New Roman" w:hAnsi="Times New Roman" w:eastAsia="Times New Roman" w:cs="Times New Roman"/>
          <w:color w:val="000000"/>
          <w:spacing w:val="0"/>
          <w:w w:val="100"/>
          <w:position w:val="0"/>
          <w:sz w:val="19"/>
          <w:szCs w:val="19"/>
          <w:lang w:val="en-US" w:eastAsia="en-US" w:bidi="en-US"/>
        </w:rPr>
        <w:t>aggravated damages"</w:t>
      </w:r>
      <w:r>
        <w:rPr>
          <w:color w:val="000000"/>
          <w:spacing w:val="0"/>
          <w:w w:val="100"/>
          <w:position w:val="0"/>
        </w:rPr>
        <w:t xml:space="preserve">等概念并不完全吻合。中国法上惩罚性赔偿的制度机能着眼于对市场欺诈行为 的惩处，在最初的规则设计上与受害人损失、行为人恶意程度完全脱钩，是一种事先定值 </w:t>
      </w:r>
      <w:r>
        <w:rPr>
          <w:rFonts w:ascii="Times New Roman" w:hAnsi="Times New Roman" w:eastAsia="Times New Roman" w:cs="Times New Roman"/>
          <w:color w:val="000000"/>
          <w:spacing w:val="0"/>
          <w:w w:val="100"/>
          <w:position w:val="0"/>
          <w:sz w:val="19"/>
          <w:szCs w:val="19"/>
          <w:lang w:val="en-US" w:eastAsia="en-US" w:bidi="en-US"/>
        </w:rPr>
        <w:t>(pre-estimate</w:t>
      </w:r>
      <w:r>
        <w:rPr>
          <w:rFonts w:ascii="Times New Roman" w:hAnsi="Times New Roman" w:eastAsia="Times New Roman" w:cs="Times New Roman"/>
          <w:color w:val="000000"/>
          <w:spacing w:val="0"/>
          <w:w w:val="100"/>
          <w:position w:val="0"/>
          <w:sz w:val="19"/>
          <w:szCs w:val="19"/>
        </w:rPr>
        <w:t>)</w:t>
      </w:r>
      <w:r>
        <w:rPr>
          <w:color w:val="000000"/>
          <w:spacing w:val="0"/>
          <w:w w:val="100"/>
          <w:position w:val="0"/>
        </w:rPr>
        <w:t>的处罚，名为</w:t>
      </w:r>
      <w:r>
        <w:rPr>
          <w:color w:val="000000"/>
          <w:spacing w:val="0"/>
          <w:w w:val="100"/>
          <w:position w:val="0"/>
          <w:lang w:val="zh-CN" w:eastAsia="zh-CN" w:bidi="zh-CN"/>
        </w:rPr>
        <w:t>“赔偿</w:t>
      </w:r>
      <w:r>
        <w:rPr>
          <w:color w:val="000000"/>
          <w:spacing w:val="0"/>
          <w:w w:val="100"/>
          <w:position w:val="0"/>
        </w:rPr>
        <w:t>金</w:t>
      </w:r>
      <w:r>
        <w:rPr>
          <w:color w:val="000000"/>
          <w:spacing w:val="0"/>
          <w:w w:val="100"/>
          <w:position w:val="0"/>
          <w:lang w:val="zh-CN" w:eastAsia="zh-CN" w:bidi="zh-CN"/>
        </w:rPr>
        <w:t>”，实</w:t>
      </w:r>
      <w:r>
        <w:rPr>
          <w:color w:val="000000"/>
          <w:spacing w:val="0"/>
          <w:w w:val="100"/>
          <w:position w:val="0"/>
        </w:rPr>
        <w:t>为“制裁金</w:t>
      </w:r>
      <w:r>
        <w:rPr>
          <w:color w:val="000000"/>
          <w:spacing w:val="0"/>
          <w:w w:val="100"/>
          <w:position w:val="0"/>
          <w:lang w:val="zh-CN" w:eastAsia="zh-CN" w:bidi="zh-CN"/>
        </w:rPr>
        <w:t>”，与</w:t>
      </w:r>
      <w:r>
        <w:rPr>
          <w:color w:val="000000"/>
          <w:spacing w:val="0"/>
          <w:w w:val="100"/>
          <w:position w:val="0"/>
        </w:rPr>
        <w:t>古典民法上的损害赔偿原则没有 关联。</w:t>
      </w:r>
    </w:p>
    <w:p w14:paraId="78F3CFC8">
      <w:pPr>
        <w:pStyle w:val="17"/>
        <w:keepNext w:val="0"/>
        <w:keepLines w:val="0"/>
        <w:widowControl w:val="0"/>
        <w:numPr>
          <w:ilvl w:val="0"/>
          <w:numId w:val="46"/>
        </w:numPr>
        <w:shd w:val="clear" w:color="auto" w:fill="auto"/>
        <w:tabs>
          <w:tab w:val="left" w:pos="704"/>
        </w:tabs>
        <w:bidi w:val="0"/>
        <w:spacing w:before="0" w:after="0" w:line="341" w:lineRule="exact"/>
        <w:ind w:left="0" w:right="0" w:firstLine="420"/>
        <w:jc w:val="both"/>
      </w:pPr>
      <w:bookmarkStart w:id="199" w:name="bookmark619"/>
      <w:bookmarkEnd w:id="199"/>
      <w:r>
        <w:rPr>
          <w:color w:val="000000"/>
          <w:spacing w:val="0"/>
          <w:w w:val="100"/>
          <w:position w:val="0"/>
        </w:rPr>
        <w:t>法律规范的变化</w:t>
      </w:r>
    </w:p>
    <w:p w14:paraId="0BF6B576">
      <w:pPr>
        <w:pStyle w:val="17"/>
        <w:keepNext w:val="0"/>
        <w:keepLines w:val="0"/>
        <w:widowControl w:val="0"/>
        <w:shd w:val="clear" w:color="auto" w:fill="auto"/>
        <w:bidi w:val="0"/>
        <w:spacing w:before="0" w:after="360" w:line="341" w:lineRule="exact"/>
        <w:ind w:left="0" w:right="0" w:firstLine="420"/>
        <w:jc w:val="both"/>
      </w:pPr>
      <w:r>
        <w:rPr>
          <w:color w:val="000000"/>
          <w:spacing w:val="0"/>
          <w:w w:val="100"/>
          <w:position w:val="0"/>
        </w:rPr>
        <w:t>当然,值得注意的是</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rPr>
        <w:t>年修订以后《食品安全法》第</w:t>
      </w:r>
      <w:r>
        <w:rPr>
          <w:rFonts w:ascii="Times New Roman" w:hAnsi="Times New Roman" w:eastAsia="Times New Roman" w:cs="Times New Roman"/>
          <w:color w:val="000000"/>
          <w:spacing w:val="0"/>
          <w:w w:val="100"/>
          <w:position w:val="0"/>
          <w:sz w:val="19"/>
          <w:szCs w:val="19"/>
        </w:rPr>
        <w:t>147</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148</w:t>
      </w:r>
      <w:r>
        <w:rPr>
          <w:color w:val="000000"/>
          <w:spacing w:val="0"/>
          <w:w w:val="100"/>
          <w:position w:val="0"/>
        </w:rPr>
        <w:t>条对第</w:t>
      </w:r>
      <w:r>
        <w:rPr>
          <w:rFonts w:ascii="Times New Roman" w:hAnsi="Times New Roman" w:eastAsia="Times New Roman" w:cs="Times New Roman"/>
          <w:color w:val="000000"/>
          <w:spacing w:val="0"/>
          <w:w w:val="100"/>
          <w:position w:val="0"/>
          <w:sz w:val="19"/>
          <w:szCs w:val="19"/>
        </w:rPr>
        <w:t>96</w:t>
      </w:r>
      <w:r>
        <w:rPr>
          <w:color w:val="000000"/>
          <w:spacing w:val="0"/>
          <w:w w:val="100"/>
          <w:position w:val="0"/>
        </w:rPr>
        <w:t>条作 岀了修改。即</w:t>
      </w:r>
      <w:r>
        <w:rPr>
          <w:color w:val="000000"/>
          <w:spacing w:val="0"/>
          <w:w w:val="100"/>
          <w:position w:val="0"/>
          <w:lang w:val="zh-CN" w:eastAsia="zh-CN" w:bidi="zh-CN"/>
        </w:rPr>
        <w:t>“生产</w:t>
      </w:r>
      <w:r>
        <w:rPr>
          <w:color w:val="000000"/>
          <w:spacing w:val="0"/>
          <w:w w:val="100"/>
          <w:position w:val="0"/>
        </w:rPr>
        <w:t>不符合食品安全标准的食品或者经营明知是不符合食品安全标准的食 品，消费者除要求赔偿损失外，还可以向生产者或者经营者要求支付价款十倍或者损失三 倍的赔偿金;增加赔偿的金额不足一千元的，为一千元。但是，食品的标签、说明书存在不影 响食品安全且不会对消费者造成误导的瑕疵的除外”。除“十倍价款</w:t>
      </w:r>
      <w:r>
        <w:rPr>
          <w:color w:val="000000"/>
          <w:spacing w:val="0"/>
          <w:w w:val="100"/>
          <w:position w:val="0"/>
          <w:lang w:val="zh-CN" w:eastAsia="zh-CN" w:bidi="zh-CN"/>
        </w:rPr>
        <w:t>”赔</w:t>
      </w:r>
      <w:r>
        <w:rPr>
          <w:color w:val="000000"/>
          <w:spacing w:val="0"/>
          <w:w w:val="100"/>
          <w:position w:val="0"/>
        </w:rPr>
        <w:t xml:space="preserve">偿以外，还引入了 </w:t>
      </w:r>
      <w:r>
        <w:rPr>
          <w:color w:val="000000"/>
          <w:spacing w:val="0"/>
          <w:w w:val="100"/>
          <w:position w:val="0"/>
          <w:lang w:val="zh-CN" w:eastAsia="zh-CN" w:bidi="zh-CN"/>
        </w:rPr>
        <w:t>“三</w:t>
      </w:r>
      <w:r>
        <w:rPr>
          <w:color w:val="000000"/>
          <w:spacing w:val="0"/>
          <w:w w:val="100"/>
          <w:position w:val="0"/>
        </w:rPr>
        <w:t>倍损失</w:t>
      </w:r>
      <w:r>
        <w:rPr>
          <w:color w:val="000000"/>
          <w:spacing w:val="0"/>
          <w:w w:val="100"/>
          <w:position w:val="0"/>
          <w:lang w:val="zh-CN" w:eastAsia="zh-CN" w:bidi="zh-CN"/>
        </w:rPr>
        <w:t>”的选</w:t>
      </w:r>
      <w:r>
        <w:rPr>
          <w:color w:val="000000"/>
          <w:spacing w:val="0"/>
          <w:w w:val="100"/>
          <w:position w:val="0"/>
        </w:rPr>
        <w:t>择项,并且就标识瑕疵作出了特别规定。新的规定是否会影响惩罚性赔偿 规则的适用问题，有待司法实践的进一步观察。</w:t>
      </w:r>
    </w:p>
    <w:p w14:paraId="4787BC0E">
      <w:pPr>
        <w:pStyle w:val="11"/>
        <w:keepNext w:val="0"/>
        <w:keepLines w:val="0"/>
        <w:widowControl w:val="0"/>
        <w:shd w:val="clear" w:color="auto" w:fill="auto"/>
        <w:bidi w:val="0"/>
        <w:spacing w:before="0" w:after="60" w:line="341" w:lineRule="exact"/>
        <w:ind w:left="0" w:right="0" w:firstLine="0"/>
        <w:jc w:val="left"/>
      </w:pPr>
      <w:r>
        <w:rPr>
          <w:color w:val="000000"/>
          <w:spacing w:val="0"/>
          <w:w w:val="100"/>
          <w:position w:val="0"/>
        </w:rPr>
        <w:t>回参考文献</w:t>
      </w:r>
    </w:p>
    <w:p w14:paraId="3E276262">
      <w:pPr>
        <w:pStyle w:val="33"/>
        <w:keepNext w:val="0"/>
        <w:keepLines w:val="0"/>
        <w:widowControl w:val="0"/>
        <w:shd w:val="clear" w:color="auto" w:fill="auto"/>
        <w:bidi w:val="0"/>
        <w:spacing w:before="0" w:after="0" w:line="310" w:lineRule="exact"/>
        <w:ind w:left="0" w:right="0" w:firstLine="0"/>
        <w:jc w:val="left"/>
      </w:pPr>
      <w:r>
        <w:rPr>
          <w:color w:val="000000"/>
          <w:spacing w:val="0"/>
          <w:w w:val="100"/>
          <w:position w:val="0"/>
        </w:rPr>
        <w:t>欧洲侵权法小组编著：《欧洲侵权法原则：文本与评注》，于敏、谢鸿飞译，法律出版社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 税兵:《超越民法的民法解释学》，北京大学出版社</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年版。</w:t>
      </w:r>
    </w:p>
    <w:p w14:paraId="411F9A51">
      <w:pPr>
        <w:pStyle w:val="33"/>
        <w:keepNext w:val="0"/>
        <w:keepLines w:val="0"/>
        <w:widowControl w:val="0"/>
        <w:shd w:val="clear" w:color="auto" w:fill="auto"/>
        <w:bidi w:val="0"/>
        <w:spacing w:before="0" w:after="0" w:line="310" w:lineRule="exact"/>
        <w:ind w:left="0" w:right="0" w:firstLine="0"/>
        <w:jc w:val="left"/>
        <w:sectPr>
          <w:headerReference r:id="rId560" w:type="default"/>
          <w:headerReference r:id="rId561" w:type="even"/>
          <w:footnotePr>
            <w:numFmt w:val="chicago"/>
          </w:footnotePr>
          <w:pgSz w:w="10099" w:h="14782"/>
          <w:pgMar w:top="1259" w:right="925" w:bottom="1018" w:left="886" w:header="0" w:footer="590" w:gutter="0"/>
          <w:pgNumType w:start="478"/>
          <w:cols w:space="720" w:num="1"/>
          <w:rtlGutter w:val="0"/>
          <w:docGrid w:linePitch="360" w:charSpace="0"/>
        </w:sectPr>
      </w:pPr>
      <w:r>
        <w:rPr>
          <w:color w:val="000000"/>
          <w:spacing w:val="0"/>
          <w:w w:val="100"/>
          <w:position w:val="0"/>
        </w:rPr>
        <w:t>［德］迪特尔-施瓦布:《民法导论》，郑冲译，法律出版社</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rPr>
        <w:t>年版。</w:t>
      </w:r>
    </w:p>
    <w:p w14:paraId="4D5A70C7">
      <w:pPr>
        <w:pStyle w:val="17"/>
        <w:keepNext w:val="0"/>
        <w:keepLines w:val="0"/>
        <w:widowControl w:val="0"/>
        <w:shd w:val="clear" w:color="auto" w:fill="auto"/>
        <w:bidi w:val="0"/>
        <w:spacing w:before="0" w:after="400" w:line="326" w:lineRule="exact"/>
        <w:ind w:left="1020" w:right="0" w:firstLine="0"/>
        <w:jc w:val="both"/>
      </w:pPr>
      <w:r>
        <w:drawing>
          <wp:anchor distT="0" distB="0" distL="114300" distR="3266440" simplePos="0" relativeHeight="251660288" behindDoc="0" locked="0" layoutInCell="1" allowOverlap="1">
            <wp:simplePos x="0" y="0"/>
            <wp:positionH relativeFrom="page">
              <wp:posOffset>689610</wp:posOffset>
            </wp:positionH>
            <wp:positionV relativeFrom="margin">
              <wp:posOffset>160020</wp:posOffset>
            </wp:positionV>
            <wp:extent cx="481330" cy="414655"/>
            <wp:effectExtent l="0" t="0" r="1270" b="4445"/>
            <wp:wrapTopAndBottom/>
            <wp:docPr id="1319" name="Shape 1319"/>
            <wp:cNvGraphicFramePr/>
            <a:graphic xmlns:a="http://schemas.openxmlformats.org/drawingml/2006/main">
              <a:graphicData uri="http://schemas.openxmlformats.org/drawingml/2006/picture">
                <pic:pic xmlns:pic="http://schemas.openxmlformats.org/drawingml/2006/picture">
                  <pic:nvPicPr>
                    <pic:cNvPr id="1319" name="Shape 1319"/>
                    <pic:cNvPicPr/>
                  </pic:nvPicPr>
                  <pic:blipFill>
                    <a:blip r:embed="rId714"/>
                    <a:stretch>
                      <a:fillRect/>
                    </a:stretch>
                  </pic:blipFill>
                  <pic:spPr>
                    <a:xfrm>
                      <a:off x="0" y="0"/>
                      <a:ext cx="481330" cy="414655"/>
                    </a:xfrm>
                    <a:prstGeom prst="rect">
                      <a:avLst/>
                    </a:prstGeom>
                  </pic:spPr>
                </pic:pic>
              </a:graphicData>
            </a:graphic>
          </wp:anchor>
        </w:drawing>
      </w:r>
      <w:r>
        <mc:AlternateContent>
          <mc:Choice Requires="wps">
            <w:drawing>
              <wp:anchor distT="137160" distB="44450" distL="723900" distR="114300" simplePos="0" relativeHeight="251660288" behindDoc="0" locked="0" layoutInCell="1" allowOverlap="1">
                <wp:simplePos x="0" y="0"/>
                <wp:positionH relativeFrom="page">
                  <wp:posOffset>1299210</wp:posOffset>
                </wp:positionH>
                <wp:positionV relativeFrom="margin">
                  <wp:posOffset>297180</wp:posOffset>
                </wp:positionV>
                <wp:extent cx="3023870" cy="233045"/>
                <wp:effectExtent l="0" t="0" r="0" b="0"/>
                <wp:wrapTopAndBottom/>
                <wp:docPr id="1321" name="Shape 1321"/>
                <wp:cNvGraphicFramePr/>
                <a:graphic xmlns:a="http://schemas.openxmlformats.org/drawingml/2006/main">
                  <a:graphicData uri="http://schemas.microsoft.com/office/word/2010/wordprocessingShape">
                    <wps:wsp>
                      <wps:cNvSpPr txBox="1"/>
                      <wps:spPr>
                        <a:xfrm>
                          <a:off x="0" y="0"/>
                          <a:ext cx="3023870" cy="233045"/>
                        </a:xfrm>
                        <a:prstGeom prst="rect">
                          <a:avLst/>
                        </a:prstGeom>
                        <a:noFill/>
                      </wps:spPr>
                      <wps:txbx>
                        <w:txbxContent>
                          <w:p w14:paraId="00BD9083">
                            <w:pPr>
                              <w:pStyle w:val="15"/>
                              <w:keepNext/>
                              <w:keepLines/>
                              <w:widowControl w:val="0"/>
                              <w:shd w:val="clear" w:color="auto" w:fill="auto"/>
                              <w:bidi w:val="0"/>
                              <w:spacing w:before="0" w:after="0" w:line="240" w:lineRule="auto"/>
                              <w:ind w:left="0" w:right="0" w:firstLine="0"/>
                              <w:jc w:val="left"/>
                            </w:pPr>
                            <w:bookmarkStart w:id="624" w:name="bookmark604"/>
                            <w:bookmarkStart w:id="625" w:name="bookmark605"/>
                            <w:bookmarkStart w:id="626" w:name="bookmark606"/>
                            <w:r>
                              <w:rPr>
                                <w:color w:val="000000"/>
                                <w:spacing w:val="0"/>
                                <w:w w:val="100"/>
                                <w:position w:val="0"/>
                              </w:rPr>
                              <w:t>违反医疗知情同意规则的法律责任</w:t>
                            </w:r>
                            <w:bookmarkEnd w:id="624"/>
                            <w:bookmarkEnd w:id="625"/>
                            <w:bookmarkEnd w:id="626"/>
                          </w:p>
                        </w:txbxContent>
                      </wps:txbx>
                      <wps:bodyPr wrap="none" lIns="0" tIns="0" rIns="0" bIns="0">
                        <a:noAutofit/>
                      </wps:bodyPr>
                    </wps:wsp>
                  </a:graphicData>
                </a:graphic>
              </wp:anchor>
            </w:drawing>
          </mc:Choice>
          <mc:Fallback>
            <w:pict>
              <v:shape id="Shape 1321" o:spid="_x0000_s1026" o:spt="202" type="#_x0000_t202" style="position:absolute;left:0pt;margin-left:102.3pt;margin-top:23.4pt;height:18.35pt;width:238.1pt;mso-position-horizontal-relative:page;mso-position-vertical-relative:margin;mso-wrap-distance-bottom:3.5pt;mso-wrap-distance-top:10.8pt;mso-wrap-style:none;z-index:251660288;mso-width-relative:page;mso-height-relative:page;" filled="f" stroked="f" coordsize="21600,21600" o:gfxdata="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GYRxi1gAA&#10;AAkBAAAPAAAAAAAAAAEAIAAAACIAAABkcnMvZG93bnJldi54bWxQSwECFAAUAAAACACHTuJAfZub&#10;Mq4BAAB2AwAADgAAAAAAAAABACAAAAAlAQAAZHJzL2Uyb0RvYy54bWxQSwUGAAAAAAYABgBZAQAA&#10;RQUAAAAA&#10;">
                <v:fill on="f" focussize="0,0"/>
                <v:stroke on="f"/>
                <v:imagedata o:title=""/>
                <o:lock v:ext="edit" aspectratio="f"/>
                <v:textbox inset="0mm,0mm,0mm,0mm">
                  <w:txbxContent>
                    <w:p w14:paraId="00BD9083">
                      <w:pPr>
                        <w:pStyle w:val="15"/>
                        <w:keepNext/>
                        <w:keepLines/>
                        <w:widowControl w:val="0"/>
                        <w:shd w:val="clear" w:color="auto" w:fill="auto"/>
                        <w:bidi w:val="0"/>
                        <w:spacing w:before="0" w:after="0" w:line="240" w:lineRule="auto"/>
                        <w:ind w:left="0" w:right="0" w:firstLine="0"/>
                        <w:jc w:val="left"/>
                      </w:pPr>
                      <w:bookmarkStart w:id="624" w:name="bookmark604"/>
                      <w:bookmarkStart w:id="625" w:name="bookmark605"/>
                      <w:bookmarkStart w:id="626" w:name="bookmark606"/>
                      <w:r>
                        <w:rPr>
                          <w:color w:val="000000"/>
                          <w:spacing w:val="0"/>
                          <w:w w:val="100"/>
                          <w:position w:val="0"/>
                        </w:rPr>
                        <w:t>违反医疗知情同意规则的法律责任</w:t>
                      </w:r>
                      <w:bookmarkEnd w:id="624"/>
                      <w:bookmarkEnd w:id="625"/>
                      <w:bookmarkEnd w:id="626"/>
                    </w:p>
                  </w:txbxContent>
                </v:textbox>
                <w10:wrap type="topAndBottom"/>
              </v:shape>
            </w:pict>
          </mc:Fallback>
        </mc:AlternateContent>
      </w:r>
      <w:r>
        <w:rPr>
          <w:color w:val="000000"/>
          <w:spacing w:val="0"/>
          <w:w w:val="100"/>
          <w:position w:val="0"/>
        </w:rPr>
        <w:t>陈某诉中国人民武装警察部队上海总队医院案丨上海市第一中 级人民法院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沪一中民终字第</w:t>
      </w:r>
      <w:r>
        <w:rPr>
          <w:rFonts w:ascii="Times New Roman" w:hAnsi="Times New Roman" w:eastAsia="Times New Roman" w:cs="Times New Roman"/>
          <w:color w:val="000000"/>
          <w:spacing w:val="0"/>
          <w:w w:val="100"/>
          <w:position w:val="0"/>
          <w:sz w:val="19"/>
          <w:szCs w:val="19"/>
        </w:rPr>
        <w:t>900</w:t>
      </w:r>
      <w:r>
        <w:rPr>
          <w:color w:val="000000"/>
          <w:spacing w:val="0"/>
          <w:w w:val="100"/>
          <w:position w:val="0"/>
        </w:rPr>
        <w:t>号民事判决书</w:t>
      </w:r>
    </w:p>
    <w:p w14:paraId="05BF1630">
      <w:pPr>
        <w:pStyle w:val="33"/>
        <w:keepNext w:val="0"/>
        <w:keepLines w:val="0"/>
        <w:widowControl w:val="0"/>
        <w:shd w:val="clear" w:color="auto" w:fill="auto"/>
        <w:bidi w:val="0"/>
        <w:spacing w:before="0" w:after="1380" w:line="240" w:lineRule="auto"/>
        <w:ind w:left="0" w:right="0" w:firstLine="0"/>
        <w:jc w:val="right"/>
      </w:pPr>
      <w:r>
        <w:drawing>
          <wp:anchor distT="0" distB="0" distL="114300" distR="114300" simplePos="0" relativeHeight="251660288" behindDoc="0" locked="0" layoutInCell="1" allowOverlap="1">
            <wp:simplePos x="0" y="0"/>
            <wp:positionH relativeFrom="page">
              <wp:posOffset>5093970</wp:posOffset>
            </wp:positionH>
            <wp:positionV relativeFrom="margin">
              <wp:posOffset>446405</wp:posOffset>
            </wp:positionV>
            <wp:extent cx="621665" cy="621665"/>
            <wp:effectExtent l="0" t="0" r="635" b="635"/>
            <wp:wrapSquare wrapText="left"/>
            <wp:docPr id="1323" name="Shape 1323"/>
            <wp:cNvGraphicFramePr/>
            <a:graphic xmlns:a="http://schemas.openxmlformats.org/drawingml/2006/main">
              <a:graphicData uri="http://schemas.openxmlformats.org/drawingml/2006/picture">
                <pic:pic xmlns:pic="http://schemas.openxmlformats.org/drawingml/2006/picture">
                  <pic:nvPicPr>
                    <pic:cNvPr id="1323" name="Shape 1323"/>
                    <pic:cNvPicPr/>
                  </pic:nvPicPr>
                  <pic:blipFill>
                    <a:blip r:embed="rId715"/>
                    <a:stretch>
                      <a:fillRect/>
                    </a:stretch>
                  </pic:blipFill>
                  <pic:spPr>
                    <a:xfrm>
                      <a:off x="0" y="0"/>
                      <a:ext cx="621665" cy="621665"/>
                    </a:xfrm>
                    <a:prstGeom prst="rect">
                      <a:avLst/>
                    </a:prstGeom>
                  </pic:spPr>
                </pic:pic>
              </a:graphicData>
            </a:graphic>
          </wp:anchor>
        </w:drawing>
      </w:r>
      <w:r>
        <w:rPr>
          <w:color w:val="000000"/>
          <w:spacing w:val="0"/>
          <w:w w:val="100"/>
          <w:position w:val="0"/>
          <w:sz w:val="18"/>
          <w:szCs w:val="18"/>
        </w:rPr>
        <w:t>梁*申宝</w:t>
      </w:r>
      <w:r>
        <w:rPr>
          <w:color w:val="000000"/>
          <w:spacing w:val="0"/>
          <w:w w:val="100"/>
          <w:position w:val="0"/>
        </w:rPr>
        <w:t>上海财经大学法学院</w:t>
      </w:r>
    </w:p>
    <w:p w14:paraId="01F9E6F4">
      <w:pPr>
        <w:pStyle w:val="11"/>
        <w:keepNext w:val="0"/>
        <w:keepLines w:val="0"/>
        <w:widowControl w:val="0"/>
        <w:shd w:val="clear" w:color="auto" w:fill="auto"/>
        <w:bidi w:val="0"/>
        <w:spacing w:before="0" w:after="80" w:line="340"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1A547E43">
      <w:pPr>
        <w:pStyle w:val="17"/>
        <w:keepNext w:val="0"/>
        <w:keepLines w:val="0"/>
        <w:widowControl w:val="0"/>
        <w:shd w:val="clear" w:color="auto" w:fill="auto"/>
        <w:bidi w:val="0"/>
        <w:spacing w:before="0" w:after="0" w:line="340" w:lineRule="exact"/>
        <w:ind w:left="0" w:right="0" w:firstLine="420"/>
        <w:jc w:val="both"/>
      </w:pP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21</w:t>
      </w:r>
      <w:r>
        <w:rPr>
          <w:color w:val="000000"/>
          <w:spacing w:val="0"/>
          <w:w w:val="100"/>
          <w:position w:val="0"/>
        </w:rPr>
        <w:t>日，陈某至上海医科大学附属眼耳鼻喉科医院就诊，诊断结论为：左眼 复发性结膜囊肿（术后复发），需手术摘除。陈某于同月</w:t>
      </w:r>
      <w:r>
        <w:rPr>
          <w:rFonts w:ascii="Times New Roman" w:hAnsi="Times New Roman" w:eastAsia="Times New Roman" w:cs="Times New Roman"/>
          <w:color w:val="000000"/>
          <w:spacing w:val="0"/>
          <w:w w:val="100"/>
          <w:position w:val="0"/>
          <w:sz w:val="19"/>
          <w:szCs w:val="19"/>
        </w:rPr>
        <w:t>24</w:t>
      </w:r>
      <w:r>
        <w:rPr>
          <w:color w:val="000000"/>
          <w:spacing w:val="0"/>
          <w:w w:val="100"/>
          <w:position w:val="0"/>
        </w:rPr>
        <w:t>日至武警医院行左眼脂肪瘤 摘除术。</w:t>
      </w:r>
      <w:r>
        <w:rPr>
          <w:rFonts w:ascii="Times New Roman" w:hAnsi="Times New Roman" w:eastAsia="Times New Roman" w:cs="Times New Roman"/>
          <w:color w:val="000000"/>
          <w:spacing w:val="0"/>
          <w:w w:val="100"/>
          <w:position w:val="0"/>
          <w:sz w:val="19"/>
          <w:szCs w:val="19"/>
        </w:rPr>
        <w:t>1999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日，陈某出院。术后陈某感到左眼上睑下垂，不能睁眼，遂又于同 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日再次至武警医院就诊，被收治入院，并于同月</w:t>
      </w:r>
      <w:r>
        <w:rPr>
          <w:rFonts w:ascii="Times New Roman" w:hAnsi="Times New Roman" w:eastAsia="Times New Roman" w:cs="Times New Roman"/>
          <w:color w:val="000000"/>
          <w:spacing w:val="0"/>
          <w:w w:val="100"/>
          <w:position w:val="0"/>
          <w:sz w:val="19"/>
          <w:szCs w:val="19"/>
        </w:rPr>
        <w:t>22</w:t>
      </w:r>
      <w:r>
        <w:rPr>
          <w:color w:val="000000"/>
          <w:spacing w:val="0"/>
          <w:w w:val="100"/>
          <w:position w:val="0"/>
        </w:rPr>
        <w:t>日施行左眼上睑下垂矫正 术。术后，陈某左眼能微睁，但仍受限。同月</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日，陈某出院。随后，其至上海医科大学 附属华山医院就诊，被告知其左上睑下垂系提上睑肌损伤所致。陈某遂以武警医院在治 疗过程中有过错为由，向上海市长宁区医疗事故鉴定委员会申请进行医疗事故鉴定，该 委员会于</w:t>
      </w:r>
      <w:r>
        <w:rPr>
          <w:rFonts w:ascii="Times New Roman" w:hAnsi="Times New Roman" w:eastAsia="Times New Roman" w:cs="Times New Roman"/>
          <w:color w:val="000000"/>
          <w:spacing w:val="0"/>
          <w:w w:val="100"/>
          <w:position w:val="0"/>
          <w:sz w:val="19"/>
          <w:szCs w:val="19"/>
        </w:rPr>
        <w:t>2000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28</w:t>
      </w:r>
      <w:r>
        <w:rPr>
          <w:color w:val="000000"/>
          <w:spacing w:val="0"/>
          <w:w w:val="100"/>
          <w:position w:val="0"/>
        </w:rPr>
        <w:t>日出具鉴定书，内容为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武警医院的诊断和治疗原则无不 当；</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病员目前左眼上睑下垂属术后并发症。鉴定结论为:本医疗事件不属于医疗事故 范畴。</w:t>
      </w:r>
    </w:p>
    <w:p w14:paraId="7245D21B">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陈某以武警医院在术前未向本人告知手术风险为由，要求武警医院承担过错的赔偿责 任。赔偿内容为:医疗费</w:t>
      </w:r>
      <w:r>
        <w:rPr>
          <w:rFonts w:ascii="Times New Roman" w:hAnsi="Times New Roman" w:eastAsia="Times New Roman" w:cs="Times New Roman"/>
          <w:color w:val="000000"/>
          <w:spacing w:val="0"/>
          <w:w w:val="100"/>
          <w:position w:val="0"/>
          <w:sz w:val="19"/>
          <w:szCs w:val="19"/>
        </w:rPr>
        <w:t>3888</w:t>
      </w:r>
      <w:r>
        <w:rPr>
          <w:color w:val="000000"/>
          <w:spacing w:val="0"/>
          <w:w w:val="100"/>
          <w:position w:val="0"/>
        </w:rPr>
        <w:t>元、误工费</w:t>
      </w:r>
      <w:r>
        <w:rPr>
          <w:rFonts w:ascii="Times New Roman" w:hAnsi="Times New Roman" w:eastAsia="Times New Roman" w:cs="Times New Roman"/>
          <w:color w:val="000000"/>
          <w:spacing w:val="0"/>
          <w:w w:val="100"/>
          <w:position w:val="0"/>
          <w:sz w:val="19"/>
          <w:szCs w:val="19"/>
        </w:rPr>
        <w:t>10, 000</w:t>
      </w:r>
      <w:r>
        <w:rPr>
          <w:color w:val="000000"/>
          <w:spacing w:val="0"/>
          <w:w w:val="100"/>
          <w:position w:val="0"/>
        </w:rPr>
        <w:t>元、残疾者生活补助费</w:t>
      </w:r>
      <w:r>
        <w:rPr>
          <w:rFonts w:ascii="Times New Roman" w:hAnsi="Times New Roman" w:eastAsia="Times New Roman" w:cs="Times New Roman"/>
          <w:color w:val="000000"/>
          <w:spacing w:val="0"/>
          <w:w w:val="100"/>
          <w:position w:val="0"/>
          <w:sz w:val="19"/>
          <w:szCs w:val="19"/>
        </w:rPr>
        <w:t>178, 571</w:t>
      </w:r>
      <w:r>
        <w:rPr>
          <w:color w:val="000000"/>
          <w:spacing w:val="0"/>
          <w:w w:val="100"/>
          <w:position w:val="0"/>
        </w:rPr>
        <w:t>元、精神损 失费</w:t>
      </w:r>
      <w:r>
        <w:rPr>
          <w:rFonts w:ascii="Times New Roman" w:hAnsi="Times New Roman" w:eastAsia="Times New Roman" w:cs="Times New Roman"/>
          <w:color w:val="000000"/>
          <w:spacing w:val="0"/>
          <w:w w:val="100"/>
          <w:position w:val="0"/>
          <w:sz w:val="19"/>
          <w:szCs w:val="19"/>
        </w:rPr>
        <w:t>50,000</w:t>
      </w:r>
      <w:r>
        <w:rPr>
          <w:color w:val="000000"/>
          <w:spacing w:val="0"/>
          <w:w w:val="100"/>
          <w:position w:val="0"/>
        </w:rPr>
        <w:t>元、交通住宿费</w:t>
      </w:r>
      <w:r>
        <w:rPr>
          <w:rFonts w:ascii="Times New Roman" w:hAnsi="Times New Roman" w:eastAsia="Times New Roman" w:cs="Times New Roman"/>
          <w:color w:val="000000"/>
          <w:spacing w:val="0"/>
          <w:w w:val="100"/>
          <w:position w:val="0"/>
          <w:sz w:val="19"/>
          <w:szCs w:val="19"/>
        </w:rPr>
        <w:t>7541</w:t>
      </w:r>
      <w:r>
        <w:rPr>
          <w:color w:val="000000"/>
          <w:spacing w:val="0"/>
          <w:w w:val="100"/>
          <w:position w:val="0"/>
        </w:rPr>
        <w:t>元，共计人民币</w:t>
      </w:r>
      <w:r>
        <w:rPr>
          <w:rFonts w:ascii="Times New Roman" w:hAnsi="Times New Roman" w:eastAsia="Times New Roman" w:cs="Times New Roman"/>
          <w:color w:val="000000"/>
          <w:spacing w:val="0"/>
          <w:w w:val="100"/>
          <w:position w:val="0"/>
          <w:sz w:val="19"/>
          <w:szCs w:val="19"/>
        </w:rPr>
        <w:t>250, 000</w:t>
      </w:r>
      <w:r>
        <w:rPr>
          <w:color w:val="000000"/>
          <w:spacing w:val="0"/>
          <w:w w:val="100"/>
          <w:position w:val="0"/>
        </w:rPr>
        <w:t>元。</w:t>
      </w:r>
    </w:p>
    <w:p w14:paraId="13155E01">
      <w:pPr>
        <w:pStyle w:val="17"/>
        <w:keepNext w:val="0"/>
        <w:keepLines w:val="0"/>
        <w:widowControl w:val="0"/>
        <w:shd w:val="clear" w:color="auto" w:fill="auto"/>
        <w:bidi w:val="0"/>
        <w:spacing w:before="0" w:after="340" w:line="340" w:lineRule="exact"/>
        <w:ind w:left="0" w:right="0" w:firstLine="420"/>
        <w:jc w:val="both"/>
      </w:pPr>
      <w:r>
        <w:rPr>
          <w:color w:val="000000"/>
          <w:spacing w:val="0"/>
          <w:w w:val="100"/>
          <w:position w:val="0"/>
        </w:rPr>
        <w:t>一审法院认为，根据鉴定部门出具的鉴定结论不能证明武警医院在手术过程中具有 过错，故陈某要求武警医院承担赔偿责任的要求难以支持。原告不服一审判决,提起上 诉。</w:t>
      </w:r>
    </w:p>
    <w:p w14:paraId="07E16152">
      <w:pPr>
        <w:pStyle w:val="11"/>
        <w:keepNext w:val="0"/>
        <w:keepLines w:val="0"/>
        <w:widowControl w:val="0"/>
        <w:shd w:val="clear" w:color="auto" w:fill="auto"/>
        <w:bidi w:val="0"/>
        <w:spacing w:before="0" w:after="80" w:line="340"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79A68F52">
      <w:pPr>
        <w:pStyle w:val="17"/>
        <w:keepNext w:val="0"/>
        <w:keepLines w:val="0"/>
        <w:widowControl w:val="0"/>
        <w:shd w:val="clear" w:color="auto" w:fill="auto"/>
        <w:bidi w:val="0"/>
        <w:spacing w:before="0" w:after="220" w:line="331" w:lineRule="exact"/>
        <w:ind w:left="0" w:right="0" w:firstLine="420"/>
        <w:jc w:val="both"/>
        <w:rPr>
          <w:sz w:val="19"/>
          <w:szCs w:val="19"/>
        </w:rPr>
        <w:sectPr>
          <w:headerReference r:id="rId562" w:type="default"/>
          <w:headerReference r:id="rId563" w:type="even"/>
          <w:footnotePr>
            <w:numFmt w:val="chicago"/>
          </w:footnotePr>
          <w:pgSz w:w="10099" w:h="14782"/>
          <w:pgMar w:top="1259" w:right="925" w:bottom="1018" w:left="886" w:header="831" w:footer="590" w:gutter="0"/>
          <w:pgNumType w:start="495"/>
          <w:cols w:space="720" w:num="1"/>
          <w:rtlGutter w:val="0"/>
          <w:docGrid w:linePitch="360" w:charSpace="0"/>
        </w:sectPr>
      </w:pPr>
      <w:r>
        <w:rPr>
          <w:color w:val="000000"/>
          <w:spacing w:val="0"/>
          <w:w w:val="100"/>
          <w:position w:val="0"/>
          <w:sz w:val="18"/>
          <w:szCs w:val="18"/>
        </w:rPr>
        <w:t>二审法院认为，医院的手术治疗技术上虽无过错，但医院未尽到风险告知义务,致使陈 某丧失选择手术与否的机会，并造成严重后果，所以医院应当就此承担民事责任，承担责任 比例为</w:t>
      </w:r>
      <w:r>
        <w:rPr>
          <w:rFonts w:ascii="Times New Roman" w:hAnsi="Times New Roman" w:eastAsia="Times New Roman" w:cs="Times New Roman"/>
          <w:color w:val="000000"/>
          <w:spacing w:val="0"/>
          <w:w w:val="100"/>
          <w:position w:val="0"/>
          <w:sz w:val="19"/>
          <w:szCs w:val="19"/>
        </w:rPr>
        <w:t xml:space="preserve">80% </w:t>
      </w:r>
      <w:r>
        <w:rPr>
          <w:rFonts w:ascii="Times New Roman" w:hAnsi="Times New Roman" w:eastAsia="Times New Roman" w:cs="Times New Roman"/>
          <w:color w:val="000000"/>
          <w:spacing w:val="0"/>
          <w:w w:val="100"/>
          <w:position w:val="0"/>
          <w:sz w:val="19"/>
          <w:szCs w:val="19"/>
          <w:lang w:val="en-US" w:eastAsia="en-US" w:bidi="en-US"/>
        </w:rPr>
        <w:t>o</w:t>
      </w:r>
    </w:p>
    <w:p w14:paraId="7868BB58">
      <w:pPr>
        <w:pStyle w:val="11"/>
        <w:keepNext w:val="0"/>
        <w:keepLines w:val="0"/>
        <w:widowControl w:val="0"/>
        <w:shd w:val="clear" w:color="auto" w:fill="auto"/>
        <w:bidi w:val="0"/>
        <w:spacing w:before="0" w:after="140" w:line="344" w:lineRule="exact"/>
        <w:ind w:left="0" w:right="0" w:firstLine="0"/>
        <w:jc w:val="both"/>
      </w:pPr>
      <w:r>
        <w:rPr>
          <w:color w:val="000000"/>
          <w:spacing w:val="0"/>
          <w:w w:val="100"/>
          <w:position w:val="0"/>
        </w:rPr>
        <w:t>■评析</w:t>
      </w:r>
    </w:p>
    <w:p w14:paraId="24BDD78E">
      <w:pPr>
        <w:pStyle w:val="17"/>
        <w:keepNext w:val="0"/>
        <w:keepLines w:val="0"/>
        <w:widowControl w:val="0"/>
        <w:shd w:val="clear" w:color="auto" w:fill="auto"/>
        <w:bidi w:val="0"/>
        <w:spacing w:before="0" w:after="14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S</w:t>
      </w:r>
      <w:r>
        <w:rPr>
          <w:color w:val="000000"/>
          <w:spacing w:val="0"/>
          <w:w w:val="100"/>
          <w:position w:val="0"/>
        </w:rPr>
        <w:t>本判决的思路和意义</w:t>
      </w:r>
    </w:p>
    <w:p w14:paraId="0409D2FE">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二审法院认为，医疗活动存在两个相对独立的阶段，即告知阶段和手术实施阶段。这 两个阶段可构成相互独立的责任基础。</w:t>
      </w:r>
    </w:p>
    <w:p w14:paraId="20DE6A5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患者对诊疗行为的同意应当建立在医方充分告知的基础上,否则是无效的同意。诊疗 活动常伴有风险，若经患者有效同意，则意味着只要诊疗行为本身符合医学标准，患者自愿 承担诊疗失败的风险;若未经患者有效同意，即便诊疗行为本身符合医学标准，医方仍应就 风险发生承担责任。</w:t>
      </w:r>
    </w:p>
    <w:p w14:paraId="61C88537">
      <w:pPr>
        <w:pStyle w:val="17"/>
        <w:keepNext w:val="0"/>
        <w:keepLines w:val="0"/>
        <w:widowControl w:val="0"/>
        <w:shd w:val="clear" w:color="auto" w:fill="auto"/>
        <w:bidi w:val="0"/>
        <w:spacing w:before="0" w:after="180" w:line="344" w:lineRule="exact"/>
        <w:ind w:left="0" w:right="0" w:firstLine="420"/>
        <w:jc w:val="both"/>
      </w:pPr>
      <w:r>
        <w:rPr>
          <w:color w:val="000000"/>
          <w:spacing w:val="0"/>
          <w:w w:val="100"/>
          <w:position w:val="0"/>
        </w:rPr>
        <w:t>本案中，法院认为医方未充分告知,违反知情同意规则，风险发生致患者伤残,判决医 方承担损害赔偿责任,为后续类似案件提供了借鉴。</w:t>
      </w:r>
    </w:p>
    <w:p w14:paraId="7CE11ECA">
      <w:pPr>
        <w:pStyle w:val="17"/>
        <w:keepNext w:val="0"/>
        <w:keepLines w:val="0"/>
        <w:widowControl w:val="0"/>
        <w:shd w:val="clear" w:color="auto" w:fill="auto"/>
        <w:bidi w:val="0"/>
        <w:spacing w:before="0" w:after="18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医疗知情同意规则的规范及学理</w:t>
      </w:r>
    </w:p>
    <w:p w14:paraId="5FACBD65">
      <w:pPr>
        <w:pStyle w:val="17"/>
        <w:keepNext w:val="0"/>
        <w:keepLines w:val="0"/>
        <w:widowControl w:val="0"/>
        <w:numPr>
          <w:ilvl w:val="0"/>
          <w:numId w:val="48"/>
        </w:numPr>
        <w:shd w:val="clear" w:color="auto" w:fill="auto"/>
        <w:tabs>
          <w:tab w:val="left" w:pos="667"/>
        </w:tabs>
        <w:bidi w:val="0"/>
        <w:spacing w:before="0" w:after="0" w:line="344" w:lineRule="exact"/>
        <w:ind w:left="0" w:right="0"/>
        <w:jc w:val="both"/>
      </w:pPr>
      <w:bookmarkStart w:id="200" w:name="bookmark620"/>
      <w:bookmarkEnd w:id="200"/>
      <w:r>
        <w:rPr>
          <w:color w:val="000000"/>
          <w:spacing w:val="0"/>
          <w:w w:val="100"/>
          <w:position w:val="0"/>
        </w:rPr>
        <w:t>知情同意规则的规范梳理</w:t>
      </w:r>
    </w:p>
    <w:p w14:paraId="474CE0CF">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就法律法规角度言,知情同意规则首见于</w:t>
      </w:r>
      <w:r>
        <w:rPr>
          <w:rFonts w:ascii="Times New Roman" w:hAnsi="Times New Roman" w:eastAsia="Times New Roman" w:cs="Times New Roman"/>
          <w:color w:val="000000"/>
          <w:spacing w:val="0"/>
          <w:w w:val="100"/>
          <w:position w:val="0"/>
          <w:sz w:val="19"/>
          <w:szCs w:val="19"/>
        </w:rPr>
        <w:t>1982</w:t>
      </w:r>
      <w:r>
        <w:rPr>
          <w:color w:val="000000"/>
          <w:spacing w:val="0"/>
          <w:w w:val="100"/>
          <w:position w:val="0"/>
        </w:rPr>
        <w:t>年卫生部规章《医院工作制度》第</w:t>
      </w:r>
      <w:r>
        <w:rPr>
          <w:rFonts w:ascii="Times New Roman" w:hAnsi="Times New Roman" w:eastAsia="Times New Roman" w:cs="Times New Roman"/>
          <w:color w:val="000000"/>
          <w:spacing w:val="0"/>
          <w:w w:val="100"/>
          <w:position w:val="0"/>
          <w:sz w:val="19"/>
          <w:szCs w:val="19"/>
        </w:rPr>
        <w:t>40</w:t>
      </w:r>
      <w:r>
        <w:rPr>
          <w:color w:val="000000"/>
          <w:spacing w:val="0"/>
          <w:w w:val="100"/>
          <w:position w:val="0"/>
        </w:rPr>
        <w:t>项 附录</w:t>
      </w:r>
      <w:r>
        <w:rPr>
          <w:color w:val="000000"/>
          <w:spacing w:val="0"/>
          <w:w w:val="100"/>
          <w:position w:val="0"/>
          <w:vertAlign w:val="subscript"/>
          <w:lang w:val="en-US" w:eastAsia="en-US" w:bidi="en-US"/>
        </w:rPr>
        <w:t>6o</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sz w:val="19"/>
          <w:szCs w:val="19"/>
        </w:rPr>
        <w:t>1994</w:t>
      </w:r>
      <w:r>
        <w:rPr>
          <w:color w:val="000000"/>
          <w:spacing w:val="0"/>
          <w:w w:val="100"/>
          <w:position w:val="0"/>
        </w:rPr>
        <w:t>年《医疗机构管理条例》第</w:t>
      </w:r>
      <w:r>
        <w:rPr>
          <w:rFonts w:ascii="Times New Roman" w:hAnsi="Times New Roman" w:eastAsia="Times New Roman" w:cs="Times New Roman"/>
          <w:color w:val="000000"/>
          <w:spacing w:val="0"/>
          <w:w w:val="100"/>
          <w:position w:val="0"/>
          <w:sz w:val="19"/>
          <w:szCs w:val="19"/>
        </w:rPr>
        <w:t>33</w:t>
      </w:r>
      <w:r>
        <w:rPr>
          <w:color w:val="000000"/>
          <w:spacing w:val="0"/>
          <w:w w:val="100"/>
          <w:position w:val="0"/>
        </w:rPr>
        <w:t>条、《医疗机构管理条例实施细则》第</w:t>
      </w:r>
      <w:r>
        <w:rPr>
          <w:rFonts w:ascii="Times New Roman" w:hAnsi="Times New Roman" w:eastAsia="Times New Roman" w:cs="Times New Roman"/>
          <w:color w:val="000000"/>
          <w:spacing w:val="0"/>
          <w:w w:val="100"/>
          <w:position w:val="0"/>
          <w:sz w:val="19"/>
          <w:szCs w:val="19"/>
        </w:rPr>
        <w:t>62</w:t>
      </w:r>
      <w:r>
        <w:rPr>
          <w:color w:val="000000"/>
          <w:spacing w:val="0"/>
          <w:w w:val="100"/>
          <w:position w:val="0"/>
        </w:rPr>
        <w:t xml:space="preserve">条和 </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年《执业医师法》第</w:t>
      </w:r>
      <w:r>
        <w:rPr>
          <w:rFonts w:ascii="Times New Roman" w:hAnsi="Times New Roman" w:eastAsia="Times New Roman" w:cs="Times New Roman"/>
          <w:color w:val="000000"/>
          <w:spacing w:val="0"/>
          <w:w w:val="100"/>
          <w:position w:val="0"/>
          <w:sz w:val="19"/>
          <w:szCs w:val="19"/>
        </w:rPr>
        <w:t>26</w:t>
      </w:r>
      <w:r>
        <w:rPr>
          <w:color w:val="000000"/>
          <w:spacing w:val="0"/>
          <w:w w:val="100"/>
          <w:position w:val="0"/>
        </w:rPr>
        <w:t>条都明文规定医院应当向患方告知医疗信息并应取得患方对医 疗方案的同意。但无论是医疗实践还是司法实践都未因上述条文而重视知情同意规则。 《民法典》第</w:t>
      </w:r>
      <w:r>
        <w:rPr>
          <w:rFonts w:ascii="Times New Roman" w:hAnsi="Times New Roman" w:eastAsia="Times New Roman" w:cs="Times New Roman"/>
          <w:color w:val="000000"/>
          <w:spacing w:val="0"/>
          <w:w w:val="100"/>
          <w:position w:val="0"/>
          <w:sz w:val="19"/>
          <w:szCs w:val="19"/>
        </w:rPr>
        <w:t>1219</w:t>
      </w:r>
      <w:r>
        <w:rPr>
          <w:color w:val="000000"/>
          <w:spacing w:val="0"/>
          <w:w w:val="100"/>
          <w:position w:val="0"/>
        </w:rPr>
        <w:t>条从私法的角度确立了知情同意规则，并将违反知情同意规则与损害赔 偿关联起来。最高人民法院《关于审理医疗损害责任纠纷案件适用法律若干问题的解释》 ［法释</w:t>
      </w:r>
      <w:r>
        <w:rPr>
          <w:rFonts w:ascii="Times New Roman" w:hAnsi="Times New Roman" w:eastAsia="Times New Roman" w:cs="Times New Roman"/>
          <w:color w:val="000000"/>
          <w:spacing w:val="0"/>
          <w:w w:val="100"/>
          <w:position w:val="0"/>
          <w:sz w:val="19"/>
          <w:szCs w:val="19"/>
        </w:rPr>
        <w:t>（2017）20</w:t>
      </w:r>
      <w:r>
        <w:rPr>
          <w:color w:val="000000"/>
          <w:spacing w:val="0"/>
          <w:w w:val="100"/>
          <w:position w:val="0"/>
        </w:rPr>
        <w:t>号〕第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17</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18</w:t>
      </w:r>
      <w:r>
        <w:rPr>
          <w:color w:val="000000"/>
          <w:spacing w:val="0"/>
          <w:w w:val="100"/>
          <w:position w:val="0"/>
        </w:rPr>
        <w:t>条对知情同意规则的适用做了进一步解释。</w:t>
      </w:r>
    </w:p>
    <w:p w14:paraId="37CA4D1C">
      <w:pPr>
        <w:pStyle w:val="17"/>
        <w:keepNext w:val="0"/>
        <w:keepLines w:val="0"/>
        <w:widowControl w:val="0"/>
        <w:numPr>
          <w:ilvl w:val="0"/>
          <w:numId w:val="48"/>
        </w:numPr>
        <w:shd w:val="clear" w:color="auto" w:fill="auto"/>
        <w:tabs>
          <w:tab w:val="left" w:pos="702"/>
        </w:tabs>
        <w:bidi w:val="0"/>
        <w:spacing w:before="0" w:after="0" w:line="344" w:lineRule="exact"/>
        <w:ind w:left="0" w:right="0" w:firstLine="420"/>
        <w:jc w:val="both"/>
      </w:pPr>
      <w:bookmarkStart w:id="201" w:name="bookmark621"/>
      <w:bookmarkEnd w:id="201"/>
      <w:r>
        <w:rPr>
          <w:color w:val="000000"/>
          <w:spacing w:val="0"/>
          <w:w w:val="100"/>
          <w:position w:val="0"/>
        </w:rPr>
        <w:t>学理上对知情同意规则有着不同定位</w:t>
      </w:r>
    </w:p>
    <w:p w14:paraId="4D6BC57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第一种观点认为,医疗侵袭行为和其他人身侵害行为一样,具有违法性,患者有效同意 是违法阻却事由</w:t>
      </w:r>
      <w:r>
        <w:rPr>
          <w:color w:val="000000"/>
          <w:spacing w:val="0"/>
          <w:w w:val="100"/>
          <w:position w:val="0"/>
          <w:sz w:val="11"/>
          <w:szCs w:val="11"/>
        </w:rPr>
        <w:t>（周友军：《侵权责任法专题讲座》，人民法院出版社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420</w:t>
      </w:r>
      <w:r>
        <w:rPr>
          <w:color w:val="000000"/>
          <w:spacing w:val="0"/>
          <w:w w:val="100"/>
          <w:position w:val="0"/>
          <w:sz w:val="11"/>
          <w:szCs w:val="11"/>
        </w:rPr>
        <w:t>页；张谷:《浅 谈医方的说明义务》，载《浙江社会科学》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r>
        <w:rPr>
          <w:color w:val="000000"/>
          <w:spacing w:val="0"/>
          <w:w w:val="100"/>
          <w:position w:val="0"/>
        </w:rPr>
        <w:t>因此，如果医生未取得患者有效同意而 实施诊疗行为,即便诊疗过程已尽必要注意义务，仍应就诊疗失败负责。</w:t>
      </w:r>
    </w:p>
    <w:p w14:paraId="7DC0E992">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第二种观点认为，未经患者有效同意而为医疗侵袭行为应被定位于过错要件下，此种 观点被国内较多学者所采纳</w:t>
      </w:r>
      <w:r>
        <w:rPr>
          <w:color w:val="000000"/>
          <w:spacing w:val="0"/>
          <w:w w:val="100"/>
          <w:position w:val="0"/>
          <w:sz w:val="11"/>
          <w:szCs w:val="11"/>
        </w:rPr>
        <w:t>［梁慧星:《论〈侵权责任法〉中的医疗损害责任》，载《法商研究》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 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期，第</w:t>
      </w:r>
      <w:r>
        <w:rPr>
          <w:rFonts w:ascii="Times New Roman" w:hAnsi="Times New Roman" w:eastAsia="Times New Roman" w:cs="Times New Roman"/>
          <w:color w:val="000000"/>
          <w:spacing w:val="0"/>
          <w:w w:val="100"/>
          <w:position w:val="0"/>
          <w:sz w:val="17"/>
          <w:szCs w:val="17"/>
        </w:rPr>
        <w:t>37</w:t>
      </w:r>
      <w:r>
        <w:rPr>
          <w:color w:val="000000"/>
          <w:spacing w:val="0"/>
          <w:w w:val="100"/>
          <w:position w:val="0"/>
          <w:sz w:val="11"/>
          <w:szCs w:val="11"/>
        </w:rPr>
        <w:t>页；张新宝：《侵权责任法》（第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版），中国人民大学出版社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204</w:t>
      </w:r>
      <w:r>
        <w:rPr>
          <w:color w:val="000000"/>
          <w:spacing w:val="0"/>
          <w:w w:val="100"/>
          <w:position w:val="0"/>
          <w:sz w:val="11"/>
          <w:szCs w:val="11"/>
        </w:rPr>
        <w:t>页；程啸:《侵 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559</w:t>
      </w:r>
      <w:r>
        <w:rPr>
          <w:color w:val="000000"/>
          <w:spacing w:val="0"/>
          <w:w w:val="100"/>
          <w:position w:val="0"/>
          <w:sz w:val="11"/>
          <w:szCs w:val="11"/>
        </w:rPr>
        <w:t>页以下］。</w:t>
      </w:r>
      <w:r>
        <w:rPr>
          <w:color w:val="000000"/>
          <w:spacing w:val="0"/>
          <w:w w:val="100"/>
          <w:position w:val="0"/>
        </w:rPr>
        <w:t>此种观点是基于我国民法学界部分 学者认为侵权责任不需要违法性要件，在这一前提下,知情同意规则只能被定位到过错要 件下。依第二种观点，未经患者有效同意而为诊疗,诊疗失败则同时满足了损害、因果关系 和过错的要件，侵权责任得以成立。</w:t>
      </w:r>
    </w:p>
    <w:p w14:paraId="4487195B">
      <w:pPr>
        <w:pStyle w:val="17"/>
        <w:keepNext w:val="0"/>
        <w:keepLines w:val="0"/>
        <w:widowControl w:val="0"/>
        <w:shd w:val="clear" w:color="auto" w:fill="auto"/>
        <w:bidi w:val="0"/>
        <w:spacing w:before="0" w:after="0" w:line="344" w:lineRule="exact"/>
        <w:ind w:left="0" w:right="0" w:firstLine="420"/>
        <w:jc w:val="both"/>
        <w:sectPr>
          <w:headerReference r:id="rId564" w:type="default"/>
          <w:headerReference r:id="rId565" w:type="even"/>
          <w:footnotePr>
            <w:numFmt w:val="chicago"/>
          </w:footnotePr>
          <w:pgSz w:w="10099" w:h="14782"/>
          <w:pgMar w:top="1259" w:right="925" w:bottom="1018" w:left="886" w:header="0" w:footer="590" w:gutter="0"/>
          <w:pgNumType w:start="480"/>
          <w:cols w:space="720" w:num="1"/>
          <w:rtlGutter w:val="0"/>
          <w:docGrid w:linePitch="360" w:charSpace="0"/>
        </w:sectPr>
      </w:pPr>
      <w:r>
        <w:rPr>
          <w:color w:val="000000"/>
          <w:spacing w:val="0"/>
          <w:w w:val="100"/>
          <w:position w:val="0"/>
        </w:rPr>
        <w:t>第三种观点认为,患者在生命健康权之外有一个独立的自主决定权，它在医疗行为中 体现为患者的知情同意权</w:t>
      </w:r>
      <w:r>
        <w:rPr>
          <w:color w:val="000000"/>
          <w:spacing w:val="0"/>
          <w:w w:val="100"/>
          <w:position w:val="0"/>
          <w:sz w:val="11"/>
          <w:szCs w:val="11"/>
        </w:rPr>
        <w:t>［杨立新:《侵权法论》（第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版），人民法院出版社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446</w:t>
      </w:r>
      <w:r>
        <w:rPr>
          <w:color w:val="000000"/>
          <w:spacing w:val="0"/>
          <w:w w:val="100"/>
          <w:position w:val="0"/>
          <w:sz w:val="11"/>
          <w:szCs w:val="11"/>
        </w:rPr>
        <w:t>页以 下］。</w:t>
      </w:r>
      <w:r>
        <w:rPr>
          <w:color w:val="000000"/>
          <w:spacing w:val="0"/>
          <w:w w:val="100"/>
          <w:position w:val="0"/>
        </w:rPr>
        <w:t xml:space="preserve">依此观点，患者知情同意权与身体健康权应受同样之保护，侵害患者知情同意权构成 </w:t>
      </w:r>
    </w:p>
    <w:p w14:paraId="49AEF0F7">
      <w:pPr>
        <w:pStyle w:val="17"/>
        <w:keepNext w:val="0"/>
        <w:keepLines w:val="0"/>
        <w:widowControl w:val="0"/>
        <w:shd w:val="clear" w:color="auto" w:fill="auto"/>
        <w:bidi w:val="0"/>
        <w:spacing w:before="0" w:after="0" w:line="344" w:lineRule="exact"/>
        <w:ind w:left="0" w:right="0" w:firstLine="0"/>
        <w:jc w:val="both"/>
      </w:pPr>
      <w:r>
        <w:rPr>
          <w:color w:val="000000"/>
          <w:spacing w:val="0"/>
          <w:w w:val="100"/>
          <w:position w:val="0"/>
        </w:rPr>
        <w:t>了独立的责任基础。</w:t>
      </w:r>
    </w:p>
    <w:p w14:paraId="29304C6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司法实践多以第二种观点作为裁判思路。虽有称</w:t>
      </w:r>
      <w:r>
        <w:rPr>
          <w:color w:val="000000"/>
          <w:spacing w:val="0"/>
          <w:w w:val="100"/>
          <w:position w:val="0"/>
          <w:lang w:val="zh-CN" w:eastAsia="zh-CN" w:bidi="zh-CN"/>
        </w:rPr>
        <w:t>“知情</w:t>
      </w:r>
      <w:r>
        <w:rPr>
          <w:color w:val="000000"/>
          <w:spacing w:val="0"/>
          <w:w w:val="100"/>
          <w:position w:val="0"/>
        </w:rPr>
        <w:t>同意权</w:t>
      </w:r>
      <w:r>
        <w:rPr>
          <w:color w:val="000000"/>
          <w:spacing w:val="0"/>
          <w:w w:val="100"/>
          <w:position w:val="0"/>
          <w:lang w:val="zh-CN" w:eastAsia="zh-CN" w:bidi="zh-CN"/>
        </w:rPr>
        <w:t>”者</w:t>
      </w:r>
      <w:r>
        <w:rPr>
          <w:color w:val="000000"/>
          <w:spacing w:val="0"/>
          <w:w w:val="100"/>
          <w:position w:val="0"/>
        </w:rPr>
        <w:t>，但仅是名称上的指 称，实际并未把</w:t>
      </w:r>
      <w:r>
        <w:rPr>
          <w:color w:val="000000"/>
          <w:spacing w:val="0"/>
          <w:w w:val="100"/>
          <w:position w:val="0"/>
          <w:lang w:val="zh-CN" w:eastAsia="zh-CN" w:bidi="zh-CN"/>
        </w:rPr>
        <w:t>“知情</w:t>
      </w:r>
      <w:r>
        <w:rPr>
          <w:color w:val="000000"/>
          <w:spacing w:val="0"/>
          <w:w w:val="100"/>
          <w:position w:val="0"/>
        </w:rPr>
        <w:t>同意权</w:t>
      </w:r>
      <w:r>
        <w:rPr>
          <w:color w:val="000000"/>
          <w:spacing w:val="0"/>
          <w:w w:val="100"/>
          <w:position w:val="0"/>
          <w:lang w:val="zh-CN" w:eastAsia="zh-CN" w:bidi="zh-CN"/>
        </w:rPr>
        <w:t>”作</w:t>
      </w:r>
      <w:r>
        <w:rPr>
          <w:color w:val="000000"/>
          <w:spacing w:val="0"/>
          <w:w w:val="100"/>
          <w:position w:val="0"/>
        </w:rPr>
        <w:t>为一项独立于身体健康权的权利。违反知情同意规则且诊 疗失败，赔偿范围包括人身损害和精神慰抚金。</w:t>
      </w:r>
    </w:p>
    <w:p w14:paraId="558573D2">
      <w:pPr>
        <w:pStyle w:val="33"/>
        <w:keepNext w:val="0"/>
        <w:keepLines w:val="0"/>
        <w:widowControl w:val="0"/>
        <w:shd w:val="clear" w:color="auto" w:fill="auto"/>
        <w:bidi w:val="0"/>
        <w:spacing w:before="0" w:after="140" w:line="329" w:lineRule="exact"/>
        <w:ind w:left="0" w:right="0" w:firstLine="420"/>
        <w:jc w:val="both"/>
      </w:pPr>
      <w:r>
        <w:rPr>
          <w:color w:val="000000"/>
          <w:spacing w:val="0"/>
          <w:w w:val="100"/>
          <w:position w:val="0"/>
          <w:sz w:val="18"/>
          <w:szCs w:val="18"/>
        </w:rPr>
        <w:t>若违反知情同意规则，但诊疗成功,未发生损害后果,患者能否请求精神损害赔偿,存 在争议</w:t>
      </w:r>
      <w:r>
        <w:rPr>
          <w:color w:val="000000"/>
          <w:spacing w:val="0"/>
          <w:w w:val="100"/>
          <w:position w:val="0"/>
        </w:rPr>
        <w:t>（周江洪:《违反医疗说明义务损害赔偿范围的界定》，载《法学》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期；张谷:《浅谈医 方的说明义务》，载《浙江社会科学》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 xml:space="preserve">期；周友军：《侵权责任法专题讲座》，人民法院出版社 </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年版，第</w:t>
      </w:r>
      <w:r>
        <w:rPr>
          <w:rFonts w:ascii="Times New Roman" w:hAnsi="Times New Roman" w:eastAsia="Times New Roman" w:cs="Times New Roman"/>
          <w:color w:val="000000"/>
          <w:spacing w:val="0"/>
          <w:w w:val="100"/>
          <w:position w:val="0"/>
          <w:sz w:val="17"/>
          <w:szCs w:val="17"/>
        </w:rPr>
        <w:t>421</w:t>
      </w:r>
      <w:r>
        <w:rPr>
          <w:color w:val="000000"/>
          <w:spacing w:val="0"/>
          <w:w w:val="100"/>
          <w:position w:val="0"/>
        </w:rPr>
        <w:t>页）。</w:t>
      </w:r>
    </w:p>
    <w:p w14:paraId="42445762">
      <w:pPr>
        <w:pStyle w:val="17"/>
        <w:keepNext w:val="0"/>
        <w:keepLines w:val="0"/>
        <w:widowControl w:val="0"/>
        <w:shd w:val="clear" w:color="auto" w:fill="auto"/>
        <w:bidi w:val="0"/>
        <w:spacing w:before="0" w:after="0" w:line="420" w:lineRule="auto"/>
        <w:ind w:left="0" w:right="0" w:firstLine="420"/>
        <w:jc w:val="both"/>
      </w:pP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.有效同意以充分说明为前提</w:t>
      </w:r>
    </w:p>
    <w:p w14:paraId="298D28F9">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患者的有效同意以医方的充分告知为前提。医方告知义务所涉及的信息内容,并非都 会影响患者作出是否医疗的决定。只有影响患者决定的信息才是知情同意规则中“知情” 一词的内涵。虽然怠于说明其他信息也会引起法律上的后果，却非知情同意规则所能涵 盖。学界将医生的说明义务区分为</w:t>
      </w:r>
      <w:r>
        <w:rPr>
          <w:color w:val="000000"/>
          <w:spacing w:val="0"/>
          <w:w w:val="100"/>
          <w:position w:val="0"/>
          <w:lang w:val="zh-CN" w:eastAsia="zh-CN" w:bidi="zh-CN"/>
        </w:rPr>
        <w:t>“介入</w:t>
      </w:r>
      <w:r>
        <w:rPr>
          <w:color w:val="000000"/>
          <w:spacing w:val="0"/>
          <w:w w:val="100"/>
          <w:position w:val="0"/>
        </w:rPr>
        <w:t>性说明义务”（或称</w:t>
      </w:r>
      <w:r>
        <w:rPr>
          <w:color w:val="000000"/>
          <w:spacing w:val="0"/>
          <w:w w:val="100"/>
          <w:position w:val="0"/>
          <w:lang w:val="zh-CN" w:eastAsia="zh-CN" w:bidi="zh-CN"/>
        </w:rPr>
        <w:t>“自</w:t>
      </w:r>
      <w:r>
        <w:rPr>
          <w:color w:val="000000"/>
          <w:spacing w:val="0"/>
          <w:w w:val="100"/>
          <w:position w:val="0"/>
        </w:rPr>
        <w:t xml:space="preserve">我决定的说明义务”）和 </w:t>
      </w:r>
      <w:r>
        <w:rPr>
          <w:color w:val="000000"/>
          <w:spacing w:val="0"/>
          <w:w w:val="100"/>
          <w:position w:val="0"/>
          <w:lang w:val="zh-CN" w:eastAsia="zh-CN" w:bidi="zh-CN"/>
        </w:rPr>
        <w:t>“确</w:t>
      </w:r>
      <w:r>
        <w:rPr>
          <w:color w:val="000000"/>
          <w:spacing w:val="0"/>
          <w:w w:val="100"/>
          <w:position w:val="0"/>
        </w:rPr>
        <w:t>保疗效的说明义务</w:t>
      </w:r>
      <w:r>
        <w:rPr>
          <w:color w:val="000000"/>
          <w:spacing w:val="0"/>
          <w:w w:val="100"/>
          <w:position w:val="0"/>
          <w:sz w:val="11"/>
          <w:szCs w:val="11"/>
          <w:lang w:val="zh-CN" w:eastAsia="zh-CN" w:bidi="zh-CN"/>
        </w:rPr>
        <w:t>”（周</w:t>
      </w:r>
      <w:r>
        <w:rPr>
          <w:color w:val="000000"/>
          <w:spacing w:val="0"/>
          <w:w w:val="100"/>
          <w:position w:val="0"/>
          <w:sz w:val="11"/>
          <w:szCs w:val="11"/>
        </w:rPr>
        <w:t>江洪:《违反医疗说明义务损害赔偿范围的界定》，载《法学》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5 </w:t>
      </w:r>
      <w:r>
        <w:rPr>
          <w:color w:val="000000"/>
          <w:spacing w:val="0"/>
          <w:w w:val="100"/>
          <w:position w:val="0"/>
          <w:sz w:val="11"/>
          <w:szCs w:val="11"/>
        </w:rPr>
        <w:t>期；张谷:《浅谈医方的说明义务》，载《浙江社会科学》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期）。</w:t>
      </w:r>
      <w:r>
        <w:rPr>
          <w:color w:val="000000"/>
          <w:spacing w:val="0"/>
          <w:w w:val="100"/>
          <w:position w:val="0"/>
        </w:rPr>
        <w:t>确保疗效的说明义务是为 了向患者说明应当如何行为和配合才能保证治疗的效果，并不是为了取得患者对医疗侵袭 行为的同意。例如,医生告知患者出院后要做康复运动以及禁忌事项，即属确保疗效的说 明义务。确保疗效的说明义务属于医疗技术范畴，此项说明义务的怠于履行，并不违反知 情同意规则，而是构成医疗技术过错。</w:t>
      </w:r>
    </w:p>
    <w:p w14:paraId="3D1E07BD">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lang w:val="zh-CN" w:eastAsia="zh-CN" w:bidi="zh-CN"/>
        </w:rPr>
        <w:t>“自我</w:t>
      </w:r>
      <w:r>
        <w:rPr>
          <w:color w:val="000000"/>
          <w:spacing w:val="0"/>
          <w:w w:val="100"/>
          <w:position w:val="0"/>
        </w:rPr>
        <w:t>决定的说明义务”一般可以分为诊断结果的告知、医疗风险的告知、预期医疗效 果的告知和替代医疗方案的告知等义务。不过以上并未穷尽自我决定的说明义务的内容， 随着司法实践的发展，尚有可能发展出新的内涵。《民法典》第</w:t>
      </w:r>
      <w:r>
        <w:rPr>
          <w:rFonts w:ascii="Times New Roman" w:hAnsi="Times New Roman" w:eastAsia="Times New Roman" w:cs="Times New Roman"/>
          <w:color w:val="000000"/>
          <w:spacing w:val="0"/>
          <w:w w:val="100"/>
          <w:position w:val="0"/>
          <w:sz w:val="17"/>
          <w:szCs w:val="17"/>
        </w:rPr>
        <w:t>1219</w:t>
      </w:r>
      <w:r>
        <w:rPr>
          <w:color w:val="000000"/>
          <w:spacing w:val="0"/>
          <w:w w:val="100"/>
          <w:position w:val="0"/>
        </w:rPr>
        <w:t>条第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款对自我决定 的说明义务的内容做了规定。</w:t>
      </w:r>
    </w:p>
    <w:p w14:paraId="55705E46">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对诊断结果的告知，要求医务人员向患者说明其所患何病、若不治疗病情会如何发展。 在诊断某项疾病过程中,若发现其他可疑病征，应一并向患者告知，以便患者做进一步诊断 来排查或者确诊。</w:t>
      </w:r>
    </w:p>
    <w:p w14:paraId="47278CF6">
      <w:pPr>
        <w:pStyle w:val="17"/>
        <w:keepNext w:val="0"/>
        <w:keepLines w:val="0"/>
        <w:widowControl w:val="0"/>
        <w:shd w:val="clear" w:color="auto" w:fill="auto"/>
        <w:bidi w:val="0"/>
        <w:spacing w:before="0" w:after="60" w:line="342" w:lineRule="exact"/>
        <w:ind w:left="0" w:right="0" w:firstLine="420"/>
        <w:jc w:val="both"/>
        <w:rPr>
          <w:sz w:val="11"/>
          <w:szCs w:val="11"/>
        </w:rPr>
        <w:sectPr>
          <w:headerReference r:id="rId566" w:type="default"/>
          <w:headerReference r:id="rId567" w:type="even"/>
          <w:footnotePr>
            <w:numFmt w:val="chicago"/>
          </w:footnotePr>
          <w:pgSz w:w="10099" w:h="14782"/>
          <w:pgMar w:top="1259" w:right="925" w:bottom="1018" w:left="886" w:header="0" w:footer="590" w:gutter="0"/>
          <w:pgNumType w:start="497"/>
          <w:cols w:space="720" w:num="1"/>
          <w:rtlGutter w:val="0"/>
          <w:docGrid w:linePitch="360" w:charSpace="0"/>
        </w:sectPr>
      </w:pPr>
      <w:r>
        <w:rPr>
          <w:color w:val="000000"/>
          <w:spacing w:val="0"/>
          <w:w w:val="100"/>
          <w:position w:val="0"/>
          <w:sz w:val="18"/>
          <w:szCs w:val="18"/>
        </w:rPr>
        <w:t>对医疗风险的告知，是为了让患者权衡风险和可能的疗效，权衡利弊后做出是否接受 治疗的决定。何种风险需要告知、何种风险无需告知，需要理论给出指引。以下判断要点被 学者提及</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如果风险实现只会带来微小的伤害测不用告知</w:t>
      </w:r>
      <w:r>
        <w:rPr>
          <w:color w:val="000000"/>
          <w:spacing w:val="0"/>
          <w:w w:val="100"/>
          <w:position w:val="0"/>
          <w:sz w:val="11"/>
          <w:szCs w:val="11"/>
        </w:rPr>
        <w:t>［艾尔肯:《论医师的说明义务》， 载《沈阳师范大学学报》（社会科学版</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风险发生的概率极低贝</w:t>
      </w:r>
      <w:r>
        <w:rPr>
          <w:rFonts w:ascii="Times New Roman" w:hAnsi="Times New Roman" w:eastAsia="Times New Roman" w:cs="Times New Roman"/>
          <w:color w:val="000000"/>
          <w:spacing w:val="0"/>
          <w:w w:val="100"/>
          <w:position w:val="0"/>
          <w:sz w:val="17"/>
          <w:szCs w:val="17"/>
          <w:lang w:val="en-US" w:eastAsia="en-US" w:bidi="en-US"/>
        </w:rPr>
        <w:t>!j</w:t>
      </w:r>
      <w:r>
        <w:rPr>
          <w:color w:val="000000"/>
          <w:spacing w:val="0"/>
          <w:w w:val="100"/>
          <w:position w:val="0"/>
          <w:sz w:val="18"/>
          <w:szCs w:val="18"/>
        </w:rPr>
        <w:t>不用告知，但 低到何种程度不用告知没有一个刚性的标准。此外,一旦风险发生造成的损害十分重大 （如死亡或者瘫痪），则即便发生的概率较低也仍要告知此等风险。换言之，风险发生的概 率和风险实现造成的损害严重程度共同影响是否要告知该风险</w:t>
      </w:r>
      <w:r>
        <w:rPr>
          <w:color w:val="000000"/>
          <w:spacing w:val="0"/>
          <w:w w:val="100"/>
          <w:position w:val="0"/>
          <w:sz w:val="11"/>
          <w:szCs w:val="11"/>
        </w:rPr>
        <w:t>（邓奕羿:《医师履行告知义务 的判定标准》，载《医学与哲学》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lang w:val="en-US" w:eastAsia="en-US" w:bidi="en-US"/>
        </w:rPr>
        <w:t>10A</w:t>
      </w:r>
      <w:r>
        <w:rPr>
          <w:color w:val="000000"/>
          <w:spacing w:val="0"/>
          <w:w w:val="100"/>
          <w:position w:val="0"/>
          <w:sz w:val="11"/>
          <w:szCs w:val="11"/>
        </w:rPr>
        <w:t>期）。</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8"/>
          <w:szCs w:val="18"/>
        </w:rPr>
        <w:t xml:space="preserve">医疗指征越不明确的治疗方案对风险的 告知要求越高。例如，美容手术的风险告知义务要强于一般疾病治疗手段的风险告知义务 </w:t>
      </w:r>
      <w:r>
        <w:rPr>
          <w:color w:val="000000"/>
          <w:spacing w:val="0"/>
          <w:w w:val="100"/>
          <w:position w:val="0"/>
          <w:sz w:val="11"/>
          <w:szCs w:val="11"/>
        </w:rPr>
        <w:t>（邓奕羿:《医师履行告知义务的判定标准》，载《医学与哲学》</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lang w:val="en-US" w:eastAsia="en-US" w:bidi="en-US"/>
        </w:rPr>
        <w:t>10A</w:t>
      </w:r>
      <w:r>
        <w:rPr>
          <w:color w:val="000000"/>
          <w:spacing w:val="0"/>
          <w:w w:val="100"/>
          <w:position w:val="0"/>
          <w:sz w:val="11"/>
          <w:szCs w:val="11"/>
        </w:rPr>
        <w:t>期）。</w:t>
      </w:r>
    </w:p>
    <w:p w14:paraId="017DE91D">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医方应向患者告知预期医疗效果，以便患者权衡利弊做出是否接受医疗的决定。当治 疗方案不能完全治愈疾病或仅仅是临时压制疼痛时，对此种效果的告知尤其影响患者的决 定。</w:t>
      </w:r>
    </w:p>
    <w:p w14:paraId="42B6586E">
      <w:pPr>
        <w:pStyle w:val="17"/>
        <w:keepNext w:val="0"/>
        <w:keepLines w:val="0"/>
        <w:widowControl w:val="0"/>
        <w:shd w:val="clear" w:color="auto" w:fill="auto"/>
        <w:bidi w:val="0"/>
        <w:spacing w:before="0" w:after="300" w:line="340" w:lineRule="exact"/>
        <w:ind w:left="0" w:right="0" w:firstLine="420"/>
        <w:jc w:val="both"/>
        <w:rPr>
          <w:sz w:val="11"/>
          <w:szCs w:val="11"/>
        </w:rPr>
      </w:pPr>
      <w:r>
        <w:rPr>
          <w:color w:val="000000"/>
          <w:spacing w:val="0"/>
          <w:w w:val="100"/>
          <w:position w:val="0"/>
          <w:sz w:val="18"/>
          <w:szCs w:val="18"/>
        </w:rPr>
        <w:t>医方应向患者告知替代医疗方案。何为替代医疗方案需要解释。学界提出以下判断 是否构成替代医疗方案的考虑要素：（</w:t>
      </w:r>
      <w:r>
        <w:rPr>
          <w:rFonts w:ascii="Times New Roman" w:hAnsi="Times New Roman" w:eastAsia="Times New Roman" w:cs="Times New Roman"/>
          <w:color w:val="000000"/>
          <w:spacing w:val="0"/>
          <w:w w:val="100"/>
          <w:position w:val="0"/>
          <w:sz w:val="19"/>
          <w:szCs w:val="19"/>
        </w:rPr>
        <w:t xml:space="preserve">1 </w:t>
      </w:r>
      <w:r>
        <w:rPr>
          <w:color w:val="000000"/>
          <w:spacing w:val="0"/>
          <w:w w:val="100"/>
          <w:position w:val="0"/>
          <w:sz w:val="18"/>
          <w:szCs w:val="18"/>
        </w:rPr>
        <w:t>）目的相同，即替代医疗方案与医生所建议的医疗方 案有相同治疗目的</w:t>
      </w:r>
      <w:r>
        <w:rPr>
          <w:color w:val="000000"/>
          <w:spacing w:val="0"/>
          <w:w w:val="100"/>
          <w:position w:val="0"/>
          <w:sz w:val="11"/>
          <w:szCs w:val="11"/>
        </w:rPr>
        <w:t>（李冬、常林:《替代医疗方案的法律解读》，载《中国卫生法制》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 xml:space="preserve">期）。 </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8"/>
          <w:szCs w:val="18"/>
        </w:rPr>
        <w:t>在医疗实践中被经常使用，那些只被个别医生使用的方案或者尚处于试验阶段的方案 不是替代医疗方案</w:t>
      </w:r>
      <w:r>
        <w:rPr>
          <w:color w:val="000000"/>
          <w:spacing w:val="0"/>
          <w:w w:val="100"/>
          <w:position w:val="0"/>
          <w:sz w:val="11"/>
          <w:szCs w:val="11"/>
        </w:rPr>
        <w:t>（马新耀、张思兵:《替代医疗方案及其相关法律问题》，载《中国医院》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11 </w:t>
      </w:r>
      <w:r>
        <w:rPr>
          <w:color w:val="000000"/>
          <w:spacing w:val="0"/>
          <w:w w:val="100"/>
          <w:position w:val="0"/>
          <w:sz w:val="11"/>
          <w:szCs w:val="11"/>
        </w:rPr>
        <w:t>期</w:t>
      </w:r>
      <w:r>
        <w:rPr>
          <w:rFonts w:ascii="Times New Roman" w:hAnsi="Times New Roman" w:eastAsia="Times New Roman" w:cs="Times New Roman"/>
          <w:color w:val="000000"/>
          <w:spacing w:val="0"/>
          <w:w w:val="100"/>
          <w:position w:val="0"/>
          <w:sz w:val="19"/>
          <w:szCs w:val="19"/>
          <w:lang w:val="en-US" w:eastAsia="en-US" w:bidi="en-US"/>
        </w:rPr>
        <w:t xml:space="preserve">）o </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8"/>
          <w:szCs w:val="18"/>
        </w:rPr>
        <w:t>有疑义时，应以中国医学会出版的《临床诊疗规范》作为鉴定依据，以判断是否构 成替代医疗方案</w:t>
      </w:r>
      <w:r>
        <w:rPr>
          <w:color w:val="000000"/>
          <w:spacing w:val="0"/>
          <w:w w:val="100"/>
          <w:position w:val="0"/>
          <w:sz w:val="11"/>
          <w:szCs w:val="11"/>
        </w:rPr>
        <w:t>（李冬、常林:《替代医疗方案的法律解读》，载《中国卫生法制》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p>
    <w:p w14:paraId="6E9EBADC">
      <w:pPr>
        <w:pStyle w:val="17"/>
        <w:keepNext w:val="0"/>
        <w:keepLines w:val="0"/>
        <w:widowControl w:val="0"/>
        <w:shd w:val="clear" w:color="auto" w:fill="auto"/>
        <w:bidi w:val="0"/>
        <w:spacing w:before="0" w:after="0" w:line="374"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B</w:t>
      </w:r>
      <w:r>
        <w:rPr>
          <w:color w:val="000000"/>
          <w:spacing w:val="0"/>
          <w:w w:val="100"/>
          <w:position w:val="0"/>
        </w:rPr>
        <w:t>既往司法实践状况</w:t>
      </w:r>
    </w:p>
    <w:p w14:paraId="34795A60">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涉及医疗知情同意规则的案件，可分为以下几类</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未取得患者同意的医疗侵袭行 为；</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未告知诊断结果或告知不全面；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未告知医疗风险；</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 xml:space="preserve">未告知预期医疗效果;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未告知替代医疗方案。</w:t>
      </w:r>
    </w:p>
    <w:p w14:paraId="5AEA782F">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在“张良昆与沅陵县人民医院侵害患者知情同意权责任纠纷案</w:t>
      </w:r>
      <w:r>
        <w:rPr>
          <w:color w:val="000000"/>
          <w:spacing w:val="0"/>
          <w:w w:val="100"/>
          <w:position w:val="0"/>
          <w:sz w:val="11"/>
          <w:szCs w:val="11"/>
          <w:lang w:val="zh-CN" w:eastAsia="zh-CN" w:bidi="zh-CN"/>
        </w:rPr>
        <w:t>”［湖</w:t>
      </w:r>
      <w:r>
        <w:rPr>
          <w:color w:val="000000"/>
          <w:spacing w:val="0"/>
          <w:w w:val="100"/>
          <w:position w:val="0"/>
          <w:sz w:val="11"/>
          <w:szCs w:val="11"/>
        </w:rPr>
        <w:t>南省怀化市中级人民 法院</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怀中民一终字第</w:t>
      </w:r>
      <w:r>
        <w:rPr>
          <w:rFonts w:ascii="Times New Roman" w:hAnsi="Times New Roman" w:eastAsia="Times New Roman" w:cs="Times New Roman"/>
          <w:color w:val="000000"/>
          <w:spacing w:val="0"/>
          <w:w w:val="100"/>
          <w:position w:val="0"/>
          <w:sz w:val="17"/>
          <w:szCs w:val="17"/>
        </w:rPr>
        <w:t>221</w:t>
      </w:r>
      <w:r>
        <w:rPr>
          <w:color w:val="000000"/>
          <w:spacing w:val="0"/>
          <w:w w:val="100"/>
          <w:position w:val="0"/>
          <w:sz w:val="11"/>
          <w:szCs w:val="11"/>
        </w:rPr>
        <w:t>号民事判决书］</w:t>
      </w:r>
      <w:r>
        <w:rPr>
          <w:color w:val="000000"/>
          <w:spacing w:val="0"/>
          <w:w w:val="100"/>
          <w:position w:val="0"/>
        </w:rPr>
        <w:t>中，医院第一次手术取得患者同意，但术后有并 发症,未经患者同意便实施第二次手术,第二次手术与第一次手术是不同类型的手术，法院 认为医院违反了知情同意规则，应承担损害赔偿责任。</w:t>
      </w:r>
      <w:r>
        <w:rPr>
          <w:color w:val="000000"/>
          <w:spacing w:val="0"/>
          <w:w w:val="100"/>
          <w:position w:val="0"/>
          <w:lang w:val="zh-CN" w:eastAsia="zh-CN" w:bidi="zh-CN"/>
        </w:rPr>
        <w:t>“廖</w:t>
      </w:r>
      <w:r>
        <w:rPr>
          <w:color w:val="000000"/>
          <w:spacing w:val="0"/>
          <w:w w:val="100"/>
          <w:position w:val="0"/>
        </w:rPr>
        <w:t>某某、廖某富、廖某贵、廖某凤与 浦北县人民医院侵害患者知情同意权责任纠纷案</w:t>
      </w:r>
      <w:r>
        <w:rPr>
          <w:color w:val="000000"/>
          <w:spacing w:val="0"/>
          <w:w w:val="100"/>
          <w:position w:val="0"/>
          <w:sz w:val="11"/>
          <w:szCs w:val="11"/>
          <w:lang w:val="zh-CN" w:eastAsia="zh-CN" w:bidi="zh-CN"/>
        </w:rPr>
        <w:t>”［广</w:t>
      </w:r>
      <w:r>
        <w:rPr>
          <w:color w:val="000000"/>
          <w:spacing w:val="0"/>
          <w:w w:val="100"/>
          <w:position w:val="0"/>
          <w:sz w:val="11"/>
          <w:szCs w:val="11"/>
        </w:rPr>
        <w:t>西壮族自治区浦北县人民法院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浦 民初字第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1"/>
          <w:szCs w:val="11"/>
        </w:rPr>
        <w:t>号民事判决书］</w:t>
      </w:r>
      <w:r>
        <w:rPr>
          <w:color w:val="000000"/>
          <w:spacing w:val="0"/>
          <w:w w:val="100"/>
          <w:position w:val="0"/>
          <w:lang w:val="zh-CN" w:eastAsia="zh-CN" w:bidi="zh-CN"/>
        </w:rPr>
        <w:t>、“谢</w:t>
      </w:r>
      <w:r>
        <w:rPr>
          <w:color w:val="000000"/>
          <w:spacing w:val="0"/>
          <w:w w:val="100"/>
          <w:position w:val="0"/>
        </w:rPr>
        <w:t>全中与确山县第一人民医院医疗损害赔偿纠纷案</w:t>
      </w:r>
      <w:r>
        <w:rPr>
          <w:color w:val="000000"/>
          <w:spacing w:val="0"/>
          <w:w w:val="100"/>
          <w:position w:val="0"/>
          <w:sz w:val="11"/>
          <w:szCs w:val="11"/>
          <w:lang w:val="zh-CN" w:eastAsia="zh-CN" w:bidi="zh-CN"/>
        </w:rPr>
        <w:t>”［河</w:t>
      </w:r>
      <w:r>
        <w:rPr>
          <w:color w:val="000000"/>
          <w:spacing w:val="0"/>
          <w:w w:val="100"/>
          <w:position w:val="0"/>
          <w:sz w:val="11"/>
          <w:szCs w:val="11"/>
        </w:rPr>
        <w:t>南省驻马 店市中级人民法院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驻民一终字第</w:t>
      </w:r>
      <w:r>
        <w:rPr>
          <w:rFonts w:ascii="Times New Roman" w:hAnsi="Times New Roman" w:eastAsia="Times New Roman" w:cs="Times New Roman"/>
          <w:color w:val="000000"/>
          <w:spacing w:val="0"/>
          <w:w w:val="100"/>
          <w:position w:val="0"/>
          <w:sz w:val="17"/>
          <w:szCs w:val="17"/>
        </w:rPr>
        <w:t>12</w:t>
      </w:r>
      <w:r>
        <w:rPr>
          <w:color w:val="000000"/>
          <w:spacing w:val="0"/>
          <w:w w:val="100"/>
          <w:position w:val="0"/>
          <w:sz w:val="11"/>
          <w:szCs w:val="11"/>
        </w:rPr>
        <w:t>号民事判决书］</w:t>
      </w:r>
      <w:r>
        <w:rPr>
          <w:color w:val="000000"/>
          <w:spacing w:val="0"/>
          <w:w w:val="100"/>
          <w:position w:val="0"/>
        </w:rPr>
        <w:t>也是未取得患者同意而为医疗侵袭行 为,法院判决医院承担损害赔偿责任。</w:t>
      </w:r>
    </w:p>
    <w:p w14:paraId="55D14AFD">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医生未告知诊断结果，延误患者治疗，应承担损害赔偿责任。例如</w:t>
      </w:r>
      <w:r>
        <w:rPr>
          <w:color w:val="000000"/>
          <w:spacing w:val="0"/>
          <w:w w:val="100"/>
          <w:position w:val="0"/>
          <w:sz w:val="18"/>
          <w:szCs w:val="18"/>
          <w:lang w:val="zh-CN" w:eastAsia="zh-CN" w:bidi="zh-CN"/>
        </w:rPr>
        <w:t>“马文</w:t>
      </w:r>
      <w:r>
        <w:rPr>
          <w:color w:val="000000"/>
          <w:spacing w:val="0"/>
          <w:w w:val="100"/>
          <w:position w:val="0"/>
          <w:sz w:val="18"/>
          <w:szCs w:val="18"/>
        </w:rPr>
        <w:t>学与北京华博 医院侵害患者知情同意权责任纠纷案</w:t>
      </w:r>
      <w:r>
        <w:rPr>
          <w:color w:val="000000"/>
          <w:spacing w:val="0"/>
          <w:w w:val="100"/>
          <w:position w:val="0"/>
          <w:sz w:val="11"/>
          <w:szCs w:val="11"/>
          <w:lang w:val="zh-CN" w:eastAsia="zh-CN" w:bidi="zh-CN"/>
        </w:rPr>
        <w:t>”［北</w:t>
      </w:r>
      <w:r>
        <w:rPr>
          <w:color w:val="000000"/>
          <w:spacing w:val="0"/>
          <w:w w:val="100"/>
          <w:position w:val="0"/>
          <w:sz w:val="11"/>
          <w:szCs w:val="11"/>
        </w:rPr>
        <w:t>京市丰台区人民法院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丰民初字第</w:t>
      </w:r>
      <w:r>
        <w:rPr>
          <w:rFonts w:ascii="Times New Roman" w:hAnsi="Times New Roman" w:eastAsia="Times New Roman" w:cs="Times New Roman"/>
          <w:color w:val="000000"/>
          <w:spacing w:val="0"/>
          <w:w w:val="100"/>
          <w:position w:val="0"/>
          <w:sz w:val="17"/>
          <w:szCs w:val="17"/>
        </w:rPr>
        <w:t>03985</w:t>
      </w:r>
      <w:r>
        <w:rPr>
          <w:color w:val="000000"/>
          <w:spacing w:val="0"/>
          <w:w w:val="100"/>
          <w:position w:val="0"/>
          <w:sz w:val="11"/>
          <w:szCs w:val="11"/>
        </w:rPr>
        <w:t>号民事 判决书］、</w:t>
      </w:r>
      <w:r>
        <w:rPr>
          <w:color w:val="000000"/>
          <w:spacing w:val="0"/>
          <w:w w:val="100"/>
          <w:position w:val="0"/>
          <w:sz w:val="18"/>
          <w:szCs w:val="18"/>
          <w:lang w:val="zh-CN" w:eastAsia="zh-CN" w:bidi="zh-CN"/>
        </w:rPr>
        <w:t>“邱新</w:t>
      </w:r>
      <w:r>
        <w:rPr>
          <w:color w:val="000000"/>
          <w:spacing w:val="0"/>
          <w:w w:val="100"/>
          <w:position w:val="0"/>
          <w:sz w:val="18"/>
          <w:szCs w:val="18"/>
        </w:rPr>
        <w:t>寿与开化县人民医院医疗服务合同纠纷案</w:t>
      </w:r>
      <w:r>
        <w:rPr>
          <w:color w:val="000000"/>
          <w:spacing w:val="0"/>
          <w:w w:val="100"/>
          <w:position w:val="0"/>
          <w:sz w:val="11"/>
          <w:szCs w:val="11"/>
          <w:lang w:val="zh-CN" w:eastAsia="zh-CN" w:bidi="zh-CN"/>
        </w:rPr>
        <w:t>”［浙</w:t>
      </w:r>
      <w:r>
        <w:rPr>
          <w:color w:val="000000"/>
          <w:spacing w:val="0"/>
          <w:w w:val="100"/>
          <w:position w:val="0"/>
          <w:sz w:val="11"/>
          <w:szCs w:val="11"/>
        </w:rPr>
        <w:t>江省开化县人民法院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衢开 民初字第</w:t>
      </w:r>
      <w:r>
        <w:rPr>
          <w:rFonts w:ascii="Times New Roman" w:hAnsi="Times New Roman" w:eastAsia="Times New Roman" w:cs="Times New Roman"/>
          <w:color w:val="000000"/>
          <w:spacing w:val="0"/>
          <w:w w:val="100"/>
          <w:position w:val="0"/>
          <w:sz w:val="17"/>
          <w:szCs w:val="17"/>
        </w:rPr>
        <w:t>223</w:t>
      </w:r>
      <w:r>
        <w:rPr>
          <w:color w:val="000000"/>
          <w:spacing w:val="0"/>
          <w:w w:val="100"/>
          <w:position w:val="0"/>
          <w:sz w:val="11"/>
          <w:szCs w:val="11"/>
        </w:rPr>
        <w:t>号民事判决书］。</w:t>
      </w:r>
      <w:r>
        <w:rPr>
          <w:color w:val="000000"/>
          <w:spacing w:val="0"/>
          <w:w w:val="100"/>
          <w:position w:val="0"/>
          <w:sz w:val="18"/>
          <w:szCs w:val="18"/>
        </w:rPr>
        <w:t>医生在诊断某疾病的过程中，意外发现其他疾病指征而未告 知，也违反诊断结果告知义务，此类案例有</w:t>
      </w:r>
      <w:r>
        <w:rPr>
          <w:color w:val="000000"/>
          <w:spacing w:val="0"/>
          <w:w w:val="100"/>
          <w:position w:val="0"/>
          <w:sz w:val="18"/>
          <w:szCs w:val="18"/>
          <w:lang w:val="zh-CN" w:eastAsia="zh-CN" w:bidi="zh-CN"/>
        </w:rPr>
        <w:t>“郑</w:t>
      </w:r>
      <w:r>
        <w:rPr>
          <w:color w:val="000000"/>
          <w:spacing w:val="0"/>
          <w:w w:val="100"/>
          <w:position w:val="0"/>
          <w:sz w:val="18"/>
          <w:szCs w:val="18"/>
        </w:rPr>
        <w:t>荷香、张有为等与富阳市中医骨伤医院医疗 服务合同纠纷案</w:t>
      </w:r>
      <w:r>
        <w:rPr>
          <w:color w:val="000000"/>
          <w:spacing w:val="0"/>
          <w:w w:val="100"/>
          <w:position w:val="0"/>
          <w:sz w:val="11"/>
          <w:szCs w:val="11"/>
          <w:lang w:val="zh-CN" w:eastAsia="zh-CN" w:bidi="zh-CN"/>
        </w:rPr>
        <w:t>”［浙</w:t>
      </w:r>
      <w:r>
        <w:rPr>
          <w:color w:val="000000"/>
          <w:spacing w:val="0"/>
          <w:w w:val="100"/>
          <w:position w:val="0"/>
          <w:sz w:val="11"/>
          <w:szCs w:val="11"/>
        </w:rPr>
        <w:t>江省富阳市人民法院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杭富民初字第</w:t>
      </w:r>
      <w:r>
        <w:rPr>
          <w:rFonts w:ascii="Times New Roman" w:hAnsi="Times New Roman" w:eastAsia="Times New Roman" w:cs="Times New Roman"/>
          <w:color w:val="000000"/>
          <w:spacing w:val="0"/>
          <w:w w:val="100"/>
          <w:position w:val="0"/>
          <w:sz w:val="17"/>
          <w:szCs w:val="17"/>
        </w:rPr>
        <w:t>933</w:t>
      </w:r>
      <w:r>
        <w:rPr>
          <w:color w:val="000000"/>
          <w:spacing w:val="0"/>
          <w:w w:val="100"/>
          <w:position w:val="0"/>
          <w:sz w:val="11"/>
          <w:szCs w:val="11"/>
        </w:rPr>
        <w:t>号民事判决书］。</w:t>
      </w:r>
    </w:p>
    <w:p w14:paraId="33F1E3D3">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因未充分告知医疗风险而承担责任的案件有：</w:t>
      </w:r>
      <w:r>
        <w:rPr>
          <w:color w:val="000000"/>
          <w:spacing w:val="0"/>
          <w:w w:val="100"/>
          <w:position w:val="0"/>
          <w:lang w:val="zh-CN" w:eastAsia="zh-CN" w:bidi="zh-CN"/>
        </w:rPr>
        <w:t>“龚</w:t>
      </w:r>
      <w:r>
        <w:rPr>
          <w:color w:val="000000"/>
          <w:spacing w:val="0"/>
          <w:w w:val="100"/>
          <w:position w:val="0"/>
        </w:rPr>
        <w:t>举明诉夏邑县第二人民医院医疗服 务合同纠纷案</w:t>
      </w:r>
      <w:r>
        <w:rPr>
          <w:color w:val="000000"/>
          <w:spacing w:val="0"/>
          <w:w w:val="100"/>
          <w:position w:val="0"/>
          <w:sz w:val="11"/>
          <w:szCs w:val="11"/>
          <w:lang w:val="zh-CN" w:eastAsia="zh-CN" w:bidi="zh-CN"/>
        </w:rPr>
        <w:t>”［河</w:t>
      </w:r>
      <w:r>
        <w:rPr>
          <w:color w:val="000000"/>
          <w:spacing w:val="0"/>
          <w:w w:val="100"/>
          <w:position w:val="0"/>
          <w:sz w:val="11"/>
          <w:szCs w:val="11"/>
        </w:rPr>
        <w:t>南省夏邑县人民法院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sz w:val="11"/>
          <w:szCs w:val="11"/>
        </w:rPr>
        <w:t>夏民初字第</w:t>
      </w:r>
      <w:r>
        <w:rPr>
          <w:rFonts w:ascii="Times New Roman" w:hAnsi="Times New Roman" w:eastAsia="Times New Roman" w:cs="Times New Roman"/>
          <w:color w:val="000000"/>
          <w:spacing w:val="0"/>
          <w:w w:val="100"/>
          <w:position w:val="0"/>
          <w:sz w:val="17"/>
          <w:szCs w:val="17"/>
        </w:rPr>
        <w:t>1107</w:t>
      </w:r>
      <w:r>
        <w:rPr>
          <w:color w:val="000000"/>
          <w:spacing w:val="0"/>
          <w:w w:val="100"/>
          <w:position w:val="0"/>
          <w:sz w:val="11"/>
          <w:szCs w:val="11"/>
        </w:rPr>
        <w:t>号民事判决书］</w:t>
      </w:r>
      <w:r>
        <w:rPr>
          <w:color w:val="000000"/>
          <w:spacing w:val="0"/>
          <w:w w:val="100"/>
          <w:position w:val="0"/>
        </w:rPr>
        <w:t>，术前医生未告知 可能形成脑梗塞的风险，同时医疗过程存在技术过错,手术风险发生导致患者形成脑梗塞 造成偏瘫,法院判决医院承担损害赔偿责任。</w:t>
      </w:r>
    </w:p>
    <w:p w14:paraId="256B5ACA">
      <w:pPr>
        <w:pStyle w:val="17"/>
        <w:keepNext w:val="0"/>
        <w:keepLines w:val="0"/>
        <w:widowControl w:val="0"/>
        <w:shd w:val="clear" w:color="auto" w:fill="auto"/>
        <w:bidi w:val="0"/>
        <w:spacing w:before="0" w:after="0" w:line="339" w:lineRule="exact"/>
        <w:ind w:left="0" w:right="0" w:firstLine="420"/>
        <w:jc w:val="both"/>
        <w:sectPr>
          <w:headerReference r:id="rId568" w:type="default"/>
          <w:headerReference r:id="rId569" w:type="even"/>
          <w:footnotePr>
            <w:numFmt w:val="chicago"/>
          </w:footnotePr>
          <w:pgSz w:w="10099" w:h="14782"/>
          <w:pgMar w:top="1259" w:right="925" w:bottom="1018" w:left="886" w:header="0" w:footer="590" w:gutter="0"/>
          <w:pgNumType w:start="482"/>
          <w:cols w:space="720" w:num="1"/>
          <w:rtlGutter w:val="0"/>
          <w:docGrid w:linePitch="360" w:charSpace="0"/>
        </w:sectPr>
      </w:pPr>
      <w:r>
        <w:rPr>
          <w:color w:val="000000"/>
          <w:spacing w:val="0"/>
          <w:w w:val="100"/>
          <w:position w:val="0"/>
        </w:rPr>
        <w:t>在“张先凤与海南省皮肤病医院医疗服务合同纠纷案</w:t>
      </w:r>
      <w:r>
        <w:rPr>
          <w:color w:val="000000"/>
          <w:spacing w:val="0"/>
          <w:w w:val="100"/>
          <w:position w:val="0"/>
          <w:sz w:val="11"/>
          <w:szCs w:val="11"/>
          <w:lang w:val="zh-CN" w:eastAsia="zh-CN" w:bidi="zh-CN"/>
        </w:rPr>
        <w:t>”［海</w:t>
      </w:r>
      <w:r>
        <w:rPr>
          <w:color w:val="000000"/>
          <w:spacing w:val="0"/>
          <w:w w:val="100"/>
          <w:position w:val="0"/>
          <w:sz w:val="11"/>
          <w:szCs w:val="11"/>
        </w:rPr>
        <w:t xml:space="preserve">南省海口市中级人民法院 </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海中法民三终字第</w:t>
      </w:r>
      <w:r>
        <w:rPr>
          <w:rFonts w:ascii="Times New Roman" w:hAnsi="Times New Roman" w:eastAsia="Times New Roman" w:cs="Times New Roman"/>
          <w:color w:val="000000"/>
          <w:spacing w:val="0"/>
          <w:w w:val="100"/>
          <w:position w:val="0"/>
          <w:sz w:val="17"/>
          <w:szCs w:val="17"/>
        </w:rPr>
        <w:t>97</w:t>
      </w:r>
      <w:r>
        <w:rPr>
          <w:color w:val="000000"/>
          <w:spacing w:val="0"/>
          <w:w w:val="100"/>
          <w:position w:val="0"/>
          <w:sz w:val="11"/>
          <w:szCs w:val="11"/>
        </w:rPr>
        <w:t>号民事判决书］</w:t>
      </w:r>
      <w:r>
        <w:rPr>
          <w:color w:val="000000"/>
          <w:spacing w:val="0"/>
          <w:w w:val="100"/>
          <w:position w:val="0"/>
        </w:rPr>
        <w:t xml:space="preserve">中，医方未告知患者拟实施的激光脱毛技术只能处 理黑发毛囊,不能去除白发，而患者以为该方案可以同时脱去黑发和白发，法院认为医方违 </w:t>
      </w:r>
    </w:p>
    <w:p w14:paraId="2BC24E28">
      <w:pPr>
        <w:pStyle w:val="17"/>
        <w:keepNext w:val="0"/>
        <w:keepLines w:val="0"/>
        <w:widowControl w:val="0"/>
        <w:shd w:val="clear" w:color="auto" w:fill="auto"/>
        <w:bidi w:val="0"/>
        <w:spacing w:before="0" w:after="0" w:line="339" w:lineRule="exact"/>
        <w:ind w:left="0" w:right="0" w:firstLine="0"/>
        <w:jc w:val="both"/>
      </w:pPr>
      <w:r>
        <w:rPr>
          <w:color w:val="000000"/>
          <w:spacing w:val="0"/>
          <w:w w:val="100"/>
          <w:position w:val="0"/>
        </w:rPr>
        <w:t>反了对预期医疗效果的告知义务，应承担损害赔偿责任。</w:t>
      </w:r>
    </w:p>
    <w:p w14:paraId="627E9A15">
      <w:pPr>
        <w:pStyle w:val="17"/>
        <w:keepNext w:val="0"/>
        <w:keepLines w:val="0"/>
        <w:widowControl w:val="0"/>
        <w:shd w:val="clear" w:color="auto" w:fill="auto"/>
        <w:bidi w:val="0"/>
        <w:spacing w:before="0" w:after="260" w:line="342" w:lineRule="exact"/>
        <w:ind w:left="0" w:right="0" w:firstLine="420"/>
        <w:jc w:val="both"/>
      </w:pPr>
      <w:r>
        <w:rPr>
          <w:color w:val="000000"/>
          <w:spacing w:val="0"/>
          <w:w w:val="100"/>
          <w:position w:val="0"/>
        </w:rPr>
        <w:t>在“胡克爱与广州中医药大学第一附属医院医疗损害责任纠纷案”［广东省广州市中级人 民法院</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穗中法民一终字第</w:t>
      </w:r>
      <w:r>
        <w:rPr>
          <w:rFonts w:ascii="Times New Roman" w:hAnsi="Times New Roman" w:eastAsia="Times New Roman" w:cs="Times New Roman"/>
          <w:color w:val="000000"/>
          <w:spacing w:val="0"/>
          <w:w w:val="100"/>
          <w:position w:val="0"/>
          <w:sz w:val="17"/>
          <w:szCs w:val="17"/>
        </w:rPr>
        <w:t>1097</w:t>
      </w:r>
      <w:r>
        <w:rPr>
          <w:color w:val="000000"/>
          <w:spacing w:val="0"/>
          <w:w w:val="100"/>
          <w:position w:val="0"/>
        </w:rPr>
        <w:t>号民事判决书］中，患者左股骨颈骨折，有多种治疗方案并 各有利弊，医院只选择了风险高的全鹘关节置换术，而未告知风险更小的通过空心加压钉 固定治疗的替代方案，违反了对替代医疗方案的告知义务。</w:t>
      </w:r>
    </w:p>
    <w:p w14:paraId="23F78E8C">
      <w:pPr>
        <w:pStyle w:val="17"/>
        <w:keepNext w:val="0"/>
        <w:keepLines w:val="0"/>
        <w:widowControl w:val="0"/>
        <w:shd w:val="clear" w:color="auto" w:fill="auto"/>
        <w:bidi w:val="0"/>
        <w:spacing w:before="0" w:after="160" w:line="240" w:lineRule="auto"/>
        <w:ind w:left="0" w:right="0" w:firstLine="0"/>
        <w:jc w:val="left"/>
      </w:pPr>
      <w:r>
        <w:rPr>
          <w:color w:val="000000"/>
          <w:spacing w:val="0"/>
          <w:w w:val="100"/>
          <w:position w:val="0"/>
        </w:rPr>
        <w:t>困本案遗留的问题</w:t>
      </w:r>
    </w:p>
    <w:p w14:paraId="24AEDC51">
      <w:pPr>
        <w:pStyle w:val="17"/>
        <w:keepNext w:val="0"/>
        <w:keepLines w:val="0"/>
        <w:widowControl w:val="0"/>
        <w:shd w:val="clear" w:color="auto" w:fill="auto"/>
        <w:bidi w:val="0"/>
        <w:spacing w:before="0" w:after="440" w:line="342" w:lineRule="exact"/>
        <w:ind w:left="0" w:right="0" w:firstLine="420"/>
        <w:jc w:val="both"/>
      </w:pPr>
      <w:r>
        <w:rPr>
          <w:color w:val="000000"/>
          <w:spacing w:val="0"/>
          <w:w w:val="100"/>
          <w:position w:val="0"/>
        </w:rPr>
        <w:t>本案确认了违反知情同意规则可构成独立的责任基础，不以医方有医疗技术过错为前 提。但在责任范围上,法院认为医院应承担</w:t>
      </w:r>
      <w:r>
        <w:rPr>
          <w:rFonts w:ascii="Times New Roman" w:hAnsi="Times New Roman" w:eastAsia="Times New Roman" w:cs="Times New Roman"/>
          <w:color w:val="000000"/>
          <w:spacing w:val="0"/>
          <w:w w:val="100"/>
          <w:position w:val="0"/>
          <w:sz w:val="17"/>
          <w:szCs w:val="17"/>
        </w:rPr>
        <w:t>80%</w:t>
      </w:r>
      <w:r>
        <w:rPr>
          <w:color w:val="000000"/>
          <w:spacing w:val="0"/>
          <w:w w:val="100"/>
          <w:position w:val="0"/>
        </w:rPr>
        <w:t>的赔偿责任。责任比例的划分缺少理论依 据。目前，医疗损害责任纠纷案件中，法院常以“过错参与度”划分医患双方各自承担责任 的比例，此一实践惯例尚欠缺充分的理论支撑，有待将来进一步探究。</w:t>
      </w:r>
    </w:p>
    <w:p w14:paraId="6D54A092">
      <w:pPr>
        <w:pStyle w:val="11"/>
        <w:keepNext w:val="0"/>
        <w:keepLines w:val="0"/>
        <w:widowControl w:val="0"/>
        <w:shd w:val="clear" w:color="auto" w:fill="auto"/>
        <w:bidi w:val="0"/>
        <w:spacing w:before="0" w:after="60" w:line="240" w:lineRule="auto"/>
        <w:ind w:left="0" w:right="0" w:firstLine="0"/>
        <w:jc w:val="left"/>
      </w:pPr>
      <w:r>
        <w:rPr>
          <w:color w:val="000000"/>
          <w:spacing w:val="0"/>
          <w:w w:val="100"/>
          <w:position w:val="0"/>
        </w:rPr>
        <w:t>回参考文献</w:t>
      </w:r>
    </w:p>
    <w:p w14:paraId="60F55609">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艾尔肯:《论医师的说明义务》，载《沈阳师范大学学报》（社会科学版</w:t>
      </w:r>
      <w:r>
        <w:rPr>
          <w:rFonts w:ascii="Times New Roman" w:hAnsi="Times New Roman" w:eastAsia="Times New Roman" w:cs="Times New Roman"/>
          <w:color w:val="000000"/>
          <w:spacing w:val="0"/>
          <w:w w:val="100"/>
          <w:position w:val="0"/>
          <w:sz w:val="17"/>
          <w:szCs w:val="17"/>
        </w:rPr>
        <w:t>）2007</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5B42AE2B">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邓奕羿:《医师履行告知义务的判定标准》，载《医学与哲学</w:t>
      </w:r>
      <w:r>
        <w:rPr>
          <w:color w:val="000000"/>
          <w:spacing w:val="0"/>
          <w:w w:val="100"/>
          <w:position w:val="0"/>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A）2012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10</w:t>
      </w:r>
      <w:r>
        <w:rPr>
          <w:color w:val="000000"/>
          <w:spacing w:val="0"/>
          <w:w w:val="100"/>
          <w:position w:val="0"/>
        </w:rPr>
        <w:t>期。 李冬、常林:《替代医疗方案的法律解读》，载《中国卫生法制》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33AE5FB4">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梁慧星：《论〈侵权责任法〉中的医疗损害责任》，载《法商研究》</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 马新耀、张思兵:《替代医疗方案及其相关法律问题》，载《中国医院》</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 杨立新:《侵权法论》（第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版），人民法院出版社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44168D8E">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张谷:《浅谈医方的说明义务》，载《浙江社会科学》</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22F5EDA2">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张新宝：《侵权责任法》（第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年版。</w:t>
      </w:r>
    </w:p>
    <w:p w14:paraId="317AC7D6">
      <w:pPr>
        <w:pStyle w:val="17"/>
        <w:keepNext w:val="0"/>
        <w:keepLines w:val="0"/>
        <w:widowControl w:val="0"/>
        <w:shd w:val="clear" w:color="auto" w:fill="auto"/>
        <w:bidi w:val="0"/>
        <w:spacing w:before="0" w:after="0" w:line="314" w:lineRule="exact"/>
        <w:ind w:left="0" w:right="0" w:firstLine="0"/>
        <w:jc w:val="left"/>
      </w:pPr>
      <w:r>
        <w:rPr>
          <w:color w:val="000000"/>
          <w:spacing w:val="0"/>
          <w:w w:val="100"/>
          <w:position w:val="0"/>
        </w:rPr>
        <w:t>周江洪:《违反医疗说明义务损害赔偿范围的界定》，载《法学》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713A1BFC">
      <w:pPr>
        <w:pStyle w:val="17"/>
        <w:keepNext w:val="0"/>
        <w:keepLines w:val="0"/>
        <w:widowControl w:val="0"/>
        <w:shd w:val="clear" w:color="auto" w:fill="auto"/>
        <w:bidi w:val="0"/>
        <w:spacing w:before="0" w:after="120" w:line="314" w:lineRule="exact"/>
        <w:ind w:left="0" w:right="0" w:firstLine="0"/>
        <w:jc w:val="left"/>
        <w:sectPr>
          <w:headerReference r:id="rId570" w:type="default"/>
          <w:headerReference r:id="rId571" w:type="even"/>
          <w:footnotePr>
            <w:numFmt w:val="chicago"/>
          </w:footnotePr>
          <w:pgSz w:w="10099" w:h="14782"/>
          <w:pgMar w:top="1259" w:right="925" w:bottom="1018" w:left="886" w:header="0" w:footer="590" w:gutter="0"/>
          <w:pgNumType w:start="499"/>
          <w:cols w:space="720" w:num="1"/>
          <w:rtlGutter w:val="0"/>
          <w:docGrid w:linePitch="360" w:charSpace="0"/>
        </w:sectPr>
      </w:pPr>
      <w:r>
        <w:rPr>
          <w:color w:val="000000"/>
          <w:spacing w:val="0"/>
          <w:w w:val="100"/>
          <w:position w:val="0"/>
        </w:rPr>
        <w:t>周友军：《侵权责任法专题讲座》，人民法院出版社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4A6003D3">
      <w:pPr>
        <w:widowControl w:val="0"/>
        <w:spacing w:line="75" w:lineRule="exact"/>
        <w:rPr>
          <w:sz w:val="6"/>
          <w:szCs w:val="6"/>
        </w:rPr>
      </w:pPr>
    </w:p>
    <w:p w14:paraId="1D1CE5E4">
      <w:pPr>
        <w:widowControl w:val="0"/>
        <w:spacing w:line="1" w:lineRule="exact"/>
        <w:sectPr>
          <w:headerReference r:id="rId572" w:type="default"/>
          <w:headerReference r:id="rId573" w:type="even"/>
          <w:footnotePr>
            <w:numFmt w:val="chicago"/>
          </w:footnotePr>
          <w:pgSz w:w="10099" w:h="14782"/>
          <w:pgMar w:top="1275" w:right="1004" w:bottom="1132" w:left="1091" w:header="0" w:footer="3" w:gutter="0"/>
          <w:cols w:space="720" w:num="1"/>
          <w:rtlGutter w:val="0"/>
          <w:docGrid w:linePitch="360" w:charSpace="0"/>
        </w:sectPr>
      </w:pPr>
    </w:p>
    <w:p w14:paraId="2FEA7DC5">
      <w:pPr>
        <w:widowControl w:val="0"/>
        <w:spacing w:line="1" w:lineRule="exact"/>
      </w:pPr>
      <w:r>
        <mc:AlternateContent>
          <mc:Choice Requires="wps">
            <w:drawing>
              <wp:anchor distT="0" distB="15240" distL="114300" distR="2069465" simplePos="0" relativeHeight="251660288" behindDoc="0" locked="0" layoutInCell="1" allowOverlap="1">
                <wp:simplePos x="0" y="0"/>
                <wp:positionH relativeFrom="page">
                  <wp:posOffset>749935</wp:posOffset>
                </wp:positionH>
                <wp:positionV relativeFrom="paragraph">
                  <wp:posOffset>12700</wp:posOffset>
                </wp:positionV>
                <wp:extent cx="454025" cy="304800"/>
                <wp:effectExtent l="0" t="0" r="0" b="0"/>
                <wp:wrapTopAndBottom/>
                <wp:docPr id="1341" name="Shape 1341"/>
                <wp:cNvGraphicFramePr/>
                <a:graphic xmlns:a="http://schemas.openxmlformats.org/drawingml/2006/main">
                  <a:graphicData uri="http://schemas.microsoft.com/office/word/2010/wordprocessingShape">
                    <wps:wsp>
                      <wps:cNvSpPr txBox="1"/>
                      <wps:spPr>
                        <a:xfrm>
                          <a:off x="0" y="0"/>
                          <a:ext cx="454025" cy="304800"/>
                        </a:xfrm>
                        <a:prstGeom prst="rect">
                          <a:avLst/>
                        </a:prstGeom>
                        <a:noFill/>
                      </wps:spPr>
                      <wps:txbx>
                        <w:txbxContent>
                          <w:p w14:paraId="02DA0CCB">
                            <w:pPr>
                              <w:pStyle w:val="27"/>
                              <w:keepNext/>
                              <w:keepLines/>
                              <w:widowControl w:val="0"/>
                              <w:shd w:val="clear" w:color="auto" w:fill="auto"/>
                              <w:bidi w:val="0"/>
                              <w:spacing w:before="0" w:after="0" w:line="240" w:lineRule="auto"/>
                              <w:ind w:left="0" w:right="0" w:firstLine="0"/>
                              <w:jc w:val="both"/>
                            </w:pPr>
                            <w:bookmarkStart w:id="627" w:name="bookmark622"/>
                            <w:bookmarkStart w:id="628" w:name="bookmark623"/>
                            <w:bookmarkStart w:id="629" w:name="bookmark624"/>
                            <w:r>
                              <w:rPr>
                                <w:rFonts w:ascii="Times New Roman" w:hAnsi="Times New Roman" w:eastAsia="Times New Roman" w:cs="Times New Roman"/>
                                <w:color w:val="000000"/>
                                <w:spacing w:val="0"/>
                                <w:w w:val="100"/>
                                <w:position w:val="0"/>
                              </w:rPr>
                              <w:t>098</w:t>
                            </w:r>
                            <w:bookmarkEnd w:id="627"/>
                            <w:bookmarkEnd w:id="628"/>
                            <w:bookmarkEnd w:id="629"/>
                          </w:p>
                        </w:txbxContent>
                      </wps:txbx>
                      <wps:bodyPr wrap="none" lIns="0" tIns="0" rIns="0" bIns="0">
                        <a:noAutofit/>
                      </wps:bodyPr>
                    </wps:wsp>
                  </a:graphicData>
                </a:graphic>
              </wp:anchor>
            </w:drawing>
          </mc:Choice>
          <mc:Fallback>
            <w:pict>
              <v:shape id="Shape 1341" o:spid="_x0000_s1026" o:spt="202" type="#_x0000_t202" style="position:absolute;left:0pt;margin-left:59.05pt;margin-top:1pt;height:24pt;width:35.75pt;mso-position-horizontal-relative:page;mso-wrap-distance-bottom:1.2pt;mso-wrap-distance-top:0pt;mso-wrap-style:none;z-index:251660288;mso-width-relative:page;mso-height-relative:page;" filled="f" stroked="f" coordsize="21600,21600" o:gfxdata="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rzlOXUAAAA&#10;CAEAAA8AAAAAAAAAAQAgAAAAIgAAAGRycy9kb3ducmV2LnhtbFBLAQIUABQAAAAIAIdO4kBeiNUn&#10;rwEAAHUDAAAOAAAAAAAAAAEAIAAAACMBAABkcnMvZTJvRG9jLnhtbFBLBQYAAAAABgAGAFkBAABE&#10;BQAAAAA=&#10;">
                <v:fill on="f" focussize="0,0"/>
                <v:stroke on="f"/>
                <v:imagedata o:title=""/>
                <o:lock v:ext="edit" aspectratio="f"/>
                <v:textbox inset="0mm,0mm,0mm,0mm">
                  <w:txbxContent>
                    <w:p w14:paraId="02DA0CCB">
                      <w:pPr>
                        <w:pStyle w:val="27"/>
                        <w:keepNext/>
                        <w:keepLines/>
                        <w:widowControl w:val="0"/>
                        <w:shd w:val="clear" w:color="auto" w:fill="auto"/>
                        <w:bidi w:val="0"/>
                        <w:spacing w:before="0" w:after="0" w:line="240" w:lineRule="auto"/>
                        <w:ind w:left="0" w:right="0" w:firstLine="0"/>
                        <w:jc w:val="both"/>
                      </w:pPr>
                      <w:bookmarkStart w:id="627" w:name="bookmark622"/>
                      <w:bookmarkStart w:id="628" w:name="bookmark623"/>
                      <w:bookmarkStart w:id="629" w:name="bookmark624"/>
                      <w:r>
                        <w:rPr>
                          <w:rFonts w:ascii="Times New Roman" w:hAnsi="Times New Roman" w:eastAsia="Times New Roman" w:cs="Times New Roman"/>
                          <w:color w:val="000000"/>
                          <w:spacing w:val="0"/>
                          <w:w w:val="100"/>
                          <w:position w:val="0"/>
                        </w:rPr>
                        <w:t>098</w:t>
                      </w:r>
                      <w:bookmarkEnd w:id="627"/>
                      <w:bookmarkEnd w:id="628"/>
                      <w:bookmarkEnd w:id="629"/>
                    </w:p>
                  </w:txbxContent>
                </v:textbox>
                <w10:wrap type="topAndBottom"/>
              </v:shape>
            </w:pict>
          </mc:Fallback>
        </mc:AlternateContent>
      </w:r>
      <w:r>
        <mc:AlternateContent>
          <mc:Choice Requires="wps">
            <w:drawing>
              <wp:anchor distT="80645" distB="0" distL="696595" distR="113665" simplePos="0" relativeHeight="251660288" behindDoc="0" locked="0" layoutInCell="1" allowOverlap="1">
                <wp:simplePos x="0" y="0"/>
                <wp:positionH relativeFrom="page">
                  <wp:posOffset>1332230</wp:posOffset>
                </wp:positionH>
                <wp:positionV relativeFrom="paragraph">
                  <wp:posOffset>93345</wp:posOffset>
                </wp:positionV>
                <wp:extent cx="1827530" cy="239395"/>
                <wp:effectExtent l="0" t="0" r="0" b="0"/>
                <wp:wrapTopAndBottom/>
                <wp:docPr id="1343" name="Shape 1343"/>
                <wp:cNvGraphicFramePr/>
                <a:graphic xmlns:a="http://schemas.openxmlformats.org/drawingml/2006/main">
                  <a:graphicData uri="http://schemas.microsoft.com/office/word/2010/wordprocessingShape">
                    <wps:wsp>
                      <wps:cNvSpPr txBox="1"/>
                      <wps:spPr>
                        <a:xfrm>
                          <a:off x="0" y="0"/>
                          <a:ext cx="1827530" cy="239395"/>
                        </a:xfrm>
                        <a:prstGeom prst="rect">
                          <a:avLst/>
                        </a:prstGeom>
                        <a:noFill/>
                      </wps:spPr>
                      <wps:txbx>
                        <w:txbxContent>
                          <w:p w14:paraId="3F11A5E5">
                            <w:pPr>
                              <w:pStyle w:val="15"/>
                              <w:keepNext/>
                              <w:keepLines/>
                              <w:widowControl w:val="0"/>
                              <w:shd w:val="clear" w:color="auto" w:fill="auto"/>
                              <w:bidi w:val="0"/>
                              <w:spacing w:before="0" w:after="0" w:line="240" w:lineRule="auto"/>
                              <w:ind w:left="0" w:right="0" w:firstLine="0"/>
                              <w:jc w:val="left"/>
                            </w:pPr>
                            <w:bookmarkStart w:id="630" w:name="bookmark625"/>
                            <w:bookmarkStart w:id="631" w:name="bookmark627"/>
                            <w:bookmarkStart w:id="632" w:name="bookmark626"/>
                            <w:r>
                              <w:rPr>
                                <w:color w:val="000000"/>
                                <w:spacing w:val="0"/>
                                <w:w w:val="100"/>
                                <w:position w:val="0"/>
                              </w:rPr>
                              <w:t>延误治疗与侵权责任</w:t>
                            </w:r>
                            <w:bookmarkEnd w:id="630"/>
                            <w:bookmarkEnd w:id="631"/>
                            <w:bookmarkEnd w:id="632"/>
                          </w:p>
                        </w:txbxContent>
                      </wps:txbx>
                      <wps:bodyPr wrap="none" lIns="0" tIns="0" rIns="0" bIns="0">
                        <a:noAutofit/>
                      </wps:bodyPr>
                    </wps:wsp>
                  </a:graphicData>
                </a:graphic>
              </wp:anchor>
            </w:drawing>
          </mc:Choice>
          <mc:Fallback>
            <w:pict>
              <v:shape id="Shape 1343" o:spid="_x0000_s1026" o:spt="202" type="#_x0000_t202" style="position:absolute;left:0pt;margin-left:104.9pt;margin-top:7.35pt;height:18.85pt;width:143.9pt;mso-position-horizontal-relative:page;mso-wrap-distance-bottom:0pt;mso-wrap-distance-top:6.35pt;mso-wrap-style:none;z-index:251660288;mso-width-relative:page;mso-height-relative:page;" filled="f" stroked="f" coordsize="21600,21600" o:gfxdata="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UPnhPX&#10;AAAACQEAAA8AAAAAAAAAAQAgAAAAIgAAAGRycy9kb3ducmV2LnhtbFBLAQIUABQAAAAIAIdO4kAl&#10;hntLrwEAAHYDAAAOAAAAAAAAAAEAIAAAACYBAABkcnMvZTJvRG9jLnhtbFBLBQYAAAAABgAGAFkB&#10;AABHBQAAAAA=&#10;">
                <v:fill on="f" focussize="0,0"/>
                <v:stroke on="f"/>
                <v:imagedata o:title=""/>
                <o:lock v:ext="edit" aspectratio="f"/>
                <v:textbox inset="0mm,0mm,0mm,0mm">
                  <w:txbxContent>
                    <w:p w14:paraId="3F11A5E5">
                      <w:pPr>
                        <w:pStyle w:val="15"/>
                        <w:keepNext/>
                        <w:keepLines/>
                        <w:widowControl w:val="0"/>
                        <w:shd w:val="clear" w:color="auto" w:fill="auto"/>
                        <w:bidi w:val="0"/>
                        <w:spacing w:before="0" w:after="0" w:line="240" w:lineRule="auto"/>
                        <w:ind w:left="0" w:right="0" w:firstLine="0"/>
                        <w:jc w:val="left"/>
                      </w:pPr>
                      <w:bookmarkStart w:id="630" w:name="bookmark625"/>
                      <w:bookmarkStart w:id="631" w:name="bookmark627"/>
                      <w:bookmarkStart w:id="632" w:name="bookmark626"/>
                      <w:r>
                        <w:rPr>
                          <w:color w:val="000000"/>
                          <w:spacing w:val="0"/>
                          <w:w w:val="100"/>
                          <w:position w:val="0"/>
                        </w:rPr>
                        <w:t>延误治疗与侵权责任</w:t>
                      </w:r>
                      <w:bookmarkEnd w:id="630"/>
                      <w:bookmarkEnd w:id="631"/>
                      <w:bookmarkEnd w:id="632"/>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5128260</wp:posOffset>
            </wp:positionH>
            <wp:positionV relativeFrom="paragraph">
              <wp:posOffset>217805</wp:posOffset>
            </wp:positionV>
            <wp:extent cx="621665" cy="615950"/>
            <wp:effectExtent l="0" t="0" r="635" b="6350"/>
            <wp:wrapSquare wrapText="left"/>
            <wp:docPr id="1345" name="Shape 1345"/>
            <wp:cNvGraphicFramePr/>
            <a:graphic xmlns:a="http://schemas.openxmlformats.org/drawingml/2006/main">
              <a:graphicData uri="http://schemas.openxmlformats.org/drawingml/2006/picture">
                <pic:pic xmlns:pic="http://schemas.openxmlformats.org/drawingml/2006/picture">
                  <pic:nvPicPr>
                    <pic:cNvPr id="1345" name="Shape 1345"/>
                    <pic:cNvPicPr/>
                  </pic:nvPicPr>
                  <pic:blipFill>
                    <a:blip r:embed="rId716"/>
                    <a:stretch>
                      <a:fillRect/>
                    </a:stretch>
                  </pic:blipFill>
                  <pic:spPr>
                    <a:xfrm>
                      <a:off x="0" y="0"/>
                      <a:ext cx="621665" cy="615950"/>
                    </a:xfrm>
                    <a:prstGeom prst="rect">
                      <a:avLst/>
                    </a:prstGeom>
                  </pic:spPr>
                </pic:pic>
              </a:graphicData>
            </a:graphic>
          </wp:anchor>
        </w:drawing>
      </w:r>
    </w:p>
    <w:p w14:paraId="6052C9C0">
      <w:pPr>
        <w:pStyle w:val="17"/>
        <w:keepNext w:val="0"/>
        <w:keepLines w:val="0"/>
        <w:widowControl w:val="0"/>
        <w:shd w:val="clear" w:color="auto" w:fill="auto"/>
        <w:bidi w:val="0"/>
        <w:spacing w:before="0" w:after="420" w:line="317" w:lineRule="exact"/>
        <w:ind w:left="1000" w:right="0" w:firstLine="0"/>
        <w:jc w:val="both"/>
      </w:pPr>
      <w:r>
        <w:rPr>
          <w:color w:val="000000"/>
          <w:spacing w:val="0"/>
          <w:w w:val="100"/>
          <w:position w:val="0"/>
        </w:rPr>
        <w:t>颜荷莲、程玉环诉周宜霞、吉林天药科技有限责任公司等侵权责任 纠纷案丨《最高人民法院公报》</w:t>
      </w: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期(总第</w:t>
      </w:r>
      <w:r>
        <w:rPr>
          <w:rFonts w:ascii="Times New Roman" w:hAnsi="Times New Roman" w:eastAsia="Times New Roman" w:cs="Times New Roman"/>
          <w:color w:val="000000"/>
          <w:spacing w:val="0"/>
          <w:w w:val="100"/>
          <w:position w:val="0"/>
          <w:sz w:val="19"/>
          <w:szCs w:val="19"/>
        </w:rPr>
        <w:t>267</w:t>
      </w:r>
      <w:r>
        <w:rPr>
          <w:color w:val="000000"/>
          <w:spacing w:val="0"/>
          <w:w w:val="100"/>
          <w:position w:val="0"/>
        </w:rPr>
        <w:t>期)</w:t>
      </w:r>
    </w:p>
    <w:p w14:paraId="1F3E42A6">
      <w:pPr>
        <w:pStyle w:val="33"/>
        <w:keepNext w:val="0"/>
        <w:keepLines w:val="0"/>
        <w:widowControl w:val="0"/>
        <w:shd w:val="clear" w:color="auto" w:fill="auto"/>
        <w:bidi w:val="0"/>
        <w:spacing w:before="0" w:after="1400" w:line="240" w:lineRule="auto"/>
        <w:ind w:left="0" w:right="0" w:firstLine="0"/>
        <w:jc w:val="right"/>
      </w:pPr>
      <w:r>
        <w:rPr>
          <w:color w:val="000000"/>
          <w:spacing w:val="0"/>
          <w:w w:val="100"/>
          <w:position w:val="0"/>
          <w:sz w:val="18"/>
          <w:szCs w:val="18"/>
        </w:rPr>
        <w:t>林沮民</w:t>
      </w:r>
      <w:r>
        <w:rPr>
          <w:color w:val="000000"/>
          <w:spacing w:val="0"/>
          <w:w w:val="100"/>
          <w:position w:val="0"/>
        </w:rPr>
        <w:t>浙江大学光华法学院</w:t>
      </w:r>
    </w:p>
    <w:p w14:paraId="6F71B1BB">
      <w:pPr>
        <w:pStyle w:val="11"/>
        <w:keepNext w:val="0"/>
        <w:keepLines w:val="0"/>
        <w:widowControl w:val="0"/>
        <w:shd w:val="clear" w:color="auto" w:fill="auto"/>
        <w:bidi w:val="0"/>
        <w:spacing w:before="0" w:after="80" w:line="342"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677D755">
      <w:pPr>
        <w:pStyle w:val="17"/>
        <w:keepNext w:val="0"/>
        <w:keepLines w:val="0"/>
        <w:widowControl w:val="0"/>
        <w:shd w:val="clear" w:color="auto" w:fill="auto"/>
        <w:bidi w:val="0"/>
        <w:spacing w:before="0" w:after="0" w:line="343" w:lineRule="exact"/>
        <w:ind w:left="0" w:right="0"/>
        <w:jc w:val="both"/>
      </w:pP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月，受害人苏文菊经上海复旦大学附属医院检查,发现右乳上方有一小肿块， 遂打算防治乳腺疾病或乳腺癌。</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9</w:t>
      </w:r>
      <w:r>
        <w:rPr>
          <w:color w:val="000000"/>
          <w:spacing w:val="0"/>
          <w:w w:val="100"/>
          <w:position w:val="0"/>
        </w:rPr>
        <w:t>月中旬，被告周宜霞向苏文菊推销被告天药公司 生产的</w:t>
      </w:r>
      <w:r>
        <w:rPr>
          <w:color w:val="000000"/>
          <w:spacing w:val="0"/>
          <w:w w:val="100"/>
          <w:position w:val="0"/>
          <w:lang w:val="zh-CN" w:eastAsia="zh-CN" w:bidi="zh-CN"/>
        </w:rPr>
        <w:t>“活</w:t>
      </w:r>
      <w:r>
        <w:rPr>
          <w:color w:val="000000"/>
          <w:spacing w:val="0"/>
          <w:w w:val="100"/>
          <w:position w:val="0"/>
        </w:rPr>
        <w:t>力宝”保健品，并称该保健品在德国是处方药，在美国是非处方药，癌症患者服用 后能够使肿瘤变小、小肿瘤消失、没有肿瘤的人服用后能够防病治病、延年益寿。</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年三 四月，苏文菊感觉疲惫，胸部疼痛，其向被告邀集的专家进行咨询，专家答复是</w:t>
      </w:r>
      <w:r>
        <w:rPr>
          <w:color w:val="000000"/>
          <w:spacing w:val="0"/>
          <w:w w:val="100"/>
          <w:position w:val="0"/>
          <w:lang w:val="zh-CN" w:eastAsia="zh-CN" w:bidi="zh-CN"/>
        </w:rPr>
        <w:t>“好转</w:t>
      </w:r>
      <w:r>
        <w:rPr>
          <w:color w:val="000000"/>
          <w:spacing w:val="0"/>
          <w:w w:val="100"/>
          <w:position w:val="0"/>
        </w:rPr>
        <w:t>反应”， 告知其肿块已软化，仍需加大服用量。</w:t>
      </w:r>
      <w:r>
        <w:rPr>
          <w:rFonts w:ascii="Times New Roman" w:hAnsi="Times New Roman" w:eastAsia="Times New Roman" w:cs="Times New Roman"/>
          <w:color w:val="000000"/>
          <w:spacing w:val="0"/>
          <w:w w:val="100"/>
          <w:position w:val="0"/>
          <w:sz w:val="19"/>
          <w:szCs w:val="19"/>
        </w:rPr>
        <w:t>2010</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月至</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 xml:space="preserve">月，苏文菊先后在周宜霞处 采购了 </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万余元的保健品。</w:t>
      </w:r>
      <w:r>
        <w:rPr>
          <w:rFonts w:ascii="Times New Roman" w:hAnsi="Times New Roman" w:eastAsia="Times New Roman" w:cs="Times New Roman"/>
          <w:color w:val="000000"/>
          <w:spacing w:val="0"/>
          <w:w w:val="100"/>
          <w:position w:val="0"/>
          <w:sz w:val="19"/>
          <w:szCs w:val="19"/>
        </w:rPr>
        <w:t>2011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月，经黄山市人民医院、安徽医科大学第一附属医院 检查,确诊苏文菊患乳腺癌并转移至肝肺。随后苏文菊辗转至杭州、合肥、上海等地治疗，历 经</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次手术、</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次化疗，最终因病情恶化于</w:t>
      </w:r>
      <w:r>
        <w:rPr>
          <w:rFonts w:ascii="Times New Roman" w:hAnsi="Times New Roman" w:eastAsia="Times New Roman" w:cs="Times New Roman"/>
          <w:color w:val="000000"/>
          <w:spacing w:val="0"/>
          <w:w w:val="100"/>
          <w:position w:val="0"/>
          <w:sz w:val="19"/>
          <w:szCs w:val="19"/>
        </w:rPr>
        <w:t>2013</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日去世。</w:t>
      </w:r>
    </w:p>
    <w:p w14:paraId="685298C1">
      <w:pPr>
        <w:pStyle w:val="17"/>
        <w:keepNext w:val="0"/>
        <w:keepLines w:val="0"/>
        <w:widowControl w:val="0"/>
        <w:shd w:val="clear" w:color="auto" w:fill="auto"/>
        <w:bidi w:val="0"/>
        <w:spacing w:before="0" w:after="420" w:line="342" w:lineRule="exact"/>
        <w:ind w:left="0" w:right="0"/>
        <w:jc w:val="both"/>
      </w:pPr>
      <w:r>
        <w:rPr>
          <w:color w:val="000000"/>
          <w:spacing w:val="0"/>
          <w:w w:val="100"/>
          <w:position w:val="0"/>
        </w:rPr>
        <w:t>案涉的</w:t>
      </w:r>
      <w:r>
        <w:rPr>
          <w:color w:val="000000"/>
          <w:spacing w:val="0"/>
          <w:w w:val="100"/>
          <w:position w:val="0"/>
          <w:lang w:val="zh-CN" w:eastAsia="zh-CN" w:bidi="zh-CN"/>
        </w:rPr>
        <w:t>“活力</w:t>
      </w:r>
      <w:r>
        <w:rPr>
          <w:color w:val="000000"/>
          <w:spacing w:val="0"/>
          <w:w w:val="100"/>
          <w:position w:val="0"/>
        </w:rPr>
        <w:t>宝”菊泰软胶囊包装盒及瓶身上载有统一规范的天蓝色</w:t>
      </w:r>
      <w:r>
        <w:rPr>
          <w:color w:val="000000"/>
          <w:spacing w:val="0"/>
          <w:w w:val="100"/>
          <w:position w:val="0"/>
          <w:lang w:val="zh-CN" w:eastAsia="zh-CN" w:bidi="zh-CN"/>
        </w:rPr>
        <w:t>“保</w:t>
      </w:r>
      <w:r>
        <w:rPr>
          <w:color w:val="000000"/>
          <w:spacing w:val="0"/>
          <w:w w:val="100"/>
          <w:position w:val="0"/>
        </w:rPr>
        <w:t>健食品</w:t>
      </w:r>
      <w:r>
        <w:rPr>
          <w:color w:val="000000"/>
          <w:spacing w:val="0"/>
          <w:w w:val="100"/>
          <w:position w:val="0"/>
          <w:lang w:val="zh-CN" w:eastAsia="zh-CN" w:bidi="zh-CN"/>
        </w:rPr>
        <w:t xml:space="preserve">”标志 </w:t>
      </w:r>
      <w:r>
        <w:rPr>
          <w:color w:val="000000"/>
          <w:spacing w:val="0"/>
          <w:w w:val="100"/>
          <w:position w:val="0"/>
          <w:sz w:val="11"/>
          <w:szCs w:val="11"/>
        </w:rPr>
        <w:t>［批准文号为：卫食健字</w:t>
      </w:r>
      <w:r>
        <w:rPr>
          <w:rFonts w:ascii="Times New Roman" w:hAnsi="Times New Roman" w:eastAsia="Times New Roman" w:cs="Times New Roman"/>
          <w:color w:val="000000"/>
          <w:spacing w:val="0"/>
          <w:w w:val="100"/>
          <w:position w:val="0"/>
          <w:sz w:val="17"/>
          <w:szCs w:val="17"/>
        </w:rPr>
        <w:t>(2002)</w:t>
      </w:r>
      <w:r>
        <w:rPr>
          <w:color w:val="000000"/>
          <w:spacing w:val="0"/>
          <w:w w:val="100"/>
          <w:position w:val="0"/>
          <w:sz w:val="11"/>
          <w:szCs w:val="11"/>
        </w:rPr>
        <w:t>第</w:t>
      </w:r>
      <w:r>
        <w:rPr>
          <w:rFonts w:ascii="Times New Roman" w:hAnsi="Times New Roman" w:eastAsia="Times New Roman" w:cs="Times New Roman"/>
          <w:color w:val="000000"/>
          <w:spacing w:val="0"/>
          <w:w w:val="100"/>
          <w:position w:val="0"/>
          <w:sz w:val="17"/>
          <w:szCs w:val="17"/>
        </w:rPr>
        <w:t>0522</w:t>
      </w:r>
      <w:r>
        <w:rPr>
          <w:color w:val="000000"/>
          <w:spacing w:val="0"/>
          <w:w w:val="100"/>
          <w:position w:val="0"/>
          <w:sz w:val="11"/>
          <w:szCs w:val="11"/>
        </w:rPr>
        <w:t>号］</w:t>
      </w:r>
      <w:r>
        <w:rPr>
          <w:color w:val="000000"/>
          <w:spacing w:val="0"/>
          <w:w w:val="100"/>
          <w:position w:val="0"/>
        </w:rPr>
        <w:t>及“企业名称:吉林天药科技有限公司”</w:t>
      </w:r>
      <w:r>
        <w:rPr>
          <w:color w:val="000000"/>
          <w:spacing w:val="0"/>
          <w:w w:val="100"/>
          <w:position w:val="0"/>
          <w:lang w:val="zh-CN" w:eastAsia="zh-CN" w:bidi="zh-CN"/>
        </w:rPr>
        <w:t>、“保</w:t>
      </w:r>
      <w:r>
        <w:rPr>
          <w:color w:val="000000"/>
          <w:spacing w:val="0"/>
          <w:w w:val="100"/>
          <w:position w:val="0"/>
        </w:rPr>
        <w:t>健功能： 免疫调节、抗疲劳”</w:t>
      </w:r>
      <w:r>
        <w:rPr>
          <w:color w:val="000000"/>
          <w:spacing w:val="0"/>
          <w:w w:val="100"/>
          <w:position w:val="0"/>
          <w:lang w:val="zh-CN" w:eastAsia="zh-CN" w:bidi="zh-CN"/>
        </w:rPr>
        <w:t>、“注</w:t>
      </w:r>
      <w:r>
        <w:rPr>
          <w:color w:val="000000"/>
          <w:spacing w:val="0"/>
          <w:w w:val="100"/>
          <w:position w:val="0"/>
        </w:rPr>
        <w:t>意事项:本品不能替代药物</w:t>
      </w:r>
      <w:r>
        <w:rPr>
          <w:color w:val="000000"/>
          <w:spacing w:val="0"/>
          <w:w w:val="100"/>
          <w:position w:val="0"/>
          <w:lang w:val="zh-CN" w:eastAsia="zh-CN" w:bidi="zh-CN"/>
        </w:rPr>
        <w:t>”等</w:t>
      </w:r>
      <w:r>
        <w:rPr>
          <w:color w:val="000000"/>
          <w:spacing w:val="0"/>
          <w:w w:val="100"/>
          <w:position w:val="0"/>
        </w:rPr>
        <w:t>基本信息。周宜霞在销售过程中，向 受害人苏文菊展示了天药生物公司提供的相关宣传资料，包括《产品健康手册》、</w:t>
      </w:r>
      <w:r>
        <w:rPr>
          <w:color w:val="000000"/>
          <w:spacing w:val="0"/>
          <w:w w:val="100"/>
          <w:position w:val="0"/>
          <w:lang w:val="zh-CN" w:eastAsia="zh-CN" w:bidi="zh-CN"/>
        </w:rPr>
        <w:t>《“活</w:t>
      </w:r>
      <w:r>
        <w:rPr>
          <w:color w:val="000000"/>
          <w:spacing w:val="0"/>
          <w:w w:val="100"/>
          <w:position w:val="0"/>
        </w:rPr>
        <w:t>力宝” 软胶囊产品介绍》、《天药健康家园》期刊、《骨髓是最强生产力》读本以及部分产品宣传单 页。其中，《产品健康手册》记载</w:t>
      </w:r>
      <w:r>
        <w:rPr>
          <w:color w:val="000000"/>
          <w:spacing w:val="0"/>
          <w:w w:val="100"/>
          <w:position w:val="0"/>
          <w:lang w:val="zh-CN" w:eastAsia="zh-CN" w:bidi="zh-CN"/>
        </w:rPr>
        <w:t>“活力</w:t>
      </w:r>
      <w:r>
        <w:rPr>
          <w:color w:val="000000"/>
          <w:spacing w:val="0"/>
          <w:w w:val="100"/>
          <w:position w:val="0"/>
        </w:rPr>
        <w:t>宝”主要作用及适用人群：</w:t>
      </w:r>
      <w:r>
        <w:rPr>
          <w:color w:val="000000"/>
          <w:spacing w:val="0"/>
          <w:w w:val="100"/>
          <w:position w:val="0"/>
          <w:lang w:val="zh-CN" w:eastAsia="zh-CN" w:bidi="zh-CN"/>
        </w:rPr>
        <w:t>“抗菌</w:t>
      </w:r>
      <w:r>
        <w:rPr>
          <w:color w:val="000000"/>
          <w:spacing w:val="0"/>
          <w:w w:val="100"/>
          <w:position w:val="0"/>
        </w:rPr>
        <w:t>、消炎、抗病毒，改善 体质、预防伤风、感冒，增强免疫力、缓解体力疲劳、抗肿瘤。适用于免疫力低下，极易患病人 群;长期服用抗生素类药及慢性病患者;不能或不愿手术及手术、放化疗肿瘤患者;对于体 质虚弱、容易患伤风感冒，及经常感觉疲惫人士，效果尤为显著。”</w:t>
      </w:r>
      <w:r>
        <w:rPr>
          <w:color w:val="000000"/>
          <w:spacing w:val="0"/>
          <w:w w:val="100"/>
          <w:position w:val="0"/>
          <w:lang w:val="zh-CN" w:eastAsia="zh-CN" w:bidi="zh-CN"/>
        </w:rPr>
        <w:t>《“活</w:t>
      </w:r>
      <w:r>
        <w:rPr>
          <w:color w:val="000000"/>
          <w:spacing w:val="0"/>
          <w:w w:val="100"/>
          <w:position w:val="0"/>
        </w:rPr>
        <w:t>力宝</w:t>
      </w:r>
      <w:r>
        <w:rPr>
          <w:color w:val="000000"/>
          <w:spacing w:val="0"/>
          <w:w w:val="100"/>
          <w:position w:val="0"/>
          <w:lang w:val="zh-CN" w:eastAsia="zh-CN" w:bidi="zh-CN"/>
        </w:rPr>
        <w:t>”产品</w:t>
      </w:r>
      <w:r>
        <w:rPr>
          <w:color w:val="000000"/>
          <w:spacing w:val="0"/>
          <w:w w:val="100"/>
          <w:position w:val="0"/>
        </w:rPr>
        <w:t>介绍》中记 载:</w:t>
      </w:r>
      <w:r>
        <w:rPr>
          <w:color w:val="000000"/>
          <w:spacing w:val="0"/>
          <w:w w:val="100"/>
          <w:position w:val="0"/>
          <w:lang w:val="zh-CN" w:eastAsia="zh-CN" w:bidi="zh-CN"/>
        </w:rPr>
        <w:t>“活</w:t>
      </w:r>
      <w:r>
        <w:rPr>
          <w:color w:val="000000"/>
          <w:spacing w:val="0"/>
          <w:w w:val="100"/>
          <w:position w:val="0"/>
        </w:rPr>
        <w:t>力宝是选用免疫药王紫锥菊和补益大王性温的西洋参复合而成……具有滋养骨髓, 全面、持久、安全、根本恢复免疫系统;修复身体机能、根本消除疾病;强心、强脑、强体力的全 康复作用……”</w:t>
      </w:r>
    </w:p>
    <w:p w14:paraId="0E9D141D">
      <w:pPr>
        <w:pStyle w:val="11"/>
        <w:keepNext w:val="0"/>
        <w:keepLines w:val="0"/>
        <w:widowControl w:val="0"/>
        <w:shd w:val="clear" w:color="auto" w:fill="auto"/>
        <w:bidi w:val="0"/>
        <w:spacing w:before="0" w:after="0" w:line="276" w:lineRule="auto"/>
        <w:ind w:left="0" w:right="0" w:firstLine="0"/>
        <w:jc w:val="both"/>
      </w:pPr>
      <w:r>
        <w:rPr>
          <w:rFonts w:ascii="Times New Roman" w:hAnsi="Times New Roman" w:eastAsia="Times New Roman" w:cs="Times New Roman"/>
          <w:color w:val="000000"/>
          <w:spacing w:val="0"/>
          <w:w w:val="100"/>
          <w:position w:val="0"/>
          <w:sz w:val="26"/>
          <w:szCs w:val="26"/>
          <w:lang w:val="en-US" w:eastAsia="en-US" w:bidi="en-US"/>
        </w:rPr>
        <w:t>K</w:t>
      </w:r>
      <w:r>
        <w:rPr>
          <w:color w:val="000000"/>
          <w:spacing w:val="0"/>
          <w:w w:val="100"/>
          <w:position w:val="0"/>
        </w:rPr>
        <w:t>判决要旨</w:t>
      </w:r>
    </w:p>
    <w:p w14:paraId="7A7441EA">
      <w:pPr>
        <w:pStyle w:val="17"/>
        <w:keepNext w:val="0"/>
        <w:keepLines w:val="0"/>
        <w:widowControl w:val="0"/>
        <w:shd w:val="clear" w:color="auto" w:fill="auto"/>
        <w:bidi w:val="0"/>
        <w:spacing w:before="0" w:after="380" w:line="342" w:lineRule="exact"/>
        <w:ind w:left="0" w:right="0"/>
        <w:jc w:val="both"/>
        <w:sectPr>
          <w:footnotePr>
            <w:numFmt w:val="chicago"/>
          </w:footnotePr>
          <w:type w:val="continuous"/>
          <w:pgSz w:w="10099" w:h="14782"/>
          <w:pgMar w:top="1275" w:right="1004" w:bottom="1132" w:left="1091" w:header="847" w:footer="704" w:gutter="0"/>
          <w:cols w:space="720" w:num="1"/>
          <w:rtlGutter w:val="0"/>
          <w:docGrid w:linePitch="360" w:charSpace="0"/>
        </w:sectPr>
      </w:pPr>
      <w:r>
        <w:rPr>
          <w:color w:val="000000"/>
          <w:spacing w:val="0"/>
          <w:w w:val="100"/>
          <w:position w:val="0"/>
        </w:rPr>
        <w:t>根据</w:t>
      </w:r>
      <w:r>
        <w:rPr>
          <w:color w:val="000000"/>
          <w:spacing w:val="0"/>
          <w:w w:val="100"/>
          <w:position w:val="0"/>
          <w:lang w:val="zh-CN" w:eastAsia="zh-CN" w:bidi="zh-CN"/>
        </w:rPr>
        <w:t>“谁</w:t>
      </w:r>
      <w:r>
        <w:rPr>
          <w:color w:val="000000"/>
          <w:spacing w:val="0"/>
          <w:w w:val="100"/>
          <w:position w:val="0"/>
        </w:rPr>
        <w:t>主张,谁举证</w:t>
      </w:r>
      <w:r>
        <w:rPr>
          <w:color w:val="000000"/>
          <w:spacing w:val="0"/>
          <w:w w:val="100"/>
          <w:position w:val="0"/>
          <w:lang w:val="zh-CN" w:eastAsia="zh-CN" w:bidi="zh-CN"/>
        </w:rPr>
        <w:t>”的举</w:t>
      </w:r>
      <w:r>
        <w:rPr>
          <w:color w:val="000000"/>
          <w:spacing w:val="0"/>
          <w:w w:val="100"/>
          <w:position w:val="0"/>
        </w:rPr>
        <w:t xml:space="preserve">证规则，企业或经销商的虚假宣传行为与消费者延误治疗 </w:t>
      </w:r>
    </w:p>
    <w:p w14:paraId="76BBB3B3">
      <w:pPr>
        <w:pStyle w:val="17"/>
        <w:keepNext w:val="0"/>
        <w:keepLines w:val="0"/>
        <w:widowControl w:val="0"/>
        <w:shd w:val="clear" w:color="auto" w:fill="auto"/>
        <w:bidi w:val="0"/>
        <w:spacing w:before="0" w:after="380" w:line="342" w:lineRule="exact"/>
        <w:ind w:left="0" w:right="0" w:firstLine="0"/>
        <w:jc w:val="both"/>
      </w:pPr>
      <w:r>
        <w:rPr>
          <w:color w:val="000000"/>
          <w:spacing w:val="0"/>
          <w:w w:val="100"/>
          <w:position w:val="0"/>
        </w:rPr>
        <w:t>是否具有关联，以及与消费者死亡是否存在因果关系及参与度如何确定，应由死者近亲属 承担相应举证责任。如当事人未能提供证据或者证据不足以证明其事实主张的，依法由负 有举证证明责任的当事人承担不利后果。</w:t>
      </w:r>
    </w:p>
    <w:p w14:paraId="04131F43">
      <w:pPr>
        <w:pStyle w:val="11"/>
        <w:keepNext w:val="0"/>
        <w:keepLines w:val="0"/>
        <w:widowControl w:val="0"/>
        <w:shd w:val="clear" w:color="auto" w:fill="auto"/>
        <w:bidi w:val="0"/>
        <w:spacing w:before="0" w:after="260" w:line="344" w:lineRule="exact"/>
        <w:ind w:left="0" w:right="0" w:firstLine="0"/>
        <w:jc w:val="both"/>
      </w:pPr>
      <w:r>
        <w:rPr>
          <w:color w:val="000000"/>
          <w:spacing w:val="0"/>
          <w:w w:val="100"/>
          <w:position w:val="0"/>
        </w:rPr>
        <w:t>■评析</w:t>
      </w:r>
    </w:p>
    <w:p w14:paraId="36C2DD8B">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7B523745">
      <w:pPr>
        <w:pStyle w:val="17"/>
        <w:keepNext w:val="0"/>
        <w:keepLines w:val="0"/>
        <w:widowControl w:val="0"/>
        <w:shd w:val="clear" w:color="auto" w:fill="auto"/>
        <w:bidi w:val="0"/>
        <w:spacing w:before="0" w:after="260" w:line="344" w:lineRule="exact"/>
        <w:ind w:left="0" w:right="0" w:firstLine="420"/>
        <w:jc w:val="both"/>
      </w:pPr>
      <w:r>
        <w:rPr>
          <w:color w:val="000000"/>
          <w:spacing w:val="0"/>
          <w:w w:val="100"/>
          <w:position w:val="0"/>
        </w:rPr>
        <w:t>本案中，苏文菊家属提出的因被告行为致使苏文菊延误治疗机会，最终导致死亡的主 张并未获得法院支持。裁判要旨明确强调生存机会丧失案件也应适用“谁主张，谁举证”的 举证规则。如果原告未能证明延误治疗机会和损害之间的因果关系，就要承担不利后果。 本案作为最高人民法院公报案例对于延误治疗机会致害类案件有着重要的审判指导意义。</w:t>
      </w:r>
    </w:p>
    <w:p w14:paraId="485E213B">
      <w:pPr>
        <w:pStyle w:val="17"/>
        <w:keepNext w:val="0"/>
        <w:keepLines w:val="0"/>
        <w:widowControl w:val="0"/>
        <w:shd w:val="clear" w:color="auto" w:fill="auto"/>
        <w:bidi w:val="0"/>
        <w:spacing w:before="0" w:after="0" w:line="377"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原《侵权责任法》生存机会丧失的规范及学理</w:t>
      </w:r>
    </w:p>
    <w:p w14:paraId="759F0D0A">
      <w:pPr>
        <w:pStyle w:val="17"/>
        <w:keepNext w:val="0"/>
        <w:keepLines w:val="0"/>
        <w:widowControl w:val="0"/>
        <w:shd w:val="clear" w:color="auto" w:fill="auto"/>
        <w:bidi w:val="0"/>
        <w:spacing w:before="0" w:after="0" w:line="344" w:lineRule="exact"/>
        <w:ind w:left="0" w:right="0" w:firstLine="420"/>
        <w:jc w:val="both"/>
        <w:rPr>
          <w:sz w:val="19"/>
          <w:szCs w:val="19"/>
        </w:rPr>
      </w:pPr>
      <w:r>
        <w:rPr>
          <w:color w:val="000000"/>
          <w:spacing w:val="0"/>
          <w:w w:val="100"/>
          <w:position w:val="0"/>
          <w:sz w:val="18"/>
          <w:szCs w:val="18"/>
        </w:rPr>
        <w:t>根据《民法典》第</w:t>
      </w:r>
      <w:r>
        <w:rPr>
          <w:rFonts w:ascii="Times New Roman" w:hAnsi="Times New Roman" w:eastAsia="Times New Roman" w:cs="Times New Roman"/>
          <w:color w:val="000000"/>
          <w:spacing w:val="0"/>
          <w:w w:val="100"/>
          <w:position w:val="0"/>
          <w:sz w:val="19"/>
          <w:szCs w:val="19"/>
        </w:rPr>
        <w:t>1165</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1</w:t>
      </w:r>
      <w:r>
        <w:rPr>
          <w:color w:val="000000"/>
          <w:spacing w:val="0"/>
          <w:w w:val="100"/>
          <w:position w:val="0"/>
          <w:sz w:val="18"/>
          <w:szCs w:val="18"/>
        </w:rPr>
        <w:t>款，侵权责任的构成要件包括:损害、行为、因果关系和过 错。延误治疗与损害之间的因果关系证明难度极高。与一般的侵害生命权或健康权案件 的不同之处在于,患者本已有既定病情，且该疾病是造成损害的重要因素，甚至在部分案件 中是</w:t>
      </w:r>
      <w:r>
        <w:rPr>
          <w:color w:val="000000"/>
          <w:spacing w:val="0"/>
          <w:w w:val="100"/>
          <w:position w:val="0"/>
          <w:sz w:val="18"/>
          <w:szCs w:val="18"/>
          <w:lang w:val="zh-CN" w:eastAsia="zh-CN" w:bidi="zh-CN"/>
        </w:rPr>
        <w:t>“决</w:t>
      </w:r>
      <w:r>
        <w:rPr>
          <w:color w:val="000000"/>
          <w:spacing w:val="0"/>
          <w:w w:val="100"/>
          <w:position w:val="0"/>
          <w:sz w:val="18"/>
          <w:szCs w:val="18"/>
        </w:rPr>
        <w:t>定性因素”。既有审判缺乏对既定病情影响和生存机会客观量化的分析，使得因果 关系的证明难上加难</w:t>
      </w:r>
      <w:r>
        <w:rPr>
          <w:color w:val="000000"/>
          <w:spacing w:val="0"/>
          <w:w w:val="100"/>
          <w:position w:val="0"/>
          <w:sz w:val="11"/>
          <w:szCs w:val="11"/>
        </w:rPr>
        <w:t>（季若望:《侵权法上生存机会丧失理论的本土化构建一以医疗损害案件为视 角》，载《政治与法律》</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w:t>
      </w:r>
      <w:r>
        <w:rPr>
          <w:color w:val="000000"/>
          <w:spacing w:val="0"/>
          <w:w w:val="100"/>
          <w:position w:val="0"/>
          <w:sz w:val="18"/>
          <w:szCs w:val="18"/>
        </w:rPr>
        <w:t>在上述案件中，保健品企业和经销商的行为仅是导致苏 文菊未及时就医,并非导致苏文菊患病;即使苏文菊及时就医，亦不能保证一定或相当程度 上能够战胜癌症。申言之，无论是依据条件说还是相当因果关系说都难以证明行为和损害 之间的因果关系</w:t>
      </w:r>
      <w:r>
        <w:rPr>
          <w:color w:val="000000"/>
          <w:spacing w:val="0"/>
          <w:w w:val="100"/>
          <w:position w:val="0"/>
          <w:sz w:val="11"/>
          <w:szCs w:val="11"/>
        </w:rPr>
        <w:t xml:space="preserve">（关于条件说和相当因果关系说的介绍，参见王泽鉴：《侵权行为》，北京大学出版社 </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年版）</w:t>
      </w:r>
      <w:r>
        <w:rPr>
          <w:rFonts w:ascii="Times New Roman" w:hAnsi="Times New Roman" w:eastAsia="Times New Roman" w:cs="Times New Roman"/>
          <w:color w:val="000000"/>
          <w:spacing w:val="0"/>
          <w:w w:val="100"/>
          <w:position w:val="0"/>
          <w:sz w:val="19"/>
          <w:szCs w:val="19"/>
          <w:lang w:val="en-US" w:eastAsia="en-US" w:bidi="en-US"/>
        </w:rPr>
        <w:t>o</w:t>
      </w:r>
    </w:p>
    <w:p w14:paraId="64AE6D2F">
      <w:pPr>
        <w:pStyle w:val="17"/>
        <w:keepNext w:val="0"/>
        <w:keepLines w:val="0"/>
        <w:widowControl w:val="0"/>
        <w:shd w:val="clear" w:color="auto" w:fill="auto"/>
        <w:bidi w:val="0"/>
        <w:spacing w:before="0" w:after="0" w:line="344" w:lineRule="exact"/>
        <w:ind w:left="0" w:right="0" w:firstLine="420"/>
        <w:jc w:val="both"/>
        <w:rPr>
          <w:sz w:val="11"/>
          <w:szCs w:val="11"/>
        </w:rPr>
      </w:pPr>
      <w:r>
        <w:rPr>
          <w:color w:val="000000"/>
          <w:spacing w:val="0"/>
          <w:w w:val="100"/>
          <w:position w:val="0"/>
          <w:sz w:val="18"/>
          <w:szCs w:val="18"/>
        </w:rPr>
        <w:t>在诉讼法上,最高人民法院《关于民事诉讼证据的若干规定》［法释</w:t>
      </w:r>
      <w:r>
        <w:rPr>
          <w:rFonts w:ascii="Times New Roman" w:hAnsi="Times New Roman" w:eastAsia="Times New Roman" w:cs="Times New Roman"/>
          <w:color w:val="000000"/>
          <w:spacing w:val="0"/>
          <w:w w:val="100"/>
          <w:position w:val="0"/>
          <w:sz w:val="19"/>
          <w:szCs w:val="19"/>
        </w:rPr>
        <w:t>（2001）33</w:t>
      </w:r>
      <w:r>
        <w:rPr>
          <w:color w:val="000000"/>
          <w:spacing w:val="0"/>
          <w:w w:val="100"/>
          <w:position w:val="0"/>
          <w:sz w:val="18"/>
          <w:szCs w:val="18"/>
        </w:rPr>
        <w:t>号］第</w:t>
      </w:r>
      <w:r>
        <w:rPr>
          <w:rFonts w:ascii="Times New Roman" w:hAnsi="Times New Roman" w:eastAsia="Times New Roman" w:cs="Times New Roman"/>
          <w:color w:val="000000"/>
          <w:spacing w:val="0"/>
          <w:w w:val="100"/>
          <w:position w:val="0"/>
          <w:sz w:val="19"/>
          <w:szCs w:val="19"/>
        </w:rPr>
        <w:t xml:space="preserve">4 </w:t>
      </w:r>
      <w:r>
        <w:rPr>
          <w:color w:val="000000"/>
          <w:spacing w:val="0"/>
          <w:w w:val="100"/>
          <w:position w:val="0"/>
          <w:sz w:val="18"/>
          <w:szCs w:val="18"/>
        </w:rPr>
        <w:t>条第</w:t>
      </w:r>
      <w:r>
        <w:rPr>
          <w:rFonts w:ascii="Times New Roman" w:hAnsi="Times New Roman" w:eastAsia="Times New Roman" w:cs="Times New Roman"/>
          <w:color w:val="000000"/>
          <w:spacing w:val="0"/>
          <w:w w:val="100"/>
          <w:position w:val="0"/>
          <w:sz w:val="19"/>
          <w:szCs w:val="19"/>
        </w:rPr>
        <w:t>8</w:t>
      </w:r>
      <w:r>
        <w:rPr>
          <w:color w:val="000000"/>
          <w:spacing w:val="0"/>
          <w:w w:val="100"/>
          <w:position w:val="0"/>
          <w:sz w:val="18"/>
          <w:szCs w:val="18"/>
        </w:rPr>
        <w:t>项规定:因医疗行为引起的侵权诉讼,由医疗机构就医疗行为与损害结果之间不存在 因果关系及不存在医疗过错承担举证责任。</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sz w:val="18"/>
          <w:szCs w:val="18"/>
        </w:rPr>
        <w:t>年通过的原《侵权责任法》并未规定上述 举证责任倒置规则，学理倾向于认为，原《侵权责任法》规定的医疗侵权应适用“谁主张，谁 举证</w:t>
      </w:r>
      <w:r>
        <w:rPr>
          <w:color w:val="000000"/>
          <w:spacing w:val="0"/>
          <w:w w:val="100"/>
          <w:position w:val="0"/>
          <w:sz w:val="18"/>
          <w:szCs w:val="18"/>
          <w:lang w:val="zh-CN" w:eastAsia="zh-CN" w:bidi="zh-CN"/>
        </w:rPr>
        <w:t>”的一</w:t>
      </w:r>
      <w:r>
        <w:rPr>
          <w:color w:val="000000"/>
          <w:spacing w:val="0"/>
          <w:w w:val="100"/>
          <w:position w:val="0"/>
          <w:sz w:val="18"/>
          <w:szCs w:val="18"/>
        </w:rPr>
        <w:t>般证明规则</w:t>
      </w:r>
      <w:r>
        <w:rPr>
          <w:color w:val="000000"/>
          <w:spacing w:val="0"/>
          <w:w w:val="100"/>
          <w:position w:val="0"/>
          <w:sz w:val="11"/>
          <w:szCs w:val="11"/>
        </w:rPr>
        <w:t>（张新宝：《侵权责任法》（第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版），中国人民大学出版社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年版;程啸:《侵 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w:t>
      </w:r>
      <w:r>
        <w:rPr>
          <w:color w:val="000000"/>
          <w:spacing w:val="0"/>
          <w:w w:val="100"/>
          <w:position w:val="0"/>
          <w:sz w:val="18"/>
          <w:szCs w:val="18"/>
        </w:rPr>
        <w:t>最高人民法院《关于修改〈关于民事诉讼证据的 若干规定〉的决定》［法释</w:t>
      </w:r>
      <w:r>
        <w:rPr>
          <w:rFonts w:ascii="Times New Roman" w:hAnsi="Times New Roman" w:eastAsia="Times New Roman" w:cs="Times New Roman"/>
          <w:color w:val="000000"/>
          <w:spacing w:val="0"/>
          <w:w w:val="100"/>
          <w:position w:val="0"/>
          <w:sz w:val="19"/>
          <w:szCs w:val="19"/>
        </w:rPr>
        <w:t>（2019）19</w:t>
      </w:r>
      <w:r>
        <w:rPr>
          <w:color w:val="000000"/>
          <w:spacing w:val="0"/>
          <w:w w:val="100"/>
          <w:position w:val="0"/>
          <w:sz w:val="18"/>
          <w:szCs w:val="18"/>
        </w:rPr>
        <w:t>号］完全删除了该条。法院自此不得运用举证责任倒置 的方式减轻原告的医疗侵权证明压力。原告必须证明延误治疗和损害之间的因果关系具 备高度盖然性，这往往超越原告的证明能力。而降低证明标准又应以法律的特别规定为 限，这使法官不敢越界</w:t>
      </w:r>
      <w:r>
        <w:rPr>
          <w:color w:val="000000"/>
          <w:spacing w:val="0"/>
          <w:w w:val="100"/>
          <w:position w:val="0"/>
          <w:sz w:val="11"/>
          <w:szCs w:val="11"/>
        </w:rPr>
        <w:t>（潘剑锋:《民事证明责任论纲——对民事证明责任基本问题的认识》，载《政 治与法律》</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sz w:val="11"/>
          <w:szCs w:val="11"/>
        </w:rPr>
        <w:t>期）。</w:t>
      </w:r>
    </w:p>
    <w:p w14:paraId="10BCD94A">
      <w:pPr>
        <w:pStyle w:val="17"/>
        <w:keepNext w:val="0"/>
        <w:keepLines w:val="0"/>
        <w:widowControl w:val="0"/>
        <w:shd w:val="clear" w:color="auto" w:fill="auto"/>
        <w:bidi w:val="0"/>
        <w:spacing w:before="0" w:after="0" w:line="344" w:lineRule="exact"/>
        <w:ind w:left="0" w:right="0" w:firstLine="420"/>
        <w:jc w:val="both"/>
      </w:pPr>
      <w:r>
        <w:rPr>
          <w:color w:val="000000"/>
          <w:spacing w:val="0"/>
          <w:w w:val="100"/>
          <w:position w:val="0"/>
        </w:rPr>
        <w:t>为了帮助原告绕开因果关系证明难题，我国学者主张生存机会本身就是《侵权责任法》 （《民法典》侵权责任编）保护的民事权益:生存机会丧失将导致生命权或健康权（被侵权人 尚在）受到侵害,其与生命权和健康权一样都应得到侵权法的保护</w:t>
      </w:r>
      <w:r>
        <w:rPr>
          <w:color w:val="000000"/>
          <w:spacing w:val="0"/>
          <w:w w:val="100"/>
          <w:position w:val="0"/>
          <w:sz w:val="11"/>
          <w:szCs w:val="11"/>
        </w:rPr>
        <w:t>（季若望:《侵权法上生存机 会丧失理论的本土化构建</w:t>
      </w:r>
      <w:r>
        <w:rPr>
          <w:color w:val="000000"/>
          <w:spacing w:val="0"/>
          <w:w w:val="100"/>
          <w:position w:val="0"/>
          <w:sz w:val="11"/>
          <w:szCs w:val="11"/>
          <w:lang w:val="en-US" w:eastAsia="en-US" w:bidi="en-US"/>
        </w:rPr>
        <w:t>一一</w:t>
      </w:r>
      <w:r>
        <w:rPr>
          <w:color w:val="000000"/>
          <w:spacing w:val="0"/>
          <w:w w:val="100"/>
          <w:position w:val="0"/>
          <w:sz w:val="11"/>
          <w:szCs w:val="11"/>
        </w:rPr>
        <w:t>以医疗损害案件为视角》，载《政治与法律》</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期）。如</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果将生 存机会视为一种为原《侵权责任法》所独立保护的民事权益,延误治疗本身即为</w:t>
      </w:r>
      <w:r>
        <w:rPr>
          <w:color w:val="000000"/>
          <w:spacing w:val="0"/>
          <w:w w:val="100"/>
          <w:position w:val="0"/>
          <w:lang w:val="zh-CN" w:eastAsia="zh-CN" w:bidi="zh-CN"/>
        </w:rPr>
        <w:t xml:space="preserve">“损害”，行 </w:t>
      </w:r>
      <w:r>
        <w:rPr>
          <w:color w:val="000000"/>
          <w:spacing w:val="0"/>
          <w:w w:val="100"/>
          <w:position w:val="0"/>
        </w:rPr>
        <w:t>为和延误治疗之间的因果关系相较于行为与患者人身损害之间的因果关系较易证明。侵 害生存机会将原则上导致比例赔偿:损害数额为机会丧失的百分比与总损失额的乘积。但 也有学者明确反对将生存机会视为侵权法保护的民事权益。侵权法救济的是损害而非风 险,导致生命健康受损的事由众多,上述</w:t>
      </w:r>
      <w:r>
        <w:rPr>
          <w:color w:val="000000"/>
          <w:spacing w:val="0"/>
          <w:w w:val="100"/>
          <w:position w:val="0"/>
          <w:lang w:val="zh-CN" w:eastAsia="zh-CN" w:bidi="zh-CN"/>
        </w:rPr>
        <w:t>“独</w:t>
      </w:r>
      <w:r>
        <w:rPr>
          <w:color w:val="000000"/>
          <w:spacing w:val="0"/>
          <w:w w:val="100"/>
          <w:position w:val="0"/>
        </w:rPr>
        <w:t>立损害</w:t>
      </w:r>
      <w:r>
        <w:rPr>
          <w:color w:val="000000"/>
          <w:spacing w:val="0"/>
          <w:w w:val="100"/>
          <w:position w:val="0"/>
          <w:lang w:val="zh-CN" w:eastAsia="zh-CN" w:bidi="zh-CN"/>
        </w:rPr>
        <w:t>”理论</w:t>
      </w:r>
      <w:r>
        <w:rPr>
          <w:color w:val="000000"/>
          <w:spacing w:val="0"/>
          <w:w w:val="100"/>
          <w:position w:val="0"/>
        </w:rPr>
        <w:t>并无任何特殊之处,这也不足以使 机会丧失成为一种独立法益</w:t>
      </w:r>
      <w:r>
        <w:rPr>
          <w:color w:val="000000"/>
          <w:spacing w:val="0"/>
          <w:w w:val="100"/>
          <w:position w:val="0"/>
          <w:sz w:val="11"/>
          <w:szCs w:val="11"/>
        </w:rPr>
        <w:t>（满洪杰:《医疗损害机会丧失赔偿规则研究》，载《法学家》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 xml:space="preserve">4 </w:t>
      </w:r>
      <w:r>
        <w:rPr>
          <w:color w:val="000000"/>
          <w:spacing w:val="0"/>
          <w:w w:val="100"/>
          <w:position w:val="0"/>
          <w:sz w:val="11"/>
          <w:szCs w:val="11"/>
        </w:rPr>
        <w:t>期）。</w:t>
      </w:r>
      <w:r>
        <w:rPr>
          <w:color w:val="000000"/>
          <w:spacing w:val="0"/>
          <w:w w:val="100"/>
          <w:position w:val="0"/>
        </w:rPr>
        <w:t>比例赔偿也欠缺正当性:当患者的最终损害尚未发生时，患者所失机会比例仅为对过 去类似病例的统计,并不能真正确定患者病情的发展;如果患者幸运地没有遭受最终损害， 或者随着病情的进展以及医学的发展，可以被归入生存率更高的组别中，以某一时点的生 存概率所判断的比例损害则未必符合实际，而出现过度赔偿或不足赔偿问题</w:t>
      </w:r>
      <w:r>
        <w:rPr>
          <w:color w:val="000000"/>
          <w:spacing w:val="0"/>
          <w:w w:val="100"/>
          <w:position w:val="0"/>
          <w:sz w:val="11"/>
          <w:szCs w:val="11"/>
        </w:rPr>
        <w:t>（满洪杰:《医疗 损害机会丧失赔偿规则研究》，载《法学家》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rPr>
        <w:t>疾病的自然发展难以预料且无法完 全避免，将生存机会视为独立的民事权益也容易导致责任泛化，这在医疗侵权中将极为明 显:一切医疗过失都可能导致生存机会损失。</w:t>
      </w:r>
    </w:p>
    <w:p w14:paraId="71ADC9E1">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另一种值得关注的路径是，将延误治疗视为侵犯了诊疗选择权,被侵权人或其家属可 以请求纯粹经济损失和精神损害赔偿。纯粹经济损失包括:不必要的医疗费用、为获得相 同效果而增加的医疗费用、加速病情所造成的财产损害及治疗迟延造成的费用增加。精神 损害赔偿包括:机会丧失直接引发的精神痛苦、丧失更有利诊疗方案的精神损害、本可避免 的侵入性治疗和引发的精神损害及病情加速的精神痛苦</w:t>
      </w:r>
      <w:r>
        <w:rPr>
          <w:color w:val="000000"/>
          <w:spacing w:val="0"/>
          <w:w w:val="100"/>
          <w:position w:val="0"/>
          <w:sz w:val="11"/>
          <w:szCs w:val="11"/>
        </w:rPr>
        <w:t>（满洪杰:《医疗损害机会丧失赔偿规则 研究》，载《法学家》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rPr>
        <w:t>我国《民法典》第</w:t>
      </w:r>
      <w:r>
        <w:rPr>
          <w:rFonts w:ascii="Times New Roman" w:hAnsi="Times New Roman" w:eastAsia="Times New Roman" w:cs="Times New Roman"/>
          <w:color w:val="000000"/>
          <w:spacing w:val="0"/>
          <w:w w:val="100"/>
          <w:position w:val="0"/>
          <w:sz w:val="19"/>
          <w:szCs w:val="19"/>
        </w:rPr>
        <w:t>1164</w:t>
      </w:r>
      <w:r>
        <w:rPr>
          <w:color w:val="000000"/>
          <w:spacing w:val="0"/>
          <w:w w:val="100"/>
          <w:position w:val="0"/>
        </w:rPr>
        <w:t>条规定:本编调整因侵害民事权益 产生的民事关系。司法实践也倾向于对民事权益持开放性态度，各种人格利益借助民事权 益置身于侵权法的保护范围之内</w:t>
      </w:r>
      <w:r>
        <w:rPr>
          <w:color w:val="000000"/>
          <w:spacing w:val="0"/>
          <w:w w:val="100"/>
          <w:position w:val="0"/>
          <w:sz w:val="11"/>
          <w:szCs w:val="11"/>
        </w:rPr>
        <w:t>（曹险峰:《我国侵权责任法的侵权构成模式——以“民事权益</w:t>
      </w:r>
      <w:r>
        <w:rPr>
          <w:color w:val="000000"/>
          <w:spacing w:val="0"/>
          <w:w w:val="100"/>
          <w:position w:val="0"/>
          <w:sz w:val="11"/>
          <w:szCs w:val="11"/>
          <w:lang w:val="zh-CN" w:eastAsia="zh-CN" w:bidi="zh-CN"/>
        </w:rPr>
        <w:t xml:space="preserve">”的 </w:t>
      </w:r>
      <w:r>
        <w:rPr>
          <w:color w:val="000000"/>
          <w:spacing w:val="0"/>
          <w:w w:val="100"/>
          <w:position w:val="0"/>
          <w:sz w:val="11"/>
          <w:szCs w:val="11"/>
        </w:rPr>
        <w:t>定位与功能分析为中心》，载《法学研究》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rPr>
        <w:t>诊疗选择权借助人格权寻得侵权法的 保护，存在合理性和可行性。在上述案件中，天药公司和周宜霞的虚假宣传导致苏文菊选 择相信保健品的抗癌功能,而未及时就医,苏文菊的诊疗选择权受到侵犯。然而,何种程度 上侵犯诊疗选择权需要侵权法的否定评价？如果生存机会因被告的过错从</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降至</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是 否也构成对诊疗选择权的侵犯？赔偿数额又应如何计算？这些问题尚无定论。</w:t>
      </w:r>
    </w:p>
    <w:p w14:paraId="08D2696C">
      <w:pPr>
        <w:pStyle w:val="17"/>
        <w:keepNext w:val="0"/>
        <w:keepLines w:val="0"/>
        <w:widowControl w:val="0"/>
        <w:shd w:val="clear" w:color="auto" w:fill="auto"/>
        <w:bidi w:val="0"/>
        <w:spacing w:before="0" w:after="280" w:line="342" w:lineRule="exact"/>
        <w:ind w:left="0" w:right="0" w:firstLine="420"/>
        <w:jc w:val="both"/>
      </w:pPr>
      <w:r>
        <w:rPr>
          <w:color w:val="000000"/>
          <w:spacing w:val="0"/>
          <w:w w:val="100"/>
          <w:position w:val="0"/>
        </w:rPr>
        <w:t>综上所述,关于延误治疗导致生存机会丧失的责任承担问题，学说上主要存在以下两 种观点</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生存机会本身就是《民法典》第</w:t>
      </w:r>
      <w:r>
        <w:rPr>
          <w:rFonts w:ascii="Times New Roman" w:hAnsi="Times New Roman" w:eastAsia="Times New Roman" w:cs="Times New Roman"/>
          <w:color w:val="000000"/>
          <w:spacing w:val="0"/>
          <w:w w:val="100"/>
          <w:position w:val="0"/>
          <w:sz w:val="19"/>
          <w:szCs w:val="19"/>
        </w:rPr>
        <w:t>1164</w:t>
      </w:r>
      <w:r>
        <w:rPr>
          <w:color w:val="000000"/>
          <w:spacing w:val="0"/>
          <w:w w:val="100"/>
          <w:position w:val="0"/>
        </w:rPr>
        <w:t>条所保护的独立的民事权益,延误治疗本 身即为</w:t>
      </w:r>
      <w:r>
        <w:rPr>
          <w:color w:val="000000"/>
          <w:spacing w:val="0"/>
          <w:w w:val="100"/>
          <w:position w:val="0"/>
          <w:lang w:val="zh-CN" w:eastAsia="zh-CN" w:bidi="zh-CN"/>
        </w:rPr>
        <w:t>“损</w:t>
      </w:r>
      <w:r>
        <w:rPr>
          <w:color w:val="000000"/>
          <w:spacing w:val="0"/>
          <w:w w:val="100"/>
          <w:position w:val="0"/>
        </w:rPr>
        <w:t>害”；延误治疗将引发比例赔偿——损害赔偿数额为机会丧失的百分比与总损失 额的乘积。</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生存机会丧失本身并不触发侵权责任,诊疗选择权受到侵害才需要法律予 以救济;诊疗选择权为人格权的一种，被侵权人得请求纯粹经济损失赔偿和精神损害赔偿。 在现行法体系下很难找到</w:t>
      </w:r>
      <w:r>
        <w:rPr>
          <w:color w:val="000000"/>
          <w:spacing w:val="0"/>
          <w:w w:val="100"/>
          <w:position w:val="0"/>
          <w:lang w:val="zh-CN" w:eastAsia="zh-CN" w:bidi="zh-CN"/>
        </w:rPr>
        <w:t>“生存</w:t>
      </w:r>
      <w:r>
        <w:rPr>
          <w:color w:val="000000"/>
          <w:spacing w:val="0"/>
          <w:w w:val="100"/>
          <w:position w:val="0"/>
        </w:rPr>
        <w:t>机会”直接能够被涵摄的规范基础，通过解释的方法将其纳 入体系内仍存在较多困难;诊疗选择权也有权利泛化的嫌疑,且侵犯诊疗选择权的损害赔 偿也不够清晰。两种观点各有局限，可见学界对该问题尚未达成共识，但对于延误治疗导 致侵权责任则并无疑义。本案判决却简单地采取了“谁主张,谁举证</w:t>
      </w:r>
      <w:r>
        <w:rPr>
          <w:color w:val="000000"/>
          <w:spacing w:val="0"/>
          <w:w w:val="100"/>
          <w:position w:val="0"/>
          <w:lang w:val="zh-CN" w:eastAsia="zh-CN" w:bidi="zh-CN"/>
        </w:rPr>
        <w:t>”的</w:t>
      </w:r>
      <w:r>
        <w:rPr>
          <w:color w:val="000000"/>
          <w:spacing w:val="0"/>
          <w:w w:val="100"/>
          <w:position w:val="0"/>
        </w:rPr>
        <w:t>态度,要求原告证 明迟延治疗对死亡结果的关键影响，否则就要承担不利后果。这一观点与学界基本态度大 相径庭。</w:t>
      </w:r>
    </w:p>
    <w:p w14:paraId="5C977A6B">
      <w:pPr>
        <w:pStyle w:val="17"/>
        <w:keepNext w:val="0"/>
        <w:keepLines w:val="0"/>
        <w:widowControl w:val="0"/>
        <w:shd w:val="clear" w:color="auto" w:fill="auto"/>
        <w:bidi w:val="0"/>
        <w:spacing w:before="0" w:after="0" w:line="420"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既有司法实践状况</w:t>
      </w:r>
    </w:p>
    <w:p w14:paraId="5D19D5BF">
      <w:pPr>
        <w:pStyle w:val="17"/>
        <w:keepNext w:val="0"/>
        <w:keepLines w:val="0"/>
        <w:widowControl w:val="0"/>
        <w:shd w:val="clear" w:color="auto" w:fill="auto"/>
        <w:bidi w:val="0"/>
        <w:spacing w:before="0" w:after="0" w:line="342" w:lineRule="exact"/>
        <w:ind w:left="0" w:right="0" w:firstLine="420"/>
        <w:jc w:val="both"/>
        <w:rPr>
          <w:sz w:val="11"/>
          <w:szCs w:val="11"/>
        </w:rPr>
      </w:pPr>
      <w:r>
        <w:rPr>
          <w:color w:val="000000"/>
          <w:spacing w:val="0"/>
          <w:w w:val="100"/>
          <w:position w:val="0"/>
          <w:sz w:val="18"/>
          <w:szCs w:val="18"/>
        </w:rPr>
        <w:t>在本公报案例公布之前，司法实践中对于延误治疗和损害之间的因果关系证明问题态 度不一，但原则上都倾向于救济受害人。</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8"/>
          <w:szCs w:val="18"/>
        </w:rPr>
        <w:t>如果司法鉴定认定被告的过错行为乃损害后 果发生的主要原因，法院直接依据鉴定结论判决被告承担损害赔偿责任，责任比例不得降 低;死亡赔偿金的计算也无需考虑生存机会问题</w:t>
      </w:r>
      <w:r>
        <w:rPr>
          <w:color w:val="000000"/>
          <w:spacing w:val="0"/>
          <w:w w:val="100"/>
          <w:position w:val="0"/>
          <w:sz w:val="11"/>
          <w:szCs w:val="11"/>
        </w:rPr>
        <w:t>［江西省高级人民法院</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赣民再</w:t>
      </w:r>
      <w:r>
        <w:rPr>
          <w:rFonts w:ascii="Times New Roman" w:hAnsi="Times New Roman" w:eastAsia="Times New Roman" w:cs="Times New Roman"/>
          <w:color w:val="000000"/>
          <w:spacing w:val="0"/>
          <w:w w:val="100"/>
          <w:position w:val="0"/>
          <w:sz w:val="17"/>
          <w:szCs w:val="17"/>
        </w:rPr>
        <w:t>118</w:t>
      </w:r>
      <w:r>
        <w:rPr>
          <w:color w:val="000000"/>
          <w:spacing w:val="0"/>
          <w:w w:val="100"/>
          <w:position w:val="0"/>
          <w:sz w:val="11"/>
          <w:szCs w:val="11"/>
        </w:rPr>
        <w:t>号判决 书</w:t>
      </w:r>
      <w:r>
        <w:rPr>
          <w:rFonts w:ascii="Times New Roman" w:hAnsi="Times New Roman" w:eastAsia="Times New Roman" w:cs="Times New Roman"/>
          <w:color w:val="000000"/>
          <w:spacing w:val="0"/>
          <w:w w:val="100"/>
          <w:position w:val="0"/>
          <w:sz w:val="17"/>
          <w:szCs w:val="17"/>
          <w:lang w:val="en-US" w:eastAsia="en-US" w:bidi="en-US"/>
        </w:rPr>
        <w:t>］</w:t>
      </w:r>
      <w:r>
        <w:rPr>
          <w:rFonts w:ascii="Times New Roman" w:hAnsi="Times New Roman" w:eastAsia="Times New Roman" w:cs="Times New Roman"/>
          <w:color w:val="000000"/>
          <w:spacing w:val="0"/>
          <w:w w:val="100"/>
          <w:position w:val="0"/>
          <w:sz w:val="17"/>
          <w:szCs w:val="17"/>
          <w:vertAlign w:val="subscript"/>
          <w:lang w:val="en-US" w:eastAsia="en-US" w:bidi="en-US"/>
        </w:rPr>
        <w:t>o</w:t>
      </w:r>
      <w:r>
        <w:rPr>
          <w:rFonts w:ascii="Times New Roman" w:hAnsi="Times New Roman" w:eastAsia="Times New Roman" w:cs="Times New Roman"/>
          <w:color w:val="000000"/>
          <w:spacing w:val="0"/>
          <w:w w:val="100"/>
          <w:position w:val="0"/>
          <w:sz w:val="17"/>
          <w:szCs w:val="17"/>
          <w:lang w:val="en-US" w:eastAsia="en-US" w:bidi="en-US"/>
        </w:rPr>
        <w:t xml:space="preserve"> </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司法鉴定难以确定过错行为与损害后果发生之间的因果关系的，法院以过错参与 度之名完成了对因果关系的论证。例如，在“朱秀兰、张四周等与楓阳县人民医院医疗损害 责任纠纷案</w:t>
      </w:r>
      <w:r>
        <w:rPr>
          <w:color w:val="000000"/>
          <w:spacing w:val="0"/>
          <w:w w:val="100"/>
          <w:position w:val="0"/>
          <w:sz w:val="18"/>
          <w:szCs w:val="18"/>
          <w:lang w:val="zh-CN" w:eastAsia="zh-CN" w:bidi="zh-CN"/>
        </w:rPr>
        <w:t>”中</w:t>
      </w:r>
      <w:r>
        <w:rPr>
          <w:color w:val="000000"/>
          <w:spacing w:val="0"/>
          <w:w w:val="100"/>
          <w:position w:val="0"/>
          <w:sz w:val="18"/>
          <w:szCs w:val="18"/>
        </w:rPr>
        <w:t>，法院虽然认为“王玉梅自身病变是其最终死亡的根本原因”，但同时主张 “极阳县人民医院过错参与度经司法鉴定为</w:t>
      </w:r>
      <w:r>
        <w:rPr>
          <w:rFonts w:ascii="Times New Roman" w:hAnsi="Times New Roman" w:eastAsia="Times New Roman" w:cs="Times New Roman"/>
          <w:color w:val="000000"/>
          <w:spacing w:val="0"/>
          <w:w w:val="100"/>
          <w:position w:val="0"/>
          <w:sz w:val="17"/>
          <w:szCs w:val="17"/>
        </w:rPr>
        <w:t>10%</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20% </w:t>
      </w:r>
      <w:r>
        <w:rPr>
          <w:color w:val="000000"/>
          <w:spacing w:val="0"/>
          <w:w w:val="100"/>
          <w:position w:val="0"/>
          <w:sz w:val="18"/>
          <w:szCs w:val="18"/>
        </w:rPr>
        <w:t>,本院结合本案事实,对其过错参与 度认定为</w:t>
      </w:r>
      <w:r>
        <w:rPr>
          <w:rFonts w:ascii="Times New Roman" w:hAnsi="Times New Roman" w:eastAsia="Times New Roman" w:cs="Times New Roman"/>
          <w:color w:val="000000"/>
          <w:spacing w:val="0"/>
          <w:w w:val="100"/>
          <w:position w:val="0"/>
          <w:sz w:val="17"/>
          <w:szCs w:val="17"/>
        </w:rPr>
        <w:t>15%</w:t>
      </w:r>
      <w:r>
        <w:rPr>
          <w:color w:val="000000"/>
          <w:spacing w:val="0"/>
          <w:w w:val="100"/>
          <w:position w:val="0"/>
          <w:sz w:val="18"/>
          <w:szCs w:val="18"/>
        </w:rPr>
        <w:t>为宜”</w:t>
      </w:r>
      <w:r>
        <w:rPr>
          <w:color w:val="000000"/>
          <w:spacing w:val="0"/>
          <w:w w:val="100"/>
          <w:position w:val="0"/>
          <w:sz w:val="11"/>
          <w:szCs w:val="11"/>
          <w:lang w:val="en-US" w:eastAsia="en-US" w:bidi="en-US"/>
        </w:rPr>
        <w:t>［</w:t>
      </w:r>
      <w:r>
        <w:rPr>
          <w:color w:val="000000"/>
          <w:spacing w:val="0"/>
          <w:w w:val="100"/>
          <w:position w:val="0"/>
          <w:sz w:val="11"/>
          <w:szCs w:val="11"/>
        </w:rPr>
        <w:t>安徽省楓阳县人民法院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根民一初字第</w:t>
      </w:r>
      <w:r>
        <w:rPr>
          <w:rFonts w:ascii="Times New Roman" w:hAnsi="Times New Roman" w:eastAsia="Times New Roman" w:cs="Times New Roman"/>
          <w:color w:val="000000"/>
          <w:spacing w:val="0"/>
          <w:w w:val="100"/>
          <w:position w:val="0"/>
          <w:sz w:val="17"/>
          <w:szCs w:val="17"/>
        </w:rPr>
        <w:t>01904</w:t>
      </w:r>
      <w:r>
        <w:rPr>
          <w:color w:val="000000"/>
          <w:spacing w:val="0"/>
          <w:w w:val="100"/>
          <w:position w:val="0"/>
          <w:sz w:val="11"/>
          <w:szCs w:val="11"/>
        </w:rPr>
        <w:t>号民事判决书］。</w:t>
      </w:r>
      <w:r>
        <w:rPr>
          <w:color w:val="000000"/>
          <w:spacing w:val="0"/>
          <w:w w:val="100"/>
          <w:position w:val="0"/>
          <w:sz w:val="18"/>
          <w:szCs w:val="18"/>
        </w:rPr>
        <w:t>在“熊 德云中医诊所与李健华程良华医疗损害责任纠纷案</w:t>
      </w:r>
      <w:r>
        <w:rPr>
          <w:color w:val="000000"/>
          <w:spacing w:val="0"/>
          <w:w w:val="100"/>
          <w:position w:val="0"/>
          <w:sz w:val="18"/>
          <w:szCs w:val="18"/>
          <w:lang w:val="zh-CN" w:eastAsia="zh-CN" w:bidi="zh-CN"/>
        </w:rPr>
        <w:t>”中,</w:t>
      </w:r>
      <w:r>
        <w:rPr>
          <w:color w:val="000000"/>
          <w:spacing w:val="0"/>
          <w:w w:val="100"/>
          <w:position w:val="0"/>
          <w:sz w:val="18"/>
          <w:szCs w:val="18"/>
        </w:rPr>
        <w:t>法院同样强调</w:t>
      </w:r>
      <w:r>
        <w:rPr>
          <w:color w:val="000000"/>
          <w:spacing w:val="0"/>
          <w:w w:val="100"/>
          <w:position w:val="0"/>
          <w:sz w:val="18"/>
          <w:szCs w:val="18"/>
          <w:lang w:val="zh-CN" w:eastAsia="zh-CN" w:bidi="zh-CN"/>
        </w:rPr>
        <w:t>“程文</w:t>
      </w:r>
      <w:r>
        <w:rPr>
          <w:color w:val="000000"/>
          <w:spacing w:val="0"/>
          <w:w w:val="100"/>
          <w:position w:val="0"/>
          <w:sz w:val="18"/>
          <w:szCs w:val="18"/>
        </w:rPr>
        <w:t>奇的死亡主要 是自身原发性疾病所致</w:t>
      </w:r>
      <w:r>
        <w:rPr>
          <w:color w:val="000000"/>
          <w:spacing w:val="0"/>
          <w:w w:val="100"/>
          <w:position w:val="0"/>
          <w:sz w:val="18"/>
          <w:szCs w:val="18"/>
          <w:lang w:val="zh-CN" w:eastAsia="zh-CN" w:bidi="zh-CN"/>
        </w:rPr>
        <w:t>，”但</w:t>
      </w:r>
      <w:r>
        <w:rPr>
          <w:color w:val="000000"/>
          <w:spacing w:val="0"/>
          <w:w w:val="100"/>
          <w:position w:val="0"/>
          <w:sz w:val="18"/>
          <w:szCs w:val="18"/>
        </w:rPr>
        <w:t>医生</w:t>
      </w:r>
      <w:r>
        <w:rPr>
          <w:color w:val="000000"/>
          <w:spacing w:val="0"/>
          <w:w w:val="100"/>
          <w:position w:val="0"/>
          <w:sz w:val="18"/>
          <w:szCs w:val="18"/>
          <w:lang w:val="zh-CN" w:eastAsia="zh-CN" w:bidi="zh-CN"/>
        </w:rPr>
        <w:t>“忽</w:t>
      </w:r>
      <w:r>
        <w:rPr>
          <w:color w:val="000000"/>
          <w:spacing w:val="0"/>
          <w:w w:val="100"/>
          <w:position w:val="0"/>
          <w:sz w:val="18"/>
          <w:szCs w:val="18"/>
        </w:rPr>
        <w:t>视了必要的体格检查，以致程文奇在家中病情突然变 化得不到及时有效的救治,完全丧失了生存机会</w:t>
      </w:r>
      <w:r>
        <w:rPr>
          <w:color w:val="000000"/>
          <w:spacing w:val="0"/>
          <w:w w:val="100"/>
          <w:position w:val="0"/>
          <w:sz w:val="11"/>
          <w:szCs w:val="11"/>
          <w:lang w:val="zh-CN" w:eastAsia="zh-CN" w:bidi="zh-CN"/>
        </w:rPr>
        <w:t>”［重</w:t>
      </w:r>
      <w:r>
        <w:rPr>
          <w:color w:val="000000"/>
          <w:spacing w:val="0"/>
          <w:w w:val="100"/>
          <w:position w:val="0"/>
          <w:sz w:val="11"/>
          <w:szCs w:val="11"/>
        </w:rPr>
        <w:t>庆市高级人民法院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渝民申</w:t>
      </w:r>
      <w:r>
        <w:rPr>
          <w:rFonts w:ascii="Times New Roman" w:hAnsi="Times New Roman" w:eastAsia="Times New Roman" w:cs="Times New Roman"/>
          <w:color w:val="000000"/>
          <w:spacing w:val="0"/>
          <w:w w:val="100"/>
          <w:position w:val="0"/>
          <w:sz w:val="17"/>
          <w:szCs w:val="17"/>
        </w:rPr>
        <w:t>2791</w:t>
      </w:r>
      <w:r>
        <w:rPr>
          <w:color w:val="000000"/>
          <w:spacing w:val="0"/>
          <w:w w:val="100"/>
          <w:position w:val="0"/>
          <w:sz w:val="11"/>
          <w:szCs w:val="11"/>
        </w:rPr>
        <w:t>号裁 定书</w:t>
      </w:r>
      <w:r>
        <w:rPr>
          <w:color w:val="000000"/>
          <w:spacing w:val="0"/>
          <w:w w:val="100"/>
          <w:position w:val="0"/>
          <w:sz w:val="11"/>
          <w:szCs w:val="11"/>
          <w:lang w:val="en-US" w:eastAsia="en-US" w:bidi="en-US"/>
        </w:rPr>
        <w:t>］</w:t>
      </w:r>
      <w:r>
        <w:rPr>
          <w:rFonts w:ascii="Times New Roman" w:hAnsi="Times New Roman" w:eastAsia="Times New Roman" w:cs="Times New Roman"/>
          <w:color w:val="000000"/>
          <w:spacing w:val="0"/>
          <w:w w:val="100"/>
          <w:position w:val="0"/>
          <w:sz w:val="17"/>
          <w:szCs w:val="17"/>
          <w:lang w:val="en-US" w:eastAsia="en-US" w:bidi="en-US"/>
        </w:rPr>
        <w:t>o</w:t>
      </w:r>
      <w:r>
        <w:rPr>
          <w:color w:val="000000"/>
          <w:spacing w:val="0"/>
          <w:w w:val="100"/>
          <w:position w:val="0"/>
          <w:sz w:val="18"/>
          <w:szCs w:val="18"/>
        </w:rPr>
        <w:t>在“谢敬平等与黄山市人民医院案</w:t>
      </w:r>
      <w:r>
        <w:rPr>
          <w:color w:val="000000"/>
          <w:spacing w:val="0"/>
          <w:w w:val="100"/>
          <w:position w:val="0"/>
          <w:sz w:val="18"/>
          <w:szCs w:val="18"/>
          <w:lang w:val="zh-CN" w:eastAsia="zh-CN" w:bidi="zh-CN"/>
        </w:rPr>
        <w:t>”中</w:t>
      </w:r>
      <w:r>
        <w:rPr>
          <w:color w:val="000000"/>
          <w:spacing w:val="0"/>
          <w:w w:val="100"/>
          <w:position w:val="0"/>
          <w:sz w:val="18"/>
          <w:szCs w:val="18"/>
        </w:rPr>
        <w:t>，法院认为被告过失行为延滞了明确诊断时间 和治疗，一定程度影响了程秀芳的生存期,过错参度为</w:t>
      </w:r>
      <w:r>
        <w:rPr>
          <w:rFonts w:ascii="Times New Roman" w:hAnsi="Times New Roman" w:eastAsia="Times New Roman" w:cs="Times New Roman"/>
          <w:color w:val="000000"/>
          <w:spacing w:val="0"/>
          <w:w w:val="100"/>
          <w:position w:val="0"/>
          <w:sz w:val="17"/>
          <w:szCs w:val="17"/>
        </w:rPr>
        <w:t>20%</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 xml:space="preserve">30% </w:t>
      </w:r>
      <w:r>
        <w:rPr>
          <w:color w:val="000000"/>
          <w:spacing w:val="0"/>
          <w:w w:val="100"/>
          <w:position w:val="0"/>
          <w:sz w:val="11"/>
          <w:szCs w:val="11"/>
          <w:lang w:val="en-US" w:eastAsia="en-US" w:bidi="en-US"/>
        </w:rPr>
        <w:t>［</w:t>
      </w:r>
      <w:r>
        <w:rPr>
          <w:color w:val="000000"/>
          <w:spacing w:val="0"/>
          <w:w w:val="100"/>
          <w:position w:val="0"/>
          <w:sz w:val="11"/>
          <w:szCs w:val="11"/>
        </w:rPr>
        <w:t>安徽省黄山市中级人民法 院</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皖</w:t>
      </w:r>
      <w:r>
        <w:rPr>
          <w:rFonts w:ascii="Times New Roman" w:hAnsi="Times New Roman" w:eastAsia="Times New Roman" w:cs="Times New Roman"/>
          <w:color w:val="000000"/>
          <w:spacing w:val="0"/>
          <w:w w:val="100"/>
          <w:position w:val="0"/>
          <w:sz w:val="17"/>
          <w:szCs w:val="17"/>
        </w:rPr>
        <w:t>10</w:t>
      </w:r>
      <w:r>
        <w:rPr>
          <w:color w:val="000000"/>
          <w:spacing w:val="0"/>
          <w:w w:val="100"/>
          <w:position w:val="0"/>
          <w:sz w:val="11"/>
          <w:szCs w:val="11"/>
        </w:rPr>
        <w:t>民终字第</w:t>
      </w:r>
      <w:r>
        <w:rPr>
          <w:rFonts w:ascii="Times New Roman" w:hAnsi="Times New Roman" w:eastAsia="Times New Roman" w:cs="Times New Roman"/>
          <w:color w:val="000000"/>
          <w:spacing w:val="0"/>
          <w:w w:val="100"/>
          <w:position w:val="0"/>
          <w:sz w:val="17"/>
          <w:szCs w:val="17"/>
        </w:rPr>
        <w:t>381</w:t>
      </w:r>
      <w:r>
        <w:rPr>
          <w:color w:val="000000"/>
          <w:spacing w:val="0"/>
          <w:w w:val="100"/>
          <w:position w:val="0"/>
          <w:sz w:val="11"/>
          <w:szCs w:val="11"/>
        </w:rPr>
        <w:t>号民事判决书］。</w:t>
      </w:r>
      <w:r>
        <w:rPr>
          <w:color w:val="000000"/>
          <w:spacing w:val="0"/>
          <w:w w:val="100"/>
          <w:position w:val="0"/>
          <w:sz w:val="18"/>
          <w:szCs w:val="18"/>
        </w:rPr>
        <w:t>在“阿克苏地区第一人民医院与张弓长等医疗损 害责任纠纷案</w:t>
      </w:r>
      <w:r>
        <w:rPr>
          <w:color w:val="000000"/>
          <w:spacing w:val="0"/>
          <w:w w:val="100"/>
          <w:position w:val="0"/>
          <w:sz w:val="18"/>
          <w:szCs w:val="18"/>
          <w:lang w:val="zh-CN" w:eastAsia="zh-CN" w:bidi="zh-CN"/>
        </w:rPr>
        <w:t>”中</w:t>
      </w:r>
      <w:r>
        <w:rPr>
          <w:color w:val="000000"/>
          <w:spacing w:val="0"/>
          <w:w w:val="100"/>
          <w:position w:val="0"/>
          <w:sz w:val="18"/>
          <w:szCs w:val="18"/>
        </w:rPr>
        <w:t>，法院指出医院过错使患者丧失生存机会，过错参与度可考虑为</w:t>
      </w:r>
      <w:r>
        <w:rPr>
          <w:rFonts w:ascii="Times New Roman" w:hAnsi="Times New Roman" w:eastAsia="Times New Roman" w:cs="Times New Roman"/>
          <w:color w:val="000000"/>
          <w:spacing w:val="0"/>
          <w:w w:val="100"/>
          <w:position w:val="0"/>
          <w:sz w:val="17"/>
          <w:szCs w:val="17"/>
        </w:rPr>
        <w:t>25%［</w:t>
      </w:r>
      <w:r>
        <w:rPr>
          <w:color w:val="000000"/>
          <w:spacing w:val="0"/>
          <w:w w:val="100"/>
          <w:position w:val="0"/>
          <w:sz w:val="11"/>
          <w:szCs w:val="11"/>
        </w:rPr>
        <w:t>新 疆维吾尔自治区高级人民法院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新民申字第</w:t>
      </w:r>
      <w:r>
        <w:rPr>
          <w:rFonts w:ascii="Times New Roman" w:hAnsi="Times New Roman" w:eastAsia="Times New Roman" w:cs="Times New Roman"/>
          <w:color w:val="000000"/>
          <w:spacing w:val="0"/>
          <w:w w:val="100"/>
          <w:position w:val="0"/>
          <w:sz w:val="17"/>
          <w:szCs w:val="17"/>
        </w:rPr>
        <w:t>1397</w:t>
      </w:r>
      <w:r>
        <w:rPr>
          <w:color w:val="000000"/>
          <w:spacing w:val="0"/>
          <w:w w:val="100"/>
          <w:position w:val="0"/>
          <w:sz w:val="11"/>
          <w:szCs w:val="11"/>
        </w:rPr>
        <w:t>号民事裁定书］。</w:t>
      </w:r>
      <w:r>
        <w:rPr>
          <w:color w:val="000000"/>
          <w:spacing w:val="0"/>
          <w:w w:val="100"/>
          <w:position w:val="0"/>
          <w:sz w:val="18"/>
          <w:szCs w:val="18"/>
        </w:rPr>
        <w:t>就因果关系而言，法院认 为“难以排除</w:t>
      </w:r>
      <w:r>
        <w:rPr>
          <w:color w:val="000000"/>
          <w:spacing w:val="0"/>
          <w:w w:val="100"/>
          <w:position w:val="0"/>
          <w:sz w:val="18"/>
          <w:szCs w:val="18"/>
          <w:lang w:val="zh-CN" w:eastAsia="zh-CN" w:bidi="zh-CN"/>
        </w:rPr>
        <w:t>”即</w:t>
      </w:r>
      <w:r>
        <w:rPr>
          <w:color w:val="000000"/>
          <w:spacing w:val="0"/>
          <w:w w:val="100"/>
          <w:position w:val="0"/>
          <w:sz w:val="18"/>
          <w:szCs w:val="18"/>
        </w:rPr>
        <w:t>为已足</w:t>
      </w:r>
      <w:r>
        <w:rPr>
          <w:color w:val="000000"/>
          <w:spacing w:val="0"/>
          <w:w w:val="100"/>
          <w:position w:val="0"/>
          <w:sz w:val="11"/>
          <w:szCs w:val="11"/>
        </w:rPr>
        <w:t>［安徽省安庆市迎江区人民法院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迎民一初字第</w:t>
      </w:r>
      <w:r>
        <w:rPr>
          <w:rFonts w:ascii="Times New Roman" w:hAnsi="Times New Roman" w:eastAsia="Times New Roman" w:cs="Times New Roman"/>
          <w:color w:val="000000"/>
          <w:spacing w:val="0"/>
          <w:w w:val="100"/>
          <w:position w:val="0"/>
          <w:sz w:val="17"/>
          <w:szCs w:val="17"/>
        </w:rPr>
        <w:t>00307</w:t>
      </w:r>
      <w:r>
        <w:rPr>
          <w:color w:val="000000"/>
          <w:spacing w:val="0"/>
          <w:w w:val="100"/>
          <w:position w:val="0"/>
          <w:sz w:val="11"/>
          <w:szCs w:val="11"/>
        </w:rPr>
        <w:t>号民事判决 书</w:t>
      </w:r>
      <w:r>
        <w:rPr>
          <w:rFonts w:ascii="Times New Roman" w:hAnsi="Times New Roman" w:eastAsia="Times New Roman" w:cs="Times New Roman"/>
          <w:color w:val="000000"/>
          <w:spacing w:val="0"/>
          <w:w w:val="100"/>
          <w:position w:val="0"/>
          <w:sz w:val="17"/>
          <w:szCs w:val="17"/>
          <w:lang w:val="en-US" w:eastAsia="en-US" w:bidi="en-US"/>
        </w:rPr>
        <w:t xml:space="preserve">］o </w:t>
      </w:r>
      <w:r>
        <w:rPr>
          <w:rFonts w:ascii="Times New Roman" w:hAnsi="Times New Roman" w:eastAsia="Times New Roman" w:cs="Times New Roman"/>
          <w:color w:val="000000"/>
          <w:spacing w:val="0"/>
          <w:w w:val="100"/>
          <w:position w:val="0"/>
          <w:sz w:val="17"/>
          <w:szCs w:val="17"/>
        </w:rPr>
        <w:t>（3）</w:t>
      </w:r>
      <w:r>
        <w:rPr>
          <w:color w:val="000000"/>
          <w:spacing w:val="0"/>
          <w:w w:val="100"/>
          <w:position w:val="0"/>
          <w:sz w:val="18"/>
          <w:szCs w:val="18"/>
        </w:rPr>
        <w:t>也有法院从告知义务角度判断因果关系问题。例如，在</w:t>
      </w:r>
      <w:r>
        <w:rPr>
          <w:color w:val="000000"/>
          <w:spacing w:val="0"/>
          <w:w w:val="100"/>
          <w:position w:val="0"/>
          <w:sz w:val="18"/>
          <w:szCs w:val="18"/>
          <w:lang w:val="zh-CN" w:eastAsia="zh-CN" w:bidi="zh-CN"/>
        </w:rPr>
        <w:t>“胡</w:t>
      </w:r>
      <w:r>
        <w:rPr>
          <w:color w:val="000000"/>
          <w:spacing w:val="0"/>
          <w:w w:val="100"/>
          <w:position w:val="0"/>
          <w:sz w:val="18"/>
          <w:szCs w:val="18"/>
        </w:rPr>
        <w:t>国珍与刘宗英医疗损 害责任纠纷上诉案</w:t>
      </w:r>
      <w:r>
        <w:rPr>
          <w:color w:val="000000"/>
          <w:spacing w:val="0"/>
          <w:w w:val="100"/>
          <w:position w:val="0"/>
          <w:sz w:val="18"/>
          <w:szCs w:val="18"/>
          <w:lang w:val="zh-CN" w:eastAsia="zh-CN" w:bidi="zh-CN"/>
        </w:rPr>
        <w:t>”中</w:t>
      </w:r>
      <w:r>
        <w:rPr>
          <w:color w:val="000000"/>
          <w:spacing w:val="0"/>
          <w:w w:val="100"/>
          <w:position w:val="0"/>
          <w:sz w:val="18"/>
          <w:szCs w:val="18"/>
        </w:rPr>
        <w:t xml:space="preserve">，法院的关注焦点在于医院是否已经充分告知转院的必要。如果医 院已经履行了告知义务，那么即使确实导致丧失了一定的抢救、生存机会,亦不承担责任［吉 </w:t>
      </w:r>
      <w:r>
        <w:rPr>
          <w:color w:val="000000"/>
          <w:spacing w:val="0"/>
          <w:w w:val="100"/>
          <w:position w:val="0"/>
          <w:sz w:val="11"/>
          <w:szCs w:val="11"/>
        </w:rPr>
        <w:t>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吉民申字第</w:t>
      </w:r>
      <w:r>
        <w:rPr>
          <w:rFonts w:ascii="Times New Roman" w:hAnsi="Times New Roman" w:eastAsia="Times New Roman" w:cs="Times New Roman"/>
          <w:color w:val="000000"/>
          <w:spacing w:val="0"/>
          <w:w w:val="100"/>
          <w:position w:val="0"/>
          <w:sz w:val="17"/>
          <w:szCs w:val="17"/>
        </w:rPr>
        <w:t>1010</w:t>
      </w:r>
      <w:r>
        <w:rPr>
          <w:color w:val="000000"/>
          <w:spacing w:val="0"/>
          <w:w w:val="100"/>
          <w:position w:val="0"/>
          <w:sz w:val="11"/>
          <w:szCs w:val="11"/>
        </w:rPr>
        <w:t>号民事裁定书］。</w:t>
      </w:r>
    </w:p>
    <w:p w14:paraId="6A2B606E">
      <w:pPr>
        <w:pStyle w:val="17"/>
        <w:keepNext w:val="0"/>
        <w:keepLines w:val="0"/>
        <w:widowControl w:val="0"/>
        <w:shd w:val="clear" w:color="auto" w:fill="auto"/>
        <w:bidi w:val="0"/>
        <w:spacing w:before="0" w:after="160" w:line="341" w:lineRule="exact"/>
        <w:ind w:left="0" w:right="0" w:firstLine="420"/>
        <w:jc w:val="both"/>
      </w:pPr>
      <w:r>
        <w:rPr>
          <w:color w:val="000000"/>
          <w:spacing w:val="0"/>
          <w:w w:val="100"/>
          <w:position w:val="0"/>
        </w:rPr>
        <w:t>司法实践对延误治疗致害的裁判理由各异，但在过错延误治疗应导向损害赔偿这一点 上，则与学术界高度一致。</w:t>
      </w:r>
    </w:p>
    <w:p w14:paraId="67D24CC4">
      <w:pPr>
        <w:pStyle w:val="17"/>
        <w:keepNext w:val="0"/>
        <w:keepLines w:val="0"/>
        <w:widowControl w:val="0"/>
        <w:shd w:val="clear" w:color="auto" w:fill="auto"/>
        <w:bidi w:val="0"/>
        <w:spacing w:before="0" w:after="160" w:line="342" w:lineRule="exact"/>
        <w:ind w:left="0" w:right="0" w:firstLine="0"/>
        <w:jc w:val="both"/>
      </w:pPr>
      <w:r>
        <w:rPr>
          <w:color w:val="000000"/>
          <w:spacing w:val="0"/>
          <w:w w:val="100"/>
          <w:position w:val="0"/>
          <w:lang w:val="en-US" w:eastAsia="en-US" w:bidi="en-US"/>
        </w:rPr>
        <w:t>®</w:t>
      </w:r>
      <w:r>
        <w:rPr>
          <w:color w:val="000000"/>
          <w:spacing w:val="0"/>
          <w:w w:val="100"/>
          <w:position w:val="0"/>
        </w:rPr>
        <w:t>本判决的影响及将来的课题</w:t>
      </w:r>
    </w:p>
    <w:p w14:paraId="4DDA8882">
      <w:pPr>
        <w:pStyle w:val="17"/>
        <w:keepNext w:val="0"/>
        <w:keepLines w:val="0"/>
        <w:widowControl w:val="0"/>
        <w:shd w:val="clear" w:color="auto" w:fill="auto"/>
        <w:bidi w:val="0"/>
        <w:spacing w:before="0" w:after="360" w:line="339" w:lineRule="exact"/>
        <w:ind w:left="0" w:right="0" w:firstLine="420"/>
        <w:jc w:val="both"/>
      </w:pPr>
      <w:r>
        <w:rPr>
          <w:color w:val="000000"/>
          <w:spacing w:val="0"/>
          <w:w w:val="100"/>
          <w:position w:val="0"/>
        </w:rPr>
        <w:t>该公报案例一改以往保护受害人的态度，明确要求原告举证证明延误治疗和损害之间 的因果关系。这种刚性态度虽有防范法官自由裁量权过大的意义，却可能导向实质不公。 本案完全可以借助法规目的说论证因果关系的存在。《广告法》第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条规定:“广告不得含 有虚假或者引人误解的内容，不得欺骗、误导消费者。广告主应当对广告内容的真实性负 责</w:t>
      </w:r>
      <w:r>
        <w:rPr>
          <w:color w:val="000000"/>
          <w:spacing w:val="0"/>
          <w:w w:val="100"/>
          <w:position w:val="0"/>
          <w:lang w:val="zh-CN" w:eastAsia="zh-CN" w:bidi="zh-CN"/>
        </w:rPr>
        <w:t>。”第</w:t>
      </w:r>
      <w:r>
        <w:rPr>
          <w:rFonts w:ascii="Times New Roman" w:hAnsi="Times New Roman" w:eastAsia="Times New Roman" w:cs="Times New Roman"/>
          <w:color w:val="000000"/>
          <w:spacing w:val="0"/>
          <w:w w:val="100"/>
          <w:position w:val="0"/>
          <w:sz w:val="17"/>
          <w:szCs w:val="17"/>
        </w:rPr>
        <w:t>18</w:t>
      </w:r>
      <w:r>
        <w:rPr>
          <w:color w:val="000000"/>
          <w:spacing w:val="0"/>
          <w:w w:val="100"/>
          <w:position w:val="0"/>
        </w:rPr>
        <w:t>条规定:</w:t>
      </w:r>
      <w:r>
        <w:rPr>
          <w:color w:val="000000"/>
          <w:spacing w:val="0"/>
          <w:w w:val="100"/>
          <w:position w:val="0"/>
          <w:lang w:val="zh-CN" w:eastAsia="zh-CN" w:bidi="zh-CN"/>
        </w:rPr>
        <w:t>“保健</w:t>
      </w:r>
      <w:r>
        <w:rPr>
          <w:color w:val="000000"/>
          <w:spacing w:val="0"/>
          <w:w w:val="100"/>
          <w:position w:val="0"/>
        </w:rPr>
        <w:t>食品广告不得含有下列内容：（一）表示功效、安全性的断言或者保 证;（二）涉及疾病预防、治疗功能……</w:t>
      </w:r>
      <w:r>
        <w:rPr>
          <w:color w:val="000000"/>
          <w:spacing w:val="0"/>
          <w:w w:val="100"/>
          <w:position w:val="0"/>
          <w:lang w:val="zh-CN" w:eastAsia="zh-CN" w:bidi="zh-CN"/>
        </w:rPr>
        <w:t>”《广</w:t>
      </w:r>
      <w:r>
        <w:rPr>
          <w:color w:val="000000"/>
          <w:spacing w:val="0"/>
          <w:w w:val="100"/>
          <w:position w:val="0"/>
        </w:rPr>
        <w:t>告法》的上述规则的目的之一就在于防止保健品 公司误导消费者购买保健品导致消费者不能及时就医。天药公司的宣传资料广而告之，宣 传产品能够“根本恢复免疫系统;修复身体机能、根本消除疾病</w:t>
      </w:r>
      <w:r>
        <w:rPr>
          <w:color w:val="000000"/>
          <w:spacing w:val="0"/>
          <w:w w:val="100"/>
          <w:position w:val="0"/>
          <w:lang w:val="zh-CN" w:eastAsia="zh-CN" w:bidi="zh-CN"/>
        </w:rPr>
        <w:t>……”明</w:t>
      </w:r>
      <w:r>
        <w:rPr>
          <w:color w:val="000000"/>
          <w:spacing w:val="0"/>
          <w:w w:val="100"/>
          <w:position w:val="0"/>
        </w:rPr>
        <w:t>显违反这一法律目 的。因此,本案应认定夭药公司的不当宣传和苏文菊的死亡之间存在因果关系。除去生存 机会不谈,本案在产品责任、因果关系证明以及多数人侵权问题等方面,亦有进一步探讨的 空间。</w:t>
      </w:r>
    </w:p>
    <w:p w14:paraId="3479697D">
      <w:pPr>
        <w:pStyle w:val="11"/>
        <w:keepNext w:val="0"/>
        <w:keepLines w:val="0"/>
        <w:widowControl w:val="0"/>
        <w:shd w:val="clear" w:color="auto" w:fill="auto"/>
        <w:bidi w:val="0"/>
        <w:spacing w:before="0" w:after="60" w:line="344" w:lineRule="exact"/>
        <w:ind w:left="0" w:right="0" w:firstLine="0"/>
        <w:jc w:val="both"/>
      </w:pPr>
      <w:r>
        <w:rPr>
          <w:color w:val="000000"/>
          <w:spacing w:val="0"/>
          <w:w w:val="100"/>
          <w:position w:val="0"/>
        </w:rPr>
        <w:t>回参考文献</w:t>
      </w:r>
    </w:p>
    <w:p w14:paraId="78BFD765">
      <w:pPr>
        <w:pStyle w:val="33"/>
        <w:keepNext w:val="0"/>
        <w:keepLines w:val="0"/>
        <w:widowControl w:val="0"/>
        <w:shd w:val="clear" w:color="auto" w:fill="auto"/>
        <w:bidi w:val="0"/>
        <w:spacing w:before="0" w:after="0" w:line="306" w:lineRule="exact"/>
        <w:ind w:left="0" w:right="0" w:firstLine="0"/>
        <w:jc w:val="both"/>
      </w:pPr>
      <w:r>
        <w:rPr>
          <w:color w:val="000000"/>
          <w:spacing w:val="0"/>
          <w:w w:val="100"/>
          <w:position w:val="0"/>
        </w:rPr>
        <w:t>王泽鉴:《侵权行为》，北京大学出版社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rPr>
        <w:t>年版。</w:t>
      </w:r>
    </w:p>
    <w:p w14:paraId="74A4F3B5">
      <w:pPr>
        <w:pStyle w:val="33"/>
        <w:keepNext w:val="0"/>
        <w:keepLines w:val="0"/>
        <w:widowControl w:val="0"/>
        <w:shd w:val="clear" w:color="auto" w:fill="auto"/>
        <w:bidi w:val="0"/>
        <w:spacing w:before="0" w:after="0" w:line="306" w:lineRule="exact"/>
        <w:ind w:left="0" w:right="0" w:firstLine="0"/>
        <w:jc w:val="both"/>
      </w:pPr>
      <w:r>
        <w:rPr>
          <w:color w:val="000000"/>
          <w:spacing w:val="0"/>
          <w:w w:val="100"/>
          <w:position w:val="0"/>
        </w:rPr>
        <w:t>张新宝：《侵权责任法》（第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w:t>
      </w:r>
    </w:p>
    <w:p w14:paraId="0A58E422">
      <w:pPr>
        <w:pStyle w:val="33"/>
        <w:keepNext w:val="0"/>
        <w:keepLines w:val="0"/>
        <w:widowControl w:val="0"/>
        <w:shd w:val="clear" w:color="auto" w:fill="auto"/>
        <w:bidi w:val="0"/>
        <w:spacing w:before="0" w:after="0" w:line="306" w:lineRule="exact"/>
        <w:ind w:left="0" w:right="0" w:firstLine="0"/>
        <w:jc w:val="both"/>
      </w:pPr>
      <w:r>
        <w:rPr>
          <w:color w:val="000000"/>
          <w:spacing w:val="0"/>
          <w:w w:val="100"/>
          <w:position w:val="0"/>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0A49002D">
      <w:pPr>
        <w:pStyle w:val="33"/>
        <w:keepNext w:val="0"/>
        <w:keepLines w:val="0"/>
        <w:widowControl w:val="0"/>
        <w:shd w:val="clear" w:color="auto" w:fill="auto"/>
        <w:bidi w:val="0"/>
        <w:spacing w:before="0" w:after="0" w:line="306" w:lineRule="exact"/>
        <w:ind w:left="180" w:right="0" w:hanging="180"/>
        <w:jc w:val="both"/>
      </w:pPr>
      <w:r>
        <w:rPr>
          <w:color w:val="000000"/>
          <w:spacing w:val="0"/>
          <w:w w:val="100"/>
          <w:position w:val="0"/>
        </w:rPr>
        <w:t>季若望:《侵权法上生存机会丧失理论的本土化构建</w:t>
      </w:r>
      <w:r>
        <w:rPr>
          <w:color w:val="000000"/>
          <w:spacing w:val="0"/>
          <w:w w:val="100"/>
          <w:position w:val="0"/>
          <w:lang w:val="en-US" w:eastAsia="en-US" w:bidi="en-US"/>
        </w:rPr>
        <w:t>一一</w:t>
      </w:r>
      <w:r>
        <w:rPr>
          <w:color w:val="000000"/>
          <w:spacing w:val="0"/>
          <w:w w:val="100"/>
          <w:position w:val="0"/>
        </w:rPr>
        <w:t xml:space="preserve">以医疗损害案件为视角》，载《政治与法律》 </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rPr>
        <w:t>期。</w:t>
      </w:r>
    </w:p>
    <w:p w14:paraId="3752F90A">
      <w:pPr>
        <w:pStyle w:val="33"/>
        <w:keepNext w:val="0"/>
        <w:keepLines w:val="0"/>
        <w:widowControl w:val="0"/>
        <w:shd w:val="clear" w:color="auto" w:fill="auto"/>
        <w:bidi w:val="0"/>
        <w:spacing w:before="0" w:after="0" w:line="306" w:lineRule="exact"/>
        <w:ind w:left="0" w:right="0" w:firstLine="0"/>
        <w:jc w:val="both"/>
      </w:pPr>
      <w:r>
        <w:rPr>
          <w:color w:val="000000"/>
          <w:spacing w:val="0"/>
          <w:w w:val="100"/>
          <w:position w:val="0"/>
        </w:rPr>
        <w:t>潘剑锋:《民事证明责任论纲——对民事证明责任基本问题的认识》，载《政治与法律》</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11</w:t>
      </w:r>
      <w:r>
        <w:rPr>
          <w:color w:val="000000"/>
          <w:spacing w:val="0"/>
          <w:w w:val="100"/>
          <w:position w:val="0"/>
        </w:rPr>
        <w:t>期。 满洪杰:《医疗损害机会丧失赔偿规则研究》，载《法学家》</w:t>
      </w:r>
      <w:r>
        <w:rPr>
          <w:rFonts w:ascii="Times New Roman" w:hAnsi="Times New Roman" w:eastAsia="Times New Roman" w:cs="Times New Roman"/>
          <w:color w:val="000000"/>
          <w:spacing w:val="0"/>
          <w:w w:val="100"/>
          <w:position w:val="0"/>
          <w:sz w:val="17"/>
          <w:szCs w:val="17"/>
        </w:rPr>
        <w:t>2019</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79170482">
      <w:pPr>
        <w:pStyle w:val="33"/>
        <w:keepNext w:val="0"/>
        <w:keepLines w:val="0"/>
        <w:widowControl w:val="0"/>
        <w:shd w:val="clear" w:color="auto" w:fill="auto"/>
        <w:bidi w:val="0"/>
        <w:spacing w:before="0" w:after="40" w:line="306" w:lineRule="exact"/>
        <w:ind w:left="180" w:right="0" w:hanging="180"/>
        <w:jc w:val="both"/>
        <w:sectPr>
          <w:headerReference r:id="rId574" w:type="default"/>
          <w:headerReference r:id="rId575" w:type="even"/>
          <w:footnotePr>
            <w:numFmt w:val="chicago"/>
          </w:footnotePr>
          <w:pgSz w:w="10099" w:h="14782"/>
          <w:pgMar w:top="1275" w:right="1004" w:bottom="1132" w:left="1091" w:header="0" w:footer="3" w:gutter="0"/>
          <w:pgNumType w:start="485"/>
          <w:cols w:space="720" w:num="1"/>
          <w:rtlGutter w:val="0"/>
          <w:docGrid w:linePitch="360" w:charSpace="0"/>
        </w:sectPr>
      </w:pPr>
      <w:r>
        <w:rPr>
          <w:color w:val="000000"/>
          <w:spacing w:val="0"/>
          <w:w w:val="100"/>
          <w:position w:val="0"/>
        </w:rPr>
        <w:t>曹险峰:《我国侵权责任法的侵权构成模式</w:t>
      </w:r>
      <w:r>
        <w:rPr>
          <w:color w:val="000000"/>
          <w:spacing w:val="0"/>
          <w:w w:val="100"/>
          <w:position w:val="0"/>
          <w:lang w:val="en-US" w:eastAsia="en-US" w:bidi="en-US"/>
        </w:rPr>
        <w:t>一一</w:t>
      </w:r>
      <w:r>
        <w:rPr>
          <w:color w:val="000000"/>
          <w:spacing w:val="0"/>
          <w:w w:val="100"/>
          <w:position w:val="0"/>
        </w:rPr>
        <w:t>以</w:t>
      </w:r>
      <w:r>
        <w:rPr>
          <w:color w:val="000000"/>
          <w:spacing w:val="0"/>
          <w:w w:val="100"/>
          <w:position w:val="0"/>
          <w:lang w:val="zh-CN" w:eastAsia="zh-CN" w:bidi="zh-CN"/>
        </w:rPr>
        <w:t>“民事</w:t>
      </w:r>
      <w:r>
        <w:rPr>
          <w:color w:val="000000"/>
          <w:spacing w:val="0"/>
          <w:w w:val="100"/>
          <w:position w:val="0"/>
        </w:rPr>
        <w:t>权益”的定位与功能分析为中心》，载《法学研 究》</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FD871CF">
      <w:pPr>
        <w:widowControl w:val="0"/>
        <w:spacing w:line="1" w:lineRule="exact"/>
      </w:pPr>
      <w:r>
        <w:drawing>
          <wp:anchor distT="0" distB="0" distL="0" distR="0" simplePos="0" relativeHeight="251660288" behindDoc="0" locked="0" layoutInCell="1" allowOverlap="1">
            <wp:simplePos x="0" y="0"/>
            <wp:positionH relativeFrom="page">
              <wp:posOffset>678815</wp:posOffset>
            </wp:positionH>
            <wp:positionV relativeFrom="paragraph">
              <wp:posOffset>0</wp:posOffset>
            </wp:positionV>
            <wp:extent cx="481330" cy="414655"/>
            <wp:effectExtent l="0" t="0" r="1270" b="4445"/>
            <wp:wrapTopAndBottom/>
            <wp:docPr id="1351" name="Shape 1351"/>
            <wp:cNvGraphicFramePr/>
            <a:graphic xmlns:a="http://schemas.openxmlformats.org/drawingml/2006/main">
              <a:graphicData uri="http://schemas.openxmlformats.org/drawingml/2006/picture">
                <pic:pic xmlns:pic="http://schemas.openxmlformats.org/drawingml/2006/picture">
                  <pic:nvPicPr>
                    <pic:cNvPr id="1351" name="Shape 1351"/>
                    <pic:cNvPicPr/>
                  </pic:nvPicPr>
                  <pic:blipFill>
                    <a:blip r:embed="rId717"/>
                    <a:stretch>
                      <a:fillRect/>
                    </a:stretch>
                  </pic:blipFill>
                  <pic:spPr>
                    <a:xfrm>
                      <a:off x="0" y="0"/>
                      <a:ext cx="481330" cy="414655"/>
                    </a:xfrm>
                    <a:prstGeom prst="rect">
                      <a:avLst/>
                    </a:prstGeom>
                  </pic:spPr>
                </pic:pic>
              </a:graphicData>
            </a:graphic>
          </wp:anchor>
        </w:drawing>
      </w:r>
      <w:r>
        <mc:AlternateContent>
          <mc:Choice Requires="wps">
            <w:drawing>
              <wp:anchor distT="137160" distB="36830" distL="0" distR="0" simplePos="0" relativeHeight="251660288" behindDoc="0" locked="0" layoutInCell="1" allowOverlap="1">
                <wp:simplePos x="0" y="0"/>
                <wp:positionH relativeFrom="page">
                  <wp:posOffset>1288415</wp:posOffset>
                </wp:positionH>
                <wp:positionV relativeFrom="paragraph">
                  <wp:posOffset>137160</wp:posOffset>
                </wp:positionV>
                <wp:extent cx="2810510" cy="240665"/>
                <wp:effectExtent l="0" t="0" r="0" b="0"/>
                <wp:wrapTopAndBottom/>
                <wp:docPr id="1353" name="Shape 1353"/>
                <wp:cNvGraphicFramePr/>
                <a:graphic xmlns:a="http://schemas.openxmlformats.org/drawingml/2006/main">
                  <a:graphicData uri="http://schemas.microsoft.com/office/word/2010/wordprocessingShape">
                    <wps:wsp>
                      <wps:cNvSpPr txBox="1"/>
                      <wps:spPr>
                        <a:xfrm>
                          <a:off x="0" y="0"/>
                          <a:ext cx="2810510" cy="240665"/>
                        </a:xfrm>
                        <a:prstGeom prst="rect">
                          <a:avLst/>
                        </a:prstGeom>
                        <a:noFill/>
                      </wps:spPr>
                      <wps:txbx>
                        <w:txbxContent>
                          <w:p w14:paraId="6655577E">
                            <w:pPr>
                              <w:pStyle w:val="15"/>
                              <w:keepNext/>
                              <w:keepLines/>
                              <w:widowControl w:val="0"/>
                              <w:shd w:val="clear" w:color="auto" w:fill="auto"/>
                              <w:bidi w:val="0"/>
                              <w:spacing w:before="0" w:after="0" w:line="240" w:lineRule="auto"/>
                              <w:ind w:left="0" w:right="0" w:firstLine="0"/>
                              <w:jc w:val="left"/>
                            </w:pPr>
                            <w:bookmarkStart w:id="633" w:name="bookmark628"/>
                            <w:bookmarkStart w:id="634" w:name="bookmark629"/>
                            <w:bookmarkStart w:id="635" w:name="bookmark630"/>
                            <w:r>
                              <w:rPr>
                                <w:color w:val="000000"/>
                                <w:spacing w:val="0"/>
                                <w:w w:val="100"/>
                                <w:position w:val="0"/>
                              </w:rPr>
                              <w:t>环境污染侵权中的因果关系证明</w:t>
                            </w:r>
                            <w:bookmarkEnd w:id="633"/>
                            <w:bookmarkEnd w:id="634"/>
                            <w:bookmarkEnd w:id="635"/>
                          </w:p>
                        </w:txbxContent>
                      </wps:txbx>
                      <wps:bodyPr wrap="none" lIns="0" tIns="0" rIns="0" bIns="0">
                        <a:noAutofit/>
                      </wps:bodyPr>
                    </wps:wsp>
                  </a:graphicData>
                </a:graphic>
              </wp:anchor>
            </w:drawing>
          </mc:Choice>
          <mc:Fallback>
            <w:pict>
              <v:shape id="Shape 1353" o:spid="_x0000_s1026" o:spt="202" type="#_x0000_t202" style="position:absolute;left:0pt;margin-left:101.45pt;margin-top:10.8pt;height:18.95pt;width:221.3pt;mso-position-horizontal-relative:page;mso-wrap-distance-bottom:2.9pt;mso-wrap-distance-top:10.8pt;mso-wrap-style:none;z-index:251660288;mso-width-relative:page;mso-height-relative:page;" filled="f" stroked="f" coordsize="21600,21600" o:gfxdata="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6fm7m9cA&#10;AAAJAQAADwAAAAAAAAABACAAAAAiAAAAZHJzL2Rvd25yZXYueG1sUEsBAhQAFAAAAAgAh07iQE6H&#10;KxyuAQAAdgMAAA4AAAAAAAAAAQAgAAAAJgEAAGRycy9lMm9Eb2MueG1sUEsFBgAAAAAGAAYAWQEA&#10;AEYFAAAAAA==&#10;">
                <v:fill on="f" focussize="0,0"/>
                <v:stroke on="f"/>
                <v:imagedata o:title=""/>
                <o:lock v:ext="edit" aspectratio="f"/>
                <v:textbox inset="0mm,0mm,0mm,0mm">
                  <w:txbxContent>
                    <w:p w14:paraId="6655577E">
                      <w:pPr>
                        <w:pStyle w:val="15"/>
                        <w:keepNext/>
                        <w:keepLines/>
                        <w:widowControl w:val="0"/>
                        <w:shd w:val="clear" w:color="auto" w:fill="auto"/>
                        <w:bidi w:val="0"/>
                        <w:spacing w:before="0" w:after="0" w:line="240" w:lineRule="auto"/>
                        <w:ind w:left="0" w:right="0" w:firstLine="0"/>
                        <w:jc w:val="left"/>
                      </w:pPr>
                      <w:bookmarkStart w:id="633" w:name="bookmark628"/>
                      <w:bookmarkStart w:id="634" w:name="bookmark629"/>
                      <w:bookmarkStart w:id="635" w:name="bookmark630"/>
                      <w:r>
                        <w:rPr>
                          <w:color w:val="000000"/>
                          <w:spacing w:val="0"/>
                          <w:w w:val="100"/>
                          <w:position w:val="0"/>
                        </w:rPr>
                        <w:t>环境污染侵权中的因果关系证明</w:t>
                      </w:r>
                      <w:bookmarkEnd w:id="633"/>
                      <w:bookmarkEnd w:id="634"/>
                      <w:bookmarkEnd w:id="635"/>
                    </w:p>
                  </w:txbxContent>
                </v:textbox>
                <w10:wrap type="topAndBottom"/>
              </v:shape>
            </w:pict>
          </mc:Fallback>
        </mc:AlternateContent>
      </w:r>
    </w:p>
    <w:p w14:paraId="39E105E4">
      <w:pPr>
        <w:pStyle w:val="17"/>
        <w:keepNext w:val="0"/>
        <w:keepLines w:val="0"/>
        <w:widowControl w:val="0"/>
        <w:shd w:val="clear" w:color="auto" w:fill="auto"/>
        <w:bidi w:val="0"/>
        <w:spacing w:before="0" w:after="380" w:line="352" w:lineRule="exact"/>
        <w:ind w:left="1000" w:right="0" w:firstLine="0"/>
        <w:jc w:val="both"/>
      </w:pPr>
      <w:r>
        <w:drawing>
          <wp:anchor distT="0" distB="0" distL="114300" distR="114300" simplePos="0" relativeHeight="251660288" behindDoc="0" locked="0" layoutInCell="1" allowOverlap="1">
            <wp:simplePos x="0" y="0"/>
            <wp:positionH relativeFrom="page">
              <wp:posOffset>5083175</wp:posOffset>
            </wp:positionH>
            <wp:positionV relativeFrom="paragraph">
              <wp:posOffset>88900</wp:posOffset>
            </wp:positionV>
            <wp:extent cx="615950" cy="621665"/>
            <wp:effectExtent l="0" t="0" r="6350" b="635"/>
            <wp:wrapSquare wrapText="left"/>
            <wp:docPr id="1355" name="Shape 1355"/>
            <wp:cNvGraphicFramePr/>
            <a:graphic xmlns:a="http://schemas.openxmlformats.org/drawingml/2006/main">
              <a:graphicData uri="http://schemas.openxmlformats.org/drawingml/2006/picture">
                <pic:pic xmlns:pic="http://schemas.openxmlformats.org/drawingml/2006/picture">
                  <pic:nvPicPr>
                    <pic:cNvPr id="1355" name="Shape 1355"/>
                    <pic:cNvPicPr/>
                  </pic:nvPicPr>
                  <pic:blipFill>
                    <a:blip r:embed="rId718"/>
                    <a:stretch>
                      <a:fillRect/>
                    </a:stretch>
                  </pic:blipFill>
                  <pic:spPr>
                    <a:xfrm>
                      <a:off x="0" y="0"/>
                      <a:ext cx="615950" cy="621665"/>
                    </a:xfrm>
                    <a:prstGeom prst="rect">
                      <a:avLst/>
                    </a:prstGeom>
                  </pic:spPr>
                </pic:pic>
              </a:graphicData>
            </a:graphic>
          </wp:anchor>
        </w:drawing>
      </w:r>
      <w:r>
        <w:rPr>
          <w:color w:val="000000"/>
          <w:spacing w:val="0"/>
          <w:w w:val="100"/>
          <w:position w:val="0"/>
        </w:rPr>
        <w:t>浙江省平湖师范农场特种养殖场诉嘉兴市步云染化厂等五企业水 污染损害赔偿纠纷案丨最高人民法院</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民二提字第</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号民 事判决书</w:t>
      </w:r>
    </w:p>
    <w:p w14:paraId="0385A473">
      <w:pPr>
        <w:pStyle w:val="33"/>
        <w:keepNext w:val="0"/>
        <w:keepLines w:val="0"/>
        <w:widowControl w:val="0"/>
        <w:shd w:val="clear" w:color="auto" w:fill="auto"/>
        <w:bidi w:val="0"/>
        <w:spacing w:before="0" w:after="1380" w:line="240" w:lineRule="auto"/>
        <w:ind w:left="0" w:right="0" w:firstLine="0"/>
        <w:jc w:val="right"/>
      </w:pPr>
      <w:r>
        <w:rPr>
          <w:color w:val="000000"/>
          <w:spacing w:val="0"/>
          <w:w w:val="100"/>
          <w:position w:val="0"/>
        </w:rPr>
        <w:t>巩固浙江大学光华法学院</w:t>
      </w:r>
    </w:p>
    <w:p w14:paraId="6766F83C">
      <w:pPr>
        <w:pStyle w:val="11"/>
        <w:keepNext w:val="0"/>
        <w:keepLines w:val="0"/>
        <w:widowControl w:val="0"/>
        <w:shd w:val="clear" w:color="auto" w:fill="auto"/>
        <w:bidi w:val="0"/>
        <w:spacing w:before="0" w:after="60" w:line="344"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00BD4F56">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嘉兴市步云染化厂等</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企业长期超标排污，造成下游约</w:t>
      </w:r>
      <w:r>
        <w:rPr>
          <w:rFonts w:ascii="Times New Roman" w:hAnsi="Times New Roman" w:eastAsia="Times New Roman" w:cs="Times New Roman"/>
          <w:color w:val="000000"/>
          <w:spacing w:val="0"/>
          <w:w w:val="100"/>
          <w:position w:val="0"/>
          <w:sz w:val="19"/>
          <w:szCs w:val="19"/>
        </w:rPr>
        <w:t>53</w:t>
      </w:r>
      <w:r>
        <w:rPr>
          <w:color w:val="000000"/>
          <w:spacing w:val="0"/>
          <w:w w:val="100"/>
          <w:position w:val="0"/>
        </w:rPr>
        <w:t>平方公里水域严重污染。原 告浙江平湖师范农场特种养殖场（以下简称养殖场）位于</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企业下游约</w:t>
      </w:r>
      <w:r>
        <w:rPr>
          <w:rFonts w:ascii="Times New Roman" w:hAnsi="Times New Roman" w:eastAsia="Times New Roman" w:cs="Times New Roman"/>
          <w:color w:val="000000"/>
          <w:spacing w:val="0"/>
          <w:w w:val="100"/>
          <w:position w:val="0"/>
          <w:sz w:val="19"/>
          <w:szCs w:val="19"/>
        </w:rPr>
        <w:t>6</w:t>
      </w:r>
      <w:r>
        <w:rPr>
          <w:color w:val="000000"/>
          <w:spacing w:val="0"/>
          <w:w w:val="100"/>
          <w:position w:val="0"/>
        </w:rPr>
        <w:t>公里处，在水污染 区域范围内。自</w:t>
      </w:r>
      <w:r>
        <w:rPr>
          <w:rFonts w:ascii="Times New Roman" w:hAnsi="Times New Roman" w:eastAsia="Times New Roman" w:cs="Times New Roman"/>
          <w:color w:val="000000"/>
          <w:spacing w:val="0"/>
          <w:w w:val="100"/>
          <w:position w:val="0"/>
          <w:sz w:val="19"/>
          <w:szCs w:val="19"/>
        </w:rPr>
        <w:t>1994</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月，养殖场饲养的美国青蛙蝌蚪陆续死亡。</w:t>
      </w:r>
      <w:r>
        <w:rPr>
          <w:rFonts w:ascii="Times New Roman" w:hAnsi="Times New Roman" w:eastAsia="Times New Roman" w:cs="Times New Roman"/>
          <w:color w:val="000000"/>
          <w:spacing w:val="0"/>
          <w:w w:val="100"/>
          <w:position w:val="0"/>
          <w:sz w:val="19"/>
          <w:szCs w:val="19"/>
        </w:rPr>
        <w:t>1995</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12</w:t>
      </w:r>
      <w:r>
        <w:rPr>
          <w:color w:val="000000"/>
          <w:spacing w:val="0"/>
          <w:w w:val="100"/>
          <w:position w:val="0"/>
        </w:rPr>
        <w:t>月，养 殖场以受</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企业污染侵害为由向平湖市人民法院提起诉讼,请求赔偿损失，排除危害，停止 侵权。养殖场提交环保处罚记录、水质检测报告、专家鉴定意见、其他养殖场证言等，证明养 殖水域受严重污染，水质毒害致蝌蚪死亡。被告</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企业则提交气象资料、个别养殖户证言 等，认为污染并不必然致蝌蚪死亡，损害乃高温天气、原告技术等其他原因所致。</w:t>
      </w:r>
    </w:p>
    <w:p w14:paraId="0991373D">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平湖市人民法院</w:t>
      </w:r>
      <w:r>
        <w:rPr>
          <w:rFonts w:ascii="Times New Roman" w:hAnsi="Times New Roman" w:eastAsia="Times New Roman" w:cs="Times New Roman"/>
          <w:color w:val="000000"/>
          <w:spacing w:val="0"/>
          <w:w w:val="100"/>
          <w:position w:val="0"/>
          <w:sz w:val="19"/>
          <w:szCs w:val="19"/>
        </w:rPr>
        <w:t>1997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7</w:t>
      </w:r>
      <w:r>
        <w:rPr>
          <w:color w:val="000000"/>
          <w:spacing w:val="0"/>
          <w:w w:val="100"/>
          <w:position w:val="0"/>
        </w:rPr>
        <w:t>月判决认为:被告排污及原告损害属实，但原告的举证不能 证实蝌蚪死于水污染，无法确定损害与排污之间存在必然因果关系，故驳回诉讼请求。嘉 兴市中级人民法院</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月二审判决认为，举证责任倒置仅针对过错证明，对于水污染 造成蝌蚪死亡这一损害事实，原告仍须证明，故驳回抗诉，维持原判。</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月，浙江省 高级人民法院再审判决认为:根据因果关系推定原则,受损人需举证证明被告的污染物质 排放及自身因该物质受损的事实，且在一般情况下这类污染行为能够造成这种损害。由于 养殖场未对死亡蝌蚪进行解剖，不能证明其死亡系何种特定物质所致，未达到适用因果关 系推定的前提，遂维持原判。</w:t>
      </w:r>
    </w:p>
    <w:p w14:paraId="7B2D980D">
      <w:pPr>
        <w:pStyle w:val="17"/>
        <w:keepNext w:val="0"/>
        <w:keepLines w:val="0"/>
        <w:widowControl w:val="0"/>
        <w:shd w:val="clear" w:color="auto" w:fill="auto"/>
        <w:bidi w:val="0"/>
        <w:spacing w:before="0" w:after="380" w:line="344" w:lineRule="exact"/>
        <w:ind w:left="0" w:right="0"/>
        <w:jc w:val="both"/>
        <w:sectPr>
          <w:headerReference r:id="rId576" w:type="default"/>
          <w:headerReference r:id="rId577" w:type="even"/>
          <w:footnotePr>
            <w:numFmt w:val="chicago"/>
          </w:footnotePr>
          <w:pgSz w:w="10099" w:h="14782"/>
          <w:pgMar w:top="1334" w:right="1085" w:bottom="1099" w:left="1025" w:header="906" w:footer="671" w:gutter="0"/>
          <w:pgNumType w:start="505"/>
          <w:cols w:space="720" w:num="1"/>
          <w:rtlGutter w:val="0"/>
          <w:docGrid w:linePitch="360" w:charSpace="0"/>
        </w:sectPr>
      </w:pPr>
      <w:r>
        <w:rPr>
          <w:color w:val="000000"/>
          <w:spacing w:val="0"/>
          <w:w w:val="100"/>
          <w:position w:val="0"/>
        </w:rPr>
        <w:t>后经最高人民检察院抗诉,最高人民法院</w:t>
      </w:r>
      <w:r>
        <w:rPr>
          <w:rFonts w:ascii="Times New Roman" w:hAnsi="Times New Roman" w:eastAsia="Times New Roman" w:cs="Times New Roman"/>
          <w:color w:val="000000"/>
          <w:spacing w:val="0"/>
          <w:w w:val="100"/>
          <w:position w:val="0"/>
          <w:sz w:val="19"/>
          <w:szCs w:val="19"/>
        </w:rPr>
        <w:t>2006</w:t>
      </w:r>
      <w:r>
        <w:rPr>
          <w:color w:val="000000"/>
          <w:spacing w:val="0"/>
          <w:w w:val="100"/>
          <w:position w:val="0"/>
        </w:rPr>
        <w:t>年提审此案，于</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2</w:t>
      </w:r>
      <w:r>
        <w:rPr>
          <w:color w:val="000000"/>
          <w:spacing w:val="0"/>
          <w:w w:val="100"/>
          <w:position w:val="0"/>
        </w:rPr>
        <w:t>日作出最 终判决，认为</w:t>
      </w:r>
      <w:r>
        <w:rPr>
          <w:color w:val="000000"/>
          <w:spacing w:val="0"/>
          <w:w w:val="100"/>
          <w:position w:val="0"/>
          <w:lang w:val="zh-CN" w:eastAsia="zh-CN" w:bidi="zh-CN"/>
        </w:rPr>
        <w:t>“根</w:t>
      </w:r>
      <w:r>
        <w:rPr>
          <w:color w:val="000000"/>
          <w:spacing w:val="0"/>
          <w:w w:val="100"/>
          <w:position w:val="0"/>
        </w:rPr>
        <w:t>据司法解释的规定，作为侵权人的污染企业只有能够证明其侵权行为与损 害后果不存在因果关系或者法律规定的免责事由成立的情况下，始得免除侵权损害赔偿责 任</w:t>
      </w:r>
      <w:r>
        <w:rPr>
          <w:color w:val="000000"/>
          <w:spacing w:val="0"/>
          <w:w w:val="100"/>
          <w:position w:val="0"/>
          <w:lang w:val="zh-CN" w:eastAsia="zh-CN" w:bidi="zh-CN"/>
        </w:rPr>
        <w:t>”，而</w:t>
      </w:r>
      <w:r>
        <w:rPr>
          <w:color w:val="000000"/>
          <w:spacing w:val="0"/>
          <w:w w:val="100"/>
          <w:position w:val="0"/>
        </w:rPr>
        <w:t>本案被告“所举证据既不能证明其污染行为不会导致蝌蚪死亡，也不能证明蝌蚪的 非正常死亡确系其他原因所致，因此对于本案中污染行为和蝌蚪死亡之间的因果关系</w:t>
      </w:r>
      <w:r>
        <w:rPr>
          <w:rFonts w:ascii="Times New Roman" w:hAnsi="Times New Roman" w:eastAsia="Times New Roman" w:cs="Times New Roman"/>
          <w:color w:val="000000"/>
          <w:spacing w:val="0"/>
          <w:w w:val="100"/>
          <w:position w:val="0"/>
          <w:sz w:val="19"/>
          <w:szCs w:val="19"/>
        </w:rPr>
        <w:t>,5</w:t>
      </w:r>
      <w:r>
        <w:rPr>
          <w:color w:val="000000"/>
          <w:spacing w:val="0"/>
          <w:w w:val="100"/>
          <w:position w:val="0"/>
        </w:rPr>
        <w:t>家 企业均不能提出足够证据予以否定</w:t>
      </w:r>
      <w:r>
        <w:rPr>
          <w:color w:val="000000"/>
          <w:spacing w:val="0"/>
          <w:w w:val="100"/>
          <w:position w:val="0"/>
          <w:lang w:val="zh-CN" w:eastAsia="zh-CN" w:bidi="zh-CN"/>
        </w:rPr>
        <w:t>”，故</w:t>
      </w:r>
      <w:r>
        <w:rPr>
          <w:color w:val="000000"/>
          <w:spacing w:val="0"/>
          <w:w w:val="100"/>
          <w:position w:val="0"/>
        </w:rPr>
        <w:t>应当担责。</w:t>
      </w:r>
    </w:p>
    <w:p w14:paraId="04371B24">
      <w:pPr>
        <w:pStyle w:val="11"/>
        <w:keepNext w:val="0"/>
        <w:keepLines w:val="0"/>
        <w:widowControl w:val="0"/>
        <w:shd w:val="clear" w:color="auto" w:fill="auto"/>
        <w:bidi w:val="0"/>
        <w:spacing w:before="0" w:after="120"/>
        <w:ind w:left="0" w:right="0" w:firstLine="0"/>
        <w:jc w:val="left"/>
      </w:pPr>
      <w:r>
        <w:rPr>
          <w:color w:val="000000"/>
          <w:spacing w:val="0"/>
          <w:w w:val="100"/>
          <w:position w:val="0"/>
          <w:lang w:val="en-US" w:eastAsia="en-US" w:bidi="en-US"/>
        </w:rPr>
        <w:t>■</w:t>
      </w:r>
      <w:r>
        <w:rPr>
          <w:color w:val="000000"/>
          <w:spacing w:val="0"/>
          <w:w w:val="100"/>
          <w:position w:val="0"/>
        </w:rPr>
        <w:t>判决要旨</w:t>
      </w:r>
    </w:p>
    <w:p w14:paraId="6A34DE76">
      <w:pPr>
        <w:pStyle w:val="17"/>
        <w:keepNext w:val="0"/>
        <w:keepLines w:val="0"/>
        <w:widowControl w:val="0"/>
        <w:shd w:val="clear" w:color="auto" w:fill="auto"/>
        <w:bidi w:val="0"/>
        <w:spacing w:before="0" w:after="0" w:line="338" w:lineRule="exact"/>
        <w:ind w:left="0" w:right="0" w:firstLine="420"/>
        <w:jc w:val="both"/>
      </w:pPr>
      <w:r>
        <w:rPr>
          <w:color w:val="000000"/>
          <w:spacing w:val="0"/>
          <w:w w:val="100"/>
          <w:position w:val="0"/>
        </w:rPr>
        <w:t>污染侵权因果关系举证责任倒置的适用与前提。</w:t>
      </w:r>
    </w:p>
    <w:p w14:paraId="7C5F5C06">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污染侵权因果关系证明实行举证责任倒置。作为被告的污染者须充分确证其排污行 为与原告所受损害之间不存在因果关系,否则将承担败诉后果。但这一规则适用的前提是 因果关系依常理看很有可能存在。</w:t>
      </w:r>
    </w:p>
    <w:p w14:paraId="259B9CD6">
      <w:pPr>
        <w:pStyle w:val="11"/>
        <w:keepNext w:val="0"/>
        <w:keepLines w:val="0"/>
        <w:widowControl w:val="0"/>
        <w:shd w:val="clear" w:color="auto" w:fill="auto"/>
        <w:bidi w:val="0"/>
        <w:spacing w:before="0" w:after="120"/>
        <w:ind w:left="0" w:right="0" w:firstLine="0"/>
        <w:jc w:val="left"/>
      </w:pPr>
      <w:r>
        <w:rPr>
          <w:color w:val="000000"/>
          <w:spacing w:val="0"/>
          <w:w w:val="100"/>
          <w:position w:val="0"/>
        </w:rPr>
        <w:t>■评析</w:t>
      </w:r>
    </w:p>
    <w:p w14:paraId="36027412">
      <w:pPr>
        <w:pStyle w:val="17"/>
        <w:keepNext w:val="0"/>
        <w:keepLines w:val="0"/>
        <w:widowControl w:val="0"/>
        <w:shd w:val="clear" w:color="auto" w:fill="auto"/>
        <w:bidi w:val="0"/>
        <w:spacing w:before="0" w:after="120" w:line="340"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本判决的思路和意义</w:t>
      </w:r>
    </w:p>
    <w:p w14:paraId="3F2A5548">
      <w:pPr>
        <w:pStyle w:val="17"/>
        <w:keepNext w:val="0"/>
        <w:keepLines w:val="0"/>
        <w:widowControl w:val="0"/>
        <w:shd w:val="clear" w:color="auto" w:fill="auto"/>
        <w:bidi w:val="0"/>
        <w:spacing w:before="0" w:after="180" w:line="341" w:lineRule="exact"/>
        <w:ind w:left="0" w:right="0" w:firstLine="420"/>
        <w:jc w:val="both"/>
      </w:pPr>
      <w:r>
        <w:rPr>
          <w:color w:val="000000"/>
          <w:spacing w:val="0"/>
          <w:w w:val="100"/>
          <w:position w:val="0"/>
        </w:rPr>
        <w:t>本案中，浙江三级法院均因原告未对死亡蝌蚪进行解剖，不能直接证明致害物质与被 告排放污染物的一致性，以未证立必然因果关系或未达到因果关系推定的前提为由拒绝救 济。最高人民法院的最终判决推翻了之前的错误处理。在确认排污行为和损害事实客观 存在的情况下，法院跳过对原告所举因果关系相关证据的分析，重点审查</w:t>
      </w:r>
      <w:r>
        <w:rPr>
          <w:color w:val="000000"/>
          <w:spacing w:val="0"/>
          <w:w w:val="100"/>
          <w:position w:val="0"/>
          <w:lang w:val="zh-CN" w:eastAsia="zh-CN" w:bidi="zh-CN"/>
        </w:rPr>
        <w:t>“五</w:t>
      </w:r>
      <w:r>
        <w:rPr>
          <w:color w:val="000000"/>
          <w:spacing w:val="0"/>
          <w:w w:val="100"/>
          <w:position w:val="0"/>
        </w:rPr>
        <w:t>家企业据以证 明本案不存在因果关系的有关证据</w:t>
      </w:r>
      <w:r>
        <w:rPr>
          <w:color w:val="000000"/>
          <w:spacing w:val="0"/>
          <w:w w:val="100"/>
          <w:position w:val="0"/>
          <w:lang w:val="zh-CN" w:eastAsia="zh-CN" w:bidi="zh-CN"/>
        </w:rPr>
        <w:t>”，通</w:t>
      </w:r>
      <w:r>
        <w:rPr>
          <w:color w:val="000000"/>
          <w:spacing w:val="0"/>
          <w:w w:val="100"/>
          <w:position w:val="0"/>
        </w:rPr>
        <w:t>过逐一分析，认为无法认定后，以被告未证立因果 关系不存在为由判令其担责，从而阐明了举证责任倒置的规范含义和诉讼效果，为这一规 则在司法实践中的具体运用提供了样板。但值得注意的是，本案原告在因果关系证明方面 并非毫无作为，其提交的大量间接证据实已达到证明因果关系</w:t>
      </w:r>
      <w:r>
        <w:rPr>
          <w:color w:val="000000"/>
          <w:spacing w:val="0"/>
          <w:w w:val="100"/>
          <w:position w:val="0"/>
          <w:lang w:val="zh-CN" w:eastAsia="zh-CN" w:bidi="zh-CN"/>
        </w:rPr>
        <w:t>“很</w:t>
      </w:r>
      <w:r>
        <w:rPr>
          <w:color w:val="000000"/>
          <w:spacing w:val="0"/>
          <w:w w:val="100"/>
          <w:position w:val="0"/>
        </w:rPr>
        <w:t>有可能</w:t>
      </w:r>
      <w:r>
        <w:rPr>
          <w:color w:val="000000"/>
          <w:spacing w:val="0"/>
          <w:w w:val="100"/>
          <w:position w:val="0"/>
          <w:lang w:val="zh-CN" w:eastAsia="zh-CN" w:bidi="zh-CN"/>
        </w:rPr>
        <w:t>”的</w:t>
      </w:r>
      <w:r>
        <w:rPr>
          <w:color w:val="000000"/>
          <w:spacing w:val="0"/>
          <w:w w:val="100"/>
          <w:position w:val="0"/>
        </w:rPr>
        <w:t>程度,这一现 实背景是本案处理可谓成功所不可忽略的必要前提，也为后续司法解释明确原告的</w:t>
      </w:r>
      <w:r>
        <w:rPr>
          <w:color w:val="000000"/>
          <w:spacing w:val="0"/>
          <w:w w:val="100"/>
          <w:position w:val="0"/>
          <w:lang w:val="zh-CN" w:eastAsia="zh-CN" w:bidi="zh-CN"/>
        </w:rPr>
        <w:t xml:space="preserve">“关联 </w:t>
      </w:r>
      <w:r>
        <w:rPr>
          <w:color w:val="000000"/>
          <w:spacing w:val="0"/>
          <w:w w:val="100"/>
          <w:position w:val="0"/>
        </w:rPr>
        <w:t>性”举证义务埋下伏笔。</w:t>
      </w:r>
    </w:p>
    <w:p w14:paraId="5AB2A06D">
      <w:pPr>
        <w:pStyle w:val="17"/>
        <w:keepNext w:val="0"/>
        <w:keepLines w:val="0"/>
        <w:widowControl w:val="0"/>
        <w:shd w:val="clear" w:color="auto" w:fill="auto"/>
        <w:bidi w:val="0"/>
        <w:spacing w:before="0" w:after="120" w:line="340" w:lineRule="exact"/>
        <w:ind w:left="0" w:right="0" w:firstLine="0"/>
        <w:jc w:val="left"/>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环境污染侵权因果关系证明的规范及学理</w:t>
      </w:r>
    </w:p>
    <w:p w14:paraId="6C054353">
      <w:pPr>
        <w:pStyle w:val="17"/>
        <w:keepNext w:val="0"/>
        <w:keepLines w:val="0"/>
        <w:widowControl w:val="0"/>
        <w:shd w:val="clear" w:color="auto" w:fill="auto"/>
        <w:bidi w:val="0"/>
        <w:spacing w:before="0" w:after="0" w:line="340" w:lineRule="exact"/>
        <w:ind w:left="0" w:right="0" w:firstLine="420"/>
        <w:jc w:val="both"/>
      </w:pPr>
      <w:r>
        <w:rPr>
          <w:color w:val="000000"/>
          <w:spacing w:val="0"/>
          <w:w w:val="100"/>
          <w:position w:val="0"/>
        </w:rPr>
        <w:t>污染损害的复杂性决定了其因果关系证明的困难，减轻证明要求、降低证明难度是各 国法律通例，但具体做法不一。多数国家从减轻证明负担的角度处理</w:t>
      </w:r>
      <w:r>
        <w:rPr>
          <w:color w:val="000000"/>
          <w:spacing w:val="0"/>
          <w:w w:val="100"/>
          <w:position w:val="0"/>
          <w:sz w:val="11"/>
          <w:szCs w:val="11"/>
        </w:rPr>
        <w:t>（胡学军:《环境侵权中的 因果关系及其证明问题评析》，载《中国法学》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sz w:val="11"/>
          <w:szCs w:val="11"/>
        </w:rPr>
        <w:t>期），</w:t>
      </w:r>
      <w:r>
        <w:rPr>
          <w:color w:val="000000"/>
          <w:spacing w:val="0"/>
          <w:w w:val="100"/>
          <w:position w:val="0"/>
        </w:rPr>
        <w:t>我国则主要以举证责任倒置应对。 最高人民法院《关于适用〈中华人民共和国民事诉讼法〉若干问题的意见》［法发</w:t>
      </w:r>
      <w:r>
        <w:rPr>
          <w:rFonts w:ascii="Times New Roman" w:hAnsi="Times New Roman" w:eastAsia="Times New Roman" w:cs="Times New Roman"/>
          <w:color w:val="000000"/>
          <w:spacing w:val="0"/>
          <w:w w:val="100"/>
          <w:position w:val="0"/>
          <w:sz w:val="19"/>
          <w:szCs w:val="19"/>
        </w:rPr>
        <w:t xml:space="preserve">（1992）22 </w:t>
      </w:r>
      <w:r>
        <w:rPr>
          <w:color w:val="000000"/>
          <w:spacing w:val="0"/>
          <w:w w:val="100"/>
          <w:position w:val="0"/>
        </w:rPr>
        <w:t>号］（以下简称《意见》）首开先河，规定环境污染诉讼中“对原告提出的侵权事实，被告否认 的，由被告负责举证”。最高人民法院《关于民事诉讼证据的若干规定》［法释</w:t>
      </w:r>
      <w:r>
        <w:rPr>
          <w:rFonts w:ascii="Times New Roman" w:hAnsi="Times New Roman" w:eastAsia="Times New Roman" w:cs="Times New Roman"/>
          <w:color w:val="000000"/>
          <w:spacing w:val="0"/>
          <w:w w:val="100"/>
          <w:position w:val="0"/>
          <w:sz w:val="19"/>
          <w:szCs w:val="19"/>
        </w:rPr>
        <w:t>（2001）33</w:t>
      </w:r>
      <w:r>
        <w:rPr>
          <w:color w:val="000000"/>
          <w:spacing w:val="0"/>
          <w:w w:val="100"/>
          <w:position w:val="0"/>
        </w:rPr>
        <w:t>号］ 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条进一步明确污染诉讼中</w:t>
      </w:r>
      <w:r>
        <w:rPr>
          <w:color w:val="000000"/>
          <w:spacing w:val="0"/>
          <w:w w:val="100"/>
          <w:position w:val="0"/>
          <w:lang w:val="zh-CN" w:eastAsia="zh-CN" w:bidi="zh-CN"/>
        </w:rPr>
        <w:t>“由</w:t>
      </w:r>
      <w:r>
        <w:rPr>
          <w:color w:val="000000"/>
          <w:spacing w:val="0"/>
          <w:w w:val="100"/>
          <w:position w:val="0"/>
        </w:rPr>
        <w:t>加害人就法律规定的免责事由及其行为与损害结果之间 不存在因果关系承担举证责任”。类似表述为</w:t>
      </w:r>
      <w:r>
        <w:rPr>
          <w:rFonts w:ascii="Times New Roman" w:hAnsi="Times New Roman" w:eastAsia="Times New Roman" w:cs="Times New Roman"/>
          <w:color w:val="000000"/>
          <w:spacing w:val="0"/>
          <w:w w:val="100"/>
          <w:position w:val="0"/>
          <w:sz w:val="19"/>
          <w:szCs w:val="19"/>
        </w:rPr>
        <w:t>2004</w:t>
      </w:r>
      <w:r>
        <w:rPr>
          <w:color w:val="000000"/>
          <w:spacing w:val="0"/>
          <w:w w:val="100"/>
          <w:position w:val="0"/>
        </w:rPr>
        <w:t>年修订的《固体废物污染环境防治法》 第</w:t>
      </w:r>
      <w:r>
        <w:rPr>
          <w:rFonts w:ascii="Times New Roman" w:hAnsi="Times New Roman" w:eastAsia="Times New Roman" w:cs="Times New Roman"/>
          <w:color w:val="000000"/>
          <w:spacing w:val="0"/>
          <w:w w:val="100"/>
          <w:position w:val="0"/>
          <w:sz w:val="19"/>
          <w:szCs w:val="19"/>
        </w:rPr>
        <w:t>86</w:t>
      </w:r>
      <w:r>
        <w:rPr>
          <w:color w:val="000000"/>
          <w:spacing w:val="0"/>
          <w:w w:val="100"/>
          <w:position w:val="0"/>
        </w:rPr>
        <w:t>条、</w:t>
      </w:r>
      <w:r>
        <w:rPr>
          <w:rFonts w:ascii="Times New Roman" w:hAnsi="Times New Roman" w:eastAsia="Times New Roman" w:cs="Times New Roman"/>
          <w:color w:val="000000"/>
          <w:spacing w:val="0"/>
          <w:w w:val="100"/>
          <w:position w:val="0"/>
          <w:sz w:val="19"/>
          <w:szCs w:val="19"/>
        </w:rPr>
        <w:t>2008</w:t>
      </w:r>
      <w:r>
        <w:rPr>
          <w:color w:val="000000"/>
          <w:spacing w:val="0"/>
          <w:w w:val="100"/>
          <w:position w:val="0"/>
        </w:rPr>
        <w:t>年修订的《水污染防治法》第</w:t>
      </w:r>
      <w:r>
        <w:rPr>
          <w:rFonts w:ascii="Times New Roman" w:hAnsi="Times New Roman" w:eastAsia="Times New Roman" w:cs="Times New Roman"/>
          <w:color w:val="000000"/>
          <w:spacing w:val="0"/>
          <w:w w:val="100"/>
          <w:position w:val="0"/>
          <w:sz w:val="19"/>
          <w:szCs w:val="19"/>
        </w:rPr>
        <w:t>87</w:t>
      </w:r>
      <w:r>
        <w:rPr>
          <w:color w:val="000000"/>
          <w:spacing w:val="0"/>
          <w:w w:val="100"/>
          <w:position w:val="0"/>
        </w:rPr>
        <w:t>条所复制，并为</w:t>
      </w:r>
      <w:r>
        <w:rPr>
          <w:rFonts w:ascii="Times New Roman" w:hAnsi="Times New Roman" w:eastAsia="Times New Roman" w:cs="Times New Roman"/>
          <w:color w:val="000000"/>
          <w:spacing w:val="0"/>
          <w:w w:val="100"/>
          <w:position w:val="0"/>
          <w:sz w:val="19"/>
          <w:szCs w:val="19"/>
        </w:rPr>
        <w:t>2009</w:t>
      </w:r>
      <w:r>
        <w:rPr>
          <w:color w:val="000000"/>
          <w:spacing w:val="0"/>
          <w:w w:val="100"/>
          <w:position w:val="0"/>
        </w:rPr>
        <w:t>年通过的原《侵权责任 法》所效仿。该法第</w:t>
      </w:r>
      <w:r>
        <w:rPr>
          <w:rFonts w:ascii="Times New Roman" w:hAnsi="Times New Roman" w:eastAsia="Times New Roman" w:cs="Times New Roman"/>
          <w:color w:val="000000"/>
          <w:spacing w:val="0"/>
          <w:w w:val="100"/>
          <w:position w:val="0"/>
          <w:sz w:val="19"/>
          <w:szCs w:val="19"/>
        </w:rPr>
        <w:t>66</w:t>
      </w:r>
      <w:r>
        <w:rPr>
          <w:color w:val="000000"/>
          <w:spacing w:val="0"/>
          <w:w w:val="100"/>
          <w:position w:val="0"/>
        </w:rPr>
        <w:t>条规定</w:t>
      </w:r>
      <w:r>
        <w:rPr>
          <w:color w:val="000000"/>
          <w:spacing w:val="0"/>
          <w:w w:val="100"/>
          <w:position w:val="0"/>
          <w:lang w:val="zh-CN" w:eastAsia="zh-CN" w:bidi="zh-CN"/>
        </w:rPr>
        <w:t>“污</w:t>
      </w:r>
      <w:r>
        <w:rPr>
          <w:color w:val="000000"/>
          <w:spacing w:val="0"/>
          <w:w w:val="100"/>
          <w:position w:val="0"/>
        </w:rPr>
        <w:t>染者应当就法律规定的不承担责任或者减轻责任的情形 及其行为与损害之间不存在因果关系承担举证责任</w:t>
      </w:r>
      <w:r>
        <w:rPr>
          <w:color w:val="000000"/>
          <w:spacing w:val="0"/>
          <w:w w:val="100"/>
          <w:position w:val="0"/>
          <w:lang w:val="zh-CN" w:eastAsia="zh-CN" w:bidi="zh-CN"/>
        </w:rPr>
        <w:t>”，成</w:t>
      </w:r>
      <w:r>
        <w:rPr>
          <w:color w:val="000000"/>
          <w:spacing w:val="0"/>
          <w:w w:val="100"/>
          <w:position w:val="0"/>
        </w:rPr>
        <w:t>为污染侵权因果关系证明的主要 规则。《民法典》第</w:t>
      </w:r>
      <w:r>
        <w:rPr>
          <w:rFonts w:ascii="Times New Roman" w:hAnsi="Times New Roman" w:eastAsia="Times New Roman" w:cs="Times New Roman"/>
          <w:color w:val="000000"/>
          <w:spacing w:val="0"/>
          <w:w w:val="100"/>
          <w:position w:val="0"/>
          <w:sz w:val="19"/>
          <w:szCs w:val="19"/>
        </w:rPr>
        <w:t>1230</w:t>
      </w:r>
      <w:r>
        <w:rPr>
          <w:color w:val="000000"/>
          <w:spacing w:val="0"/>
          <w:w w:val="100"/>
          <w:position w:val="0"/>
        </w:rPr>
        <w:t>条只是增加了</w:t>
      </w:r>
      <w:r>
        <w:rPr>
          <w:color w:val="000000"/>
          <w:spacing w:val="0"/>
          <w:w w:val="100"/>
          <w:position w:val="0"/>
          <w:lang w:val="zh-CN" w:eastAsia="zh-CN" w:bidi="zh-CN"/>
        </w:rPr>
        <w:t>“破坏</w:t>
      </w:r>
      <w:r>
        <w:rPr>
          <w:color w:val="000000"/>
          <w:spacing w:val="0"/>
          <w:w w:val="100"/>
          <w:position w:val="0"/>
        </w:rPr>
        <w:t>生态”的情形，同时将“污染者</w:t>
      </w:r>
      <w:r>
        <w:rPr>
          <w:color w:val="000000"/>
          <w:spacing w:val="0"/>
          <w:w w:val="100"/>
          <w:position w:val="0"/>
          <w:lang w:val="zh-CN" w:eastAsia="zh-CN" w:bidi="zh-CN"/>
        </w:rPr>
        <w:t xml:space="preserve">”改为“行为 </w:t>
      </w:r>
      <w:r>
        <w:rPr>
          <w:color w:val="000000"/>
          <w:spacing w:val="0"/>
          <w:w w:val="100"/>
          <w:position w:val="0"/>
        </w:rPr>
        <w:t>人</w:t>
      </w:r>
      <w:r>
        <w:rPr>
          <w:color w:val="000000"/>
          <w:spacing w:val="0"/>
          <w:w w:val="100"/>
          <w:position w:val="0"/>
          <w:lang w:val="zh-CN" w:eastAsia="zh-CN" w:bidi="zh-CN"/>
        </w:rPr>
        <w:t>”，在</w:t>
      </w:r>
      <w:r>
        <w:rPr>
          <w:color w:val="000000"/>
          <w:spacing w:val="0"/>
          <w:w w:val="100"/>
          <w:position w:val="0"/>
        </w:rPr>
        <w:t>证明规则上并未发生实质性改变。</w:t>
      </w:r>
    </w:p>
    <w:p w14:paraId="1ED96073">
      <w:pPr>
        <w:pStyle w:val="17"/>
        <w:keepNext w:val="0"/>
        <w:keepLines w:val="0"/>
        <w:widowControl w:val="0"/>
        <w:shd w:val="clear" w:color="auto" w:fill="auto"/>
        <w:bidi w:val="0"/>
        <w:spacing w:before="0" w:after="0" w:line="340" w:lineRule="exact"/>
        <w:ind w:left="0" w:right="0" w:firstLine="420"/>
        <w:jc w:val="both"/>
        <w:rPr>
          <w:sz w:val="11"/>
          <w:szCs w:val="11"/>
        </w:rPr>
      </w:pPr>
      <w:r>
        <w:rPr>
          <w:color w:val="000000"/>
          <w:spacing w:val="0"/>
          <w:w w:val="100"/>
          <w:position w:val="0"/>
          <w:sz w:val="18"/>
          <w:szCs w:val="18"/>
        </w:rPr>
        <w:t>然而,前述规定到底意味着什么,学界认识不尽一致,大致分为三类观点:一是“举证责 任倒置说</w:t>
      </w:r>
      <w:r>
        <w:rPr>
          <w:color w:val="000000"/>
          <w:spacing w:val="0"/>
          <w:w w:val="100"/>
          <w:position w:val="0"/>
          <w:sz w:val="11"/>
          <w:szCs w:val="11"/>
        </w:rPr>
        <w:t>”（王社坤:《环境侵权因果关系举证责任分配研究一兼论〈侵权责任法〉第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sz w:val="11"/>
          <w:szCs w:val="11"/>
        </w:rPr>
        <w:t xml:space="preserve">条的理解与 </w:t>
      </w:r>
      <w:r>
        <w:rPr>
          <w:rStyle w:val="32"/>
          <w:b w:val="0"/>
          <w:bCs w:val="0"/>
          <w:i w:val="0"/>
          <w:iCs w:val="0"/>
          <w:smallCaps w:val="0"/>
          <w:strike w:val="0"/>
        </w:rPr>
        <w:t>适用》，载《河北法学》</w:t>
      </w:r>
      <w:r>
        <w:rPr>
          <w:rStyle w:val="32"/>
          <w:rFonts w:ascii="Times New Roman" w:hAnsi="Times New Roman" w:eastAsia="Times New Roman" w:cs="Times New Roman"/>
          <w:b w:val="0"/>
          <w:bCs w:val="0"/>
          <w:i w:val="0"/>
          <w:iCs w:val="0"/>
          <w:smallCaps w:val="0"/>
          <w:strike w:val="0"/>
          <w:sz w:val="17"/>
          <w:szCs w:val="17"/>
        </w:rPr>
        <w:t>2011</w:t>
      </w:r>
      <w:r>
        <w:rPr>
          <w:rStyle w:val="32"/>
          <w:b w:val="0"/>
          <w:bCs w:val="0"/>
          <w:i w:val="0"/>
          <w:iCs w:val="0"/>
          <w:smallCaps w:val="0"/>
          <w:strike w:val="0"/>
        </w:rPr>
        <w:t>年第</w:t>
      </w:r>
      <w:r>
        <w:rPr>
          <w:rStyle w:val="32"/>
          <w:rFonts w:ascii="Times New Roman" w:hAnsi="Times New Roman" w:eastAsia="Times New Roman" w:cs="Times New Roman"/>
          <w:b w:val="0"/>
          <w:bCs w:val="0"/>
          <w:i w:val="0"/>
          <w:iCs w:val="0"/>
          <w:smallCaps w:val="0"/>
          <w:strike w:val="0"/>
          <w:sz w:val="17"/>
          <w:szCs w:val="17"/>
        </w:rPr>
        <w:t>2</w:t>
      </w:r>
      <w:r>
        <w:rPr>
          <w:rStyle w:val="32"/>
          <w:b w:val="0"/>
          <w:bCs w:val="0"/>
          <w:i w:val="0"/>
          <w:iCs w:val="0"/>
          <w:smallCaps w:val="0"/>
          <w:strike w:val="0"/>
        </w:rPr>
        <w:t>期）；二是</w:t>
      </w:r>
      <w:r>
        <w:rPr>
          <w:rStyle w:val="32"/>
          <w:b w:val="0"/>
          <w:bCs w:val="0"/>
          <w:i w:val="0"/>
          <w:iCs w:val="0"/>
          <w:smallCaps w:val="0"/>
          <w:strike w:val="0"/>
          <w:sz w:val="18"/>
          <w:szCs w:val="18"/>
          <w:lang w:val="zh-CN" w:eastAsia="zh-CN" w:bidi="zh-CN"/>
        </w:rPr>
        <w:t>“因</w:t>
      </w:r>
      <w:r>
        <w:rPr>
          <w:rStyle w:val="32"/>
          <w:b w:val="0"/>
          <w:bCs w:val="0"/>
          <w:i w:val="0"/>
          <w:iCs w:val="0"/>
          <w:smallCaps w:val="0"/>
          <w:strike w:val="0"/>
          <w:sz w:val="18"/>
          <w:szCs w:val="18"/>
        </w:rPr>
        <w:t>果关系推定说</w:t>
      </w:r>
      <w:r>
        <w:rPr>
          <w:rStyle w:val="32"/>
          <w:b w:val="0"/>
          <w:bCs w:val="0"/>
          <w:i w:val="0"/>
          <w:iCs w:val="0"/>
          <w:smallCaps w:val="0"/>
          <w:strike w:val="0"/>
          <w:lang w:val="zh-CN" w:eastAsia="zh-CN" w:bidi="zh-CN"/>
        </w:rPr>
        <w:t>”［杨</w:t>
      </w:r>
      <w:r>
        <w:rPr>
          <w:rStyle w:val="32"/>
          <w:b w:val="0"/>
          <w:bCs w:val="0"/>
          <w:i w:val="0"/>
          <w:iCs w:val="0"/>
          <w:smallCaps w:val="0"/>
          <w:strike w:val="0"/>
        </w:rPr>
        <w:t>素娟：《论环境侵权诉讼中的因果 关系推定》，载《法学评论》</w:t>
      </w:r>
      <w:r>
        <w:rPr>
          <w:rStyle w:val="32"/>
          <w:rFonts w:ascii="Times New Roman" w:hAnsi="Times New Roman" w:eastAsia="Times New Roman" w:cs="Times New Roman"/>
          <w:b w:val="0"/>
          <w:bCs w:val="0"/>
          <w:i w:val="0"/>
          <w:iCs w:val="0"/>
          <w:smallCaps w:val="0"/>
          <w:strike w:val="0"/>
          <w:sz w:val="17"/>
          <w:szCs w:val="17"/>
        </w:rPr>
        <w:t>2003</w:t>
      </w:r>
      <w:r>
        <w:rPr>
          <w:rStyle w:val="32"/>
          <w:b w:val="0"/>
          <w:bCs w:val="0"/>
          <w:i w:val="0"/>
          <w:iCs w:val="0"/>
          <w:smallCaps w:val="0"/>
          <w:strike w:val="0"/>
        </w:rPr>
        <w:t>年第</w:t>
      </w:r>
      <w:r>
        <w:rPr>
          <w:rStyle w:val="32"/>
          <w:rFonts w:ascii="Times New Roman" w:hAnsi="Times New Roman" w:eastAsia="Times New Roman" w:cs="Times New Roman"/>
          <w:b w:val="0"/>
          <w:bCs w:val="0"/>
          <w:i w:val="0"/>
          <w:iCs w:val="0"/>
          <w:smallCaps w:val="0"/>
          <w:strike w:val="0"/>
          <w:sz w:val="17"/>
          <w:szCs w:val="17"/>
        </w:rPr>
        <w:t>4</w:t>
      </w:r>
      <w:r>
        <w:rPr>
          <w:rStyle w:val="32"/>
          <w:b w:val="0"/>
          <w:bCs w:val="0"/>
          <w:i w:val="0"/>
          <w:iCs w:val="0"/>
          <w:smallCaps w:val="0"/>
          <w:strike w:val="0"/>
        </w:rPr>
        <w:t>期；程啸:《侵权责任法》（第</w:t>
      </w:r>
      <w:r>
        <w:rPr>
          <w:rStyle w:val="32"/>
          <w:rFonts w:ascii="Times New Roman" w:hAnsi="Times New Roman" w:eastAsia="Times New Roman" w:cs="Times New Roman"/>
          <w:b w:val="0"/>
          <w:bCs w:val="0"/>
          <w:i w:val="0"/>
          <w:iCs w:val="0"/>
          <w:smallCaps w:val="0"/>
          <w:strike w:val="0"/>
          <w:sz w:val="17"/>
          <w:szCs w:val="17"/>
        </w:rPr>
        <w:t>2</w:t>
      </w:r>
      <w:r>
        <w:rPr>
          <w:rStyle w:val="32"/>
          <w:b w:val="0"/>
          <w:bCs w:val="0"/>
          <w:i w:val="0"/>
          <w:iCs w:val="0"/>
          <w:smallCaps w:val="0"/>
          <w:strike w:val="0"/>
        </w:rPr>
        <w:t>版），法律出版社</w:t>
      </w:r>
      <w:r>
        <w:rPr>
          <w:rStyle w:val="32"/>
          <w:rFonts w:ascii="Times New Roman" w:hAnsi="Times New Roman" w:eastAsia="Times New Roman" w:cs="Times New Roman"/>
          <w:b w:val="0"/>
          <w:bCs w:val="0"/>
          <w:i w:val="0"/>
          <w:iCs w:val="0"/>
          <w:smallCaps w:val="0"/>
          <w:strike w:val="0"/>
          <w:sz w:val="17"/>
          <w:szCs w:val="17"/>
        </w:rPr>
        <w:t>2015</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rPr>
        <w:t xml:space="preserve">578 </w:t>
      </w:r>
      <w:r>
        <w:rPr>
          <w:rStyle w:val="32"/>
          <w:b w:val="0"/>
          <w:bCs w:val="0"/>
          <w:i w:val="0"/>
          <w:iCs w:val="0"/>
          <w:smallCaps w:val="0"/>
          <w:strike w:val="0"/>
        </w:rPr>
        <w:t>页;杨立新:《侵权责任法》（第</w:t>
      </w:r>
      <w:r>
        <w:rPr>
          <w:rStyle w:val="32"/>
          <w:rFonts w:ascii="Times New Roman" w:hAnsi="Times New Roman" w:eastAsia="Times New Roman" w:cs="Times New Roman"/>
          <w:b w:val="0"/>
          <w:bCs w:val="0"/>
          <w:i w:val="0"/>
          <w:iCs w:val="0"/>
          <w:smallCaps w:val="0"/>
          <w:strike w:val="0"/>
          <w:sz w:val="17"/>
          <w:szCs w:val="17"/>
        </w:rPr>
        <w:t>4</w:t>
      </w:r>
      <w:r>
        <w:rPr>
          <w:rStyle w:val="32"/>
          <w:b w:val="0"/>
          <w:bCs w:val="0"/>
          <w:i w:val="0"/>
          <w:iCs w:val="0"/>
          <w:smallCaps w:val="0"/>
          <w:strike w:val="0"/>
        </w:rPr>
        <w:t>版），法律出版社</w:t>
      </w:r>
      <w:r>
        <w:rPr>
          <w:rStyle w:val="32"/>
          <w:rFonts w:ascii="Times New Roman" w:hAnsi="Times New Roman" w:eastAsia="Times New Roman" w:cs="Times New Roman"/>
          <w:b w:val="0"/>
          <w:bCs w:val="0"/>
          <w:i w:val="0"/>
          <w:iCs w:val="0"/>
          <w:smallCaps w:val="0"/>
          <w:strike w:val="0"/>
          <w:sz w:val="17"/>
          <w:szCs w:val="17"/>
        </w:rPr>
        <w:t>2011</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rPr>
        <w:t>317</w:t>
      </w:r>
      <w:r>
        <w:rPr>
          <w:rStyle w:val="32"/>
          <w:b w:val="0"/>
          <w:bCs w:val="0"/>
          <w:i w:val="0"/>
          <w:iCs w:val="0"/>
          <w:smallCaps w:val="0"/>
          <w:strike w:val="0"/>
        </w:rPr>
        <w:t>页］;</w:t>
      </w:r>
      <w:r>
        <w:rPr>
          <w:rStyle w:val="32"/>
          <w:b w:val="0"/>
          <w:bCs w:val="0"/>
          <w:i w:val="0"/>
          <w:iCs w:val="0"/>
          <w:smallCaps w:val="0"/>
          <w:strike w:val="0"/>
          <w:sz w:val="18"/>
          <w:szCs w:val="18"/>
        </w:rPr>
        <w:t>三是主张二者兼备的</w:t>
      </w:r>
      <w:r>
        <w:rPr>
          <w:rStyle w:val="32"/>
          <w:b w:val="0"/>
          <w:bCs w:val="0"/>
          <w:i w:val="0"/>
          <w:iCs w:val="0"/>
          <w:smallCaps w:val="0"/>
          <w:strike w:val="0"/>
          <w:sz w:val="18"/>
          <w:szCs w:val="18"/>
          <w:lang w:val="zh-CN" w:eastAsia="zh-CN" w:bidi="zh-CN"/>
        </w:rPr>
        <w:t xml:space="preserve">“复合 </w:t>
      </w:r>
      <w:r>
        <w:rPr>
          <w:rStyle w:val="32"/>
          <w:b w:val="0"/>
          <w:bCs w:val="0"/>
          <w:i w:val="0"/>
          <w:iCs w:val="0"/>
          <w:smallCaps w:val="0"/>
          <w:strike w:val="0"/>
        </w:rPr>
        <w:t>论</w:t>
      </w:r>
      <w:r>
        <w:rPr>
          <w:rStyle w:val="32"/>
          <w:b w:val="0"/>
          <w:bCs w:val="0"/>
          <w:i w:val="0"/>
          <w:iCs w:val="0"/>
          <w:smallCaps w:val="0"/>
          <w:strike w:val="0"/>
          <w:lang w:val="zh-CN" w:eastAsia="zh-CN" w:bidi="zh-CN"/>
        </w:rPr>
        <w:t>”［王</w:t>
      </w:r>
      <w:r>
        <w:rPr>
          <w:rStyle w:val="32"/>
          <w:b w:val="0"/>
          <w:bCs w:val="0"/>
          <w:i w:val="0"/>
          <w:iCs w:val="0"/>
          <w:smallCaps w:val="0"/>
          <w:strike w:val="0"/>
        </w:rPr>
        <w:t>利明：《侵权责任法研究》（下卷），中国人民大学出版社</w:t>
      </w:r>
      <w:r>
        <w:rPr>
          <w:rStyle w:val="32"/>
          <w:rFonts w:ascii="Times New Roman" w:hAnsi="Times New Roman" w:eastAsia="Times New Roman" w:cs="Times New Roman"/>
          <w:b w:val="0"/>
          <w:bCs w:val="0"/>
          <w:i w:val="0"/>
          <w:iCs w:val="0"/>
          <w:smallCaps w:val="0"/>
          <w:strike w:val="0"/>
          <w:sz w:val="17"/>
          <w:szCs w:val="17"/>
        </w:rPr>
        <w:t>2011</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rPr>
        <w:t>492 ~496</w:t>
      </w:r>
      <w:r>
        <w:rPr>
          <w:rStyle w:val="32"/>
          <w:b w:val="0"/>
          <w:bCs w:val="0"/>
          <w:i w:val="0"/>
          <w:iCs w:val="0"/>
          <w:smallCaps w:val="0"/>
          <w:strike w:val="0"/>
        </w:rPr>
        <w:t>页；周友军：《侵 权法学》，中国人民大学出版社</w:t>
      </w:r>
      <w:r>
        <w:rPr>
          <w:rStyle w:val="32"/>
          <w:rFonts w:ascii="Times New Roman" w:hAnsi="Times New Roman" w:eastAsia="Times New Roman" w:cs="Times New Roman"/>
          <w:b w:val="0"/>
          <w:bCs w:val="0"/>
          <w:i w:val="0"/>
          <w:iCs w:val="0"/>
          <w:smallCaps w:val="0"/>
          <w:strike w:val="0"/>
          <w:sz w:val="17"/>
          <w:szCs w:val="17"/>
        </w:rPr>
        <w:t>2011</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lang w:val="en-US" w:eastAsia="en-US" w:bidi="en-US"/>
        </w:rPr>
        <w:t>389 -390</w:t>
      </w:r>
      <w:r>
        <w:rPr>
          <w:rStyle w:val="32"/>
          <w:b w:val="0"/>
          <w:bCs w:val="0"/>
          <w:i w:val="0"/>
          <w:iCs w:val="0"/>
          <w:smallCaps w:val="0"/>
          <w:strike w:val="0"/>
        </w:rPr>
        <w:t>页］。</w:t>
      </w:r>
    </w:p>
    <w:p w14:paraId="17DFF3B1">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从广义角度，宽泛而论，举证责任倒置对被告如不能证明因果关系不存在将败诉的处 理隐含着</w:t>
      </w:r>
      <w:r>
        <w:rPr>
          <w:color w:val="000000"/>
          <w:spacing w:val="0"/>
          <w:w w:val="100"/>
          <w:position w:val="0"/>
          <w:lang w:val="zh-CN" w:eastAsia="zh-CN" w:bidi="zh-CN"/>
        </w:rPr>
        <w:t>“推定”因</w:t>
      </w:r>
      <w:r>
        <w:rPr>
          <w:color w:val="000000"/>
          <w:spacing w:val="0"/>
          <w:w w:val="100"/>
          <w:position w:val="0"/>
        </w:rPr>
        <w:t>果关系存在的意味，故二者常被混为一谈。但从诉讼理论和实践效果来 看</w:t>
      </w:r>
      <w:r>
        <w:rPr>
          <w:color w:val="000000"/>
          <w:spacing w:val="0"/>
          <w:w w:val="100"/>
          <w:position w:val="0"/>
          <w:lang w:val="zh-CN" w:eastAsia="zh-CN" w:bidi="zh-CN"/>
        </w:rPr>
        <w:t>，“因</w:t>
      </w:r>
      <w:r>
        <w:rPr>
          <w:color w:val="000000"/>
          <w:spacing w:val="0"/>
          <w:w w:val="100"/>
          <w:position w:val="0"/>
        </w:rPr>
        <w:t>果关系推定</w:t>
      </w:r>
      <w:r>
        <w:rPr>
          <w:color w:val="000000"/>
          <w:spacing w:val="0"/>
          <w:w w:val="100"/>
          <w:position w:val="0"/>
          <w:lang w:val="zh-CN" w:eastAsia="zh-CN" w:bidi="zh-CN"/>
        </w:rPr>
        <w:t>”与“举</w:t>
      </w:r>
      <w:r>
        <w:rPr>
          <w:color w:val="000000"/>
          <w:spacing w:val="0"/>
          <w:w w:val="100"/>
          <w:position w:val="0"/>
        </w:rPr>
        <w:t>证责任倒置”又有本质差异:前者是一种事实认定的方法，举证责 任仍按</w:t>
      </w:r>
      <w:r>
        <w:rPr>
          <w:color w:val="000000"/>
          <w:spacing w:val="0"/>
          <w:w w:val="100"/>
          <w:position w:val="0"/>
          <w:lang w:val="zh-CN" w:eastAsia="zh-CN" w:bidi="zh-CN"/>
        </w:rPr>
        <w:t>“谁</w:t>
      </w:r>
      <w:r>
        <w:rPr>
          <w:color w:val="000000"/>
          <w:spacing w:val="0"/>
          <w:w w:val="100"/>
          <w:position w:val="0"/>
        </w:rPr>
        <w:t>主张,谁举证</w:t>
      </w:r>
      <w:r>
        <w:rPr>
          <w:color w:val="000000"/>
          <w:spacing w:val="0"/>
          <w:w w:val="100"/>
          <w:position w:val="0"/>
          <w:lang w:val="zh-CN" w:eastAsia="zh-CN" w:bidi="zh-CN"/>
        </w:rPr>
        <w:t>”由原</w:t>
      </w:r>
      <w:r>
        <w:rPr>
          <w:color w:val="000000"/>
          <w:spacing w:val="0"/>
          <w:w w:val="100"/>
          <w:position w:val="0"/>
        </w:rPr>
        <w:t>告承担，只是证明程度有所减轻——只要达到一定程度即可 推定因果关系存在而无需达到通常要求的</w:t>
      </w:r>
      <w:r>
        <w:rPr>
          <w:color w:val="000000"/>
          <w:spacing w:val="0"/>
          <w:w w:val="100"/>
          <w:position w:val="0"/>
          <w:lang w:val="zh-CN" w:eastAsia="zh-CN" w:bidi="zh-CN"/>
        </w:rPr>
        <w:t>“必然”程</w:t>
      </w:r>
      <w:r>
        <w:rPr>
          <w:color w:val="000000"/>
          <w:spacing w:val="0"/>
          <w:w w:val="100"/>
          <w:position w:val="0"/>
        </w:rPr>
        <w:t>度。此时,被告也可能因为不能成功证 明</w:t>
      </w:r>
      <w:r>
        <w:rPr>
          <w:color w:val="000000"/>
          <w:spacing w:val="0"/>
          <w:w w:val="100"/>
          <w:position w:val="0"/>
          <w:lang w:val="zh-CN" w:eastAsia="zh-CN" w:bidi="zh-CN"/>
        </w:rPr>
        <w:t>“因果</w:t>
      </w:r>
      <w:r>
        <w:rPr>
          <w:color w:val="000000"/>
          <w:spacing w:val="0"/>
          <w:w w:val="100"/>
          <w:position w:val="0"/>
        </w:rPr>
        <w:t>关系不存在”而败诉，但这种证明属于</w:t>
      </w:r>
      <w:r>
        <w:rPr>
          <w:color w:val="000000"/>
          <w:spacing w:val="0"/>
          <w:w w:val="100"/>
          <w:position w:val="0"/>
          <w:lang w:val="zh-CN" w:eastAsia="zh-CN" w:bidi="zh-CN"/>
        </w:rPr>
        <w:t>“反证”，以</w:t>
      </w:r>
      <w:r>
        <w:rPr>
          <w:color w:val="000000"/>
          <w:spacing w:val="0"/>
          <w:w w:val="100"/>
          <w:position w:val="0"/>
        </w:rPr>
        <w:t>原告先已成功举证为前提,且证明 标准通常较</w:t>
      </w:r>
      <w:r>
        <w:rPr>
          <w:color w:val="000000"/>
          <w:spacing w:val="0"/>
          <w:w w:val="100"/>
          <w:position w:val="0"/>
          <w:lang w:val="zh-CN" w:eastAsia="zh-CN" w:bidi="zh-CN"/>
        </w:rPr>
        <w:t>“本证”为</w:t>
      </w:r>
      <w:r>
        <w:rPr>
          <w:color w:val="000000"/>
          <w:spacing w:val="0"/>
          <w:w w:val="100"/>
          <w:position w:val="0"/>
        </w:rPr>
        <w:t>轻。后者则意味着法律直接把</w:t>
      </w:r>
      <w:r>
        <w:rPr>
          <w:color w:val="000000"/>
          <w:spacing w:val="0"/>
          <w:w w:val="100"/>
          <w:position w:val="0"/>
          <w:lang w:val="zh-CN" w:eastAsia="zh-CN" w:bidi="zh-CN"/>
        </w:rPr>
        <w:t>“不</w:t>
      </w:r>
      <w:r>
        <w:rPr>
          <w:color w:val="000000"/>
          <w:spacing w:val="0"/>
          <w:w w:val="100"/>
          <w:position w:val="0"/>
        </w:rPr>
        <w:t>存在因果关系</w:t>
      </w:r>
      <w:r>
        <w:rPr>
          <w:color w:val="000000"/>
          <w:spacing w:val="0"/>
          <w:w w:val="100"/>
          <w:position w:val="0"/>
          <w:lang w:val="zh-CN" w:eastAsia="zh-CN" w:bidi="zh-CN"/>
        </w:rPr>
        <w:t>”的证</w:t>
      </w:r>
      <w:r>
        <w:rPr>
          <w:color w:val="000000"/>
          <w:spacing w:val="0"/>
          <w:w w:val="100"/>
          <w:position w:val="0"/>
        </w:rPr>
        <w:t>明责任分配给 被告，其须作为</w:t>
      </w:r>
      <w:r>
        <w:rPr>
          <w:color w:val="000000"/>
          <w:spacing w:val="0"/>
          <w:w w:val="100"/>
          <w:position w:val="0"/>
          <w:lang w:val="zh-CN" w:eastAsia="zh-CN" w:bidi="zh-CN"/>
        </w:rPr>
        <w:t>“本证”充分</w:t>
      </w:r>
      <w:r>
        <w:rPr>
          <w:color w:val="000000"/>
          <w:spacing w:val="0"/>
          <w:w w:val="100"/>
          <w:position w:val="0"/>
        </w:rPr>
        <w:t>证立,否则将承担败诉后果，且不以原告先行证立为前提。</w:t>
      </w:r>
    </w:p>
    <w:p w14:paraId="538153DF">
      <w:pPr>
        <w:pStyle w:val="17"/>
        <w:keepNext w:val="0"/>
        <w:keepLines w:val="0"/>
        <w:widowControl w:val="0"/>
        <w:shd w:val="clear" w:color="auto" w:fill="auto"/>
        <w:bidi w:val="0"/>
        <w:spacing w:before="0" w:after="0" w:line="344" w:lineRule="exact"/>
        <w:ind w:left="0" w:right="0"/>
        <w:jc w:val="both"/>
      </w:pPr>
      <w:r>
        <w:rPr>
          <w:color w:val="000000"/>
          <w:spacing w:val="0"/>
          <w:w w:val="100"/>
          <w:position w:val="0"/>
        </w:rPr>
        <w:t>在实践层面，折中调和的</w:t>
      </w:r>
      <w:r>
        <w:rPr>
          <w:color w:val="000000"/>
          <w:spacing w:val="0"/>
          <w:w w:val="100"/>
          <w:position w:val="0"/>
          <w:lang w:val="zh-CN" w:eastAsia="zh-CN" w:bidi="zh-CN"/>
        </w:rPr>
        <w:t>“复合</w:t>
      </w:r>
      <w:r>
        <w:rPr>
          <w:color w:val="000000"/>
          <w:spacing w:val="0"/>
          <w:w w:val="100"/>
          <w:position w:val="0"/>
        </w:rPr>
        <w:t>论”显然无法成立。从前述条款的字面表述和充分保护 受害者的立法目的来看</w:t>
      </w:r>
      <w:r>
        <w:rPr>
          <w:color w:val="000000"/>
          <w:spacing w:val="0"/>
          <w:w w:val="100"/>
          <w:position w:val="0"/>
          <w:lang w:val="zh-CN" w:eastAsia="zh-CN" w:bidi="zh-CN"/>
        </w:rPr>
        <w:t>，“举</w:t>
      </w:r>
      <w:r>
        <w:rPr>
          <w:color w:val="000000"/>
          <w:spacing w:val="0"/>
          <w:w w:val="100"/>
          <w:position w:val="0"/>
        </w:rPr>
        <w:t>证责任倒置说</w:t>
      </w:r>
      <w:r>
        <w:rPr>
          <w:color w:val="000000"/>
          <w:spacing w:val="0"/>
          <w:w w:val="100"/>
          <w:position w:val="0"/>
          <w:lang w:val="zh-CN" w:eastAsia="zh-CN" w:bidi="zh-CN"/>
        </w:rPr>
        <w:t>”颇</w:t>
      </w:r>
      <w:r>
        <w:rPr>
          <w:color w:val="000000"/>
          <w:spacing w:val="0"/>
          <w:w w:val="100"/>
          <w:position w:val="0"/>
        </w:rPr>
        <w:t>具优势。但其适用条件过于宽松,存在逻辑 缺陷，</w:t>
      </w:r>
      <w:r>
        <w:rPr>
          <w:color w:val="000000"/>
          <w:spacing w:val="0"/>
          <w:w w:val="100"/>
          <w:position w:val="0"/>
          <w:lang w:val="zh-CN" w:eastAsia="zh-CN" w:bidi="zh-CN"/>
        </w:rPr>
        <w:t>“基本</w:t>
      </w:r>
      <w:r>
        <w:rPr>
          <w:color w:val="000000"/>
          <w:spacing w:val="0"/>
          <w:w w:val="100"/>
          <w:position w:val="0"/>
        </w:rPr>
        <w:t>上使被告无机会翻身</w:t>
      </w:r>
      <w:r>
        <w:rPr>
          <w:color w:val="000000"/>
          <w:spacing w:val="0"/>
          <w:w w:val="100"/>
          <w:position w:val="0"/>
          <w:sz w:val="11"/>
          <w:szCs w:val="11"/>
          <w:lang w:val="zh-CN" w:eastAsia="zh-CN" w:bidi="zh-CN"/>
        </w:rPr>
        <w:t>”［薄</w:t>
      </w:r>
      <w:r>
        <w:rPr>
          <w:color w:val="000000"/>
          <w:spacing w:val="0"/>
          <w:w w:val="100"/>
          <w:position w:val="0"/>
          <w:sz w:val="11"/>
          <w:szCs w:val="11"/>
        </w:rPr>
        <w:t>晓波:《倒置与推定:对我国环境污染侵权中因果关系证明方 法的反思》，载《中国地质大学学报》（社会科学版</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sz w:val="11"/>
          <w:szCs w:val="11"/>
        </w:rPr>
        <w:t>期］</w:t>
      </w:r>
      <w:r>
        <w:rPr>
          <w:color w:val="000000"/>
          <w:spacing w:val="0"/>
          <w:w w:val="100"/>
          <w:position w:val="0"/>
        </w:rPr>
        <w:t xml:space="preserve">，有矫枉过正之嫌。故在理论界， </w:t>
      </w:r>
      <w:r>
        <w:rPr>
          <w:color w:val="000000"/>
          <w:spacing w:val="0"/>
          <w:w w:val="100"/>
          <w:position w:val="0"/>
          <w:lang w:val="zh-CN" w:eastAsia="zh-CN" w:bidi="zh-CN"/>
        </w:rPr>
        <w:t>“因</w:t>
      </w:r>
      <w:r>
        <w:rPr>
          <w:color w:val="000000"/>
          <w:spacing w:val="0"/>
          <w:w w:val="100"/>
          <w:position w:val="0"/>
        </w:rPr>
        <w:t>果关系推定说</w:t>
      </w:r>
      <w:r>
        <w:rPr>
          <w:color w:val="000000"/>
          <w:spacing w:val="0"/>
          <w:w w:val="100"/>
          <w:position w:val="0"/>
          <w:lang w:val="zh-CN" w:eastAsia="zh-CN" w:bidi="zh-CN"/>
        </w:rPr>
        <w:t>”更受</w:t>
      </w:r>
      <w:r>
        <w:rPr>
          <w:color w:val="000000"/>
          <w:spacing w:val="0"/>
          <w:w w:val="100"/>
          <w:position w:val="0"/>
        </w:rPr>
        <w:t>认可。应先由原告证明被告排污与己方受损之间的初步关联，再由 被告承担因果关系不存在的举证责任。但这一认识与现行法清楚、明确的</w:t>
      </w:r>
      <w:r>
        <w:rPr>
          <w:color w:val="000000"/>
          <w:spacing w:val="0"/>
          <w:w w:val="100"/>
          <w:position w:val="0"/>
          <w:lang w:val="zh-CN" w:eastAsia="zh-CN" w:bidi="zh-CN"/>
        </w:rPr>
        <w:t>“倒置”规</w:t>
      </w:r>
      <w:r>
        <w:rPr>
          <w:color w:val="000000"/>
          <w:spacing w:val="0"/>
          <w:w w:val="100"/>
          <w:position w:val="0"/>
        </w:rPr>
        <w:t>定不甚 相符,其作为主流观点使理论应然与立法实然产生张力，加剧了司法实践的纠结与困惑。</w:t>
      </w:r>
    </w:p>
    <w:p w14:paraId="640C7D25">
      <w:pPr>
        <w:pStyle w:val="17"/>
        <w:keepNext w:val="0"/>
        <w:keepLines w:val="0"/>
        <w:widowControl w:val="0"/>
        <w:shd w:val="clear" w:color="auto" w:fill="auto"/>
        <w:bidi w:val="0"/>
        <w:spacing w:before="0" w:after="280" w:line="344" w:lineRule="exact"/>
        <w:ind w:left="0" w:right="0"/>
        <w:jc w:val="both"/>
      </w:pPr>
      <w:r>
        <w:rPr>
          <w:color w:val="000000"/>
          <w:spacing w:val="0"/>
          <w:w w:val="100"/>
          <w:position w:val="0"/>
        </w:rPr>
        <w:t>从本案来看，最终判决也体现出理论选择上的矛盾与纠结。尽管表面看来，法院以举 证责任倒置为论证核心，强调</w:t>
      </w:r>
      <w:r>
        <w:rPr>
          <w:color w:val="000000"/>
          <w:spacing w:val="0"/>
          <w:w w:val="100"/>
          <w:position w:val="0"/>
          <w:lang w:val="zh-CN" w:eastAsia="zh-CN" w:bidi="zh-CN"/>
        </w:rPr>
        <w:t>“根</w:t>
      </w:r>
      <w:r>
        <w:rPr>
          <w:color w:val="000000"/>
          <w:spacing w:val="0"/>
          <w:w w:val="100"/>
          <w:position w:val="0"/>
        </w:rPr>
        <w:t>据司法解释的规定，作为侵权人的污染企业只有能够证明 其侵权行为与损害后果不存在因果关系或者法律规定的免责事由成立的情况下，始得免除 侵权损害赔偿责任</w:t>
      </w:r>
      <w:r>
        <w:rPr>
          <w:color w:val="000000"/>
          <w:spacing w:val="0"/>
          <w:w w:val="100"/>
          <w:position w:val="0"/>
          <w:lang w:val="zh-CN" w:eastAsia="zh-CN" w:bidi="zh-CN"/>
        </w:rPr>
        <w:t>”，并</w:t>
      </w:r>
      <w:r>
        <w:rPr>
          <w:color w:val="000000"/>
          <w:spacing w:val="0"/>
          <w:w w:val="100"/>
          <w:position w:val="0"/>
        </w:rPr>
        <w:t>以被告</w:t>
      </w:r>
      <w:r>
        <w:rPr>
          <w:color w:val="000000"/>
          <w:spacing w:val="0"/>
          <w:w w:val="100"/>
          <w:position w:val="0"/>
          <w:lang w:val="zh-CN" w:eastAsia="zh-CN" w:bidi="zh-CN"/>
        </w:rPr>
        <w:t>“没</w:t>
      </w:r>
      <w:r>
        <w:rPr>
          <w:color w:val="000000"/>
          <w:spacing w:val="0"/>
          <w:w w:val="100"/>
          <w:position w:val="0"/>
        </w:rPr>
        <w:t>有足够的证据否定其污染行为与损害后果之间的因果关 系”为由判其败诉，似乎在充分践行</w:t>
      </w:r>
      <w:r>
        <w:rPr>
          <w:color w:val="000000"/>
          <w:spacing w:val="0"/>
          <w:w w:val="100"/>
          <w:position w:val="0"/>
          <w:lang w:val="zh-CN" w:eastAsia="zh-CN" w:bidi="zh-CN"/>
        </w:rPr>
        <w:t>“举证</w:t>
      </w:r>
      <w:r>
        <w:rPr>
          <w:color w:val="000000"/>
          <w:spacing w:val="0"/>
          <w:w w:val="100"/>
          <w:position w:val="0"/>
        </w:rPr>
        <w:t>责任倒置说”。但其在最终提出举证责任倒置角 度的推论之前强调</w:t>
      </w:r>
      <w:r>
        <w:rPr>
          <w:color w:val="000000"/>
          <w:spacing w:val="0"/>
          <w:w w:val="100"/>
          <w:position w:val="0"/>
          <w:lang w:val="zh-CN" w:eastAsia="zh-CN" w:bidi="zh-CN"/>
        </w:rPr>
        <w:t>“位于</w:t>
      </w:r>
      <w:r>
        <w:rPr>
          <w:color w:val="000000"/>
          <w:spacing w:val="0"/>
          <w:w w:val="100"/>
          <w:position w:val="0"/>
        </w:rPr>
        <w:t>上游的五家企业污染了水源，同时段,下游约六公里的养殖场发生 了饲养物非正常死亡的后果</w:t>
      </w:r>
      <w:r>
        <w:rPr>
          <w:color w:val="000000"/>
          <w:spacing w:val="0"/>
          <w:w w:val="100"/>
          <w:position w:val="0"/>
          <w:lang w:val="zh-CN" w:eastAsia="zh-CN" w:bidi="zh-CN"/>
        </w:rPr>
        <w:t>”这</w:t>
      </w:r>
      <w:r>
        <w:rPr>
          <w:color w:val="000000"/>
          <w:spacing w:val="0"/>
          <w:w w:val="100"/>
          <w:position w:val="0"/>
        </w:rPr>
        <w:t>一实际上表明因睪关系与駐回能</w:t>
      </w:r>
      <w:r>
        <w:rPr>
          <w:rFonts w:ascii="Times New Roman" w:hAnsi="Times New Roman" w:eastAsia="Times New Roman" w:cs="Times New Roman"/>
          <w:color w:val="000000"/>
          <w:spacing w:val="0"/>
          <w:w w:val="100"/>
          <w:position w:val="0"/>
          <w:sz w:val="19"/>
          <w:szCs w:val="19"/>
        </w:rPr>
        <w:t>1</w:t>
      </w:r>
      <w:r>
        <w:rPr>
          <w:color w:val="000000"/>
          <w:spacing w:val="0"/>
          <w:w w:val="100"/>
          <w:position w:val="0"/>
        </w:rPr>
        <w:t>的适風前据，又不无“因 果关系推定说</w:t>
      </w:r>
      <w:r>
        <w:rPr>
          <w:color w:val="000000"/>
          <w:spacing w:val="0"/>
          <w:w w:val="100"/>
          <w:position w:val="0"/>
          <w:lang w:val="zh-CN" w:eastAsia="zh-CN" w:bidi="zh-CN"/>
        </w:rPr>
        <w:t>”的</w:t>
      </w:r>
      <w:r>
        <w:rPr>
          <w:color w:val="000000"/>
          <w:spacing w:val="0"/>
          <w:w w:val="100"/>
          <w:position w:val="0"/>
        </w:rPr>
        <w:t>影子。</w:t>
      </w:r>
    </w:p>
    <w:p w14:paraId="7B651533">
      <w:pPr>
        <w:pStyle w:val="17"/>
        <w:keepNext w:val="0"/>
        <w:keepLines w:val="0"/>
        <w:widowControl w:val="0"/>
        <w:shd w:val="clear" w:color="auto" w:fill="auto"/>
        <w:bidi w:val="0"/>
        <w:spacing w:before="0" w:after="0" w:line="379"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既往司法实践状况</w:t>
      </w:r>
    </w:p>
    <w:p w14:paraId="79B8FE83">
      <w:pPr>
        <w:pStyle w:val="17"/>
        <w:keepNext w:val="0"/>
        <w:keepLines w:val="0"/>
        <w:widowControl w:val="0"/>
        <w:shd w:val="clear" w:color="auto" w:fill="auto"/>
        <w:bidi w:val="0"/>
        <w:spacing w:before="0" w:after="0" w:line="336" w:lineRule="exact"/>
        <w:ind w:left="0" w:right="0"/>
        <w:jc w:val="both"/>
      </w:pPr>
      <w:r>
        <w:rPr>
          <w:color w:val="000000"/>
          <w:spacing w:val="0"/>
          <w:w w:val="100"/>
          <w:position w:val="0"/>
        </w:rPr>
        <w:t>尽管立法对举证责任倒晝南规定具体且清晰，但司法实践呈现的却是另外一番景象。 实证研究表明，环境民事案件中</w:t>
      </w:r>
      <w:r>
        <w:rPr>
          <w:color w:val="000000"/>
          <w:spacing w:val="0"/>
          <w:w w:val="100"/>
          <w:position w:val="0"/>
          <w:lang w:val="zh-CN" w:eastAsia="zh-CN" w:bidi="zh-CN"/>
        </w:rPr>
        <w:t>“运用</w:t>
      </w:r>
      <w:r>
        <w:rPr>
          <w:color w:val="000000"/>
          <w:spacing w:val="0"/>
          <w:w w:val="100"/>
          <w:position w:val="0"/>
        </w:rPr>
        <w:t>举证责任倒置的不足半数”（</w:t>
      </w:r>
      <w:r>
        <w:rPr>
          <w:color w:val="000000"/>
          <w:spacing w:val="0"/>
          <w:w w:val="100"/>
          <w:position w:val="0"/>
          <w:sz w:val="11"/>
          <w:szCs w:val="11"/>
        </w:rPr>
        <w:t>吕忠梅等:《中国环境司法现 状调查——以千份环境裁判文书为样本》，载《法学》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sz w:val="11"/>
          <w:szCs w:val="11"/>
        </w:rPr>
        <w:t>期）；</w:t>
      </w:r>
      <w:r>
        <w:rPr>
          <w:color w:val="000000"/>
          <w:spacing w:val="0"/>
          <w:w w:val="100"/>
          <w:position w:val="0"/>
        </w:rPr>
        <w:t>即使有所运用，也</w:t>
      </w:r>
      <w:r>
        <w:rPr>
          <w:color w:val="000000"/>
          <w:spacing w:val="0"/>
          <w:w w:val="100"/>
          <w:position w:val="0"/>
          <w:lang w:val="zh-CN" w:eastAsia="zh-CN" w:bidi="zh-CN"/>
        </w:rPr>
        <w:t>“在</w:t>
      </w:r>
      <w:r>
        <w:rPr>
          <w:color w:val="000000"/>
          <w:spacing w:val="0"/>
          <w:w w:val="100"/>
          <w:position w:val="0"/>
        </w:rPr>
        <w:t>大部分 情形下仍然由作为受害人的原告承担因果关系成立与否的举证责任”（</w:t>
      </w:r>
      <w:r>
        <w:rPr>
          <w:color w:val="000000"/>
          <w:spacing w:val="0"/>
          <w:w w:val="100"/>
          <w:position w:val="0"/>
          <w:sz w:val="11"/>
          <w:szCs w:val="11"/>
        </w:rPr>
        <w:t>张挺:《环境污染侵权 因果关系证明责任之再构成一基于</w:t>
      </w:r>
      <w:r>
        <w:rPr>
          <w:rFonts w:ascii="Times New Roman" w:hAnsi="Times New Roman" w:eastAsia="Times New Roman" w:cs="Times New Roman"/>
          <w:color w:val="000000"/>
          <w:spacing w:val="0"/>
          <w:w w:val="100"/>
          <w:position w:val="0"/>
          <w:sz w:val="17"/>
          <w:szCs w:val="17"/>
        </w:rPr>
        <w:t>619</w:t>
      </w:r>
      <w:r>
        <w:rPr>
          <w:color w:val="000000"/>
          <w:spacing w:val="0"/>
          <w:w w:val="100"/>
          <w:position w:val="0"/>
          <w:sz w:val="11"/>
          <w:szCs w:val="11"/>
        </w:rPr>
        <w:t>份相关民事判决书的实证分析》，载《法学》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sz w:val="11"/>
          <w:szCs w:val="11"/>
        </w:rPr>
        <w:t xml:space="preserve">期）。 </w:t>
      </w:r>
      <w:r>
        <w:rPr>
          <w:color w:val="000000"/>
          <w:spacing w:val="0"/>
          <w:w w:val="100"/>
          <w:position w:val="0"/>
        </w:rPr>
        <w:t>这其中，既有地方法院“重发展、轻环保</w:t>
      </w:r>
      <w:r>
        <w:rPr>
          <w:color w:val="000000"/>
          <w:spacing w:val="0"/>
          <w:w w:val="100"/>
          <w:position w:val="0"/>
          <w:lang w:val="zh-CN" w:eastAsia="zh-CN" w:bidi="zh-CN"/>
        </w:rPr>
        <w:t>”的传</w:t>
      </w:r>
      <w:r>
        <w:rPr>
          <w:color w:val="000000"/>
          <w:spacing w:val="0"/>
          <w:w w:val="100"/>
          <w:position w:val="0"/>
        </w:rPr>
        <w:t>统观念甚或地方利益作祟,也有认识不清、学 艺不精的能力问题，但也不乏基于司法操作现实的合理考量。总体来看，法院在环境司法 方面认识不断深化,重视不断加强，态度渐趋开放,但对纯粹的举证责任倒置始终抗拒，其 能接受的最大限度，似乎只能是</w:t>
      </w:r>
      <w:r>
        <w:rPr>
          <w:color w:val="000000"/>
          <w:spacing w:val="0"/>
          <w:w w:val="100"/>
          <w:position w:val="0"/>
          <w:lang w:val="zh-CN" w:eastAsia="zh-CN" w:bidi="zh-CN"/>
        </w:rPr>
        <w:t>“宽</w:t>
      </w:r>
      <w:r>
        <w:rPr>
          <w:color w:val="000000"/>
          <w:spacing w:val="0"/>
          <w:w w:val="100"/>
          <w:position w:val="0"/>
        </w:rPr>
        <w:t>松的”因果关系推定，此在本案跨度十余年的历次审判 中得到充分展现。</w:t>
      </w:r>
    </w:p>
    <w:p w14:paraId="2D2BD934">
      <w:pPr>
        <w:pStyle w:val="17"/>
        <w:keepNext w:val="0"/>
        <w:keepLines w:val="0"/>
        <w:widowControl w:val="0"/>
        <w:shd w:val="clear" w:color="auto" w:fill="auto"/>
        <w:bidi w:val="0"/>
        <w:spacing w:before="0" w:after="0" w:line="333" w:lineRule="exact"/>
        <w:ind w:left="0" w:right="0" w:firstLine="420"/>
        <w:jc w:val="both"/>
      </w:pPr>
      <w:r>
        <w:rPr>
          <w:color w:val="000000"/>
          <w:spacing w:val="0"/>
          <w:w w:val="100"/>
          <w:position w:val="0"/>
        </w:rPr>
        <w:t>在</w:t>
      </w:r>
      <w:r>
        <w:rPr>
          <w:rFonts w:ascii="Times New Roman" w:hAnsi="Times New Roman" w:eastAsia="Times New Roman" w:cs="Times New Roman"/>
          <w:color w:val="000000"/>
          <w:spacing w:val="0"/>
          <w:w w:val="100"/>
          <w:position w:val="0"/>
          <w:sz w:val="19"/>
          <w:szCs w:val="19"/>
        </w:rPr>
        <w:t>1997</w:t>
      </w:r>
      <w:r>
        <w:rPr>
          <w:color w:val="000000"/>
          <w:spacing w:val="0"/>
          <w:w w:val="100"/>
          <w:position w:val="0"/>
        </w:rPr>
        <w:t>年的初审判决中，平湖市人民法院完全依传统规则判案,要求原告证明</w:t>
      </w:r>
      <w:r>
        <w:rPr>
          <w:color w:val="000000"/>
          <w:spacing w:val="0"/>
          <w:w w:val="100"/>
          <w:position w:val="0"/>
          <w:lang w:val="zh-CN" w:eastAsia="zh-CN" w:bidi="zh-CN"/>
        </w:rPr>
        <w:t xml:space="preserve">“必然 </w:t>
      </w:r>
      <w:r>
        <w:rPr>
          <w:color w:val="000000"/>
          <w:spacing w:val="0"/>
          <w:w w:val="100"/>
          <w:position w:val="0"/>
        </w:rPr>
        <w:t>的因果关系</w:t>
      </w:r>
      <w:r>
        <w:rPr>
          <w:color w:val="000000"/>
          <w:spacing w:val="0"/>
          <w:w w:val="100"/>
          <w:position w:val="0"/>
          <w:lang w:val="zh-CN" w:eastAsia="zh-CN" w:bidi="zh-CN"/>
        </w:rPr>
        <w:t>”，完</w:t>
      </w:r>
      <w:r>
        <w:rPr>
          <w:color w:val="000000"/>
          <w:spacing w:val="0"/>
          <w:w w:val="100"/>
          <w:position w:val="0"/>
        </w:rPr>
        <w:t>全无视《意见》的存在。在</w:t>
      </w:r>
      <w:r>
        <w:rPr>
          <w:rFonts w:ascii="Times New Roman" w:hAnsi="Times New Roman" w:eastAsia="Times New Roman" w:cs="Times New Roman"/>
          <w:color w:val="000000"/>
          <w:spacing w:val="0"/>
          <w:w w:val="100"/>
          <w:position w:val="0"/>
          <w:sz w:val="19"/>
          <w:szCs w:val="19"/>
        </w:rPr>
        <w:t>1998</w:t>
      </w:r>
      <w:r>
        <w:rPr>
          <w:color w:val="000000"/>
          <w:spacing w:val="0"/>
          <w:w w:val="100"/>
          <w:position w:val="0"/>
        </w:rPr>
        <w:t>年的二审判决中，嘉兴市中级人民法院认 为举证责任倒置仅针对过错，把</w:t>
      </w:r>
      <w:r>
        <w:rPr>
          <w:color w:val="000000"/>
          <w:spacing w:val="0"/>
          <w:w w:val="100"/>
          <w:position w:val="0"/>
          <w:lang w:val="zh-CN" w:eastAsia="zh-CN" w:bidi="zh-CN"/>
        </w:rPr>
        <w:t>“水污</w:t>
      </w:r>
      <w:r>
        <w:rPr>
          <w:color w:val="000000"/>
          <w:spacing w:val="0"/>
          <w:w w:val="100"/>
          <w:position w:val="0"/>
        </w:rPr>
        <w:t>染造成青蛙蝌蚪死亡</w:t>
      </w:r>
      <w:r>
        <w:rPr>
          <w:color w:val="000000"/>
          <w:spacing w:val="0"/>
          <w:w w:val="100"/>
          <w:position w:val="0"/>
          <w:lang w:val="zh-CN" w:eastAsia="zh-CN" w:bidi="zh-CN"/>
        </w:rPr>
        <w:t>”视</w:t>
      </w:r>
      <w:r>
        <w:rPr>
          <w:color w:val="000000"/>
          <w:spacing w:val="0"/>
          <w:w w:val="100"/>
          <w:position w:val="0"/>
        </w:rPr>
        <w:t>为仍须原告举证的“损害事 实”。在</w:t>
      </w:r>
      <w:r>
        <w:rPr>
          <w:rFonts w:ascii="Times New Roman" w:hAnsi="Times New Roman" w:eastAsia="Times New Roman" w:cs="Times New Roman"/>
          <w:color w:val="000000"/>
          <w:spacing w:val="0"/>
          <w:w w:val="100"/>
          <w:position w:val="0"/>
          <w:sz w:val="19"/>
          <w:szCs w:val="19"/>
        </w:rPr>
        <w:t>2001</w:t>
      </w:r>
      <w:r>
        <w:rPr>
          <w:color w:val="000000"/>
          <w:spacing w:val="0"/>
          <w:w w:val="100"/>
          <w:position w:val="0"/>
        </w:rPr>
        <w:t>年的再审判决中，浙江省高级人民法院虽然认可因果关系举证责任倒置，但 还是从</w:t>
      </w:r>
      <w:r>
        <w:rPr>
          <w:color w:val="000000"/>
          <w:spacing w:val="0"/>
          <w:w w:val="100"/>
          <w:position w:val="0"/>
          <w:lang w:val="zh-CN" w:eastAsia="zh-CN" w:bidi="zh-CN"/>
        </w:rPr>
        <w:t>“因</w:t>
      </w:r>
      <w:r>
        <w:rPr>
          <w:color w:val="000000"/>
          <w:spacing w:val="0"/>
          <w:w w:val="100"/>
          <w:position w:val="0"/>
        </w:rPr>
        <w:t>果关系推定论</w:t>
      </w:r>
      <w:r>
        <w:rPr>
          <w:color w:val="000000"/>
          <w:spacing w:val="0"/>
          <w:w w:val="100"/>
          <w:position w:val="0"/>
          <w:lang w:val="zh-CN" w:eastAsia="zh-CN" w:bidi="zh-CN"/>
        </w:rPr>
        <w:t>”角度</w:t>
      </w:r>
      <w:r>
        <w:rPr>
          <w:color w:val="000000"/>
          <w:spacing w:val="0"/>
          <w:w w:val="100"/>
          <w:position w:val="0"/>
        </w:rPr>
        <w:t>的理解，认为</w:t>
      </w:r>
      <w:r>
        <w:rPr>
          <w:color w:val="000000"/>
          <w:spacing w:val="0"/>
          <w:w w:val="100"/>
          <w:position w:val="0"/>
          <w:lang w:val="zh-CN" w:eastAsia="zh-CN" w:bidi="zh-CN"/>
        </w:rPr>
        <w:t>“受</w:t>
      </w:r>
      <w:r>
        <w:rPr>
          <w:color w:val="000000"/>
          <w:spacing w:val="0"/>
          <w:w w:val="100"/>
          <w:position w:val="0"/>
        </w:rPr>
        <w:t>损人需举证证明五家企业的污染(特定物 质)排放的事实及自身因该物质遭受损害的事实，且在一般情况下这类污染环境的行为能 够造成这种损害</w:t>
      </w:r>
      <w:r>
        <w:rPr>
          <w:color w:val="000000"/>
          <w:spacing w:val="0"/>
          <w:w w:val="100"/>
          <w:position w:val="0"/>
          <w:lang w:val="zh-CN" w:eastAsia="zh-CN" w:bidi="zh-CN"/>
        </w:rPr>
        <w:t>”，继</w:t>
      </w:r>
      <w:r>
        <w:rPr>
          <w:color w:val="000000"/>
          <w:spacing w:val="0"/>
          <w:w w:val="100"/>
          <w:position w:val="0"/>
        </w:rPr>
        <w:t>而把蝌蚪死亡</w:t>
      </w:r>
      <w:r>
        <w:rPr>
          <w:color w:val="000000"/>
          <w:spacing w:val="0"/>
          <w:w w:val="100"/>
          <w:position w:val="0"/>
          <w:lang w:val="zh-CN" w:eastAsia="zh-CN" w:bidi="zh-CN"/>
        </w:rPr>
        <w:t>“系</w:t>
      </w:r>
      <w:r>
        <w:rPr>
          <w:color w:val="000000"/>
          <w:spacing w:val="0"/>
          <w:w w:val="100"/>
          <w:position w:val="0"/>
        </w:rPr>
        <w:t>被何特定物质所致</w:t>
      </w:r>
      <w:r>
        <w:rPr>
          <w:color w:val="000000"/>
          <w:spacing w:val="0"/>
          <w:w w:val="100"/>
          <w:position w:val="0"/>
          <w:lang w:val="zh-CN" w:eastAsia="zh-CN" w:bidi="zh-CN"/>
        </w:rPr>
        <w:t>”作为“适</w:t>
      </w:r>
      <w:r>
        <w:rPr>
          <w:color w:val="000000"/>
          <w:spacing w:val="0"/>
          <w:w w:val="100"/>
          <w:position w:val="0"/>
        </w:rPr>
        <w:t>用因果关系推定的前 提”。</w:t>
      </w:r>
    </w:p>
    <w:p w14:paraId="3B56DA6B">
      <w:pPr>
        <w:pStyle w:val="17"/>
        <w:keepNext w:val="0"/>
        <w:keepLines w:val="0"/>
        <w:widowControl w:val="0"/>
        <w:shd w:val="clear" w:color="auto" w:fill="auto"/>
        <w:bidi w:val="0"/>
        <w:spacing w:before="0" w:after="0" w:line="333" w:lineRule="exact"/>
        <w:ind w:left="0" w:right="0" w:firstLine="420"/>
        <w:jc w:val="both"/>
      </w:pPr>
      <w:r>
        <w:rPr>
          <w:color w:val="000000"/>
          <w:spacing w:val="0"/>
          <w:w w:val="100"/>
          <w:position w:val="0"/>
        </w:rPr>
        <w:t>类似处理，实践中并不鲜见。在</w:t>
      </w:r>
      <w:r>
        <w:rPr>
          <w:color w:val="000000"/>
          <w:spacing w:val="0"/>
          <w:w w:val="100"/>
          <w:position w:val="0"/>
          <w:lang w:val="zh-CN" w:eastAsia="zh-CN" w:bidi="zh-CN"/>
        </w:rPr>
        <w:t>“孙大</w:t>
      </w:r>
      <w:r>
        <w:rPr>
          <w:color w:val="000000"/>
          <w:spacing w:val="0"/>
          <w:w w:val="100"/>
          <w:position w:val="0"/>
        </w:rPr>
        <w:t>年诉新沂市通力氨基酸厂环境污染损害赔偿案” 中，法院认为“适用举证责任倒置的前提是死鱼样本存在可供鉴定。目前由于样本不存在, 无法鉴定的责任在孙大年，故孙大年未能完成初步举证责任，如简单适用举证责任倒置，不 仅有违立法本意，且对于通力厂也显失公平”</w:t>
      </w:r>
      <w:r>
        <w:rPr>
          <w:color w:val="000000"/>
          <w:spacing w:val="0"/>
          <w:w w:val="100"/>
          <w:position w:val="0"/>
          <w:sz w:val="11"/>
          <w:szCs w:val="11"/>
        </w:rPr>
        <w:t>［徐州中院(</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徐民一终字第</w:t>
      </w:r>
      <w:r>
        <w:rPr>
          <w:rFonts w:ascii="Times New Roman" w:hAnsi="Times New Roman" w:eastAsia="Times New Roman" w:cs="Times New Roman"/>
          <w:color w:val="000000"/>
          <w:spacing w:val="0"/>
          <w:w w:val="100"/>
          <w:position w:val="0"/>
          <w:sz w:val="17"/>
          <w:szCs w:val="17"/>
        </w:rPr>
        <w:t>27</w:t>
      </w:r>
      <w:r>
        <w:rPr>
          <w:color w:val="000000"/>
          <w:spacing w:val="0"/>
          <w:w w:val="100"/>
          <w:position w:val="0"/>
          <w:sz w:val="11"/>
          <w:szCs w:val="11"/>
        </w:rPr>
        <w:t xml:space="preserve">号民事判决书］。 </w:t>
      </w:r>
      <w:r>
        <w:rPr>
          <w:color w:val="000000"/>
          <w:spacing w:val="0"/>
          <w:w w:val="100"/>
          <w:position w:val="0"/>
        </w:rPr>
        <w:t>在同样历经</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次审判、受到包括最高人民检察院在内的多级检察院抗诉而由最高人民法院 指定重审的</w:t>
      </w:r>
      <w:r>
        <w:rPr>
          <w:color w:val="000000"/>
          <w:spacing w:val="0"/>
          <w:w w:val="100"/>
          <w:position w:val="0"/>
          <w:lang w:val="zh-CN" w:eastAsia="zh-CN" w:bidi="zh-CN"/>
        </w:rPr>
        <w:t>“刘</w:t>
      </w:r>
      <w:r>
        <w:rPr>
          <w:color w:val="000000"/>
          <w:spacing w:val="0"/>
          <w:w w:val="100"/>
          <w:position w:val="0"/>
        </w:rPr>
        <w:t>德胜诉湖南省吉首市农机局环境污染损害赔偿案</w:t>
      </w:r>
      <w:r>
        <w:rPr>
          <w:color w:val="000000"/>
          <w:spacing w:val="0"/>
          <w:w w:val="100"/>
          <w:position w:val="0"/>
          <w:lang w:val="zh-CN" w:eastAsia="zh-CN" w:bidi="zh-CN"/>
        </w:rPr>
        <w:t>”中,</w:t>
      </w:r>
      <w:r>
        <w:rPr>
          <w:color w:val="000000"/>
          <w:spacing w:val="0"/>
          <w:w w:val="100"/>
          <w:position w:val="0"/>
        </w:rPr>
        <w:t>湖南省高级人民法院 的最终判决仍以</w:t>
      </w:r>
      <w:r>
        <w:rPr>
          <w:color w:val="000000"/>
          <w:spacing w:val="0"/>
          <w:w w:val="100"/>
          <w:position w:val="0"/>
          <w:lang w:val="zh-CN" w:eastAsia="zh-CN" w:bidi="zh-CN"/>
        </w:rPr>
        <w:t>“由于</w:t>
      </w:r>
      <w:r>
        <w:rPr>
          <w:color w:val="000000"/>
          <w:spacing w:val="0"/>
          <w:w w:val="100"/>
          <w:position w:val="0"/>
        </w:rPr>
        <w:t>目前无法准确界定各种癌病的起因，在此情况下，如果适用举证责任 倒置原则，以市农机局举证不能为由推定本案所涉市农机局环境污染行为与刘德胜患癌病 损害结果之间存在必然因果关系，缺乏事实依据”</w:t>
      </w:r>
      <w:r>
        <w:rPr>
          <w:color w:val="000000"/>
          <w:spacing w:val="0"/>
          <w:w w:val="100"/>
          <w:position w:val="0"/>
          <w:sz w:val="11"/>
          <w:szCs w:val="11"/>
        </w:rPr>
        <w:t>［湖南省高级人民法院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2006)</w:t>
      </w:r>
      <w:r>
        <w:rPr>
          <w:color w:val="000000"/>
          <w:spacing w:val="0"/>
          <w:w w:val="100"/>
          <w:position w:val="0"/>
          <w:sz w:val="11"/>
          <w:szCs w:val="11"/>
        </w:rPr>
        <w:t>湘高法民再终字 第</w:t>
      </w:r>
      <w:r>
        <w:rPr>
          <w:rFonts w:ascii="Times New Roman" w:hAnsi="Times New Roman" w:eastAsia="Times New Roman" w:cs="Times New Roman"/>
          <w:color w:val="000000"/>
          <w:spacing w:val="0"/>
          <w:w w:val="100"/>
          <w:position w:val="0"/>
          <w:sz w:val="17"/>
          <w:szCs w:val="17"/>
        </w:rPr>
        <w:t>102</w:t>
      </w:r>
      <w:r>
        <w:rPr>
          <w:color w:val="000000"/>
          <w:spacing w:val="0"/>
          <w:w w:val="100"/>
          <w:position w:val="0"/>
          <w:sz w:val="11"/>
          <w:szCs w:val="11"/>
        </w:rPr>
        <w:t>号民事判决书］</w:t>
      </w:r>
      <w:r>
        <w:rPr>
          <w:color w:val="000000"/>
          <w:spacing w:val="0"/>
          <w:w w:val="100"/>
          <w:position w:val="0"/>
        </w:rPr>
        <w:t>为由判令被告败诉。或许正因为该案的刺激，最高人民法院在面对情形 类似的本案时没有再发回地方,而是亲自审理、彻底改判，就举证责任倒置的规范含义及如 何适用作出明确指引。</w:t>
      </w:r>
    </w:p>
    <w:p w14:paraId="3E79144B">
      <w:pPr>
        <w:pStyle w:val="17"/>
        <w:keepNext w:val="0"/>
        <w:keepLines w:val="0"/>
        <w:widowControl w:val="0"/>
        <w:shd w:val="clear" w:color="auto" w:fill="auto"/>
        <w:bidi w:val="0"/>
        <w:spacing w:before="0" w:after="260" w:line="333" w:lineRule="exact"/>
        <w:ind w:left="0" w:right="0" w:firstLine="420"/>
        <w:jc w:val="both"/>
      </w:pPr>
      <w:r>
        <w:rPr>
          <w:color w:val="000000"/>
          <w:spacing w:val="0"/>
          <w:w w:val="100"/>
          <w:position w:val="0"/>
        </w:rPr>
        <w:t>然而，如前所述,本案处理</w:t>
      </w:r>
      <w:r>
        <w:rPr>
          <w:color w:val="000000"/>
          <w:spacing w:val="0"/>
          <w:w w:val="100"/>
          <w:position w:val="0"/>
          <w:lang w:val="zh-CN" w:eastAsia="zh-CN" w:bidi="zh-CN"/>
        </w:rPr>
        <w:t>“正确</w:t>
      </w:r>
      <w:r>
        <w:rPr>
          <w:color w:val="000000"/>
          <w:spacing w:val="0"/>
          <w:w w:val="100"/>
          <w:position w:val="0"/>
        </w:rPr>
        <w:t>”的前提是因果关系确有可能,而这种可能性是通过双 方证据的</w:t>
      </w:r>
      <w:r>
        <w:rPr>
          <w:color w:val="000000"/>
          <w:spacing w:val="0"/>
          <w:w w:val="100"/>
          <w:position w:val="0"/>
          <w:lang w:val="zh-CN" w:eastAsia="zh-CN" w:bidi="zh-CN"/>
        </w:rPr>
        <w:t>“攻防”共</w:t>
      </w:r>
      <w:r>
        <w:rPr>
          <w:color w:val="000000"/>
          <w:spacing w:val="0"/>
          <w:w w:val="100"/>
          <w:position w:val="0"/>
        </w:rPr>
        <w:t>同形成的。一旦场域转换到可能性不那么大的情形，一旦失去双方举证 这一必要机制,仅仅举证责任倒置的推导还能否做到公平公正、让人信服，不无疑问。随着 相关探讨的增多，以及越来越多地方</w:t>
      </w:r>
      <w:r>
        <w:rPr>
          <w:color w:val="000000"/>
          <w:spacing w:val="0"/>
          <w:w w:val="100"/>
          <w:position w:val="0"/>
          <w:lang w:val="zh-CN" w:eastAsia="zh-CN" w:bidi="zh-CN"/>
        </w:rPr>
        <w:t>“抵制”的</w:t>
      </w:r>
      <w:r>
        <w:rPr>
          <w:color w:val="000000"/>
          <w:spacing w:val="0"/>
          <w:w w:val="100"/>
          <w:position w:val="0"/>
        </w:rPr>
        <w:t>披露，最高人民法院已认识到纯粹举证责任 倒置的缺陷，开始要求原告适度举证。最高人民法院《关于全面加强环境资源审判工作为 推进生态文明建设提供有力司法保障的意见》［法发</w:t>
      </w:r>
      <w:r>
        <w:rPr>
          <w:rFonts w:ascii="Times New Roman" w:hAnsi="Times New Roman" w:eastAsia="Times New Roman" w:cs="Times New Roman"/>
          <w:color w:val="000000"/>
          <w:spacing w:val="0"/>
          <w:w w:val="100"/>
          <w:position w:val="0"/>
          <w:sz w:val="19"/>
          <w:szCs w:val="19"/>
        </w:rPr>
        <w:t>(2014)11</w:t>
      </w:r>
      <w:r>
        <w:rPr>
          <w:color w:val="000000"/>
          <w:spacing w:val="0"/>
          <w:w w:val="100"/>
          <w:position w:val="0"/>
        </w:rPr>
        <w:t>号］要求原告“提交污染行为 和损害之间可能存在因果关系的初步证据</w:t>
      </w:r>
      <w:r>
        <w:rPr>
          <w:color w:val="000000"/>
          <w:spacing w:val="0"/>
          <w:w w:val="100"/>
          <w:position w:val="0"/>
          <w:lang w:val="zh-CN" w:eastAsia="zh-CN" w:bidi="zh-CN"/>
        </w:rPr>
        <w:t>”，最</w:t>
      </w:r>
      <w:r>
        <w:rPr>
          <w:color w:val="000000"/>
          <w:spacing w:val="0"/>
          <w:w w:val="100"/>
          <w:position w:val="0"/>
        </w:rPr>
        <w:t>高人民法院《关于审理环境侵权责任纠纷案 件适用法律若干问题的解释》</w:t>
      </w:r>
      <w:r>
        <w:rPr>
          <w:color w:val="000000"/>
          <w:spacing w:val="0"/>
          <w:w w:val="100"/>
          <w:position w:val="0"/>
          <w:lang w:val="en-US" w:eastAsia="en-US" w:bidi="en-US"/>
        </w:rPr>
        <w:t>［</w:t>
      </w:r>
      <w:r>
        <w:rPr>
          <w:color w:val="000000"/>
          <w:spacing w:val="0"/>
          <w:w w:val="100"/>
          <w:position w:val="0"/>
        </w:rPr>
        <w:t>法释</w:t>
      </w:r>
      <w:r>
        <w:rPr>
          <w:rFonts w:ascii="Times New Roman" w:hAnsi="Times New Roman" w:eastAsia="Times New Roman" w:cs="Times New Roman"/>
          <w:color w:val="000000"/>
          <w:spacing w:val="0"/>
          <w:w w:val="100"/>
          <w:position w:val="0"/>
          <w:sz w:val="19"/>
          <w:szCs w:val="19"/>
        </w:rPr>
        <w:t>(2015) 12</w:t>
      </w:r>
      <w:r>
        <w:rPr>
          <w:color w:val="000000"/>
          <w:spacing w:val="0"/>
          <w:w w:val="100"/>
          <w:position w:val="0"/>
        </w:rPr>
        <w:t>号］(以下简称《环境侵权司法解释》)更明确 要求被侵权人证明其损害与污染者排污之间的“关联性</w:t>
      </w:r>
      <w:r>
        <w:rPr>
          <w:color w:val="000000"/>
          <w:spacing w:val="0"/>
          <w:w w:val="100"/>
          <w:position w:val="0"/>
          <w:lang w:val="zh-CN" w:eastAsia="zh-CN" w:bidi="zh-CN"/>
        </w:rPr>
        <w:t>”，在</w:t>
      </w:r>
      <w:r>
        <w:rPr>
          <w:color w:val="000000"/>
          <w:spacing w:val="0"/>
          <w:w w:val="100"/>
          <w:position w:val="0"/>
        </w:rPr>
        <w:t>司法规则层面向实质上的</w:t>
      </w:r>
      <w:r>
        <w:rPr>
          <w:color w:val="000000"/>
          <w:spacing w:val="0"/>
          <w:w w:val="100"/>
          <w:position w:val="0"/>
          <w:lang w:val="zh-CN" w:eastAsia="zh-CN" w:bidi="zh-CN"/>
        </w:rPr>
        <w:t xml:space="preserve">“因 </w:t>
      </w:r>
      <w:r>
        <w:rPr>
          <w:color w:val="000000"/>
          <w:spacing w:val="0"/>
          <w:w w:val="100"/>
          <w:position w:val="0"/>
        </w:rPr>
        <w:t>果关系推定说</w:t>
      </w:r>
      <w:r>
        <w:rPr>
          <w:color w:val="000000"/>
          <w:spacing w:val="0"/>
          <w:w w:val="100"/>
          <w:position w:val="0"/>
          <w:lang w:val="zh-CN" w:eastAsia="zh-CN" w:bidi="zh-CN"/>
        </w:rPr>
        <w:t>”转</w:t>
      </w:r>
      <w:r>
        <w:rPr>
          <w:color w:val="000000"/>
          <w:spacing w:val="0"/>
          <w:w w:val="100"/>
          <w:position w:val="0"/>
        </w:rPr>
        <w:t>向。</w:t>
      </w:r>
    </w:p>
    <w:p w14:paraId="5496BF48">
      <w:pPr>
        <w:pStyle w:val="17"/>
        <w:keepNext w:val="0"/>
        <w:keepLines w:val="0"/>
        <w:widowControl w:val="0"/>
        <w:shd w:val="clear" w:color="auto" w:fill="auto"/>
        <w:bidi w:val="0"/>
        <w:spacing w:before="0" w:after="40" w:line="360" w:lineRule="auto"/>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E</w:t>
      </w:r>
      <w:r>
        <w:rPr>
          <w:color w:val="000000"/>
          <w:spacing w:val="0"/>
          <w:w w:val="100"/>
          <w:position w:val="0"/>
        </w:rPr>
        <w:t>本判决的参考意义及将来的课题</w:t>
      </w:r>
    </w:p>
    <w:p w14:paraId="45466CD7">
      <w:pPr>
        <w:pStyle w:val="17"/>
        <w:keepNext w:val="0"/>
        <w:keepLines w:val="0"/>
        <w:widowControl w:val="0"/>
        <w:shd w:val="clear" w:color="auto" w:fill="auto"/>
        <w:bidi w:val="0"/>
        <w:spacing w:before="0" w:after="360" w:line="333" w:lineRule="exact"/>
        <w:ind w:left="0" w:right="0"/>
        <w:jc w:val="both"/>
        <w:sectPr>
          <w:headerReference r:id="rId578" w:type="default"/>
          <w:headerReference r:id="rId579" w:type="even"/>
          <w:footnotePr>
            <w:numFmt w:val="chicago"/>
          </w:footnotePr>
          <w:pgSz w:w="10099" w:h="14782"/>
          <w:pgMar w:top="1334" w:right="1085" w:bottom="1099" w:left="1025" w:header="0" w:footer="3" w:gutter="0"/>
          <w:pgNumType w:start="490"/>
          <w:cols w:space="720" w:num="1"/>
          <w:rtlGutter w:val="0"/>
          <w:docGrid w:linePitch="360" w:charSpace="0"/>
        </w:sectPr>
      </w:pPr>
      <w:r>
        <w:rPr>
          <w:color w:val="000000"/>
          <w:spacing w:val="0"/>
          <w:w w:val="100"/>
          <w:position w:val="0"/>
        </w:rPr>
        <w:t xml:space="preserve">本判决中，法院对举证责任倒置操作的演示，以及对被告如未证成即须担责的强调，都 </w:t>
      </w:r>
    </w:p>
    <w:p w14:paraId="6AAF5B68">
      <w:pPr>
        <w:pStyle w:val="17"/>
        <w:keepNext w:val="0"/>
        <w:keepLines w:val="0"/>
        <w:widowControl w:val="0"/>
        <w:shd w:val="clear" w:color="auto" w:fill="auto"/>
        <w:bidi w:val="0"/>
        <w:spacing w:before="0" w:after="360" w:line="333" w:lineRule="exact"/>
        <w:ind w:left="0" w:right="0" w:firstLine="0"/>
        <w:jc w:val="both"/>
      </w:pPr>
      <w:r>
        <w:rPr>
          <w:color w:val="000000"/>
          <w:spacing w:val="0"/>
          <w:w w:val="100"/>
          <w:position w:val="0"/>
        </w:rPr>
        <w:t>具有积极意义。但制度层面的真正价值，却在于对本案实施举证倒置的现实背景</w:t>
      </w:r>
      <w:r>
        <w:rPr>
          <w:color w:val="000000"/>
          <w:spacing w:val="0"/>
          <w:w w:val="100"/>
          <w:position w:val="0"/>
          <w:lang w:val="en-US" w:eastAsia="en-US" w:bidi="en-US"/>
        </w:rPr>
        <w:t>一一</w:t>
      </w:r>
      <w:r>
        <w:rPr>
          <w:color w:val="000000"/>
          <w:spacing w:val="0"/>
          <w:w w:val="100"/>
          <w:position w:val="0"/>
          <w:lang w:val="zh-CN" w:eastAsia="zh-CN" w:bidi="zh-CN"/>
        </w:rPr>
        <w:t xml:space="preserve">“位 </w:t>
      </w:r>
      <w:r>
        <w:rPr>
          <w:color w:val="000000"/>
          <w:spacing w:val="0"/>
          <w:w w:val="100"/>
          <w:position w:val="0"/>
        </w:rPr>
        <w:t>于上游的五家企业污染了水源，同时段,下游约六公里的养殖场发生了饲养物非正常死亡 的后果”——的阐述。这一表述背后隐含的</w:t>
      </w:r>
      <w:r>
        <w:rPr>
          <w:color w:val="000000"/>
          <w:spacing w:val="0"/>
          <w:w w:val="100"/>
          <w:position w:val="0"/>
          <w:lang w:val="zh-CN" w:eastAsia="zh-CN" w:bidi="zh-CN"/>
        </w:rPr>
        <w:t>“依常</w:t>
      </w:r>
      <w:r>
        <w:rPr>
          <w:color w:val="000000"/>
          <w:spacing w:val="0"/>
          <w:w w:val="100"/>
          <w:position w:val="0"/>
        </w:rPr>
        <w:t>理很有可能”，既关乎举证倒置的前提条 件,又指向</w:t>
      </w:r>
      <w:r>
        <w:rPr>
          <w:color w:val="000000"/>
          <w:spacing w:val="0"/>
          <w:w w:val="100"/>
          <w:position w:val="0"/>
          <w:lang w:val="zh-CN" w:eastAsia="zh-CN" w:bidi="zh-CN"/>
        </w:rPr>
        <w:t>“关联</w:t>
      </w:r>
      <w:r>
        <w:rPr>
          <w:color w:val="000000"/>
          <w:spacing w:val="0"/>
          <w:w w:val="100"/>
          <w:position w:val="0"/>
        </w:rPr>
        <w:t>性”证明的具体判准，正是解决此类案件最需明确的关键。遗憾的是，判决 未就此做正面阐述、集中论证，而是急于挥舞倒置大棒，从而丧失了一次明确界定</w:t>
      </w:r>
      <w:r>
        <w:rPr>
          <w:color w:val="000000"/>
          <w:spacing w:val="0"/>
          <w:w w:val="100"/>
          <w:position w:val="0"/>
          <w:lang w:val="zh-CN" w:eastAsia="zh-CN" w:bidi="zh-CN"/>
        </w:rPr>
        <w:t xml:space="preserve">“推定”标 </w:t>
      </w:r>
      <w:r>
        <w:rPr>
          <w:color w:val="000000"/>
          <w:spacing w:val="0"/>
          <w:w w:val="100"/>
          <w:position w:val="0"/>
        </w:rPr>
        <w:t>准与</w:t>
      </w:r>
      <w:r>
        <w:rPr>
          <w:color w:val="000000"/>
          <w:spacing w:val="0"/>
          <w:w w:val="100"/>
          <w:position w:val="0"/>
          <w:lang w:val="zh-CN" w:eastAsia="zh-CN" w:bidi="zh-CN"/>
        </w:rPr>
        <w:t>“倒置”前</w:t>
      </w:r>
      <w:r>
        <w:rPr>
          <w:color w:val="000000"/>
          <w:spacing w:val="0"/>
          <w:w w:val="100"/>
          <w:position w:val="0"/>
        </w:rPr>
        <w:t>提的良机。在《环境侵权司法解释》要求原告证明</w:t>
      </w:r>
      <w:r>
        <w:rPr>
          <w:color w:val="000000"/>
          <w:spacing w:val="0"/>
          <w:w w:val="100"/>
          <w:position w:val="0"/>
          <w:lang w:val="zh-CN" w:eastAsia="zh-CN" w:bidi="zh-CN"/>
        </w:rPr>
        <w:t>“关联</w:t>
      </w:r>
      <w:r>
        <w:rPr>
          <w:color w:val="000000"/>
          <w:spacing w:val="0"/>
          <w:w w:val="100"/>
          <w:position w:val="0"/>
        </w:rPr>
        <w:t>性”却未做具体指引 的情况下，法院在因果关系判断上仍有过大空间,不无滥用隐患，犹待未来破解。</w:t>
      </w:r>
    </w:p>
    <w:p w14:paraId="330614B6">
      <w:pPr>
        <w:pStyle w:val="11"/>
        <w:keepNext w:val="0"/>
        <w:keepLines w:val="0"/>
        <w:widowControl w:val="0"/>
        <w:shd w:val="clear" w:color="auto" w:fill="auto"/>
        <w:bidi w:val="0"/>
        <w:spacing w:before="0" w:after="60" w:line="340" w:lineRule="exact"/>
        <w:ind w:left="0" w:right="0" w:firstLine="0"/>
        <w:jc w:val="left"/>
      </w:pPr>
      <w:r>
        <w:rPr>
          <w:color w:val="000000"/>
          <w:spacing w:val="0"/>
          <w:w w:val="100"/>
          <w:position w:val="0"/>
        </w:rPr>
        <w:t>回参考文献</w:t>
      </w:r>
    </w:p>
    <w:p w14:paraId="502CA49F">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王利明：《侵权责任法研究》（下卷），中国人民大学出版社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498C16DD">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周友军：《侵权法学》，中国人民大学出版社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6538C4B2">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rPr>
        <w:t>年版。</w:t>
      </w:r>
    </w:p>
    <w:p w14:paraId="0F32D7BC">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杨立新:《侵权责任法》（第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版），法律出版社</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年版。</w:t>
      </w:r>
    </w:p>
    <w:p w14:paraId="78FAE6AE">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杨素娟：《论环境侵权诉讼中的因果关系推定》，载《法学评论》</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7A0D896A">
      <w:pPr>
        <w:pStyle w:val="33"/>
        <w:keepNext w:val="0"/>
        <w:keepLines w:val="0"/>
        <w:widowControl w:val="0"/>
        <w:shd w:val="clear" w:color="auto" w:fill="auto"/>
        <w:bidi w:val="0"/>
        <w:spacing w:before="0" w:after="0" w:line="312" w:lineRule="exact"/>
        <w:ind w:left="200" w:right="0" w:hanging="200"/>
        <w:jc w:val="both"/>
      </w:pPr>
      <w:r>
        <w:rPr>
          <w:color w:val="000000"/>
          <w:spacing w:val="0"/>
          <w:w w:val="100"/>
          <w:position w:val="0"/>
        </w:rPr>
        <w:t>王社坤：《环境侵权因果关系举证责任分配研究</w:t>
      </w:r>
      <w:r>
        <w:rPr>
          <w:color w:val="000000"/>
          <w:spacing w:val="0"/>
          <w:w w:val="100"/>
          <w:position w:val="0"/>
          <w:lang w:val="en-US" w:eastAsia="en-US" w:bidi="en-US"/>
        </w:rPr>
        <w:t>一一</w:t>
      </w:r>
      <w:r>
        <w:rPr>
          <w:color w:val="000000"/>
          <w:spacing w:val="0"/>
          <w:w w:val="100"/>
          <w:position w:val="0"/>
        </w:rPr>
        <w:t>兼论〈侵权责任法〉第</w:t>
      </w:r>
      <w:r>
        <w:rPr>
          <w:rFonts w:ascii="Times New Roman" w:hAnsi="Times New Roman" w:eastAsia="Times New Roman" w:cs="Times New Roman"/>
          <w:color w:val="000000"/>
          <w:spacing w:val="0"/>
          <w:w w:val="100"/>
          <w:position w:val="0"/>
          <w:sz w:val="17"/>
          <w:szCs w:val="17"/>
        </w:rPr>
        <w:t>66</w:t>
      </w:r>
      <w:r>
        <w:rPr>
          <w:color w:val="000000"/>
          <w:spacing w:val="0"/>
          <w:w w:val="100"/>
          <w:position w:val="0"/>
        </w:rPr>
        <w:t>条的理解与适用》，载《河 北法学》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1E6961ED">
      <w:pPr>
        <w:pStyle w:val="33"/>
        <w:keepNext w:val="0"/>
        <w:keepLines w:val="0"/>
        <w:widowControl w:val="0"/>
        <w:shd w:val="clear" w:color="auto" w:fill="auto"/>
        <w:bidi w:val="0"/>
        <w:spacing w:before="0" w:after="0" w:line="312" w:lineRule="exact"/>
        <w:ind w:left="0" w:right="0" w:firstLine="0"/>
        <w:jc w:val="both"/>
      </w:pPr>
      <w:r>
        <w:rPr>
          <w:color w:val="000000"/>
          <w:spacing w:val="0"/>
          <w:w w:val="100"/>
          <w:position w:val="0"/>
        </w:rPr>
        <w:t>吕忠梅等：《中国环境司法现状调查——以千份环境裁判文书为样本》，载《法学》</w:t>
      </w:r>
      <w:r>
        <w:rPr>
          <w:rFonts w:ascii="Times New Roman" w:hAnsi="Times New Roman" w:eastAsia="Times New Roman" w:cs="Times New Roman"/>
          <w:color w:val="000000"/>
          <w:spacing w:val="0"/>
          <w:w w:val="100"/>
          <w:position w:val="0"/>
          <w:sz w:val="17"/>
          <w:szCs w:val="17"/>
        </w:rPr>
        <w:t>2011</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4</w:t>
      </w:r>
      <w:r>
        <w:rPr>
          <w:color w:val="000000"/>
          <w:spacing w:val="0"/>
          <w:w w:val="100"/>
          <w:position w:val="0"/>
        </w:rPr>
        <w:t>期。</w:t>
      </w:r>
    </w:p>
    <w:p w14:paraId="1E0A49FB">
      <w:pPr>
        <w:pStyle w:val="33"/>
        <w:keepNext w:val="0"/>
        <w:keepLines w:val="0"/>
        <w:widowControl w:val="0"/>
        <w:shd w:val="clear" w:color="auto" w:fill="auto"/>
        <w:bidi w:val="0"/>
        <w:spacing w:before="0" w:after="0" w:line="290" w:lineRule="exact"/>
        <w:ind w:left="200" w:right="0" w:hanging="200"/>
        <w:jc w:val="both"/>
      </w:pPr>
      <w:r>
        <w:rPr>
          <w:color w:val="000000"/>
          <w:spacing w:val="0"/>
          <w:w w:val="100"/>
          <w:position w:val="0"/>
        </w:rPr>
        <w:t>薄晓波:《倒置与推定:对我国环境污染侵权中因果关系证明方法的反思》，载《中国地质大学学报》（社 会科学版</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2F5A937">
      <w:pPr>
        <w:pStyle w:val="33"/>
        <w:keepNext w:val="0"/>
        <w:keepLines w:val="0"/>
        <w:widowControl w:val="0"/>
        <w:shd w:val="clear" w:color="auto" w:fill="auto"/>
        <w:bidi w:val="0"/>
        <w:spacing w:before="0" w:after="0" w:line="290" w:lineRule="exact"/>
        <w:ind w:left="0" w:right="0" w:firstLine="0"/>
        <w:jc w:val="both"/>
      </w:pPr>
      <w:r>
        <w:rPr>
          <w:color w:val="000000"/>
          <w:spacing w:val="0"/>
          <w:w w:val="100"/>
          <w:position w:val="0"/>
        </w:rPr>
        <w:t>胡学军：《环境侵权中的因果关系及其证明问题评析》，载《中国法学》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63E0F799">
      <w:pPr>
        <w:pStyle w:val="33"/>
        <w:keepNext w:val="0"/>
        <w:keepLines w:val="0"/>
        <w:widowControl w:val="0"/>
        <w:shd w:val="clear" w:color="auto" w:fill="auto"/>
        <w:bidi w:val="0"/>
        <w:spacing w:before="0" w:after="0" w:line="305" w:lineRule="exact"/>
        <w:ind w:left="200" w:right="0" w:hanging="200"/>
        <w:jc w:val="both"/>
        <w:sectPr>
          <w:headerReference r:id="rId580" w:type="default"/>
          <w:headerReference r:id="rId581" w:type="even"/>
          <w:footnotePr>
            <w:numFmt w:val="chicago"/>
          </w:footnotePr>
          <w:pgSz w:w="10099" w:h="14782"/>
          <w:pgMar w:top="1334" w:right="1085" w:bottom="1099" w:left="1025" w:header="0" w:footer="671" w:gutter="0"/>
          <w:pgNumType w:start="509"/>
          <w:cols w:space="720" w:num="1"/>
          <w:rtlGutter w:val="0"/>
          <w:docGrid w:linePitch="360" w:charSpace="0"/>
        </w:sectPr>
      </w:pPr>
      <w:r>
        <w:rPr>
          <w:color w:val="000000"/>
          <w:spacing w:val="0"/>
          <w:w w:val="100"/>
          <w:position w:val="0"/>
        </w:rPr>
        <w:t>张挺:《环境污染侵权因果关系证明责任之再构成——基于</w:t>
      </w:r>
      <w:r>
        <w:rPr>
          <w:rFonts w:ascii="Times New Roman" w:hAnsi="Times New Roman" w:eastAsia="Times New Roman" w:cs="Times New Roman"/>
          <w:color w:val="000000"/>
          <w:spacing w:val="0"/>
          <w:w w:val="100"/>
          <w:position w:val="0"/>
          <w:sz w:val="17"/>
          <w:szCs w:val="17"/>
        </w:rPr>
        <w:t>619</w:t>
      </w:r>
      <w:r>
        <w:rPr>
          <w:color w:val="000000"/>
          <w:spacing w:val="0"/>
          <w:w w:val="100"/>
          <w:position w:val="0"/>
        </w:rPr>
        <w:t>份相关民事判决书的实证分析》，载《法 学》</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4C54E799">
      <w:pPr>
        <w:widowControl w:val="0"/>
        <w:spacing w:line="176" w:lineRule="exact"/>
        <w:rPr>
          <w:sz w:val="14"/>
          <w:szCs w:val="14"/>
        </w:rPr>
      </w:pPr>
    </w:p>
    <w:p w14:paraId="60C0D8F0">
      <w:pPr>
        <w:widowControl w:val="0"/>
        <w:spacing w:line="1" w:lineRule="exact"/>
        <w:sectPr>
          <w:headerReference r:id="rId584" w:type="first"/>
          <w:headerReference r:id="rId582" w:type="default"/>
          <w:headerReference r:id="rId583" w:type="even"/>
          <w:footnotePr>
            <w:numFmt w:val="chicago"/>
          </w:footnotePr>
          <w:pgSz w:w="10099" w:h="14782"/>
          <w:pgMar w:top="1264" w:right="998" w:bottom="1122" w:left="1086" w:header="0" w:footer="3" w:gutter="0"/>
          <w:cols w:space="720" w:num="1"/>
          <w:titlePg/>
          <w:rtlGutter w:val="0"/>
          <w:docGrid w:linePitch="360" w:charSpace="0"/>
        </w:sectPr>
      </w:pPr>
    </w:p>
    <w:p w14:paraId="08B2327F">
      <w:pPr>
        <w:widowControl w:val="0"/>
        <w:spacing w:line="1" w:lineRule="exact"/>
      </w:pPr>
      <w:r>
        <w:drawing>
          <wp:anchor distT="0" distB="0" distL="114300" distR="1476375" simplePos="0" relativeHeight="251660288" behindDoc="0" locked="0" layoutInCell="1" allowOverlap="1">
            <wp:simplePos x="0" y="0"/>
            <wp:positionH relativeFrom="page">
              <wp:posOffset>750570</wp:posOffset>
            </wp:positionH>
            <wp:positionV relativeFrom="paragraph">
              <wp:posOffset>12700</wp:posOffset>
            </wp:positionV>
            <wp:extent cx="475615" cy="414655"/>
            <wp:effectExtent l="0" t="0" r="6985" b="4445"/>
            <wp:wrapTopAndBottom/>
            <wp:docPr id="1369" name="Shape 1369"/>
            <wp:cNvGraphicFramePr/>
            <a:graphic xmlns:a="http://schemas.openxmlformats.org/drawingml/2006/main">
              <a:graphicData uri="http://schemas.openxmlformats.org/drawingml/2006/picture">
                <pic:pic xmlns:pic="http://schemas.openxmlformats.org/drawingml/2006/picture">
                  <pic:nvPicPr>
                    <pic:cNvPr id="1369" name="Shape 1369"/>
                    <pic:cNvPicPr/>
                  </pic:nvPicPr>
                  <pic:blipFill>
                    <a:blip r:embed="rId719"/>
                    <a:stretch>
                      <a:fillRect/>
                    </a:stretch>
                  </pic:blipFill>
                  <pic:spPr>
                    <a:xfrm>
                      <a:off x="0" y="0"/>
                      <a:ext cx="475615" cy="414655"/>
                    </a:xfrm>
                    <a:prstGeom prst="rect">
                      <a:avLst/>
                    </a:prstGeom>
                  </pic:spPr>
                </pic:pic>
              </a:graphicData>
            </a:graphic>
          </wp:anchor>
        </w:drawing>
      </w:r>
      <w:r>
        <mc:AlternateContent>
          <mc:Choice Requires="wps">
            <w:drawing>
              <wp:anchor distT="133985" distB="41275" distL="723900" distR="114300" simplePos="0" relativeHeight="251660288" behindDoc="0" locked="0" layoutInCell="1" allowOverlap="1">
                <wp:simplePos x="0" y="0"/>
                <wp:positionH relativeFrom="page">
                  <wp:posOffset>1360170</wp:posOffset>
                </wp:positionH>
                <wp:positionV relativeFrom="paragraph">
                  <wp:posOffset>146685</wp:posOffset>
                </wp:positionV>
                <wp:extent cx="1228090" cy="236220"/>
                <wp:effectExtent l="0" t="0" r="0" b="0"/>
                <wp:wrapTopAndBottom/>
                <wp:docPr id="1371" name="Shape 1371"/>
                <wp:cNvGraphicFramePr/>
                <a:graphic xmlns:a="http://schemas.openxmlformats.org/drawingml/2006/main">
                  <a:graphicData uri="http://schemas.microsoft.com/office/word/2010/wordprocessingShape">
                    <wps:wsp>
                      <wps:cNvSpPr txBox="1"/>
                      <wps:spPr>
                        <a:xfrm>
                          <a:off x="0" y="0"/>
                          <a:ext cx="1228090" cy="236220"/>
                        </a:xfrm>
                        <a:prstGeom prst="rect">
                          <a:avLst/>
                        </a:prstGeom>
                        <a:noFill/>
                      </wps:spPr>
                      <wps:txbx>
                        <w:txbxContent>
                          <w:p w14:paraId="6273B86D">
                            <w:pPr>
                              <w:pStyle w:val="15"/>
                              <w:keepNext/>
                              <w:keepLines/>
                              <w:widowControl w:val="0"/>
                              <w:shd w:val="clear" w:color="auto" w:fill="auto"/>
                              <w:bidi w:val="0"/>
                              <w:spacing w:before="0" w:after="0" w:line="240" w:lineRule="auto"/>
                              <w:ind w:left="0" w:right="0" w:firstLine="0"/>
                              <w:jc w:val="left"/>
                            </w:pPr>
                            <w:bookmarkStart w:id="636" w:name="bookmark631"/>
                            <w:bookmarkStart w:id="637" w:name="bookmark632"/>
                            <w:bookmarkStart w:id="638" w:name="bookmark633"/>
                            <w:r>
                              <w:rPr>
                                <w:color w:val="000000"/>
                                <w:spacing w:val="0"/>
                                <w:w w:val="100"/>
                                <w:position w:val="0"/>
                              </w:rPr>
                              <w:t>动物侵权责任</w:t>
                            </w:r>
                            <w:bookmarkEnd w:id="636"/>
                            <w:bookmarkEnd w:id="637"/>
                            <w:bookmarkEnd w:id="638"/>
                          </w:p>
                        </w:txbxContent>
                      </wps:txbx>
                      <wps:bodyPr wrap="none" lIns="0" tIns="0" rIns="0" bIns="0">
                        <a:noAutofit/>
                      </wps:bodyPr>
                    </wps:wsp>
                  </a:graphicData>
                </a:graphic>
              </wp:anchor>
            </w:drawing>
          </mc:Choice>
          <mc:Fallback>
            <w:pict>
              <v:shape id="Shape 1371" o:spid="_x0000_s1026" o:spt="202" type="#_x0000_t202" style="position:absolute;left:0pt;margin-left:107.1pt;margin-top:11.55pt;height:18.6pt;width:96.7pt;mso-position-horizontal-relative:page;mso-wrap-distance-bottom:3.25pt;mso-wrap-distance-top:10.55pt;mso-wrap-style:none;z-index:251660288;mso-width-relative:page;mso-height-relative:page;" filled="f" stroked="f" coordsize="21600,21600" o:gfxdata="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Q6jaNcA&#10;AAAJAQAADwAAAAAAAAABACAAAAAiAAAAZHJzL2Rvd25yZXYueG1sUEsBAhQAFAAAAAgAh07iQGFN&#10;CtCuAQAAdgMAAA4AAAAAAAAAAQAgAAAAJgEAAGRycy9lMm9Eb2MueG1sUEsFBgAAAAAGAAYAWQEA&#10;AEYFAAAAAA==&#10;">
                <v:fill on="f" focussize="0,0"/>
                <v:stroke on="f"/>
                <v:imagedata o:title=""/>
                <o:lock v:ext="edit" aspectratio="f"/>
                <v:textbox inset="0mm,0mm,0mm,0mm">
                  <w:txbxContent>
                    <w:p w14:paraId="6273B86D">
                      <w:pPr>
                        <w:pStyle w:val="15"/>
                        <w:keepNext/>
                        <w:keepLines/>
                        <w:widowControl w:val="0"/>
                        <w:shd w:val="clear" w:color="auto" w:fill="auto"/>
                        <w:bidi w:val="0"/>
                        <w:spacing w:before="0" w:after="0" w:line="240" w:lineRule="auto"/>
                        <w:ind w:left="0" w:right="0" w:firstLine="0"/>
                        <w:jc w:val="left"/>
                      </w:pPr>
                      <w:bookmarkStart w:id="636" w:name="bookmark631"/>
                      <w:bookmarkStart w:id="637" w:name="bookmark632"/>
                      <w:bookmarkStart w:id="638" w:name="bookmark633"/>
                      <w:r>
                        <w:rPr>
                          <w:color w:val="000000"/>
                          <w:spacing w:val="0"/>
                          <w:w w:val="100"/>
                          <w:position w:val="0"/>
                        </w:rPr>
                        <w:t>动物侵权责任</w:t>
                      </w:r>
                      <w:bookmarkEnd w:id="636"/>
                      <w:bookmarkEnd w:id="637"/>
                      <w:bookmarkEnd w:id="638"/>
                    </w:p>
                  </w:txbxContent>
                </v:textbox>
                <w10:wrap type="topAndBottom"/>
              </v:shape>
            </w:pict>
          </mc:Fallback>
        </mc:AlternateContent>
      </w:r>
      <w:r>
        <w:drawing>
          <wp:anchor distT="0" distB="0" distL="114300" distR="114300" simplePos="0" relativeHeight="251660288" behindDoc="0" locked="0" layoutInCell="1" allowOverlap="1">
            <wp:simplePos x="0" y="0"/>
            <wp:positionH relativeFrom="page">
              <wp:posOffset>5191760</wp:posOffset>
            </wp:positionH>
            <wp:positionV relativeFrom="paragraph">
              <wp:posOffset>307975</wp:posOffset>
            </wp:positionV>
            <wp:extent cx="542290" cy="542290"/>
            <wp:effectExtent l="0" t="0" r="3810" b="3810"/>
            <wp:wrapSquare wrapText="left"/>
            <wp:docPr id="1373" name="Shape 1373"/>
            <wp:cNvGraphicFramePr/>
            <a:graphic xmlns:a="http://schemas.openxmlformats.org/drawingml/2006/main">
              <a:graphicData uri="http://schemas.openxmlformats.org/drawingml/2006/picture">
                <pic:pic xmlns:pic="http://schemas.openxmlformats.org/drawingml/2006/picture">
                  <pic:nvPicPr>
                    <pic:cNvPr id="1373" name="Shape 1373"/>
                    <pic:cNvPicPr/>
                  </pic:nvPicPr>
                  <pic:blipFill>
                    <a:blip r:embed="rId720"/>
                    <a:stretch>
                      <a:fillRect/>
                    </a:stretch>
                  </pic:blipFill>
                  <pic:spPr>
                    <a:xfrm>
                      <a:off x="0" y="0"/>
                      <a:ext cx="542290" cy="542290"/>
                    </a:xfrm>
                    <a:prstGeom prst="rect">
                      <a:avLst/>
                    </a:prstGeom>
                  </pic:spPr>
                </pic:pic>
              </a:graphicData>
            </a:graphic>
          </wp:anchor>
        </w:drawing>
      </w:r>
    </w:p>
    <w:p w14:paraId="4DCC74DC">
      <w:pPr>
        <w:pStyle w:val="17"/>
        <w:keepNext w:val="0"/>
        <w:keepLines w:val="0"/>
        <w:widowControl w:val="0"/>
        <w:shd w:val="clear" w:color="auto" w:fill="auto"/>
        <w:bidi w:val="0"/>
        <w:spacing w:before="0" w:after="80" w:line="240" w:lineRule="auto"/>
        <w:ind w:left="0" w:right="0" w:firstLine="0"/>
        <w:jc w:val="center"/>
      </w:pPr>
      <w:r>
        <w:rPr>
          <w:color w:val="000000"/>
          <w:spacing w:val="0"/>
          <w:w w:val="100"/>
          <w:position w:val="0"/>
        </w:rPr>
        <w:t>欧丽珍诉高燕饲养动物损害责任纠纷案丨《最高人民法院公报》</w:t>
      </w:r>
    </w:p>
    <w:p w14:paraId="4F779189">
      <w:pPr>
        <w:pStyle w:val="17"/>
        <w:keepNext w:val="0"/>
        <w:keepLines w:val="0"/>
        <w:widowControl w:val="0"/>
        <w:shd w:val="clear" w:color="auto" w:fill="auto"/>
        <w:bidi w:val="0"/>
        <w:spacing w:before="0" w:after="360" w:line="240" w:lineRule="auto"/>
        <w:ind w:left="0" w:right="0" w:firstLine="980"/>
        <w:jc w:val="left"/>
      </w:pPr>
      <w:r>
        <w:rPr>
          <w:rFonts w:ascii="Times New Roman" w:hAnsi="Times New Roman" w:eastAsia="Times New Roman" w:cs="Times New Roman"/>
          <w:color w:val="000000"/>
          <w:spacing w:val="0"/>
          <w:w w:val="100"/>
          <w:position w:val="0"/>
          <w:sz w:val="19"/>
          <w:szCs w:val="19"/>
        </w:rPr>
        <w:t>2019</w:t>
      </w:r>
      <w:r>
        <w:rPr>
          <w:color w:val="000000"/>
          <w:spacing w:val="0"/>
          <w:w w:val="100"/>
          <w:position w:val="0"/>
        </w:rPr>
        <w:t>年第</w:t>
      </w:r>
      <w:r>
        <w:rPr>
          <w:rFonts w:ascii="Times New Roman" w:hAnsi="Times New Roman" w:eastAsia="Times New Roman" w:cs="Times New Roman"/>
          <w:color w:val="000000"/>
          <w:spacing w:val="0"/>
          <w:w w:val="100"/>
          <w:position w:val="0"/>
          <w:sz w:val="19"/>
          <w:szCs w:val="19"/>
        </w:rPr>
        <w:t>10</w:t>
      </w:r>
      <w:r>
        <w:rPr>
          <w:color w:val="000000"/>
          <w:spacing w:val="0"/>
          <w:w w:val="100"/>
          <w:position w:val="0"/>
        </w:rPr>
        <w:t>期（总第</w:t>
      </w:r>
      <w:r>
        <w:rPr>
          <w:rFonts w:ascii="Times New Roman" w:hAnsi="Times New Roman" w:eastAsia="Times New Roman" w:cs="Times New Roman"/>
          <w:color w:val="000000"/>
          <w:spacing w:val="0"/>
          <w:w w:val="100"/>
          <w:position w:val="0"/>
          <w:sz w:val="19"/>
          <w:szCs w:val="19"/>
        </w:rPr>
        <w:t>276</w:t>
      </w:r>
      <w:r>
        <w:rPr>
          <w:color w:val="000000"/>
          <w:spacing w:val="0"/>
          <w:w w:val="100"/>
          <w:position w:val="0"/>
        </w:rPr>
        <w:t>期）</w:t>
      </w:r>
    </w:p>
    <w:p w14:paraId="5031094C">
      <w:pPr>
        <w:pStyle w:val="33"/>
        <w:keepNext w:val="0"/>
        <w:keepLines w:val="0"/>
        <w:widowControl w:val="0"/>
        <w:shd w:val="clear" w:color="auto" w:fill="auto"/>
        <w:bidi w:val="0"/>
        <w:spacing w:before="0" w:after="1360" w:line="240" w:lineRule="auto"/>
        <w:ind w:left="0" w:right="0" w:firstLine="0"/>
        <w:jc w:val="right"/>
      </w:pPr>
      <w:r>
        <w:rPr>
          <w:color w:val="000000"/>
          <w:spacing w:val="0"/>
          <w:w w:val="100"/>
          <w:position w:val="0"/>
          <w:sz w:val="18"/>
          <w:szCs w:val="18"/>
        </w:rPr>
        <w:t>季若望</w:t>
      </w:r>
      <w:r>
        <w:rPr>
          <w:color w:val="000000"/>
          <w:spacing w:val="0"/>
          <w:w w:val="100"/>
          <w:position w:val="0"/>
        </w:rPr>
        <w:t>浙江工商大学法学院</w:t>
      </w:r>
    </w:p>
    <w:p w14:paraId="63D396B3">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事实概要</w:t>
      </w:r>
    </w:p>
    <w:p w14:paraId="25FAF78D">
      <w:pPr>
        <w:pStyle w:val="17"/>
        <w:keepNext w:val="0"/>
        <w:keepLines w:val="0"/>
        <w:widowControl w:val="0"/>
        <w:shd w:val="clear" w:color="auto" w:fill="auto"/>
        <w:bidi w:val="0"/>
        <w:spacing w:before="0" w:after="0" w:line="339" w:lineRule="exact"/>
        <w:ind w:left="0" w:right="0" w:firstLine="420"/>
        <w:jc w:val="both"/>
      </w:pPr>
      <w:r>
        <w:rPr>
          <w:rFonts w:ascii="Times New Roman" w:hAnsi="Times New Roman" w:eastAsia="Times New Roman" w:cs="Times New Roman"/>
          <w:color w:val="000000"/>
          <w:spacing w:val="0"/>
          <w:w w:val="100"/>
          <w:position w:val="0"/>
          <w:sz w:val="19"/>
          <w:szCs w:val="19"/>
        </w:rPr>
        <w:t>2017</w:t>
      </w:r>
      <w:r>
        <w:rPr>
          <w:color w:val="000000"/>
          <w:spacing w:val="0"/>
          <w:w w:val="100"/>
          <w:position w:val="0"/>
        </w:rPr>
        <w:t>年</w:t>
      </w:r>
      <w:r>
        <w:rPr>
          <w:rFonts w:ascii="Times New Roman" w:hAnsi="Times New Roman" w:eastAsia="Times New Roman" w:cs="Times New Roman"/>
          <w:color w:val="000000"/>
          <w:spacing w:val="0"/>
          <w:w w:val="100"/>
          <w:position w:val="0"/>
          <w:sz w:val="19"/>
          <w:szCs w:val="19"/>
        </w:rPr>
        <w:t>8</w:t>
      </w:r>
      <w:r>
        <w:rPr>
          <w:color w:val="000000"/>
          <w:spacing w:val="0"/>
          <w:w w:val="100"/>
          <w:position w:val="0"/>
        </w:rPr>
        <w:t>月</w:t>
      </w:r>
      <w:r>
        <w:rPr>
          <w:rFonts w:ascii="Times New Roman" w:hAnsi="Times New Roman" w:eastAsia="Times New Roman" w:cs="Times New Roman"/>
          <w:color w:val="000000"/>
          <w:spacing w:val="0"/>
          <w:w w:val="100"/>
          <w:position w:val="0"/>
          <w:sz w:val="19"/>
          <w:szCs w:val="19"/>
        </w:rPr>
        <w:t>13</w:t>
      </w:r>
      <w:r>
        <w:rPr>
          <w:color w:val="000000"/>
          <w:spacing w:val="0"/>
          <w:w w:val="100"/>
          <w:position w:val="0"/>
        </w:rPr>
        <w:t>日</w:t>
      </w:r>
      <w:r>
        <w:rPr>
          <w:rFonts w:ascii="Times New Roman" w:hAnsi="Times New Roman" w:eastAsia="Times New Roman" w:cs="Times New Roman"/>
          <w:color w:val="000000"/>
          <w:spacing w:val="0"/>
          <w:w w:val="100"/>
          <w:position w:val="0"/>
          <w:sz w:val="19"/>
          <w:szCs w:val="19"/>
        </w:rPr>
        <w:t>19</w:t>
      </w:r>
      <w:r>
        <w:rPr>
          <w:color w:val="000000"/>
          <w:spacing w:val="0"/>
          <w:w w:val="100"/>
          <w:position w:val="0"/>
        </w:rPr>
        <w:t>时许,原告欧丽珍在丈夫陪同下徒步经台山市一公共人行道时，遇 趴在台阶上休息的由高燕饲养的一只棕色</w:t>
      </w:r>
      <w:r>
        <w:rPr>
          <w:color w:val="000000"/>
          <w:spacing w:val="0"/>
          <w:w w:val="100"/>
          <w:position w:val="0"/>
          <w:lang w:val="zh-CN" w:eastAsia="zh-CN" w:bidi="zh-CN"/>
        </w:rPr>
        <w:t>“泰</w:t>
      </w:r>
      <w:r>
        <w:rPr>
          <w:color w:val="000000"/>
          <w:spacing w:val="0"/>
          <w:w w:val="100"/>
          <w:position w:val="0"/>
        </w:rPr>
        <w:t>迪犬”;“泰迪犬</w:t>
      </w:r>
      <w:r>
        <w:rPr>
          <w:color w:val="000000"/>
          <w:spacing w:val="0"/>
          <w:w w:val="100"/>
          <w:position w:val="0"/>
          <w:lang w:val="zh-CN" w:eastAsia="zh-CN" w:bidi="zh-CN"/>
        </w:rPr>
        <w:t>”见欧</w:t>
      </w:r>
      <w:r>
        <w:rPr>
          <w:color w:val="000000"/>
          <w:spacing w:val="0"/>
          <w:w w:val="100"/>
          <w:position w:val="0"/>
        </w:rPr>
        <w:t>丽珍夫妻接近,站立起 来向欧丽珍方向走了两步（约</w:t>
      </w:r>
      <w:r>
        <w:rPr>
          <w:rFonts w:ascii="Times New Roman" w:hAnsi="Times New Roman" w:eastAsia="Times New Roman" w:cs="Times New Roman"/>
          <w:color w:val="000000"/>
          <w:spacing w:val="0"/>
          <w:w w:val="100"/>
          <w:position w:val="0"/>
          <w:sz w:val="19"/>
          <w:szCs w:val="19"/>
        </w:rPr>
        <w:t>50</w:t>
      </w:r>
      <w:r>
        <w:rPr>
          <w:color w:val="000000"/>
          <w:spacing w:val="0"/>
          <w:w w:val="100"/>
          <w:position w:val="0"/>
        </w:rPr>
        <w:t>厘米），此时欧丽珍与“泰迪犬”相距约</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米;欧丽珍见“泰 迪犬</w:t>
      </w:r>
      <w:r>
        <w:rPr>
          <w:color w:val="000000"/>
          <w:spacing w:val="0"/>
          <w:w w:val="100"/>
          <w:position w:val="0"/>
          <w:lang w:val="zh-CN" w:eastAsia="zh-CN" w:bidi="zh-CN"/>
        </w:rPr>
        <w:t>”靠近</w:t>
      </w:r>
      <w:r>
        <w:rPr>
          <w:color w:val="000000"/>
          <w:spacing w:val="0"/>
          <w:w w:val="100"/>
          <w:position w:val="0"/>
        </w:rPr>
        <w:t>，惊慌往其左侧避让时摔倒受伤。欧丽珍受伤后即被送往台山市人民医院住院 治疗,后鉴定意见为</w:t>
      </w:r>
      <w:r>
        <w:rPr>
          <w:i/>
          <w:iCs/>
          <w:color w:val="000000"/>
          <w:spacing w:val="0"/>
          <w:w w:val="100"/>
          <w:position w:val="0"/>
        </w:rPr>
        <w:t>9</w:t>
      </w:r>
      <w:r>
        <w:rPr>
          <w:color w:val="000000"/>
          <w:spacing w:val="0"/>
          <w:w w:val="100"/>
          <w:position w:val="0"/>
        </w:rPr>
        <w:t>级伤残。</w:t>
      </w:r>
    </w:p>
    <w:p w14:paraId="34F8BD12">
      <w:pPr>
        <w:pStyle w:val="17"/>
        <w:keepNext w:val="0"/>
        <w:keepLines w:val="0"/>
        <w:widowControl w:val="0"/>
        <w:shd w:val="clear" w:color="auto" w:fill="auto"/>
        <w:bidi w:val="0"/>
        <w:spacing w:before="0" w:after="0" w:line="339" w:lineRule="exact"/>
        <w:ind w:left="0" w:right="0" w:firstLine="420"/>
        <w:jc w:val="both"/>
      </w:pPr>
      <w:r>
        <w:rPr>
          <w:color w:val="000000"/>
          <w:spacing w:val="0"/>
          <w:w w:val="100"/>
          <w:position w:val="0"/>
        </w:rPr>
        <w:t>一审法院认为，根据原《侵权责任法》第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rPr>
        <w:t>条,本案被告高燕未采取安全防范措施，致 使饲养的体形较小、性情温顺的</w:t>
      </w:r>
      <w:r>
        <w:rPr>
          <w:color w:val="000000"/>
          <w:spacing w:val="0"/>
          <w:w w:val="100"/>
          <w:position w:val="0"/>
          <w:lang w:val="zh-CN" w:eastAsia="zh-CN" w:bidi="zh-CN"/>
        </w:rPr>
        <w:t>“泰迪</w:t>
      </w:r>
      <w:r>
        <w:rPr>
          <w:color w:val="000000"/>
          <w:spacing w:val="0"/>
          <w:w w:val="100"/>
          <w:position w:val="0"/>
        </w:rPr>
        <w:t>犬”令原告欧丽珍受惊吓倒地受伤，其作为动物饲养 人及管理人应承担相应责任;原告由于过度惊慌,釆取避让措施不当摔倒致自己受伤，其本 身存在重大过失，承担</w:t>
      </w:r>
      <w:r>
        <w:rPr>
          <w:rFonts w:ascii="Times New Roman" w:hAnsi="Times New Roman" w:eastAsia="Times New Roman" w:cs="Times New Roman"/>
          <w:color w:val="000000"/>
          <w:spacing w:val="0"/>
          <w:w w:val="100"/>
          <w:position w:val="0"/>
          <w:sz w:val="19"/>
          <w:szCs w:val="19"/>
        </w:rPr>
        <w:t>30%</w:t>
      </w:r>
      <w:r>
        <w:rPr>
          <w:color w:val="000000"/>
          <w:spacing w:val="0"/>
          <w:w w:val="100"/>
          <w:position w:val="0"/>
        </w:rPr>
        <w:t>的责任。欧丽珍与高燕均不服一审判决，向广东省江门市中级 人民法院提起上诉。</w:t>
      </w:r>
    </w:p>
    <w:p w14:paraId="4AF2C1FB">
      <w:pPr>
        <w:pStyle w:val="17"/>
        <w:keepNext w:val="0"/>
        <w:keepLines w:val="0"/>
        <w:widowControl w:val="0"/>
        <w:shd w:val="clear" w:color="auto" w:fill="auto"/>
        <w:bidi w:val="0"/>
        <w:spacing w:before="0" w:after="360" w:line="338" w:lineRule="exact"/>
        <w:ind w:left="0" w:right="0" w:firstLine="420"/>
        <w:jc w:val="both"/>
      </w:pPr>
      <w:r>
        <w:rPr>
          <w:color w:val="000000"/>
          <w:spacing w:val="0"/>
          <w:w w:val="100"/>
          <w:position w:val="0"/>
        </w:rPr>
        <w:t>二审法院认为，根据原《侵权责任法》第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rPr>
        <w:t>、</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条的规定，被告高燕无《犬类准养证》，其 饲养涉案犬只违反了《广东省犬类管理规定》第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条的规定。同时，涉案的犬只虽未对人实 施如</w:t>
      </w:r>
      <w:r>
        <w:rPr>
          <w:color w:val="000000"/>
          <w:spacing w:val="0"/>
          <w:w w:val="100"/>
          <w:position w:val="0"/>
          <w:lang w:val="zh-CN" w:eastAsia="zh-CN" w:bidi="zh-CN"/>
        </w:rPr>
        <w:t>“抓伤</w:t>
      </w:r>
      <w:r>
        <w:rPr>
          <w:color w:val="000000"/>
          <w:spacing w:val="0"/>
          <w:w w:val="100"/>
          <w:position w:val="0"/>
        </w:rPr>
        <w:t>、扑倒、撕咬</w:t>
      </w:r>
      <w:r>
        <w:rPr>
          <w:color w:val="000000"/>
          <w:spacing w:val="0"/>
          <w:w w:val="100"/>
          <w:position w:val="0"/>
          <w:lang w:val="zh-CN" w:eastAsia="zh-CN" w:bidi="zh-CN"/>
        </w:rPr>
        <w:t>”等直</w:t>
      </w:r>
      <w:r>
        <w:rPr>
          <w:color w:val="000000"/>
          <w:spacing w:val="0"/>
          <w:w w:val="100"/>
          <w:position w:val="0"/>
        </w:rPr>
        <w:t>接接触人体的动作,但一般人在陌生犬只尤其是未被约束的犬 只进入自身安全界线内的时候，本能地会产生恐惧的心理，故欧丽珍因本能的恐惧而避让 进而摔倒受伤，与犬只之间具备因果关系，动物饲养人或者管理人对此亦应当承担侵权责 任。本案中无证据证明原告具有重大过失，故高燕应对欧丽珍的涉案损失承担全部赔偿责 任。</w:t>
      </w:r>
    </w:p>
    <w:p w14:paraId="2BBFB23D">
      <w:pPr>
        <w:pStyle w:val="11"/>
        <w:keepNext w:val="0"/>
        <w:keepLines w:val="0"/>
        <w:widowControl w:val="0"/>
        <w:shd w:val="clear" w:color="auto" w:fill="auto"/>
        <w:bidi w:val="0"/>
        <w:spacing w:before="0" w:after="80" w:line="338" w:lineRule="exact"/>
        <w:ind w:left="0" w:right="0" w:firstLine="0"/>
        <w:jc w:val="both"/>
      </w:pPr>
      <w:r>
        <w:rPr>
          <w:color w:val="000000"/>
          <w:spacing w:val="0"/>
          <w:w w:val="100"/>
          <w:position w:val="0"/>
          <w:lang w:val="en-US" w:eastAsia="en-US" w:bidi="en-US"/>
        </w:rPr>
        <w:t>■</w:t>
      </w:r>
      <w:r>
        <w:rPr>
          <w:color w:val="000000"/>
          <w:spacing w:val="0"/>
          <w:w w:val="100"/>
          <w:position w:val="0"/>
        </w:rPr>
        <w:t>判决要旨</w:t>
      </w:r>
    </w:p>
    <w:p w14:paraId="6FCCD31A">
      <w:pPr>
        <w:pStyle w:val="17"/>
        <w:keepNext w:val="0"/>
        <w:keepLines w:val="0"/>
        <w:widowControl w:val="0"/>
        <w:shd w:val="clear" w:color="auto" w:fill="auto"/>
        <w:bidi w:val="0"/>
        <w:spacing w:before="0" w:after="0" w:line="333" w:lineRule="exact"/>
        <w:ind w:left="0" w:right="0" w:firstLine="420"/>
        <w:jc w:val="both"/>
      </w:pPr>
      <w:r>
        <w:rPr>
          <w:color w:val="000000"/>
          <w:spacing w:val="0"/>
          <w:w w:val="100"/>
          <w:position w:val="0"/>
        </w:rPr>
        <w:t>一审法院认定有误,二甫法院予以纠正。</w:t>
      </w:r>
    </w:p>
    <w:p w14:paraId="59915A74">
      <w:pPr>
        <w:pStyle w:val="17"/>
        <w:keepNext w:val="0"/>
        <w:keepLines w:val="0"/>
        <w:widowControl w:val="0"/>
        <w:shd w:val="clear" w:color="auto" w:fill="auto"/>
        <w:bidi w:val="0"/>
        <w:spacing w:before="0" w:after="80" w:line="333" w:lineRule="exact"/>
        <w:ind w:left="0" w:right="0" w:firstLine="420"/>
        <w:jc w:val="both"/>
      </w:pPr>
      <w:r>
        <w:rPr>
          <w:color w:val="000000"/>
          <w:spacing w:val="0"/>
          <w:w w:val="100"/>
          <w:position w:val="0"/>
        </w:rPr>
        <w:t>饲养动物损害责任纠纷案件中，饲养动物虽未直接接触受害人，但因其追赶、逼近等危 险动作导致受害人摔倒受伤的，应认定其与受害人发生身体损害结果之间存在因果关系。 动物饲养人或管理人不能举证证明受害人对损害的发生存在故意或者重大过失的,应当承 担全部的侵权责任。</w:t>
      </w:r>
    </w:p>
    <w:p w14:paraId="1FFDDF43">
      <w:pPr>
        <w:pStyle w:val="11"/>
        <w:keepNext w:val="0"/>
        <w:keepLines w:val="0"/>
        <w:widowControl w:val="0"/>
        <w:shd w:val="clear" w:color="auto" w:fill="auto"/>
        <w:bidi w:val="0"/>
        <w:spacing w:before="0" w:after="120" w:line="344" w:lineRule="exact"/>
        <w:ind w:left="0" w:right="0" w:firstLine="0"/>
        <w:jc w:val="both"/>
      </w:pPr>
      <w:r>
        <w:rPr>
          <w:color w:val="000000"/>
          <w:spacing w:val="0"/>
          <w:w w:val="100"/>
          <w:position w:val="0"/>
        </w:rPr>
        <w:t>■评析</w:t>
      </w:r>
    </w:p>
    <w:p w14:paraId="7FEA0A40">
      <w:pPr>
        <w:pStyle w:val="17"/>
        <w:keepNext w:val="0"/>
        <w:keepLines w:val="0"/>
        <w:widowControl w:val="0"/>
        <w:shd w:val="clear" w:color="auto" w:fill="auto"/>
        <w:bidi w:val="0"/>
        <w:spacing w:before="0" w:after="120" w:line="344" w:lineRule="exact"/>
        <w:ind w:left="0" w:right="0" w:firstLine="0"/>
        <w:jc w:val="both"/>
      </w:pPr>
      <w:r>
        <w:rPr>
          <w:color w:val="000000"/>
          <w:spacing w:val="0"/>
          <w:w w:val="100"/>
          <w:position w:val="0"/>
        </w:rPr>
        <w:t>①本判决的思路和意义</w:t>
      </w:r>
    </w:p>
    <w:p w14:paraId="6EB7DA93">
      <w:pPr>
        <w:pStyle w:val="17"/>
        <w:keepNext w:val="0"/>
        <w:keepLines w:val="0"/>
        <w:widowControl w:val="0"/>
        <w:shd w:val="clear" w:color="auto" w:fill="auto"/>
        <w:bidi w:val="0"/>
        <w:spacing w:before="0" w:after="180" w:line="343" w:lineRule="exact"/>
        <w:ind w:left="0" w:right="0" w:firstLine="420"/>
        <w:jc w:val="both"/>
      </w:pPr>
      <w:r>
        <w:rPr>
          <w:color w:val="000000"/>
          <w:spacing w:val="0"/>
          <w:w w:val="100"/>
          <w:position w:val="0"/>
        </w:rPr>
        <w:t>本案中，被告所饲养的动物并未与原告有实际身体接触，仅通过其距离较远的站立和 走动使原告产生恐惧心理而摔倒并遭受损害。这种动物致害模式与传统的动物侵权差异 较大，一审法院和二审法院虽均认定侵权责任成立,但具体的责任认定及理由差异较大,殊 值探讨。此类案件对于动物侵权案件中的</w:t>
      </w:r>
      <w:r>
        <w:rPr>
          <w:color w:val="000000"/>
          <w:spacing w:val="0"/>
          <w:w w:val="100"/>
          <w:position w:val="0"/>
          <w:lang w:val="zh-CN" w:eastAsia="zh-CN" w:bidi="zh-CN"/>
        </w:rPr>
        <w:t>“动物</w:t>
      </w:r>
      <w:r>
        <w:rPr>
          <w:color w:val="000000"/>
          <w:spacing w:val="0"/>
          <w:w w:val="100"/>
          <w:position w:val="0"/>
        </w:rPr>
        <w:t>特别危险”之认定标准具有重要的审判指 导意义。</w:t>
      </w:r>
    </w:p>
    <w:p w14:paraId="2119697E">
      <w:pPr>
        <w:pStyle w:val="17"/>
        <w:keepNext w:val="0"/>
        <w:keepLines w:val="0"/>
        <w:widowControl w:val="0"/>
        <w:shd w:val="clear" w:color="auto" w:fill="auto"/>
        <w:bidi w:val="0"/>
        <w:spacing w:before="0" w:after="120" w:line="344" w:lineRule="exact"/>
        <w:ind w:left="0" w:right="0" w:firstLine="0"/>
        <w:jc w:val="both"/>
      </w:pPr>
      <w:r>
        <w:rPr>
          <w:rFonts w:ascii="Times New Roman" w:hAnsi="Times New Roman" w:eastAsia="Times New Roman" w:cs="Times New Roman"/>
          <w:color w:val="000000"/>
          <w:spacing w:val="0"/>
          <w:w w:val="100"/>
          <w:position w:val="0"/>
          <w:sz w:val="19"/>
          <w:szCs w:val="19"/>
          <w:lang w:val="en-US" w:eastAsia="en-US" w:bidi="en-US"/>
        </w:rPr>
        <w:t>a</w:t>
      </w:r>
      <w:r>
        <w:rPr>
          <w:color w:val="000000"/>
          <w:spacing w:val="0"/>
          <w:w w:val="100"/>
          <w:position w:val="0"/>
        </w:rPr>
        <w:t>原《侵权责任法》中关于动物侵权的规范及学理</w:t>
      </w:r>
    </w:p>
    <w:p w14:paraId="69FCCCC2">
      <w:pPr>
        <w:pStyle w:val="17"/>
        <w:keepNext w:val="0"/>
        <w:keepLines w:val="0"/>
        <w:widowControl w:val="0"/>
        <w:shd w:val="clear" w:color="auto" w:fill="auto"/>
        <w:bidi w:val="0"/>
        <w:spacing w:before="0" w:after="0" w:line="352" w:lineRule="exact"/>
        <w:ind w:left="0" w:right="0" w:firstLine="420"/>
        <w:jc w:val="both"/>
      </w:pPr>
      <w:r>
        <w:rPr>
          <w:color w:val="000000"/>
          <w:spacing w:val="0"/>
          <w:w w:val="100"/>
          <w:position w:val="0"/>
        </w:rPr>
        <w:t>目前关于动物侵权责任的规范主要在《侵权责任法》第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84</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1245</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 xml:space="preserve"> 1251</w:t>
      </w:r>
      <w:r>
        <w:rPr>
          <w:color w:val="000000"/>
          <w:spacing w:val="0"/>
          <w:w w:val="100"/>
          <w:position w:val="0"/>
        </w:rPr>
        <w:t>条）。本案的争点较多,主要集中在第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条（第</w:t>
      </w:r>
      <w:r>
        <w:rPr>
          <w:rFonts w:ascii="Times New Roman" w:hAnsi="Times New Roman" w:eastAsia="Times New Roman" w:cs="Times New Roman"/>
          <w:color w:val="000000"/>
          <w:spacing w:val="0"/>
          <w:w w:val="100"/>
          <w:position w:val="0"/>
          <w:sz w:val="19"/>
          <w:szCs w:val="19"/>
        </w:rPr>
        <w:t>1245</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1246</w:t>
      </w:r>
      <w:r>
        <w:rPr>
          <w:color w:val="000000"/>
          <w:spacing w:val="0"/>
          <w:w w:val="100"/>
          <w:position w:val="0"/>
        </w:rPr>
        <w:t>条）中，大 致可归结为三点：</w:t>
      </w:r>
    </w:p>
    <w:p w14:paraId="3D6B6F5C">
      <w:pPr>
        <w:pStyle w:val="17"/>
        <w:keepNext w:val="0"/>
        <w:keepLines w:val="0"/>
        <w:widowControl w:val="0"/>
        <w:numPr>
          <w:ilvl w:val="0"/>
          <w:numId w:val="49"/>
        </w:numPr>
        <w:shd w:val="clear" w:color="auto" w:fill="auto"/>
        <w:tabs>
          <w:tab w:val="left" w:pos="678"/>
        </w:tabs>
        <w:bidi w:val="0"/>
        <w:spacing w:before="0" w:after="0" w:line="344" w:lineRule="exact"/>
        <w:ind w:left="0" w:right="0" w:firstLine="420"/>
        <w:jc w:val="both"/>
      </w:pPr>
      <w:bookmarkStart w:id="202" w:name="bookmark634"/>
      <w:bookmarkEnd w:id="202"/>
      <w:r>
        <w:rPr>
          <w:color w:val="000000"/>
          <w:spacing w:val="0"/>
          <w:w w:val="100"/>
          <w:position w:val="0"/>
        </w:rPr>
        <w:t>《侵权责任法》第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条（《民法典》第</w:t>
      </w:r>
      <w:r>
        <w:rPr>
          <w:rFonts w:ascii="Times New Roman" w:hAnsi="Times New Roman" w:eastAsia="Times New Roman" w:cs="Times New Roman"/>
          <w:color w:val="000000"/>
          <w:spacing w:val="0"/>
          <w:w w:val="100"/>
          <w:position w:val="0"/>
          <w:sz w:val="19"/>
          <w:szCs w:val="19"/>
        </w:rPr>
        <w:t>1245</w:t>
      </w:r>
      <w:r>
        <w:rPr>
          <w:color w:val="000000"/>
          <w:spacing w:val="0"/>
          <w:w w:val="100"/>
          <w:position w:val="0"/>
        </w:rPr>
        <w:t>条和第</w:t>
      </w:r>
      <w:r>
        <w:rPr>
          <w:rFonts w:ascii="Times New Roman" w:hAnsi="Times New Roman" w:eastAsia="Times New Roman" w:cs="Times New Roman"/>
          <w:color w:val="000000"/>
          <w:spacing w:val="0"/>
          <w:w w:val="100"/>
          <w:position w:val="0"/>
          <w:sz w:val="19"/>
          <w:szCs w:val="19"/>
        </w:rPr>
        <w:t>1246</w:t>
      </w:r>
      <w:r>
        <w:rPr>
          <w:color w:val="000000"/>
          <w:spacing w:val="0"/>
          <w:w w:val="100"/>
          <w:position w:val="0"/>
        </w:rPr>
        <w:t>条）的适用关系如 何？</w:t>
      </w:r>
    </w:p>
    <w:p w14:paraId="41B58A26">
      <w:pPr>
        <w:pStyle w:val="17"/>
        <w:keepNext w:val="0"/>
        <w:keepLines w:val="0"/>
        <w:widowControl w:val="0"/>
        <w:shd w:val="clear" w:color="auto" w:fill="auto"/>
        <w:bidi w:val="0"/>
        <w:spacing w:before="0" w:after="0" w:line="344" w:lineRule="exact"/>
        <w:ind w:left="0" w:right="0" w:firstLine="420"/>
        <w:jc w:val="both"/>
        <w:rPr>
          <w:sz w:val="11"/>
          <w:szCs w:val="11"/>
        </w:rPr>
      </w:pPr>
      <w:r>
        <w:rPr>
          <w:color w:val="000000"/>
          <w:spacing w:val="0"/>
          <w:w w:val="100"/>
          <w:position w:val="0"/>
          <w:sz w:val="18"/>
          <w:szCs w:val="18"/>
        </w:rPr>
        <w:t>一审法院在判决理由中认为</w:t>
      </w:r>
      <w:r>
        <w:rPr>
          <w:color w:val="000000"/>
          <w:spacing w:val="0"/>
          <w:w w:val="100"/>
          <w:position w:val="0"/>
          <w:sz w:val="18"/>
          <w:szCs w:val="18"/>
          <w:lang w:val="zh-CN" w:eastAsia="zh-CN" w:bidi="zh-CN"/>
        </w:rPr>
        <w:t>“（被</w:t>
      </w:r>
      <w:r>
        <w:rPr>
          <w:color w:val="000000"/>
          <w:spacing w:val="0"/>
          <w:w w:val="100"/>
          <w:position w:val="0"/>
          <w:sz w:val="18"/>
          <w:szCs w:val="18"/>
        </w:rPr>
        <w:t>告）未采取安全防范措施，致使……</w:t>
      </w:r>
      <w:r>
        <w:rPr>
          <w:color w:val="000000"/>
          <w:spacing w:val="0"/>
          <w:w w:val="100"/>
          <w:position w:val="0"/>
          <w:sz w:val="18"/>
          <w:szCs w:val="18"/>
          <w:lang w:val="zh-CN" w:eastAsia="zh-CN" w:bidi="zh-CN"/>
        </w:rPr>
        <w:t>”看</w:t>
      </w:r>
      <w:r>
        <w:rPr>
          <w:color w:val="000000"/>
          <w:spacing w:val="0"/>
          <w:w w:val="100"/>
          <w:position w:val="0"/>
          <w:sz w:val="18"/>
          <w:szCs w:val="18"/>
        </w:rPr>
        <w:t>似援引了原 《侵权责任法》第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sz w:val="18"/>
          <w:szCs w:val="18"/>
        </w:rPr>
        <w:t>条的构成要件，但在最后的判决中援引的却是第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sz w:val="18"/>
          <w:szCs w:val="18"/>
        </w:rPr>
        <w:t>条;二审法院在判 决中同时援引了原《侵权责任法》第</w:t>
      </w:r>
      <w:r>
        <w:rPr>
          <w:rFonts w:ascii="Times New Roman" w:hAnsi="Times New Roman" w:eastAsia="Times New Roman" w:cs="Times New Roman"/>
          <w:color w:val="000000"/>
          <w:spacing w:val="0"/>
          <w:w w:val="100"/>
          <w:position w:val="0"/>
          <w:sz w:val="19"/>
          <w:szCs w:val="19"/>
        </w:rPr>
        <w:t>78</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sz w:val="18"/>
          <w:szCs w:val="18"/>
        </w:rPr>
        <w:t>条，似乎认为两者可同时适用，值得商榷。 在学理上,通常认为第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sz w:val="18"/>
          <w:szCs w:val="18"/>
        </w:rPr>
        <w:t>条特别规定了更为严格的无过错责任,理由在于:那些违反管理规 定不对动物采取安全措施的饲养人或管理人之行为严重违法，主观上具有重大过错,且客 观上对他人的人身、财产安全造成了很大的危险，自然不应在免责事由方面给予宽待</w:t>
      </w:r>
      <w:r>
        <w:rPr>
          <w:color w:val="000000"/>
          <w:spacing w:val="0"/>
          <w:w w:val="100"/>
          <w:position w:val="0"/>
          <w:sz w:val="11"/>
          <w:szCs w:val="11"/>
        </w:rPr>
        <w:t>［程啸: 《侵权责任法》（第</w:t>
      </w:r>
      <w:r>
        <w:rPr>
          <w:rFonts w:ascii="Times New Roman" w:hAnsi="Times New Roman" w:eastAsia="Times New Roman" w:cs="Times New Roman"/>
          <w:color w:val="000000"/>
          <w:spacing w:val="0"/>
          <w:w w:val="100"/>
          <w:position w:val="0"/>
          <w:sz w:val="19"/>
          <w:szCs w:val="19"/>
        </w:rPr>
        <w:t>2</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9"/>
          <w:szCs w:val="19"/>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622</w:t>
      </w:r>
      <w:r>
        <w:rPr>
          <w:color w:val="000000"/>
          <w:spacing w:val="0"/>
          <w:w w:val="100"/>
          <w:position w:val="0"/>
          <w:sz w:val="11"/>
          <w:szCs w:val="11"/>
        </w:rPr>
        <w:t>页；程啸：《侵权责任法教程》（第</w:t>
      </w:r>
      <w:r>
        <w:rPr>
          <w:rFonts w:ascii="Times New Roman" w:hAnsi="Times New Roman" w:eastAsia="Times New Roman" w:cs="Times New Roman"/>
          <w:color w:val="000000"/>
          <w:spacing w:val="0"/>
          <w:w w:val="100"/>
          <w:position w:val="0"/>
          <w:sz w:val="19"/>
          <w:szCs w:val="19"/>
        </w:rPr>
        <w:t>3</w:t>
      </w:r>
      <w:r>
        <w:rPr>
          <w:color w:val="000000"/>
          <w:spacing w:val="0"/>
          <w:w w:val="100"/>
          <w:position w:val="0"/>
          <w:sz w:val="11"/>
          <w:szCs w:val="11"/>
        </w:rPr>
        <w:t>版），中国人 民大学出版社</w:t>
      </w:r>
      <w:r>
        <w:rPr>
          <w:rFonts w:ascii="Times New Roman" w:hAnsi="Times New Roman" w:eastAsia="Times New Roman" w:cs="Times New Roman"/>
          <w:color w:val="000000"/>
          <w:spacing w:val="0"/>
          <w:w w:val="100"/>
          <w:position w:val="0"/>
          <w:sz w:val="19"/>
          <w:szCs w:val="19"/>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327</w:t>
      </w:r>
      <w:r>
        <w:rPr>
          <w:color w:val="000000"/>
          <w:spacing w:val="0"/>
          <w:w w:val="100"/>
          <w:position w:val="0"/>
          <w:sz w:val="11"/>
          <w:szCs w:val="11"/>
        </w:rPr>
        <w:t>页］</w:t>
      </w:r>
      <w:r>
        <w:rPr>
          <w:color w:val="000000"/>
          <w:spacing w:val="0"/>
          <w:w w:val="100"/>
          <w:position w:val="0"/>
          <w:sz w:val="18"/>
          <w:szCs w:val="18"/>
        </w:rPr>
        <w:t>。所以，在解释上应当“明示其一、排斥其他</w:t>
      </w:r>
      <w:r>
        <w:rPr>
          <w:color w:val="000000"/>
          <w:spacing w:val="0"/>
          <w:w w:val="100"/>
          <w:position w:val="0"/>
          <w:sz w:val="18"/>
          <w:szCs w:val="18"/>
          <w:lang w:val="zh-CN" w:eastAsia="zh-CN" w:bidi="zh-CN"/>
        </w:rPr>
        <w:t>”，认</w:t>
      </w:r>
      <w:r>
        <w:rPr>
          <w:color w:val="000000"/>
          <w:spacing w:val="0"/>
          <w:w w:val="100"/>
          <w:position w:val="0"/>
          <w:sz w:val="18"/>
          <w:szCs w:val="18"/>
        </w:rPr>
        <w:t>定第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sz w:val="18"/>
          <w:szCs w:val="18"/>
        </w:rPr>
        <w:t>条 属于特别法条</w:t>
      </w:r>
      <w:r>
        <w:rPr>
          <w:color w:val="000000"/>
          <w:spacing w:val="0"/>
          <w:w w:val="100"/>
          <w:position w:val="0"/>
          <w:sz w:val="11"/>
          <w:szCs w:val="11"/>
        </w:rPr>
        <w:t>［王利明：《侵权责任法研究》（下卷），中国人民大学出版社</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617</w:t>
      </w:r>
      <w:r>
        <w:rPr>
          <w:color w:val="000000"/>
          <w:spacing w:val="0"/>
          <w:w w:val="100"/>
          <w:position w:val="0"/>
          <w:sz w:val="11"/>
          <w:szCs w:val="11"/>
        </w:rPr>
        <w:t xml:space="preserve">页］。第 </w:t>
      </w:r>
      <w:r>
        <w:rPr>
          <w:rFonts w:ascii="Times New Roman" w:hAnsi="Times New Roman" w:eastAsia="Times New Roman" w:cs="Times New Roman"/>
          <w:color w:val="000000"/>
          <w:spacing w:val="0"/>
          <w:w w:val="100"/>
          <w:position w:val="0"/>
          <w:sz w:val="19"/>
          <w:szCs w:val="19"/>
        </w:rPr>
        <w:t>79</w:t>
      </w:r>
      <w:r>
        <w:rPr>
          <w:color w:val="000000"/>
          <w:spacing w:val="0"/>
          <w:w w:val="100"/>
          <w:position w:val="0"/>
          <w:sz w:val="18"/>
          <w:szCs w:val="18"/>
        </w:rPr>
        <w:t>条中所规范的</w:t>
      </w:r>
      <w:r>
        <w:rPr>
          <w:color w:val="000000"/>
          <w:spacing w:val="0"/>
          <w:w w:val="100"/>
          <w:position w:val="0"/>
          <w:sz w:val="18"/>
          <w:szCs w:val="18"/>
          <w:lang w:val="zh-CN" w:eastAsia="zh-CN" w:bidi="zh-CN"/>
        </w:rPr>
        <w:t>“安</w:t>
      </w:r>
      <w:r>
        <w:rPr>
          <w:color w:val="000000"/>
          <w:spacing w:val="0"/>
          <w:w w:val="100"/>
          <w:position w:val="0"/>
          <w:sz w:val="18"/>
          <w:szCs w:val="18"/>
        </w:rPr>
        <w:t>全措施</w:t>
      </w:r>
      <w:r>
        <w:rPr>
          <w:color w:val="000000"/>
          <w:spacing w:val="0"/>
          <w:w w:val="100"/>
          <w:position w:val="0"/>
          <w:sz w:val="18"/>
          <w:szCs w:val="18"/>
          <w:lang w:val="zh-CN" w:eastAsia="zh-CN" w:bidi="zh-CN"/>
        </w:rPr>
        <w:t>”是指“定</w:t>
      </w:r>
      <w:r>
        <w:rPr>
          <w:color w:val="000000"/>
          <w:spacing w:val="0"/>
          <w:w w:val="100"/>
          <w:position w:val="0"/>
          <w:sz w:val="18"/>
          <w:szCs w:val="18"/>
        </w:rPr>
        <w:t>期注射狂犬病疫苗</w:t>
      </w:r>
      <w:r>
        <w:rPr>
          <w:color w:val="000000"/>
          <w:spacing w:val="0"/>
          <w:w w:val="100"/>
          <w:position w:val="0"/>
          <w:sz w:val="18"/>
          <w:szCs w:val="18"/>
          <w:lang w:val="zh-CN" w:eastAsia="zh-CN" w:bidi="zh-CN"/>
        </w:rPr>
        <w:t>”等安</w:t>
      </w:r>
      <w:r>
        <w:rPr>
          <w:color w:val="000000"/>
          <w:spacing w:val="0"/>
          <w:w w:val="100"/>
          <w:position w:val="0"/>
          <w:sz w:val="18"/>
          <w:szCs w:val="18"/>
        </w:rPr>
        <w:t xml:space="preserve">全性维持义务，不包含违反 </w:t>
      </w:r>
      <w:r>
        <w:rPr>
          <w:color w:val="000000"/>
          <w:spacing w:val="0"/>
          <w:w w:val="100"/>
          <w:position w:val="0"/>
          <w:sz w:val="18"/>
          <w:szCs w:val="18"/>
          <w:lang w:val="zh-CN" w:eastAsia="zh-CN" w:bidi="zh-CN"/>
        </w:rPr>
        <w:t>“未按</w:t>
      </w:r>
      <w:r>
        <w:rPr>
          <w:color w:val="000000"/>
          <w:spacing w:val="0"/>
          <w:w w:val="100"/>
          <w:position w:val="0"/>
          <w:sz w:val="18"/>
          <w:szCs w:val="18"/>
        </w:rPr>
        <w:t>规定进行年检</w:t>
      </w:r>
      <w:r>
        <w:rPr>
          <w:color w:val="000000"/>
          <w:spacing w:val="0"/>
          <w:w w:val="100"/>
          <w:position w:val="0"/>
          <w:sz w:val="18"/>
          <w:szCs w:val="18"/>
          <w:lang w:val="zh-CN" w:eastAsia="zh-CN" w:bidi="zh-CN"/>
        </w:rPr>
        <w:t>”等</w:t>
      </w:r>
      <w:r>
        <w:rPr>
          <w:color w:val="000000"/>
          <w:spacing w:val="0"/>
          <w:w w:val="100"/>
          <w:position w:val="0"/>
          <w:sz w:val="18"/>
          <w:szCs w:val="18"/>
        </w:rPr>
        <w:t>单纯的行政管理义务</w:t>
      </w:r>
      <w:r>
        <w:rPr>
          <w:color w:val="000000"/>
          <w:spacing w:val="0"/>
          <w:w w:val="100"/>
          <w:position w:val="0"/>
          <w:sz w:val="11"/>
          <w:szCs w:val="11"/>
        </w:rPr>
        <w:t>（最高人民法院侵权责任法研究小组:《〈中华人民共 和国侵权责任法〉条文理解与使用》，人民法院出版社</w:t>
      </w:r>
      <w:r>
        <w:rPr>
          <w:rFonts w:ascii="Times New Roman" w:hAnsi="Times New Roman" w:eastAsia="Times New Roman" w:cs="Times New Roman"/>
          <w:color w:val="000000"/>
          <w:spacing w:val="0"/>
          <w:w w:val="100"/>
          <w:position w:val="0"/>
          <w:sz w:val="19"/>
          <w:szCs w:val="19"/>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9"/>
          <w:szCs w:val="19"/>
        </w:rPr>
        <w:t>536</w:t>
      </w:r>
      <w:r>
        <w:rPr>
          <w:color w:val="000000"/>
          <w:spacing w:val="0"/>
          <w:w w:val="100"/>
          <w:position w:val="0"/>
          <w:sz w:val="11"/>
          <w:szCs w:val="11"/>
        </w:rPr>
        <w:t>页）。</w:t>
      </w:r>
    </w:p>
    <w:p w14:paraId="76390705">
      <w:pPr>
        <w:pStyle w:val="17"/>
        <w:keepNext w:val="0"/>
        <w:keepLines w:val="0"/>
        <w:widowControl w:val="0"/>
        <w:shd w:val="clear" w:color="auto" w:fill="auto"/>
        <w:bidi w:val="0"/>
        <w:spacing w:before="0" w:after="0" w:line="342" w:lineRule="exact"/>
        <w:ind w:left="0" w:right="0" w:firstLine="420"/>
        <w:jc w:val="both"/>
      </w:pPr>
      <w:r>
        <w:rPr>
          <w:color w:val="000000"/>
          <w:spacing w:val="0"/>
          <w:w w:val="100"/>
          <w:position w:val="0"/>
        </w:rPr>
        <w:t>因此，本案中,被告在公共场合未合理拘束其饲养的犬种，违反《广东省犬类管理规定》 第</w:t>
      </w:r>
      <w:r>
        <w:rPr>
          <w:rFonts w:ascii="Times New Roman" w:hAnsi="Times New Roman" w:eastAsia="Times New Roman" w:cs="Times New Roman"/>
          <w:color w:val="000000"/>
          <w:spacing w:val="0"/>
          <w:w w:val="100"/>
          <w:position w:val="0"/>
          <w:sz w:val="19"/>
          <w:szCs w:val="19"/>
        </w:rPr>
        <w:t>4</w:t>
      </w:r>
      <w:r>
        <w:rPr>
          <w:color w:val="000000"/>
          <w:spacing w:val="0"/>
          <w:w w:val="100"/>
          <w:position w:val="0"/>
        </w:rPr>
        <w:t>条的安全性维持义务，应当直接适用原《侵权责任法》第</w:t>
      </w:r>
      <w:r>
        <w:rPr>
          <w:rFonts w:ascii="Times New Roman" w:hAnsi="Times New Roman" w:eastAsia="Times New Roman" w:cs="Times New Roman"/>
          <w:color w:val="000000"/>
          <w:spacing w:val="0"/>
          <w:w w:val="100"/>
          <w:position w:val="0"/>
          <w:sz w:val="19"/>
          <w:szCs w:val="19"/>
        </w:rPr>
        <w:t>79</w:t>
      </w:r>
      <w:r>
        <w:rPr>
          <w:color w:val="000000"/>
          <w:spacing w:val="0"/>
          <w:w w:val="100"/>
          <w:position w:val="0"/>
        </w:rPr>
        <w:t>条,而不可再同时适用第</w:t>
      </w:r>
      <w:r>
        <w:rPr>
          <w:rFonts w:ascii="Times New Roman" w:hAnsi="Times New Roman" w:eastAsia="Times New Roman" w:cs="Times New Roman"/>
          <w:color w:val="000000"/>
          <w:spacing w:val="0"/>
          <w:w w:val="100"/>
          <w:position w:val="0"/>
          <w:sz w:val="19"/>
          <w:szCs w:val="19"/>
        </w:rPr>
        <w:t xml:space="preserve">78 </w:t>
      </w:r>
      <w:r>
        <w:rPr>
          <w:color w:val="000000"/>
          <w:spacing w:val="0"/>
          <w:w w:val="100"/>
          <w:position w:val="0"/>
        </w:rPr>
        <w:t>条。</w:t>
      </w:r>
    </w:p>
    <w:p w14:paraId="20B88502">
      <w:pPr>
        <w:pStyle w:val="17"/>
        <w:keepNext w:val="0"/>
        <w:keepLines w:val="0"/>
        <w:widowControl w:val="0"/>
        <w:numPr>
          <w:ilvl w:val="0"/>
          <w:numId w:val="49"/>
        </w:numPr>
        <w:shd w:val="clear" w:color="auto" w:fill="auto"/>
        <w:tabs>
          <w:tab w:val="left" w:pos="702"/>
        </w:tabs>
        <w:bidi w:val="0"/>
        <w:spacing w:before="0" w:after="0" w:line="342" w:lineRule="exact"/>
        <w:ind w:left="0" w:right="0" w:firstLine="420"/>
        <w:jc w:val="both"/>
      </w:pPr>
      <w:bookmarkStart w:id="203" w:name="bookmark635"/>
      <w:bookmarkEnd w:id="203"/>
      <w:r>
        <w:rPr>
          <w:color w:val="000000"/>
          <w:spacing w:val="0"/>
          <w:w w:val="100"/>
          <w:position w:val="0"/>
        </w:rPr>
        <w:t>动物侵权中的</w:t>
      </w:r>
      <w:r>
        <w:rPr>
          <w:color w:val="000000"/>
          <w:spacing w:val="0"/>
          <w:w w:val="100"/>
          <w:position w:val="0"/>
          <w:lang w:val="zh-CN" w:eastAsia="zh-CN" w:bidi="zh-CN"/>
        </w:rPr>
        <w:t>“造</w:t>
      </w:r>
      <w:r>
        <w:rPr>
          <w:color w:val="000000"/>
          <w:spacing w:val="0"/>
          <w:w w:val="100"/>
          <w:position w:val="0"/>
        </w:rPr>
        <w:t>成他人损害</w:t>
      </w:r>
      <w:r>
        <w:rPr>
          <w:color w:val="000000"/>
          <w:spacing w:val="0"/>
          <w:w w:val="100"/>
          <w:position w:val="0"/>
          <w:lang w:val="zh-CN" w:eastAsia="zh-CN" w:bidi="zh-CN"/>
        </w:rPr>
        <w:t>”如何</w:t>
      </w:r>
      <w:r>
        <w:rPr>
          <w:color w:val="000000"/>
          <w:spacing w:val="0"/>
          <w:w w:val="100"/>
          <w:position w:val="0"/>
        </w:rPr>
        <w:t>认定？</w:t>
      </w:r>
    </w:p>
    <w:p w14:paraId="11B33E22">
      <w:pPr>
        <w:pStyle w:val="17"/>
        <w:keepNext w:val="0"/>
        <w:keepLines w:val="0"/>
        <w:widowControl w:val="0"/>
        <w:shd w:val="clear" w:color="auto" w:fill="auto"/>
        <w:bidi w:val="0"/>
        <w:spacing w:before="0" w:after="0" w:line="354" w:lineRule="exact"/>
        <w:ind w:left="0" w:right="0" w:firstLine="420"/>
        <w:jc w:val="both"/>
      </w:pPr>
      <w:r>
        <w:rPr>
          <w:color w:val="000000"/>
          <w:spacing w:val="0"/>
          <w:w w:val="100"/>
          <w:position w:val="0"/>
        </w:rPr>
        <w:t>这是本案一审和二审中均存在的核心争点。原告认为未经管束的动物引发其恐惧心 理是其受害的关键,因而构成动物侵权;但被告认为仅仅是距离较远的移动而无撕咬的威 胁不足以被认定为动物侵权行为。这里涉及动物侵权中</w:t>
      </w:r>
      <w:r>
        <w:rPr>
          <w:color w:val="000000"/>
          <w:spacing w:val="0"/>
          <w:w w:val="100"/>
          <w:position w:val="0"/>
          <w:lang w:val="zh-CN" w:eastAsia="zh-CN" w:bidi="zh-CN"/>
        </w:rPr>
        <w:t>“造成</w:t>
      </w:r>
      <w:r>
        <w:rPr>
          <w:color w:val="000000"/>
          <w:spacing w:val="0"/>
          <w:w w:val="100"/>
          <w:position w:val="0"/>
        </w:rPr>
        <w:t>他人损害”的认定。</w:t>
      </w:r>
    </w:p>
    <w:p w14:paraId="27AC0276">
      <w:pPr>
        <w:pStyle w:val="17"/>
        <w:keepNext w:val="0"/>
        <w:keepLines w:val="0"/>
        <w:widowControl w:val="0"/>
        <w:shd w:val="clear" w:color="auto" w:fill="auto"/>
        <w:bidi w:val="0"/>
        <w:spacing w:before="0" w:after="0" w:line="354" w:lineRule="exact"/>
        <w:ind w:left="0" w:right="0" w:firstLine="420"/>
        <w:jc w:val="both"/>
        <w:sectPr>
          <w:footnotePr>
            <w:numFmt w:val="chicago"/>
          </w:footnotePr>
          <w:type w:val="continuous"/>
          <w:pgSz w:w="10099" w:h="14782"/>
          <w:pgMar w:top="1264" w:right="998" w:bottom="1122" w:left="1086" w:header="0" w:footer="3" w:gutter="0"/>
          <w:cols w:space="720" w:num="1"/>
          <w:rtlGutter w:val="0"/>
          <w:docGrid w:linePitch="360" w:charSpace="0"/>
        </w:sectPr>
      </w:pPr>
      <w:r>
        <w:rPr>
          <w:color w:val="000000"/>
          <w:spacing w:val="0"/>
          <w:w w:val="100"/>
          <w:position w:val="0"/>
        </w:rPr>
        <w:t>学者大多认为，这里包含两层意思:首先，该饲养动物的行为是导致他人损害的原因， 即二者之间存在因果关系;其次，该饲养动物给他人造成的</w:t>
      </w:r>
      <w:r>
        <w:rPr>
          <w:color w:val="000000"/>
          <w:spacing w:val="0"/>
          <w:w w:val="100"/>
          <w:position w:val="0"/>
          <w:lang w:val="zh-CN" w:eastAsia="zh-CN" w:bidi="zh-CN"/>
        </w:rPr>
        <w:t>“损</w:t>
      </w:r>
      <w:r>
        <w:rPr>
          <w:color w:val="000000"/>
          <w:spacing w:val="0"/>
          <w:w w:val="100"/>
          <w:position w:val="0"/>
        </w:rPr>
        <w:t xml:space="preserve">害是因该动物特有的危险所 </w:t>
      </w:r>
    </w:p>
    <w:p w14:paraId="6BEC7B0F">
      <w:pPr>
        <w:pStyle w:val="17"/>
        <w:keepNext w:val="0"/>
        <w:keepLines w:val="0"/>
        <w:widowControl w:val="0"/>
        <w:shd w:val="clear" w:color="auto" w:fill="auto"/>
        <w:bidi w:val="0"/>
        <w:spacing w:before="0" w:after="0" w:line="354" w:lineRule="exact"/>
        <w:ind w:left="0" w:right="0" w:firstLine="0"/>
        <w:jc w:val="both"/>
      </w:pPr>
      <w:r>
        <w:rPr>
          <w:rStyle w:val="32"/>
          <w:b w:val="0"/>
          <w:bCs w:val="0"/>
          <w:i w:val="0"/>
          <w:iCs w:val="0"/>
          <w:smallCaps w:val="0"/>
          <w:strike w:val="0"/>
          <w:sz w:val="18"/>
          <w:szCs w:val="18"/>
        </w:rPr>
        <w:t>致'</w:t>
      </w:r>
      <w:r>
        <w:rPr>
          <w:rStyle w:val="32"/>
          <w:b w:val="0"/>
          <w:bCs w:val="0"/>
          <w:i w:val="0"/>
          <w:iCs w:val="0"/>
          <w:smallCaps w:val="0"/>
          <w:strike w:val="0"/>
        </w:rPr>
        <w:t>'［程啸:《侵权责任法》（第</w:t>
      </w:r>
      <w:r>
        <w:rPr>
          <w:rStyle w:val="32"/>
          <w:rFonts w:ascii="Times New Roman" w:hAnsi="Times New Roman" w:eastAsia="Times New Roman" w:cs="Times New Roman"/>
          <w:b w:val="0"/>
          <w:bCs w:val="0"/>
          <w:i w:val="0"/>
          <w:iCs w:val="0"/>
          <w:smallCaps w:val="0"/>
          <w:strike w:val="0"/>
          <w:sz w:val="17"/>
          <w:szCs w:val="17"/>
        </w:rPr>
        <w:t>2</w:t>
      </w:r>
      <w:r>
        <w:rPr>
          <w:rStyle w:val="32"/>
          <w:b w:val="0"/>
          <w:bCs w:val="0"/>
          <w:i w:val="0"/>
          <w:iCs w:val="0"/>
          <w:smallCaps w:val="0"/>
          <w:strike w:val="0"/>
        </w:rPr>
        <w:t>版），法律出版社</w:t>
      </w:r>
      <w:r>
        <w:rPr>
          <w:rStyle w:val="32"/>
          <w:rFonts w:ascii="Times New Roman" w:hAnsi="Times New Roman" w:eastAsia="Times New Roman" w:cs="Times New Roman"/>
          <w:b w:val="0"/>
          <w:bCs w:val="0"/>
          <w:i w:val="0"/>
          <w:iCs w:val="0"/>
          <w:smallCaps w:val="0"/>
          <w:strike w:val="0"/>
          <w:sz w:val="17"/>
          <w:szCs w:val="17"/>
        </w:rPr>
        <w:t>2015</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rPr>
        <w:t>624</w:t>
      </w:r>
      <w:r>
        <w:rPr>
          <w:rStyle w:val="32"/>
          <w:b w:val="0"/>
          <w:bCs w:val="0"/>
          <w:i w:val="0"/>
          <w:iCs w:val="0"/>
          <w:smallCaps w:val="0"/>
          <w:strike w:val="0"/>
        </w:rPr>
        <w:t>页；王利明：《侵权责任法研究》（下 卷），中国人民大学出版社</w:t>
      </w:r>
      <w:r>
        <w:rPr>
          <w:rStyle w:val="32"/>
          <w:rFonts w:ascii="Times New Roman" w:hAnsi="Times New Roman" w:eastAsia="Times New Roman" w:cs="Times New Roman"/>
          <w:b w:val="0"/>
          <w:bCs w:val="0"/>
          <w:i w:val="0"/>
          <w:iCs w:val="0"/>
          <w:smallCaps w:val="0"/>
          <w:strike w:val="0"/>
          <w:sz w:val="17"/>
          <w:szCs w:val="17"/>
        </w:rPr>
        <w:t>2016</w:t>
      </w:r>
      <w:r>
        <w:rPr>
          <w:rStyle w:val="32"/>
          <w:b w:val="0"/>
          <w:bCs w:val="0"/>
          <w:i w:val="0"/>
          <w:iCs w:val="0"/>
          <w:smallCaps w:val="0"/>
          <w:strike w:val="0"/>
        </w:rPr>
        <w:t>年版，第</w:t>
      </w:r>
      <w:r>
        <w:rPr>
          <w:rStyle w:val="32"/>
          <w:rFonts w:ascii="Times New Roman" w:hAnsi="Times New Roman" w:eastAsia="Times New Roman" w:cs="Times New Roman"/>
          <w:b w:val="0"/>
          <w:bCs w:val="0"/>
          <w:i w:val="0"/>
          <w:iCs w:val="0"/>
          <w:smallCaps w:val="0"/>
          <w:strike w:val="0"/>
          <w:sz w:val="17"/>
          <w:szCs w:val="17"/>
          <w:lang w:val="en-US" w:eastAsia="en-US" w:bidi="en-US"/>
        </w:rPr>
        <w:t>596 -597.611 -612</w:t>
      </w:r>
      <w:r>
        <w:rPr>
          <w:rStyle w:val="32"/>
          <w:b w:val="0"/>
          <w:bCs w:val="0"/>
          <w:i w:val="0"/>
          <w:iCs w:val="0"/>
          <w:smallCaps w:val="0"/>
          <w:strike w:val="0"/>
        </w:rPr>
        <w:t>页］。这</w:t>
      </w:r>
      <w:r>
        <w:rPr>
          <w:rStyle w:val="32"/>
          <w:b w:val="0"/>
          <w:bCs w:val="0"/>
          <w:i w:val="0"/>
          <w:iCs w:val="0"/>
          <w:smallCaps w:val="0"/>
          <w:strike w:val="0"/>
          <w:sz w:val="18"/>
          <w:szCs w:val="18"/>
        </w:rPr>
        <w:t>也是动物侵权的特别之处。 本案中，这两层都有值得商榷之处。</w:t>
      </w:r>
    </w:p>
    <w:p w14:paraId="5E3D4DAA">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首先，从因果关系层面来判断,该犬体形较小、性情温顺,本案中只是进行了简单的站 立与行走动作，且距离原告较远</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米），与原告因此产生的恐惧及后续发生的损害是否能建 立相当因果关系并非不言自明。遗憾的是，一审法院及二审法院均在此一语带过,未有相 当论证。</w:t>
      </w:r>
    </w:p>
    <w:p w14:paraId="50DEF1FF">
      <w:pPr>
        <w:pStyle w:val="17"/>
        <w:keepNext w:val="0"/>
        <w:keepLines w:val="0"/>
        <w:widowControl w:val="0"/>
        <w:shd w:val="clear" w:color="auto" w:fill="auto"/>
        <w:bidi w:val="0"/>
        <w:spacing w:before="0" w:after="0" w:line="343" w:lineRule="exact"/>
        <w:ind w:left="0" w:right="0" w:firstLine="440"/>
        <w:jc w:val="both"/>
        <w:rPr>
          <w:sz w:val="11"/>
          <w:szCs w:val="11"/>
        </w:rPr>
      </w:pPr>
      <w:r>
        <w:rPr>
          <w:color w:val="000000"/>
          <w:spacing w:val="0"/>
          <w:w w:val="100"/>
          <w:position w:val="0"/>
          <w:sz w:val="18"/>
          <w:szCs w:val="18"/>
        </w:rPr>
        <w:t>其次，从更核心的</w:t>
      </w:r>
      <w:r>
        <w:rPr>
          <w:color w:val="000000"/>
          <w:spacing w:val="0"/>
          <w:w w:val="100"/>
          <w:position w:val="0"/>
          <w:sz w:val="18"/>
          <w:szCs w:val="18"/>
          <w:lang w:val="zh-CN" w:eastAsia="zh-CN" w:bidi="zh-CN"/>
        </w:rPr>
        <w:t>“动</w:t>
      </w:r>
      <w:r>
        <w:rPr>
          <w:color w:val="000000"/>
          <w:spacing w:val="0"/>
          <w:w w:val="100"/>
          <w:position w:val="0"/>
          <w:sz w:val="18"/>
          <w:szCs w:val="18"/>
        </w:rPr>
        <w:t>物危险</w:t>
      </w:r>
      <w:r>
        <w:rPr>
          <w:color w:val="000000"/>
          <w:spacing w:val="0"/>
          <w:w w:val="100"/>
          <w:position w:val="0"/>
          <w:sz w:val="18"/>
          <w:szCs w:val="18"/>
          <w:lang w:val="zh-CN" w:eastAsia="zh-CN" w:bidi="zh-CN"/>
        </w:rPr>
        <w:t>”要</w:t>
      </w:r>
      <w:r>
        <w:rPr>
          <w:color w:val="000000"/>
          <w:spacing w:val="0"/>
          <w:w w:val="100"/>
          <w:position w:val="0"/>
          <w:sz w:val="18"/>
          <w:szCs w:val="18"/>
        </w:rPr>
        <w:t>素来看，目前学界的通说是</w:t>
      </w:r>
      <w:r>
        <w:rPr>
          <w:color w:val="000000"/>
          <w:spacing w:val="0"/>
          <w:w w:val="100"/>
          <w:position w:val="0"/>
          <w:sz w:val="18"/>
          <w:szCs w:val="18"/>
          <w:lang w:val="zh-CN" w:eastAsia="zh-CN" w:bidi="zh-CN"/>
        </w:rPr>
        <w:t>“动</w:t>
      </w:r>
      <w:r>
        <w:rPr>
          <w:color w:val="000000"/>
          <w:spacing w:val="0"/>
          <w:w w:val="100"/>
          <w:position w:val="0"/>
          <w:sz w:val="18"/>
          <w:szCs w:val="18"/>
        </w:rPr>
        <w:t>物意志支配说</w:t>
      </w:r>
      <w:r>
        <w:rPr>
          <w:color w:val="000000"/>
          <w:spacing w:val="0"/>
          <w:w w:val="100"/>
          <w:position w:val="0"/>
          <w:sz w:val="18"/>
          <w:szCs w:val="18"/>
          <w:lang w:val="zh-CN" w:eastAsia="zh-CN" w:bidi="zh-CN"/>
        </w:rPr>
        <w:t>”，即</w:t>
      </w:r>
      <w:r>
        <w:rPr>
          <w:color w:val="000000"/>
          <w:spacing w:val="0"/>
          <w:w w:val="100"/>
          <w:position w:val="0"/>
          <w:sz w:val="18"/>
          <w:szCs w:val="18"/>
        </w:rPr>
        <w:t>动物 危险是动物本性的危险爆发，是非由理智的意愿所控制的动物力量的发挥。危险性可以体 现为直接行为，亦可以体现为间接行为。前者如猫抓伤小孩,后者如牛卧于马路。动物的噪 声若产生对他人生活安宁的妨害，可使人请求损害赔偿。在此学说的逻辑下，有</w:t>
      </w:r>
      <w:r>
        <w:rPr>
          <w:rFonts w:ascii="Times New Roman" w:hAnsi="Times New Roman" w:eastAsia="Times New Roman" w:cs="Times New Roman"/>
          <w:color w:val="000000"/>
          <w:spacing w:val="0"/>
          <w:w w:val="100"/>
          <w:position w:val="0"/>
          <w:sz w:val="19"/>
          <w:szCs w:val="19"/>
        </w:rPr>
        <w:t>4</w:t>
      </w:r>
      <w:r>
        <w:rPr>
          <w:color w:val="000000"/>
          <w:spacing w:val="0"/>
          <w:w w:val="100"/>
          <w:position w:val="0"/>
          <w:sz w:val="18"/>
          <w:szCs w:val="18"/>
        </w:rPr>
        <w:t xml:space="preserve">种情形被 排除在外:其一，如果动物被仅仅当作机械性的工具,如以猫掷人;其二，如果动物的身体或 精神受到强大的外力强制，以致动物完全没有选择行为的自由，而做出了 </w:t>
      </w:r>
      <w:r>
        <w:rPr>
          <w:color w:val="000000"/>
          <w:spacing w:val="0"/>
          <w:w w:val="100"/>
          <w:position w:val="0"/>
          <w:sz w:val="18"/>
          <w:szCs w:val="18"/>
          <w:lang w:val="zh-CN" w:eastAsia="zh-CN" w:bidi="zh-CN"/>
        </w:rPr>
        <w:t>“必然”的</w:t>
      </w:r>
      <w:r>
        <w:rPr>
          <w:color w:val="000000"/>
          <w:spacing w:val="0"/>
          <w:w w:val="100"/>
          <w:position w:val="0"/>
          <w:sz w:val="18"/>
          <w:szCs w:val="18"/>
        </w:rPr>
        <w:t>反应，如 兽医杀狗时被狗咬伤;其三，如果动物受到驱使而实施行为,就不存在自主的动物行为;其 四，如果动物按照本性实施了一定的行为,那么此种行为属于动物的自然行为，而非意志行 为，如动物的交配行为</w:t>
      </w:r>
      <w:r>
        <w:rPr>
          <w:color w:val="000000"/>
          <w:spacing w:val="0"/>
          <w:w w:val="100"/>
          <w:position w:val="0"/>
          <w:sz w:val="11"/>
          <w:szCs w:val="11"/>
        </w:rPr>
        <w:t>（王利明、周友军、高圣平:《侵权责任法疑难问题研究》，中国法制出版社</w:t>
      </w:r>
      <w:r>
        <w:rPr>
          <w:rFonts w:ascii="Times New Roman" w:hAnsi="Times New Roman" w:eastAsia="Times New Roman" w:cs="Times New Roman"/>
          <w:color w:val="000000"/>
          <w:spacing w:val="0"/>
          <w:w w:val="100"/>
          <w:position w:val="0"/>
          <w:sz w:val="17"/>
          <w:szCs w:val="17"/>
        </w:rPr>
        <w:t xml:space="preserve">2012 </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616</w:t>
      </w:r>
      <w:r>
        <w:rPr>
          <w:color w:val="000000"/>
          <w:spacing w:val="0"/>
          <w:w w:val="100"/>
          <w:position w:val="0"/>
          <w:sz w:val="11"/>
          <w:szCs w:val="11"/>
        </w:rPr>
        <w:t>页；王泽鉴:《侵权行为》，北京大学出版社</w:t>
      </w:r>
      <w:r>
        <w:rPr>
          <w:rFonts w:ascii="Times New Roman" w:hAnsi="Times New Roman" w:eastAsia="Times New Roman" w:cs="Times New Roman"/>
          <w:color w:val="000000"/>
          <w:spacing w:val="0"/>
          <w:w w:val="100"/>
          <w:position w:val="0"/>
          <w:sz w:val="17"/>
          <w:szCs w:val="17"/>
        </w:rPr>
        <w:t>2009</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472</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473</w:t>
      </w:r>
      <w:r>
        <w:rPr>
          <w:color w:val="000000"/>
          <w:spacing w:val="0"/>
          <w:w w:val="100"/>
          <w:position w:val="0"/>
          <w:sz w:val="11"/>
          <w:szCs w:val="11"/>
        </w:rPr>
        <w:t>页）。</w:t>
      </w:r>
      <w:r>
        <w:rPr>
          <w:color w:val="000000"/>
          <w:spacing w:val="0"/>
          <w:w w:val="100"/>
          <w:position w:val="0"/>
          <w:sz w:val="18"/>
          <w:szCs w:val="18"/>
        </w:rPr>
        <w:t>更进一步,这种所 谓的本性,是指因动物自身的野性和习性所产生的对人类的危险性，而非工具性</w:t>
      </w:r>
      <w:r>
        <w:rPr>
          <w:color w:val="000000"/>
          <w:spacing w:val="0"/>
          <w:w w:val="100"/>
          <w:position w:val="0"/>
          <w:sz w:val="11"/>
          <w:szCs w:val="11"/>
        </w:rPr>
        <w:t>［王利明： 《侵权责任法研究》（下卷），中国人民大学出版社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lang w:val="en-US" w:eastAsia="en-US" w:bidi="en-US"/>
        </w:rPr>
        <w:t>596 -597</w:t>
      </w:r>
      <w:r>
        <w:rPr>
          <w:color w:val="000000"/>
          <w:spacing w:val="0"/>
          <w:w w:val="100"/>
          <w:position w:val="0"/>
          <w:sz w:val="11"/>
          <w:szCs w:val="11"/>
        </w:rPr>
        <w:t>页］。</w:t>
      </w:r>
    </w:p>
    <w:p w14:paraId="46272BA1">
      <w:pPr>
        <w:pStyle w:val="17"/>
        <w:keepNext w:val="0"/>
        <w:keepLines w:val="0"/>
        <w:widowControl w:val="0"/>
        <w:shd w:val="clear" w:color="auto" w:fill="auto"/>
        <w:bidi w:val="0"/>
        <w:spacing w:before="0" w:after="0" w:line="343" w:lineRule="exact"/>
        <w:ind w:left="0" w:right="0" w:firstLine="440"/>
        <w:jc w:val="both"/>
      </w:pPr>
      <w:r>
        <w:rPr>
          <w:color w:val="000000"/>
          <w:spacing w:val="0"/>
          <w:w w:val="100"/>
          <w:position w:val="0"/>
        </w:rPr>
        <w:t>亦有学者提岀</w:t>
      </w:r>
      <w:r>
        <w:rPr>
          <w:color w:val="000000"/>
          <w:spacing w:val="0"/>
          <w:w w:val="100"/>
          <w:position w:val="0"/>
          <w:lang w:val="zh-CN" w:eastAsia="zh-CN" w:bidi="zh-CN"/>
        </w:rPr>
        <w:t>“动</w:t>
      </w:r>
      <w:r>
        <w:rPr>
          <w:color w:val="000000"/>
          <w:spacing w:val="0"/>
          <w:w w:val="100"/>
          <w:position w:val="0"/>
        </w:rPr>
        <w:t xml:space="preserve">物的不可预测性说”，即动物致害责任制度的立法目的是要保护人们 免遭动物不可预测行为的侵害。此说与通说差异不大，仅前述的自然行为被认定为动物危 </w:t>
      </w:r>
      <w:r>
        <w:rPr>
          <w:color w:val="000000"/>
          <w:spacing w:val="0"/>
          <w:w w:val="100"/>
          <w:position w:val="0"/>
          <w:sz w:val="11"/>
          <w:szCs w:val="11"/>
        </w:rPr>
        <w:t>险（王利明、周友军、高圣平：《侵权责任法疑难问题研究》，中国法制出版社</w:t>
      </w:r>
      <w:r>
        <w:rPr>
          <w:rFonts w:ascii="Times New Roman" w:hAnsi="Times New Roman" w:eastAsia="Times New Roman" w:cs="Times New Roman"/>
          <w:color w:val="000000"/>
          <w:spacing w:val="0"/>
          <w:w w:val="100"/>
          <w:position w:val="0"/>
          <w:sz w:val="17"/>
          <w:szCs w:val="17"/>
        </w:rPr>
        <w:t>2012</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lang w:val="en-US" w:eastAsia="en-US" w:bidi="en-US"/>
        </w:rPr>
        <w:t xml:space="preserve">616-617 </w:t>
      </w:r>
      <w:r>
        <w:rPr>
          <w:color w:val="000000"/>
          <w:spacing w:val="0"/>
          <w:w w:val="100"/>
          <w:position w:val="0"/>
          <w:sz w:val="11"/>
          <w:szCs w:val="11"/>
        </w:rPr>
        <w:t>页）。</w:t>
      </w:r>
      <w:r>
        <w:rPr>
          <w:color w:val="000000"/>
          <w:spacing w:val="0"/>
          <w:w w:val="100"/>
          <w:position w:val="0"/>
        </w:rPr>
        <w:t>另有学者提出，正是因为动物行为的不可预知性才会要求动物饲养人承担客观责任。 因此,动物危险就成为该客观责任的核心概念。</w:t>
      </w:r>
    </w:p>
    <w:p w14:paraId="6937C398">
      <w:pPr>
        <w:pStyle w:val="17"/>
        <w:keepNext w:val="0"/>
        <w:keepLines w:val="0"/>
        <w:widowControl w:val="0"/>
        <w:shd w:val="clear" w:color="auto" w:fill="auto"/>
        <w:bidi w:val="0"/>
        <w:spacing w:before="0" w:after="0" w:line="346" w:lineRule="exact"/>
        <w:ind w:left="0" w:right="0" w:firstLine="440"/>
        <w:jc w:val="both"/>
        <w:rPr>
          <w:sz w:val="11"/>
          <w:szCs w:val="11"/>
        </w:rPr>
      </w:pPr>
      <w:r>
        <w:rPr>
          <w:color w:val="000000"/>
          <w:spacing w:val="0"/>
          <w:w w:val="100"/>
          <w:position w:val="0"/>
          <w:sz w:val="18"/>
          <w:szCs w:val="18"/>
        </w:rPr>
        <w:t>还有学者提出</w:t>
      </w:r>
      <w:r>
        <w:rPr>
          <w:color w:val="000000"/>
          <w:spacing w:val="0"/>
          <w:w w:val="100"/>
          <w:position w:val="0"/>
          <w:sz w:val="18"/>
          <w:szCs w:val="18"/>
          <w:lang w:val="zh-CN" w:eastAsia="zh-CN" w:bidi="zh-CN"/>
        </w:rPr>
        <w:t>“动</w:t>
      </w:r>
      <w:r>
        <w:rPr>
          <w:color w:val="000000"/>
          <w:spacing w:val="0"/>
          <w:w w:val="100"/>
          <w:position w:val="0"/>
          <w:sz w:val="18"/>
          <w:szCs w:val="18"/>
        </w:rPr>
        <w:t>物自主行为说</w:t>
      </w:r>
      <w:r>
        <w:rPr>
          <w:color w:val="000000"/>
          <w:spacing w:val="0"/>
          <w:w w:val="100"/>
          <w:position w:val="0"/>
          <w:sz w:val="18"/>
          <w:szCs w:val="18"/>
          <w:lang w:val="zh-CN" w:eastAsia="zh-CN" w:bidi="zh-CN"/>
        </w:rPr>
        <w:t>”，即</w:t>
      </w:r>
      <w:r>
        <w:rPr>
          <w:color w:val="000000"/>
          <w:spacing w:val="0"/>
          <w:w w:val="100"/>
          <w:position w:val="0"/>
          <w:sz w:val="18"/>
          <w:szCs w:val="18"/>
        </w:rPr>
        <w:t>动物危险应当被理解为动物的自主行为，因为动 物与无生命物的区别，就在于动物是以自己的力量来运动的组织体,所以其自主运动就构 成了危险。同样地，按照该说，逻辑上就有数种情形会被排除，比如动物跌倒或坠落致人损 害等，其他类型恕不赘述</w:t>
      </w:r>
      <w:r>
        <w:rPr>
          <w:color w:val="000000"/>
          <w:spacing w:val="0"/>
          <w:w w:val="100"/>
          <w:position w:val="0"/>
          <w:sz w:val="11"/>
          <w:szCs w:val="11"/>
        </w:rPr>
        <w:t xml:space="preserve">（王利明、周友军、高圣平:《侵权责任法疑难问题研究》，中国法制出版社 </w:t>
      </w:r>
      <w:r>
        <w:rPr>
          <w:rFonts w:ascii="Times New Roman" w:hAnsi="Times New Roman" w:eastAsia="Times New Roman" w:cs="Times New Roman"/>
          <w:color w:val="000000"/>
          <w:spacing w:val="0"/>
          <w:w w:val="100"/>
          <w:position w:val="0"/>
          <w:sz w:val="17"/>
          <w:szCs w:val="17"/>
        </w:rPr>
        <w:t xml:space="preserve">2012 </w:t>
      </w:r>
      <w:r>
        <w:rPr>
          <w:color w:val="000000"/>
          <w:spacing w:val="0"/>
          <w:w w:val="100"/>
          <w:position w:val="0"/>
          <w:sz w:val="11"/>
          <w:szCs w:val="11"/>
        </w:rPr>
        <w:t xml:space="preserve">年版，第 </w:t>
      </w:r>
      <w:r>
        <w:rPr>
          <w:rFonts w:ascii="Times New Roman" w:hAnsi="Times New Roman" w:eastAsia="Times New Roman" w:cs="Times New Roman"/>
          <w:color w:val="000000"/>
          <w:spacing w:val="0"/>
          <w:w w:val="100"/>
          <w:position w:val="0"/>
          <w:sz w:val="17"/>
          <w:szCs w:val="17"/>
          <w:lang w:val="en-US" w:eastAsia="en-US" w:bidi="en-US"/>
        </w:rPr>
        <w:t xml:space="preserve">617-619 </w:t>
      </w:r>
      <w:r>
        <w:rPr>
          <w:color w:val="000000"/>
          <w:spacing w:val="0"/>
          <w:w w:val="100"/>
          <w:position w:val="0"/>
          <w:sz w:val="11"/>
          <w:szCs w:val="11"/>
        </w:rPr>
        <w:t>页）。</w:t>
      </w:r>
    </w:p>
    <w:p w14:paraId="0BA8EC1A">
      <w:pPr>
        <w:pStyle w:val="17"/>
        <w:keepNext w:val="0"/>
        <w:keepLines w:val="0"/>
        <w:widowControl w:val="0"/>
        <w:shd w:val="clear" w:color="auto" w:fill="auto"/>
        <w:bidi w:val="0"/>
        <w:spacing w:before="0" w:after="0" w:line="339" w:lineRule="exact"/>
        <w:ind w:left="0" w:right="0" w:firstLine="440"/>
        <w:jc w:val="both"/>
        <w:rPr>
          <w:sz w:val="11"/>
          <w:szCs w:val="11"/>
        </w:rPr>
      </w:pPr>
      <w:r>
        <w:rPr>
          <w:color w:val="000000"/>
          <w:spacing w:val="0"/>
          <w:w w:val="100"/>
          <w:position w:val="0"/>
          <w:sz w:val="18"/>
          <w:szCs w:val="18"/>
        </w:rPr>
        <w:t>在危险性大小的衡量上，我国的判断标准并未有较为具体的通说，比较法上美国的诸 多判例可资参考，我国《民法典》侵权责任编区分一般动物和烈性犬等危险动物的立法意旨 与其区分家养动物与野生动物类似。美国法上野生动物的范畴是在个案的认定中逐渐扩 张的，从最早的狼、熊，到后来的丛林狼、斑马、猿,再到鹿、狮子、老虎等。另有学者提出三项 考量因素：危险实现的高度盖然性——即使当事人尽到注意义务仍然不能防止损害发 生——损害结果的严重性和危险来源的可控性</w:t>
      </w:r>
      <w:r>
        <w:rPr>
          <w:color w:val="000000"/>
          <w:spacing w:val="0"/>
          <w:w w:val="100"/>
          <w:position w:val="0"/>
          <w:sz w:val="11"/>
          <w:szCs w:val="11"/>
        </w:rPr>
        <w:t>（［奥</w:t>
      </w:r>
      <w:r>
        <w:rPr>
          <w:color w:val="000000"/>
          <w:spacing w:val="0"/>
          <w:w w:val="100"/>
          <w:position w:val="0"/>
          <w:sz w:val="11"/>
          <w:szCs w:val="11"/>
          <w:lang w:val="en-US" w:eastAsia="en-US" w:bidi="en-US"/>
        </w:rPr>
        <w:t>］</w:t>
      </w:r>
      <w:r>
        <w:rPr>
          <w:color w:val="000000"/>
          <w:spacing w:val="0"/>
          <w:w w:val="100"/>
          <w:position w:val="0"/>
          <w:sz w:val="11"/>
          <w:szCs w:val="11"/>
        </w:rPr>
        <w:t>海尔姆特-库齐奥:《侵权责任法的基本问 题（第一卷）：德语国家的视角》，北京大学出版社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235</w:t>
      </w:r>
      <w:r>
        <w:rPr>
          <w:color w:val="000000"/>
          <w:spacing w:val="0"/>
          <w:w w:val="100"/>
          <w:position w:val="0"/>
          <w:sz w:val="11"/>
          <w:szCs w:val="11"/>
        </w:rPr>
        <w:t>页）。</w:t>
      </w:r>
    </w:p>
    <w:p w14:paraId="51993895">
      <w:pPr>
        <w:pStyle w:val="17"/>
        <w:keepNext w:val="0"/>
        <w:keepLines w:val="0"/>
        <w:widowControl w:val="0"/>
        <w:shd w:val="clear" w:color="auto" w:fill="auto"/>
        <w:bidi w:val="0"/>
        <w:spacing w:before="0" w:after="120" w:line="343" w:lineRule="exact"/>
        <w:ind w:left="0" w:right="0"/>
        <w:jc w:val="both"/>
      </w:pPr>
      <w:r>
        <w:rPr>
          <w:color w:val="000000"/>
          <w:spacing w:val="0"/>
          <w:w w:val="100"/>
          <w:position w:val="0"/>
        </w:rPr>
        <w:t>具体到本案来看,这种非接触性的动物导致的惊吓是否属于</w:t>
      </w:r>
      <w:r>
        <w:rPr>
          <w:color w:val="000000"/>
          <w:spacing w:val="0"/>
          <w:w w:val="100"/>
          <w:position w:val="0"/>
          <w:lang w:val="zh-CN" w:eastAsia="zh-CN" w:bidi="zh-CN"/>
        </w:rPr>
        <w:t>“动物</w:t>
      </w:r>
      <w:r>
        <w:rPr>
          <w:color w:val="000000"/>
          <w:spacing w:val="0"/>
          <w:w w:val="100"/>
          <w:position w:val="0"/>
        </w:rPr>
        <w:t xml:space="preserve">危险”则有较大的解 释空间。例如，最高人民法院就认为："……因饲养动物导致被侵权人受到惊吓、恐吓而出 现心理恐惧并因此引发其他损害时，在某些情况下也有可能涵括于《侵权责任法》本条（第 </w:t>
      </w:r>
      <w:r>
        <w:rPr>
          <w:rFonts w:ascii="Times New Roman" w:hAnsi="Times New Roman" w:eastAsia="Times New Roman" w:cs="Times New Roman"/>
          <w:color w:val="000000"/>
          <w:spacing w:val="0"/>
          <w:w w:val="100"/>
          <w:position w:val="0"/>
          <w:sz w:val="17"/>
          <w:szCs w:val="17"/>
        </w:rPr>
        <w:t>78</w:t>
      </w:r>
      <w:r>
        <w:rPr>
          <w:color w:val="000000"/>
          <w:spacing w:val="0"/>
          <w:w w:val="100"/>
          <w:position w:val="0"/>
        </w:rPr>
        <w:t>条）首句所称'造成他人损害'范围之内</w:t>
      </w:r>
      <w:r>
        <w:rPr>
          <w:color w:val="000000"/>
          <w:spacing w:val="0"/>
          <w:w w:val="100"/>
          <w:position w:val="0"/>
          <w:sz w:val="11"/>
          <w:szCs w:val="11"/>
          <w:lang w:val="zh-CN" w:eastAsia="zh-CN" w:bidi="zh-CN"/>
        </w:rPr>
        <w:t>”（最</w:t>
      </w:r>
      <w:r>
        <w:rPr>
          <w:color w:val="000000"/>
          <w:spacing w:val="0"/>
          <w:w w:val="100"/>
          <w:position w:val="0"/>
          <w:sz w:val="11"/>
          <w:szCs w:val="11"/>
        </w:rPr>
        <w:t>高人民法院侵权责任法研究小组:《〈中华人民共 和国侵权责任法〉条文理解与使用》，人民法院出版社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531</w:t>
      </w:r>
      <w:r>
        <w:rPr>
          <w:color w:val="000000"/>
          <w:spacing w:val="0"/>
          <w:w w:val="100"/>
          <w:position w:val="0"/>
          <w:sz w:val="11"/>
          <w:szCs w:val="11"/>
        </w:rPr>
        <w:t>页）。</w:t>
      </w:r>
      <w:r>
        <w:rPr>
          <w:color w:val="000000"/>
          <w:spacing w:val="0"/>
          <w:w w:val="100"/>
          <w:position w:val="0"/>
        </w:rPr>
        <w:t>另有学者则认为，对于 这种惊吓并非绝对不能赔偿，但要考虑受害人的特殊情况，如年龄较大等要素来确定是否 为一般人正常、合理的反应。</w:t>
      </w:r>
    </w:p>
    <w:p w14:paraId="66620988">
      <w:pPr>
        <w:pStyle w:val="17"/>
        <w:keepNext w:val="0"/>
        <w:keepLines w:val="0"/>
        <w:widowControl w:val="0"/>
        <w:shd w:val="clear" w:color="auto" w:fill="auto"/>
        <w:bidi w:val="0"/>
        <w:spacing w:before="0" w:after="0" w:line="422" w:lineRule="auto"/>
        <w:ind w:left="0" w:right="0"/>
        <w:jc w:val="both"/>
      </w:pPr>
      <w:r>
        <w:rPr>
          <w:rFonts w:ascii="Times New Roman" w:hAnsi="Times New Roman" w:eastAsia="Times New Roman" w:cs="Times New Roman"/>
          <w:color w:val="000000"/>
          <w:spacing w:val="0"/>
          <w:w w:val="100"/>
          <w:position w:val="0"/>
          <w:sz w:val="17"/>
          <w:szCs w:val="17"/>
          <w:lang w:val="en-US" w:eastAsia="en-US" w:bidi="en-US"/>
        </w:rPr>
        <w:t>3.</w:t>
      </w:r>
      <w:r>
        <w:rPr>
          <w:color w:val="000000"/>
          <w:spacing w:val="0"/>
          <w:w w:val="100"/>
          <w:position w:val="0"/>
        </w:rPr>
        <w:t>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rPr>
        <w:t>条中的</w:t>
      </w:r>
      <w:r>
        <w:rPr>
          <w:color w:val="000000"/>
          <w:spacing w:val="0"/>
          <w:w w:val="100"/>
          <w:position w:val="0"/>
          <w:lang w:val="zh-CN" w:eastAsia="zh-CN" w:bidi="zh-CN"/>
        </w:rPr>
        <w:t>“受</w:t>
      </w:r>
      <w:r>
        <w:rPr>
          <w:color w:val="000000"/>
          <w:spacing w:val="0"/>
          <w:w w:val="100"/>
          <w:position w:val="0"/>
        </w:rPr>
        <w:t>害人重大过失</w:t>
      </w:r>
      <w:r>
        <w:rPr>
          <w:color w:val="000000"/>
          <w:spacing w:val="0"/>
          <w:w w:val="100"/>
          <w:position w:val="0"/>
          <w:lang w:val="zh-CN" w:eastAsia="zh-CN" w:bidi="zh-CN"/>
        </w:rPr>
        <w:t>”如何</w:t>
      </w:r>
      <w:r>
        <w:rPr>
          <w:color w:val="000000"/>
          <w:spacing w:val="0"/>
          <w:w w:val="100"/>
          <w:position w:val="0"/>
        </w:rPr>
        <w:t>认定？</w:t>
      </w:r>
    </w:p>
    <w:p w14:paraId="73F0ED3B">
      <w:pPr>
        <w:pStyle w:val="17"/>
        <w:keepNext w:val="0"/>
        <w:keepLines w:val="0"/>
        <w:widowControl w:val="0"/>
        <w:shd w:val="clear" w:color="auto" w:fill="auto"/>
        <w:bidi w:val="0"/>
        <w:spacing w:before="0" w:after="0" w:line="343" w:lineRule="exact"/>
        <w:ind w:left="0" w:right="0"/>
        <w:jc w:val="both"/>
      </w:pPr>
      <w:r>
        <w:rPr>
          <w:color w:val="000000"/>
          <w:spacing w:val="0"/>
          <w:w w:val="100"/>
          <w:position w:val="0"/>
        </w:rPr>
        <w:t>一审法院和二审法院在认定原告欧丽珍是否存在重大过失时亦有不同意见。首先需 要说明的是，在学理上，学者多认为只有在适用第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rPr>
        <w:t>条时尚有“重大过失</w:t>
      </w:r>
      <w:r>
        <w:rPr>
          <w:color w:val="000000"/>
          <w:spacing w:val="0"/>
          <w:w w:val="100"/>
          <w:position w:val="0"/>
          <w:lang w:val="zh-CN" w:eastAsia="zh-CN" w:bidi="zh-CN"/>
        </w:rPr>
        <w:t>”之认</w:t>
      </w:r>
      <w:r>
        <w:rPr>
          <w:color w:val="000000"/>
          <w:spacing w:val="0"/>
          <w:w w:val="100"/>
          <w:position w:val="0"/>
        </w:rPr>
        <w:t>定可能，因 为第</w:t>
      </w:r>
      <w:r>
        <w:rPr>
          <w:rFonts w:ascii="Times New Roman" w:hAnsi="Times New Roman" w:eastAsia="Times New Roman" w:cs="Times New Roman"/>
          <w:color w:val="000000"/>
          <w:spacing w:val="0"/>
          <w:w w:val="100"/>
          <w:position w:val="0"/>
          <w:sz w:val="17"/>
          <w:szCs w:val="17"/>
        </w:rPr>
        <w:t>79</w:t>
      </w:r>
      <w:r>
        <w:rPr>
          <w:color w:val="000000"/>
          <w:spacing w:val="0"/>
          <w:w w:val="100"/>
          <w:position w:val="0"/>
        </w:rPr>
        <w:t>条未设置免责事由</w:t>
      </w:r>
      <w:r>
        <w:rPr>
          <w:color w:val="000000"/>
          <w:spacing w:val="0"/>
          <w:w w:val="100"/>
          <w:position w:val="0"/>
          <w:sz w:val="11"/>
          <w:szCs w:val="11"/>
        </w:rPr>
        <w:t>［程啸:《侵权责任法》（第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1"/>
          <w:szCs w:val="11"/>
        </w:rPr>
        <w:t>版），法律出版社</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625</w:t>
      </w:r>
      <w:r>
        <w:rPr>
          <w:color w:val="000000"/>
          <w:spacing w:val="0"/>
          <w:w w:val="100"/>
          <w:position w:val="0"/>
          <w:sz w:val="11"/>
          <w:szCs w:val="11"/>
        </w:rPr>
        <w:t xml:space="preserve">页］。而 </w:t>
      </w:r>
      <w:r>
        <w:rPr>
          <w:color w:val="000000"/>
          <w:spacing w:val="0"/>
          <w:w w:val="100"/>
          <w:position w:val="0"/>
        </w:rPr>
        <w:t>最高人民法院的态度亦为否定:</w:t>
      </w:r>
      <w:r>
        <w:rPr>
          <w:color w:val="000000"/>
          <w:spacing w:val="0"/>
          <w:w w:val="100"/>
          <w:position w:val="0"/>
          <w:lang w:val="zh-CN" w:eastAsia="zh-CN" w:bidi="zh-CN"/>
        </w:rPr>
        <w:t>“从</w:t>
      </w:r>
      <w:r>
        <w:rPr>
          <w:color w:val="000000"/>
          <w:spacing w:val="0"/>
          <w:w w:val="100"/>
          <w:position w:val="0"/>
        </w:rPr>
        <w:t>该条的立法目的来看，其重点是对动物饲养人或管理人 之行为加以规范，而苛以较重的责任符合此一立法意旨。从另一个角度看，本条文义表明, 立法者并无此情形下可以进行过失相抵的意图，相反恰恰说明立法者的态度是否定的</w:t>
      </w:r>
      <w:r>
        <w:rPr>
          <w:color w:val="000000"/>
          <w:spacing w:val="0"/>
          <w:w w:val="100"/>
          <w:position w:val="0"/>
          <w:lang w:val="zh-CN" w:eastAsia="zh-CN" w:bidi="zh-CN"/>
        </w:rPr>
        <w:t>。”而 “重大</w:t>
      </w:r>
      <w:r>
        <w:rPr>
          <w:color w:val="000000"/>
          <w:spacing w:val="0"/>
          <w:w w:val="100"/>
          <w:position w:val="0"/>
        </w:rPr>
        <w:t>过失”的考虑主要是从动物自身的危险性以及诱发动物危险行为的可能性角度去判 定，如果被侵权人实施挑逗、投打等行为造成损害的,应当认定其有重大过失</w:t>
      </w:r>
      <w:r>
        <w:rPr>
          <w:color w:val="000000"/>
          <w:spacing w:val="0"/>
          <w:w w:val="100"/>
          <w:position w:val="0"/>
          <w:sz w:val="11"/>
          <w:szCs w:val="11"/>
        </w:rPr>
        <w:t>（最高人民法院 侵权责任法研究小组：《〈中华人民共和国侵权责任法〉条文理解与使用》，人民法院出版社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 第</w:t>
      </w:r>
      <w:r>
        <w:rPr>
          <w:rFonts w:ascii="Times New Roman" w:hAnsi="Times New Roman" w:eastAsia="Times New Roman" w:cs="Times New Roman"/>
          <w:color w:val="000000"/>
          <w:spacing w:val="0"/>
          <w:w w:val="100"/>
          <w:position w:val="0"/>
          <w:sz w:val="17"/>
          <w:szCs w:val="17"/>
          <w:lang w:val="en-US" w:eastAsia="en-US" w:bidi="en-US"/>
        </w:rPr>
        <w:t>527.532</w:t>
      </w:r>
      <w:r>
        <w:rPr>
          <w:color w:val="000000"/>
          <w:spacing w:val="0"/>
          <w:w w:val="100"/>
          <w:position w:val="0"/>
          <w:sz w:val="11"/>
          <w:szCs w:val="11"/>
        </w:rPr>
        <w:t>页）。</w:t>
      </w:r>
      <w:r>
        <w:rPr>
          <w:color w:val="000000"/>
          <w:spacing w:val="0"/>
          <w:w w:val="100"/>
          <w:position w:val="0"/>
        </w:rPr>
        <w:t>另有学者提出，应当从社会一般人的注意义务水平、可预见性、受害人是否 实施违法行为等要素加以判断。</w:t>
      </w:r>
    </w:p>
    <w:p w14:paraId="696F22FB">
      <w:pPr>
        <w:pStyle w:val="17"/>
        <w:keepNext w:val="0"/>
        <w:keepLines w:val="0"/>
        <w:widowControl w:val="0"/>
        <w:shd w:val="clear" w:color="auto" w:fill="auto"/>
        <w:bidi w:val="0"/>
        <w:spacing w:before="0" w:after="300" w:line="343" w:lineRule="exact"/>
        <w:ind w:left="0" w:right="0"/>
        <w:jc w:val="both"/>
        <w:rPr>
          <w:sz w:val="11"/>
          <w:szCs w:val="11"/>
        </w:rPr>
      </w:pPr>
      <w:r>
        <w:rPr>
          <w:color w:val="000000"/>
          <w:spacing w:val="0"/>
          <w:w w:val="100"/>
          <w:position w:val="0"/>
          <w:sz w:val="18"/>
          <w:szCs w:val="18"/>
        </w:rPr>
        <w:t>此外，最高人民法院认为，若适用第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sz w:val="18"/>
          <w:szCs w:val="18"/>
        </w:rPr>
        <w:t>条之规定,则法院可依职权适用过失相抵规则, 而无需当事人主张，因为过失相抵之目的在于确定责任的范围</w:t>
      </w:r>
      <w:r>
        <w:rPr>
          <w:color w:val="000000"/>
          <w:spacing w:val="0"/>
          <w:w w:val="100"/>
          <w:position w:val="0"/>
          <w:sz w:val="11"/>
          <w:szCs w:val="11"/>
        </w:rPr>
        <w:t>（最高人民法院侵权责任法研究 小组:《〈中华人民共和国侵权责任法〉条文理解与使用》，人民法院出版社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年版，第</w:t>
      </w:r>
      <w:r>
        <w:rPr>
          <w:rFonts w:ascii="Times New Roman" w:hAnsi="Times New Roman" w:eastAsia="Times New Roman" w:cs="Times New Roman"/>
          <w:color w:val="000000"/>
          <w:spacing w:val="0"/>
          <w:w w:val="100"/>
          <w:position w:val="0"/>
          <w:sz w:val="17"/>
          <w:szCs w:val="17"/>
        </w:rPr>
        <w:t>536 ~537</w:t>
      </w:r>
      <w:r>
        <w:rPr>
          <w:color w:val="000000"/>
          <w:spacing w:val="0"/>
          <w:w w:val="100"/>
          <w:position w:val="0"/>
          <w:sz w:val="11"/>
          <w:szCs w:val="11"/>
        </w:rPr>
        <w:t>页）。</w:t>
      </w:r>
    </w:p>
    <w:p w14:paraId="770A140A">
      <w:pPr>
        <w:pStyle w:val="17"/>
        <w:keepNext w:val="0"/>
        <w:keepLines w:val="0"/>
        <w:widowControl w:val="0"/>
        <w:shd w:val="clear" w:color="auto" w:fill="auto"/>
        <w:bidi w:val="0"/>
        <w:spacing w:before="0" w:after="0" w:line="422"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既往司法实践状况</w:t>
      </w:r>
    </w:p>
    <w:p w14:paraId="441F1FBF">
      <w:pPr>
        <w:pStyle w:val="17"/>
        <w:keepNext w:val="0"/>
        <w:keepLines w:val="0"/>
        <w:widowControl w:val="0"/>
        <w:shd w:val="clear" w:color="auto" w:fill="auto"/>
        <w:bidi w:val="0"/>
        <w:spacing w:before="0" w:after="0" w:line="341" w:lineRule="exact"/>
        <w:ind w:left="0" w:right="0"/>
        <w:jc w:val="both"/>
      </w:pPr>
      <w:r>
        <w:rPr>
          <w:color w:val="000000"/>
          <w:spacing w:val="0"/>
          <w:w w:val="100"/>
          <w:position w:val="0"/>
        </w:rPr>
        <w:t>针对以上三个争议问题,整理部分判例状况如下：</w:t>
      </w:r>
    </w:p>
    <w:p w14:paraId="3DF17B8D">
      <w:pPr>
        <w:pStyle w:val="17"/>
        <w:keepNext w:val="0"/>
        <w:keepLines w:val="0"/>
        <w:widowControl w:val="0"/>
        <w:shd w:val="clear" w:color="auto" w:fill="auto"/>
        <w:bidi w:val="0"/>
        <w:spacing w:before="0" w:after="0" w:line="341" w:lineRule="exact"/>
        <w:ind w:left="0" w:right="0"/>
        <w:jc w:val="both"/>
        <w:rPr>
          <w:sz w:val="11"/>
          <w:szCs w:val="11"/>
        </w:rPr>
      </w:pPr>
      <w:r>
        <w:rPr>
          <w:rFonts w:ascii="Times New Roman" w:hAnsi="Times New Roman" w:eastAsia="Times New Roman" w:cs="Times New Roman"/>
          <w:color w:val="000000"/>
          <w:spacing w:val="0"/>
          <w:w w:val="100"/>
          <w:position w:val="0"/>
          <w:sz w:val="17"/>
          <w:szCs w:val="17"/>
        </w:rPr>
        <w:t xml:space="preserve">1 </w:t>
      </w:r>
      <w:r>
        <w:rPr>
          <w:color w:val="000000"/>
          <w:spacing w:val="0"/>
          <w:w w:val="100"/>
          <w:position w:val="0"/>
          <w:sz w:val="18"/>
          <w:szCs w:val="18"/>
        </w:rPr>
        <w:t>.在条文适用上与本案一样，认为可同时适用《侵权责任法》第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79</w:t>
      </w:r>
      <w:r>
        <w:rPr>
          <w:color w:val="000000"/>
          <w:spacing w:val="0"/>
          <w:w w:val="100"/>
          <w:position w:val="0"/>
          <w:sz w:val="18"/>
          <w:szCs w:val="18"/>
        </w:rPr>
        <w:t>条（《民法 典》第</w:t>
      </w:r>
      <w:r>
        <w:rPr>
          <w:rFonts w:ascii="Times New Roman" w:hAnsi="Times New Roman" w:eastAsia="Times New Roman" w:cs="Times New Roman"/>
          <w:color w:val="000000"/>
          <w:spacing w:val="0"/>
          <w:w w:val="100"/>
          <w:position w:val="0"/>
          <w:sz w:val="17"/>
          <w:szCs w:val="17"/>
        </w:rPr>
        <w:t>1245</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1246</w:t>
      </w:r>
      <w:r>
        <w:rPr>
          <w:color w:val="000000"/>
          <w:spacing w:val="0"/>
          <w:w w:val="100"/>
          <w:position w:val="0"/>
          <w:sz w:val="18"/>
          <w:szCs w:val="18"/>
        </w:rPr>
        <w:t>条）的判决并不鲜见</w:t>
      </w:r>
      <w:r>
        <w:rPr>
          <w:color w:val="000000"/>
          <w:spacing w:val="0"/>
          <w:w w:val="100"/>
          <w:position w:val="0"/>
          <w:sz w:val="11"/>
          <w:szCs w:val="11"/>
        </w:rPr>
        <w:t>［如济南市中级人民法院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鲁</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1701</w:t>
      </w:r>
      <w:r>
        <w:rPr>
          <w:color w:val="000000"/>
          <w:spacing w:val="0"/>
          <w:w w:val="100"/>
          <w:position w:val="0"/>
          <w:sz w:val="11"/>
          <w:szCs w:val="11"/>
        </w:rPr>
        <w:t>号民 事判决书］。</w:t>
      </w:r>
      <w:r>
        <w:rPr>
          <w:color w:val="000000"/>
          <w:spacing w:val="0"/>
          <w:w w:val="100"/>
          <w:position w:val="0"/>
          <w:sz w:val="18"/>
          <w:szCs w:val="18"/>
        </w:rPr>
        <w:t>亦有判决对第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80</w:t>
      </w:r>
      <w:r>
        <w:rPr>
          <w:color w:val="000000"/>
          <w:spacing w:val="0"/>
          <w:w w:val="100"/>
          <w:position w:val="0"/>
          <w:sz w:val="18"/>
          <w:szCs w:val="18"/>
        </w:rPr>
        <w:t>条（《民法典》第</w:t>
      </w:r>
      <w:r>
        <w:rPr>
          <w:rFonts w:ascii="Times New Roman" w:hAnsi="Times New Roman" w:eastAsia="Times New Roman" w:cs="Times New Roman"/>
          <w:color w:val="000000"/>
          <w:spacing w:val="0"/>
          <w:w w:val="100"/>
          <w:position w:val="0"/>
          <w:sz w:val="17"/>
          <w:szCs w:val="17"/>
        </w:rPr>
        <w:t>1245</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1247</w:t>
      </w:r>
      <w:r>
        <w:rPr>
          <w:color w:val="000000"/>
          <w:spacing w:val="0"/>
          <w:w w:val="100"/>
          <w:position w:val="0"/>
          <w:sz w:val="18"/>
          <w:szCs w:val="18"/>
        </w:rPr>
        <w:t>条）的区分提岀 见解</w:t>
      </w:r>
      <w:r>
        <w:rPr>
          <w:color w:val="000000"/>
          <w:spacing w:val="0"/>
          <w:w w:val="100"/>
          <w:position w:val="0"/>
          <w:sz w:val="11"/>
          <w:szCs w:val="11"/>
        </w:rPr>
        <w:t>［晋中市中级人民法院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sz w:val="11"/>
          <w:szCs w:val="11"/>
        </w:rPr>
        <w:t>晋</w:t>
      </w:r>
      <w:r>
        <w:rPr>
          <w:rFonts w:ascii="Times New Roman" w:hAnsi="Times New Roman" w:eastAsia="Times New Roman" w:cs="Times New Roman"/>
          <w:color w:val="000000"/>
          <w:spacing w:val="0"/>
          <w:w w:val="100"/>
          <w:position w:val="0"/>
          <w:sz w:val="17"/>
          <w:szCs w:val="17"/>
        </w:rPr>
        <w:t>07</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1478</w:t>
      </w:r>
      <w:r>
        <w:rPr>
          <w:color w:val="000000"/>
          <w:spacing w:val="0"/>
          <w:w w:val="100"/>
          <w:position w:val="0"/>
          <w:sz w:val="11"/>
          <w:szCs w:val="11"/>
        </w:rPr>
        <w:t>号民事判决书］。</w:t>
      </w:r>
      <w:r>
        <w:rPr>
          <w:color w:val="000000"/>
          <w:spacing w:val="0"/>
          <w:w w:val="100"/>
          <w:position w:val="0"/>
          <w:sz w:val="18"/>
          <w:szCs w:val="18"/>
        </w:rPr>
        <w:t>或认为第</w:t>
      </w:r>
      <w:r>
        <w:rPr>
          <w:rFonts w:ascii="Times New Roman" w:hAnsi="Times New Roman" w:eastAsia="Times New Roman" w:cs="Times New Roman"/>
          <w:color w:val="000000"/>
          <w:spacing w:val="0"/>
          <w:w w:val="100"/>
          <w:position w:val="0"/>
          <w:sz w:val="17"/>
          <w:szCs w:val="17"/>
        </w:rPr>
        <w:t>78</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82</w:t>
      </w:r>
      <w:r>
        <w:rPr>
          <w:color w:val="000000"/>
          <w:spacing w:val="0"/>
          <w:w w:val="100"/>
          <w:position w:val="0"/>
          <w:sz w:val="18"/>
          <w:szCs w:val="18"/>
        </w:rPr>
        <w:t>条 （《民法典》第</w:t>
      </w:r>
      <w:r>
        <w:rPr>
          <w:rFonts w:ascii="Times New Roman" w:hAnsi="Times New Roman" w:eastAsia="Times New Roman" w:cs="Times New Roman"/>
          <w:color w:val="000000"/>
          <w:spacing w:val="0"/>
          <w:w w:val="100"/>
          <w:position w:val="0"/>
          <w:sz w:val="17"/>
          <w:szCs w:val="17"/>
        </w:rPr>
        <w:t>1245</w:t>
      </w:r>
      <w:r>
        <w:rPr>
          <w:color w:val="000000"/>
          <w:spacing w:val="0"/>
          <w:w w:val="100"/>
          <w:position w:val="0"/>
          <w:sz w:val="18"/>
          <w:szCs w:val="18"/>
        </w:rPr>
        <w:t>条和第</w:t>
      </w:r>
      <w:r>
        <w:rPr>
          <w:rFonts w:ascii="Times New Roman" w:hAnsi="Times New Roman" w:eastAsia="Times New Roman" w:cs="Times New Roman"/>
          <w:color w:val="000000"/>
          <w:spacing w:val="0"/>
          <w:w w:val="100"/>
          <w:position w:val="0"/>
          <w:sz w:val="17"/>
          <w:szCs w:val="17"/>
        </w:rPr>
        <w:t>1249</w:t>
      </w:r>
      <w:r>
        <w:rPr>
          <w:color w:val="000000"/>
          <w:spacing w:val="0"/>
          <w:w w:val="100"/>
          <w:position w:val="0"/>
          <w:sz w:val="18"/>
          <w:szCs w:val="18"/>
        </w:rPr>
        <w:t>条）可同时适用</w:t>
      </w:r>
      <w:r>
        <w:rPr>
          <w:color w:val="000000"/>
          <w:spacing w:val="0"/>
          <w:w w:val="100"/>
          <w:position w:val="0"/>
          <w:sz w:val="11"/>
          <w:szCs w:val="11"/>
        </w:rPr>
        <w:t>［南宁市中级人民法院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 xml:space="preserve">南市民一终字第 </w:t>
      </w:r>
      <w:r>
        <w:rPr>
          <w:rFonts w:ascii="Times New Roman" w:hAnsi="Times New Roman" w:eastAsia="Times New Roman" w:cs="Times New Roman"/>
          <w:color w:val="000000"/>
          <w:spacing w:val="0"/>
          <w:w w:val="100"/>
          <w:position w:val="0"/>
          <w:sz w:val="17"/>
          <w:szCs w:val="17"/>
        </w:rPr>
        <w:t>890</w:t>
      </w:r>
      <w:r>
        <w:rPr>
          <w:color w:val="000000"/>
          <w:spacing w:val="0"/>
          <w:w w:val="100"/>
          <w:position w:val="0"/>
          <w:sz w:val="11"/>
          <w:szCs w:val="11"/>
        </w:rPr>
        <w:t>号民事判决书］。</w:t>
      </w:r>
    </w:p>
    <w:p w14:paraId="2C3A9CE9">
      <w:pPr>
        <w:pStyle w:val="17"/>
        <w:keepNext w:val="0"/>
        <w:keepLines w:val="0"/>
        <w:widowControl w:val="0"/>
        <w:shd w:val="clear" w:color="auto" w:fill="auto"/>
        <w:bidi w:val="0"/>
        <w:spacing w:before="0" w:after="0" w:line="341" w:lineRule="exact"/>
        <w:ind w:left="0" w:right="0"/>
        <w:jc w:val="both"/>
        <w:rPr>
          <w:sz w:val="11"/>
          <w:szCs w:val="11"/>
        </w:rPr>
      </w:pPr>
      <w:r>
        <w:rPr>
          <w:rFonts w:ascii="Times New Roman" w:hAnsi="Times New Roman" w:eastAsia="Times New Roman" w:cs="Times New Roman"/>
          <w:color w:val="000000"/>
          <w:spacing w:val="0"/>
          <w:w w:val="100"/>
          <w:position w:val="0"/>
          <w:sz w:val="17"/>
          <w:szCs w:val="17"/>
        </w:rPr>
        <w:t>2</w:t>
      </w:r>
      <w:r>
        <w:rPr>
          <w:color w:val="000000"/>
          <w:spacing w:val="0"/>
          <w:w w:val="100"/>
          <w:position w:val="0"/>
          <w:sz w:val="18"/>
          <w:szCs w:val="18"/>
        </w:rPr>
        <w:t>.在</w:t>
      </w:r>
      <w:r>
        <w:rPr>
          <w:color w:val="000000"/>
          <w:spacing w:val="0"/>
          <w:w w:val="100"/>
          <w:position w:val="0"/>
          <w:sz w:val="18"/>
          <w:szCs w:val="18"/>
          <w:lang w:val="zh-CN" w:eastAsia="zh-CN" w:bidi="zh-CN"/>
        </w:rPr>
        <w:t>“造</w:t>
      </w:r>
      <w:r>
        <w:rPr>
          <w:color w:val="000000"/>
          <w:spacing w:val="0"/>
          <w:w w:val="100"/>
          <w:position w:val="0"/>
          <w:sz w:val="18"/>
          <w:szCs w:val="18"/>
        </w:rPr>
        <w:t>成他人受损害</w:t>
      </w:r>
      <w:r>
        <w:rPr>
          <w:color w:val="000000"/>
          <w:spacing w:val="0"/>
          <w:w w:val="100"/>
          <w:position w:val="0"/>
          <w:sz w:val="18"/>
          <w:szCs w:val="18"/>
          <w:lang w:val="zh-CN" w:eastAsia="zh-CN" w:bidi="zh-CN"/>
        </w:rPr>
        <w:t>”的</w:t>
      </w:r>
      <w:r>
        <w:rPr>
          <w:color w:val="000000"/>
          <w:spacing w:val="0"/>
          <w:w w:val="100"/>
          <w:position w:val="0"/>
          <w:sz w:val="18"/>
          <w:szCs w:val="18"/>
        </w:rPr>
        <w:t>判断上，本公报案例公布之前的司法实践对于</w:t>
      </w:r>
      <w:r>
        <w:rPr>
          <w:color w:val="000000"/>
          <w:spacing w:val="0"/>
          <w:w w:val="100"/>
          <w:position w:val="0"/>
          <w:sz w:val="18"/>
          <w:szCs w:val="18"/>
          <w:lang w:val="zh-CN" w:eastAsia="zh-CN" w:bidi="zh-CN"/>
        </w:rPr>
        <w:t>“动</w:t>
      </w:r>
      <w:r>
        <w:rPr>
          <w:color w:val="000000"/>
          <w:spacing w:val="0"/>
          <w:w w:val="100"/>
          <w:position w:val="0"/>
          <w:sz w:val="18"/>
          <w:szCs w:val="18"/>
        </w:rPr>
        <w:t>物危险</w:t>
      </w:r>
      <w:r>
        <w:rPr>
          <w:color w:val="000000"/>
          <w:spacing w:val="0"/>
          <w:w w:val="100"/>
          <w:position w:val="0"/>
          <w:sz w:val="18"/>
          <w:szCs w:val="18"/>
          <w:lang w:val="zh-CN" w:eastAsia="zh-CN" w:bidi="zh-CN"/>
        </w:rPr>
        <w:t xml:space="preserve">”的 </w:t>
      </w:r>
      <w:r>
        <w:rPr>
          <w:color w:val="000000"/>
          <w:spacing w:val="0"/>
          <w:w w:val="100"/>
          <w:position w:val="0"/>
          <w:sz w:val="18"/>
          <w:szCs w:val="18"/>
        </w:rPr>
        <w:t>判断标准不一，大多数为传统的咬伤或啄伤</w:t>
      </w:r>
      <w:r>
        <w:rPr>
          <w:color w:val="000000"/>
          <w:spacing w:val="0"/>
          <w:w w:val="100"/>
          <w:position w:val="0"/>
          <w:sz w:val="11"/>
          <w:szCs w:val="11"/>
        </w:rPr>
        <w:t>［咸宁市中级人民法院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鄂咸宁中民终字第</w:t>
      </w:r>
      <w:r>
        <w:rPr>
          <w:rFonts w:ascii="Times New Roman" w:hAnsi="Times New Roman" w:eastAsia="Times New Roman" w:cs="Times New Roman"/>
          <w:color w:val="000000"/>
          <w:spacing w:val="0"/>
          <w:w w:val="100"/>
          <w:position w:val="0"/>
          <w:sz w:val="17"/>
          <w:szCs w:val="17"/>
        </w:rPr>
        <w:t xml:space="preserve">17 </w:t>
      </w:r>
      <w:r>
        <w:rPr>
          <w:color w:val="000000"/>
          <w:spacing w:val="0"/>
          <w:w w:val="100"/>
          <w:position w:val="0"/>
          <w:sz w:val="11"/>
          <w:szCs w:val="11"/>
        </w:rPr>
        <w:t>号民事判决书；重庆市第五中级人民法院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渝五中法民终字第</w:t>
      </w:r>
      <w:r>
        <w:rPr>
          <w:rFonts w:ascii="Times New Roman" w:hAnsi="Times New Roman" w:eastAsia="Times New Roman" w:cs="Times New Roman"/>
          <w:color w:val="000000"/>
          <w:spacing w:val="0"/>
          <w:w w:val="100"/>
          <w:position w:val="0"/>
          <w:sz w:val="17"/>
          <w:szCs w:val="17"/>
        </w:rPr>
        <w:t>03260</w:t>
      </w:r>
      <w:r>
        <w:rPr>
          <w:color w:val="000000"/>
          <w:spacing w:val="0"/>
          <w:w w:val="100"/>
          <w:position w:val="0"/>
          <w:sz w:val="11"/>
          <w:szCs w:val="11"/>
        </w:rPr>
        <w:t>号民事判决书］。亦</w:t>
      </w:r>
      <w:r>
        <w:rPr>
          <w:color w:val="000000"/>
          <w:spacing w:val="0"/>
          <w:w w:val="100"/>
          <w:position w:val="0"/>
          <w:sz w:val="18"/>
          <w:szCs w:val="18"/>
        </w:rPr>
        <w:t xml:space="preserve">有与本 案类似，但被侵权人是因为被饲养犬类的直接追逐而受惊吓遭致损害，因果关系更为明确 </w:t>
      </w:r>
      <w:r>
        <w:rPr>
          <w:color w:val="000000"/>
          <w:spacing w:val="0"/>
          <w:w w:val="100"/>
          <w:position w:val="0"/>
          <w:sz w:val="11"/>
          <w:szCs w:val="11"/>
        </w:rPr>
        <w:t>［呼和浩特市中级人民法院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内</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2173</w:t>
      </w:r>
      <w:r>
        <w:rPr>
          <w:color w:val="000000"/>
          <w:spacing w:val="0"/>
          <w:w w:val="100"/>
          <w:position w:val="0"/>
          <w:sz w:val="11"/>
          <w:szCs w:val="11"/>
        </w:rPr>
        <w:t>号民事判决书，法院认为边境牧羊犬非小型犬］。</w:t>
      </w:r>
      <w:r>
        <w:rPr>
          <w:color w:val="000000"/>
          <w:spacing w:val="0"/>
          <w:w w:val="100"/>
          <w:position w:val="0"/>
          <w:sz w:val="18"/>
          <w:szCs w:val="18"/>
        </w:rPr>
        <w:t>亦 有法院指出</w:t>
      </w:r>
      <w:r>
        <w:rPr>
          <w:color w:val="000000"/>
          <w:spacing w:val="0"/>
          <w:w w:val="100"/>
          <w:position w:val="0"/>
          <w:sz w:val="18"/>
          <w:szCs w:val="18"/>
          <w:lang w:val="zh-CN" w:eastAsia="zh-CN" w:bidi="zh-CN"/>
        </w:rPr>
        <w:t>，“由</w:t>
      </w:r>
      <w:r>
        <w:rPr>
          <w:color w:val="000000"/>
          <w:spacing w:val="0"/>
          <w:w w:val="100"/>
          <w:position w:val="0"/>
          <w:sz w:val="18"/>
          <w:szCs w:val="18"/>
        </w:rPr>
        <w:t>于动物的行为存在不可预知性,尤其是犬类动物存在攻击性和传染疫病的 危险，所以，一般人会对其产生恐惧、紧张、害怕的心理</w:t>
      </w:r>
      <w:r>
        <w:rPr>
          <w:color w:val="000000"/>
          <w:spacing w:val="0"/>
          <w:w w:val="100"/>
          <w:position w:val="0"/>
          <w:sz w:val="11"/>
          <w:szCs w:val="11"/>
          <w:lang w:val="zh-CN" w:eastAsia="zh-CN" w:bidi="zh-CN"/>
        </w:rPr>
        <w:t>”［天</w:t>
      </w:r>
      <w:r>
        <w:rPr>
          <w:color w:val="000000"/>
          <w:spacing w:val="0"/>
          <w:w w:val="100"/>
          <w:position w:val="0"/>
          <w:sz w:val="11"/>
          <w:szCs w:val="11"/>
        </w:rPr>
        <w:t>津市第二中级人民法院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二中 民四终字第</w:t>
      </w:r>
      <w:r>
        <w:rPr>
          <w:rFonts w:ascii="Times New Roman" w:hAnsi="Times New Roman" w:eastAsia="Times New Roman" w:cs="Times New Roman"/>
          <w:color w:val="000000"/>
          <w:spacing w:val="0"/>
          <w:w w:val="100"/>
          <w:position w:val="0"/>
          <w:sz w:val="17"/>
          <w:szCs w:val="17"/>
        </w:rPr>
        <w:t>204</w:t>
      </w:r>
      <w:r>
        <w:rPr>
          <w:color w:val="000000"/>
          <w:spacing w:val="0"/>
          <w:w w:val="100"/>
          <w:position w:val="0"/>
          <w:sz w:val="11"/>
          <w:szCs w:val="11"/>
        </w:rPr>
        <w:t>号民事判决书］。</w:t>
      </w:r>
    </w:p>
    <w:p w14:paraId="6AD3B555">
      <w:pPr>
        <w:pStyle w:val="17"/>
        <w:keepNext w:val="0"/>
        <w:keepLines w:val="0"/>
        <w:widowControl w:val="0"/>
        <w:shd w:val="clear" w:color="auto" w:fill="auto"/>
        <w:bidi w:val="0"/>
        <w:spacing w:before="0" w:after="300" w:line="336" w:lineRule="exact"/>
        <w:ind w:left="0" w:right="0"/>
        <w:jc w:val="both"/>
        <w:rPr>
          <w:sz w:val="11"/>
          <w:szCs w:val="11"/>
        </w:rPr>
      </w:pPr>
      <w:r>
        <w:rPr>
          <w:rFonts w:ascii="Times New Roman" w:hAnsi="Times New Roman" w:eastAsia="Times New Roman" w:cs="Times New Roman"/>
          <w:color w:val="000000"/>
          <w:spacing w:val="0"/>
          <w:w w:val="100"/>
          <w:position w:val="0"/>
          <w:sz w:val="19"/>
          <w:szCs w:val="19"/>
          <w:lang w:val="en-US" w:eastAsia="en-US" w:bidi="en-US"/>
        </w:rPr>
        <w:t>3.</w:t>
      </w:r>
      <w:r>
        <w:rPr>
          <w:color w:val="000000"/>
          <w:spacing w:val="0"/>
          <w:w w:val="100"/>
          <w:position w:val="0"/>
          <w:sz w:val="18"/>
          <w:szCs w:val="18"/>
        </w:rPr>
        <w:t>在“重大过失</w:t>
      </w:r>
      <w:r>
        <w:rPr>
          <w:color w:val="000000"/>
          <w:spacing w:val="0"/>
          <w:w w:val="100"/>
          <w:position w:val="0"/>
          <w:sz w:val="18"/>
          <w:szCs w:val="18"/>
          <w:lang w:val="zh-CN" w:eastAsia="zh-CN" w:bidi="zh-CN"/>
        </w:rPr>
        <w:t>”的</w:t>
      </w:r>
      <w:r>
        <w:rPr>
          <w:color w:val="000000"/>
          <w:spacing w:val="0"/>
          <w:w w:val="100"/>
          <w:position w:val="0"/>
          <w:sz w:val="18"/>
          <w:szCs w:val="18"/>
        </w:rPr>
        <w:t>判断上，司法判例中常有被告主张原告重大过失但举证不足，法院 不予认可的情况</w:t>
      </w:r>
      <w:r>
        <w:rPr>
          <w:color w:val="000000"/>
          <w:spacing w:val="0"/>
          <w:w w:val="100"/>
          <w:position w:val="0"/>
          <w:sz w:val="11"/>
          <w:szCs w:val="11"/>
        </w:rPr>
        <w:t>［茂名市中级人民法院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2015）</w:t>
      </w:r>
      <w:r>
        <w:rPr>
          <w:color w:val="000000"/>
          <w:spacing w:val="0"/>
          <w:w w:val="100"/>
          <w:position w:val="0"/>
          <w:sz w:val="11"/>
          <w:szCs w:val="11"/>
        </w:rPr>
        <w:t>茂中法审监民再字第</w:t>
      </w:r>
      <w:r>
        <w:rPr>
          <w:rFonts w:ascii="Times New Roman" w:hAnsi="Times New Roman" w:eastAsia="Times New Roman" w:cs="Times New Roman"/>
          <w:color w:val="000000"/>
          <w:spacing w:val="0"/>
          <w:w w:val="100"/>
          <w:position w:val="0"/>
          <w:sz w:val="17"/>
          <w:szCs w:val="17"/>
        </w:rPr>
        <w:t>1</w:t>
      </w:r>
      <w:r>
        <w:rPr>
          <w:color w:val="000000"/>
          <w:spacing w:val="0"/>
          <w:w w:val="100"/>
          <w:position w:val="0"/>
          <w:sz w:val="11"/>
          <w:szCs w:val="11"/>
        </w:rPr>
        <w:t>号再审民事判决书；柳州市中 级人民法院</w:t>
      </w:r>
      <w:r>
        <w:rPr>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t>2014）</w:t>
      </w:r>
      <w:r>
        <w:rPr>
          <w:color w:val="000000"/>
          <w:spacing w:val="0"/>
          <w:w w:val="100"/>
          <w:position w:val="0"/>
          <w:sz w:val="11"/>
          <w:szCs w:val="11"/>
        </w:rPr>
        <w:t>柳市民一终字第</w:t>
      </w:r>
      <w:r>
        <w:rPr>
          <w:rFonts w:ascii="Times New Roman" w:hAnsi="Times New Roman" w:eastAsia="Times New Roman" w:cs="Times New Roman"/>
          <w:color w:val="000000"/>
          <w:spacing w:val="0"/>
          <w:w w:val="100"/>
          <w:position w:val="0"/>
          <w:sz w:val="17"/>
          <w:szCs w:val="17"/>
        </w:rPr>
        <w:t>363</w:t>
      </w:r>
      <w:r>
        <w:rPr>
          <w:color w:val="000000"/>
          <w:spacing w:val="0"/>
          <w:w w:val="100"/>
          <w:position w:val="0"/>
          <w:sz w:val="11"/>
          <w:szCs w:val="11"/>
        </w:rPr>
        <w:t>号民事判决书］。</w:t>
      </w:r>
      <w:r>
        <w:rPr>
          <w:color w:val="000000"/>
          <w:spacing w:val="0"/>
          <w:w w:val="100"/>
          <w:position w:val="0"/>
          <w:sz w:val="18"/>
          <w:szCs w:val="18"/>
        </w:rPr>
        <w:t>有部分判决提出判断标准,认为“……必 要条件，即被侵权人的过错是造成损害的原因。没有办理养犬登记手续也没有其他保护措 施,并非造成损害的原因，故该事实不符合法律规定减轻动物饲养人责任的情形</w:t>
      </w:r>
      <w:r>
        <w:rPr>
          <w:color w:val="000000"/>
          <w:spacing w:val="0"/>
          <w:w w:val="100"/>
          <w:position w:val="0"/>
          <w:sz w:val="11"/>
          <w:szCs w:val="11"/>
          <w:lang w:val="zh-CN" w:eastAsia="zh-CN" w:bidi="zh-CN"/>
        </w:rPr>
        <w:t>”［呼</w:t>
      </w:r>
      <w:r>
        <w:rPr>
          <w:color w:val="000000"/>
          <w:spacing w:val="0"/>
          <w:w w:val="100"/>
          <w:position w:val="0"/>
          <w:sz w:val="11"/>
          <w:szCs w:val="11"/>
        </w:rPr>
        <w:t>和浩特 市中级人民法院</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sz w:val="11"/>
          <w:szCs w:val="11"/>
        </w:rPr>
        <w:t>内</w:t>
      </w:r>
      <w:r>
        <w:rPr>
          <w:rFonts w:ascii="Times New Roman" w:hAnsi="Times New Roman" w:eastAsia="Times New Roman" w:cs="Times New Roman"/>
          <w:color w:val="000000"/>
          <w:spacing w:val="0"/>
          <w:w w:val="100"/>
          <w:position w:val="0"/>
          <w:sz w:val="17"/>
          <w:szCs w:val="17"/>
        </w:rPr>
        <w:t>01</w:t>
      </w:r>
      <w:r>
        <w:rPr>
          <w:color w:val="000000"/>
          <w:spacing w:val="0"/>
          <w:w w:val="100"/>
          <w:position w:val="0"/>
          <w:sz w:val="11"/>
          <w:szCs w:val="11"/>
        </w:rPr>
        <w:t>民终</w:t>
      </w:r>
      <w:r>
        <w:rPr>
          <w:rFonts w:ascii="Times New Roman" w:hAnsi="Times New Roman" w:eastAsia="Times New Roman" w:cs="Times New Roman"/>
          <w:color w:val="000000"/>
          <w:spacing w:val="0"/>
          <w:w w:val="100"/>
          <w:position w:val="0"/>
          <w:sz w:val="17"/>
          <w:szCs w:val="17"/>
        </w:rPr>
        <w:t>2173</w:t>
      </w:r>
      <w:r>
        <w:rPr>
          <w:color w:val="000000"/>
          <w:spacing w:val="0"/>
          <w:w w:val="100"/>
          <w:position w:val="0"/>
          <w:sz w:val="11"/>
          <w:szCs w:val="11"/>
        </w:rPr>
        <w:t>号民事判决书］。</w:t>
      </w:r>
    </w:p>
    <w:p w14:paraId="6911D28A">
      <w:pPr>
        <w:pStyle w:val="17"/>
        <w:keepNext w:val="0"/>
        <w:keepLines w:val="0"/>
        <w:widowControl w:val="0"/>
        <w:shd w:val="clear" w:color="auto" w:fill="auto"/>
        <w:bidi w:val="0"/>
        <w:spacing w:before="0" w:after="0" w:line="413" w:lineRule="auto"/>
        <w:ind w:left="0" w:right="0" w:firstLine="0"/>
        <w:jc w:val="both"/>
      </w:pPr>
      <w:r>
        <w:rPr>
          <w:rFonts w:ascii="Times New Roman" w:hAnsi="Times New Roman" w:eastAsia="Times New Roman" w:cs="Times New Roman"/>
          <w:color w:val="000000"/>
          <w:spacing w:val="0"/>
          <w:w w:val="100"/>
          <w:position w:val="0"/>
          <w:sz w:val="17"/>
          <w:szCs w:val="17"/>
          <w:lang w:val="en-US" w:eastAsia="en-US" w:bidi="en-US"/>
        </w:rPr>
        <w:t>E</w:t>
      </w:r>
      <w:r>
        <w:rPr>
          <w:color w:val="000000"/>
          <w:spacing w:val="0"/>
          <w:w w:val="100"/>
          <w:position w:val="0"/>
        </w:rPr>
        <w:t>本判决的影响及将来的课题</w:t>
      </w:r>
    </w:p>
    <w:p w14:paraId="3D09D50B">
      <w:pPr>
        <w:pStyle w:val="17"/>
        <w:keepNext w:val="0"/>
        <w:keepLines w:val="0"/>
        <w:widowControl w:val="0"/>
        <w:shd w:val="clear" w:color="auto" w:fill="auto"/>
        <w:bidi w:val="0"/>
        <w:spacing w:before="0" w:after="360" w:line="340" w:lineRule="exact"/>
        <w:ind w:left="0" w:right="0"/>
        <w:jc w:val="both"/>
      </w:pPr>
      <w:r>
        <w:rPr>
          <w:color w:val="000000"/>
          <w:spacing w:val="0"/>
          <w:w w:val="100"/>
          <w:position w:val="0"/>
        </w:rPr>
        <w:t>虽然本案的判决有相当的标志性意义，但作为公报案例予以确认其赔偿的做法似乎仍 值得商榷。依照以上学说，考虑到本案中的犬种性情温和（一审判决语），动作不具备明显 的危险性（站立及走动），与原告距离较远</w:t>
      </w:r>
      <w:r>
        <w:rPr>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t>3</w:t>
      </w:r>
      <w:r>
        <w:rPr>
          <w:color w:val="000000"/>
          <w:spacing w:val="0"/>
          <w:w w:val="100"/>
          <w:position w:val="0"/>
        </w:rPr>
        <w:t>米），认定为动物侵权责任似有可探讨之处。 若考虑到原告年龄因素</w:t>
      </w:r>
      <w:r>
        <w:rPr>
          <w:rFonts w:ascii="Times New Roman" w:hAnsi="Times New Roman" w:eastAsia="Times New Roman" w:cs="Times New Roman"/>
          <w:color w:val="000000"/>
          <w:spacing w:val="0"/>
          <w:w w:val="100"/>
          <w:position w:val="0"/>
          <w:sz w:val="19"/>
          <w:szCs w:val="19"/>
        </w:rPr>
        <w:t>（62</w:t>
      </w:r>
      <w:r>
        <w:rPr>
          <w:color w:val="000000"/>
          <w:spacing w:val="0"/>
          <w:w w:val="100"/>
          <w:position w:val="0"/>
        </w:rPr>
        <w:t>岁），易受惊吓尚可理解，但判决的理由却是</w:t>
      </w:r>
      <w:r>
        <w:rPr>
          <w:color w:val="000000"/>
          <w:spacing w:val="0"/>
          <w:w w:val="100"/>
          <w:position w:val="0"/>
          <w:lang w:val="zh-CN" w:eastAsia="zh-CN" w:bidi="zh-CN"/>
        </w:rPr>
        <w:t>“一</w:t>
      </w:r>
      <w:r>
        <w:rPr>
          <w:color w:val="000000"/>
          <w:spacing w:val="0"/>
          <w:w w:val="100"/>
          <w:position w:val="0"/>
        </w:rPr>
        <w:t>般人标准”。如 果以后发生的案件均以此为基准，则动物侵权责任的范围可能将大大扩张，以至于如</w:t>
      </w:r>
      <w:r>
        <w:rPr>
          <w:color w:val="000000"/>
          <w:spacing w:val="0"/>
          <w:w w:val="100"/>
          <w:position w:val="0"/>
          <w:lang w:val="zh-CN" w:eastAsia="zh-CN" w:bidi="zh-CN"/>
        </w:rPr>
        <w:t xml:space="preserve">“高空 </w:t>
      </w:r>
      <w:r>
        <w:rPr>
          <w:color w:val="000000"/>
          <w:spacing w:val="0"/>
          <w:w w:val="100"/>
          <w:position w:val="0"/>
        </w:rPr>
        <w:t>坠狗”等案件亦有充分理由认定为动物侵权案件，与立法意旨似有所不合。</w:t>
      </w:r>
    </w:p>
    <w:p w14:paraId="1B63537D">
      <w:pPr>
        <w:pStyle w:val="11"/>
        <w:keepNext w:val="0"/>
        <w:keepLines w:val="0"/>
        <w:widowControl w:val="0"/>
        <w:shd w:val="clear" w:color="auto" w:fill="auto"/>
        <w:bidi w:val="0"/>
        <w:spacing w:before="0" w:after="0" w:line="336" w:lineRule="exact"/>
        <w:ind w:left="0" w:right="0" w:firstLine="0"/>
        <w:jc w:val="left"/>
      </w:pPr>
      <w:r>
        <w:rPr>
          <w:color w:val="000000"/>
          <w:spacing w:val="0"/>
          <w:w w:val="100"/>
          <w:position w:val="0"/>
        </w:rPr>
        <w:t>回参考文献</w:t>
      </w:r>
    </w:p>
    <w:p w14:paraId="7160C782">
      <w:pPr>
        <w:pStyle w:val="33"/>
        <w:keepNext w:val="0"/>
        <w:keepLines w:val="0"/>
        <w:widowControl w:val="0"/>
        <w:shd w:val="clear" w:color="auto" w:fill="auto"/>
        <w:bidi w:val="0"/>
        <w:spacing w:before="0" w:after="0" w:line="323" w:lineRule="exact"/>
        <w:ind w:left="0" w:right="0" w:firstLine="0"/>
        <w:jc w:val="left"/>
      </w:pPr>
      <w:r>
        <w:rPr>
          <w:color w:val="000000"/>
          <w:spacing w:val="0"/>
          <w:w w:val="100"/>
          <w:position w:val="0"/>
        </w:rPr>
        <w:t>程啸:《侵权责任法教程》（第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版），中国人民大学出版社</w:t>
      </w:r>
      <w:r>
        <w:rPr>
          <w:rFonts w:ascii="Times New Roman" w:hAnsi="Times New Roman" w:eastAsia="Times New Roman" w:cs="Times New Roman"/>
          <w:color w:val="000000"/>
          <w:spacing w:val="0"/>
          <w:w w:val="100"/>
          <w:position w:val="0"/>
          <w:sz w:val="17"/>
          <w:szCs w:val="17"/>
        </w:rPr>
        <w:t>2017</w:t>
      </w:r>
      <w:r>
        <w:rPr>
          <w:color w:val="000000"/>
          <w:spacing w:val="0"/>
          <w:w w:val="100"/>
          <w:position w:val="0"/>
        </w:rPr>
        <w:t>年版。</w:t>
      </w:r>
    </w:p>
    <w:p w14:paraId="2EB85F11">
      <w:pPr>
        <w:pStyle w:val="33"/>
        <w:keepNext w:val="0"/>
        <w:keepLines w:val="0"/>
        <w:widowControl w:val="0"/>
        <w:shd w:val="clear" w:color="auto" w:fill="auto"/>
        <w:bidi w:val="0"/>
        <w:spacing w:before="0" w:after="0" w:line="323" w:lineRule="exact"/>
        <w:ind w:left="0" w:right="0" w:firstLine="0"/>
        <w:jc w:val="left"/>
      </w:pPr>
      <w:r>
        <w:rPr>
          <w:color w:val="000000"/>
          <w:spacing w:val="0"/>
          <w:w w:val="100"/>
          <w:position w:val="0"/>
        </w:rPr>
        <w:t>王利明：《侵权责任法研究》（下卷），中国人民大学出版社</w:t>
      </w:r>
      <w:r>
        <w:rPr>
          <w:rFonts w:ascii="Times New Roman" w:hAnsi="Times New Roman" w:eastAsia="Times New Roman" w:cs="Times New Roman"/>
          <w:color w:val="000000"/>
          <w:spacing w:val="0"/>
          <w:w w:val="100"/>
          <w:position w:val="0"/>
          <w:sz w:val="17"/>
          <w:szCs w:val="17"/>
        </w:rPr>
        <w:t>2016</w:t>
      </w:r>
      <w:r>
        <w:rPr>
          <w:color w:val="000000"/>
          <w:spacing w:val="0"/>
          <w:w w:val="100"/>
          <w:position w:val="0"/>
        </w:rPr>
        <w:t>年版。 朱晓峰:《动物侵权责任主体概念论》，载《法学评论》</w:t>
      </w:r>
      <w:r>
        <w:rPr>
          <w:rFonts w:ascii="Times New Roman" w:hAnsi="Times New Roman" w:eastAsia="Times New Roman" w:cs="Times New Roman"/>
          <w:color w:val="000000"/>
          <w:spacing w:val="0"/>
          <w:w w:val="100"/>
          <w:position w:val="0"/>
          <w:sz w:val="17"/>
          <w:szCs w:val="17"/>
        </w:rPr>
        <w:t>2018</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360AB783">
      <w:pPr>
        <w:pStyle w:val="33"/>
        <w:keepNext w:val="0"/>
        <w:keepLines w:val="0"/>
        <w:widowControl w:val="0"/>
        <w:shd w:val="clear" w:color="auto" w:fill="auto"/>
        <w:bidi w:val="0"/>
        <w:spacing w:before="0" w:after="0" w:line="323" w:lineRule="exact"/>
        <w:ind w:left="200" w:right="0" w:hanging="200"/>
        <w:jc w:val="both"/>
      </w:pPr>
      <w:r>
        <w:rPr>
          <w:color w:val="000000"/>
          <w:spacing w:val="0"/>
          <w:w w:val="100"/>
          <w:position w:val="0"/>
        </w:rPr>
        <w:t>张尧:《论饲养动物损害责任——以〈侵权责任法〉第</w:t>
      </w:r>
      <w:r>
        <w:rPr>
          <w:rFonts w:ascii="Times New Roman" w:hAnsi="Times New Roman" w:eastAsia="Times New Roman" w:cs="Times New Roman"/>
          <w:color w:val="000000"/>
          <w:spacing w:val="0"/>
          <w:w w:val="100"/>
          <w:position w:val="0"/>
          <w:sz w:val="17"/>
          <w:szCs w:val="17"/>
        </w:rPr>
        <w:t>79</w:t>
      </w:r>
      <w:r>
        <w:rPr>
          <w:color w:val="000000"/>
          <w:spacing w:val="0"/>
          <w:w w:val="100"/>
          <w:position w:val="0"/>
        </w:rPr>
        <w:t>条为分析对象》，载《政治与法律》</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 xml:space="preserve">6 </w:t>
      </w:r>
      <w:r>
        <w:rPr>
          <w:color w:val="000000"/>
          <w:spacing w:val="0"/>
          <w:w w:val="100"/>
          <w:position w:val="0"/>
        </w:rPr>
        <w:t>期。</w:t>
      </w:r>
    </w:p>
    <w:p w14:paraId="0F5C0EF2">
      <w:pPr>
        <w:pStyle w:val="33"/>
        <w:keepNext w:val="0"/>
        <w:keepLines w:val="0"/>
        <w:widowControl w:val="0"/>
        <w:shd w:val="clear" w:color="auto" w:fill="auto"/>
        <w:bidi w:val="0"/>
        <w:spacing w:before="0" w:after="0" w:line="323" w:lineRule="exact"/>
        <w:ind w:left="0" w:right="0" w:firstLine="0"/>
        <w:jc w:val="both"/>
      </w:pPr>
      <w:r>
        <w:rPr>
          <w:color w:val="000000"/>
          <w:spacing w:val="0"/>
          <w:w w:val="100"/>
          <w:position w:val="0"/>
        </w:rPr>
        <w:t>周友军：《我国动物致害责任的解释论》，载《政治与法律》</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5</w:t>
      </w:r>
      <w:r>
        <w:rPr>
          <w:color w:val="000000"/>
          <w:spacing w:val="0"/>
          <w:w w:val="100"/>
          <w:position w:val="0"/>
        </w:rPr>
        <w:t>期。</w:t>
      </w:r>
    </w:p>
    <w:p w14:paraId="58ED26DA">
      <w:pPr>
        <w:pStyle w:val="33"/>
        <w:keepNext w:val="0"/>
        <w:keepLines w:val="0"/>
        <w:widowControl w:val="0"/>
        <w:shd w:val="clear" w:color="auto" w:fill="auto"/>
        <w:bidi w:val="0"/>
        <w:spacing w:before="0" w:after="0" w:line="323" w:lineRule="exact"/>
        <w:ind w:left="0" w:right="0" w:firstLine="0"/>
        <w:jc w:val="both"/>
      </w:pPr>
      <w:r>
        <w:rPr>
          <w:color w:val="000000"/>
          <w:spacing w:val="0"/>
          <w:w w:val="100"/>
          <w:position w:val="0"/>
        </w:rPr>
        <w:t>杨立新:《饲养动物损害责任一般条款的理解与适用》，载《法学》</w:t>
      </w:r>
      <w:r>
        <w:rPr>
          <w:rFonts w:ascii="Times New Roman" w:hAnsi="Times New Roman" w:eastAsia="Times New Roman" w:cs="Times New Roman"/>
          <w:color w:val="000000"/>
          <w:spacing w:val="0"/>
          <w:w w:val="100"/>
          <w:position w:val="0"/>
          <w:sz w:val="17"/>
          <w:szCs w:val="17"/>
        </w:rPr>
        <w:t>2013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7</w:t>
      </w:r>
      <w:r>
        <w:rPr>
          <w:color w:val="000000"/>
          <w:spacing w:val="0"/>
          <w:w w:val="100"/>
          <w:position w:val="0"/>
        </w:rPr>
        <w:t>期。</w:t>
      </w:r>
    </w:p>
    <w:p w14:paraId="5B5DD289">
      <w:pPr>
        <w:pStyle w:val="33"/>
        <w:keepNext w:val="0"/>
        <w:keepLines w:val="0"/>
        <w:widowControl w:val="0"/>
        <w:shd w:val="clear" w:color="auto" w:fill="auto"/>
        <w:bidi w:val="0"/>
        <w:spacing w:before="0" w:after="0" w:line="323" w:lineRule="exact"/>
        <w:ind w:left="0" w:right="0" w:firstLine="0"/>
        <w:jc w:val="both"/>
      </w:pPr>
      <w:r>
        <w:rPr>
          <w:color w:val="000000"/>
          <w:spacing w:val="0"/>
          <w:w w:val="100"/>
          <w:position w:val="0"/>
        </w:rPr>
        <w:t>邱之岫：《野生动物侵权诉讼问题研究》，载《法学杂志》</w:t>
      </w:r>
      <w:r>
        <w:rPr>
          <w:rFonts w:ascii="Times New Roman" w:hAnsi="Times New Roman" w:eastAsia="Times New Roman" w:cs="Times New Roman"/>
          <w:color w:val="000000"/>
          <w:spacing w:val="0"/>
          <w:w w:val="100"/>
          <w:position w:val="0"/>
          <w:sz w:val="17"/>
          <w:szCs w:val="17"/>
        </w:rPr>
        <w:t>2010</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9</w:t>
      </w:r>
      <w:r>
        <w:rPr>
          <w:color w:val="000000"/>
          <w:spacing w:val="0"/>
          <w:w w:val="100"/>
          <w:position w:val="0"/>
        </w:rPr>
        <w:t>期。</w:t>
      </w:r>
    </w:p>
    <w:p w14:paraId="45D34CCB">
      <w:pPr>
        <w:pStyle w:val="33"/>
        <w:keepNext w:val="0"/>
        <w:keepLines w:val="0"/>
        <w:widowControl w:val="0"/>
        <w:shd w:val="clear" w:color="auto" w:fill="auto"/>
        <w:bidi w:val="0"/>
        <w:spacing w:before="0" w:after="0" w:line="323" w:lineRule="exact"/>
        <w:ind w:left="0" w:right="0" w:firstLine="0"/>
        <w:jc w:val="both"/>
      </w:pPr>
      <w:r>
        <w:rPr>
          <w:color w:val="000000"/>
          <w:spacing w:val="0"/>
          <w:w w:val="100"/>
          <w:position w:val="0"/>
        </w:rPr>
        <w:t>毛瑞兆:《英美法的动物致害责任》，载《山西大学学报》（哲学社会科学版</w:t>
      </w:r>
      <w:r>
        <w:rPr>
          <w:rFonts w:ascii="Times New Roman" w:hAnsi="Times New Roman" w:eastAsia="Times New Roman" w:cs="Times New Roman"/>
          <w:color w:val="000000"/>
          <w:spacing w:val="0"/>
          <w:w w:val="100"/>
          <w:position w:val="0"/>
          <w:sz w:val="17"/>
          <w:szCs w:val="17"/>
        </w:rPr>
        <w:t>）2003</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3</w:t>
      </w:r>
      <w:r>
        <w:rPr>
          <w:color w:val="000000"/>
          <w:spacing w:val="0"/>
          <w:w w:val="100"/>
          <w:position w:val="0"/>
        </w:rPr>
        <w:t>期。</w:t>
      </w:r>
    </w:p>
    <w:p w14:paraId="6DFED7D6">
      <w:pPr>
        <w:pStyle w:val="33"/>
        <w:keepNext w:val="0"/>
        <w:keepLines w:val="0"/>
        <w:widowControl w:val="0"/>
        <w:shd w:val="clear" w:color="auto" w:fill="auto"/>
        <w:bidi w:val="0"/>
        <w:spacing w:before="0" w:after="0" w:line="323" w:lineRule="exact"/>
        <w:ind w:left="0" w:right="0" w:firstLine="0"/>
        <w:jc w:val="both"/>
      </w:pPr>
      <w:r>
        <w:rPr>
          <w:color w:val="000000"/>
          <w:spacing w:val="0"/>
          <w:w w:val="100"/>
          <w:position w:val="0"/>
        </w:rPr>
        <w:t>张新宝：《饲养动物致人损害的赔偿责任》，载《法学研究》</w:t>
      </w:r>
      <w:r>
        <w:rPr>
          <w:rFonts w:ascii="Times New Roman" w:hAnsi="Times New Roman" w:eastAsia="Times New Roman" w:cs="Times New Roman"/>
          <w:color w:val="000000"/>
          <w:spacing w:val="0"/>
          <w:w w:val="100"/>
          <w:position w:val="0"/>
          <w:sz w:val="17"/>
          <w:szCs w:val="17"/>
        </w:rPr>
        <w:t>1994</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2</w:t>
      </w:r>
      <w:r>
        <w:rPr>
          <w:color w:val="000000"/>
          <w:spacing w:val="0"/>
          <w:w w:val="100"/>
          <w:position w:val="0"/>
        </w:rPr>
        <w:t>期。</w:t>
      </w:r>
    </w:p>
    <w:p w14:paraId="01A1B5B9">
      <w:pPr>
        <w:pStyle w:val="33"/>
        <w:keepNext w:val="0"/>
        <w:keepLines w:val="0"/>
        <w:widowControl w:val="0"/>
        <w:shd w:val="clear" w:color="auto" w:fill="auto"/>
        <w:bidi w:val="0"/>
        <w:spacing w:before="0" w:after="160" w:line="323" w:lineRule="exact"/>
        <w:ind w:left="0" w:right="0" w:firstLine="0"/>
        <w:jc w:val="both"/>
        <w:sectPr>
          <w:headerReference r:id="rId585" w:type="default"/>
          <w:headerReference r:id="rId586" w:type="even"/>
          <w:footnotePr>
            <w:numFmt w:val="chicago"/>
          </w:footnotePr>
          <w:pgSz w:w="10099" w:h="14782"/>
          <w:pgMar w:top="1264" w:right="998" w:bottom="1122" w:left="1086" w:header="0" w:footer="3" w:gutter="0"/>
          <w:pgNumType w:start="496"/>
          <w:cols w:space="720" w:num="1"/>
          <w:rtlGutter w:val="0"/>
          <w:docGrid w:linePitch="360" w:charSpace="0"/>
        </w:sectPr>
      </w:pPr>
      <w:r>
        <w:rPr>
          <w:color w:val="000000"/>
          <w:spacing w:val="0"/>
          <w:w w:val="100"/>
          <w:position w:val="0"/>
        </w:rPr>
        <w:t>房绍坤：《试论动物致人损害的民事责任》，载《中外法学》</w:t>
      </w:r>
      <w:r>
        <w:rPr>
          <w:rFonts w:ascii="Times New Roman" w:hAnsi="Times New Roman" w:eastAsia="Times New Roman" w:cs="Times New Roman"/>
          <w:color w:val="000000"/>
          <w:spacing w:val="0"/>
          <w:w w:val="100"/>
          <w:position w:val="0"/>
          <w:sz w:val="17"/>
          <w:szCs w:val="17"/>
        </w:rPr>
        <w:t>1992</w:t>
      </w:r>
      <w:r>
        <w:rPr>
          <w:color w:val="000000"/>
          <w:spacing w:val="0"/>
          <w:w w:val="100"/>
          <w:position w:val="0"/>
        </w:rPr>
        <w:t>年第</w:t>
      </w:r>
      <w:r>
        <w:rPr>
          <w:rFonts w:ascii="Times New Roman" w:hAnsi="Times New Roman" w:eastAsia="Times New Roman" w:cs="Times New Roman"/>
          <w:color w:val="000000"/>
          <w:spacing w:val="0"/>
          <w:w w:val="100"/>
          <w:position w:val="0"/>
          <w:sz w:val="17"/>
          <w:szCs w:val="17"/>
        </w:rPr>
        <w:t>6</w:t>
      </w:r>
      <w:r>
        <w:rPr>
          <w:color w:val="000000"/>
          <w:spacing w:val="0"/>
          <w:w w:val="100"/>
          <w:position w:val="0"/>
        </w:rPr>
        <w:t>期。</w:t>
      </w:r>
    </w:p>
    <w:p w14:paraId="2872A553">
      <w:pPr>
        <w:pStyle w:val="15"/>
        <w:keepNext/>
        <w:keepLines/>
        <w:widowControl w:val="0"/>
        <w:shd w:val="clear" w:color="auto" w:fill="auto"/>
        <w:bidi w:val="0"/>
        <w:spacing w:before="0" w:after="1620" w:line="240" w:lineRule="auto"/>
        <w:ind w:left="0" w:right="0" w:firstLine="0"/>
        <w:jc w:val="both"/>
      </w:pPr>
      <w:bookmarkStart w:id="204" w:name="bookmark637"/>
      <w:bookmarkStart w:id="205" w:name="bookmark636"/>
      <w:bookmarkStart w:id="206" w:name="bookmark638"/>
      <w:r>
        <w:rPr>
          <w:rFonts w:ascii="Times New Roman" w:hAnsi="Times New Roman" w:eastAsia="Times New Roman" w:cs="Times New Roman"/>
          <w:color w:val="000000"/>
          <w:spacing w:val="0"/>
          <w:w w:val="100"/>
          <w:position w:val="0"/>
          <w:sz w:val="40"/>
          <w:szCs w:val="40"/>
          <w:lang w:val="zh-CN" w:eastAsia="zh-CN" w:bidi="zh-CN"/>
        </w:rPr>
        <w:t>I</w:t>
      </w:r>
      <w:r>
        <w:rPr>
          <w:color w:val="000000"/>
          <w:spacing w:val="0"/>
          <w:w w:val="100"/>
          <w:position w:val="0"/>
        </w:rPr>
        <w:t>法律共同体的三重要约（代后记）</w:t>
      </w:r>
      <w:bookmarkEnd w:id="204"/>
      <w:bookmarkEnd w:id="205"/>
      <w:bookmarkEnd w:id="206"/>
    </w:p>
    <w:p w14:paraId="1C2C475C">
      <w:pPr>
        <w:pStyle w:val="17"/>
        <w:keepNext w:val="0"/>
        <w:keepLines w:val="0"/>
        <w:widowControl w:val="0"/>
        <w:shd w:val="clear" w:color="auto" w:fill="auto"/>
        <w:bidi w:val="0"/>
        <w:spacing w:before="0" w:after="0" w:line="376" w:lineRule="exact"/>
        <w:ind w:left="0" w:right="0" w:firstLine="440"/>
        <w:jc w:val="both"/>
      </w:pPr>
      <w:r>
        <w:rPr>
          <w:color w:val="000000"/>
          <w:spacing w:val="0"/>
          <w:w w:val="100"/>
          <w:position w:val="0"/>
        </w:rPr>
        <w:t>在我国《民法典》通过、各方讨论猗欤盛哉的这一年，有劳民法学界的中坚力量共成 此著，思及此中机会成本之巨，作为编者当负有不可推脱的说明义务。</w:t>
      </w:r>
    </w:p>
    <w:p w14:paraId="3A75924E">
      <w:pPr>
        <w:pStyle w:val="17"/>
        <w:keepNext w:val="0"/>
        <w:keepLines w:val="0"/>
        <w:widowControl w:val="0"/>
        <w:shd w:val="clear" w:color="auto" w:fill="auto"/>
        <w:bidi w:val="0"/>
        <w:spacing w:before="0" w:after="0" w:line="376" w:lineRule="exact"/>
        <w:ind w:left="0" w:right="0" w:firstLine="440"/>
        <w:jc w:val="both"/>
      </w:pPr>
      <w:r>
        <w:rPr>
          <w:color w:val="000000"/>
          <w:spacing w:val="0"/>
          <w:w w:val="100"/>
          <w:position w:val="0"/>
        </w:rPr>
        <w:t>晚清以降，中国即于乱世之中踉跄步入现代法制。中华民国初期成文民法未定之 时，大理院多以判决拘束下级法院,后世亦有学者以中国之判例法时期名之。待《中华民 国民法》行世，十数年间司法院解释与最高法院判例积有数千件之多，久为各地法院行 效。</w:t>
      </w:r>
      <w:r>
        <w:rPr>
          <w:rFonts w:ascii="Times New Roman" w:hAnsi="Times New Roman" w:eastAsia="Times New Roman" w:cs="Times New Roman"/>
          <w:color w:val="000000"/>
          <w:spacing w:val="0"/>
          <w:w w:val="100"/>
          <w:position w:val="0"/>
          <w:sz w:val="19"/>
          <w:szCs w:val="19"/>
        </w:rPr>
        <w:t>20</w:t>
      </w:r>
      <w:r>
        <w:rPr>
          <w:color w:val="000000"/>
          <w:spacing w:val="0"/>
          <w:w w:val="100"/>
          <w:position w:val="0"/>
        </w:rPr>
        <w:t>世纪</w:t>
      </w:r>
      <w:r>
        <w:rPr>
          <w:rFonts w:ascii="Times New Roman" w:hAnsi="Times New Roman" w:eastAsia="Times New Roman" w:cs="Times New Roman"/>
          <w:color w:val="000000"/>
          <w:spacing w:val="0"/>
          <w:w w:val="100"/>
          <w:position w:val="0"/>
          <w:sz w:val="19"/>
          <w:szCs w:val="19"/>
        </w:rPr>
        <w:t>70</w:t>
      </w:r>
      <w:r>
        <w:rPr>
          <w:color w:val="000000"/>
          <w:spacing w:val="0"/>
          <w:w w:val="100"/>
          <w:position w:val="0"/>
        </w:rPr>
        <w:t>年代，我国台湾地区经济起飞，成文法规范亦现其不足，以王泽鉴教授为 始,学者以德国法理评释判例,与实务形成良性互动，积两代学人之力，其成其功,最终尽 数凝萃于世纪之交的再法典化。</w:t>
      </w:r>
    </w:p>
    <w:p w14:paraId="44E0551D">
      <w:pPr>
        <w:pStyle w:val="17"/>
        <w:keepNext w:val="0"/>
        <w:keepLines w:val="0"/>
        <w:widowControl w:val="0"/>
        <w:shd w:val="clear" w:color="auto" w:fill="auto"/>
        <w:bidi w:val="0"/>
        <w:spacing w:before="0" w:after="0" w:line="380" w:lineRule="exact"/>
        <w:ind w:left="0" w:right="0" w:firstLine="440"/>
        <w:jc w:val="both"/>
      </w:pPr>
      <w:r>
        <w:rPr>
          <w:color w:val="000000"/>
          <w:spacing w:val="0"/>
          <w:w w:val="100"/>
          <w:position w:val="0"/>
        </w:rPr>
        <w:t>中国自四十年前法制再起步以来，最高人民法院即以积极态度抽象释法，裨补立法 之阙,各地高级人民法院亦皆踵之而行。及至民事立法既备，司法机关适时转舵，施行案 例指导制度，为司法判决开规范效力之门。近日，最高人民法院又推行类案检索制度，此 制度若果现其效,将来类案判决规范与事实之影响，亦足堪期待。</w:t>
      </w:r>
    </w:p>
    <w:p w14:paraId="5F132506">
      <w:pPr>
        <w:pStyle w:val="17"/>
        <w:keepNext w:val="0"/>
        <w:keepLines w:val="0"/>
        <w:widowControl w:val="0"/>
        <w:shd w:val="clear" w:color="auto" w:fill="auto"/>
        <w:bidi w:val="0"/>
        <w:spacing w:before="0" w:after="0" w:line="380" w:lineRule="exact"/>
        <w:ind w:left="0" w:right="0" w:firstLine="440"/>
        <w:jc w:val="both"/>
      </w:pPr>
      <w:r>
        <w:rPr>
          <w:color w:val="000000"/>
          <w:spacing w:val="0"/>
          <w:w w:val="100"/>
          <w:position w:val="0"/>
        </w:rPr>
        <w:t>由是观之，即使在属于大陆法系的我国，成文法与案例的关系如果置入上述历史洪 流之中，也会各显其面貌。呈现于读者眼前的这本判例百选，就是于法典编成的此刻截 断众流、独取一瓢的结果。在这本合作作品之中，读者可以看到以大陆法系一般法理对 我国司法实务</w:t>
      </w:r>
      <w:r>
        <w:rPr>
          <w:color w:val="000000"/>
          <w:spacing w:val="0"/>
          <w:w w:val="100"/>
          <w:position w:val="0"/>
          <w:lang w:val="zh-CN" w:eastAsia="zh-CN" w:bidi="zh-CN"/>
        </w:rPr>
        <w:t>“以理</w:t>
      </w:r>
      <w:r>
        <w:rPr>
          <w:color w:val="000000"/>
          <w:spacing w:val="0"/>
          <w:w w:val="100"/>
          <w:position w:val="0"/>
        </w:rPr>
        <w:t>入实”的融通，也可以看到提炼司法实务智慧回填法条阙漏的</w:t>
      </w:r>
      <w:r>
        <w:rPr>
          <w:color w:val="000000"/>
          <w:spacing w:val="0"/>
          <w:w w:val="100"/>
          <w:position w:val="0"/>
          <w:lang w:val="zh-CN" w:eastAsia="zh-CN" w:bidi="zh-CN"/>
        </w:rPr>
        <w:t xml:space="preserve">“以实 </w:t>
      </w:r>
      <w:r>
        <w:rPr>
          <w:color w:val="000000"/>
          <w:spacing w:val="0"/>
          <w:w w:val="100"/>
          <w:position w:val="0"/>
        </w:rPr>
        <w:t>入理”的充实，又或二者兼而有之，方法路径的不一，本身就折射出今日中国多元继受、自 主创新的法典特性。不过所有的这些统一与不一，作者们都更愿意看作在同一个法律共 同体中，从学界发向实务界的一重要约,近百位民法学者以自己的所知所见，认真审视司 法者的判决，我们也期待司法者可以给学者以相应的回馈。</w:t>
      </w:r>
    </w:p>
    <w:p w14:paraId="23EF2346">
      <w:pPr>
        <w:pStyle w:val="17"/>
        <w:keepNext w:val="0"/>
        <w:keepLines w:val="0"/>
        <w:widowControl w:val="0"/>
        <w:shd w:val="clear" w:color="auto" w:fill="auto"/>
        <w:bidi w:val="0"/>
        <w:spacing w:before="0" w:after="0" w:line="380" w:lineRule="exact"/>
        <w:ind w:left="0" w:right="0" w:firstLine="440"/>
        <w:jc w:val="both"/>
        <w:sectPr>
          <w:headerReference r:id="rId587" w:type="default"/>
          <w:headerReference r:id="rId588" w:type="even"/>
          <w:footnotePr>
            <w:numFmt w:val="chicago"/>
          </w:footnotePr>
          <w:pgSz w:w="10099" w:h="14782"/>
          <w:pgMar w:top="1264" w:right="998" w:bottom="1122" w:left="1086" w:header="836" w:footer="694" w:gutter="0"/>
          <w:pgNumType w:start="515"/>
          <w:cols w:space="720" w:num="1"/>
          <w:rtlGutter w:val="0"/>
          <w:docGrid w:linePitch="360" w:charSpace="0"/>
        </w:sectPr>
      </w:pPr>
      <w:r>
        <w:rPr>
          <w:color w:val="000000"/>
          <w:spacing w:val="0"/>
          <w:w w:val="100"/>
          <w:position w:val="0"/>
        </w:rPr>
        <w:t>回看过去百年间继受法域,学界如何审视实务,实务如何回应学界,其实不但塑造了 此地此域的法学,某种程度上也重塑了法典。我们的邻国日本向来重视司法智慧的提 炼，三年前成就的法典已经在各处呈现了自己的颜色,形成了自身的体系。我国台湾地 区在学术中重视德国法资源，在实务判决中重视日本法资源,形塑了新世纪</w:t>
      </w:r>
      <w:r>
        <w:rPr>
          <w:color w:val="000000"/>
          <w:spacing w:val="0"/>
          <w:w w:val="100"/>
          <w:position w:val="0"/>
          <w:lang w:val="zh-CN" w:eastAsia="zh-CN" w:bidi="zh-CN"/>
        </w:rPr>
        <w:t xml:space="preserve">“法典”与法 </w:t>
      </w:r>
      <w:r>
        <w:rPr>
          <w:color w:val="000000"/>
          <w:spacing w:val="0"/>
          <w:w w:val="100"/>
          <w:position w:val="0"/>
        </w:rPr>
        <w:t xml:space="preserve">学德日混成的面貌。学界与实务界以何种方式相互沟通，以何种态度相互尊重,影响法 学的风格和法典的未来。因此,我们的第二重要约是，如果将来这本判例百选还有改版 更新的机会，我们同样期待实务界的同仁也能以作者的身份，共同参与到这项推动法律 </w:t>
      </w:r>
    </w:p>
    <w:p w14:paraId="5E6838D7">
      <w:pPr>
        <w:pStyle w:val="17"/>
        <w:keepNext w:val="0"/>
        <w:keepLines w:val="0"/>
        <w:widowControl w:val="0"/>
        <w:shd w:val="clear" w:color="auto" w:fill="auto"/>
        <w:bidi w:val="0"/>
        <w:spacing w:before="0" w:after="0" w:line="380" w:lineRule="exact"/>
        <w:ind w:left="0" w:right="0" w:firstLine="0"/>
        <w:jc w:val="both"/>
      </w:pPr>
      <w:r>
        <w:rPr>
          <w:color w:val="000000"/>
          <w:spacing w:val="0"/>
          <w:w w:val="100"/>
          <w:position w:val="0"/>
        </w:rPr>
        <w:t>共同体形成的事业中来。</w:t>
      </w:r>
    </w:p>
    <w:p w14:paraId="774EA8E1">
      <w:pPr>
        <w:pStyle w:val="17"/>
        <w:keepNext w:val="0"/>
        <w:keepLines w:val="0"/>
        <w:widowControl w:val="0"/>
        <w:shd w:val="clear" w:color="auto" w:fill="auto"/>
        <w:bidi w:val="0"/>
        <w:spacing w:before="0" w:after="0" w:line="378" w:lineRule="exact"/>
        <w:ind w:left="0" w:right="0" w:firstLine="420"/>
        <w:jc w:val="both"/>
      </w:pPr>
      <w:r>
        <w:rPr>
          <w:color w:val="000000"/>
          <w:spacing w:val="0"/>
          <w:w w:val="100"/>
          <w:position w:val="0"/>
        </w:rPr>
        <w:t>我们最后也是最重要的一重要约，是保留给今日尚在法学院的同学们的。将来诸位 或为学者或为律师、法官、检察官，作为教者和前辈的我们，希望诸位在年轻的时候，就有 在法律共同体中养成自己的意识，因为今日我们为法律共同体与国家法治所做的一切, 你们都是无可逃避的下一棒。从这个角度来说，我们真诚希望这本判例百选能够成为你 们在法律学习征途上的有益路标。</w:t>
      </w:r>
    </w:p>
    <w:p w14:paraId="3D9C815C">
      <w:pPr>
        <w:pStyle w:val="17"/>
        <w:keepNext w:val="0"/>
        <w:keepLines w:val="0"/>
        <w:widowControl w:val="0"/>
        <w:shd w:val="clear" w:color="auto" w:fill="auto"/>
        <w:bidi w:val="0"/>
        <w:spacing w:before="0" w:after="920" w:line="378" w:lineRule="exact"/>
        <w:ind w:left="0" w:right="0" w:firstLine="420"/>
        <w:jc w:val="both"/>
      </w:pPr>
      <w:r>
        <w:rPr>
          <w:color w:val="000000"/>
          <w:spacing w:val="0"/>
          <w:w w:val="100"/>
          <w:position w:val="0"/>
        </w:rPr>
        <w:t>就像小王子的玫瑰花一样，今日我们虽已齐聚众人之力,但植下的仍只是一棵小树, 但倘以持续的真诚与耐心浇灌，我们相信它将来一定会成为蔽荫我们所有人的丛林。</w:t>
      </w:r>
    </w:p>
    <w:p w14:paraId="0DC472F7">
      <w:pPr>
        <w:pStyle w:val="17"/>
        <w:keepNext w:val="0"/>
        <w:keepLines w:val="0"/>
        <w:widowControl w:val="0"/>
        <w:shd w:val="clear" w:color="auto" w:fill="auto"/>
        <w:bidi w:val="0"/>
        <w:spacing w:before="0" w:after="160" w:line="240" w:lineRule="auto"/>
        <w:ind w:left="0" w:right="560" w:firstLine="0"/>
        <w:jc w:val="right"/>
      </w:pPr>
      <w:r>
        <w:rPr>
          <w:color w:val="000000"/>
          <w:spacing w:val="0"/>
          <w:w w:val="100"/>
          <w:position w:val="0"/>
        </w:rPr>
        <w:t>编者谨识于杭州月轮山麓</w:t>
      </w:r>
    </w:p>
    <w:p w14:paraId="543426B2">
      <w:pPr>
        <w:pStyle w:val="17"/>
        <w:keepNext w:val="0"/>
        <w:keepLines w:val="0"/>
        <w:widowControl w:val="0"/>
        <w:shd w:val="clear" w:color="auto" w:fill="auto"/>
        <w:bidi w:val="0"/>
        <w:spacing w:before="0" w:after="540" w:line="240" w:lineRule="auto"/>
        <w:ind w:left="0" w:right="0" w:firstLine="0"/>
        <w:jc w:val="center"/>
        <w:sectPr>
          <w:headerReference r:id="rId589" w:type="default"/>
          <w:headerReference r:id="rId590" w:type="even"/>
          <w:footnotePr>
            <w:numFmt w:val="chicago"/>
          </w:footnotePr>
          <w:pgSz w:w="10099" w:h="14782"/>
          <w:pgMar w:top="1264" w:right="998" w:bottom="1122" w:left="1086" w:header="0" w:footer="694" w:gutter="0"/>
          <w:pgNumType w:start="500"/>
          <w:cols w:space="720" w:num="1"/>
          <w:rtlGutter w:val="0"/>
          <w:docGrid w:linePitch="360" w:charSpace="0"/>
        </w:sectPr>
      </w:pPr>
      <w:r>
        <w:rPr>
          <w:color w:val="000000"/>
          <w:spacing w:val="0"/>
          <w:w w:val="100"/>
          <w:position w:val="0"/>
        </w:rPr>
        <w:t>《民法典》编成之年秋月吉日</w:t>
      </w:r>
    </w:p>
    <w:p w14:paraId="57D871C9">
      <w:pPr>
        <w:pStyle w:val="17"/>
        <w:keepNext w:val="0"/>
        <w:keepLines w:val="0"/>
        <w:widowControl w:val="0"/>
        <w:shd w:val="clear" w:color="auto" w:fill="auto"/>
        <w:bidi w:val="0"/>
        <w:spacing w:before="0" w:after="380" w:line="240" w:lineRule="auto"/>
        <w:ind w:left="0" w:right="0" w:firstLine="700"/>
        <w:jc w:val="left"/>
      </w:pPr>
      <w:r>
        <w:rPr>
          <w:color w:val="000000"/>
          <w:spacing w:val="0"/>
          <w:w w:val="100"/>
          <w:position w:val="0"/>
        </w:rPr>
        <w:t>图书在版编目</w:t>
      </w:r>
      <w:r>
        <w:rPr>
          <w:color w:val="000000"/>
          <w:spacing w:val="0"/>
          <w:w w:val="100"/>
          <w:position w:val="0"/>
          <w:sz w:val="19"/>
          <w:szCs w:val="19"/>
          <w:lang w:val="en-US" w:eastAsia="en-US" w:bidi="en-US"/>
        </w:rPr>
        <w:t>（</w:t>
      </w:r>
      <w:r>
        <w:rPr>
          <w:rFonts w:ascii="Times New Roman" w:hAnsi="Times New Roman" w:eastAsia="Times New Roman" w:cs="Times New Roman"/>
          <w:color w:val="000000"/>
          <w:spacing w:val="0"/>
          <w:w w:val="100"/>
          <w:position w:val="0"/>
          <w:sz w:val="19"/>
          <w:szCs w:val="19"/>
          <w:lang w:val="en-US" w:eastAsia="en-US" w:bidi="en-US"/>
        </w:rPr>
        <w:t>CIP）</w:t>
      </w:r>
      <w:r>
        <w:rPr>
          <w:color w:val="000000"/>
          <w:spacing w:val="0"/>
          <w:w w:val="100"/>
          <w:position w:val="0"/>
        </w:rPr>
        <w:t>数据</w:t>
      </w:r>
    </w:p>
    <w:p w14:paraId="4897B982">
      <w:pPr>
        <w:pStyle w:val="17"/>
        <w:keepNext w:val="0"/>
        <w:keepLines w:val="0"/>
        <w:widowControl w:val="0"/>
        <w:shd w:val="clear" w:color="auto" w:fill="auto"/>
        <w:bidi w:val="0"/>
        <w:spacing w:before="0" w:after="60" w:line="240" w:lineRule="auto"/>
        <w:ind w:left="0" w:right="0" w:firstLine="700"/>
        <w:jc w:val="left"/>
      </w:pPr>
      <w:r>
        <w:rPr>
          <w:color w:val="000000"/>
          <w:spacing w:val="0"/>
          <w:w w:val="100"/>
          <w:position w:val="0"/>
        </w:rPr>
        <w:t>民法判例百选/周江洪，陆青，章程</w:t>
      </w:r>
      <w:r>
        <w:rPr>
          <w:color w:val="000000"/>
          <w:spacing w:val="0"/>
          <w:w w:val="100"/>
          <w:position w:val="0"/>
          <w:lang w:val="zh-CN" w:eastAsia="zh-CN" w:bidi="zh-CN"/>
        </w:rPr>
        <w:t>主编.</w:t>
      </w:r>
      <w:r>
        <w:rPr>
          <w:color w:val="000000"/>
          <w:spacing w:val="0"/>
          <w:w w:val="100"/>
          <w:position w:val="0"/>
        </w:rPr>
        <w:t>一北京:</w:t>
      </w:r>
    </w:p>
    <w:p w14:paraId="1284F01E">
      <w:pPr>
        <w:pStyle w:val="21"/>
        <w:keepNext w:val="0"/>
        <w:keepLines w:val="0"/>
        <w:widowControl w:val="0"/>
        <w:shd w:val="clear" w:color="auto" w:fill="auto"/>
        <w:bidi w:val="0"/>
        <w:spacing w:before="0" w:after="60" w:line="240" w:lineRule="auto"/>
        <w:ind w:left="0" w:right="0" w:firstLine="280"/>
        <w:jc w:val="both"/>
        <w:rPr>
          <w:sz w:val="18"/>
          <w:szCs w:val="18"/>
        </w:rPr>
      </w:pPr>
      <w:r>
        <w:rPr>
          <w:rFonts w:ascii="宋体" w:hAnsi="宋体" w:eastAsia="宋体" w:cs="宋体"/>
          <w:color w:val="000000"/>
          <w:spacing w:val="0"/>
          <w:w w:val="100"/>
          <w:position w:val="0"/>
          <w:sz w:val="18"/>
          <w:szCs w:val="18"/>
        </w:rPr>
        <w:t>法律出版社，</w:t>
      </w:r>
      <w:r>
        <w:rPr>
          <w:rFonts w:ascii="Times New Roman" w:hAnsi="Times New Roman" w:eastAsia="Times New Roman" w:cs="Times New Roman"/>
          <w:color w:val="000000"/>
          <w:spacing w:val="0"/>
          <w:w w:val="100"/>
          <w:position w:val="0"/>
          <w:sz w:val="19"/>
          <w:szCs w:val="19"/>
          <w:lang w:val="en-US" w:eastAsia="en-US" w:bidi="en-US"/>
        </w:rPr>
        <w:t>2020（2020.</w:t>
      </w:r>
      <w:r>
        <w:rPr>
          <w:rFonts w:ascii="Times New Roman" w:hAnsi="Times New Roman" w:eastAsia="Times New Roman" w:cs="Times New Roman"/>
          <w:color w:val="000000"/>
          <w:spacing w:val="0"/>
          <w:w w:val="100"/>
          <w:position w:val="0"/>
          <w:sz w:val="19"/>
          <w:szCs w:val="19"/>
        </w:rPr>
        <w:t>12</w:t>
      </w:r>
      <w:r>
        <w:rPr>
          <w:rFonts w:ascii="宋体" w:hAnsi="宋体" w:eastAsia="宋体" w:cs="宋体"/>
          <w:color w:val="000000"/>
          <w:spacing w:val="0"/>
          <w:w w:val="100"/>
          <w:position w:val="0"/>
          <w:sz w:val="18"/>
          <w:szCs w:val="18"/>
        </w:rPr>
        <w:t>重印）</w:t>
      </w:r>
    </w:p>
    <w:p w14:paraId="14C0FFAC">
      <w:pPr>
        <w:pStyle w:val="21"/>
        <w:keepNext w:val="0"/>
        <w:keepLines w:val="0"/>
        <w:widowControl w:val="0"/>
        <w:shd w:val="clear" w:color="auto" w:fill="auto"/>
        <w:bidi w:val="0"/>
        <w:spacing w:before="0" w:after="380" w:line="240" w:lineRule="auto"/>
        <w:ind w:left="0" w:right="0" w:firstLine="700"/>
        <w:jc w:val="left"/>
      </w:pPr>
      <w:r>
        <w:rPr>
          <w:rFonts w:ascii="Times New Roman" w:hAnsi="Times New Roman" w:eastAsia="Times New Roman" w:cs="Times New Roman"/>
          <w:color w:val="000000"/>
          <w:spacing w:val="0"/>
          <w:w w:val="100"/>
          <w:position w:val="0"/>
          <w:lang w:val="en-US" w:eastAsia="en-US" w:bidi="en-US"/>
        </w:rPr>
        <w:t xml:space="preserve">ISBN </w:t>
      </w:r>
      <w:r>
        <w:rPr>
          <w:rFonts w:ascii="Times New Roman" w:hAnsi="Times New Roman" w:eastAsia="Times New Roman" w:cs="Times New Roman"/>
          <w:color w:val="000000"/>
          <w:spacing w:val="0"/>
          <w:w w:val="100"/>
          <w:position w:val="0"/>
        </w:rPr>
        <w:t xml:space="preserve">978 </w:t>
      </w:r>
      <w:r>
        <w:rPr>
          <w:rFonts w:ascii="Times New Roman" w:hAnsi="Times New Roman" w:eastAsia="Times New Roman" w:cs="Times New Roman"/>
          <w:color w:val="000000"/>
          <w:spacing w:val="0"/>
          <w:w w:val="100"/>
          <w:position w:val="0"/>
          <w:lang w:val="en-US" w:eastAsia="en-US" w:bidi="en-US"/>
        </w:rPr>
        <w:t>-7 -5197 -4972 -9</w:t>
      </w:r>
    </w:p>
    <w:p w14:paraId="56F727C8">
      <w:pPr>
        <w:pStyle w:val="17"/>
        <w:keepNext w:val="0"/>
        <w:keepLines w:val="0"/>
        <w:widowControl w:val="0"/>
        <w:shd w:val="clear" w:color="auto" w:fill="auto"/>
        <w:bidi w:val="0"/>
        <w:spacing w:before="0" w:after="60" w:line="240" w:lineRule="auto"/>
        <w:ind w:left="0" w:right="0" w:firstLine="780"/>
        <w:jc w:val="left"/>
      </w:pPr>
      <w:r>
        <w:rPr>
          <w:rFonts w:ascii="Times New Roman" w:hAnsi="Times New Roman" w:eastAsia="Times New Roman" w:cs="Times New Roman"/>
          <w:color w:val="000000"/>
          <w:spacing w:val="0"/>
          <w:w w:val="100"/>
          <w:position w:val="0"/>
          <w:sz w:val="19"/>
          <w:szCs w:val="19"/>
        </w:rPr>
        <w:t xml:space="preserve">I </w:t>
      </w:r>
      <w:r>
        <w:rPr>
          <w:color w:val="000000"/>
          <w:spacing w:val="0"/>
          <w:w w:val="100"/>
          <w:position w:val="0"/>
          <w:lang w:val="en-US" w:eastAsia="en-US" w:bidi="en-US"/>
        </w:rPr>
        <w:t>.</w:t>
      </w:r>
      <w:r>
        <w:rPr>
          <w:color w:val="000000"/>
          <w:spacing w:val="0"/>
          <w:w w:val="100"/>
          <w:position w:val="0"/>
        </w:rPr>
        <w:t>心民</w:t>
      </w:r>
      <w:r>
        <w:rPr>
          <w:color w:val="000000"/>
          <w:spacing w:val="0"/>
          <w:w w:val="100"/>
          <w:position w:val="0"/>
          <w:lang w:val="zh-CN" w:eastAsia="zh-CN" w:bidi="zh-CN"/>
        </w:rPr>
        <w:t>…</w:t>
      </w:r>
      <w:r>
        <w:rPr>
          <w:rFonts w:ascii="Times New Roman" w:hAnsi="Times New Roman" w:eastAsia="Times New Roman" w:cs="Times New Roman"/>
          <w:color w:val="000000"/>
          <w:spacing w:val="0"/>
          <w:w w:val="100"/>
          <w:position w:val="0"/>
          <w:sz w:val="19"/>
          <w:szCs w:val="19"/>
          <w:lang w:val="en-US" w:eastAsia="en-US" w:bidi="en-US"/>
        </w:rPr>
        <w:t>n.</w:t>
      </w:r>
      <w:r>
        <w:rPr>
          <w:color w:val="000000"/>
          <w:spacing w:val="0"/>
          <w:w w:val="100"/>
          <w:position w:val="0"/>
        </w:rPr>
        <w:t>①周…②陆…③章… 皿心民法一</w:t>
      </w:r>
    </w:p>
    <w:p w14:paraId="2D53AE69">
      <w:pPr>
        <w:pStyle w:val="21"/>
        <w:keepNext w:val="0"/>
        <w:keepLines w:val="0"/>
        <w:widowControl w:val="0"/>
        <w:shd w:val="clear" w:color="auto" w:fill="auto"/>
        <w:bidi w:val="0"/>
        <w:spacing w:before="0" w:after="380" w:line="240" w:lineRule="auto"/>
        <w:ind w:left="0" w:right="0" w:firstLine="280"/>
        <w:jc w:val="both"/>
      </w:pPr>
      <w:r>
        <w:rPr>
          <w:rFonts w:ascii="宋体" w:hAnsi="宋体" w:eastAsia="宋体" w:cs="宋体"/>
          <w:color w:val="000000"/>
          <w:spacing w:val="0"/>
          <w:w w:val="100"/>
          <w:position w:val="0"/>
          <w:sz w:val="18"/>
          <w:szCs w:val="18"/>
        </w:rPr>
        <w:t>案例—世界</w:t>
      </w:r>
      <w:r>
        <w:rPr>
          <w:rFonts w:ascii="Times New Roman" w:hAnsi="Times New Roman" w:eastAsia="Times New Roman" w:cs="Times New Roman"/>
          <w:color w:val="000000"/>
          <w:spacing w:val="0"/>
          <w:w w:val="100"/>
          <w:position w:val="0"/>
          <w:lang w:val="en-US" w:eastAsia="en-US" w:bidi="en-US"/>
        </w:rPr>
        <w:t>N.</w:t>
      </w:r>
      <w:r>
        <w:rPr>
          <w:rFonts w:ascii="宋体" w:hAnsi="宋体" w:eastAsia="宋体" w:cs="宋体"/>
          <w:color w:val="000000"/>
          <w:spacing w:val="0"/>
          <w:w w:val="100"/>
          <w:position w:val="0"/>
        </w:rPr>
        <w:t>①</w:t>
      </w:r>
      <w:r>
        <w:rPr>
          <w:rFonts w:ascii="Times New Roman" w:hAnsi="Times New Roman" w:eastAsia="Times New Roman" w:cs="Times New Roman"/>
          <w:color w:val="000000"/>
          <w:spacing w:val="0"/>
          <w:w w:val="100"/>
          <w:position w:val="0"/>
          <w:lang w:val="en-US" w:eastAsia="en-US" w:bidi="en-US"/>
        </w:rPr>
        <w:t xml:space="preserve">D913. </w:t>
      </w:r>
      <w:r>
        <w:rPr>
          <w:rFonts w:ascii="Times New Roman" w:hAnsi="Times New Roman" w:eastAsia="Times New Roman" w:cs="Times New Roman"/>
          <w:color w:val="000000"/>
          <w:spacing w:val="0"/>
          <w:w w:val="100"/>
          <w:position w:val="0"/>
        </w:rPr>
        <w:t>05</w:t>
      </w:r>
    </w:p>
    <w:p w14:paraId="64A0EF2D">
      <w:pPr>
        <w:pStyle w:val="21"/>
        <w:keepNext w:val="0"/>
        <w:keepLines w:val="0"/>
        <w:widowControl w:val="0"/>
        <w:shd w:val="clear" w:color="auto" w:fill="auto"/>
        <w:bidi w:val="0"/>
        <w:spacing w:before="0" w:after="0" w:line="240" w:lineRule="auto"/>
        <w:ind w:left="0" w:right="0" w:firstLine="700"/>
        <w:jc w:val="left"/>
        <w:rPr>
          <w:sz w:val="18"/>
          <w:szCs w:val="18"/>
        </w:rPr>
        <w:sectPr>
          <w:headerReference r:id="rId591" w:type="default"/>
          <w:headerReference r:id="rId592" w:type="even"/>
          <w:footnotePr>
            <w:numFmt w:val="chicago"/>
          </w:footnotePr>
          <w:pgSz w:w="10099" w:h="14782"/>
          <w:pgMar w:top="2118" w:right="847" w:bottom="2086" w:left="1272" w:header="1690" w:footer="1658" w:gutter="0"/>
          <w:pgNumType w:start="517"/>
          <w:cols w:space="720" w:num="1"/>
          <w:rtlGutter w:val="0"/>
          <w:docGrid w:linePitch="360" w:charSpace="0"/>
        </w:sectPr>
      </w:pPr>
      <w:r>
        <w:rPr>
          <w:rFonts w:ascii="宋体" w:hAnsi="宋体" w:eastAsia="宋体" w:cs="宋体"/>
          <w:color w:val="000000"/>
          <w:spacing w:val="0"/>
          <w:w w:val="100"/>
          <w:position w:val="0"/>
          <w:sz w:val="18"/>
          <w:szCs w:val="18"/>
        </w:rPr>
        <w:t>中国版本图书馆</w:t>
      </w:r>
      <w:r>
        <w:rPr>
          <w:rFonts w:ascii="Times New Roman" w:hAnsi="Times New Roman" w:eastAsia="Times New Roman" w:cs="Times New Roman"/>
          <w:color w:val="000000"/>
          <w:spacing w:val="0"/>
          <w:w w:val="100"/>
          <w:position w:val="0"/>
          <w:sz w:val="19"/>
          <w:szCs w:val="19"/>
          <w:lang w:val="en-US" w:eastAsia="en-US" w:bidi="en-US"/>
        </w:rPr>
        <w:t>CIP</w:t>
      </w:r>
      <w:r>
        <w:rPr>
          <w:rFonts w:ascii="宋体" w:hAnsi="宋体" w:eastAsia="宋体" w:cs="宋体"/>
          <w:color w:val="000000"/>
          <w:spacing w:val="0"/>
          <w:w w:val="100"/>
          <w:position w:val="0"/>
          <w:sz w:val="18"/>
          <w:szCs w:val="18"/>
        </w:rPr>
        <w:t>数据核字</w:t>
      </w:r>
      <w:r>
        <w:rPr>
          <w:rFonts w:ascii="Times New Roman" w:hAnsi="Times New Roman" w:eastAsia="Times New Roman" w:cs="Times New Roman"/>
          <w:color w:val="000000"/>
          <w:spacing w:val="0"/>
          <w:w w:val="100"/>
          <w:position w:val="0"/>
          <w:sz w:val="19"/>
          <w:szCs w:val="19"/>
        </w:rPr>
        <w:t>（2020）</w:t>
      </w:r>
      <w:r>
        <w:rPr>
          <w:rFonts w:ascii="宋体" w:hAnsi="宋体" w:eastAsia="宋体" w:cs="宋体"/>
          <w:color w:val="000000"/>
          <w:spacing w:val="0"/>
          <w:w w:val="100"/>
          <w:position w:val="0"/>
          <w:sz w:val="18"/>
          <w:szCs w:val="18"/>
        </w:rPr>
        <w:t>第</w:t>
      </w:r>
      <w:r>
        <w:rPr>
          <w:rFonts w:ascii="Times New Roman" w:hAnsi="Times New Roman" w:eastAsia="Times New Roman" w:cs="Times New Roman"/>
          <w:color w:val="000000"/>
          <w:spacing w:val="0"/>
          <w:w w:val="100"/>
          <w:position w:val="0"/>
          <w:sz w:val="19"/>
          <w:szCs w:val="19"/>
        </w:rPr>
        <w:t>180184</w:t>
      </w:r>
      <w:r>
        <w:rPr>
          <w:rFonts w:ascii="宋体" w:hAnsi="宋体" w:eastAsia="宋体" w:cs="宋体"/>
          <w:color w:val="000000"/>
          <w:spacing w:val="0"/>
          <w:w w:val="100"/>
          <w:position w:val="0"/>
          <w:sz w:val="18"/>
          <w:szCs w:val="18"/>
        </w:rPr>
        <w:t>号</w:t>
      </w:r>
    </w:p>
    <w:p w14:paraId="23B14439">
      <w:pPr>
        <w:widowControl w:val="0"/>
        <w:spacing w:line="240" w:lineRule="exact"/>
        <w:rPr>
          <w:sz w:val="19"/>
          <w:szCs w:val="19"/>
        </w:rPr>
      </w:pPr>
    </w:p>
    <w:p w14:paraId="77F7CAA2">
      <w:pPr>
        <w:widowControl w:val="0"/>
        <w:spacing w:line="240" w:lineRule="exact"/>
        <w:rPr>
          <w:sz w:val="19"/>
          <w:szCs w:val="19"/>
        </w:rPr>
      </w:pPr>
    </w:p>
    <w:p w14:paraId="050C2697">
      <w:pPr>
        <w:widowControl w:val="0"/>
        <w:spacing w:before="89" w:after="89" w:line="240" w:lineRule="exact"/>
        <w:rPr>
          <w:sz w:val="19"/>
          <w:szCs w:val="19"/>
        </w:rPr>
      </w:pPr>
    </w:p>
    <w:p w14:paraId="5E4F781A">
      <w:pPr>
        <w:widowControl w:val="0"/>
        <w:spacing w:line="1" w:lineRule="exact"/>
        <w:sectPr>
          <w:footnotePr>
            <w:numFmt w:val="chicago"/>
          </w:footnotePr>
          <w:type w:val="continuous"/>
          <w:pgSz w:w="10099" w:h="14782"/>
          <w:pgMar w:top="2118" w:right="0" w:bottom="2086" w:left="0" w:header="0" w:footer="3" w:gutter="0"/>
          <w:cols w:space="720" w:num="1"/>
          <w:rtlGutter w:val="0"/>
          <w:docGrid w:linePitch="360" w:charSpace="0"/>
        </w:sectPr>
      </w:pPr>
    </w:p>
    <w:p w14:paraId="3B1728C0">
      <w:pPr>
        <w:pStyle w:val="35"/>
        <w:keepNext w:val="0"/>
        <w:keepLines w:val="0"/>
        <w:framePr w:w="1416" w:h="389" w:wrap="auto" w:vAnchor="text" w:hAnchor="page" w:x="1614" w:y="21"/>
        <w:widowControl w:val="0"/>
        <w:shd w:val="clear" w:color="auto" w:fill="auto"/>
        <w:bidi w:val="0"/>
        <w:spacing w:before="0" w:after="40" w:line="240" w:lineRule="auto"/>
        <w:ind w:left="0" w:right="0" w:firstLine="0"/>
        <w:jc w:val="left"/>
      </w:pPr>
      <w:r>
        <w:rPr>
          <w:color w:val="000000"/>
          <w:spacing w:val="0"/>
          <w:w w:val="100"/>
          <w:position w:val="0"/>
        </w:rPr>
        <w:t>民法判例百选</w:t>
      </w:r>
    </w:p>
    <w:p w14:paraId="23DD83CC">
      <w:pPr>
        <w:pStyle w:val="13"/>
        <w:keepNext w:val="0"/>
        <w:keepLines w:val="0"/>
        <w:framePr w:w="1416" w:h="389" w:wrap="auto" w:vAnchor="text" w:hAnchor="page" w:x="1614" w:y="21"/>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000000"/>
          <w:spacing w:val="0"/>
          <w:w w:val="100"/>
          <w:position w:val="0"/>
          <w:lang w:val="en-US" w:eastAsia="en-US" w:bidi="en-US"/>
        </w:rPr>
        <w:t>MINFA PANLI BAIXUAN</w:t>
      </w:r>
    </w:p>
    <w:p w14:paraId="5936ECB7">
      <w:pPr>
        <w:pStyle w:val="35"/>
        <w:keepNext w:val="0"/>
        <w:keepLines w:val="0"/>
        <w:framePr w:w="2309" w:h="221" w:wrap="auto" w:vAnchor="text" w:hAnchor="page" w:x="3543" w:y="111"/>
        <w:widowControl w:val="0"/>
        <w:shd w:val="clear" w:color="auto" w:fill="auto"/>
        <w:bidi w:val="0"/>
        <w:spacing w:before="0" w:after="0" w:line="240" w:lineRule="auto"/>
        <w:ind w:left="0" w:right="0" w:firstLine="0"/>
        <w:jc w:val="left"/>
      </w:pPr>
      <w:r>
        <w:rPr>
          <w:color w:val="000000"/>
          <w:spacing w:val="0"/>
          <w:w w:val="100"/>
          <w:position w:val="0"/>
        </w:rPr>
        <w:t>周江洪洪青章程主编</w:t>
      </w:r>
    </w:p>
    <w:p w14:paraId="03B542E8">
      <w:pPr>
        <w:pStyle w:val="35"/>
        <w:keepNext w:val="0"/>
        <w:keepLines w:val="0"/>
        <w:framePr w:w="2047" w:h="463" w:wrap="auto" w:vAnchor="text" w:hAnchor="page" w:x="6092" w:y="21"/>
        <w:widowControl w:val="0"/>
        <w:shd w:val="clear" w:color="auto" w:fill="auto"/>
        <w:bidi w:val="0"/>
        <w:spacing w:before="0" w:after="60" w:line="240" w:lineRule="auto"/>
        <w:ind w:left="0" w:right="0" w:firstLine="0"/>
        <w:jc w:val="left"/>
      </w:pPr>
      <w:r>
        <w:rPr>
          <w:color w:val="000000"/>
          <w:spacing w:val="0"/>
          <w:w w:val="100"/>
          <w:position w:val="0"/>
        </w:rPr>
        <w:t>责任编辑郑怡萍吴昉</w:t>
      </w:r>
    </w:p>
    <w:p w14:paraId="7B2B6498">
      <w:pPr>
        <w:pStyle w:val="35"/>
        <w:keepNext w:val="0"/>
        <w:keepLines w:val="0"/>
        <w:framePr w:w="2047" w:h="463" w:wrap="auto" w:vAnchor="text" w:hAnchor="page" w:x="6092" w:y="21"/>
        <w:widowControl w:val="0"/>
        <w:shd w:val="clear" w:color="auto" w:fill="auto"/>
        <w:bidi w:val="0"/>
        <w:spacing w:before="0" w:after="0" w:line="240" w:lineRule="auto"/>
        <w:ind w:left="0" w:right="0" w:firstLine="0"/>
        <w:jc w:val="left"/>
      </w:pPr>
      <w:r>
        <w:rPr>
          <w:color w:val="000000"/>
          <w:spacing w:val="0"/>
          <w:w w:val="100"/>
          <w:position w:val="0"/>
        </w:rPr>
        <w:t>装帧设计汪奇峰</w:t>
      </w:r>
    </w:p>
    <w:p w14:paraId="674F1450">
      <w:pPr>
        <w:widowControl w:val="0"/>
        <w:spacing w:after="462" w:line="1" w:lineRule="exact"/>
      </w:pPr>
    </w:p>
    <w:p w14:paraId="27C4F3ED">
      <w:pPr>
        <w:widowControl w:val="0"/>
        <w:spacing w:line="1" w:lineRule="exact"/>
        <w:sectPr>
          <w:footnotePr>
            <w:numFmt w:val="chicago"/>
          </w:footnotePr>
          <w:type w:val="continuous"/>
          <w:pgSz w:w="10099" w:h="14782"/>
          <w:pgMar w:top="2118" w:right="847" w:bottom="2086" w:left="1272" w:header="0" w:footer="3" w:gutter="0"/>
          <w:cols w:space="720" w:num="1"/>
          <w:rtlGutter w:val="0"/>
          <w:docGrid w:linePitch="360" w:charSpace="0"/>
        </w:sectPr>
      </w:pPr>
    </w:p>
    <w:p w14:paraId="24BD977B">
      <w:pPr>
        <w:widowControl w:val="0"/>
        <w:spacing w:line="240" w:lineRule="exact"/>
        <w:rPr>
          <w:sz w:val="19"/>
          <w:szCs w:val="19"/>
        </w:rPr>
      </w:pPr>
    </w:p>
    <w:p w14:paraId="2B77F4C2">
      <w:pPr>
        <w:widowControl w:val="0"/>
        <w:spacing w:line="240" w:lineRule="exact"/>
        <w:rPr>
          <w:sz w:val="19"/>
          <w:szCs w:val="19"/>
        </w:rPr>
      </w:pPr>
    </w:p>
    <w:p w14:paraId="25DEFF33">
      <w:pPr>
        <w:widowControl w:val="0"/>
        <w:spacing w:before="49" w:after="49" w:line="240" w:lineRule="exact"/>
        <w:rPr>
          <w:sz w:val="19"/>
          <w:szCs w:val="19"/>
        </w:rPr>
      </w:pPr>
    </w:p>
    <w:p w14:paraId="06051221">
      <w:pPr>
        <w:widowControl w:val="0"/>
        <w:spacing w:line="1" w:lineRule="exact"/>
        <w:sectPr>
          <w:footnotePr>
            <w:numFmt w:val="chicago"/>
          </w:footnotePr>
          <w:type w:val="continuous"/>
          <w:pgSz w:w="10099" w:h="14782"/>
          <w:pgMar w:top="2118" w:right="0" w:bottom="2086" w:left="0" w:header="0" w:footer="3" w:gutter="0"/>
          <w:cols w:space="720" w:num="1"/>
          <w:rtlGutter w:val="0"/>
          <w:docGrid w:linePitch="360" w:charSpace="0"/>
        </w:sectPr>
      </w:pPr>
    </w:p>
    <w:tbl>
      <w:tblPr>
        <w:tblStyle w:val="2"/>
        <w:tblW w:w="0" w:type="auto"/>
        <w:tblInd w:w="0" w:type="dxa"/>
        <w:tblLayout w:type="fixed"/>
        <w:tblCellMar>
          <w:top w:w="0" w:type="dxa"/>
          <w:left w:w="10" w:type="dxa"/>
          <w:bottom w:w="0" w:type="dxa"/>
          <w:right w:w="10" w:type="dxa"/>
        </w:tblCellMar>
      </w:tblPr>
      <w:tblGrid>
        <w:gridCol w:w="2842"/>
        <w:gridCol w:w="2986"/>
      </w:tblGrid>
      <w:tr w14:paraId="5A19E694">
        <w:tblPrEx>
          <w:tblCellMar>
            <w:top w:w="0" w:type="dxa"/>
            <w:left w:w="10" w:type="dxa"/>
            <w:bottom w:w="0" w:type="dxa"/>
            <w:right w:w="10" w:type="dxa"/>
          </w:tblCellMar>
        </w:tblPrEx>
        <w:trPr>
          <w:trHeight w:val="226" w:hRule="exact"/>
        </w:trPr>
        <w:tc>
          <w:tcPr>
            <w:shd w:val="clear" w:color="auto" w:fill="FFFFFF"/>
            <w:vAlign w:val="top"/>
          </w:tcPr>
          <w:p w14:paraId="6CAEB945">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出版法律出版社</w:t>
            </w:r>
          </w:p>
        </w:tc>
        <w:tc>
          <w:tcPr>
            <w:shd w:val="clear" w:color="auto" w:fill="FFFFFF"/>
            <w:vAlign w:val="top"/>
          </w:tcPr>
          <w:p w14:paraId="193ADDE3">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编辑统筹法律教育出版分社</w:t>
            </w:r>
          </w:p>
        </w:tc>
      </w:tr>
      <w:tr w14:paraId="7C102EF4">
        <w:tblPrEx>
          <w:tblCellMar>
            <w:top w:w="0" w:type="dxa"/>
            <w:left w:w="10" w:type="dxa"/>
            <w:bottom w:w="0" w:type="dxa"/>
            <w:right w:w="10" w:type="dxa"/>
          </w:tblCellMar>
        </w:tblPrEx>
        <w:trPr>
          <w:trHeight w:val="250" w:hRule="exact"/>
        </w:trPr>
        <w:tc>
          <w:tcPr>
            <w:shd w:val="clear" w:color="auto" w:fill="FFFFFF"/>
            <w:vAlign w:val="bottom"/>
          </w:tcPr>
          <w:p w14:paraId="6583410F">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总发行中国法律图书有限公司</w:t>
            </w:r>
          </w:p>
        </w:tc>
        <w:tc>
          <w:tcPr>
            <w:shd w:val="clear" w:color="auto" w:fill="FFFFFF"/>
            <w:vAlign w:val="bottom"/>
          </w:tcPr>
          <w:p w14:paraId="20BAEAD8">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开本</w:t>
            </w:r>
            <w:r>
              <w:rPr>
                <w:rFonts w:ascii="Times New Roman" w:hAnsi="Times New Roman" w:eastAsia="Times New Roman" w:cs="Times New Roman"/>
                <w:b/>
                <w:bCs/>
                <w:color w:val="000000"/>
                <w:spacing w:val="0"/>
                <w:w w:val="100"/>
                <w:position w:val="0"/>
                <w:sz w:val="15"/>
                <w:szCs w:val="15"/>
              </w:rPr>
              <w:t>787</w:t>
            </w:r>
            <w:r>
              <w:rPr>
                <w:color w:val="000000"/>
                <w:spacing w:val="0"/>
                <w:w w:val="100"/>
                <w:position w:val="0"/>
                <w:sz w:val="15"/>
                <w:szCs w:val="15"/>
              </w:rPr>
              <w:t>毫米</w:t>
            </w:r>
            <w:r>
              <w:rPr>
                <w:rFonts w:ascii="Times New Roman" w:hAnsi="Times New Roman" w:eastAsia="Times New Roman" w:cs="Times New Roman"/>
                <w:b/>
                <w:bCs/>
                <w:color w:val="000000"/>
                <w:spacing w:val="0"/>
                <w:w w:val="100"/>
                <w:position w:val="0"/>
                <w:sz w:val="15"/>
                <w:szCs w:val="15"/>
                <w:lang w:val="en-US" w:eastAsia="en-US" w:bidi="en-US"/>
              </w:rPr>
              <w:t xml:space="preserve">x </w:t>
            </w:r>
            <w:r>
              <w:rPr>
                <w:rFonts w:ascii="Times New Roman" w:hAnsi="Times New Roman" w:eastAsia="Times New Roman" w:cs="Times New Roman"/>
                <w:b/>
                <w:bCs/>
                <w:color w:val="000000"/>
                <w:spacing w:val="0"/>
                <w:w w:val="100"/>
                <w:position w:val="0"/>
                <w:sz w:val="15"/>
                <w:szCs w:val="15"/>
              </w:rPr>
              <w:t>1092</w:t>
            </w:r>
            <w:r>
              <w:rPr>
                <w:color w:val="000000"/>
                <w:spacing w:val="0"/>
                <w:w w:val="100"/>
                <w:position w:val="0"/>
                <w:sz w:val="15"/>
                <w:szCs w:val="15"/>
              </w:rPr>
              <w:t>毫米</w:t>
            </w:r>
            <w:r>
              <w:rPr>
                <w:rFonts w:ascii="Times New Roman" w:hAnsi="Times New Roman" w:eastAsia="Times New Roman" w:cs="Times New Roman"/>
                <w:b/>
                <w:bCs/>
                <w:color w:val="000000"/>
                <w:spacing w:val="0"/>
                <w:w w:val="100"/>
                <w:position w:val="0"/>
                <w:sz w:val="15"/>
                <w:szCs w:val="15"/>
              </w:rPr>
              <w:t>1/16</w:t>
            </w:r>
          </w:p>
        </w:tc>
      </w:tr>
      <w:tr w14:paraId="464E73B6">
        <w:tblPrEx>
          <w:tblCellMar>
            <w:top w:w="0" w:type="dxa"/>
            <w:left w:w="10" w:type="dxa"/>
            <w:bottom w:w="0" w:type="dxa"/>
            <w:right w:w="10" w:type="dxa"/>
          </w:tblCellMar>
        </w:tblPrEx>
        <w:trPr>
          <w:trHeight w:val="254" w:hRule="exact"/>
        </w:trPr>
        <w:tc>
          <w:tcPr>
            <w:shd w:val="clear" w:color="auto" w:fill="FFFFFF"/>
            <w:vAlign w:val="top"/>
          </w:tcPr>
          <w:p w14:paraId="3BF14ACE">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经销新华书店</w:t>
            </w:r>
          </w:p>
        </w:tc>
        <w:tc>
          <w:tcPr>
            <w:shd w:val="clear" w:color="auto" w:fill="FFFFFF"/>
            <w:vAlign w:val="top"/>
          </w:tcPr>
          <w:p w14:paraId="35E3607B">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印张</w:t>
            </w:r>
            <w:r>
              <w:rPr>
                <w:rFonts w:ascii="Times New Roman" w:hAnsi="Times New Roman" w:eastAsia="Times New Roman" w:cs="Times New Roman"/>
                <w:b/>
                <w:bCs/>
                <w:color w:val="000000"/>
                <w:spacing w:val="0"/>
                <w:w w:val="100"/>
                <w:position w:val="0"/>
                <w:sz w:val="15"/>
                <w:szCs w:val="15"/>
                <w:lang w:val="en-US" w:eastAsia="en-US" w:bidi="en-US"/>
              </w:rPr>
              <w:t>32.5</w:t>
            </w:r>
          </w:p>
        </w:tc>
      </w:tr>
      <w:tr w14:paraId="57384F82">
        <w:tblPrEx>
          <w:tblCellMar>
            <w:top w:w="0" w:type="dxa"/>
            <w:left w:w="10" w:type="dxa"/>
            <w:bottom w:w="0" w:type="dxa"/>
            <w:right w:w="10" w:type="dxa"/>
          </w:tblCellMar>
        </w:tblPrEx>
        <w:trPr>
          <w:trHeight w:val="250" w:hRule="exact"/>
        </w:trPr>
        <w:tc>
          <w:tcPr>
            <w:shd w:val="clear" w:color="auto" w:fill="FFFFFF"/>
            <w:vAlign w:val="bottom"/>
          </w:tcPr>
          <w:p w14:paraId="3A9585A0">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印刷固安华明印业有限公司</w:t>
            </w:r>
          </w:p>
        </w:tc>
        <w:tc>
          <w:tcPr>
            <w:shd w:val="clear" w:color="auto" w:fill="FFFFFF"/>
            <w:vAlign w:val="bottom"/>
          </w:tcPr>
          <w:p w14:paraId="610ABB7A">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字数</w:t>
            </w:r>
            <w:r>
              <w:rPr>
                <w:rFonts w:ascii="Times New Roman" w:hAnsi="Times New Roman" w:eastAsia="Times New Roman" w:cs="Times New Roman"/>
                <w:b/>
                <w:bCs/>
                <w:color w:val="000000"/>
                <w:spacing w:val="0"/>
                <w:w w:val="100"/>
                <w:position w:val="0"/>
                <w:sz w:val="15"/>
                <w:szCs w:val="15"/>
              </w:rPr>
              <w:t>681</w:t>
            </w:r>
            <w:r>
              <w:rPr>
                <w:color w:val="000000"/>
                <w:spacing w:val="0"/>
                <w:w w:val="100"/>
                <w:position w:val="0"/>
                <w:sz w:val="15"/>
                <w:szCs w:val="15"/>
              </w:rPr>
              <w:t>千</w:t>
            </w:r>
          </w:p>
        </w:tc>
      </w:tr>
      <w:tr w14:paraId="22C02048">
        <w:tblPrEx>
          <w:tblCellMar>
            <w:top w:w="0" w:type="dxa"/>
            <w:left w:w="10" w:type="dxa"/>
            <w:bottom w:w="0" w:type="dxa"/>
            <w:right w:w="10" w:type="dxa"/>
          </w:tblCellMar>
        </w:tblPrEx>
        <w:trPr>
          <w:trHeight w:val="250" w:hRule="exact"/>
        </w:trPr>
        <w:tc>
          <w:tcPr>
            <w:shd w:val="clear" w:color="auto" w:fill="FFFFFF"/>
            <w:vAlign w:val="bottom"/>
          </w:tcPr>
          <w:p w14:paraId="60C9863D">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责任校对杨锦华</w:t>
            </w:r>
          </w:p>
        </w:tc>
        <w:tc>
          <w:tcPr>
            <w:shd w:val="clear" w:color="auto" w:fill="FFFFFF"/>
            <w:vAlign w:val="bottom"/>
          </w:tcPr>
          <w:p w14:paraId="2A628CA5">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版本</w:t>
            </w:r>
            <w:r>
              <w:rPr>
                <w:rFonts w:ascii="Times New Roman" w:hAnsi="Times New Roman" w:eastAsia="Times New Roman" w:cs="Times New Roman"/>
                <w:b/>
                <w:bCs/>
                <w:color w:val="000000"/>
                <w:spacing w:val="0"/>
                <w:w w:val="100"/>
                <w:position w:val="0"/>
                <w:sz w:val="15"/>
                <w:szCs w:val="15"/>
              </w:rPr>
              <w:t>2020</w:t>
            </w:r>
            <w:r>
              <w:rPr>
                <w:color w:val="000000"/>
                <w:spacing w:val="0"/>
                <w:w w:val="100"/>
                <w:position w:val="0"/>
                <w:sz w:val="15"/>
                <w:szCs w:val="15"/>
              </w:rPr>
              <w:t>年</w:t>
            </w:r>
            <w:r>
              <w:rPr>
                <w:rFonts w:ascii="Times New Roman" w:hAnsi="Times New Roman" w:eastAsia="Times New Roman" w:cs="Times New Roman"/>
                <w:b/>
                <w:bCs/>
                <w:color w:val="000000"/>
                <w:spacing w:val="0"/>
                <w:w w:val="100"/>
                <w:position w:val="0"/>
                <w:sz w:val="15"/>
                <w:szCs w:val="15"/>
              </w:rPr>
              <w:t>10</w:t>
            </w:r>
            <w:r>
              <w:rPr>
                <w:color w:val="000000"/>
                <w:spacing w:val="0"/>
                <w:w w:val="100"/>
                <w:position w:val="0"/>
                <w:sz w:val="15"/>
                <w:szCs w:val="15"/>
              </w:rPr>
              <w:t>月第</w:t>
            </w:r>
            <w:r>
              <w:rPr>
                <w:rFonts w:ascii="Times New Roman" w:hAnsi="Times New Roman" w:eastAsia="Times New Roman" w:cs="Times New Roman"/>
                <w:b/>
                <w:bCs/>
                <w:color w:val="000000"/>
                <w:spacing w:val="0"/>
                <w:w w:val="100"/>
                <w:position w:val="0"/>
                <w:sz w:val="15"/>
                <w:szCs w:val="15"/>
              </w:rPr>
              <w:t>1</w:t>
            </w:r>
            <w:r>
              <w:rPr>
                <w:color w:val="000000"/>
                <w:spacing w:val="0"/>
                <w:w w:val="100"/>
                <w:position w:val="0"/>
                <w:sz w:val="15"/>
                <w:szCs w:val="15"/>
              </w:rPr>
              <w:t>版</w:t>
            </w:r>
          </w:p>
        </w:tc>
      </w:tr>
      <w:tr w14:paraId="1FD585AE">
        <w:tblPrEx>
          <w:tblCellMar>
            <w:top w:w="0" w:type="dxa"/>
            <w:left w:w="10" w:type="dxa"/>
            <w:bottom w:w="0" w:type="dxa"/>
            <w:right w:w="10" w:type="dxa"/>
          </w:tblCellMar>
        </w:tblPrEx>
        <w:trPr>
          <w:trHeight w:val="235" w:hRule="exact"/>
        </w:trPr>
        <w:tc>
          <w:tcPr>
            <w:shd w:val="clear" w:color="auto" w:fill="FFFFFF"/>
            <w:vAlign w:val="bottom"/>
          </w:tcPr>
          <w:p w14:paraId="089C3522">
            <w:pPr>
              <w:pStyle w:val="29"/>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责任印制胡晓雅</w:t>
            </w:r>
          </w:p>
        </w:tc>
        <w:tc>
          <w:tcPr>
            <w:shd w:val="clear" w:color="auto" w:fill="FFFFFF"/>
            <w:vAlign w:val="bottom"/>
          </w:tcPr>
          <w:p w14:paraId="449B4AF1">
            <w:pPr>
              <w:pStyle w:val="29"/>
              <w:keepNext w:val="0"/>
              <w:keepLines w:val="0"/>
              <w:widowControl w:val="0"/>
              <w:shd w:val="clear" w:color="auto" w:fill="auto"/>
              <w:bidi w:val="0"/>
              <w:spacing w:before="0" w:after="0" w:line="240" w:lineRule="auto"/>
              <w:ind w:left="0" w:right="0" w:firstLine="800"/>
              <w:jc w:val="left"/>
              <w:rPr>
                <w:sz w:val="15"/>
                <w:szCs w:val="15"/>
              </w:rPr>
            </w:pPr>
            <w:r>
              <w:rPr>
                <w:color w:val="000000"/>
                <w:spacing w:val="0"/>
                <w:w w:val="100"/>
                <w:position w:val="0"/>
                <w:sz w:val="15"/>
                <w:szCs w:val="15"/>
              </w:rPr>
              <w:t>印次</w:t>
            </w:r>
            <w:r>
              <w:rPr>
                <w:rFonts w:ascii="Times New Roman" w:hAnsi="Times New Roman" w:eastAsia="Times New Roman" w:cs="Times New Roman"/>
                <w:b/>
                <w:bCs/>
                <w:color w:val="000000"/>
                <w:spacing w:val="0"/>
                <w:w w:val="100"/>
                <w:position w:val="0"/>
                <w:sz w:val="15"/>
                <w:szCs w:val="15"/>
              </w:rPr>
              <w:t>2020</w:t>
            </w:r>
            <w:r>
              <w:rPr>
                <w:color w:val="000000"/>
                <w:spacing w:val="0"/>
                <w:w w:val="100"/>
                <w:position w:val="0"/>
                <w:sz w:val="15"/>
                <w:szCs w:val="15"/>
              </w:rPr>
              <w:t>年</w:t>
            </w:r>
            <w:r>
              <w:rPr>
                <w:rFonts w:ascii="Times New Roman" w:hAnsi="Times New Roman" w:eastAsia="Times New Roman" w:cs="Times New Roman"/>
                <w:b/>
                <w:bCs/>
                <w:color w:val="000000"/>
                <w:spacing w:val="0"/>
                <w:w w:val="100"/>
                <w:position w:val="0"/>
                <w:sz w:val="15"/>
                <w:szCs w:val="15"/>
              </w:rPr>
              <w:t>12</w:t>
            </w:r>
            <w:r>
              <w:rPr>
                <w:color w:val="000000"/>
                <w:spacing w:val="0"/>
                <w:w w:val="100"/>
                <w:position w:val="0"/>
                <w:sz w:val="15"/>
                <w:szCs w:val="15"/>
              </w:rPr>
              <w:t>月第</w:t>
            </w:r>
            <w:r>
              <w:rPr>
                <w:rFonts w:ascii="Times New Roman" w:hAnsi="Times New Roman" w:eastAsia="Times New Roman" w:cs="Times New Roman"/>
                <w:b/>
                <w:bCs/>
                <w:color w:val="000000"/>
                <w:spacing w:val="0"/>
                <w:w w:val="100"/>
                <w:position w:val="0"/>
                <w:sz w:val="15"/>
                <w:szCs w:val="15"/>
              </w:rPr>
              <w:t>2</w:t>
            </w:r>
            <w:r>
              <w:rPr>
                <w:color w:val="000000"/>
                <w:spacing w:val="0"/>
                <w:w w:val="100"/>
                <w:position w:val="0"/>
                <w:sz w:val="15"/>
                <w:szCs w:val="15"/>
              </w:rPr>
              <w:t>次印刷</w:t>
            </w:r>
          </w:p>
        </w:tc>
      </w:tr>
    </w:tbl>
    <w:p w14:paraId="252086A0">
      <w:pPr>
        <w:pStyle w:val="39"/>
        <w:keepNext w:val="0"/>
        <w:keepLines w:val="0"/>
        <w:widowControl w:val="0"/>
        <w:shd w:val="clear" w:color="auto" w:fill="auto"/>
        <w:bidi w:val="0"/>
        <w:spacing w:before="0" w:after="0" w:line="240" w:lineRule="auto"/>
        <w:ind w:left="5" w:right="0" w:firstLine="0"/>
        <w:jc w:val="left"/>
      </w:pPr>
      <w:r>
        <w:rPr>
          <w:color w:val="000000"/>
          <w:spacing w:val="0"/>
          <w:w w:val="100"/>
          <w:position w:val="0"/>
        </w:rPr>
        <w:t>法律出版社/北京市丰台区莲花池西里</w:t>
      </w:r>
      <w:r>
        <w:rPr>
          <w:rFonts w:ascii="Times New Roman" w:hAnsi="Times New Roman" w:eastAsia="Times New Roman" w:cs="Times New Roman"/>
          <w:b/>
          <w:bCs/>
          <w:color w:val="000000"/>
          <w:spacing w:val="0"/>
          <w:w w:val="100"/>
          <w:position w:val="0"/>
        </w:rPr>
        <w:t>7</w:t>
      </w:r>
      <w:r>
        <w:rPr>
          <w:color w:val="000000"/>
          <w:spacing w:val="0"/>
          <w:w w:val="100"/>
          <w:position w:val="0"/>
        </w:rPr>
        <w:t>号</w:t>
      </w: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rPr>
        <w:t>100073）</w:t>
      </w:r>
    </w:p>
    <w:p w14:paraId="15A36F84">
      <w:pPr>
        <w:widowControl w:val="0"/>
        <w:spacing w:after="979" w:line="1" w:lineRule="exact"/>
      </w:pPr>
    </w:p>
    <w:p w14:paraId="4A3E42CE">
      <w:pPr>
        <w:pStyle w:val="35"/>
        <w:keepNext w:val="0"/>
        <w:keepLines w:val="0"/>
        <w:widowControl w:val="0"/>
        <w:shd w:val="clear" w:color="auto" w:fill="auto"/>
        <w:bidi w:val="0"/>
        <w:spacing w:before="0" w:after="1220" w:line="240" w:lineRule="auto"/>
        <w:ind w:left="0" w:right="0" w:firstLine="0"/>
        <w:jc w:val="both"/>
      </w:pPr>
      <w:r>
        <w:rPr>
          <w:color w:val="000000"/>
          <w:spacing w:val="0"/>
          <w:w w:val="100"/>
          <w:position w:val="0"/>
        </w:rPr>
        <w:t>中国法律图书有限公司/北京市丰台区莲花池西里</w:t>
      </w:r>
      <w:r>
        <w:rPr>
          <w:rFonts w:ascii="Times New Roman" w:hAnsi="Times New Roman" w:eastAsia="Times New Roman" w:cs="Times New Roman"/>
          <w:b/>
          <w:bCs/>
          <w:color w:val="000000"/>
          <w:spacing w:val="0"/>
          <w:w w:val="100"/>
          <w:position w:val="0"/>
        </w:rPr>
        <w:t>7</w:t>
      </w:r>
      <w:r>
        <w:rPr>
          <w:color w:val="000000"/>
          <w:spacing w:val="0"/>
          <w:w w:val="100"/>
          <w:position w:val="0"/>
        </w:rPr>
        <w:t>号</w:t>
      </w:r>
      <w:r>
        <w:rPr>
          <w:b/>
          <w:bCs/>
          <w:color w:val="000000"/>
          <w:spacing w:val="0"/>
          <w:w w:val="100"/>
          <w:position w:val="0"/>
          <w:sz w:val="16"/>
          <w:szCs w:val="16"/>
        </w:rPr>
        <w:t>（</w:t>
      </w:r>
      <w:r>
        <w:rPr>
          <w:rFonts w:ascii="Times New Roman" w:hAnsi="Times New Roman" w:eastAsia="Times New Roman" w:cs="Times New Roman"/>
          <w:b/>
          <w:bCs/>
          <w:color w:val="000000"/>
          <w:spacing w:val="0"/>
          <w:w w:val="100"/>
          <w:position w:val="0"/>
        </w:rPr>
        <w:t>100073）</w:t>
      </w:r>
    </w:p>
    <w:p w14:paraId="17AC198B">
      <w:pPr>
        <w:pStyle w:val="29"/>
        <w:keepNext w:val="0"/>
        <w:keepLines w:val="0"/>
        <w:widowControl w:val="0"/>
        <w:shd w:val="clear" w:color="auto" w:fill="auto"/>
        <w:tabs>
          <w:tab w:val="left" w:pos="3638"/>
        </w:tabs>
        <w:bidi w:val="0"/>
        <w:spacing w:before="0" w:after="80" w:line="240" w:lineRule="auto"/>
        <w:ind w:left="0" w:right="0" w:firstLine="0"/>
        <w:jc w:val="both"/>
        <w:rPr>
          <w:sz w:val="15"/>
          <w:szCs w:val="15"/>
        </w:rPr>
      </w:pPr>
      <w:r>
        <w:rPr>
          <w:color w:val="000000"/>
          <w:spacing w:val="0"/>
          <w:w w:val="100"/>
          <w:position w:val="0"/>
          <w:sz w:val="15"/>
          <w:szCs w:val="15"/>
        </w:rPr>
        <w:t>书号</w:t>
      </w:r>
      <w:r>
        <w:rPr>
          <w:b/>
          <w:bCs/>
          <w:color w:val="000000"/>
          <w:spacing w:val="0"/>
          <w:w w:val="100"/>
          <w:position w:val="0"/>
          <w:sz w:val="16"/>
          <w:szCs w:val="16"/>
          <w:lang w:val="en-US" w:eastAsia="en-US" w:bidi="en-US"/>
        </w:rPr>
        <w:t>：</w:t>
      </w:r>
      <w:r>
        <w:rPr>
          <w:rFonts w:ascii="Times New Roman" w:hAnsi="Times New Roman" w:eastAsia="Times New Roman" w:cs="Times New Roman"/>
          <w:b/>
          <w:bCs/>
          <w:color w:val="000000"/>
          <w:spacing w:val="0"/>
          <w:w w:val="100"/>
          <w:position w:val="0"/>
          <w:sz w:val="15"/>
          <w:szCs w:val="15"/>
          <w:lang w:val="en-US" w:eastAsia="en-US" w:bidi="en-US"/>
        </w:rPr>
        <w:t>ISBN 978 -7 -5197 -4972-9</w:t>
      </w:r>
      <w:r>
        <w:rPr>
          <w:rFonts w:ascii="Times New Roman" w:hAnsi="Times New Roman" w:eastAsia="Times New Roman" w:cs="Times New Roman"/>
          <w:b/>
          <w:bCs/>
          <w:color w:val="000000"/>
          <w:spacing w:val="0"/>
          <w:w w:val="100"/>
          <w:position w:val="0"/>
          <w:sz w:val="15"/>
          <w:szCs w:val="15"/>
          <w:lang w:val="en-US" w:eastAsia="en-US" w:bidi="en-US"/>
        </w:rPr>
        <w:tab/>
      </w:r>
      <w:r>
        <w:rPr>
          <w:color w:val="000000"/>
          <w:spacing w:val="0"/>
          <w:w w:val="100"/>
          <w:position w:val="0"/>
          <w:sz w:val="15"/>
          <w:szCs w:val="15"/>
        </w:rPr>
        <w:t>定价:</w:t>
      </w:r>
      <w:r>
        <w:rPr>
          <w:rFonts w:ascii="Times New Roman" w:hAnsi="Times New Roman" w:eastAsia="Times New Roman" w:cs="Times New Roman"/>
          <w:b/>
          <w:bCs/>
          <w:color w:val="000000"/>
          <w:spacing w:val="0"/>
          <w:w w:val="100"/>
          <w:position w:val="0"/>
          <w:sz w:val="15"/>
          <w:szCs w:val="15"/>
          <w:lang w:val="en-US" w:eastAsia="en-US" w:bidi="en-US"/>
        </w:rPr>
        <w:t xml:space="preserve">69.00 </w:t>
      </w:r>
      <w:r>
        <w:rPr>
          <w:color w:val="000000"/>
          <w:spacing w:val="0"/>
          <w:w w:val="100"/>
          <w:position w:val="0"/>
          <w:sz w:val="15"/>
          <w:szCs w:val="15"/>
        </w:rPr>
        <w:t>元</w:t>
      </w:r>
    </w:p>
    <w:p w14:paraId="5DD3D2F9">
      <w:pPr>
        <w:pStyle w:val="35"/>
        <w:keepNext w:val="0"/>
        <w:keepLines w:val="0"/>
        <w:widowControl w:val="0"/>
        <w:shd w:val="clear" w:color="auto" w:fill="auto"/>
        <w:bidi w:val="0"/>
        <w:spacing w:before="0" w:after="0" w:line="240" w:lineRule="auto"/>
        <w:ind w:left="0" w:right="0" w:firstLine="0"/>
        <w:jc w:val="left"/>
      </w:pPr>
      <w:r>
        <w:rPr>
          <w:color w:val="000000"/>
          <w:spacing w:val="0"/>
          <w:w w:val="100"/>
          <w:position w:val="0"/>
        </w:rPr>
        <w:t>（如有缺页或倒装，中国法律图书有限公司负责退换）</w:t>
      </w:r>
    </w:p>
    <w:sectPr>
      <w:footnotePr>
        <w:numFmt w:val="chicago"/>
      </w:footnotePr>
      <w:type w:val="continuous"/>
      <w:pgSz w:w="10099" w:h="14782"/>
      <w:pgMar w:top="2118" w:right="1961" w:bottom="2086" w:left="1541" w:header="0" w:footer="3" w:gutter="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40" w:lineRule="auto"/>
      </w:pPr>
      <w:r>
        <w:separator/>
      </w:r>
    </w:p>
  </w:footnote>
  <w:footnote w:type="continuationSeparator" w:id="3">
    <w:p>
      <w:pPr>
        <w:spacing w:before="0" w:after="0" w:line="240" w:lineRule="auto"/>
      </w:pPr>
      <w:r>
        <w:continuationSeparator/>
      </w:r>
    </w:p>
  </w:footnote>
  <w:footnote w:id="0">
    <w:p w14:paraId="468A355A">
      <w:pPr>
        <w:pStyle w:val="5"/>
        <w:keepNext w:val="0"/>
        <w:keepLines w:val="0"/>
        <w:widowControl w:val="0"/>
        <w:shd w:val="clear" w:color="auto" w:fill="auto"/>
        <w:bidi w:val="0"/>
        <w:spacing w:before="0" w:after="0"/>
        <w:ind w:left="0" w:right="0"/>
        <w:jc w:val="left"/>
      </w:pPr>
      <w:r>
        <w:rPr>
          <w:color w:val="000000"/>
          <w:spacing w:val="0"/>
          <w:w w:val="100"/>
          <w:position w:val="0"/>
          <w:lang w:val="en-US" w:eastAsia="en-US" w:bidi="en-US"/>
        </w:rPr>
        <w:footnoteRef/>
      </w:r>
      <w:r>
        <w:rPr>
          <w:color w:val="000000"/>
          <w:spacing w:val="0"/>
          <w:w w:val="100"/>
          <w:position w:val="0"/>
        </w:rPr>
        <w:t>本案二审终审结论维持一审原判，除沿用一审理由外，二审判决基本未形成新的论证,鉴于此，本文仍以一审 判决书作为分析对象。</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8F06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441960</wp:posOffset>
              </wp:positionH>
              <wp:positionV relativeFrom="page">
                <wp:posOffset>530225</wp:posOffset>
              </wp:positionV>
              <wp:extent cx="666115" cy="107950"/>
              <wp:effectExtent l="0" t="0" r="0" b="0"/>
              <wp:wrapNone/>
              <wp:docPr id="1" name="Shape 1"/>
              <wp:cNvGraphicFramePr/>
              <a:graphic xmlns:a="http://schemas.openxmlformats.org/drawingml/2006/main">
                <a:graphicData uri="http://schemas.microsoft.com/office/word/2010/wordprocessingShape">
                  <wps:wsp>
                    <wps:cNvSpPr txBox="1"/>
                    <wps:spPr>
                      <a:xfrm>
                        <a:off x="0" y="0"/>
                        <a:ext cx="666115" cy="107950"/>
                      </a:xfrm>
                      <a:prstGeom prst="rect">
                        <a:avLst/>
                      </a:prstGeom>
                      <a:noFill/>
                    </wps:spPr>
                    <wps:txbx>
                      <w:txbxContent>
                        <w:p w14:paraId="1C08437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wps:txbx>
                    <wps:bodyPr wrap="none" lIns="0" tIns="0" rIns="0" bIns="0">
                      <a:spAutoFit/>
                    </wps:bodyPr>
                  </wps:wsp>
                </a:graphicData>
              </a:graphic>
            </wp:anchor>
          </w:drawing>
        </mc:Choice>
        <mc:Fallback>
          <w:pict>
            <v:shape id="Shape 1" o:spid="_x0000_s1026" o:spt="202" type="#_x0000_t202" style="position:absolute;left:0pt;margin-left:34.8pt;margin-top:41.75pt;height:8.5pt;width:52.45pt;mso-position-horizontal-relative:page;mso-position-vertical-relative:page;mso-wrap-style:none;z-index:-251657216;mso-width-relative:page;mso-height-relative:page;" filled="f" stroked="f" coordsize="21600,21600" o:gfxdata="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T7HZB1QAAAAkB&#10;AAAPAAAAAAAAAAEAIAAAACIAAABkcnMvZG93bnJldi54bWxQSwECFAAUAAAACACHTuJAdHREUqwB&#10;AABvAwAADgAAAAAAAAABACAAAAAkAQAAZHJzL2Uyb0RvYy54bWxQSwUGAAAAAAYABgBZAQAAQgUA&#10;AAAA&#10;">
              <v:fill on="f" focussize="0,0"/>
              <v:stroke on="f"/>
              <v:imagedata o:title=""/>
              <o:lock v:ext="edit" aspectratio="f"/>
              <v:textbox inset="0mm,0mm,0mm,0mm" style="mso-fit-shape-to-text:t;">
                <w:txbxContent>
                  <w:p w14:paraId="1C08437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6BD0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5203825</wp:posOffset>
              </wp:positionH>
              <wp:positionV relativeFrom="page">
                <wp:posOffset>505460</wp:posOffset>
              </wp:positionV>
              <wp:extent cx="636905" cy="111125"/>
              <wp:effectExtent l="0" t="0" r="0" b="0"/>
              <wp:wrapNone/>
              <wp:docPr id="17" name="Shape 17"/>
              <wp:cNvGraphicFramePr/>
              <a:graphic xmlns:a="http://schemas.openxmlformats.org/drawingml/2006/main">
                <a:graphicData uri="http://schemas.microsoft.com/office/word/2010/wordprocessingShape">
                  <wps:wsp>
                    <wps:cNvSpPr txBox="1"/>
                    <wps:spPr>
                      <a:xfrm>
                        <a:off x="0" y="0"/>
                        <a:ext cx="636905" cy="111125"/>
                      </a:xfrm>
                      <a:prstGeom prst="rect">
                        <a:avLst/>
                      </a:prstGeom>
                      <a:noFill/>
                    </wps:spPr>
                    <wps:txbx>
                      <w:txbxContent>
                        <w:p w14:paraId="3A0F8E8B">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lang w:val="en-US" w:eastAsia="en-US" w:bidi="en-US"/>
                            </w:rPr>
                            <w:t xml:space="preserve">I </w:t>
                          </w:r>
                          <w:r>
                            <w:rPr>
                              <w:rFonts w:ascii="Times New Roman" w:hAnsi="Times New Roman" w:eastAsia="Times New Roman" w:cs="Times New Roman"/>
                              <w:color w:val="000000"/>
                              <w:spacing w:val="0"/>
                              <w:w w:val="100"/>
                              <w:position w:val="0"/>
                              <w:sz w:val="17"/>
                              <w:szCs w:val="17"/>
                            </w:rPr>
                            <w:t>003</w:t>
                          </w:r>
                        </w:p>
                      </w:txbxContent>
                    </wps:txbx>
                    <wps:bodyPr wrap="none" lIns="0" tIns="0" rIns="0" bIns="0">
                      <a:spAutoFit/>
                    </wps:bodyPr>
                  </wps:wsp>
                </a:graphicData>
              </a:graphic>
            </wp:anchor>
          </w:drawing>
        </mc:Choice>
        <mc:Fallback>
          <w:pict>
            <v:shape id="Shape 17" o:spid="_x0000_s1026" o:spt="202" type="#_x0000_t202" style="position:absolute;left:0pt;margin-left:409.75pt;margin-top:39.8pt;height:8.75pt;width:50.15pt;mso-position-horizontal-relative:page;mso-position-vertical-relative:page;mso-wrap-style:none;z-index:-251657216;mso-width-relative:page;mso-height-relative:page;" filled="f" stroked="f" coordsize="21600,21600" o:gfxdata="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6WQGdUAAAAJ&#10;AQAADwAAAAAAAAABACAAAAAiAAAAZHJzL2Rvd25yZXYueG1sUEsBAhQAFAAAAAgAh07iQFChkput&#10;AQAAcQMAAA4AAAAAAAAAAQAgAAAAJAEAAGRycy9lMm9Eb2MueG1sUEsFBgAAAAAGAAYAWQEAAEMF&#10;AAAAAA==&#10;">
              <v:fill on="f" focussize="0,0"/>
              <v:stroke on="f"/>
              <v:imagedata o:title=""/>
              <o:lock v:ext="edit" aspectratio="f"/>
              <v:textbox inset="0mm,0mm,0mm,0mm" style="mso-fit-shape-to-text:t;">
                <w:txbxContent>
                  <w:p w14:paraId="3A0F8E8B">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lang w:val="en-US" w:eastAsia="en-US" w:bidi="en-US"/>
                      </w:rPr>
                      <w:t xml:space="preserve">I </w:t>
                    </w:r>
                    <w:r>
                      <w:rPr>
                        <w:rFonts w:ascii="Times New Roman" w:hAnsi="Times New Roman" w:eastAsia="Times New Roman" w:cs="Times New Roman"/>
                        <w:color w:val="000000"/>
                        <w:spacing w:val="0"/>
                        <w:w w:val="100"/>
                        <w:position w:val="0"/>
                        <w:sz w:val="17"/>
                        <w:szCs w:val="17"/>
                      </w:rPr>
                      <w:t>003</w:t>
                    </w:r>
                  </w:p>
                </w:txbxContent>
              </v:textbox>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A59A3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21" name="Shape 22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D3306D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2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mmiZ&#10;V68BAABzAwAADgAAAAAAAAABACAAAAAkAQAAZHJzL2Uyb0RvYy54bWxQSwUGAAAAAAYABgBZAQAA&#10;RQUAAAAA&#10;">
              <v:fill on="f" focussize="0,0"/>
              <v:stroke on="f"/>
              <v:imagedata o:title=""/>
              <o:lock v:ext="edit" aspectratio="f"/>
              <v:textbox inset="0mm,0mm,0mm,0mm" style="mso-fit-shape-to-text:t;">
                <w:txbxContent>
                  <w:p w14:paraId="0D3306D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41DA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23" name="Shape 22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9CC72C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2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S&#10;YXGwAQAAcwMAAA4AAAAAAAAAAQAgAAAAJAEAAGRycy9lMm9Eb2MueG1sUEsFBgAAAAAGAAYAWQEA&#10;AEYFAAAAAA==&#10;">
              <v:fill on="f" focussize="0,0"/>
              <v:stroke on="f"/>
              <v:imagedata o:title=""/>
              <o:lock v:ext="edit" aspectratio="f"/>
              <v:textbox inset="0mm,0mm,0mm,0mm" style="mso-fit-shape-to-text:t;">
                <w:txbxContent>
                  <w:p w14:paraId="09CC72C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EE2BE">
    <w:pPr>
      <w:widowControl w:val="0"/>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B09BB">
    <w:pPr>
      <w:widowControl w:val="0"/>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11008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3823335</wp:posOffset>
              </wp:positionH>
              <wp:positionV relativeFrom="page">
                <wp:posOffset>498475</wp:posOffset>
              </wp:positionV>
              <wp:extent cx="2068195" cy="109855"/>
              <wp:effectExtent l="0" t="0" r="0" b="0"/>
              <wp:wrapNone/>
              <wp:docPr id="231" name="Shape 231"/>
              <wp:cNvGraphicFramePr/>
              <a:graphic xmlns:a="http://schemas.openxmlformats.org/drawingml/2006/main">
                <a:graphicData uri="http://schemas.microsoft.com/office/word/2010/wordprocessingShape">
                  <wps:wsp>
                    <wps:cNvSpPr txBox="1"/>
                    <wps:spPr>
                      <a:xfrm>
                        <a:off x="0" y="0"/>
                        <a:ext cx="2068195" cy="109855"/>
                      </a:xfrm>
                      <a:prstGeom prst="rect">
                        <a:avLst/>
                      </a:prstGeom>
                      <a:noFill/>
                    </wps:spPr>
                    <wps:txbx>
                      <w:txbxContent>
                        <w:p w14:paraId="35E09A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公司依瑕疵决议所为增资行为之效力认定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231" o:spid="_x0000_s1026" o:spt="202" type="#_x0000_t202" style="position:absolute;left:0pt;margin-left:301.05pt;margin-top:39.25pt;height:8.65pt;width:162.85pt;mso-position-horizontal-relative:page;mso-position-vertical-relative:page;mso-wrap-style:none;z-index:-251657216;mso-width-relative:page;mso-height-relative:page;" filled="f" stroked="f" coordsize="21600,21600" o:gfxdata="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ZAf4dUA&#10;AAAJAQAADwAAAAAAAAABACAAAAAiAAAAZHJzL2Rvd25yZXYueG1sUEsBAhQAFAAAAAgAh07iQIrf&#10;2MawAQAAdAMAAA4AAAAAAAAAAQAgAAAAJAEAAGRycy9lMm9Eb2MueG1sUEsFBgAAAAAGAAYAWQEA&#10;AEYFAAAAAA==&#10;">
              <v:fill on="f" focussize="0,0"/>
              <v:stroke on="f"/>
              <v:imagedata o:title=""/>
              <o:lock v:ext="edit" aspectratio="f"/>
              <v:textbox inset="0mm,0mm,0mm,0mm" style="mso-fit-shape-to-text:t;">
                <w:txbxContent>
                  <w:p w14:paraId="35E09A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公司依瑕疵决议所为增资行为之效力认定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DAECE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33" name="Shape 23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017CA6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3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10;luewAQAAcwMAAA4AAAAAAAAAAQAgAAAAJAEAAGRycy9lMm9Eb2MueG1sUEsFBgAAAAAGAAYAWQEA&#10;AEYFAAAAAA==&#10;">
              <v:fill on="f" focussize="0,0"/>
              <v:stroke on="f"/>
              <v:imagedata o:title=""/>
              <o:lock v:ext="edit" aspectratio="f"/>
              <v:textbox inset="0mm,0mm,0mm,0mm" style="mso-fit-shape-to-text:t;">
                <w:txbxContent>
                  <w:p w14:paraId="5017CA6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D23D39">
    <w:pPr>
      <w:widowControl w:val="0"/>
      <w:spacing w:line="1" w:lineRule="exact"/>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5D741">
    <w:pPr>
      <w:widowControl w:val="0"/>
      <w:spacing w:line="1" w:lineRule="exact"/>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322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3865880</wp:posOffset>
              </wp:positionH>
              <wp:positionV relativeFrom="page">
                <wp:posOffset>498475</wp:posOffset>
              </wp:positionV>
              <wp:extent cx="2066290" cy="109855"/>
              <wp:effectExtent l="0" t="0" r="0" b="0"/>
              <wp:wrapNone/>
              <wp:docPr id="241" name="Shape 241"/>
              <wp:cNvGraphicFramePr/>
              <a:graphic xmlns:a="http://schemas.openxmlformats.org/drawingml/2006/main">
                <a:graphicData uri="http://schemas.microsoft.com/office/word/2010/wordprocessingShape">
                  <wps:wsp>
                    <wps:cNvSpPr txBox="1"/>
                    <wps:spPr>
                      <a:xfrm>
                        <a:off x="0" y="0"/>
                        <a:ext cx="2066290" cy="109855"/>
                      </a:xfrm>
                      <a:prstGeom prst="rect">
                        <a:avLst/>
                      </a:prstGeom>
                      <a:noFill/>
                    </wps:spPr>
                    <wps:txbx>
                      <w:txbxContent>
                        <w:p w14:paraId="776FAD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沉默只有在例外情形才可被视为意思表示</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241" o:spid="_x0000_s1026" o:spt="202" type="#_x0000_t202" style="position:absolute;left:0pt;margin-left:304.4pt;margin-top:39.25pt;height:8.65pt;width:162.7pt;mso-position-horizontal-relative:page;mso-position-vertical-relative:page;mso-wrap-style:none;z-index:-251657216;mso-width-relative:page;mso-height-relative:page;" filled="f" stroked="f" coordsize="21600,21600" o:gfxdata="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31T/v9YA&#10;AAAJAQAADwAAAAAAAAABACAAAAAiAAAAZHJzL2Rvd25yZXYueG1sUEsBAhQAFAAAAAgAh07iQK+W&#10;leGvAQAAdAMAAA4AAAAAAAAAAQAgAAAAJQEAAGRycy9lMm9Eb2MueG1sUEsFBgAAAAAGAAYAWQEA&#10;AEYFAAAAAA==&#10;">
              <v:fill on="f" focussize="0,0"/>
              <v:stroke on="f"/>
              <v:imagedata o:title=""/>
              <o:lock v:ext="edit" aspectratio="f"/>
              <v:textbox inset="0mm,0mm,0mm,0mm" style="mso-fit-shape-to-text:t;">
                <w:txbxContent>
                  <w:p w14:paraId="776FAD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沉默只有在例外情形才可被视为意思表示</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10070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43" name="Shape 24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3759F0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4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23&#10;sLGwAQAAcwMAAA4AAAAAAAAAAQAgAAAAJAEAAGRycy9lMm9Eb2MueG1sUEsFBgAAAAAGAAYAWQEA&#10;AEYFAAAAAA==&#10;">
              <v:fill on="f" focussize="0,0"/>
              <v:stroke on="f"/>
              <v:imagedata o:title=""/>
              <o:lock v:ext="edit" aspectratio="f"/>
              <v:textbox inset="0mm,0mm,0mm,0mm" style="mso-fit-shape-to-text:t;">
                <w:txbxContent>
                  <w:p w14:paraId="73759F0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BBA9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5203825</wp:posOffset>
              </wp:positionH>
              <wp:positionV relativeFrom="page">
                <wp:posOffset>505460</wp:posOffset>
              </wp:positionV>
              <wp:extent cx="636905" cy="111125"/>
              <wp:effectExtent l="0" t="0" r="0" b="0"/>
              <wp:wrapNone/>
              <wp:docPr id="19" name="Shape 19"/>
              <wp:cNvGraphicFramePr/>
              <a:graphic xmlns:a="http://schemas.openxmlformats.org/drawingml/2006/main">
                <a:graphicData uri="http://schemas.microsoft.com/office/word/2010/wordprocessingShape">
                  <wps:wsp>
                    <wps:cNvSpPr txBox="1"/>
                    <wps:spPr>
                      <a:xfrm>
                        <a:off x="0" y="0"/>
                        <a:ext cx="636905" cy="111125"/>
                      </a:xfrm>
                      <a:prstGeom prst="rect">
                        <a:avLst/>
                      </a:prstGeom>
                      <a:noFill/>
                    </wps:spPr>
                    <wps:txbx>
                      <w:txbxContent>
                        <w:p w14:paraId="31B3373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lang w:val="en-US" w:eastAsia="en-US" w:bidi="en-US"/>
                            </w:rPr>
                            <w:t xml:space="preserve">I </w:t>
                          </w:r>
                          <w:r>
                            <w:rPr>
                              <w:rFonts w:ascii="Times New Roman" w:hAnsi="Times New Roman" w:eastAsia="Times New Roman" w:cs="Times New Roman"/>
                              <w:color w:val="000000"/>
                              <w:spacing w:val="0"/>
                              <w:w w:val="100"/>
                              <w:position w:val="0"/>
                              <w:sz w:val="17"/>
                              <w:szCs w:val="17"/>
                            </w:rPr>
                            <w:t>003</w:t>
                          </w:r>
                        </w:p>
                      </w:txbxContent>
                    </wps:txbx>
                    <wps:bodyPr wrap="none" lIns="0" tIns="0" rIns="0" bIns="0">
                      <a:spAutoFit/>
                    </wps:bodyPr>
                  </wps:wsp>
                </a:graphicData>
              </a:graphic>
            </wp:anchor>
          </w:drawing>
        </mc:Choice>
        <mc:Fallback>
          <w:pict>
            <v:shape id="Shape 19" o:spid="_x0000_s1026" o:spt="202" type="#_x0000_t202" style="position:absolute;left:0pt;margin-left:409.75pt;margin-top:39.8pt;height:8.75pt;width:50.15pt;mso-position-horizontal-relative:page;mso-position-vertical-relative:page;mso-wrap-style:none;z-index:-251657216;mso-width-relative:page;mso-height-relative:page;" filled="f" stroked="f" coordsize="21600,21600" o:gfxdata="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pZAZ1QAAAAkB&#10;AAAPAAAAAAAAAAEAIAAAACIAAABkcnMvZG93bnJldi54bWxQSwECFAAUAAAACACHTuJA0iovP6wB&#10;AABxAwAADgAAAAAAAAABACAAAAAkAQAAZHJzL2Uyb0RvYy54bWxQSwUGAAAAAAYABgBZAQAAQgUA&#10;AAAA&#10;">
              <v:fill on="f" focussize="0,0"/>
              <v:stroke on="f"/>
              <v:imagedata o:title=""/>
              <o:lock v:ext="edit" aspectratio="f"/>
              <v:textbox inset="0mm,0mm,0mm,0mm" style="mso-fit-shape-to-text:t;">
                <w:txbxContent>
                  <w:p w14:paraId="31B3373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lang w:val="en-US" w:eastAsia="en-US" w:bidi="en-US"/>
                      </w:rPr>
                      <w:t xml:space="preserve">I </w:t>
                    </w:r>
                    <w:r>
                      <w:rPr>
                        <w:rFonts w:ascii="Times New Roman" w:hAnsi="Times New Roman" w:eastAsia="Times New Roman" w:cs="Times New Roman"/>
                        <w:color w:val="000000"/>
                        <w:spacing w:val="0"/>
                        <w:w w:val="100"/>
                        <w:position w:val="0"/>
                        <w:sz w:val="17"/>
                        <w:szCs w:val="17"/>
                      </w:rPr>
                      <w:t>003</w:t>
                    </w:r>
                  </w:p>
                </w:txbxContent>
              </v:textbox>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61528">
    <w:pPr>
      <w:widowControl w:val="0"/>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38ED4">
    <w:pPr>
      <w:widowControl w:val="0"/>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65AB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3455670</wp:posOffset>
              </wp:positionH>
              <wp:positionV relativeFrom="page">
                <wp:posOffset>496570</wp:posOffset>
              </wp:positionV>
              <wp:extent cx="2470150" cy="109855"/>
              <wp:effectExtent l="0" t="0" r="0" b="0"/>
              <wp:wrapNone/>
              <wp:docPr id="251" name="Shape 251"/>
              <wp:cNvGraphicFramePr/>
              <a:graphic xmlns:a="http://schemas.openxmlformats.org/drawingml/2006/main">
                <a:graphicData uri="http://schemas.microsoft.com/office/word/2010/wordprocessingShape">
                  <wps:wsp>
                    <wps:cNvSpPr txBox="1"/>
                    <wps:spPr>
                      <a:xfrm>
                        <a:off x="0" y="0"/>
                        <a:ext cx="2470150" cy="109855"/>
                      </a:xfrm>
                      <a:prstGeom prst="rect">
                        <a:avLst/>
                      </a:prstGeom>
                      <a:noFill/>
                    </wps:spPr>
                    <wps:txbx>
                      <w:txbxContent>
                        <w:p w14:paraId="50C4495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跟单信用证交易中开证行关于提单权利的合同解释</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251" o:spid="_x0000_s1026" o:spt="202" type="#_x0000_t202" style="position:absolute;left:0pt;margin-left:272.1pt;margin-top:39.1pt;height:8.65pt;width:194.5pt;mso-position-horizontal-relative:page;mso-position-vertical-relative:page;mso-wrap-style:none;z-index:-251657216;mso-width-relative:page;mso-height-relative:page;" filled="f" stroked="f" coordsize="21600,21600" o:gfxdata="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S78btYA&#10;AAAJAQAADwAAAAAAAAABACAAAAAiAAAAZHJzL2Rvd25yZXYueG1sUEsBAhQAFAAAAAgAh07iQMZ7&#10;iUyvAQAAdAMAAA4AAAAAAAAAAQAgAAAAJQEAAGRycy9lMm9Eb2MueG1sUEsFBgAAAAAGAAYAWQEA&#10;AEYFAAAAAA==&#10;">
              <v:fill on="f" focussize="0,0"/>
              <v:stroke on="f"/>
              <v:imagedata o:title=""/>
              <o:lock v:ext="edit" aspectratio="f"/>
              <v:textbox inset="0mm,0mm,0mm,0mm" style="mso-fit-shape-to-text:t;">
                <w:txbxContent>
                  <w:p w14:paraId="50C4495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跟单信用证交易中开证行关于提单权利的合同解释</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B8837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53" name="Shape 25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87C6AA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5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dtHJ7A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mv5an3HmReOVl7mspwge4aADXU9BepL&#10;4xcY6dJc80jJrHrU0eUn6WFUJ3MvN3PVmJik5Ob+4+puzZmk0rL+tFmvM0r18nGImL4qcCwHLY+0&#10;u2KpOH/HNLVeW/IsD4/G2pzPDCcmOUrjYZxpH6C7EOuB1ttyT7eZM/vNk3v5JlyDeA0Oc5DBMXw+&#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3b&#10;RyewAQAAcwMAAA4AAAAAAAAAAQAgAAAAJAEAAGRycy9lMm9Eb2MueG1sUEsFBgAAAAAGAAYAWQEA&#10;AEYFAAAAAA==&#10;">
              <v:fill on="f" focussize="0,0"/>
              <v:stroke on="f"/>
              <v:imagedata o:title=""/>
              <o:lock v:ext="edit" aspectratio="f"/>
              <v:textbox inset="0mm,0mm,0mm,0mm" style="mso-fit-shape-to-text:t;">
                <w:txbxContent>
                  <w:p w14:paraId="187C6AA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600566">
    <w:pPr>
      <w:widowControl w:val="0"/>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BC4EB">
    <w:pPr>
      <w:widowControl w:val="0"/>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D216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4068445</wp:posOffset>
              </wp:positionH>
              <wp:positionV relativeFrom="page">
                <wp:posOffset>503555</wp:posOffset>
              </wp:positionV>
              <wp:extent cx="1816735" cy="111125"/>
              <wp:effectExtent l="0" t="0" r="0" b="0"/>
              <wp:wrapNone/>
              <wp:docPr id="261" name="Shape 261"/>
              <wp:cNvGraphicFramePr/>
              <a:graphic xmlns:a="http://schemas.openxmlformats.org/drawingml/2006/main">
                <a:graphicData uri="http://schemas.microsoft.com/office/word/2010/wordprocessingShape">
                  <wps:wsp>
                    <wps:cNvSpPr txBox="1"/>
                    <wps:spPr>
                      <a:xfrm>
                        <a:off x="0" y="0"/>
                        <a:ext cx="1816735" cy="111125"/>
                      </a:xfrm>
                      <a:prstGeom prst="rect">
                        <a:avLst/>
                      </a:prstGeom>
                      <a:noFill/>
                    </wps:spPr>
                    <wps:txbx>
                      <w:txbxContent>
                        <w:p w14:paraId="7EBCAD2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恶意串通、通谋虚伪与债权人撤销权</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261" o:spid="_x0000_s1026" o:spt="202" type="#_x0000_t202" style="position:absolute;left:0pt;margin-left:320.35pt;margin-top:39.65pt;height:8.75pt;width:143.05pt;mso-position-horizontal-relative:page;mso-position-vertical-relative:page;mso-wrap-style:none;z-index:-251657216;mso-width-relative:page;mso-height-relative:page;" filled="f" stroked="f" coordsize="21600,21600" o:gfxdata="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1b8lC1QAA&#10;AAkBAAAPAAAAAAAAAAEAIAAAACIAAABkcnMvZG93bnJldi54bWxQSwECFAAUAAAACACHTuJAHcQU&#10;CK8BAAB0AwAADgAAAAAAAAABACAAAAAkAQAAZHJzL2Uyb0RvYy54bWxQSwUGAAAAAAYABgBZAQAA&#10;RQUAAAAA&#10;">
              <v:fill on="f" focussize="0,0"/>
              <v:stroke on="f"/>
              <v:imagedata o:title=""/>
              <o:lock v:ext="edit" aspectratio="f"/>
              <v:textbox inset="0mm,0mm,0mm,0mm" style="mso-fit-shape-to-text:t;">
                <w:txbxContent>
                  <w:p w14:paraId="7EBCAD2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恶意串通、通谋虚伪与债权人撤销权</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44F0F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63" name="Shape 26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349D68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6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zGkvR7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L1Z3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xp&#10;L0ewAQAAcwMAAA4AAAAAAAAAAQAgAAAAJAEAAGRycy9lMm9Eb2MueG1sUEsFBgAAAAAGAAYAWQEA&#10;AEYFAAAAAA==&#10;">
              <v:fill on="f" focussize="0,0"/>
              <v:stroke on="f"/>
              <v:imagedata o:title=""/>
              <o:lock v:ext="edit" aspectratio="f"/>
              <v:textbox inset="0mm,0mm,0mm,0mm" style="mso-fit-shape-to-text:t;">
                <w:txbxContent>
                  <w:p w14:paraId="5349D68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F986D">
    <w:pPr>
      <w:widowControl w:val="0"/>
      <w:spacing w:line="1" w:lineRule="exact"/>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8AAF36">
    <w:pPr>
      <w:widowControl w:val="0"/>
      <w:spacing w:line="1" w:lineRule="exac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3F39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605790</wp:posOffset>
              </wp:positionH>
              <wp:positionV relativeFrom="page">
                <wp:posOffset>505460</wp:posOffset>
              </wp:positionV>
              <wp:extent cx="662940" cy="109855"/>
              <wp:effectExtent l="0" t="0" r="0" b="0"/>
              <wp:wrapNone/>
              <wp:docPr id="21" name="Shape 21"/>
              <wp:cNvGraphicFramePr/>
              <a:graphic xmlns:a="http://schemas.openxmlformats.org/drawingml/2006/main">
                <a:graphicData uri="http://schemas.microsoft.com/office/word/2010/wordprocessingShape">
                  <wps:wsp>
                    <wps:cNvSpPr txBox="1"/>
                    <wps:spPr>
                      <a:xfrm>
                        <a:off x="0" y="0"/>
                        <a:ext cx="662940" cy="109855"/>
                      </a:xfrm>
                      <a:prstGeom prst="rect">
                        <a:avLst/>
                      </a:prstGeom>
                      <a:noFill/>
                    </wps:spPr>
                    <wps:txbx>
                      <w:txbxContent>
                        <w:p w14:paraId="777027A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wps:txbx>
                    <wps:bodyPr wrap="none" lIns="0" tIns="0" rIns="0" bIns="0">
                      <a:spAutoFit/>
                    </wps:bodyPr>
                  </wps:wsp>
                </a:graphicData>
              </a:graphic>
            </wp:anchor>
          </w:drawing>
        </mc:Choice>
        <mc:Fallback>
          <w:pict>
            <v:shape id="Shape 21" o:spid="_x0000_s1026" o:spt="202" type="#_x0000_t202" style="position:absolute;left:0pt;margin-left:47.7pt;margin-top:39.8pt;height:8.65pt;width:52.2pt;mso-position-horizontal-relative:page;mso-position-vertical-relative:page;mso-wrap-style:none;z-index:-251657216;mso-width-relative:page;mso-height-relative:page;" filled="f" stroked="f" coordsize="21600,21600" o:gfxdata="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ZbRH3TAAAACAEA&#10;AA8AAAAAAAAAAQAgAAAAIgAAAGRycy9kb3ducmV2LnhtbFBLAQIUABQAAAAIAIdO4kBlGkeLrQEA&#10;AHEDAAAOAAAAAAAAAAEAIAAAACIBAABkcnMvZTJvRG9jLnhtbFBLBQYAAAAABgAGAFkBAABBBQAA&#10;AAA=&#10;">
              <v:fill on="f" focussize="0,0"/>
              <v:stroke on="f"/>
              <v:imagedata o:title=""/>
              <o:lock v:ext="edit" aspectratio="f"/>
              <v:textbox inset="0mm,0mm,0mm,0mm" style="mso-fit-shape-to-text:t;">
                <w:txbxContent>
                  <w:p w14:paraId="777027A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v:textbox>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CD7F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4279265</wp:posOffset>
              </wp:positionH>
              <wp:positionV relativeFrom="page">
                <wp:posOffset>506730</wp:posOffset>
              </wp:positionV>
              <wp:extent cx="1659890" cy="109855"/>
              <wp:effectExtent l="0" t="0" r="0" b="0"/>
              <wp:wrapNone/>
              <wp:docPr id="271" name="Shape 271"/>
              <wp:cNvGraphicFramePr/>
              <a:graphic xmlns:a="http://schemas.openxmlformats.org/drawingml/2006/main">
                <a:graphicData uri="http://schemas.microsoft.com/office/word/2010/wordprocessingShape">
                  <wps:wsp>
                    <wps:cNvSpPr txBox="1"/>
                    <wps:spPr>
                      <a:xfrm>
                        <a:off x="0" y="0"/>
                        <a:ext cx="1659890" cy="109855"/>
                      </a:xfrm>
                      <a:prstGeom prst="rect">
                        <a:avLst/>
                      </a:prstGeom>
                      <a:noFill/>
                    </wps:spPr>
                    <wps:txbx>
                      <w:txbxContent>
                        <w:p w14:paraId="731869A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网络购物合同的成立与标价错误丨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271" o:spid="_x0000_s1026" o:spt="202" type="#_x0000_t202" style="position:absolute;left:0pt;margin-left:336.95pt;margin-top:39.9pt;height:8.65pt;width:130.7pt;mso-position-horizontal-relative:page;mso-position-vertical-relative:page;mso-wrap-style:none;z-index:-251657216;mso-width-relative:page;mso-height-relative:page;" filled="f" stroked="f" coordsize="21600,21600" o:gfxdata="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JoDM01QAA&#10;AAkBAAAPAAAAAAAAAAEAIAAAACIAAABkcnMvZG93bnJldi54bWxQSwECFAAUAAAACACHTuJAJVPZ&#10;ma8BAAB0AwAADgAAAAAAAAABACAAAAAkAQAAZHJzL2Uyb0RvYy54bWxQSwUGAAAAAAYABgBZAQAA&#10;RQUAAAAA&#10;">
              <v:fill on="f" focussize="0,0"/>
              <v:stroke on="f"/>
              <v:imagedata o:title=""/>
              <o:lock v:ext="edit" aspectratio="f"/>
              <v:textbox inset="0mm,0mm,0mm,0mm" style="mso-fit-shape-to-text:t;">
                <w:txbxContent>
                  <w:p w14:paraId="731869A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网络购物合同的成立与标价错误丨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2ACE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73" name="Shape 2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2E5DED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AXY0b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q++nD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wF&#10;2NGwAQAAcwMAAA4AAAAAAAAAAQAgAAAAJAEAAGRycy9lMm9Eb2MueG1sUEsFBgAAAAAGAAYAWQEA&#10;AEYFAAAAAA==&#10;">
              <v:fill on="f" focussize="0,0"/>
              <v:stroke on="f"/>
              <v:imagedata o:title=""/>
              <o:lock v:ext="edit" aspectratio="f"/>
              <v:textbox inset="0mm,0mm,0mm,0mm" style="mso-fit-shape-to-text:t;">
                <w:txbxContent>
                  <w:p w14:paraId="02E5DED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30A435">
    <w:pPr>
      <w:widowControl w:val="0"/>
      <w:spacing w:line="1" w:lineRule="exact"/>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78E9F1">
    <w:pPr>
      <w:widowControl w:val="0"/>
      <w:spacing w:line="1" w:lineRule="exact"/>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214B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81" name="Shape 28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1D3ACD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8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cGbza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mv5arPkzAtHKy9zWU6QPUPAhrqeAvWl&#10;8QuMdGmueaRkVj3q6PKT9DCqk7mXm7lqTExScnP3afVxzZmk0rL+vFmvM0r1/HGImL4qcCwHLY+0&#10;u2KpOH/HNLVeW/IsD4/G2pzPDCcmOUrjYZxpH6C7EOuB1ttyT7eZM/vNk3v5JlyDeA0Oc5DBMTyc&#10;Eg0oczPqBDUPo10U5vO9ycv+97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fcGb&#10;za8BAABzAwAADgAAAAAAAAABACAAAAAkAQAAZHJzL2Uyb0RvYy54bWxQSwUGAAAAAAYABgBZAQAA&#10;RQUAAAAA&#10;">
              <v:fill on="f" focussize="0,0"/>
              <v:stroke on="f"/>
              <v:imagedata o:title=""/>
              <o:lock v:ext="edit" aspectratio="f"/>
              <v:textbox inset="0mm,0mm,0mm,0mm" style="mso-fit-shape-to-text:t;">
                <w:txbxContent>
                  <w:p w14:paraId="51D3ACD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8B0AF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83" name="Shape 28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D3414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8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qHtj67A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mv5anPHmReOVl7mspwge4aADXU9BepL&#10;4xcY6dJc80jJrHrU0eUn6WFUJ3MvN3PVmJik5Ob+4+puzZmk0rL+tFmvM0r18nGImL4qcCwHLY+0&#10;u2KpOH/HNLVeW/IsD4/G2pzPDCcmOUrjYZxpH6C7EOuB1ttyT7eZM/vNk3v5JlyDeA0Oc5DBMXw+&#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Kh7&#10;Y+uwAQAAcwMAAA4AAAAAAAAAAQAgAAAAJAEAAGRycy9lMm9Eb2MueG1sUEsFBgAAAAAGAAYAWQEA&#10;AEYFAAAAAA==&#10;">
              <v:fill on="f" focussize="0,0"/>
              <v:stroke on="f"/>
              <v:imagedata o:title=""/>
              <o:lock v:ext="edit" aspectratio="f"/>
              <v:textbox inset="0mm,0mm,0mm,0mm" style="mso-fit-shape-to-text:t;">
                <w:txbxContent>
                  <w:p w14:paraId="2D3414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563B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4813300</wp:posOffset>
              </wp:positionH>
              <wp:positionV relativeFrom="page">
                <wp:posOffset>477520</wp:posOffset>
              </wp:positionV>
              <wp:extent cx="1073150" cy="109855"/>
              <wp:effectExtent l="0" t="0" r="0" b="0"/>
              <wp:wrapNone/>
              <wp:docPr id="285" name="Shape 285"/>
              <wp:cNvGraphicFramePr/>
              <a:graphic xmlns:a="http://schemas.openxmlformats.org/drawingml/2006/main">
                <a:graphicData uri="http://schemas.microsoft.com/office/word/2010/wordprocessingShape">
                  <wps:wsp>
                    <wps:cNvSpPr txBox="1"/>
                    <wps:spPr>
                      <a:xfrm>
                        <a:off x="0" y="0"/>
                        <a:ext cx="1073150" cy="109855"/>
                      </a:xfrm>
                      <a:prstGeom prst="rect">
                        <a:avLst/>
                      </a:prstGeom>
                      <a:noFill/>
                    </wps:spPr>
                    <wps:txbx>
                      <w:txbxContent>
                        <w:p w14:paraId="74064E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w:t>
                          </w:r>
                          <w:r>
                            <w:rPr>
                              <w:color w:val="000000"/>
                              <w:spacing w:val="0"/>
                              <w:w w:val="100"/>
                              <w:position w:val="0"/>
                              <w:sz w:val="15"/>
                              <w:szCs w:val="15"/>
                            </w:rPr>
                            <w:t>失欺诈</w:t>
                          </w:r>
                          <w:r>
                            <w:rPr>
                              <w:color w:val="000000"/>
                              <w:spacing w:val="0"/>
                              <w:w w:val="100"/>
                              <w:position w:val="0"/>
                              <w:sz w:val="15"/>
                              <w:szCs w:val="15"/>
                              <w:lang w:val="zh-CN" w:eastAsia="zh-CN" w:bidi="zh-CN"/>
                            </w:rPr>
                            <w:t>”的</w:t>
                          </w:r>
                          <w:r>
                            <w:rPr>
                              <w:color w:val="000000"/>
                              <w:spacing w:val="0"/>
                              <w:w w:val="100"/>
                              <w:position w:val="0"/>
                              <w:sz w:val="15"/>
                              <w:szCs w:val="15"/>
                            </w:rPr>
                            <w:t>可能丨</w:t>
                          </w:r>
                          <w:r>
                            <w:rPr>
                              <w:rFonts w:ascii="Times New Roman" w:hAnsi="Times New Roman" w:eastAsia="Times New Roman" w:cs="Times New Roman"/>
                              <w:b/>
                              <w:bCs/>
                              <w:color w:val="000000"/>
                              <w:spacing w:val="0"/>
                              <w:w w:val="100"/>
                              <w:position w:val="0"/>
                              <w:sz w:val="15"/>
                              <w:szCs w:val="15"/>
                              <w:lang w:val="zh-CN" w:eastAsia="zh-CN" w:bidi="zh-CN"/>
                            </w:rPr>
                            <w:t>093</w:t>
                          </w:r>
                        </w:p>
                      </w:txbxContent>
                    </wps:txbx>
                    <wps:bodyPr wrap="none" lIns="0" tIns="0" rIns="0" bIns="0">
                      <a:spAutoFit/>
                    </wps:bodyPr>
                  </wps:wsp>
                </a:graphicData>
              </a:graphic>
            </wp:anchor>
          </w:drawing>
        </mc:Choice>
        <mc:Fallback>
          <w:pict>
            <v:shape id="Shape 285" o:spid="_x0000_s1026" o:spt="202" type="#_x0000_t202" style="position:absolute;left:0pt;margin-left:379pt;margin-top:37.6pt;height:8.65pt;width:84.5pt;mso-position-horizontal-relative:page;mso-position-vertical-relative:page;mso-wrap-style:none;z-index:-251657216;mso-width-relative:page;mso-height-relative:page;" filled="f" stroked="f" coordsize="21600,21600" o:gfxdata="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94MwPUAAAA&#10;CQEAAA8AAAAAAAAAAQAgAAAAIgAAAGRycy9kb3ducmV2LnhtbFBLAQIUABQAAAAIAIdO4kDkDJwd&#10;rwEAAHQDAAAOAAAAAAAAAAEAIAAAACMBAABkcnMvZTJvRG9jLnhtbFBLBQYAAAAABgAGAFkBAABE&#10;BQAAAAA=&#10;">
              <v:fill on="f" focussize="0,0"/>
              <v:stroke on="f"/>
              <v:imagedata o:title=""/>
              <o:lock v:ext="edit" aspectratio="f"/>
              <v:textbox inset="0mm,0mm,0mm,0mm" style="mso-fit-shape-to-text:t;">
                <w:txbxContent>
                  <w:p w14:paraId="74064E3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w:t>
                    </w:r>
                    <w:r>
                      <w:rPr>
                        <w:color w:val="000000"/>
                        <w:spacing w:val="0"/>
                        <w:w w:val="100"/>
                        <w:position w:val="0"/>
                        <w:sz w:val="15"/>
                        <w:szCs w:val="15"/>
                      </w:rPr>
                      <w:t>失欺诈</w:t>
                    </w:r>
                    <w:r>
                      <w:rPr>
                        <w:color w:val="000000"/>
                        <w:spacing w:val="0"/>
                        <w:w w:val="100"/>
                        <w:position w:val="0"/>
                        <w:sz w:val="15"/>
                        <w:szCs w:val="15"/>
                        <w:lang w:val="zh-CN" w:eastAsia="zh-CN" w:bidi="zh-CN"/>
                      </w:rPr>
                      <w:t>”的</w:t>
                    </w:r>
                    <w:r>
                      <w:rPr>
                        <w:color w:val="000000"/>
                        <w:spacing w:val="0"/>
                        <w:w w:val="100"/>
                        <w:position w:val="0"/>
                        <w:sz w:val="15"/>
                        <w:szCs w:val="15"/>
                      </w:rPr>
                      <w:t>可能丨</w:t>
                    </w:r>
                    <w:r>
                      <w:rPr>
                        <w:rFonts w:ascii="Times New Roman" w:hAnsi="Times New Roman" w:eastAsia="Times New Roman" w:cs="Times New Roman"/>
                        <w:b/>
                        <w:bCs/>
                        <w:color w:val="000000"/>
                        <w:spacing w:val="0"/>
                        <w:w w:val="100"/>
                        <w:position w:val="0"/>
                        <w:sz w:val="15"/>
                        <w:szCs w:val="15"/>
                        <w:lang w:val="zh-CN" w:eastAsia="zh-CN" w:bidi="zh-CN"/>
                      </w:rPr>
                      <w:t>093</w:t>
                    </w:r>
                  </w:p>
                </w:txbxContent>
              </v:textbox>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51B49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4813300</wp:posOffset>
              </wp:positionH>
              <wp:positionV relativeFrom="page">
                <wp:posOffset>477520</wp:posOffset>
              </wp:positionV>
              <wp:extent cx="1073150" cy="109855"/>
              <wp:effectExtent l="0" t="0" r="0" b="0"/>
              <wp:wrapNone/>
              <wp:docPr id="287" name="Shape 287"/>
              <wp:cNvGraphicFramePr/>
              <a:graphic xmlns:a="http://schemas.openxmlformats.org/drawingml/2006/main">
                <a:graphicData uri="http://schemas.microsoft.com/office/word/2010/wordprocessingShape">
                  <wps:wsp>
                    <wps:cNvSpPr txBox="1"/>
                    <wps:spPr>
                      <a:xfrm>
                        <a:off x="0" y="0"/>
                        <a:ext cx="1073150" cy="109855"/>
                      </a:xfrm>
                      <a:prstGeom prst="rect">
                        <a:avLst/>
                      </a:prstGeom>
                      <a:noFill/>
                    </wps:spPr>
                    <wps:txbx>
                      <w:txbxContent>
                        <w:p w14:paraId="3CCF7F8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w:t>
                          </w:r>
                          <w:r>
                            <w:rPr>
                              <w:color w:val="000000"/>
                              <w:spacing w:val="0"/>
                              <w:w w:val="100"/>
                              <w:position w:val="0"/>
                              <w:sz w:val="15"/>
                              <w:szCs w:val="15"/>
                            </w:rPr>
                            <w:t>失欺诈</w:t>
                          </w:r>
                          <w:r>
                            <w:rPr>
                              <w:color w:val="000000"/>
                              <w:spacing w:val="0"/>
                              <w:w w:val="100"/>
                              <w:position w:val="0"/>
                              <w:sz w:val="15"/>
                              <w:szCs w:val="15"/>
                              <w:lang w:val="zh-CN" w:eastAsia="zh-CN" w:bidi="zh-CN"/>
                            </w:rPr>
                            <w:t>”的</w:t>
                          </w:r>
                          <w:r>
                            <w:rPr>
                              <w:color w:val="000000"/>
                              <w:spacing w:val="0"/>
                              <w:w w:val="100"/>
                              <w:position w:val="0"/>
                              <w:sz w:val="15"/>
                              <w:szCs w:val="15"/>
                            </w:rPr>
                            <w:t>可能丨</w:t>
                          </w:r>
                          <w:r>
                            <w:rPr>
                              <w:rFonts w:ascii="Times New Roman" w:hAnsi="Times New Roman" w:eastAsia="Times New Roman" w:cs="Times New Roman"/>
                              <w:b/>
                              <w:bCs/>
                              <w:color w:val="000000"/>
                              <w:spacing w:val="0"/>
                              <w:w w:val="100"/>
                              <w:position w:val="0"/>
                              <w:sz w:val="15"/>
                              <w:szCs w:val="15"/>
                              <w:lang w:val="zh-CN" w:eastAsia="zh-CN" w:bidi="zh-CN"/>
                            </w:rPr>
                            <w:t>093</w:t>
                          </w:r>
                        </w:p>
                      </w:txbxContent>
                    </wps:txbx>
                    <wps:bodyPr wrap="none" lIns="0" tIns="0" rIns="0" bIns="0">
                      <a:spAutoFit/>
                    </wps:bodyPr>
                  </wps:wsp>
                </a:graphicData>
              </a:graphic>
            </wp:anchor>
          </w:drawing>
        </mc:Choice>
        <mc:Fallback>
          <w:pict>
            <v:shape id="Shape 287" o:spid="_x0000_s1026" o:spt="202" type="#_x0000_t202" style="position:absolute;left:0pt;margin-left:379pt;margin-top:37.6pt;height:8.65pt;width:84.5pt;mso-position-horizontal-relative:page;mso-position-vertical-relative:page;mso-wrap-style:none;z-index:-251657216;mso-width-relative:page;mso-height-relative:page;" filled="f" stroked="f" coordsize="21600,21600" o:gfxdata="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94MwPUAAAA&#10;CQEAAA8AAAAAAAAAAQAgAAAAIgAAAGRycy9kb3ducmV2LnhtbFBLAQIUABQAAAAIAIdO4kAF0gPr&#10;rwEAAHQDAAAOAAAAAAAAAAEAIAAAACMBAABkcnMvZTJvRG9jLnhtbFBLBQYAAAAABgAGAFkBAABE&#10;BQAAAAA=&#10;">
              <v:fill on="f" focussize="0,0"/>
              <v:stroke on="f"/>
              <v:imagedata o:title=""/>
              <o:lock v:ext="edit" aspectratio="f"/>
              <v:textbox inset="0mm,0mm,0mm,0mm" style="mso-fit-shape-to-text:t;">
                <w:txbxContent>
                  <w:p w14:paraId="3CCF7F8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w:t>
                    </w:r>
                    <w:r>
                      <w:rPr>
                        <w:color w:val="000000"/>
                        <w:spacing w:val="0"/>
                        <w:w w:val="100"/>
                        <w:position w:val="0"/>
                        <w:sz w:val="15"/>
                        <w:szCs w:val="15"/>
                      </w:rPr>
                      <w:t>失欺诈</w:t>
                    </w:r>
                    <w:r>
                      <w:rPr>
                        <w:color w:val="000000"/>
                        <w:spacing w:val="0"/>
                        <w:w w:val="100"/>
                        <w:position w:val="0"/>
                        <w:sz w:val="15"/>
                        <w:szCs w:val="15"/>
                        <w:lang w:val="zh-CN" w:eastAsia="zh-CN" w:bidi="zh-CN"/>
                      </w:rPr>
                      <w:t>”的</w:t>
                    </w:r>
                    <w:r>
                      <w:rPr>
                        <w:color w:val="000000"/>
                        <w:spacing w:val="0"/>
                        <w:w w:val="100"/>
                        <w:position w:val="0"/>
                        <w:sz w:val="15"/>
                        <w:szCs w:val="15"/>
                      </w:rPr>
                      <w:t>可能丨</w:t>
                    </w:r>
                    <w:r>
                      <w:rPr>
                        <w:rFonts w:ascii="Times New Roman" w:hAnsi="Times New Roman" w:eastAsia="Times New Roman" w:cs="Times New Roman"/>
                        <w:b/>
                        <w:bCs/>
                        <w:color w:val="000000"/>
                        <w:spacing w:val="0"/>
                        <w:w w:val="100"/>
                        <w:position w:val="0"/>
                        <w:sz w:val="15"/>
                        <w:szCs w:val="15"/>
                        <w:lang w:val="zh-CN" w:eastAsia="zh-CN" w:bidi="zh-CN"/>
                      </w:rPr>
                      <w:t>093</w:t>
                    </w:r>
                  </w:p>
                </w:txbxContent>
              </v:textbox>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191D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89" name="Shape 28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591F40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8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KSp5VrA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Nfy1eaeMy8crbzMZTlB9gwBG+p6CtSX&#10;xi8w0qW55pGSWfWoo8tP0sOoTuZebuaqMTFJyc3dp9XHNWeSSsv6frNeZ5Tq+eMQMX1V4FgOWh5p&#10;d8VScf6OaWq9tuRZHh6NtTmfGU5McpTGwzjTPkB3IdYDrbflnm4zZ/abJ/fyTbgG8Roc5iCDY/h8&#10;SjSgzM2oE9Q8jHZRmM/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kq&#10;eVawAQAAcwMAAA4AAAAAAAAAAQAgAAAAJAEAAGRycy9lMm9Eb2MueG1sUEsFBgAAAAAGAAYAWQEA&#10;AEYFAAAAAA==&#10;">
              <v:fill on="f" focussize="0,0"/>
              <v:stroke on="f"/>
              <v:imagedata o:title=""/>
              <o:lock v:ext="edit" aspectratio="f"/>
              <v:textbox inset="0mm,0mm,0mm,0mm" style="mso-fit-shape-to-text:t;">
                <w:txbxContent>
                  <w:p w14:paraId="4591F40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3B120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91" name="Shape 29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BC2A61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9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a1sW7A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Nfy1f2SMy8crbzMZTlB9gwBG+p6CtSX&#10;xi8w0qW55pGSWfWoo8tP0sOoTuZebuaqMTFJyc3dp9XHNWeSSsv6frNeZ5Tq+eMQMX1V4FgOWh5p&#10;d8VScf6OaWq9tuRZHh6NtTmfGU5McpTGwzjTPkB3IdYDrbflnm4zZ/abJ/fyTbgG8Roc5iCDY/h8&#10;SjSgzM2oE9Q8jHZRmM/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2t&#10;bFuwAQAAcwMAAA4AAAAAAAAAAQAgAAAAJAEAAGRycy9lMm9Eb2MueG1sUEsFBgAAAAAGAAYAWQEA&#10;AEYFAAAAAA==&#10;">
              <v:fill on="f" focussize="0,0"/>
              <v:stroke on="f"/>
              <v:imagedata o:title=""/>
              <o:lock v:ext="edit" aspectratio="f"/>
              <v:textbox inset="0mm,0mm,0mm,0mm" style="mso-fit-shape-to-text:t;">
                <w:txbxContent>
                  <w:p w14:paraId="5BC2A61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335DF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605790</wp:posOffset>
              </wp:positionH>
              <wp:positionV relativeFrom="page">
                <wp:posOffset>505460</wp:posOffset>
              </wp:positionV>
              <wp:extent cx="662940" cy="109855"/>
              <wp:effectExtent l="0" t="0" r="0" b="0"/>
              <wp:wrapNone/>
              <wp:docPr id="23" name="Shape 23"/>
              <wp:cNvGraphicFramePr/>
              <a:graphic xmlns:a="http://schemas.openxmlformats.org/drawingml/2006/main">
                <a:graphicData uri="http://schemas.microsoft.com/office/word/2010/wordprocessingShape">
                  <wps:wsp>
                    <wps:cNvSpPr txBox="1"/>
                    <wps:spPr>
                      <a:xfrm>
                        <a:off x="0" y="0"/>
                        <a:ext cx="662940" cy="109855"/>
                      </a:xfrm>
                      <a:prstGeom prst="rect">
                        <a:avLst/>
                      </a:prstGeom>
                      <a:noFill/>
                    </wps:spPr>
                    <wps:txbx>
                      <w:txbxContent>
                        <w:p w14:paraId="3CA8E21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wps:txbx>
                    <wps:bodyPr wrap="none" lIns="0" tIns="0" rIns="0" bIns="0">
                      <a:spAutoFit/>
                    </wps:bodyPr>
                  </wps:wsp>
                </a:graphicData>
              </a:graphic>
            </wp:anchor>
          </w:drawing>
        </mc:Choice>
        <mc:Fallback>
          <w:pict>
            <v:shape id="Shape 23" o:spid="_x0000_s1026" o:spt="202" type="#_x0000_t202" style="position:absolute;left:0pt;margin-left:47.7pt;margin-top:39.8pt;height:8.65pt;width:52.2pt;mso-position-horizontal-relative:page;mso-position-vertical-relative:page;mso-wrap-style:none;z-index:-251657216;mso-width-relative:page;mso-height-relative:page;" filled="f" stroked="f" coordsize="21600,21600" o:gfxdata="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mW0R90wAAAAgB&#10;AAAPAAAAAAAAAAEAIAAAACIAAABkcnMvZG93bnJldi54bWxQSwECFAAUAAAACACHTuJAZZuDO64B&#10;AABxAwAADgAAAAAAAAABACAAAAAiAQAAZHJzL2Uyb0RvYy54bWxQSwUGAAAAAAYABgBZAQAAQgUA&#10;AAAA&#10;">
              <v:fill on="f" focussize="0,0"/>
              <v:stroke on="f"/>
              <v:imagedata o:title=""/>
              <o:lock v:ext="edit" aspectratio="f"/>
              <v:textbox inset="0mm,0mm,0mm,0mm" style="mso-fit-shape-to-text:t;">
                <w:txbxContent>
                  <w:p w14:paraId="3CA8E21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v:textbox>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2B9F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4815840</wp:posOffset>
              </wp:positionH>
              <wp:positionV relativeFrom="page">
                <wp:posOffset>477520</wp:posOffset>
              </wp:positionV>
              <wp:extent cx="1074420" cy="111125"/>
              <wp:effectExtent l="0" t="0" r="0" b="0"/>
              <wp:wrapNone/>
              <wp:docPr id="293" name="Shape 293"/>
              <wp:cNvGraphicFramePr/>
              <a:graphic xmlns:a="http://schemas.openxmlformats.org/drawingml/2006/main">
                <a:graphicData uri="http://schemas.microsoft.com/office/word/2010/wordprocessingShape">
                  <wps:wsp>
                    <wps:cNvSpPr txBox="1"/>
                    <wps:spPr>
                      <a:xfrm>
                        <a:off x="0" y="0"/>
                        <a:ext cx="1074420" cy="111125"/>
                      </a:xfrm>
                      <a:prstGeom prst="rect">
                        <a:avLst/>
                      </a:prstGeom>
                      <a:noFill/>
                    </wps:spPr>
                    <wps:txbx>
                      <w:txbxContent>
                        <w:p w14:paraId="40B156F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“过失</w:t>
                          </w:r>
                          <w:r>
                            <w:rPr>
                              <w:color w:val="000000"/>
                              <w:spacing w:val="0"/>
                              <w:w w:val="100"/>
                              <w:position w:val="0"/>
                              <w:sz w:val="15"/>
                              <w:szCs w:val="15"/>
                            </w:rPr>
                            <w:t>欺诈”的可能</w:t>
                          </w:r>
                          <w:r>
                            <w:rPr>
                              <w:rFonts w:ascii="Times New Roman" w:hAnsi="Times New Roman" w:eastAsia="Times New Roman" w:cs="Times New Roman"/>
                              <w:b/>
                              <w:bCs/>
                              <w:color w:val="000000"/>
                              <w:spacing w:val="0"/>
                              <w:w w:val="100"/>
                              <w:position w:val="0"/>
                              <w:sz w:val="15"/>
                              <w:szCs w:val="15"/>
                              <w:lang w:val="en-US" w:eastAsia="en-US" w:bidi="en-US"/>
                            </w:rPr>
                            <w:t xml:space="preserve">I </w:t>
                          </w:r>
                          <w:r>
                            <w:rPr>
                              <w:rFonts w:ascii="Times New Roman" w:hAnsi="Times New Roman" w:eastAsia="Times New Roman" w:cs="Times New Roman"/>
                              <w:b/>
                              <w:bCs/>
                              <w:color w:val="000000"/>
                              <w:spacing w:val="0"/>
                              <w:w w:val="100"/>
                              <w:position w:val="0"/>
                              <w:sz w:val="15"/>
                              <w:szCs w:val="15"/>
                            </w:rPr>
                            <w:t>095</w:t>
                          </w:r>
                        </w:p>
                      </w:txbxContent>
                    </wps:txbx>
                    <wps:bodyPr wrap="none" lIns="0" tIns="0" rIns="0" bIns="0">
                      <a:spAutoFit/>
                    </wps:bodyPr>
                  </wps:wsp>
                </a:graphicData>
              </a:graphic>
            </wp:anchor>
          </w:drawing>
        </mc:Choice>
        <mc:Fallback>
          <w:pict>
            <v:shape id="Shape 293" o:spid="_x0000_s1026" o:spt="202" type="#_x0000_t202" style="position:absolute;left:0pt;margin-left:379.2pt;margin-top:37.6pt;height:8.75pt;width:84.6pt;mso-position-horizontal-relative:page;mso-position-vertical-relative:page;mso-wrap-style:none;z-index:-251657216;mso-width-relative:page;mso-height-relative:page;" filled="f" stroked="f" coordsize="21600,21600" o:gfxdata="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cJ+Y9QAAAAJ&#10;AQAADwAAAAAAAAABACAAAAAiAAAAZHJzL2Rvd25yZXYueG1sUEsBAhQAFAAAAAgAh07iQDqoHEyu&#10;AQAAdAMAAA4AAAAAAAAAAQAgAAAAIwEAAGRycy9lMm9Eb2MueG1sUEsFBgAAAAAGAAYAWQEAAEMF&#10;AAAAAA==&#10;">
              <v:fill on="f" focussize="0,0"/>
              <v:stroke on="f"/>
              <v:imagedata o:title=""/>
              <o:lock v:ext="edit" aspectratio="f"/>
              <v:textbox inset="0mm,0mm,0mm,0mm" style="mso-fit-shape-to-text:t;">
                <w:txbxContent>
                  <w:p w14:paraId="40B156F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“过失</w:t>
                    </w:r>
                    <w:r>
                      <w:rPr>
                        <w:color w:val="000000"/>
                        <w:spacing w:val="0"/>
                        <w:w w:val="100"/>
                        <w:position w:val="0"/>
                        <w:sz w:val="15"/>
                        <w:szCs w:val="15"/>
                      </w:rPr>
                      <w:t>欺诈”的可能</w:t>
                    </w:r>
                    <w:r>
                      <w:rPr>
                        <w:rFonts w:ascii="Times New Roman" w:hAnsi="Times New Roman" w:eastAsia="Times New Roman" w:cs="Times New Roman"/>
                        <w:b/>
                        <w:bCs/>
                        <w:color w:val="000000"/>
                        <w:spacing w:val="0"/>
                        <w:w w:val="100"/>
                        <w:position w:val="0"/>
                        <w:sz w:val="15"/>
                        <w:szCs w:val="15"/>
                        <w:lang w:val="en-US" w:eastAsia="en-US" w:bidi="en-US"/>
                      </w:rPr>
                      <w:t xml:space="preserve">I </w:t>
                    </w:r>
                    <w:r>
                      <w:rPr>
                        <w:rFonts w:ascii="Times New Roman" w:hAnsi="Times New Roman" w:eastAsia="Times New Roman" w:cs="Times New Roman"/>
                        <w:b/>
                        <w:bCs/>
                        <w:color w:val="000000"/>
                        <w:spacing w:val="0"/>
                        <w:w w:val="100"/>
                        <w:position w:val="0"/>
                        <w:sz w:val="15"/>
                        <w:szCs w:val="15"/>
                      </w:rPr>
                      <w:t>095</w:t>
                    </w:r>
                  </w:p>
                </w:txbxContent>
              </v:textbox>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23B2D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4815840</wp:posOffset>
              </wp:positionH>
              <wp:positionV relativeFrom="page">
                <wp:posOffset>477520</wp:posOffset>
              </wp:positionV>
              <wp:extent cx="1074420" cy="111125"/>
              <wp:effectExtent l="0" t="0" r="0" b="0"/>
              <wp:wrapNone/>
              <wp:docPr id="295" name="Shape 295"/>
              <wp:cNvGraphicFramePr/>
              <a:graphic xmlns:a="http://schemas.openxmlformats.org/drawingml/2006/main">
                <a:graphicData uri="http://schemas.microsoft.com/office/word/2010/wordprocessingShape">
                  <wps:wsp>
                    <wps:cNvSpPr txBox="1"/>
                    <wps:spPr>
                      <a:xfrm>
                        <a:off x="0" y="0"/>
                        <a:ext cx="1074420" cy="111125"/>
                      </a:xfrm>
                      <a:prstGeom prst="rect">
                        <a:avLst/>
                      </a:prstGeom>
                      <a:noFill/>
                    </wps:spPr>
                    <wps:txbx>
                      <w:txbxContent>
                        <w:p w14:paraId="6945680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“过失</w:t>
                          </w:r>
                          <w:r>
                            <w:rPr>
                              <w:color w:val="000000"/>
                              <w:spacing w:val="0"/>
                              <w:w w:val="100"/>
                              <w:position w:val="0"/>
                              <w:sz w:val="15"/>
                              <w:szCs w:val="15"/>
                            </w:rPr>
                            <w:t>欺诈”的可能</w:t>
                          </w:r>
                          <w:r>
                            <w:rPr>
                              <w:rFonts w:ascii="Times New Roman" w:hAnsi="Times New Roman" w:eastAsia="Times New Roman" w:cs="Times New Roman"/>
                              <w:b/>
                              <w:bCs/>
                              <w:color w:val="000000"/>
                              <w:spacing w:val="0"/>
                              <w:w w:val="100"/>
                              <w:position w:val="0"/>
                              <w:sz w:val="15"/>
                              <w:szCs w:val="15"/>
                              <w:lang w:val="en-US" w:eastAsia="en-US" w:bidi="en-US"/>
                            </w:rPr>
                            <w:t xml:space="preserve">I </w:t>
                          </w:r>
                          <w:r>
                            <w:rPr>
                              <w:rFonts w:ascii="Times New Roman" w:hAnsi="Times New Roman" w:eastAsia="Times New Roman" w:cs="Times New Roman"/>
                              <w:b/>
                              <w:bCs/>
                              <w:color w:val="000000"/>
                              <w:spacing w:val="0"/>
                              <w:w w:val="100"/>
                              <w:position w:val="0"/>
                              <w:sz w:val="15"/>
                              <w:szCs w:val="15"/>
                            </w:rPr>
                            <w:t>095</w:t>
                          </w:r>
                        </w:p>
                      </w:txbxContent>
                    </wps:txbx>
                    <wps:bodyPr wrap="none" lIns="0" tIns="0" rIns="0" bIns="0">
                      <a:spAutoFit/>
                    </wps:bodyPr>
                  </wps:wsp>
                </a:graphicData>
              </a:graphic>
            </wp:anchor>
          </w:drawing>
        </mc:Choice>
        <mc:Fallback>
          <w:pict>
            <v:shape id="Shape 295" o:spid="_x0000_s1026" o:spt="202" type="#_x0000_t202" style="position:absolute;left:0pt;margin-left:379.2pt;margin-top:37.6pt;height:8.75pt;width:84.6pt;mso-position-horizontal-relative:page;mso-position-vertical-relative:page;mso-wrap-style:none;z-index:-251657216;mso-width-relative:page;mso-height-relative:page;" filled="f" stroked="f" coordsize="21600,21600" o:gfxdata="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UcJ+Y9QAAAAJ&#10;AQAADwAAAAAAAAABACAAAAAiAAAAZHJzL2Rvd25yZXYueG1sUEsBAhQAFAAAAAgAh07iQFjNzYyu&#10;AQAAdAMAAA4AAAAAAAAAAQAgAAAAIwEAAGRycy9lMm9Eb2MueG1sUEsFBgAAAAAGAAYAWQEAAEMF&#10;AAAAAA==&#10;">
              <v:fill on="f" focussize="0,0"/>
              <v:stroke on="f"/>
              <v:imagedata o:title=""/>
              <o:lock v:ext="edit" aspectratio="f"/>
              <v:textbox inset="0mm,0mm,0mm,0mm" style="mso-fit-shape-to-text:t;">
                <w:txbxContent>
                  <w:p w14:paraId="6945680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lang w:val="zh-CN" w:eastAsia="zh-CN" w:bidi="zh-CN"/>
                      </w:rPr>
                      <w:t>“过失</w:t>
                    </w:r>
                    <w:r>
                      <w:rPr>
                        <w:color w:val="000000"/>
                        <w:spacing w:val="0"/>
                        <w:w w:val="100"/>
                        <w:position w:val="0"/>
                        <w:sz w:val="15"/>
                        <w:szCs w:val="15"/>
                      </w:rPr>
                      <w:t>欺诈”的可能</w:t>
                    </w:r>
                    <w:r>
                      <w:rPr>
                        <w:rFonts w:ascii="Times New Roman" w:hAnsi="Times New Roman" w:eastAsia="Times New Roman" w:cs="Times New Roman"/>
                        <w:b/>
                        <w:bCs/>
                        <w:color w:val="000000"/>
                        <w:spacing w:val="0"/>
                        <w:w w:val="100"/>
                        <w:position w:val="0"/>
                        <w:sz w:val="15"/>
                        <w:szCs w:val="15"/>
                        <w:lang w:val="en-US" w:eastAsia="en-US" w:bidi="en-US"/>
                      </w:rPr>
                      <w:t xml:space="preserve">I </w:t>
                    </w:r>
                    <w:r>
                      <w:rPr>
                        <w:rFonts w:ascii="Times New Roman" w:hAnsi="Times New Roman" w:eastAsia="Times New Roman" w:cs="Times New Roman"/>
                        <w:b/>
                        <w:bCs/>
                        <w:color w:val="000000"/>
                        <w:spacing w:val="0"/>
                        <w:w w:val="100"/>
                        <w:position w:val="0"/>
                        <w:sz w:val="15"/>
                        <w:szCs w:val="15"/>
                      </w:rPr>
                      <w:t>095</w:t>
                    </w:r>
                  </w:p>
                </w:txbxContent>
              </v:textbox>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F7230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4277995</wp:posOffset>
              </wp:positionH>
              <wp:positionV relativeFrom="page">
                <wp:posOffset>468630</wp:posOffset>
              </wp:positionV>
              <wp:extent cx="1664335" cy="109855"/>
              <wp:effectExtent l="0" t="0" r="0" b="0"/>
              <wp:wrapNone/>
              <wp:docPr id="297" name="Shape 297"/>
              <wp:cNvGraphicFramePr/>
              <a:graphic xmlns:a="http://schemas.openxmlformats.org/drawingml/2006/main">
                <a:graphicData uri="http://schemas.microsoft.com/office/word/2010/wordprocessingShape">
                  <wps:wsp>
                    <wps:cNvSpPr txBox="1"/>
                    <wps:spPr>
                      <a:xfrm>
                        <a:off x="0" y="0"/>
                        <a:ext cx="1664335" cy="109855"/>
                      </a:xfrm>
                      <a:prstGeom prst="rect">
                        <a:avLst/>
                      </a:prstGeom>
                      <a:noFill/>
                    </wps:spPr>
                    <wps:txbx>
                      <w:txbxContent>
                        <w:p w14:paraId="5A85A19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违反强制性规范的合同效力认定丨</w:t>
                          </w:r>
                          <w:r>
                            <w:rPr>
                              <w:rFonts w:ascii="Times New Roman" w:hAnsi="Times New Roman" w:eastAsia="Times New Roman" w:cs="Times New Roman"/>
                              <w:b/>
                              <w:bCs/>
                              <w:color w:val="000000"/>
                              <w:spacing w:val="0"/>
                              <w:w w:val="100"/>
                              <w:position w:val="0"/>
                              <w:sz w:val="15"/>
                              <w:szCs w:val="15"/>
                            </w:rPr>
                            <w:t>097</w:t>
                          </w:r>
                        </w:p>
                      </w:txbxContent>
                    </wps:txbx>
                    <wps:bodyPr wrap="none" lIns="0" tIns="0" rIns="0" bIns="0">
                      <a:spAutoFit/>
                    </wps:bodyPr>
                  </wps:wsp>
                </a:graphicData>
              </a:graphic>
            </wp:anchor>
          </w:drawing>
        </mc:Choice>
        <mc:Fallback>
          <w:pict>
            <v:shape id="Shape 297" o:spid="_x0000_s1026" o:spt="202" type="#_x0000_t202" style="position:absolute;left:0pt;margin-left:336.85pt;margin-top:36.9pt;height:8.65pt;width:131.05pt;mso-position-horizontal-relative:page;mso-position-vertical-relative:page;mso-wrap-style:none;z-index:-251657216;mso-width-relative:page;mso-height-relative:page;" filled="f" stroked="f" coordsize="21600,21600" o:gfxdata="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RfxsdUA&#10;AAAJAQAADwAAAAAAAAABACAAAAAiAAAAZHJzL2Rvd25yZXYueG1sUEsBAhQAFAAAAAgAh07iQK+7&#10;R0SwAQAAdAMAAA4AAAAAAAAAAQAgAAAAJAEAAGRycy9lMm9Eb2MueG1sUEsFBgAAAAAGAAYAWQEA&#10;AEYFAAAAAA==&#10;">
              <v:fill on="f" focussize="0,0"/>
              <v:stroke on="f"/>
              <v:imagedata o:title=""/>
              <o:lock v:ext="edit" aspectratio="f"/>
              <v:textbox inset="0mm,0mm,0mm,0mm" style="mso-fit-shape-to-text:t;">
                <w:txbxContent>
                  <w:p w14:paraId="5A85A19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违反强制性规范的合同效力认定丨</w:t>
                    </w:r>
                    <w:r>
                      <w:rPr>
                        <w:rFonts w:ascii="Times New Roman" w:hAnsi="Times New Roman" w:eastAsia="Times New Roman" w:cs="Times New Roman"/>
                        <w:b/>
                        <w:bCs/>
                        <w:color w:val="000000"/>
                        <w:spacing w:val="0"/>
                        <w:w w:val="100"/>
                        <w:position w:val="0"/>
                        <w:sz w:val="15"/>
                        <w:szCs w:val="15"/>
                      </w:rPr>
                      <w:t>097</w:t>
                    </w:r>
                  </w:p>
                </w:txbxContent>
              </v:textbox>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2F83D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4277995</wp:posOffset>
              </wp:positionH>
              <wp:positionV relativeFrom="page">
                <wp:posOffset>468630</wp:posOffset>
              </wp:positionV>
              <wp:extent cx="1664335" cy="109855"/>
              <wp:effectExtent l="0" t="0" r="0" b="0"/>
              <wp:wrapNone/>
              <wp:docPr id="299" name="Shape 299"/>
              <wp:cNvGraphicFramePr/>
              <a:graphic xmlns:a="http://schemas.openxmlformats.org/drawingml/2006/main">
                <a:graphicData uri="http://schemas.microsoft.com/office/word/2010/wordprocessingShape">
                  <wps:wsp>
                    <wps:cNvSpPr txBox="1"/>
                    <wps:spPr>
                      <a:xfrm>
                        <a:off x="0" y="0"/>
                        <a:ext cx="1664335" cy="109855"/>
                      </a:xfrm>
                      <a:prstGeom prst="rect">
                        <a:avLst/>
                      </a:prstGeom>
                      <a:noFill/>
                    </wps:spPr>
                    <wps:txbx>
                      <w:txbxContent>
                        <w:p w14:paraId="4D9F5E5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违反强制性规范的合同效力认定丨</w:t>
                          </w:r>
                          <w:r>
                            <w:rPr>
                              <w:rFonts w:ascii="Times New Roman" w:hAnsi="Times New Roman" w:eastAsia="Times New Roman" w:cs="Times New Roman"/>
                              <w:b/>
                              <w:bCs/>
                              <w:color w:val="000000"/>
                              <w:spacing w:val="0"/>
                              <w:w w:val="100"/>
                              <w:position w:val="0"/>
                              <w:sz w:val="15"/>
                              <w:szCs w:val="15"/>
                            </w:rPr>
                            <w:t>097</w:t>
                          </w:r>
                        </w:p>
                      </w:txbxContent>
                    </wps:txbx>
                    <wps:bodyPr wrap="none" lIns="0" tIns="0" rIns="0" bIns="0">
                      <a:spAutoFit/>
                    </wps:bodyPr>
                  </wps:wsp>
                </a:graphicData>
              </a:graphic>
            </wp:anchor>
          </w:drawing>
        </mc:Choice>
        <mc:Fallback>
          <w:pict>
            <v:shape id="Shape 299" o:spid="_x0000_s1026" o:spt="202" type="#_x0000_t202" style="position:absolute;left:0pt;margin-left:336.85pt;margin-top:36.9pt;height:8.65pt;width:131.05pt;mso-position-horizontal-relative:page;mso-position-vertical-relative:page;mso-wrap-style:none;z-index:-251657216;mso-width-relative:page;mso-height-relative:page;" filled="f" stroked="f" coordsize="21600,21600" o:gfxdata="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RfxsdUA&#10;AAAJAQAADwAAAAAAAAABACAAAAAiAAAAZHJzL2Rvd25yZXYueG1sUEsBAhQAFAAAAAgAh07iQMup&#10;C+iwAQAAdAMAAA4AAAAAAAAAAQAgAAAAJAEAAGRycy9lMm9Eb2MueG1sUEsFBgAAAAAGAAYAWQEA&#10;AEYFAAAAAA==&#10;">
              <v:fill on="f" focussize="0,0"/>
              <v:stroke on="f"/>
              <v:imagedata o:title=""/>
              <o:lock v:ext="edit" aspectratio="f"/>
              <v:textbox inset="0mm,0mm,0mm,0mm" style="mso-fit-shape-to-text:t;">
                <w:txbxContent>
                  <w:p w14:paraId="4D9F5E5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违反强制性规范的合同效力认定丨</w:t>
                    </w:r>
                    <w:r>
                      <w:rPr>
                        <w:rFonts w:ascii="Times New Roman" w:hAnsi="Times New Roman" w:eastAsia="Times New Roman" w:cs="Times New Roman"/>
                        <w:b/>
                        <w:bCs/>
                        <w:color w:val="000000"/>
                        <w:spacing w:val="0"/>
                        <w:w w:val="100"/>
                        <w:position w:val="0"/>
                        <w:sz w:val="15"/>
                        <w:szCs w:val="15"/>
                      </w:rPr>
                      <w:t>097</w:t>
                    </w:r>
                  </w:p>
                </w:txbxContent>
              </v:textbox>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29DBA3">
    <w:pPr>
      <w:widowControl w:val="0"/>
      <w:spacing w:line="1" w:lineRule="exact"/>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CABA8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07" name="Shape 30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C5525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0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N/yoa8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V3/gzAtHKy9zWU6QPUPAhrqeAvWl&#10;8TOMdGmueaRkVj3q6PKT9DCqk7mXm7lqTExScnP/fnW35kxSaVl/3KzXGaV6/jhETF8UOJaDlkfa&#10;XbFUnL9hmlqvLXmWh0djbc5nhhOTHKXxMM60D9BdiPVA6225p9vMmf3qyb18E65BvAaHOcjgGD6d&#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N/y&#10;oa8BAABzAwAADgAAAAAAAAABACAAAAAkAQAAZHJzL2Uyb0RvYy54bWxQSwUGAAAAAAYABgBZAQAA&#10;RQUAAAAA&#10;">
              <v:fill on="f" focussize="0,0"/>
              <v:stroke on="f"/>
              <v:imagedata o:title=""/>
              <o:lock v:ext="edit" aspectratio="f"/>
              <v:textbox inset="0mm,0mm,0mm,0mm" style="mso-fit-shape-to-text:t;">
                <w:txbxContent>
                  <w:p w14:paraId="5C5525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37716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09" name="Shape 30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29FB74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0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t/sZUbABAABzAwAADgAAAGRycy9lMm9Eb2MueG1srVPBbtsw&#10;DL0P2D8Iui920qV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u/qBMy8crbzMZTlB9gwBG+p6DtSX&#10;xs8w0qW55pGSWfWoo8tP0sOoTuZebuaqMTFJyc39x9XdmjNJpWX9sFmvM0r18nGImL4ocCwHLY+0&#10;u2KpOH/DNLVeW/IsD0/G2pzPDCcmOUrjYZxpH6C7EOuB1ttyT7eZM/vVk3v5JlyDeA0Oc5DBMXw6&#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Lf7&#10;GVGwAQAAcwMAAA4AAAAAAAAAAQAgAAAAJAEAAGRycy9lMm9Eb2MueG1sUEsFBgAAAAAGAAYAWQEA&#10;AEYFAAAAAA==&#10;">
              <v:fill on="f" focussize="0,0"/>
              <v:stroke on="f"/>
              <v:imagedata o:title=""/>
              <o:lock v:ext="edit" aspectratio="f"/>
              <v:textbox inset="0mm,0mm,0mm,0mm" style="mso-fit-shape-to-text:t;">
                <w:txbxContent>
                  <w:p w14:paraId="129FB74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063E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4274185</wp:posOffset>
              </wp:positionH>
              <wp:positionV relativeFrom="page">
                <wp:posOffset>468630</wp:posOffset>
              </wp:positionV>
              <wp:extent cx="1664335" cy="109855"/>
              <wp:effectExtent l="0" t="0" r="0" b="0"/>
              <wp:wrapNone/>
              <wp:docPr id="311" name="Shape 311"/>
              <wp:cNvGraphicFramePr/>
              <a:graphic xmlns:a="http://schemas.openxmlformats.org/drawingml/2006/main">
                <a:graphicData uri="http://schemas.microsoft.com/office/word/2010/wordprocessingShape">
                  <wps:wsp>
                    <wps:cNvSpPr txBox="1"/>
                    <wps:spPr>
                      <a:xfrm>
                        <a:off x="0" y="0"/>
                        <a:ext cx="1664335" cy="109855"/>
                      </a:xfrm>
                      <a:prstGeom prst="rect">
                        <a:avLst/>
                      </a:prstGeom>
                      <a:noFill/>
                    </wps:spPr>
                    <wps:txbx>
                      <w:txbxContent>
                        <w:p w14:paraId="5B715EC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099</w:t>
                          </w:r>
                        </w:p>
                      </w:txbxContent>
                    </wps:txbx>
                    <wps:bodyPr wrap="none" lIns="0" tIns="0" rIns="0" bIns="0">
                      <a:spAutoFit/>
                    </wps:bodyPr>
                  </wps:wsp>
                </a:graphicData>
              </a:graphic>
            </wp:anchor>
          </w:drawing>
        </mc:Choice>
        <mc:Fallback>
          <w:pict>
            <v:shape id="Shape 311" o:spid="_x0000_s1026" o:spt="202" type="#_x0000_t202" style="position:absolute;left:0pt;margin-left:336.55pt;margin-top:36.9pt;height:8.65pt;width:131.05pt;mso-position-horizontal-relative:page;mso-position-vertical-relative:page;mso-wrap-style:none;z-index:-251657216;mso-width-relative:page;mso-height-relative:page;" filled="f" stroked="f" coordsize="21600,21600" o:gfxdata="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WabUtUA&#10;AAAJAQAADwAAAAAAAAABACAAAAAiAAAAZHJzL2Rvd25yZXYueG1sUEsBAhQAFAAAAAgAh07iQF8A&#10;JpOwAQAAdAMAAA4AAAAAAAAAAQAgAAAAJAEAAGRycy9lMm9Eb2MueG1sUEsFBgAAAAAGAAYAWQEA&#10;AEYFAAAAAA==&#10;">
              <v:fill on="f" focussize="0,0"/>
              <v:stroke on="f"/>
              <v:imagedata o:title=""/>
              <o:lock v:ext="edit" aspectratio="f"/>
              <v:textbox inset="0mm,0mm,0mm,0mm" style="mso-fit-shape-to-text:t;">
                <w:txbxContent>
                  <w:p w14:paraId="5B715EC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099</w:t>
                    </w:r>
                  </w:p>
                </w:txbxContent>
              </v:textbox>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60825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4274185</wp:posOffset>
              </wp:positionH>
              <wp:positionV relativeFrom="page">
                <wp:posOffset>468630</wp:posOffset>
              </wp:positionV>
              <wp:extent cx="1664335" cy="109855"/>
              <wp:effectExtent l="0" t="0" r="0" b="0"/>
              <wp:wrapNone/>
              <wp:docPr id="313" name="Shape 313"/>
              <wp:cNvGraphicFramePr/>
              <a:graphic xmlns:a="http://schemas.openxmlformats.org/drawingml/2006/main">
                <a:graphicData uri="http://schemas.microsoft.com/office/word/2010/wordprocessingShape">
                  <wps:wsp>
                    <wps:cNvSpPr txBox="1"/>
                    <wps:spPr>
                      <a:xfrm>
                        <a:off x="0" y="0"/>
                        <a:ext cx="1664335" cy="109855"/>
                      </a:xfrm>
                      <a:prstGeom prst="rect">
                        <a:avLst/>
                      </a:prstGeom>
                      <a:noFill/>
                    </wps:spPr>
                    <wps:txbx>
                      <w:txbxContent>
                        <w:p w14:paraId="188CFE7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099</w:t>
                          </w:r>
                        </w:p>
                      </w:txbxContent>
                    </wps:txbx>
                    <wps:bodyPr wrap="none" lIns="0" tIns="0" rIns="0" bIns="0">
                      <a:spAutoFit/>
                    </wps:bodyPr>
                  </wps:wsp>
                </a:graphicData>
              </a:graphic>
            </wp:anchor>
          </w:drawing>
        </mc:Choice>
        <mc:Fallback>
          <w:pict>
            <v:shape id="Shape 313" o:spid="_x0000_s1026" o:spt="202" type="#_x0000_t202" style="position:absolute;left:0pt;margin-left:336.55pt;margin-top:36.9pt;height:8.65pt;width:131.05pt;mso-position-horizontal-relative:page;mso-position-vertical-relative:page;mso-wrap-style:none;z-index:-251657216;mso-width-relative:page;mso-height-relative:page;" filled="f" stroked="f" coordsize="21600,21600" o:gfxdata="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WabUtUA&#10;AAAJAQAADwAAAAAAAAABACAAAAAiAAAAZHJzL2Rvd25yZXYueG1sUEsBAhQAFAAAAAgAh07iQL7e&#10;uWWwAQAAdAMAAA4AAAAAAAAAAQAgAAAAJAEAAGRycy9lMm9Eb2MueG1sUEsFBgAAAAAGAAYAWQEA&#10;AEYFAAAAAA==&#10;">
              <v:fill on="f" focussize="0,0"/>
              <v:stroke on="f"/>
              <v:imagedata o:title=""/>
              <o:lock v:ext="edit" aspectratio="f"/>
              <v:textbox inset="0mm,0mm,0mm,0mm" style="mso-fit-shape-to-text:t;">
                <w:txbxContent>
                  <w:p w14:paraId="188CFE7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违反强制性规范的合同效力认定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099</w:t>
                    </w:r>
                  </w:p>
                </w:txbxContent>
              </v:textbox>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05FFE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15" name="Shape 3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0FFE43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kJ&#10;/RGwAQAAcwMAAA4AAAAAAAAAAQAgAAAAJAEAAGRycy9lMm9Eb2MueG1sUEsFBgAAAAAGAAYAWQEA&#10;AEYFAAAAAA==&#10;">
              <v:fill on="f" focussize="0,0"/>
              <v:stroke on="f"/>
              <v:imagedata o:title=""/>
              <o:lock v:ext="edit" aspectratio="f"/>
              <v:textbox inset="0mm,0mm,0mm,0mm" style="mso-fit-shape-to-text:t;">
                <w:txbxContent>
                  <w:p w14:paraId="30FFE43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9ECE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582930</wp:posOffset>
              </wp:positionH>
              <wp:positionV relativeFrom="page">
                <wp:posOffset>513080</wp:posOffset>
              </wp:positionV>
              <wp:extent cx="664210" cy="103505"/>
              <wp:effectExtent l="0" t="0" r="0" b="0"/>
              <wp:wrapNone/>
              <wp:docPr id="25" name="Shape 25"/>
              <wp:cNvGraphicFramePr/>
              <a:graphic xmlns:a="http://schemas.openxmlformats.org/drawingml/2006/main">
                <a:graphicData uri="http://schemas.microsoft.com/office/word/2010/wordprocessingShape">
                  <wps:wsp>
                    <wps:cNvSpPr txBox="1"/>
                    <wps:spPr>
                      <a:xfrm>
                        <a:off x="0" y="0"/>
                        <a:ext cx="664210" cy="103505"/>
                      </a:xfrm>
                      <a:prstGeom prst="rect">
                        <a:avLst/>
                      </a:prstGeom>
                      <a:noFill/>
                    </wps:spPr>
                    <wps:txbx>
                      <w:txbxContent>
                        <w:p w14:paraId="246BF148">
                          <w:pPr>
                            <w:pStyle w:val="19"/>
                            <w:keepNext w:val="0"/>
                            <w:keepLines w:val="0"/>
                            <w:widowControl w:val="0"/>
                            <w:shd w:val="clear" w:color="auto" w:fill="auto"/>
                            <w:tabs>
                              <w:tab w:val="right" w:pos="1046"/>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 xml:space="preserve">006 I </w:t>
                          </w:r>
                          <w:r>
                            <w:rPr>
                              <w:rFonts w:ascii="宋体" w:hAnsi="宋体" w:eastAsia="宋体" w:cs="宋体"/>
                              <w:color w:val="000000"/>
                              <w:spacing w:val="0"/>
                              <w:w w:val="100"/>
                              <w:position w:val="0"/>
                              <w:sz w:val="18"/>
                              <w:szCs w:val="18"/>
                            </w:rPr>
                            <w:t>目</w:t>
                          </w:r>
                          <w:r>
                            <w:rPr>
                              <w:rFonts w:ascii="宋体" w:hAnsi="宋体" w:eastAsia="宋体" w:cs="宋体"/>
                              <w:color w:val="000000"/>
                              <w:spacing w:val="0"/>
                              <w:w w:val="100"/>
                              <w:position w:val="0"/>
                              <w:sz w:val="18"/>
                              <w:szCs w:val="18"/>
                            </w:rPr>
                            <w:tab/>
                          </w:r>
                          <w:r>
                            <w:rPr>
                              <w:rFonts w:ascii="宋体" w:hAnsi="宋体" w:eastAsia="宋体" w:cs="宋体"/>
                              <w:color w:val="000000"/>
                              <w:spacing w:val="0"/>
                              <w:w w:val="100"/>
                              <w:position w:val="0"/>
                              <w:sz w:val="18"/>
                              <w:szCs w:val="18"/>
                            </w:rPr>
                            <w:t>录</w:t>
                          </w:r>
                        </w:p>
                      </w:txbxContent>
                    </wps:txbx>
                    <wps:bodyPr lIns="0" tIns="0" rIns="0" bIns="0">
                      <a:spAutoFit/>
                    </wps:bodyPr>
                  </wps:wsp>
                </a:graphicData>
              </a:graphic>
            </wp:anchor>
          </w:drawing>
        </mc:Choice>
        <mc:Fallback>
          <w:pict>
            <v:shape id="Shape 25" o:spid="_x0000_s1026" o:spt="202" type="#_x0000_t202" style="position:absolute;left:0pt;margin-left:45.9pt;margin-top:40.4pt;height:8.15pt;width:52.3pt;mso-position-horizontal-relative:page;mso-position-vertical-relative:page;z-index:-251657216;mso-width-relative:page;mso-height-relative:page;" filled="f" stroked="f" coordsize="21600,21600" o:gfxdata="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HDbt7VAAAACAEAAA8AAAAA&#10;AAAAAQAgAAAAIgAAAGRycy9kb3ducmV2LnhtbFBLAQIUABQAAAAIAIdO4kBdjABkpQEAAGUDAAAO&#10;AAAAAAAAAAEAIAAAACQBAABkcnMvZTJvRG9jLnhtbFBLBQYAAAAABgAGAFkBAAA7BQAAAAA=&#10;">
              <v:fill on="f" focussize="0,0"/>
              <v:stroke on="f"/>
              <v:imagedata o:title=""/>
              <o:lock v:ext="edit" aspectratio="f"/>
              <v:textbox inset="0mm,0mm,0mm,0mm" style="mso-fit-shape-to-text:t;">
                <w:txbxContent>
                  <w:p w14:paraId="246BF148">
                    <w:pPr>
                      <w:pStyle w:val="19"/>
                      <w:keepNext w:val="0"/>
                      <w:keepLines w:val="0"/>
                      <w:widowControl w:val="0"/>
                      <w:shd w:val="clear" w:color="auto" w:fill="auto"/>
                      <w:tabs>
                        <w:tab w:val="right" w:pos="1046"/>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 xml:space="preserve">006 I </w:t>
                    </w:r>
                    <w:r>
                      <w:rPr>
                        <w:rFonts w:ascii="宋体" w:hAnsi="宋体" w:eastAsia="宋体" w:cs="宋体"/>
                        <w:color w:val="000000"/>
                        <w:spacing w:val="0"/>
                        <w:w w:val="100"/>
                        <w:position w:val="0"/>
                        <w:sz w:val="18"/>
                        <w:szCs w:val="18"/>
                      </w:rPr>
                      <w:t>目</w:t>
                    </w:r>
                    <w:r>
                      <w:rPr>
                        <w:rFonts w:ascii="宋体" w:hAnsi="宋体" w:eastAsia="宋体" w:cs="宋体"/>
                        <w:color w:val="000000"/>
                        <w:spacing w:val="0"/>
                        <w:w w:val="100"/>
                        <w:position w:val="0"/>
                        <w:sz w:val="18"/>
                        <w:szCs w:val="18"/>
                      </w:rPr>
                      <w:tab/>
                    </w:r>
                    <w:r>
                      <w:rPr>
                        <w:rFonts w:ascii="宋体" w:hAnsi="宋体" w:eastAsia="宋体" w:cs="宋体"/>
                        <w:color w:val="000000"/>
                        <w:spacing w:val="0"/>
                        <w:w w:val="100"/>
                        <w:position w:val="0"/>
                        <w:sz w:val="18"/>
                        <w:szCs w:val="18"/>
                      </w:rPr>
                      <w:t>录</w:t>
                    </w:r>
                  </w:p>
                </w:txbxContent>
              </v:textbox>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74065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17" name="Shape 31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34CE6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1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zLMFN7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t/z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yz&#10;BTewAQAAcwMAAA4AAAAAAAAAAQAgAAAAJAEAAGRycy9lMm9Eb2MueG1sUEsFBgAAAAAGAAYAWQEA&#10;AEYFAAAAAA==&#10;">
              <v:fill on="f" focussize="0,0"/>
              <v:stroke on="f"/>
              <v:imagedata o:title=""/>
              <o:lock v:ext="edit" aspectratio="f"/>
              <v:textbox inset="0mm,0mm,0mm,0mm" style="mso-fit-shape-to-text:t;">
                <w:txbxContent>
                  <w:p w14:paraId="134CE6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CAC3E0">
    <w:pPr>
      <w:widowControl w:val="0"/>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F4C56">
    <w:pPr>
      <w:widowControl w:val="0"/>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ED7F7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3818890</wp:posOffset>
              </wp:positionH>
              <wp:positionV relativeFrom="page">
                <wp:posOffset>471170</wp:posOffset>
              </wp:positionV>
              <wp:extent cx="2073910" cy="109855"/>
              <wp:effectExtent l="0" t="0" r="0" b="0"/>
              <wp:wrapNone/>
              <wp:docPr id="325" name="Shape 325"/>
              <wp:cNvGraphicFramePr/>
              <a:graphic xmlns:a="http://schemas.openxmlformats.org/drawingml/2006/main">
                <a:graphicData uri="http://schemas.microsoft.com/office/word/2010/wordprocessingShape">
                  <wps:wsp>
                    <wps:cNvSpPr txBox="1"/>
                    <wps:spPr>
                      <a:xfrm>
                        <a:off x="0" y="0"/>
                        <a:ext cx="2073910" cy="109855"/>
                      </a:xfrm>
                      <a:prstGeom prst="rect">
                        <a:avLst/>
                      </a:prstGeom>
                      <a:noFill/>
                    </wps:spPr>
                    <wps:txbx>
                      <w:txbxContent>
                        <w:p w14:paraId="25D7457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非法吸收公众存款罪所涉合同的效力认定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25" o:spid="_x0000_s1026" o:spt="202" type="#_x0000_t202" style="position:absolute;left:0pt;margin-left:300.7pt;margin-top:37.1pt;height:8.65pt;width:163.3pt;mso-position-horizontal-relative:page;mso-position-vertical-relative:page;mso-wrap-style:none;z-index:-251657216;mso-width-relative:page;mso-height-relative:page;" filled="f" stroked="f" coordsize="21600,21600" o:gfxdata="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Vn7ANUA&#10;AAAJAQAADwAAAAAAAAABACAAAAAiAAAAZHJzL2Rvd25yZXYueG1sUEsBAhQAFAAAAAgAh07iQCln&#10;OSOwAQAAdAMAAA4AAAAAAAAAAQAgAAAAJAEAAGRycy9lMm9Eb2MueG1sUEsFBgAAAAAGAAYAWQEA&#10;AEYFAAAAAA==&#10;">
              <v:fill on="f" focussize="0,0"/>
              <v:stroke on="f"/>
              <v:imagedata o:title=""/>
              <o:lock v:ext="edit" aspectratio="f"/>
              <v:textbox inset="0mm,0mm,0mm,0mm" style="mso-fit-shape-to-text:t;">
                <w:txbxContent>
                  <w:p w14:paraId="25D7457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非法吸收公众存款罪所涉合同的效力认定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58C8E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27" name="Shape 32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C5F9EB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2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QFtV7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t/r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0B&#10;bVewAQAAcwMAAA4AAAAAAAAAAQAgAAAAJAEAAGRycy9lMm9Eb2MueG1sUEsFBgAAAAAGAAYAWQEA&#10;AEYFAAAAAA==&#10;">
              <v:fill on="f" focussize="0,0"/>
              <v:stroke on="f"/>
              <v:imagedata o:title=""/>
              <o:lock v:ext="edit" aspectratio="f"/>
              <v:textbox inset="0mm,0mm,0mm,0mm" style="mso-fit-shape-to-text:t;">
                <w:txbxContent>
                  <w:p w14:paraId="4C5F9EB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B6827A">
    <w:pPr>
      <w:widowControl w:val="0"/>
      <w:spacing w:line="1" w:lineRule="exact"/>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008DDF">
    <w:pPr>
      <w:widowControl w:val="0"/>
      <w:spacing w:line="1" w:lineRule="exact"/>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C164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35" name="Shape 33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F02BB6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3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di&#10;568BAABzAwAADgAAAAAAAAABACAAAAAkAQAAZHJzL2Uyb0RvYy54bWxQSwUGAAAAAAYABgBZAQAA&#10;RQUAAAAA&#10;">
              <v:fill on="f" focussize="0,0"/>
              <v:stroke on="f"/>
              <v:imagedata o:title=""/>
              <o:lock v:ext="edit" aspectratio="f"/>
              <v:textbox inset="0mm,0mm,0mm,0mm" style="mso-fit-shape-to-text:t;">
                <w:txbxContent>
                  <w:p w14:paraId="1F02BB6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09EF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37" name="Shape 33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402BC5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3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1t&#10;msGwAQAAcwMAAA4AAAAAAAAAAQAgAAAAJAEAAGRycy9lMm9Eb2MueG1sUEsFBgAAAAAGAAYAWQEA&#10;AEYFAAAAAA==&#10;">
              <v:fill on="f" focussize="0,0"/>
              <v:stroke on="f"/>
              <v:imagedata o:title=""/>
              <o:lock v:ext="edit" aspectratio="f"/>
              <v:textbox inset="0mm,0mm,0mm,0mm" style="mso-fit-shape-to-text:t;">
                <w:txbxContent>
                  <w:p w14:paraId="0402BC5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8980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4683760</wp:posOffset>
              </wp:positionH>
              <wp:positionV relativeFrom="page">
                <wp:posOffset>506730</wp:posOffset>
              </wp:positionV>
              <wp:extent cx="1268095" cy="109855"/>
              <wp:effectExtent l="0" t="0" r="0" b="0"/>
              <wp:wrapNone/>
              <wp:docPr id="339" name="Shape 339"/>
              <wp:cNvGraphicFramePr/>
              <a:graphic xmlns:a="http://schemas.openxmlformats.org/drawingml/2006/main">
                <a:graphicData uri="http://schemas.microsoft.com/office/word/2010/wordprocessingShape">
                  <wps:wsp>
                    <wps:cNvSpPr txBox="1"/>
                    <wps:spPr>
                      <a:xfrm>
                        <a:off x="0" y="0"/>
                        <a:ext cx="1268095" cy="109855"/>
                      </a:xfrm>
                      <a:prstGeom prst="rect">
                        <a:avLst/>
                      </a:prstGeom>
                      <a:noFill/>
                    </wps:spPr>
                    <wps:txbx>
                      <w:txbxContent>
                        <w:p w14:paraId="2EC46EB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39" o:spid="_x0000_s1026" o:spt="202" type="#_x0000_t202" style="position:absolute;left:0pt;margin-left:368.8pt;margin-top:39.9pt;height:8.65pt;width:99.85pt;mso-position-horizontal-relative:page;mso-position-vertical-relative:page;mso-wrap-style:none;z-index:-251657216;mso-width-relative:page;mso-height-relative:page;" filled="f" stroked="f" coordsize="21600,21600" o:gfxdata="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1/5VxdUA&#10;AAAJAQAADwAAAAAAAAABACAAAAAiAAAAZHJzL2Rvd25yZXYueG1sUEsBAhQAFAAAAAgAh07iQNsd&#10;KeqwAQAAdAMAAA4AAAAAAAAAAQAgAAAAJAEAAGRycy9lMm9Eb2MueG1sUEsFBgAAAAAGAAYAWQEA&#10;AEYFAAAAAA==&#10;">
              <v:fill on="f" focussize="0,0"/>
              <v:stroke on="f"/>
              <v:imagedata o:title=""/>
              <o:lock v:ext="edit" aspectratio="f"/>
              <v:textbox inset="0mm,0mm,0mm,0mm" style="mso-fit-shape-to-text:t;">
                <w:txbxContent>
                  <w:p w14:paraId="2EC46EB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96B54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582930</wp:posOffset>
              </wp:positionH>
              <wp:positionV relativeFrom="page">
                <wp:posOffset>513080</wp:posOffset>
              </wp:positionV>
              <wp:extent cx="664210" cy="103505"/>
              <wp:effectExtent l="0" t="0" r="0" b="0"/>
              <wp:wrapNone/>
              <wp:docPr id="27" name="Shape 27"/>
              <wp:cNvGraphicFramePr/>
              <a:graphic xmlns:a="http://schemas.openxmlformats.org/drawingml/2006/main">
                <a:graphicData uri="http://schemas.microsoft.com/office/word/2010/wordprocessingShape">
                  <wps:wsp>
                    <wps:cNvSpPr txBox="1"/>
                    <wps:spPr>
                      <a:xfrm>
                        <a:off x="0" y="0"/>
                        <a:ext cx="664210" cy="103505"/>
                      </a:xfrm>
                      <a:prstGeom prst="rect">
                        <a:avLst/>
                      </a:prstGeom>
                      <a:noFill/>
                    </wps:spPr>
                    <wps:txbx>
                      <w:txbxContent>
                        <w:p w14:paraId="593023AA">
                          <w:pPr>
                            <w:pStyle w:val="19"/>
                            <w:keepNext w:val="0"/>
                            <w:keepLines w:val="0"/>
                            <w:widowControl w:val="0"/>
                            <w:shd w:val="clear" w:color="auto" w:fill="auto"/>
                            <w:tabs>
                              <w:tab w:val="right" w:pos="1046"/>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 xml:space="preserve">006 I </w:t>
                          </w:r>
                          <w:r>
                            <w:rPr>
                              <w:rFonts w:ascii="宋体" w:hAnsi="宋体" w:eastAsia="宋体" w:cs="宋体"/>
                              <w:color w:val="000000"/>
                              <w:spacing w:val="0"/>
                              <w:w w:val="100"/>
                              <w:position w:val="0"/>
                              <w:sz w:val="18"/>
                              <w:szCs w:val="18"/>
                            </w:rPr>
                            <w:t>目</w:t>
                          </w:r>
                          <w:r>
                            <w:rPr>
                              <w:rFonts w:ascii="宋体" w:hAnsi="宋体" w:eastAsia="宋体" w:cs="宋体"/>
                              <w:color w:val="000000"/>
                              <w:spacing w:val="0"/>
                              <w:w w:val="100"/>
                              <w:position w:val="0"/>
                              <w:sz w:val="18"/>
                              <w:szCs w:val="18"/>
                            </w:rPr>
                            <w:tab/>
                          </w:r>
                          <w:r>
                            <w:rPr>
                              <w:rFonts w:ascii="宋体" w:hAnsi="宋体" w:eastAsia="宋体" w:cs="宋体"/>
                              <w:color w:val="000000"/>
                              <w:spacing w:val="0"/>
                              <w:w w:val="100"/>
                              <w:position w:val="0"/>
                              <w:sz w:val="18"/>
                              <w:szCs w:val="18"/>
                            </w:rPr>
                            <w:t>录</w:t>
                          </w:r>
                        </w:p>
                      </w:txbxContent>
                    </wps:txbx>
                    <wps:bodyPr lIns="0" tIns="0" rIns="0" bIns="0">
                      <a:spAutoFit/>
                    </wps:bodyPr>
                  </wps:wsp>
                </a:graphicData>
              </a:graphic>
            </wp:anchor>
          </w:drawing>
        </mc:Choice>
        <mc:Fallback>
          <w:pict>
            <v:shape id="Shape 27" o:spid="_x0000_s1026" o:spt="202" type="#_x0000_t202" style="position:absolute;left:0pt;margin-left:45.9pt;margin-top:40.4pt;height:8.15pt;width:52.3pt;mso-position-horizontal-relative:page;mso-position-vertical-relative:page;z-index:-251657216;mso-width-relative:page;mso-height-relative:page;" filled="f" stroked="f" coordsize="21600,21600" o:gfxdata="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HDbt7VAAAACAEAAA8AAAAA&#10;AAAAAQAgAAAAIgAAAGRycy9kb3ducmV2LnhtbFBLAQIUABQAAAAIAIdO4kBwBfdBpQEAAGUDAAAO&#10;AAAAAAAAAAEAIAAAACQBAABkcnMvZTJvRG9jLnhtbFBLBQYAAAAABgAGAFkBAAA7BQAAAAA=&#10;">
              <v:fill on="f" focussize="0,0"/>
              <v:stroke on="f"/>
              <v:imagedata o:title=""/>
              <o:lock v:ext="edit" aspectratio="f"/>
              <v:textbox inset="0mm,0mm,0mm,0mm" style="mso-fit-shape-to-text:t;">
                <w:txbxContent>
                  <w:p w14:paraId="593023AA">
                    <w:pPr>
                      <w:pStyle w:val="19"/>
                      <w:keepNext w:val="0"/>
                      <w:keepLines w:val="0"/>
                      <w:widowControl w:val="0"/>
                      <w:shd w:val="clear" w:color="auto" w:fill="auto"/>
                      <w:tabs>
                        <w:tab w:val="right" w:pos="1046"/>
                      </w:tabs>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 xml:space="preserve">006 I </w:t>
                    </w:r>
                    <w:r>
                      <w:rPr>
                        <w:rFonts w:ascii="宋体" w:hAnsi="宋体" w:eastAsia="宋体" w:cs="宋体"/>
                        <w:color w:val="000000"/>
                        <w:spacing w:val="0"/>
                        <w:w w:val="100"/>
                        <w:position w:val="0"/>
                        <w:sz w:val="18"/>
                        <w:szCs w:val="18"/>
                      </w:rPr>
                      <w:t>目</w:t>
                    </w:r>
                    <w:r>
                      <w:rPr>
                        <w:rFonts w:ascii="宋体" w:hAnsi="宋体" w:eastAsia="宋体" w:cs="宋体"/>
                        <w:color w:val="000000"/>
                        <w:spacing w:val="0"/>
                        <w:w w:val="100"/>
                        <w:position w:val="0"/>
                        <w:sz w:val="18"/>
                        <w:szCs w:val="18"/>
                      </w:rPr>
                      <w:tab/>
                    </w:r>
                    <w:r>
                      <w:rPr>
                        <w:rFonts w:ascii="宋体" w:hAnsi="宋体" w:eastAsia="宋体" w:cs="宋体"/>
                        <w:color w:val="000000"/>
                        <w:spacing w:val="0"/>
                        <w:w w:val="100"/>
                        <w:position w:val="0"/>
                        <w:sz w:val="18"/>
                        <w:szCs w:val="18"/>
                      </w:rPr>
                      <w:t>录</w:t>
                    </w:r>
                  </w:p>
                </w:txbxContent>
              </v:textbox>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25816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4686300</wp:posOffset>
              </wp:positionH>
              <wp:positionV relativeFrom="page">
                <wp:posOffset>508000</wp:posOffset>
              </wp:positionV>
              <wp:extent cx="1268095" cy="111125"/>
              <wp:effectExtent l="0" t="0" r="0" b="0"/>
              <wp:wrapNone/>
              <wp:docPr id="341" name="Shape 341"/>
              <wp:cNvGraphicFramePr/>
              <a:graphic xmlns:a="http://schemas.openxmlformats.org/drawingml/2006/main">
                <a:graphicData uri="http://schemas.microsoft.com/office/word/2010/wordprocessingShape">
                  <wps:wsp>
                    <wps:cNvSpPr txBox="1"/>
                    <wps:spPr>
                      <a:xfrm>
                        <a:off x="0" y="0"/>
                        <a:ext cx="1268095" cy="111125"/>
                      </a:xfrm>
                      <a:prstGeom prst="rect">
                        <a:avLst/>
                      </a:prstGeom>
                      <a:noFill/>
                    </wps:spPr>
                    <wps:txbx>
                      <w:txbxContent>
                        <w:p w14:paraId="1F02A00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无权代理人的赔偿责任丨</w:t>
                          </w:r>
                          <w:r>
                            <w:rPr>
                              <w:rFonts w:ascii="Times New Roman" w:hAnsi="Times New Roman" w:eastAsia="Times New Roman" w:cs="Times New Roman"/>
                              <w:b/>
                              <w:bCs/>
                              <w:color w:val="000000"/>
                              <w:spacing w:val="0"/>
                              <w:w w:val="100"/>
                              <w:position w:val="0"/>
                              <w:sz w:val="15"/>
                              <w:szCs w:val="15"/>
                            </w:rPr>
                            <w:t>109</w:t>
                          </w:r>
                        </w:p>
                      </w:txbxContent>
                    </wps:txbx>
                    <wps:bodyPr wrap="none" lIns="0" tIns="0" rIns="0" bIns="0">
                      <a:spAutoFit/>
                    </wps:bodyPr>
                  </wps:wsp>
                </a:graphicData>
              </a:graphic>
            </wp:anchor>
          </w:drawing>
        </mc:Choice>
        <mc:Fallback>
          <w:pict>
            <v:shape id="Shape 341" o:spid="_x0000_s1026" o:spt="202" type="#_x0000_t202" style="position:absolute;left:0pt;margin-left:369pt;margin-top:40pt;height:8.75pt;width:99.85pt;mso-position-horizontal-relative:page;mso-position-vertical-relative:page;mso-wrap-style:none;z-index:-251657216;mso-width-relative:page;mso-height-relative:page;" filled="f" stroked="f" coordsize="21600,21600" o:gfxdata="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gaX81QAA&#10;AAkBAAAPAAAAAAAAAAEAIAAAACIAAABkcnMvZG93bnJldi54bWxQSwECFAAUAAAACACHTuJAiFk4&#10;ia8BAAB0AwAADgAAAAAAAAABACAAAAAkAQAAZHJzL2Uyb0RvYy54bWxQSwUGAAAAAAYABgBZAQAA&#10;RQUAAAAA&#10;">
              <v:fill on="f" focussize="0,0"/>
              <v:stroke on="f"/>
              <v:imagedata o:title=""/>
              <o:lock v:ext="edit" aspectratio="f"/>
              <v:textbox inset="0mm,0mm,0mm,0mm" style="mso-fit-shape-to-text:t;">
                <w:txbxContent>
                  <w:p w14:paraId="1F02A00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无权代理人的赔偿责任丨</w:t>
                    </w:r>
                    <w:r>
                      <w:rPr>
                        <w:rFonts w:ascii="Times New Roman" w:hAnsi="Times New Roman" w:eastAsia="Times New Roman" w:cs="Times New Roman"/>
                        <w:b/>
                        <w:bCs/>
                        <w:color w:val="000000"/>
                        <w:spacing w:val="0"/>
                        <w:w w:val="100"/>
                        <w:position w:val="0"/>
                        <w:sz w:val="15"/>
                        <w:szCs w:val="15"/>
                      </w:rPr>
                      <w:t>109</w:t>
                    </w:r>
                  </w:p>
                </w:txbxContent>
              </v:textbox>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DB75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4686300</wp:posOffset>
              </wp:positionH>
              <wp:positionV relativeFrom="page">
                <wp:posOffset>508000</wp:posOffset>
              </wp:positionV>
              <wp:extent cx="1268095" cy="111125"/>
              <wp:effectExtent l="0" t="0" r="0" b="0"/>
              <wp:wrapNone/>
              <wp:docPr id="343" name="Shape 343"/>
              <wp:cNvGraphicFramePr/>
              <a:graphic xmlns:a="http://schemas.openxmlformats.org/drawingml/2006/main">
                <a:graphicData uri="http://schemas.microsoft.com/office/word/2010/wordprocessingShape">
                  <wps:wsp>
                    <wps:cNvSpPr txBox="1"/>
                    <wps:spPr>
                      <a:xfrm>
                        <a:off x="0" y="0"/>
                        <a:ext cx="1268095" cy="111125"/>
                      </a:xfrm>
                      <a:prstGeom prst="rect">
                        <a:avLst/>
                      </a:prstGeom>
                      <a:noFill/>
                    </wps:spPr>
                    <wps:txbx>
                      <w:txbxContent>
                        <w:p w14:paraId="65E5F7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无权代理人的赔偿责任丨</w:t>
                          </w:r>
                          <w:r>
                            <w:rPr>
                              <w:rFonts w:ascii="Times New Roman" w:hAnsi="Times New Roman" w:eastAsia="Times New Roman" w:cs="Times New Roman"/>
                              <w:b/>
                              <w:bCs/>
                              <w:color w:val="000000"/>
                              <w:spacing w:val="0"/>
                              <w:w w:val="100"/>
                              <w:position w:val="0"/>
                              <w:sz w:val="15"/>
                              <w:szCs w:val="15"/>
                            </w:rPr>
                            <w:t>109</w:t>
                          </w:r>
                        </w:p>
                      </w:txbxContent>
                    </wps:txbx>
                    <wps:bodyPr wrap="none" lIns="0" tIns="0" rIns="0" bIns="0">
                      <a:spAutoFit/>
                    </wps:bodyPr>
                  </wps:wsp>
                </a:graphicData>
              </a:graphic>
            </wp:anchor>
          </w:drawing>
        </mc:Choice>
        <mc:Fallback>
          <w:pict>
            <v:shape id="Shape 343" o:spid="_x0000_s1026" o:spt="202" type="#_x0000_t202" style="position:absolute;left:0pt;margin-left:369pt;margin-top:40pt;height:8.75pt;width:99.85pt;mso-position-horizontal-relative:page;mso-position-vertical-relative:page;mso-wrap-style:none;z-index:-251657216;mso-width-relative:page;mso-height-relative:page;" filled="f" stroked="f" coordsize="21600,21600" o:gfxdata="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IgaX81QAA&#10;AAkBAAAPAAAAAAAAAAEAIAAAACIAAABkcnMvZG93bnJldi54bWxQSwECFAAUAAAACACHTuJAaYen&#10;f68BAAB0AwAADgAAAAAAAAABACAAAAAkAQAAZHJzL2Uyb0RvYy54bWxQSwUGAAAAAAYABgBZAQAA&#10;RQUAAAAA&#10;">
              <v:fill on="f" focussize="0,0"/>
              <v:stroke on="f"/>
              <v:imagedata o:title=""/>
              <o:lock v:ext="edit" aspectratio="f"/>
              <v:textbox inset="0mm,0mm,0mm,0mm" style="mso-fit-shape-to-text:t;">
                <w:txbxContent>
                  <w:p w14:paraId="65E5F7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无权代理人的赔偿责任丨</w:t>
                    </w:r>
                    <w:r>
                      <w:rPr>
                        <w:rFonts w:ascii="Times New Roman" w:hAnsi="Times New Roman" w:eastAsia="Times New Roman" w:cs="Times New Roman"/>
                        <w:b/>
                        <w:bCs/>
                        <w:color w:val="000000"/>
                        <w:spacing w:val="0"/>
                        <w:w w:val="100"/>
                        <w:position w:val="0"/>
                        <w:sz w:val="15"/>
                        <w:szCs w:val="15"/>
                      </w:rPr>
                      <w:t>109</w:t>
                    </w:r>
                  </w:p>
                </w:txbxContent>
              </v:textbox>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6952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45" name="Shape 34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50CB73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4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re&#10;RLGwAQAAcwMAAA4AAAAAAAAAAQAgAAAAJAEAAGRycy9lMm9Eb2MueG1sUEsFBgAAAAAGAAYAWQEA&#10;AEYFAAAAAA==&#10;">
              <v:fill on="f" focussize="0,0"/>
              <v:stroke on="f"/>
              <v:imagedata o:title=""/>
              <o:lock v:ext="edit" aspectratio="f"/>
              <v:textbox inset="0mm,0mm,0mm,0mm" style="mso-fit-shape-to-text:t;">
                <w:txbxContent>
                  <w:p w14:paraId="350CB73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9DA2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47" name="Shape 34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9318E9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4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9k&#10;vJewAQAAcwMAAA4AAAAAAAAAAQAgAAAAJAEAAGRycy9lMm9Eb2MueG1sUEsFBgAAAAAGAAYAWQEA&#10;AEYFAAAAAA==&#10;">
              <v:fill on="f" focussize="0,0"/>
              <v:stroke on="f"/>
              <v:imagedata o:title=""/>
              <o:lock v:ext="edit" aspectratio="f"/>
              <v:textbox inset="0mm,0mm,0mm,0mm" style="mso-fit-shape-to-text:t;">
                <w:txbxContent>
                  <w:p w14:paraId="49318E9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0277F">
    <w:pPr>
      <w:widowControl w:val="0"/>
      <w:spacing w:line="1" w:lineRule="exact"/>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9A122">
    <w:pPr>
      <w:widowControl w:val="0"/>
      <w:spacing w:line="1" w:lineRule="exact"/>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F4F71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55" name="Shape 35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EAE0C1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5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mrKz&#10;J68BAABzAwAADgAAAAAAAAABACAAAAAkAQAAZHJzL2Uyb0RvYy54bWxQSwUGAAAAAAYABgBZAQAA&#10;RQUAAAAA&#10;">
              <v:fill on="f" focussize="0,0"/>
              <v:stroke on="f"/>
              <v:imagedata o:title=""/>
              <o:lock v:ext="edit" aspectratio="f"/>
              <v:textbox inset="0mm,0mm,0mm,0mm" style="mso-fit-shape-to-text:t;">
                <w:txbxContent>
                  <w:p w14:paraId="3EAE0C1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8A7CD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57" name="Shape 35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19A51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5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TwhLAb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t/7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8I&#10;SwGwAQAAcwMAAA4AAAAAAAAAAQAgAAAAJAEAAGRycy9lMm9Eb2MueG1sUEsFBgAAAAAGAAYAWQEA&#10;AEYFAAAAAA==&#10;">
              <v:fill on="f" focussize="0,0"/>
              <v:stroke on="f"/>
              <v:imagedata o:title=""/>
              <o:lock v:ext="edit" aspectratio="f"/>
              <v:textbox inset="0mm,0mm,0mm,0mm" style="mso-fit-shape-to-text:t;">
                <w:txbxContent>
                  <w:p w14:paraId="019A51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9D23C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4013835</wp:posOffset>
              </wp:positionH>
              <wp:positionV relativeFrom="page">
                <wp:posOffset>499110</wp:posOffset>
              </wp:positionV>
              <wp:extent cx="1870075" cy="109855"/>
              <wp:effectExtent l="0" t="0" r="0" b="0"/>
              <wp:wrapNone/>
              <wp:docPr id="359" name="Shape 359"/>
              <wp:cNvGraphicFramePr/>
              <a:graphic xmlns:a="http://schemas.openxmlformats.org/drawingml/2006/main">
                <a:graphicData uri="http://schemas.microsoft.com/office/word/2010/wordprocessingShape">
                  <wps:wsp>
                    <wps:cNvSpPr txBox="1"/>
                    <wps:spPr>
                      <a:xfrm>
                        <a:off x="0" y="0"/>
                        <a:ext cx="1870075" cy="109855"/>
                      </a:xfrm>
                      <a:prstGeom prst="rect">
                        <a:avLst/>
                      </a:prstGeom>
                      <a:noFill/>
                    </wps:spPr>
                    <wps:txbx>
                      <w:txbxContent>
                        <w:p w14:paraId="2CBE2D0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rFonts w:ascii="Times New Roman" w:hAnsi="Times New Roman" w:eastAsia="Times New Roman" w:cs="Times New Roman"/>
                              <w:b/>
                              <w:bCs/>
                              <w:color w:val="000000"/>
                              <w:spacing w:val="0"/>
                              <w:w w:val="100"/>
                              <w:position w:val="0"/>
                              <w:sz w:val="15"/>
                              <w:szCs w:val="15"/>
                              <w:lang w:val="en-US" w:eastAsia="en-US" w:bidi="en-US"/>
                            </w:rPr>
                            <w:t>IH3</w:t>
                          </w:r>
                        </w:p>
                      </w:txbxContent>
                    </wps:txbx>
                    <wps:bodyPr wrap="none" lIns="0" tIns="0" rIns="0" bIns="0">
                      <a:spAutoFit/>
                    </wps:bodyPr>
                  </wps:wsp>
                </a:graphicData>
              </a:graphic>
            </wp:anchor>
          </w:drawing>
        </mc:Choice>
        <mc:Fallback>
          <w:pict>
            <v:shape id="Shape 359" o:spid="_x0000_s1026" o:spt="202" type="#_x0000_t202" style="position:absolute;left:0pt;margin-left:316.05pt;margin-top:39.3pt;height:8.65pt;width:147.25pt;mso-position-horizontal-relative:page;mso-position-vertical-relative:page;mso-wrap-style:none;z-index:-251657216;mso-width-relative:page;mso-height-relative:page;" filled="f" stroked="f" coordsize="21600,21600" o:gfxdata="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2rEprdUA&#10;AAAJAQAADwAAAAAAAAABACAAAAAiAAAAZHJzL2Rvd25yZXYueG1sUEsBAhQAFAAAAAgAh07iQEBi&#10;E5ywAQAAdAMAAA4AAAAAAAAAAQAgAAAAJAEAAGRycy9lMm9Eb2MueG1sUEsFBgAAAAAGAAYAWQEA&#10;AEYFAAAAAA==&#10;">
              <v:fill on="f" focussize="0,0"/>
              <v:stroke on="f"/>
              <v:imagedata o:title=""/>
              <o:lock v:ext="edit" aspectratio="f"/>
              <v:textbox inset="0mm,0mm,0mm,0mm" style="mso-fit-shape-to-text:t;">
                <w:txbxContent>
                  <w:p w14:paraId="2CBE2D0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rFonts w:ascii="Times New Roman" w:hAnsi="Times New Roman" w:eastAsia="Times New Roman" w:cs="Times New Roman"/>
                        <w:b/>
                        <w:bCs/>
                        <w:color w:val="000000"/>
                        <w:spacing w:val="0"/>
                        <w:w w:val="100"/>
                        <w:position w:val="0"/>
                        <w:sz w:val="15"/>
                        <w:szCs w:val="15"/>
                        <w:lang w:val="en-US" w:eastAsia="en-US" w:bidi="en-US"/>
                      </w:rPr>
                      <w:t>IH3</w:t>
                    </w:r>
                  </w:p>
                </w:txbxContent>
              </v:textbox>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DE11E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4013835</wp:posOffset>
              </wp:positionH>
              <wp:positionV relativeFrom="page">
                <wp:posOffset>499110</wp:posOffset>
              </wp:positionV>
              <wp:extent cx="1870075" cy="109855"/>
              <wp:effectExtent l="0" t="0" r="0" b="0"/>
              <wp:wrapNone/>
              <wp:docPr id="361" name="Shape 361"/>
              <wp:cNvGraphicFramePr/>
              <a:graphic xmlns:a="http://schemas.openxmlformats.org/drawingml/2006/main">
                <a:graphicData uri="http://schemas.microsoft.com/office/word/2010/wordprocessingShape">
                  <wps:wsp>
                    <wps:cNvSpPr txBox="1"/>
                    <wps:spPr>
                      <a:xfrm>
                        <a:off x="0" y="0"/>
                        <a:ext cx="1870075" cy="109855"/>
                      </a:xfrm>
                      <a:prstGeom prst="rect">
                        <a:avLst/>
                      </a:prstGeom>
                      <a:noFill/>
                    </wps:spPr>
                    <wps:txbx>
                      <w:txbxContent>
                        <w:p w14:paraId="7552C22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rFonts w:ascii="Times New Roman" w:hAnsi="Times New Roman" w:eastAsia="Times New Roman" w:cs="Times New Roman"/>
                              <w:b/>
                              <w:bCs/>
                              <w:color w:val="000000"/>
                              <w:spacing w:val="0"/>
                              <w:w w:val="100"/>
                              <w:position w:val="0"/>
                              <w:sz w:val="15"/>
                              <w:szCs w:val="15"/>
                              <w:lang w:val="en-US" w:eastAsia="en-US" w:bidi="en-US"/>
                            </w:rPr>
                            <w:t>IH3</w:t>
                          </w:r>
                        </w:p>
                      </w:txbxContent>
                    </wps:txbx>
                    <wps:bodyPr wrap="none" lIns="0" tIns="0" rIns="0" bIns="0">
                      <a:spAutoFit/>
                    </wps:bodyPr>
                  </wps:wsp>
                </a:graphicData>
              </a:graphic>
            </wp:anchor>
          </w:drawing>
        </mc:Choice>
        <mc:Fallback>
          <w:pict>
            <v:shape id="Shape 361" o:spid="_x0000_s1026" o:spt="202" type="#_x0000_t202" style="position:absolute;left:0pt;margin-left:316.05pt;margin-top:39.3pt;height:8.65pt;width:147.25pt;mso-position-horizontal-relative:page;mso-position-vertical-relative:page;mso-wrap-style:none;z-index:-251657216;mso-width-relative:page;mso-height-relative:page;" filled="f" stroked="f" coordsize="21600,21600" o:gfxdata="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2rEprdUA&#10;AAAJAQAADwAAAAAAAAABACAAAAAiAAAAZHJzL2Rvd25yZXYueG1sUEsBAhQAFAAAAAgAh07iQO7+&#10;iEywAQAAdAMAAA4AAAAAAAAAAQAgAAAAJAEAAGRycy9lMm9Eb2MueG1sUEsFBgAAAAAGAAYAWQEA&#10;AEYFAAAAAA==&#10;">
              <v:fill on="f" focussize="0,0"/>
              <v:stroke on="f"/>
              <v:imagedata o:title=""/>
              <o:lock v:ext="edit" aspectratio="f"/>
              <v:textbox inset="0mm,0mm,0mm,0mm" style="mso-fit-shape-to-text:t;">
                <w:txbxContent>
                  <w:p w14:paraId="7552C22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rFonts w:ascii="Times New Roman" w:hAnsi="Times New Roman" w:eastAsia="Times New Roman" w:cs="Times New Roman"/>
                        <w:b/>
                        <w:bCs/>
                        <w:color w:val="000000"/>
                        <w:spacing w:val="0"/>
                        <w:w w:val="100"/>
                        <w:position w:val="0"/>
                        <w:sz w:val="15"/>
                        <w:szCs w:val="15"/>
                        <w:lang w:val="en-US" w:eastAsia="en-US" w:bidi="en-US"/>
                      </w:rPr>
                      <w:t>IH3</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ACB4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5185410</wp:posOffset>
              </wp:positionH>
              <wp:positionV relativeFrom="page">
                <wp:posOffset>505460</wp:posOffset>
              </wp:positionV>
              <wp:extent cx="640080" cy="111125"/>
              <wp:effectExtent l="0" t="0" r="0" b="0"/>
              <wp:wrapNone/>
              <wp:docPr id="29" name="Shape 29"/>
              <wp:cNvGraphicFramePr/>
              <a:graphic xmlns:a="http://schemas.openxmlformats.org/drawingml/2006/main">
                <a:graphicData uri="http://schemas.microsoft.com/office/word/2010/wordprocessingShape">
                  <wps:wsp>
                    <wps:cNvSpPr txBox="1"/>
                    <wps:spPr>
                      <a:xfrm>
                        <a:off x="0" y="0"/>
                        <a:ext cx="640080" cy="111125"/>
                      </a:xfrm>
                      <a:prstGeom prst="rect">
                        <a:avLst/>
                      </a:prstGeom>
                      <a:noFill/>
                    </wps:spPr>
                    <wps:txbx>
                      <w:txbxContent>
                        <w:p w14:paraId="21761FBB">
                          <w:pPr>
                            <w:pStyle w:val="19"/>
                            <w:keepNext w:val="0"/>
                            <w:keepLines w:val="0"/>
                            <w:widowControl w:val="0"/>
                            <w:shd w:val="clear" w:color="auto" w:fill="auto"/>
                            <w:bidi w:val="0"/>
                            <w:spacing w:before="0" w:after="0" w:line="240" w:lineRule="auto"/>
                            <w:ind w:left="0" w:right="0" w:firstLine="0"/>
                            <w:jc w:val="left"/>
                            <w:rPr>
                              <w:sz w:val="18"/>
                              <w:szCs w:val="18"/>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rPr>
                            <w:t>I</w:t>
                          </w:r>
                          <w:r>
                            <w:rPr>
                              <w:rFonts w:ascii="宋体" w:hAnsi="宋体" w:eastAsia="宋体" w:cs="宋体"/>
                              <w:color w:val="000000"/>
                              <w:spacing w:val="0"/>
                              <w:w w:val="100"/>
                              <w:position w:val="0"/>
                              <w:sz w:val="18"/>
                              <w:szCs w:val="18"/>
                            </w:rPr>
                            <w:t>录</w:t>
                          </w:r>
                        </w:p>
                      </w:txbxContent>
                    </wps:txbx>
                    <wps:bodyPr wrap="none" lIns="0" tIns="0" rIns="0" bIns="0">
                      <a:spAutoFit/>
                    </wps:bodyPr>
                  </wps:wsp>
                </a:graphicData>
              </a:graphic>
            </wp:anchor>
          </w:drawing>
        </mc:Choice>
        <mc:Fallback>
          <w:pict>
            <v:shape id="Shape 29" o:spid="_x0000_s1026" o:spt="202" type="#_x0000_t202" style="position:absolute;left:0pt;margin-left:408.3pt;margin-top:39.8pt;height:8.75pt;width:50.4pt;mso-position-horizontal-relative:page;mso-position-vertical-relative:page;mso-wrap-style:none;z-index:-251657216;mso-width-relative:page;mso-height-relative:page;" filled="f" stroked="f" coordsize="21600,21600" o:gfxdata="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xMt4M1QAAAAkB&#10;AAAPAAAAAAAAAAEAIAAAACIAAABkcnMvZG93bnJldi54bWxQSwECFAAUAAAACACHTuJAdpi1pqwB&#10;AABxAwAADgAAAAAAAAABACAAAAAkAQAAZHJzL2Uyb0RvYy54bWxQSwUGAAAAAAYABgBZAQAAQgUA&#10;AAAA&#10;">
              <v:fill on="f" focussize="0,0"/>
              <v:stroke on="f"/>
              <v:imagedata o:title=""/>
              <o:lock v:ext="edit" aspectratio="f"/>
              <v:textbox inset="0mm,0mm,0mm,0mm" style="mso-fit-shape-to-text:t;">
                <w:txbxContent>
                  <w:p w14:paraId="21761FBB">
                    <w:pPr>
                      <w:pStyle w:val="19"/>
                      <w:keepNext w:val="0"/>
                      <w:keepLines w:val="0"/>
                      <w:widowControl w:val="0"/>
                      <w:shd w:val="clear" w:color="auto" w:fill="auto"/>
                      <w:bidi w:val="0"/>
                      <w:spacing w:before="0" w:after="0" w:line="240" w:lineRule="auto"/>
                      <w:ind w:left="0" w:right="0" w:firstLine="0"/>
                      <w:jc w:val="left"/>
                      <w:rPr>
                        <w:sz w:val="18"/>
                        <w:szCs w:val="18"/>
                      </w:rPr>
                    </w:pPr>
                    <w:r>
                      <w:rPr>
                        <w:rFonts w:ascii="宋体" w:hAnsi="宋体" w:eastAsia="宋体" w:cs="宋体"/>
                        <w:color w:val="000000"/>
                        <w:spacing w:val="0"/>
                        <w:w w:val="100"/>
                        <w:position w:val="0"/>
                        <w:sz w:val="18"/>
                        <w:szCs w:val="18"/>
                      </w:rPr>
                      <w:t>目 录</w:t>
                    </w:r>
                    <w:r>
                      <w:rPr>
                        <w:rFonts w:ascii="Times New Roman" w:hAnsi="Times New Roman" w:eastAsia="Times New Roman" w:cs="Times New Roman"/>
                        <w:color w:val="000000"/>
                        <w:spacing w:val="0"/>
                        <w:w w:val="100"/>
                        <w:position w:val="0"/>
                        <w:sz w:val="17"/>
                        <w:szCs w:val="17"/>
                      </w:rPr>
                      <w:t>I</w:t>
                    </w:r>
                    <w:r>
                      <w:rPr>
                        <w:rFonts w:ascii="宋体" w:hAnsi="宋体" w:eastAsia="宋体" w:cs="宋体"/>
                        <w:color w:val="000000"/>
                        <w:spacing w:val="0"/>
                        <w:w w:val="100"/>
                        <w:position w:val="0"/>
                        <w:sz w:val="18"/>
                        <w:szCs w:val="18"/>
                      </w:rPr>
                      <w:t>录</w:t>
                    </w:r>
                  </w:p>
                </w:txbxContent>
              </v:textbox>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0492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4013200</wp:posOffset>
              </wp:positionH>
              <wp:positionV relativeFrom="page">
                <wp:posOffset>513080</wp:posOffset>
              </wp:positionV>
              <wp:extent cx="1873250" cy="109855"/>
              <wp:effectExtent l="0" t="0" r="0" b="0"/>
              <wp:wrapNone/>
              <wp:docPr id="363" name="Shape 363"/>
              <wp:cNvGraphicFramePr/>
              <a:graphic xmlns:a="http://schemas.openxmlformats.org/drawingml/2006/main">
                <a:graphicData uri="http://schemas.microsoft.com/office/word/2010/wordprocessingShape">
                  <wps:wsp>
                    <wps:cNvSpPr txBox="1"/>
                    <wps:spPr>
                      <a:xfrm>
                        <a:off x="0" y="0"/>
                        <a:ext cx="1873250" cy="109855"/>
                      </a:xfrm>
                      <a:prstGeom prst="rect">
                        <a:avLst/>
                      </a:prstGeom>
                      <a:noFill/>
                    </wps:spPr>
                    <wps:txbx>
                      <w:txbxContent>
                        <w:p w14:paraId="2A97BB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63" o:spid="_x0000_s1026" o:spt="202" type="#_x0000_t202" style="position:absolute;left:0pt;margin-left:316pt;margin-top:40.4pt;height:8.65pt;width:147.5pt;mso-position-horizontal-relative:page;mso-position-vertical-relative:page;mso-wrap-style:none;z-index:-251657216;mso-width-relative:page;mso-height-relative:page;" filled="f" stroked="f" coordsize="21600,21600" o:gfxdata="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c3uJB1QAA&#10;AAkBAAAPAAAAAAAAAAEAIAAAACIAAABkcnMvZG93bnJldi54bWxQSwECFAAUAAAACACHTuJAUjAD&#10;s68BAAB0AwAADgAAAAAAAAABACAAAAAkAQAAZHJzL2Uyb0RvYy54bWxQSwUGAAAAAAYABgBZAQAA&#10;RQUAAAAA&#10;">
              <v:fill on="f" focussize="0,0"/>
              <v:stroke on="f"/>
              <v:imagedata o:title=""/>
              <o:lock v:ext="edit" aspectratio="f"/>
              <v:textbox inset="0mm,0mm,0mm,0mm" style="mso-fit-shape-to-text:t;">
                <w:txbxContent>
                  <w:p w14:paraId="2A97BB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446D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4013200</wp:posOffset>
              </wp:positionH>
              <wp:positionV relativeFrom="page">
                <wp:posOffset>513080</wp:posOffset>
              </wp:positionV>
              <wp:extent cx="1873250" cy="109855"/>
              <wp:effectExtent l="0" t="0" r="0" b="0"/>
              <wp:wrapNone/>
              <wp:docPr id="365" name="Shape 365"/>
              <wp:cNvGraphicFramePr/>
              <a:graphic xmlns:a="http://schemas.openxmlformats.org/drawingml/2006/main">
                <a:graphicData uri="http://schemas.microsoft.com/office/word/2010/wordprocessingShape">
                  <wps:wsp>
                    <wps:cNvSpPr txBox="1"/>
                    <wps:spPr>
                      <a:xfrm>
                        <a:off x="0" y="0"/>
                        <a:ext cx="1873250" cy="109855"/>
                      </a:xfrm>
                      <a:prstGeom prst="rect">
                        <a:avLst/>
                      </a:prstGeom>
                      <a:noFill/>
                    </wps:spPr>
                    <wps:txbx>
                      <w:txbxContent>
                        <w:p w14:paraId="29B1A0F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65" o:spid="_x0000_s1026" o:spt="202" type="#_x0000_t202" style="position:absolute;left:0pt;margin-left:316pt;margin-top:40.4pt;height:8.65pt;width:147.5pt;mso-position-horizontal-relative:page;mso-position-vertical-relative:page;mso-wrap-style:none;z-index:-251657216;mso-width-relative:page;mso-height-relative:page;" filled="f" stroked="f" coordsize="21600,21600" o:gfxdata="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N7iQdUA&#10;AAAJAQAADwAAAAAAAAABACAAAAAiAAAAZHJzL2Rvd25yZXYueG1sUEsBAhQAFAAAAAgAh07iQDBV&#10;0nOwAQAAdAMAAA4AAAAAAAAAAQAgAAAAJAEAAGRycy9lMm9Eb2MueG1sUEsFBgAAAAAGAAYAWQEA&#10;AEYFAAAAAA==&#10;">
              <v:fill on="f" focussize="0,0"/>
              <v:stroke on="f"/>
              <v:imagedata o:title=""/>
              <o:lock v:ext="edit" aspectratio="f"/>
              <v:textbox inset="0mm,0mm,0mm,0mm" style="mso-fit-shape-to-text:t;">
                <w:txbxContent>
                  <w:p w14:paraId="29B1A0F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表见代理构成中的被代理人可归责性</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DFACD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67" name="Shape 36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6F37DC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6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P66&#10;I2GwAQAAcwMAAA4AAAAAAAAAAQAgAAAAJAEAAGRycy9lMm9Eb2MueG1sUEsFBgAAAAAGAAYAWQEA&#10;AEYFAAAAAA==&#10;">
              <v:fill on="f" focussize="0,0"/>
              <v:stroke on="f"/>
              <v:imagedata o:title=""/>
              <o:lock v:ext="edit" aspectratio="f"/>
              <v:textbox inset="0mm,0mm,0mm,0mm" style="mso-fit-shape-to-text:t;">
                <w:txbxContent>
                  <w:p w14:paraId="66F37DC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C88F4">
    <w:pPr>
      <w:widowControl w:val="0"/>
      <w:spacing w:line="1" w:lineRule="exact"/>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BF3F3">
    <w:pPr>
      <w:widowControl w:val="0"/>
      <w:spacing w:line="1" w:lineRule="exact"/>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C1B78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4678045</wp:posOffset>
              </wp:positionH>
              <wp:positionV relativeFrom="page">
                <wp:posOffset>525145</wp:posOffset>
              </wp:positionV>
              <wp:extent cx="1268095" cy="113030"/>
              <wp:effectExtent l="0" t="0" r="0" b="0"/>
              <wp:wrapNone/>
              <wp:docPr id="375" name="Shape 375"/>
              <wp:cNvGraphicFramePr/>
              <a:graphic xmlns:a="http://schemas.openxmlformats.org/drawingml/2006/main">
                <a:graphicData uri="http://schemas.microsoft.com/office/word/2010/wordprocessingShape">
                  <wps:wsp>
                    <wps:cNvSpPr txBox="1"/>
                    <wps:spPr>
                      <a:xfrm>
                        <a:off x="0" y="0"/>
                        <a:ext cx="1268095" cy="113030"/>
                      </a:xfrm>
                      <a:prstGeom prst="rect">
                        <a:avLst/>
                      </a:prstGeom>
                      <a:noFill/>
                    </wps:spPr>
                    <wps:txbx>
                      <w:txbxContent>
                        <w:p w14:paraId="43B7F5D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违法代理与本人的责任丨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75" o:spid="_x0000_s1026" o:spt="202" type="#_x0000_t202" style="position:absolute;left:0pt;margin-left:368.35pt;margin-top:41.35pt;height:8.9pt;width:99.85pt;mso-position-horizontal-relative:page;mso-position-vertical-relative:page;mso-wrap-style:none;z-index:-251657216;mso-width-relative:page;mso-height-relative:page;" filled="f" stroked="f" coordsize="21600,21600" o:gfxdata="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IyPQnW&#10;AAAACgEAAA8AAAAAAAAAAQAgAAAAIgAAAGRycy9kb3ducmV2LnhtbFBLAQIUABQAAAAIAIdO4kAH&#10;WVlNsAEAAHQDAAAOAAAAAAAAAAEAIAAAACUBAABkcnMvZTJvRG9jLnhtbFBLBQYAAAAABgAGAFkB&#10;AABHBQAAAAA=&#10;">
              <v:fill on="f" focussize="0,0"/>
              <v:stroke on="f"/>
              <v:imagedata o:title=""/>
              <o:lock v:ext="edit" aspectratio="f"/>
              <v:textbox inset="0mm,0mm,0mm,0mm" style="mso-fit-shape-to-text:t;">
                <w:txbxContent>
                  <w:p w14:paraId="43B7F5D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违法代理与本人的责任丨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89E8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77" name="Shape 37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8A08EB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7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K7W&#10;1PewAQAAcwMAAA4AAAAAAAAAAQAgAAAAJAEAAGRycy9lMm9Eb2MueG1sUEsFBgAAAAAGAAYAWQEA&#10;AEYFAAAAAA==&#10;">
              <v:fill on="f" focussize="0,0"/>
              <v:stroke on="f"/>
              <v:imagedata o:title=""/>
              <o:lock v:ext="edit" aspectratio="f"/>
              <v:textbox inset="0mm,0mm,0mm,0mm" style="mso-fit-shape-to-text:t;">
                <w:txbxContent>
                  <w:p w14:paraId="68A08EB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5CEF0">
    <w:pPr>
      <w:widowControl w:val="0"/>
      <w:spacing w:line="1" w:lineRule="exact"/>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66157A">
    <w:pPr>
      <w:widowControl w:val="0"/>
      <w:spacing w:line="1" w:lineRule="exact"/>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85F91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3482340</wp:posOffset>
              </wp:positionH>
              <wp:positionV relativeFrom="page">
                <wp:posOffset>490220</wp:posOffset>
              </wp:positionV>
              <wp:extent cx="2416810" cy="111125"/>
              <wp:effectExtent l="0" t="0" r="0" b="0"/>
              <wp:wrapNone/>
              <wp:docPr id="385" name="Shape 385"/>
              <wp:cNvGraphicFramePr/>
              <a:graphic xmlns:a="http://schemas.openxmlformats.org/drawingml/2006/main">
                <a:graphicData uri="http://schemas.microsoft.com/office/word/2010/wordprocessingShape">
                  <wps:wsp>
                    <wps:cNvSpPr txBox="1"/>
                    <wps:spPr>
                      <a:xfrm>
                        <a:off x="0" y="0"/>
                        <a:ext cx="2416810" cy="111125"/>
                      </a:xfrm>
                      <a:prstGeom prst="rect">
                        <a:avLst/>
                      </a:prstGeom>
                      <a:noFill/>
                    </wps:spPr>
                    <wps:txbx>
                      <w:txbxContent>
                        <w:p w14:paraId="64ED598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禁止</w:t>
                          </w:r>
                          <w:r>
                            <w:rPr>
                              <w:color w:val="000000"/>
                              <w:spacing w:val="0"/>
                              <w:w w:val="100"/>
                              <w:position w:val="0"/>
                              <w:sz w:val="15"/>
                              <w:szCs w:val="15"/>
                              <w:lang w:val="zh-CN" w:eastAsia="zh-CN" w:bidi="zh-CN"/>
                            </w:rPr>
                            <w:t>“跳单”条</w:t>
                          </w:r>
                          <w:r>
                            <w:rPr>
                              <w:color w:val="000000"/>
                              <w:spacing w:val="0"/>
                              <w:w w:val="100"/>
                              <w:position w:val="0"/>
                              <w:sz w:val="15"/>
                              <w:szCs w:val="15"/>
                            </w:rPr>
                            <w:t>款的效力和“跳单</w:t>
                          </w:r>
                          <w:r>
                            <w:rPr>
                              <w:color w:val="000000"/>
                              <w:spacing w:val="0"/>
                              <w:w w:val="100"/>
                              <w:position w:val="0"/>
                              <w:sz w:val="15"/>
                              <w:szCs w:val="15"/>
                              <w:lang w:val="zh-CN" w:eastAsia="zh-CN" w:bidi="zh-CN"/>
                            </w:rPr>
                            <w:t>”违</w:t>
                          </w:r>
                          <w:r>
                            <w:rPr>
                              <w:color w:val="000000"/>
                              <w:spacing w:val="0"/>
                              <w:w w:val="100"/>
                              <w:position w:val="0"/>
                              <w:sz w:val="15"/>
                              <w:szCs w:val="15"/>
                            </w:rPr>
                            <w:t>约的裁判标准</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85" o:spid="_x0000_s1026" o:spt="202" type="#_x0000_t202" style="position:absolute;left:0pt;margin-left:274.2pt;margin-top:38.6pt;height:8.75pt;width:190.3pt;mso-position-horizontal-relative:page;mso-position-vertical-relative:page;mso-wrap-style:none;z-index:-251657216;mso-width-relative:page;mso-height-relative:page;" filled="f" stroked="f" coordsize="21600,21600" o:gfxdata="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DQb0k1QAA&#10;AAkBAAAPAAAAAAAAAAEAIAAAACIAAABkcnMvZG93bnJldi54bWxQSwECFAAUAAAACACHTuJAKEZW&#10;b68BAAB0AwAADgAAAAAAAAABACAAAAAkAQAAZHJzL2Uyb0RvYy54bWxQSwUGAAAAAAYABgBZAQAA&#10;RQUAAAAA&#10;">
              <v:fill on="f" focussize="0,0"/>
              <v:stroke on="f"/>
              <v:imagedata o:title=""/>
              <o:lock v:ext="edit" aspectratio="f"/>
              <v:textbox inset="0mm,0mm,0mm,0mm" style="mso-fit-shape-to-text:t;">
                <w:txbxContent>
                  <w:p w14:paraId="64ED598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禁止</w:t>
                    </w:r>
                    <w:r>
                      <w:rPr>
                        <w:color w:val="000000"/>
                        <w:spacing w:val="0"/>
                        <w:w w:val="100"/>
                        <w:position w:val="0"/>
                        <w:sz w:val="15"/>
                        <w:szCs w:val="15"/>
                        <w:lang w:val="zh-CN" w:eastAsia="zh-CN" w:bidi="zh-CN"/>
                      </w:rPr>
                      <w:t>“跳单”条</w:t>
                    </w:r>
                    <w:r>
                      <w:rPr>
                        <w:color w:val="000000"/>
                        <w:spacing w:val="0"/>
                        <w:w w:val="100"/>
                        <w:position w:val="0"/>
                        <w:sz w:val="15"/>
                        <w:szCs w:val="15"/>
                      </w:rPr>
                      <w:t>款的效力和“跳单</w:t>
                    </w:r>
                    <w:r>
                      <w:rPr>
                        <w:color w:val="000000"/>
                        <w:spacing w:val="0"/>
                        <w:w w:val="100"/>
                        <w:position w:val="0"/>
                        <w:sz w:val="15"/>
                        <w:szCs w:val="15"/>
                        <w:lang w:val="zh-CN" w:eastAsia="zh-CN" w:bidi="zh-CN"/>
                      </w:rPr>
                      <w:t>”违</w:t>
                    </w:r>
                    <w:r>
                      <w:rPr>
                        <w:color w:val="000000"/>
                        <w:spacing w:val="0"/>
                        <w:w w:val="100"/>
                        <w:position w:val="0"/>
                        <w:sz w:val="15"/>
                        <w:szCs w:val="15"/>
                      </w:rPr>
                      <w:t>约的裁判标准</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D721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5203825</wp:posOffset>
              </wp:positionH>
              <wp:positionV relativeFrom="page">
                <wp:posOffset>505460</wp:posOffset>
              </wp:positionV>
              <wp:extent cx="636905" cy="111125"/>
              <wp:effectExtent l="0" t="0" r="0" b="0"/>
              <wp:wrapNone/>
              <wp:docPr id="31" name="Shape 31"/>
              <wp:cNvGraphicFramePr/>
              <a:graphic xmlns:a="http://schemas.openxmlformats.org/drawingml/2006/main">
                <a:graphicData uri="http://schemas.microsoft.com/office/word/2010/wordprocessingShape">
                  <wps:wsp>
                    <wps:cNvSpPr txBox="1"/>
                    <wps:spPr>
                      <a:xfrm>
                        <a:off x="0" y="0"/>
                        <a:ext cx="636905" cy="111125"/>
                      </a:xfrm>
                      <a:prstGeom prst="rect">
                        <a:avLst/>
                      </a:prstGeom>
                      <a:noFill/>
                    </wps:spPr>
                    <wps:txbx>
                      <w:txbxContent>
                        <w:p w14:paraId="39AF510B">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31" o:spid="_x0000_s1026" o:spt="202" type="#_x0000_t202" style="position:absolute;left:0pt;margin-left:409.75pt;margin-top:39.8pt;height:8.75pt;width:50.15pt;mso-position-horizontal-relative:page;mso-position-vertical-relative:page;mso-wrap-style:none;z-index:-251657216;mso-width-relative:page;mso-height-relative:page;" filled="f" stroked="f" coordsize="21600,21600" o:gfxdata="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6WQGdUAAAAJ&#10;AQAADwAAAAAAAAABACAAAAAiAAAAZHJzL2Rvd25yZXYueG1sUEsBAhQAFAAAAAgAh07iQJDgHpGt&#10;AQAAcQMAAA4AAAAAAAAAAQAgAAAAJAEAAGRycy9lMm9Eb2MueG1sUEsFBgAAAAAGAAYAWQEAAEMF&#10;AAAAAA==&#10;">
              <v:fill on="f" focussize="0,0"/>
              <v:stroke on="f"/>
              <v:imagedata o:title=""/>
              <o:lock v:ext="edit" aspectratio="f"/>
              <v:textbox inset="0mm,0mm,0mm,0mm" style="mso-fit-shape-to-text:t;">
                <w:txbxContent>
                  <w:p w14:paraId="39AF510B">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目 录丨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C81F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87" name="Shape 38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908370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8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qhvzb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t/n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qo&#10;b82wAQAAcwMAAA4AAAAAAAAAAQAgAAAAJAEAAGRycy9lMm9Eb2MueG1sUEsFBgAAAAAGAAYAWQEA&#10;AEYFAAAAAA==&#10;">
              <v:fill on="f" focussize="0,0"/>
              <v:stroke on="f"/>
              <v:imagedata o:title=""/>
              <o:lock v:ext="edit" aspectratio="f"/>
              <v:textbox inset="0mm,0mm,0mm,0mm" style="mso-fit-shape-to-text:t;">
                <w:txbxContent>
                  <w:p w14:paraId="5908370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7B5955">
    <w:pPr>
      <w:widowControl w:val="0"/>
      <w:spacing w:line="1" w:lineRule="exact"/>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113A50">
    <w:pPr>
      <w:widowControl w:val="0"/>
      <w:spacing w:line="1" w:lineRule="exact"/>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BDE97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3768090</wp:posOffset>
              </wp:positionH>
              <wp:positionV relativeFrom="page">
                <wp:posOffset>473710</wp:posOffset>
              </wp:positionV>
              <wp:extent cx="2174875" cy="109855"/>
              <wp:effectExtent l="0" t="0" r="0" b="0"/>
              <wp:wrapNone/>
              <wp:docPr id="395" name="Shape 395"/>
              <wp:cNvGraphicFramePr/>
              <a:graphic xmlns:a="http://schemas.openxmlformats.org/drawingml/2006/main">
                <a:graphicData uri="http://schemas.microsoft.com/office/word/2010/wordprocessingShape">
                  <wps:wsp>
                    <wps:cNvSpPr txBox="1"/>
                    <wps:spPr>
                      <a:xfrm>
                        <a:off x="0" y="0"/>
                        <a:ext cx="2174875" cy="109855"/>
                      </a:xfrm>
                      <a:prstGeom prst="rect">
                        <a:avLst/>
                      </a:prstGeom>
                      <a:noFill/>
                    </wps:spPr>
                    <wps:txbx>
                      <w:txbxContent>
                        <w:p w14:paraId="00E8FA8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定期履行租金债权诉讼时效期间的起算规则</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395" o:spid="_x0000_s1026" o:spt="202" type="#_x0000_t202" style="position:absolute;left:0pt;margin-left:296.7pt;margin-top:37.3pt;height:8.65pt;width:171.25pt;mso-position-horizontal-relative:page;mso-position-vertical-relative:page;mso-wrap-style:none;z-index:-251657216;mso-width-relative:page;mso-height-relative:page;" filled="f" stroked="f" coordsize="21600,21600" o:gfxdata="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45BcN&#10;1gAAAAkBAAAPAAAAAAAAAAEAIAAAACIAAABkcnMvZG93bnJldi54bWxQSwECFAAUAAAACACHTuJA&#10;6ZP54LEBAAB0AwAADgAAAAAAAAABACAAAAAlAQAAZHJzL2Uyb0RvYy54bWxQSwUGAAAAAAYABgBZ&#10;AQAASAUAAAAA&#10;">
              <v:fill on="f" focussize="0,0"/>
              <v:stroke on="f"/>
              <v:imagedata o:title=""/>
              <o:lock v:ext="edit" aspectratio="f"/>
              <v:textbox inset="0mm,0mm,0mm,0mm" style="mso-fit-shape-to-text:t;">
                <w:txbxContent>
                  <w:p w14:paraId="00E8FA8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定期履行租金债权诉讼时效期间的起算规则</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05F7C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397" name="Shape 39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9DAE54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39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rE&#10;mFuwAQAAcwMAAA4AAAAAAAAAAQAgAAAAJAEAAGRycy9lMm9Eb2MueG1sUEsFBgAAAAAGAAYAWQEA&#10;AEYFAAAAAA==&#10;">
              <v:fill on="f" focussize="0,0"/>
              <v:stroke on="f"/>
              <v:imagedata o:title=""/>
              <o:lock v:ext="edit" aspectratio="f"/>
              <v:textbox inset="0mm,0mm,0mm,0mm" style="mso-fit-shape-to-text:t;">
                <w:txbxContent>
                  <w:p w14:paraId="49DAE54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268A8">
    <w:pPr>
      <w:widowControl w:val="0"/>
      <w:spacing w:line="1" w:lineRule="exact"/>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DEB71">
    <w:pPr>
      <w:widowControl w:val="0"/>
      <w:spacing w:line="1" w:lineRule="exact"/>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64731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4521200</wp:posOffset>
              </wp:positionH>
              <wp:positionV relativeFrom="page">
                <wp:posOffset>477520</wp:posOffset>
              </wp:positionV>
              <wp:extent cx="1367155" cy="109855"/>
              <wp:effectExtent l="0" t="0" r="0" b="0"/>
              <wp:wrapNone/>
              <wp:docPr id="405" name="Shape 405"/>
              <wp:cNvGraphicFramePr/>
              <a:graphic xmlns:a="http://schemas.openxmlformats.org/drawingml/2006/main">
                <a:graphicData uri="http://schemas.microsoft.com/office/word/2010/wordprocessingShape">
                  <wps:wsp>
                    <wps:cNvSpPr txBox="1"/>
                    <wps:spPr>
                      <a:xfrm>
                        <a:off x="0" y="0"/>
                        <a:ext cx="1367155" cy="109855"/>
                      </a:xfrm>
                      <a:prstGeom prst="rect">
                        <a:avLst/>
                      </a:prstGeom>
                      <a:noFill/>
                    </wps:spPr>
                    <wps:txbx>
                      <w:txbxContent>
                        <w:p w14:paraId="4AA20FE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物权法定原则的缓释机制</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05" o:spid="_x0000_s1026" o:spt="202" type="#_x0000_t202" style="position:absolute;left:0pt;margin-left:356pt;margin-top:37.6pt;height:8.65pt;width:107.65pt;mso-position-horizontal-relative:page;mso-position-vertical-relative:page;mso-wrap-style:none;z-index:-251657216;mso-width-relative:page;mso-height-relative:page;" filled="f" stroked="f" coordsize="21600,21600" o:gfxdata="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OksU1QAA&#10;AAkBAAAPAAAAAAAAAAEAIAAAACIAAABkcnMvZG93bnJldi54bWxQSwECFAAUAAAACACHTuJAEFhE&#10;ra8BAAB0AwAADgAAAAAAAAABACAAAAAkAQAAZHJzL2Uyb0RvYy54bWxQSwUGAAAAAAYABgBZAQAA&#10;RQUAAAAA&#10;">
              <v:fill on="f" focussize="0,0"/>
              <v:stroke on="f"/>
              <v:imagedata o:title=""/>
              <o:lock v:ext="edit" aspectratio="f"/>
              <v:textbox inset="0mm,0mm,0mm,0mm" style="mso-fit-shape-to-text:t;">
                <w:txbxContent>
                  <w:p w14:paraId="4AA20FE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物权法定原则的缓释机制</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ECE6D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07" name="Shape 40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9B3A66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0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ahzaa8BAABzAwAADgAAAGRycy9lMm9Eb2MueG1srVPBjtMw&#10;EL0j8Q+W7zRp2S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V3/gzAtHKy9zWU6QPUPAhrqeAvWl&#10;8TOMdGmueaRkVj3q6PKT9DCqk7mXm7lqTExScnN/t3q/5kxSaVl/3KzXGaV6/jhETF8UOJaDlkfa&#10;XbFUnL9hmlqvLXmWh0djbc5nhhOTHKXxMM60D9BdiPVA6225p9vMmf3qyb18E65BvAaHOcjgGD6d&#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Fahz&#10;aa8BAABzAwAADgAAAAAAAAABACAAAAAkAQAAZHJzL2Uyb0RvYy54bWxQSwUGAAAAAAYABgBZAQAA&#10;RQUAAAAA&#10;">
              <v:fill on="f" focussize="0,0"/>
              <v:stroke on="f"/>
              <v:imagedata o:title=""/>
              <o:lock v:ext="edit" aspectratio="f"/>
              <v:textbox inset="0mm,0mm,0mm,0mm" style="mso-fit-shape-to-text:t;">
                <w:txbxContent>
                  <w:p w14:paraId="39B3A66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3A6CA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4537710</wp:posOffset>
              </wp:positionH>
              <wp:positionV relativeFrom="page">
                <wp:posOffset>480695</wp:posOffset>
              </wp:positionV>
              <wp:extent cx="1365250" cy="111760"/>
              <wp:effectExtent l="0" t="0" r="0" b="0"/>
              <wp:wrapNone/>
              <wp:docPr id="409" name="Shape 409"/>
              <wp:cNvGraphicFramePr/>
              <a:graphic xmlns:a="http://schemas.openxmlformats.org/drawingml/2006/main">
                <a:graphicData uri="http://schemas.microsoft.com/office/word/2010/wordprocessingShape">
                  <wps:wsp>
                    <wps:cNvSpPr txBox="1"/>
                    <wps:spPr>
                      <a:xfrm>
                        <a:off x="0" y="0"/>
                        <a:ext cx="1365250" cy="111760"/>
                      </a:xfrm>
                      <a:prstGeom prst="rect">
                        <a:avLst/>
                      </a:prstGeom>
                      <a:noFill/>
                    </wps:spPr>
                    <wps:txbx>
                      <w:txbxContent>
                        <w:p w14:paraId="7E2E1E17">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物权法定原则的缓释机制丨</w:t>
                          </w:r>
                          <w:r>
                            <w:rPr>
                              <w:rFonts w:ascii="Times New Roman" w:hAnsi="Times New Roman" w:eastAsia="Times New Roman" w:cs="Times New Roman"/>
                              <w:color w:val="000000"/>
                              <w:spacing w:val="0"/>
                              <w:w w:val="100"/>
                              <w:position w:val="0"/>
                              <w:sz w:val="17"/>
                              <w:szCs w:val="17"/>
                            </w:rPr>
                            <w:t>135</w:t>
                          </w:r>
                        </w:p>
                      </w:txbxContent>
                    </wps:txbx>
                    <wps:bodyPr wrap="none" lIns="0" tIns="0" rIns="0" bIns="0">
                      <a:spAutoFit/>
                    </wps:bodyPr>
                  </wps:wsp>
                </a:graphicData>
              </a:graphic>
            </wp:anchor>
          </w:drawing>
        </mc:Choice>
        <mc:Fallback>
          <w:pict>
            <v:shape id="Shape 409" o:spid="_x0000_s1026" o:spt="202" type="#_x0000_t202" style="position:absolute;left:0pt;margin-left:357.3pt;margin-top:37.85pt;height:8.8pt;width:107.5pt;mso-position-horizontal-relative:page;mso-position-vertical-relative:page;mso-wrap-style:none;z-index:-251657216;mso-width-relative:page;mso-height-relative:page;" filled="f" stroked="f" coordsize="21600,21600" o:gfxdata="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MfGjF1QAA&#10;AAkBAAAPAAAAAAAAAAEAIAAAACIAAABkcnMvZG93bnJldi54bWxQSwECFAAUAAAACACHTuJAnCyn&#10;V68BAAB0AwAADgAAAAAAAAABACAAAAAkAQAAZHJzL2Uyb0RvYy54bWxQSwUGAAAAAAYABgBZAQAA&#10;RQUAAAAA&#10;">
              <v:fill on="f" focussize="0,0"/>
              <v:stroke on="f"/>
              <v:imagedata o:title=""/>
              <o:lock v:ext="edit" aspectratio="f"/>
              <v:textbox inset="0mm,0mm,0mm,0mm" style="mso-fit-shape-to-text:t;">
                <w:txbxContent>
                  <w:p w14:paraId="7E2E1E17">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物权法定原则的缓释机制丨</w:t>
                    </w:r>
                    <w:r>
                      <w:rPr>
                        <w:rFonts w:ascii="Times New Roman" w:hAnsi="Times New Roman" w:eastAsia="Times New Roman" w:cs="Times New Roman"/>
                        <w:color w:val="000000"/>
                        <w:spacing w:val="0"/>
                        <w:w w:val="100"/>
                        <w:position w:val="0"/>
                        <w:sz w:val="17"/>
                        <w:szCs w:val="17"/>
                      </w:rPr>
                      <w:t>135</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9413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605790</wp:posOffset>
              </wp:positionH>
              <wp:positionV relativeFrom="page">
                <wp:posOffset>505460</wp:posOffset>
              </wp:positionV>
              <wp:extent cx="662940" cy="109855"/>
              <wp:effectExtent l="0" t="0" r="0" b="0"/>
              <wp:wrapNone/>
              <wp:docPr id="33" name="Shape 33"/>
              <wp:cNvGraphicFramePr/>
              <a:graphic xmlns:a="http://schemas.openxmlformats.org/drawingml/2006/main">
                <a:graphicData uri="http://schemas.microsoft.com/office/word/2010/wordprocessingShape">
                  <wps:wsp>
                    <wps:cNvSpPr txBox="1"/>
                    <wps:spPr>
                      <a:xfrm>
                        <a:off x="0" y="0"/>
                        <a:ext cx="662940" cy="109855"/>
                      </a:xfrm>
                      <a:prstGeom prst="rect">
                        <a:avLst/>
                      </a:prstGeom>
                      <a:noFill/>
                    </wps:spPr>
                    <wps:txbx>
                      <w:txbxContent>
                        <w:p w14:paraId="089C708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wps:txbx>
                    <wps:bodyPr wrap="none" lIns="0" tIns="0" rIns="0" bIns="0">
                      <a:spAutoFit/>
                    </wps:bodyPr>
                  </wps:wsp>
                </a:graphicData>
              </a:graphic>
            </wp:anchor>
          </w:drawing>
        </mc:Choice>
        <mc:Fallback>
          <w:pict>
            <v:shape id="Shape 33" o:spid="_x0000_s1026" o:spt="202" type="#_x0000_t202" style="position:absolute;left:0pt;margin-left:47.7pt;margin-top:39.8pt;height:8.65pt;width:52.2pt;mso-position-horizontal-relative:page;mso-position-vertical-relative:page;mso-wrap-style:none;z-index:-251657216;mso-width-relative:page;mso-height-relative:page;" filled="f" stroked="f" coordsize="21600,21600" o:gfxdata="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mW0R90wAAAAgB&#10;AAAPAAAAAAAAAAEAIAAAACIAAABkcnMvZG93bnJldi54bWxQSwECFAAUAAAACACHTuJABXpj1q4B&#10;AABxAwAADgAAAAAAAAABACAAAAAiAQAAZHJzL2Uyb0RvYy54bWxQSwUGAAAAAAYABgBZAQAAQgUA&#10;AAAA&#10;">
              <v:fill on="f" focussize="0,0"/>
              <v:stroke on="f"/>
              <v:imagedata o:title=""/>
              <o:lock v:ext="edit" aspectratio="f"/>
              <v:textbox inset="0mm,0mm,0mm,0mm" style="mso-fit-shape-to-text:t;">
                <w:txbxContent>
                  <w:p w14:paraId="089C708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目 录</w:t>
                    </w:r>
                  </w:p>
                </w:txbxContent>
              </v:textbox>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0BD0C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4537710</wp:posOffset>
              </wp:positionH>
              <wp:positionV relativeFrom="page">
                <wp:posOffset>480695</wp:posOffset>
              </wp:positionV>
              <wp:extent cx="1365250" cy="111760"/>
              <wp:effectExtent l="0" t="0" r="0" b="0"/>
              <wp:wrapNone/>
              <wp:docPr id="411" name="Shape 411"/>
              <wp:cNvGraphicFramePr/>
              <a:graphic xmlns:a="http://schemas.openxmlformats.org/drawingml/2006/main">
                <a:graphicData uri="http://schemas.microsoft.com/office/word/2010/wordprocessingShape">
                  <wps:wsp>
                    <wps:cNvSpPr txBox="1"/>
                    <wps:spPr>
                      <a:xfrm>
                        <a:off x="0" y="0"/>
                        <a:ext cx="1365250" cy="111760"/>
                      </a:xfrm>
                      <a:prstGeom prst="rect">
                        <a:avLst/>
                      </a:prstGeom>
                      <a:noFill/>
                    </wps:spPr>
                    <wps:txbx>
                      <w:txbxContent>
                        <w:p w14:paraId="35102994">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物权法定原则的缓释机制丨</w:t>
                          </w:r>
                          <w:r>
                            <w:rPr>
                              <w:rFonts w:ascii="Times New Roman" w:hAnsi="Times New Roman" w:eastAsia="Times New Roman" w:cs="Times New Roman"/>
                              <w:color w:val="000000"/>
                              <w:spacing w:val="0"/>
                              <w:w w:val="100"/>
                              <w:position w:val="0"/>
                              <w:sz w:val="17"/>
                              <w:szCs w:val="17"/>
                            </w:rPr>
                            <w:t>135</w:t>
                          </w:r>
                        </w:p>
                      </w:txbxContent>
                    </wps:txbx>
                    <wps:bodyPr wrap="none" lIns="0" tIns="0" rIns="0" bIns="0">
                      <a:spAutoFit/>
                    </wps:bodyPr>
                  </wps:wsp>
                </a:graphicData>
              </a:graphic>
            </wp:anchor>
          </w:drawing>
        </mc:Choice>
        <mc:Fallback>
          <w:pict>
            <v:shape id="Shape 411" o:spid="_x0000_s1026" o:spt="202" type="#_x0000_t202" style="position:absolute;left:0pt;margin-left:357.3pt;margin-top:37.85pt;height:8.8pt;width:107.5pt;mso-position-horizontal-relative:page;mso-position-vertical-relative:page;mso-wrap-style:none;z-index:-251657216;mso-width-relative:page;mso-height-relative:page;" filled="f" stroked="f" coordsize="21600,21600" o:gfxdata="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MfGjF1QAA&#10;AAkBAAAPAAAAAAAAAAEAIAAAACIAAABkcnMvZG93bnJldi54bWxQSwECFAAUAAAACACHTuJAAv3H&#10;UK8BAAB0AwAADgAAAAAAAAABACAAAAAkAQAAZHJzL2Uyb0RvYy54bWxQSwUGAAAAAAYABgBZAQAA&#10;RQUAAAAA&#10;">
              <v:fill on="f" focussize="0,0"/>
              <v:stroke on="f"/>
              <v:imagedata o:title=""/>
              <o:lock v:ext="edit" aspectratio="f"/>
              <v:textbox inset="0mm,0mm,0mm,0mm" style="mso-fit-shape-to-text:t;">
                <w:txbxContent>
                  <w:p w14:paraId="35102994">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物权法定原则的缓释机制丨</w:t>
                    </w:r>
                    <w:r>
                      <w:rPr>
                        <w:rFonts w:ascii="Times New Roman" w:hAnsi="Times New Roman" w:eastAsia="Times New Roman" w:cs="Times New Roman"/>
                        <w:color w:val="000000"/>
                        <w:spacing w:val="0"/>
                        <w:w w:val="100"/>
                        <w:position w:val="0"/>
                        <w:sz w:val="17"/>
                        <w:szCs w:val="17"/>
                      </w:rPr>
                      <w:t>135</w:t>
                    </w:r>
                  </w:p>
                </w:txbxContent>
              </v:textbox>
            </v:shape>
          </w:pict>
        </mc:Fallback>
      </mc:AlternateConten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6B2D37">
    <w:pPr>
      <w:widowControl w:val="0"/>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F3CB9">
    <w:pPr>
      <w:widowControl w:val="0"/>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9A13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4673600</wp:posOffset>
              </wp:positionH>
              <wp:positionV relativeFrom="page">
                <wp:posOffset>488950</wp:posOffset>
              </wp:positionV>
              <wp:extent cx="1268095" cy="109855"/>
              <wp:effectExtent l="0" t="0" r="0" b="0"/>
              <wp:wrapNone/>
              <wp:docPr id="419" name="Shape 419"/>
              <wp:cNvGraphicFramePr/>
              <a:graphic xmlns:a="http://schemas.openxmlformats.org/drawingml/2006/main">
                <a:graphicData uri="http://schemas.microsoft.com/office/word/2010/wordprocessingShape">
                  <wps:wsp>
                    <wps:cNvSpPr txBox="1"/>
                    <wps:spPr>
                      <a:xfrm>
                        <a:off x="0" y="0"/>
                        <a:ext cx="1268095" cy="109855"/>
                      </a:xfrm>
                      <a:prstGeom prst="rect">
                        <a:avLst/>
                      </a:prstGeom>
                      <a:noFill/>
                    </wps:spPr>
                    <wps:txbx>
                      <w:txbxContent>
                        <w:p w14:paraId="397C123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不动产登记的静态效力丨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19" o:spid="_x0000_s1026" o:spt="202" type="#_x0000_t202" style="position:absolute;left:0pt;margin-left:368pt;margin-top:38.5pt;height:8.65pt;width:99.85pt;mso-position-horizontal-relative:page;mso-position-vertical-relative:page;mso-wrap-style:none;z-index:-251657216;mso-width-relative:page;mso-height-relative:page;" filled="f" stroked="f" coordsize="21600,21600" o:gfxdata="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D/8A71QAA&#10;AAkBAAAPAAAAAAAAAAEAIAAAACIAAABkcnMvZG93bnJldi54bWxQSwECFAAUAAAACACHTuJAGOp+&#10;qa8BAAB0AwAADgAAAAAAAAABACAAAAAkAQAAZHJzL2Uyb0RvYy54bWxQSwUGAAAAAAYABgBZAQAA&#10;RQUAAAAA&#10;">
              <v:fill on="f" focussize="0,0"/>
              <v:stroke on="f"/>
              <v:imagedata o:title=""/>
              <o:lock v:ext="edit" aspectratio="f"/>
              <v:textbox inset="0mm,0mm,0mm,0mm" style="mso-fit-shape-to-text:t;">
                <w:txbxContent>
                  <w:p w14:paraId="397C123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不动产登记的静态效力丨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B1946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21" name="Shape 42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EADB65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2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7nl9LABAABzAwAADgAAAGRycy9lMm9Eb2MueG1srVPBbtsw&#10;DL0P2D8Iui92sqb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mv53WrJmReOVl7mspwge4aADXU9BepL&#10;4xcY6dJc80jJrHrU0eUn6WFUJ3MvN3PVmJik5Ob+bvVxzZmk0rL+tFmvM0r18nGImL4qcCwHLY+0&#10;u2KpOH/HNLVeW/IsD4/G2pzPDCcmOUrjYZxpH6C7EOuB1ttyT7eZM/vNk3v5JlyDeA0Oc5DBMXw+&#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Iu5&#10;5fSwAQAAcwMAAA4AAAAAAAAAAQAgAAAAJAEAAGRycy9lMm9Eb2MueG1sUEsFBgAAAAAGAAYAWQEA&#10;AEYFAAAAAA==&#10;">
              <v:fill on="f" focussize="0,0"/>
              <v:stroke on="f"/>
              <v:imagedata o:title=""/>
              <o:lock v:ext="edit" aspectratio="f"/>
              <v:textbox inset="0mm,0mm,0mm,0mm" style="mso-fit-shape-to-text:t;">
                <w:txbxContent>
                  <w:p w14:paraId="4EADB65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9257D">
    <w:pPr>
      <w:widowControl w:val="0"/>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0964D">
    <w:pPr>
      <w:widowControl w:val="0"/>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968FE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4047490</wp:posOffset>
              </wp:positionH>
              <wp:positionV relativeFrom="page">
                <wp:posOffset>485140</wp:posOffset>
              </wp:positionV>
              <wp:extent cx="1870075" cy="109855"/>
              <wp:effectExtent l="0" t="0" r="0" b="0"/>
              <wp:wrapNone/>
              <wp:docPr id="429" name="Shape 429"/>
              <wp:cNvGraphicFramePr/>
              <a:graphic xmlns:a="http://schemas.openxmlformats.org/drawingml/2006/main">
                <a:graphicData uri="http://schemas.microsoft.com/office/word/2010/wordprocessingShape">
                  <wps:wsp>
                    <wps:cNvSpPr txBox="1"/>
                    <wps:spPr>
                      <a:xfrm>
                        <a:off x="0" y="0"/>
                        <a:ext cx="1870075" cy="109855"/>
                      </a:xfrm>
                      <a:prstGeom prst="rect">
                        <a:avLst/>
                      </a:prstGeom>
                      <a:noFill/>
                    </wps:spPr>
                    <wps:txbx>
                      <w:txbxContent>
                        <w:p w14:paraId="1E65B04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预购商品房抵押预告登记的法律效力</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29" o:spid="_x0000_s1026" o:spt="202" type="#_x0000_t202" style="position:absolute;left:0pt;margin-left:318.7pt;margin-top:38.2pt;height:8.65pt;width:147.25pt;mso-position-horizontal-relative:page;mso-position-vertical-relative:page;mso-wrap-style:none;z-index:-251657216;mso-width-relative:page;mso-height-relative:page;" filled="f" stroked="f" coordsize="21600,21600" o:gfxdata="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YqYPkdUA&#10;AAAJAQAADwAAAAAAAAABACAAAAAiAAAAZHJzL2Rvd25yZXYueG1sUEsBAhQAFAAAAAgAh07iQDqv&#10;PsCwAQAAdAMAAA4AAAAAAAAAAQAgAAAAJAEAAGRycy9lMm9Eb2MueG1sUEsFBgAAAAAGAAYAWQEA&#10;AEYFAAAAAA==&#10;">
              <v:fill on="f" focussize="0,0"/>
              <v:stroke on="f"/>
              <v:imagedata o:title=""/>
              <o:lock v:ext="edit" aspectratio="f"/>
              <v:textbox inset="0mm,0mm,0mm,0mm" style="mso-fit-shape-to-text:t;">
                <w:txbxContent>
                  <w:p w14:paraId="1E65B04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预购商品房抵押预告登记的法律效力</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56D9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31" name="Shape 43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BF0D5A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3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NvV&#10;EmKwAQAAcwMAAA4AAAAAAAAAAQAgAAAAJAEAAGRycy9lMm9Eb2MueG1sUEsFBgAAAAAGAAYAWQEA&#10;AEYFAAAAAA==&#10;">
              <v:fill on="f" focussize="0,0"/>
              <v:stroke on="f"/>
              <v:imagedata o:title=""/>
              <o:lock v:ext="edit" aspectratio="f"/>
              <v:textbox inset="0mm,0mm,0mm,0mm" style="mso-fit-shape-to-text:t;">
                <w:txbxContent>
                  <w:p w14:paraId="2BF0D5A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E08BC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3990975</wp:posOffset>
              </wp:positionH>
              <wp:positionV relativeFrom="page">
                <wp:posOffset>497840</wp:posOffset>
              </wp:positionV>
              <wp:extent cx="1873250" cy="107950"/>
              <wp:effectExtent l="0" t="0" r="0" b="0"/>
              <wp:wrapNone/>
              <wp:docPr id="433" name="Shape 433"/>
              <wp:cNvGraphicFramePr/>
              <a:graphic xmlns:a="http://schemas.openxmlformats.org/drawingml/2006/main">
                <a:graphicData uri="http://schemas.microsoft.com/office/word/2010/wordprocessingShape">
                  <wps:wsp>
                    <wps:cNvSpPr txBox="1"/>
                    <wps:spPr>
                      <a:xfrm>
                        <a:off x="0" y="0"/>
                        <a:ext cx="1873250" cy="107950"/>
                      </a:xfrm>
                      <a:prstGeom prst="rect">
                        <a:avLst/>
                      </a:prstGeom>
                      <a:noFill/>
                    </wps:spPr>
                    <wps:txbx>
                      <w:txbxContent>
                        <w:p w14:paraId="1BBF1199">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预购商品房抵押预告登记的法律效力丨</w:t>
                          </w:r>
                          <w:r>
                            <w:rPr>
                              <w:rFonts w:ascii="Times New Roman" w:hAnsi="Times New Roman" w:eastAsia="Times New Roman" w:cs="Times New Roman"/>
                              <w:color w:val="000000"/>
                              <w:spacing w:val="0"/>
                              <w:w w:val="100"/>
                              <w:position w:val="0"/>
                              <w:sz w:val="17"/>
                              <w:szCs w:val="17"/>
                            </w:rPr>
                            <w:t>145</w:t>
                          </w:r>
                        </w:p>
                      </w:txbxContent>
                    </wps:txbx>
                    <wps:bodyPr wrap="none" lIns="0" tIns="0" rIns="0" bIns="0">
                      <a:spAutoFit/>
                    </wps:bodyPr>
                  </wps:wsp>
                </a:graphicData>
              </a:graphic>
            </wp:anchor>
          </w:drawing>
        </mc:Choice>
        <mc:Fallback>
          <w:pict>
            <v:shape id="Shape 433" o:spid="_x0000_s1026" o:spt="202" type="#_x0000_t202" style="position:absolute;left:0pt;margin-left:314.25pt;margin-top:39.2pt;height:8.5pt;width:147.5pt;mso-position-horizontal-relative:page;mso-position-vertical-relative:page;mso-wrap-style:none;z-index:-251657216;mso-width-relative:page;mso-height-relative:page;" filled="f" stroked="f" coordsize="21600,21600" o:gfxdata="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B17aI1QAA&#10;AAkBAAAPAAAAAAAAAAEAIAAAACIAAABkcnMvZG93bnJldi54bWxQSwECFAAUAAAACACHTuJA6qoT&#10;Ra8BAAB0AwAADgAAAAAAAAABACAAAAAkAQAAZHJzL2Uyb0RvYy54bWxQSwUGAAAAAAYABgBZAQAA&#10;RQUAAAAA&#10;">
              <v:fill on="f" focussize="0,0"/>
              <v:stroke on="f"/>
              <v:imagedata o:title=""/>
              <o:lock v:ext="edit" aspectratio="f"/>
              <v:textbox inset="0mm,0mm,0mm,0mm" style="mso-fit-shape-to-text:t;">
                <w:txbxContent>
                  <w:p w14:paraId="1BBF1199">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预购商品房抵押预告登记的法律效力丨</w:t>
                    </w:r>
                    <w:r>
                      <w:rPr>
                        <w:rFonts w:ascii="Times New Roman" w:hAnsi="Times New Roman" w:eastAsia="Times New Roman" w:cs="Times New Roman"/>
                        <w:color w:val="000000"/>
                        <w:spacing w:val="0"/>
                        <w:w w:val="100"/>
                        <w:position w:val="0"/>
                        <w:sz w:val="17"/>
                        <w:szCs w:val="17"/>
                      </w:rPr>
                      <w:t>145</w:t>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2F1856">
    <w:pPr>
      <w:widowControl w:val="0"/>
      <w:spacing w:line="1" w:lineRule="exact"/>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9C836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3990975</wp:posOffset>
              </wp:positionH>
              <wp:positionV relativeFrom="page">
                <wp:posOffset>497840</wp:posOffset>
              </wp:positionV>
              <wp:extent cx="1873250" cy="107950"/>
              <wp:effectExtent l="0" t="0" r="0" b="0"/>
              <wp:wrapNone/>
              <wp:docPr id="435" name="Shape 435"/>
              <wp:cNvGraphicFramePr/>
              <a:graphic xmlns:a="http://schemas.openxmlformats.org/drawingml/2006/main">
                <a:graphicData uri="http://schemas.microsoft.com/office/word/2010/wordprocessingShape">
                  <wps:wsp>
                    <wps:cNvSpPr txBox="1"/>
                    <wps:spPr>
                      <a:xfrm>
                        <a:off x="0" y="0"/>
                        <a:ext cx="1873250" cy="107950"/>
                      </a:xfrm>
                      <a:prstGeom prst="rect">
                        <a:avLst/>
                      </a:prstGeom>
                      <a:noFill/>
                    </wps:spPr>
                    <wps:txbx>
                      <w:txbxContent>
                        <w:p w14:paraId="57A15623">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预购商品房抵押预告登记的法律效力丨</w:t>
                          </w:r>
                          <w:r>
                            <w:rPr>
                              <w:rFonts w:ascii="Times New Roman" w:hAnsi="Times New Roman" w:eastAsia="Times New Roman" w:cs="Times New Roman"/>
                              <w:color w:val="000000"/>
                              <w:spacing w:val="0"/>
                              <w:w w:val="100"/>
                              <w:position w:val="0"/>
                              <w:sz w:val="17"/>
                              <w:szCs w:val="17"/>
                            </w:rPr>
                            <w:t>145</w:t>
                          </w:r>
                        </w:p>
                      </w:txbxContent>
                    </wps:txbx>
                    <wps:bodyPr wrap="none" lIns="0" tIns="0" rIns="0" bIns="0">
                      <a:spAutoFit/>
                    </wps:bodyPr>
                  </wps:wsp>
                </a:graphicData>
              </a:graphic>
            </wp:anchor>
          </w:drawing>
        </mc:Choice>
        <mc:Fallback>
          <w:pict>
            <v:shape id="Shape 435" o:spid="_x0000_s1026" o:spt="202" type="#_x0000_t202" style="position:absolute;left:0pt;margin-left:314.25pt;margin-top:39.2pt;height:8.5pt;width:147.5pt;mso-position-horizontal-relative:page;mso-position-vertical-relative:page;mso-wrap-style:none;z-index:-251657216;mso-width-relative:page;mso-height-relative:page;" filled="f" stroked="f" coordsize="21600,21600" o:gfxdata="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B17aI1QAA&#10;AAkBAAAPAAAAAAAAAAEAIAAAACIAAABkcnMvZG93bnJldi54bWxQSwECFAAUAAAACACHTuJAiM/C&#10;ha8BAAB0AwAADgAAAAAAAAABACAAAAAkAQAAZHJzL2Uyb0RvYy54bWxQSwUGAAAAAAYABgBZAQAA&#10;RQUAAAAA&#10;">
              <v:fill on="f" focussize="0,0"/>
              <v:stroke on="f"/>
              <v:imagedata o:title=""/>
              <o:lock v:ext="edit" aspectratio="f"/>
              <v:textbox inset="0mm,0mm,0mm,0mm" style="mso-fit-shape-to-text:t;">
                <w:txbxContent>
                  <w:p w14:paraId="57A15623">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预购商品房抵押预告登记的法律效力丨</w:t>
                    </w:r>
                    <w:r>
                      <w:rPr>
                        <w:rFonts w:ascii="Times New Roman" w:hAnsi="Times New Roman" w:eastAsia="Times New Roman" w:cs="Times New Roman"/>
                        <w:color w:val="000000"/>
                        <w:spacing w:val="0"/>
                        <w:w w:val="100"/>
                        <w:position w:val="0"/>
                        <w:sz w:val="17"/>
                        <w:szCs w:val="17"/>
                      </w:rPr>
                      <w:t>145</w:t>
                    </w:r>
                  </w:p>
                </w:txbxContent>
              </v:textbox>
            </v:shape>
          </w:pict>
        </mc:Fallback>
      </mc:AlternateConten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F58C4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3726815</wp:posOffset>
              </wp:positionH>
              <wp:positionV relativeFrom="page">
                <wp:posOffset>507365</wp:posOffset>
              </wp:positionV>
              <wp:extent cx="2191385" cy="109855"/>
              <wp:effectExtent l="0" t="0" r="0" b="0"/>
              <wp:wrapNone/>
              <wp:docPr id="437" name="Shape 437"/>
              <wp:cNvGraphicFramePr/>
              <a:graphic xmlns:a="http://schemas.openxmlformats.org/drawingml/2006/main">
                <a:graphicData uri="http://schemas.microsoft.com/office/word/2010/wordprocessingShape">
                  <wps:wsp>
                    <wps:cNvSpPr txBox="1"/>
                    <wps:spPr>
                      <a:xfrm>
                        <a:off x="0" y="0"/>
                        <a:ext cx="2191385" cy="109855"/>
                      </a:xfrm>
                      <a:prstGeom prst="rect">
                        <a:avLst/>
                      </a:prstGeom>
                      <a:noFill/>
                    </wps:spPr>
                    <wps:txbx>
                      <w:txbxContent>
                        <w:p w14:paraId="0E54CB5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147</w:t>
                          </w:r>
                        </w:p>
                      </w:txbxContent>
                    </wps:txbx>
                    <wps:bodyPr wrap="none" lIns="0" tIns="0" rIns="0" bIns="0">
                      <a:spAutoFit/>
                    </wps:bodyPr>
                  </wps:wsp>
                </a:graphicData>
              </a:graphic>
            </wp:anchor>
          </w:drawing>
        </mc:Choice>
        <mc:Fallback>
          <w:pict>
            <v:shape id="Shape 437" o:spid="_x0000_s1026" o:spt="202" type="#_x0000_t202" style="position:absolute;left:0pt;margin-left:293.45pt;margin-top:39.95pt;height:8.65pt;width:172.55pt;mso-position-horizontal-relative:page;mso-position-vertical-relative:page;mso-wrap-style:none;z-index:-251657216;mso-width-relative:page;mso-height-relative:page;" filled="f" stroked="f" coordsize="21600,21600" o:gfxdata="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Xpv2i&#10;1gAAAAkBAAAPAAAAAAAAAAEAIAAAACIAAABkcnMvZG93bnJldi54bWxQSwECFAAUAAAACACHTuJA&#10;lkZrCbEBAAB0AwAADgAAAAAAAAABACAAAAAlAQAAZHJzL2Uyb0RvYy54bWxQSwUGAAAAAAYABgBZ&#10;AQAASAUAAAAA&#10;">
              <v:fill on="f" focussize="0,0"/>
              <v:stroke on="f"/>
              <v:imagedata o:title=""/>
              <o:lock v:ext="edit" aspectratio="f"/>
              <v:textbox inset="0mm,0mm,0mm,0mm" style="mso-fit-shape-to-text:t;">
                <w:txbxContent>
                  <w:p w14:paraId="0E54CB5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147</w:t>
                    </w:r>
                  </w:p>
                </w:txbxContent>
              </v:textbox>
            </v:shape>
          </w:pict>
        </mc:Fallback>
      </mc:AlternateConten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B4D95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3726815</wp:posOffset>
              </wp:positionH>
              <wp:positionV relativeFrom="page">
                <wp:posOffset>507365</wp:posOffset>
              </wp:positionV>
              <wp:extent cx="2191385" cy="109855"/>
              <wp:effectExtent l="0" t="0" r="0" b="0"/>
              <wp:wrapNone/>
              <wp:docPr id="439" name="Shape 439"/>
              <wp:cNvGraphicFramePr/>
              <a:graphic xmlns:a="http://schemas.openxmlformats.org/drawingml/2006/main">
                <a:graphicData uri="http://schemas.microsoft.com/office/word/2010/wordprocessingShape">
                  <wps:wsp>
                    <wps:cNvSpPr txBox="1"/>
                    <wps:spPr>
                      <a:xfrm>
                        <a:off x="0" y="0"/>
                        <a:ext cx="2191385" cy="109855"/>
                      </a:xfrm>
                      <a:prstGeom prst="rect">
                        <a:avLst/>
                      </a:prstGeom>
                      <a:noFill/>
                    </wps:spPr>
                    <wps:txbx>
                      <w:txbxContent>
                        <w:p w14:paraId="3B86144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147</w:t>
                          </w:r>
                        </w:p>
                      </w:txbxContent>
                    </wps:txbx>
                    <wps:bodyPr wrap="none" lIns="0" tIns="0" rIns="0" bIns="0">
                      <a:spAutoFit/>
                    </wps:bodyPr>
                  </wps:wsp>
                </a:graphicData>
              </a:graphic>
            </wp:anchor>
          </w:drawing>
        </mc:Choice>
        <mc:Fallback>
          <w:pict>
            <v:shape id="Shape 439" o:spid="_x0000_s1026" o:spt="202" type="#_x0000_t202" style="position:absolute;left:0pt;margin-left:293.45pt;margin-top:39.95pt;height:8.65pt;width:172.55pt;mso-position-horizontal-relative:page;mso-position-vertical-relative:page;mso-wrap-style:none;z-index:-251657216;mso-width-relative:page;mso-height-relative:page;" filled="f" stroked="f" coordsize="21600,21600" o:gfxdata="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em/aLW&#10;AAAACQEAAA8AAAAAAAAAAQAgAAAAIgAAAGRycy9kb3ducmV2LnhtbFBLAQIUABQAAAAIAIdO4kDy&#10;VCelsAEAAHQDAAAOAAAAAAAAAAEAIAAAACUBAABkcnMvZTJvRG9jLnhtbFBLBQYAAAAABgAGAFkB&#10;AABHBQAAAAA=&#10;">
              <v:fill on="f" focussize="0,0"/>
              <v:stroke on="f"/>
              <v:imagedata o:title=""/>
              <o:lock v:ext="edit" aspectratio="f"/>
              <v:textbox inset="0mm,0mm,0mm,0mm" style="mso-fit-shape-to-text:t;">
                <w:txbxContent>
                  <w:p w14:paraId="3B86144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147</w:t>
                    </w:r>
                  </w:p>
                </w:txbxContent>
              </v:textbox>
            </v:shape>
          </w:pict>
        </mc:Fallback>
      </mc:AlternateConten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0CBDD">
    <w:pPr>
      <w:widowControl w:val="0"/>
      <w:spacing w:line="1" w:lineRule="exact"/>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F59D7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47" name="Shape 44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1420BF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4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YT&#10;PV+wAQAAcwMAAA4AAAAAAAAAAQAgAAAAJAEAAGRycy9lMm9Eb2MueG1sUEsFBgAAAAAGAAYAWQEA&#10;AEYFAAAAAA==&#10;">
              <v:fill on="f" focussize="0,0"/>
              <v:stroke on="f"/>
              <v:imagedata o:title=""/>
              <o:lock v:ext="edit" aspectratio="f"/>
              <v:textbox inset="0mm,0mm,0mm,0mm" style="mso-fit-shape-to-text:t;">
                <w:txbxContent>
                  <w:p w14:paraId="31420BF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C4EF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49" name="Shape 44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921CB8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4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L03&#10;1q+wAQAAcwMAAA4AAAAAAAAAAQAgAAAAJAEAAGRycy9lMm9Eb2MueG1sUEsFBgAAAAAGAAYAWQEA&#10;AEYFAAAAAA==&#10;">
              <v:fill on="f" focussize="0,0"/>
              <v:stroke on="f"/>
              <v:imagedata o:title=""/>
              <o:lock v:ext="edit" aspectratio="f"/>
              <v:textbox inset="0mm,0mm,0mm,0mm" style="mso-fit-shape-to-text:t;">
                <w:txbxContent>
                  <w:p w14:paraId="3921CB8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447A2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3738880</wp:posOffset>
              </wp:positionH>
              <wp:positionV relativeFrom="page">
                <wp:posOffset>516255</wp:posOffset>
              </wp:positionV>
              <wp:extent cx="2194560" cy="109855"/>
              <wp:effectExtent l="0" t="0" r="0" b="0"/>
              <wp:wrapNone/>
              <wp:docPr id="451" name="Shape 451"/>
              <wp:cNvGraphicFramePr/>
              <a:graphic xmlns:a="http://schemas.openxmlformats.org/drawingml/2006/main">
                <a:graphicData uri="http://schemas.microsoft.com/office/word/2010/wordprocessingShape">
                  <wps:wsp>
                    <wps:cNvSpPr txBox="1"/>
                    <wps:spPr>
                      <a:xfrm>
                        <a:off x="0" y="0"/>
                        <a:ext cx="2194560" cy="109855"/>
                      </a:xfrm>
                      <a:prstGeom prst="rect">
                        <a:avLst/>
                      </a:prstGeom>
                      <a:noFill/>
                    </wps:spPr>
                    <wps:txbx>
                      <w:txbxContent>
                        <w:p w14:paraId="7F9EB5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149</w:t>
                          </w:r>
                        </w:p>
                      </w:txbxContent>
                    </wps:txbx>
                    <wps:bodyPr wrap="none" lIns="0" tIns="0" rIns="0" bIns="0">
                      <a:spAutoFit/>
                    </wps:bodyPr>
                  </wps:wsp>
                </a:graphicData>
              </a:graphic>
            </wp:anchor>
          </w:drawing>
        </mc:Choice>
        <mc:Fallback>
          <w:pict>
            <v:shape id="Shape 451" o:spid="_x0000_s1026" o:spt="202" type="#_x0000_t202" style="position:absolute;left:0pt;margin-left:294.4pt;margin-top:40.65pt;height:8.65pt;width:172.8pt;mso-position-horizontal-relative:page;mso-position-vertical-relative:page;mso-wrap-style:none;z-index:-251657216;mso-width-relative:page;mso-height-relative:page;" filled="f" stroked="f" coordsize="21600,21600" o:gfxdata="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Z4A5tYA&#10;AAAJAQAADwAAAAAAAAABACAAAAAiAAAAZHJzL2Rvd25yZXYueG1sUEsBAhQAFAAAAAgAh07iQO0m&#10;SZyvAQAAdAMAAA4AAAAAAAAAAQAgAAAAJQEAAGRycy9lMm9Eb2MueG1sUEsFBgAAAAAGAAYAWQEA&#10;AEYFAAAAAA==&#10;">
              <v:fill on="f" focussize="0,0"/>
              <v:stroke on="f"/>
              <v:imagedata o:title=""/>
              <o:lock v:ext="edit" aspectratio="f"/>
              <v:textbox inset="0mm,0mm,0mm,0mm" style="mso-fit-shape-to-text:t;">
                <w:txbxContent>
                  <w:p w14:paraId="7F9EB5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149</w:t>
                    </w:r>
                  </w:p>
                </w:txbxContent>
              </v:textbox>
            </v:shape>
          </w:pict>
        </mc:Fallback>
      </mc:AlternateConten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076F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3738880</wp:posOffset>
              </wp:positionH>
              <wp:positionV relativeFrom="page">
                <wp:posOffset>516255</wp:posOffset>
              </wp:positionV>
              <wp:extent cx="2194560" cy="109855"/>
              <wp:effectExtent l="0" t="0" r="0" b="0"/>
              <wp:wrapNone/>
              <wp:docPr id="453" name="Shape 453"/>
              <wp:cNvGraphicFramePr/>
              <a:graphic xmlns:a="http://schemas.openxmlformats.org/drawingml/2006/main">
                <a:graphicData uri="http://schemas.microsoft.com/office/word/2010/wordprocessingShape">
                  <wps:wsp>
                    <wps:cNvSpPr txBox="1"/>
                    <wps:spPr>
                      <a:xfrm>
                        <a:off x="0" y="0"/>
                        <a:ext cx="2194560" cy="109855"/>
                      </a:xfrm>
                      <a:prstGeom prst="rect">
                        <a:avLst/>
                      </a:prstGeom>
                      <a:noFill/>
                    </wps:spPr>
                    <wps:txbx>
                      <w:txbxContent>
                        <w:p w14:paraId="6AC558F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149</w:t>
                          </w:r>
                        </w:p>
                      </w:txbxContent>
                    </wps:txbx>
                    <wps:bodyPr wrap="none" lIns="0" tIns="0" rIns="0" bIns="0">
                      <a:spAutoFit/>
                    </wps:bodyPr>
                  </wps:wsp>
                </a:graphicData>
              </a:graphic>
            </wp:anchor>
          </w:drawing>
        </mc:Choice>
        <mc:Fallback>
          <w:pict>
            <v:shape id="Shape 453" o:spid="_x0000_s1026" o:spt="202" type="#_x0000_t202" style="position:absolute;left:0pt;margin-left:294.4pt;margin-top:40.65pt;height:8.65pt;width:172.8pt;mso-position-horizontal-relative:page;mso-position-vertical-relative:page;mso-wrap-style:none;z-index:-251657216;mso-width-relative:page;mso-height-relative:page;" filled="f" stroked="f" coordsize="21600,21600" o:gfxdata="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GeAObW&#10;AAAACQEAAA8AAAAAAAAAAQAgAAAAIgAAAGRycy9kb3ducmV2LnhtbFBLAQIUABQAAAAIAIdO4kAM&#10;+NZqsAEAAHQDAAAOAAAAAAAAAAEAIAAAACUBAABkcnMvZTJvRG9jLnhtbFBLBQYAAAAABgAGAFkB&#10;AABHBQAAAAA=&#10;">
              <v:fill on="f" focussize="0,0"/>
              <v:stroke on="f"/>
              <v:imagedata o:title=""/>
              <o:lock v:ext="edit" aspectratio="f"/>
              <v:textbox inset="0mm,0mm,0mm,0mm" style="mso-fit-shape-to-text:t;">
                <w:txbxContent>
                  <w:p w14:paraId="6AC558F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特殊动产(船舶)物权的变动方式与效力机制丨</w:t>
                    </w:r>
                    <w:r>
                      <w:rPr>
                        <w:rFonts w:ascii="Times New Roman" w:hAnsi="Times New Roman" w:eastAsia="Times New Roman" w:cs="Times New Roman"/>
                        <w:b/>
                        <w:bCs/>
                        <w:color w:val="000000"/>
                        <w:spacing w:val="0"/>
                        <w:w w:val="100"/>
                        <w:position w:val="0"/>
                        <w:sz w:val="15"/>
                        <w:szCs w:val="15"/>
                      </w:rPr>
                      <w:t>149</w:t>
                    </w:r>
                  </w:p>
                </w:txbxContent>
              </v:textbox>
            </v:shape>
          </w:pict>
        </mc:Fallback>
      </mc:AlternateConten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2DB4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55" name="Shape 45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798D5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5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E8Uy&#10;768BAABzAwAADgAAAAAAAAABACAAAAAkAQAAZHJzL2Uyb0RvYy54bWxQSwUGAAAAAAYABgBZAQAA&#10;RQUAAAAA&#10;">
              <v:fill on="f" focussize="0,0"/>
              <v:stroke on="f"/>
              <v:imagedata o:title=""/>
              <o:lock v:ext="edit" aspectratio="f"/>
              <v:textbox inset="0mm,0mm,0mm,0mm" style="mso-fit-shape-to-text:t;">
                <w:txbxContent>
                  <w:p w14:paraId="5798D5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F7EC2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57" name="Shape 45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76B6F9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5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n/KybABAABzAwAADgAAAGRycy9lMm9Eb2MueG1srVPBjtMw&#10;EL0j8Q+W7zRp2S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p+t/7AmReOVl7mspwge4aADXU9BepL&#10;42cY6dJc80jJrHrU0eUn6WFUJ3MvN3PVmJik5Ob+bvV+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Z/&#10;ysmwAQAAcwMAAA4AAAAAAAAAAQAgAAAAJAEAAGRycy9lMm9Eb2MueG1sUEsFBgAAAAAGAAYAWQEA&#10;AEYFAAAAAA==&#10;">
              <v:fill on="f" focussize="0,0"/>
              <v:stroke on="f"/>
              <v:imagedata o:title=""/>
              <o:lock v:ext="edit" aspectratio="f"/>
              <v:textbox inset="0mm,0mm,0mm,0mm" style="mso-fit-shape-to-text:t;">
                <w:txbxContent>
                  <w:p w14:paraId="776B6F9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158E4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441960</wp:posOffset>
              </wp:positionH>
              <wp:positionV relativeFrom="page">
                <wp:posOffset>530225</wp:posOffset>
              </wp:positionV>
              <wp:extent cx="666115" cy="107950"/>
              <wp:effectExtent l="0" t="0" r="0" b="0"/>
              <wp:wrapNone/>
              <wp:docPr id="3" name="Shape 3"/>
              <wp:cNvGraphicFramePr/>
              <a:graphic xmlns:a="http://schemas.openxmlformats.org/drawingml/2006/main">
                <a:graphicData uri="http://schemas.microsoft.com/office/word/2010/wordprocessingShape">
                  <wps:wsp>
                    <wps:cNvSpPr txBox="1"/>
                    <wps:spPr>
                      <a:xfrm>
                        <a:off x="0" y="0"/>
                        <a:ext cx="666115" cy="107950"/>
                      </a:xfrm>
                      <a:prstGeom prst="rect">
                        <a:avLst/>
                      </a:prstGeom>
                      <a:noFill/>
                    </wps:spPr>
                    <wps:txbx>
                      <w:txbxContent>
                        <w:p w14:paraId="2255637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wps:txbx>
                    <wps:bodyPr wrap="none" lIns="0" tIns="0" rIns="0" bIns="0">
                      <a:spAutoFit/>
                    </wps:bodyPr>
                  </wps:wsp>
                </a:graphicData>
              </a:graphic>
            </wp:anchor>
          </w:drawing>
        </mc:Choice>
        <mc:Fallback>
          <w:pict>
            <v:shape id="Shape 3" o:spid="_x0000_s1026" o:spt="202" type="#_x0000_t202" style="position:absolute;left:0pt;margin-left:34.8pt;margin-top:41.75pt;height:8.5pt;width:52.45pt;mso-position-horizontal-relative:page;mso-position-vertical-relative:page;mso-wrap-style:none;z-index:-251657216;mso-width-relative:page;mso-height-relative:page;" filled="f" stroked="f" coordsize="21600,21600" o:gfxdata="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PsdkHVAAAA&#10;CQEAAA8AAAAAAAAAAQAgAAAAIgAAAGRycy9kb3ducmV2LnhtbFBLAQIUABQAAAAIAIdO4kA+rhPX&#10;rgEAAG8DAAAOAAAAAAAAAAEAIAAAACQBAABkcnMvZTJvRG9jLnhtbFBLBQYAAAAABgAGAFkBAABE&#10;BQAAAAA=&#10;">
              <v:fill on="f" focussize="0,0"/>
              <v:stroke on="f"/>
              <v:imagedata o:title=""/>
              <o:lock v:ext="edit" aspectratio="f"/>
              <v:textbox inset="0mm,0mm,0mm,0mm" style="mso-fit-shape-to-text:t;">
                <w:txbxContent>
                  <w:p w14:paraId="2255637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20CFB5">
    <w:pPr>
      <w:widowControl w:val="0"/>
      <w:spacing w:line="1" w:lineRule="exact"/>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D23B6">
    <w:pPr>
      <w:widowControl w:val="0"/>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917AA6">
    <w:pPr>
      <w:widowControl w:val="0"/>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7ADB8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4058285</wp:posOffset>
              </wp:positionH>
              <wp:positionV relativeFrom="page">
                <wp:posOffset>507365</wp:posOffset>
              </wp:positionV>
              <wp:extent cx="1870075" cy="109855"/>
              <wp:effectExtent l="0" t="0" r="0" b="0"/>
              <wp:wrapNone/>
              <wp:docPr id="465" name="Shape 465"/>
              <wp:cNvGraphicFramePr/>
              <a:graphic xmlns:a="http://schemas.openxmlformats.org/drawingml/2006/main">
                <a:graphicData uri="http://schemas.microsoft.com/office/word/2010/wordprocessingShape">
                  <wps:wsp>
                    <wps:cNvSpPr txBox="1"/>
                    <wps:spPr>
                      <a:xfrm>
                        <a:off x="0" y="0"/>
                        <a:ext cx="1870075" cy="109855"/>
                      </a:xfrm>
                      <a:prstGeom prst="rect">
                        <a:avLst/>
                      </a:prstGeom>
                      <a:noFill/>
                    </wps:spPr>
                    <wps:txbx>
                      <w:txbxContent>
                        <w:p w14:paraId="1CD1408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基于默示占有改定的动产所有权移转</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65" o:spid="_x0000_s1026" o:spt="202" type="#_x0000_t202" style="position:absolute;left:0pt;margin-left:319.55pt;margin-top:39.95pt;height:8.65pt;width:147.25pt;mso-position-horizontal-relative:page;mso-position-vertical-relative:page;mso-wrap-style:none;z-index:-251657216;mso-width-relative:page;mso-height-relative:page;" filled="f" stroked="f" coordsize="21600,21600" o:gfxdata="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0muCbW&#10;AAAACQEAAA8AAAAAAAAAAQAgAAAAIgAAAGRycy9kb3ducmV2LnhtbFBLAQIUABQAAAAIAIdO4kCe&#10;/2rusAEAAHQDAAAOAAAAAAAAAAEAIAAAACUBAABkcnMvZTJvRG9jLnhtbFBLBQYAAAAABgAGAFkB&#10;AABHBQAAAAA=&#10;">
              <v:fill on="f" focussize="0,0"/>
              <v:stroke on="f"/>
              <v:imagedata o:title=""/>
              <o:lock v:ext="edit" aspectratio="f"/>
              <v:textbox inset="0mm,0mm,0mm,0mm" style="mso-fit-shape-to-text:t;">
                <w:txbxContent>
                  <w:p w14:paraId="1CD1408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基于默示占有改定的动产所有权移转</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D0731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67" name="Shape 46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962C2D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6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fN&#10;oqmwAQAAcwMAAA4AAAAAAAAAAQAgAAAAJAEAAGRycy9lMm9Eb2MueG1sUEsFBgAAAAAGAAYAWQEA&#10;AEYFAAAAAA==&#10;">
              <v:fill on="f" focussize="0,0"/>
              <v:stroke on="f"/>
              <v:imagedata o:title=""/>
              <o:lock v:ext="edit" aspectratio="f"/>
              <v:textbox inset="0mm,0mm,0mm,0mm" style="mso-fit-shape-to-text:t;">
                <w:txbxContent>
                  <w:p w14:paraId="2962C2D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296EEB">
    <w:pPr>
      <w:widowControl w:val="0"/>
      <w:spacing w:line="1" w:lineRule="exact"/>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AB70D">
    <w:pPr>
      <w:widowControl w:val="0"/>
      <w:spacing w:line="1" w:lineRule="exact"/>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A88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3571240</wp:posOffset>
              </wp:positionH>
              <wp:positionV relativeFrom="page">
                <wp:posOffset>468630</wp:posOffset>
              </wp:positionV>
              <wp:extent cx="2366645" cy="109855"/>
              <wp:effectExtent l="0" t="0" r="0" b="0"/>
              <wp:wrapNone/>
              <wp:docPr id="475" name="Shape 475"/>
              <wp:cNvGraphicFramePr/>
              <a:graphic xmlns:a="http://schemas.openxmlformats.org/drawingml/2006/main">
                <a:graphicData uri="http://schemas.microsoft.com/office/word/2010/wordprocessingShape">
                  <wps:wsp>
                    <wps:cNvSpPr txBox="1"/>
                    <wps:spPr>
                      <a:xfrm>
                        <a:off x="0" y="0"/>
                        <a:ext cx="2366645" cy="109855"/>
                      </a:xfrm>
                      <a:prstGeom prst="rect">
                        <a:avLst/>
                      </a:prstGeom>
                      <a:noFill/>
                    </wps:spPr>
                    <wps:txbx>
                      <w:txbxContent>
                        <w:p w14:paraId="4DB897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以物抵债协议及以物抵债裁定对物权变动之影响</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75" o:spid="_x0000_s1026" o:spt="202" type="#_x0000_t202" style="position:absolute;left:0pt;margin-left:281.2pt;margin-top:36.9pt;height:8.65pt;width:186.35pt;mso-position-horizontal-relative:page;mso-position-vertical-relative:page;mso-wrap-style:none;z-index:-251657216;mso-width-relative:page;mso-height-relative:page;" filled="f" stroked="f" coordsize="21600,21600" o:gfxdata="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UPFME&#10;1gAAAAkBAAAPAAAAAAAAAAEAIAAAACIAAABkcnMvZG93bnJldi54bWxQSwECFAAUAAAACACHTuJA&#10;2orx4bEBAAB0AwAADgAAAAAAAAABACAAAAAlAQAAZHJzL2Uyb0RvYy54bWxQSwUGAAAAAAYABgBZ&#10;AQAASAUAAAAA&#10;">
              <v:fill on="f" focussize="0,0"/>
              <v:stroke on="f"/>
              <v:imagedata o:title=""/>
              <o:lock v:ext="edit" aspectratio="f"/>
              <v:textbox inset="0mm,0mm,0mm,0mm" style="mso-fit-shape-to-text:t;">
                <w:txbxContent>
                  <w:p w14:paraId="4DB897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以物抵债协议及以物抵债裁定对物权变动之影响</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02C2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77" name="Shape 47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8BFC0E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7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eh&#10;VT+wAQAAcwMAAA4AAAAAAAAAAQAgAAAAJAEAAGRycy9lMm9Eb2MueG1sUEsFBgAAAAAGAAYAWQEA&#10;AEYFAAAAAA==&#10;">
              <v:fill on="f" focussize="0,0"/>
              <v:stroke on="f"/>
              <v:imagedata o:title=""/>
              <o:lock v:ext="edit" aspectratio="f"/>
              <v:textbox inset="0mm,0mm,0mm,0mm" style="mso-fit-shape-to-text:t;">
                <w:txbxContent>
                  <w:p w14:paraId="78BFC0E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85AE6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3564255</wp:posOffset>
              </wp:positionH>
              <wp:positionV relativeFrom="page">
                <wp:posOffset>471805</wp:posOffset>
              </wp:positionV>
              <wp:extent cx="2369820" cy="111125"/>
              <wp:effectExtent l="0" t="0" r="0" b="0"/>
              <wp:wrapNone/>
              <wp:docPr id="479" name="Shape 479"/>
              <wp:cNvGraphicFramePr/>
              <a:graphic xmlns:a="http://schemas.openxmlformats.org/drawingml/2006/main">
                <a:graphicData uri="http://schemas.microsoft.com/office/word/2010/wordprocessingShape">
                  <wps:wsp>
                    <wps:cNvSpPr txBox="1"/>
                    <wps:spPr>
                      <a:xfrm>
                        <a:off x="0" y="0"/>
                        <a:ext cx="2369820" cy="111125"/>
                      </a:xfrm>
                      <a:prstGeom prst="rect">
                        <a:avLst/>
                      </a:prstGeom>
                      <a:noFill/>
                    </wps:spPr>
                    <wps:txbx>
                      <w:txbxContent>
                        <w:p w14:paraId="7D1FC288">
                          <w:pPr>
                            <w:pStyle w:val="3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以物抵债协议及以物抵债裁定对物权变动之影响</w:t>
                          </w:r>
                          <w:r>
                            <w:rPr>
                              <w:rFonts w:ascii="Times New Roman" w:hAnsi="Times New Roman" w:eastAsia="Times New Roman" w:cs="Times New Roman"/>
                              <w:color w:val="000000"/>
                              <w:spacing w:val="0"/>
                              <w:w w:val="100"/>
                              <w:position w:val="0"/>
                              <w:sz w:val="19"/>
                              <w:szCs w:val="19"/>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fldChar w:fldCharType="end"/>
                          </w:r>
                        </w:p>
                      </w:txbxContent>
                    </wps:txbx>
                    <wps:bodyPr wrap="none" lIns="0" tIns="0" rIns="0" bIns="0">
                      <a:spAutoFit/>
                    </wps:bodyPr>
                  </wps:wsp>
                </a:graphicData>
              </a:graphic>
            </wp:anchor>
          </w:drawing>
        </mc:Choice>
        <mc:Fallback>
          <w:pict>
            <v:shape id="Shape 479" o:spid="_x0000_s1026" o:spt="202" type="#_x0000_t202" style="position:absolute;left:0pt;margin-left:280.65pt;margin-top:37.15pt;height:8.75pt;width:186.6pt;mso-position-horizontal-relative:page;mso-position-vertical-relative:page;mso-wrap-style:none;z-index:-251657216;mso-width-relative:page;mso-height-relative:page;" filled="f" stroked="f" coordsize="21600,21600" o:gfxdata="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UOFc9YA&#10;AAAJAQAADwAAAAAAAAABACAAAAAiAAAAZHJzL2Rvd25yZXYueG1sUEsBAhQAFAAAAAgAh07iQOWF&#10;kJCvAQAAdAMAAA4AAAAAAAAAAQAgAAAAJQEAAGRycy9lMm9Eb2MueG1sUEsFBgAAAAAGAAYAWQEA&#10;AEYFAAAAAA==&#10;">
              <v:fill on="f" focussize="0,0"/>
              <v:stroke on="f"/>
              <v:imagedata o:title=""/>
              <o:lock v:ext="edit" aspectratio="f"/>
              <v:textbox inset="0mm,0mm,0mm,0mm" style="mso-fit-shape-to-text:t;">
                <w:txbxContent>
                  <w:p w14:paraId="7D1FC288">
                    <w:pPr>
                      <w:pStyle w:val="31"/>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8"/>
                        <w:szCs w:val="18"/>
                      </w:rPr>
                      <w:t>以物抵债协议及以物抵债裁定对物权变动之影响</w:t>
                    </w:r>
                    <w:r>
                      <w:rPr>
                        <w:rFonts w:ascii="Times New Roman" w:hAnsi="Times New Roman" w:eastAsia="Times New Roman" w:cs="Times New Roman"/>
                        <w:color w:val="000000"/>
                        <w:spacing w:val="0"/>
                        <w:w w:val="100"/>
                        <w:position w:val="0"/>
                        <w:sz w:val="19"/>
                        <w:szCs w:val="19"/>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9"/>
                        <w:szCs w:val="19"/>
                      </w:rPr>
                      <w:t>#</w:t>
                    </w:r>
                    <w:r>
                      <w:rPr>
                        <w:rFonts w:ascii="Times New Roman" w:hAnsi="Times New Roman" w:eastAsia="Times New Roman" w:cs="Times New Roman"/>
                        <w:color w:val="000000"/>
                        <w:spacing w:val="0"/>
                        <w:w w:val="100"/>
                        <w:position w:val="0"/>
                        <w:sz w:val="19"/>
                        <w:szCs w:val="19"/>
                      </w:rPr>
                      <w:fldChar w:fldCharType="end"/>
                    </w:r>
                  </w:p>
                </w:txbxContent>
              </v:textbox>
            </v:shape>
          </w:pict>
        </mc:Fallback>
      </mc:AlternateConten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6454C5">
    <w:pPr>
      <w:widowControl w:val="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B9E3D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4145915</wp:posOffset>
              </wp:positionH>
              <wp:positionV relativeFrom="page">
                <wp:posOffset>483870</wp:posOffset>
              </wp:positionV>
              <wp:extent cx="1766570" cy="106680"/>
              <wp:effectExtent l="0" t="0" r="0" b="0"/>
              <wp:wrapNone/>
              <wp:docPr id="41" name="Shape 41"/>
              <wp:cNvGraphicFramePr/>
              <a:graphic xmlns:a="http://schemas.openxmlformats.org/drawingml/2006/main">
                <a:graphicData uri="http://schemas.microsoft.com/office/word/2010/wordprocessingShape">
                  <wps:wsp>
                    <wps:cNvSpPr txBox="1"/>
                    <wps:spPr>
                      <a:xfrm>
                        <a:off x="0" y="0"/>
                        <a:ext cx="1766570" cy="106680"/>
                      </a:xfrm>
                      <a:prstGeom prst="rect">
                        <a:avLst/>
                      </a:prstGeom>
                      <a:noFill/>
                    </wps:spPr>
                    <wps:txbx>
                      <w:txbxContent>
                        <w:p w14:paraId="1469670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诚信原则在违法无效合同中的适用</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41" o:spid="_x0000_s1026" o:spt="202" type="#_x0000_t202" style="position:absolute;left:0pt;margin-left:326.45pt;margin-top:38.1pt;height:8.4pt;width:139.1pt;mso-position-horizontal-relative:page;mso-position-vertical-relative:page;mso-wrap-style:none;z-index:-251657216;mso-width-relative:page;mso-height-relative:page;" filled="f" stroked="f" coordsize="21600,21600" o:gfxdata="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DMUkPVAAAA&#10;CQEAAA8AAAAAAAAAAQAgAAAAIgAAAGRycy9kb3ducmV2LnhtbFBLAQIUABQAAAAIAIdO4kA4F6wV&#10;rgEAAHIDAAAOAAAAAAAAAAEAIAAAACQBAABkcnMvZTJvRG9jLnhtbFBLBQYAAAAABgAGAFkBAABE&#10;BQAAAAA=&#10;">
              <v:fill on="f" focussize="0,0"/>
              <v:stroke on="f"/>
              <v:imagedata o:title=""/>
              <o:lock v:ext="edit" aspectratio="f"/>
              <v:textbox inset="0mm,0mm,0mm,0mm" style="mso-fit-shape-to-text:t;">
                <w:txbxContent>
                  <w:p w14:paraId="1469670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诚信原则在违法无效合同中的适用</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329C8">
    <w:pPr>
      <w:widowControl w:val="0"/>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FA1BF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4419600</wp:posOffset>
              </wp:positionH>
              <wp:positionV relativeFrom="page">
                <wp:posOffset>495935</wp:posOffset>
              </wp:positionV>
              <wp:extent cx="1466215" cy="109855"/>
              <wp:effectExtent l="0" t="0" r="0" b="0"/>
              <wp:wrapNone/>
              <wp:docPr id="487" name="Shape 487"/>
              <wp:cNvGraphicFramePr/>
              <a:graphic xmlns:a="http://schemas.openxmlformats.org/drawingml/2006/main">
                <a:graphicData uri="http://schemas.microsoft.com/office/word/2010/wordprocessingShape">
                  <wps:wsp>
                    <wps:cNvSpPr txBox="1"/>
                    <wps:spPr>
                      <a:xfrm>
                        <a:off x="0" y="0"/>
                        <a:ext cx="1466215" cy="109855"/>
                      </a:xfrm>
                      <a:prstGeom prst="rect">
                        <a:avLst/>
                      </a:prstGeom>
                      <a:noFill/>
                    </wps:spPr>
                    <wps:txbx>
                      <w:txbxContent>
                        <w:p w14:paraId="1CBD7E6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合法建造房屋的所有权归属丨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487" o:spid="_x0000_s1026" o:spt="202" type="#_x0000_t202" style="position:absolute;left:0pt;margin-left:348pt;margin-top:39.05pt;height:8.65pt;width:115.45pt;mso-position-horizontal-relative:page;mso-position-vertical-relative:page;mso-wrap-style:none;z-index:-251657216;mso-width-relative:page;mso-height-relative:page;" filled="f" stroked="f" coordsize="21600,21600" o:gfxdata="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C3mO6jW&#10;AAAACQEAAA8AAAAAAAAAAQAgAAAAIgAAAGRycy9kb3ducmV2LnhtbFBLAQIUABQAAAAIAIdO4kD6&#10;NxgnsAEAAHQDAAAOAAAAAAAAAAEAIAAAACUBAABkcnMvZTJvRG9jLnhtbFBLBQYAAAAABgAGAFkB&#10;AABHBQAAAAA=&#10;">
              <v:fill on="f" focussize="0,0"/>
              <v:stroke on="f"/>
              <v:imagedata o:title=""/>
              <o:lock v:ext="edit" aspectratio="f"/>
              <v:textbox inset="0mm,0mm,0mm,0mm" style="mso-fit-shape-to-text:t;">
                <w:txbxContent>
                  <w:p w14:paraId="1CBD7E6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合法建造房屋的所有权归属丨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FD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89" name="Shape 48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501989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8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PsF9bABAABzAwAADgAAAGRycy9lMm9Eb2MueG1srVPBbtsw&#10;DL0P2D8Iui92sqZ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u80DZ144WnmZy3KC7BkCNtT1HKgv&#10;jZ9hpEtzzSMls+pRR5efpIdRncy93MxVY2KSkpv7u9XH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Dj7&#10;BfWwAQAAcwMAAA4AAAAAAAAAAQAgAAAAJAEAAGRycy9lMm9Eb2MueG1sUEsFBgAAAAAGAAYAWQEA&#10;AEYFAAAAAA==&#10;">
              <v:fill on="f" focussize="0,0"/>
              <v:stroke on="f"/>
              <v:imagedata o:title=""/>
              <o:lock v:ext="edit" aspectratio="f"/>
              <v:textbox inset="0mm,0mm,0mm,0mm" style="mso-fit-shape-to-text:t;">
                <w:txbxContent>
                  <w:p w14:paraId="5501989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EC700">
    <w:pPr>
      <w:widowControl w:val="0"/>
      <w:spacing w:line="1" w:lineRule="exact"/>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5D95B">
    <w:pPr>
      <w:widowControl w:val="0"/>
      <w:spacing w:line="1" w:lineRule="exact"/>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17BD3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97" name="Shape 49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E8B04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9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Oz&#10;GZOwAQAAcwMAAA4AAAAAAAAAAQAgAAAAJAEAAGRycy9lMm9Eb2MueG1sUEsFBgAAAAAGAAYAWQEA&#10;AEYFAAAAAA==&#10;">
              <v:fill on="f" focussize="0,0"/>
              <v:stroke on="f"/>
              <v:imagedata o:title=""/>
              <o:lock v:ext="edit" aspectratio="f"/>
              <v:textbox inset="0mm,0mm,0mm,0mm" style="mso-fit-shape-to-text:t;">
                <w:txbxContent>
                  <w:p w14:paraId="6E8B04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B960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99" name="Shape 49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D013E4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9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GiX&#10;8mOwAQAAcwMAAA4AAAAAAAAAAQAgAAAAJAEAAGRycy9lMm9Eb2MueG1sUEsFBgAAAAAGAAYAWQEA&#10;AEYFAAAAAA==&#10;">
              <v:fill on="f" focussize="0,0"/>
              <v:stroke on="f"/>
              <v:imagedata o:title=""/>
              <o:lock v:ext="edit" aspectratio="f"/>
              <v:textbox inset="0mm,0mm,0mm,0mm" style="mso-fit-shape-to-text:t;">
                <w:txbxContent>
                  <w:p w14:paraId="4D013E4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69CF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4757420</wp:posOffset>
              </wp:positionH>
              <wp:positionV relativeFrom="page">
                <wp:posOffset>509905</wp:posOffset>
              </wp:positionV>
              <wp:extent cx="1164590" cy="113030"/>
              <wp:effectExtent l="0" t="0" r="0" b="0"/>
              <wp:wrapNone/>
              <wp:docPr id="501" name="Shape 501"/>
              <wp:cNvGraphicFramePr/>
              <a:graphic xmlns:a="http://schemas.openxmlformats.org/drawingml/2006/main">
                <a:graphicData uri="http://schemas.microsoft.com/office/word/2010/wordprocessingShape">
                  <wps:wsp>
                    <wps:cNvSpPr txBox="1"/>
                    <wps:spPr>
                      <a:xfrm>
                        <a:off x="0" y="0"/>
                        <a:ext cx="1164590" cy="113030"/>
                      </a:xfrm>
                      <a:prstGeom prst="rect">
                        <a:avLst/>
                      </a:prstGeom>
                      <a:noFill/>
                    </wps:spPr>
                    <wps:txbx>
                      <w:txbxContent>
                        <w:p w14:paraId="0FD3139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01" o:spid="_x0000_s1026" o:spt="202" type="#_x0000_t202" style="position:absolute;left:0pt;margin-left:374.6pt;margin-top:40.15pt;height:8.9pt;width:91.7pt;mso-position-horizontal-relative:page;mso-position-vertical-relative:page;mso-wrap-style:none;z-index:-251657216;mso-width-relative:page;mso-height-relative:page;" filled="f" stroked="f" coordsize="21600,21600" o:gfxdata="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QmXN9YA&#10;AAAJAQAADwAAAAAAAAABACAAAAAiAAAAZHJzL2Rvd25yZXYueG1sUEsBAhQAFAAAAAgAh07iQJE6&#10;5CuvAQAAdAMAAA4AAAAAAAAAAQAgAAAAJQEAAGRycy9lMm9Eb2MueG1sUEsFBgAAAAAGAAYAWQEA&#10;AEYFAAAAAA==&#10;">
              <v:fill on="f" focussize="0,0"/>
              <v:stroke on="f"/>
              <v:imagedata o:title=""/>
              <o:lock v:ext="edit" aspectratio="f"/>
              <v:textbox inset="0mm,0mm,0mm,0mm" style="mso-fit-shape-to-text:t;">
                <w:txbxContent>
                  <w:p w14:paraId="0FD3139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9C8B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4784090</wp:posOffset>
              </wp:positionH>
              <wp:positionV relativeFrom="page">
                <wp:posOffset>511175</wp:posOffset>
              </wp:positionV>
              <wp:extent cx="1165860" cy="111125"/>
              <wp:effectExtent l="0" t="0" r="0" b="0"/>
              <wp:wrapNone/>
              <wp:docPr id="503" name="Shape 503"/>
              <wp:cNvGraphicFramePr/>
              <a:graphic xmlns:a="http://schemas.openxmlformats.org/drawingml/2006/main">
                <a:graphicData uri="http://schemas.microsoft.com/office/word/2010/wordprocessingShape">
                  <wps:wsp>
                    <wps:cNvSpPr txBox="1"/>
                    <wps:spPr>
                      <a:xfrm>
                        <a:off x="0" y="0"/>
                        <a:ext cx="1165860" cy="111125"/>
                      </a:xfrm>
                      <a:prstGeom prst="rect">
                        <a:avLst/>
                      </a:prstGeom>
                      <a:noFill/>
                    </wps:spPr>
                    <wps:txbx>
                      <w:txbxContent>
                        <w:p w14:paraId="7073376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金钱价值返还请求权丨</w:t>
                          </w:r>
                          <w:r>
                            <w:rPr>
                              <w:rFonts w:ascii="Times New Roman" w:hAnsi="Times New Roman" w:eastAsia="Times New Roman" w:cs="Times New Roman"/>
                              <w:b/>
                              <w:bCs/>
                              <w:color w:val="000000"/>
                              <w:spacing w:val="0"/>
                              <w:w w:val="100"/>
                              <w:position w:val="0"/>
                              <w:sz w:val="15"/>
                              <w:szCs w:val="15"/>
                            </w:rPr>
                            <w:t>169</w:t>
                          </w:r>
                        </w:p>
                      </w:txbxContent>
                    </wps:txbx>
                    <wps:bodyPr wrap="none" lIns="0" tIns="0" rIns="0" bIns="0">
                      <a:spAutoFit/>
                    </wps:bodyPr>
                  </wps:wsp>
                </a:graphicData>
              </a:graphic>
            </wp:anchor>
          </w:drawing>
        </mc:Choice>
        <mc:Fallback>
          <w:pict>
            <v:shape id="Shape 503" o:spid="_x0000_s1026" o:spt="202" type="#_x0000_t202" style="position:absolute;left:0pt;margin-left:376.7pt;margin-top:40.25pt;height:8.75pt;width:91.8pt;mso-position-horizontal-relative:page;mso-position-vertical-relative:page;mso-wrap-style:none;z-index:-251657216;mso-width-relative:page;mso-height-relative:page;" filled="f" stroked="f" coordsize="21600,21600" o:gfxdata="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hicMkdUAAAAJ&#10;AQAADwAAAAAAAAABACAAAAAiAAAAZHJzL2Rvd25yZXYueG1sUEsBAhQAFAAAAAgAh07iQIgLdYCt&#10;AQAAdAMAAA4AAAAAAAAAAQAgAAAAJAEAAGRycy9lMm9Eb2MueG1sUEsFBgAAAAAGAAYAWQEAAEMF&#10;AAAAAA==&#10;">
              <v:fill on="f" focussize="0,0"/>
              <v:stroke on="f"/>
              <v:imagedata o:title=""/>
              <o:lock v:ext="edit" aspectratio="f"/>
              <v:textbox inset="0mm,0mm,0mm,0mm" style="mso-fit-shape-to-text:t;">
                <w:txbxContent>
                  <w:p w14:paraId="7073376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金钱价值返还请求权丨</w:t>
                    </w:r>
                    <w:r>
                      <w:rPr>
                        <w:rFonts w:ascii="Times New Roman" w:hAnsi="Times New Roman" w:eastAsia="Times New Roman" w:cs="Times New Roman"/>
                        <w:b/>
                        <w:bCs/>
                        <w:color w:val="000000"/>
                        <w:spacing w:val="0"/>
                        <w:w w:val="100"/>
                        <w:position w:val="0"/>
                        <w:sz w:val="15"/>
                        <w:szCs w:val="15"/>
                      </w:rPr>
                      <w:t>169</w:t>
                    </w:r>
                  </w:p>
                </w:txbxContent>
              </v:textbox>
            </v:shape>
          </w:pict>
        </mc:Fallback>
      </mc:AlternateConten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BACD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4784090</wp:posOffset>
              </wp:positionH>
              <wp:positionV relativeFrom="page">
                <wp:posOffset>511175</wp:posOffset>
              </wp:positionV>
              <wp:extent cx="1165860" cy="111125"/>
              <wp:effectExtent l="0" t="0" r="0" b="0"/>
              <wp:wrapNone/>
              <wp:docPr id="505" name="Shape 505"/>
              <wp:cNvGraphicFramePr/>
              <a:graphic xmlns:a="http://schemas.openxmlformats.org/drawingml/2006/main">
                <a:graphicData uri="http://schemas.microsoft.com/office/word/2010/wordprocessingShape">
                  <wps:wsp>
                    <wps:cNvSpPr txBox="1"/>
                    <wps:spPr>
                      <a:xfrm>
                        <a:off x="0" y="0"/>
                        <a:ext cx="1165860" cy="111125"/>
                      </a:xfrm>
                      <a:prstGeom prst="rect">
                        <a:avLst/>
                      </a:prstGeom>
                      <a:noFill/>
                    </wps:spPr>
                    <wps:txbx>
                      <w:txbxContent>
                        <w:p w14:paraId="5FD854D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金钱价值返还请求权丨</w:t>
                          </w:r>
                          <w:r>
                            <w:rPr>
                              <w:rFonts w:ascii="Times New Roman" w:hAnsi="Times New Roman" w:eastAsia="Times New Roman" w:cs="Times New Roman"/>
                              <w:b/>
                              <w:bCs/>
                              <w:color w:val="000000"/>
                              <w:spacing w:val="0"/>
                              <w:w w:val="100"/>
                              <w:position w:val="0"/>
                              <w:sz w:val="15"/>
                              <w:szCs w:val="15"/>
                            </w:rPr>
                            <w:t>169</w:t>
                          </w:r>
                        </w:p>
                      </w:txbxContent>
                    </wps:txbx>
                    <wps:bodyPr wrap="none" lIns="0" tIns="0" rIns="0" bIns="0">
                      <a:spAutoFit/>
                    </wps:bodyPr>
                  </wps:wsp>
                </a:graphicData>
              </a:graphic>
            </wp:anchor>
          </w:drawing>
        </mc:Choice>
        <mc:Fallback>
          <w:pict>
            <v:shape id="Shape 505" o:spid="_x0000_s1026" o:spt="202" type="#_x0000_t202" style="position:absolute;left:0pt;margin-left:376.7pt;margin-top:40.25pt;height:8.75pt;width:91.8pt;mso-position-horizontal-relative:page;mso-position-vertical-relative:page;mso-wrap-style:none;z-index:-251657216;mso-width-relative:page;mso-height-relative:page;" filled="f" stroked="f" coordsize="21600,21600" o:gfxdata="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YnDJHVAAAA&#10;CQEAAA8AAAAAAAAAAQAgAAAAIgAAAGRycy9kb3ducmV2LnhtbFBLAQIUABQAAAAIAIdO4kDqbqRA&#10;rgEAAHQDAAAOAAAAAAAAAAEAIAAAACQBAABkcnMvZTJvRG9jLnhtbFBLBQYAAAAABgAGAFkBAABE&#10;BQAAAAA=&#10;">
              <v:fill on="f" focussize="0,0"/>
              <v:stroke on="f"/>
              <v:imagedata o:title=""/>
              <o:lock v:ext="edit" aspectratio="f"/>
              <v:textbox inset="0mm,0mm,0mm,0mm" style="mso-fit-shape-to-text:t;">
                <w:txbxContent>
                  <w:p w14:paraId="5FD854D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金钱价值返还请求权丨</w:t>
                    </w:r>
                    <w:r>
                      <w:rPr>
                        <w:rFonts w:ascii="Times New Roman" w:hAnsi="Times New Roman" w:eastAsia="Times New Roman" w:cs="Times New Roman"/>
                        <w:b/>
                        <w:bCs/>
                        <w:color w:val="000000"/>
                        <w:spacing w:val="0"/>
                        <w:w w:val="100"/>
                        <w:position w:val="0"/>
                        <w:sz w:val="15"/>
                        <w:szCs w:val="15"/>
                      </w:rPr>
                      <w:t>169</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0C452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43" name="Shape 4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67F59D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4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kTU5&#10;sa8BAABxAwAADgAAAAAAAAABACAAAAAkAQAAZHJzL2Uyb0RvYy54bWxQSwUGAAAAAAYABgBZAQAA&#10;RQUAAAAA&#10;">
              <v:fill on="f" focussize="0,0"/>
              <v:stroke on="f"/>
              <v:imagedata o:title=""/>
              <o:lock v:ext="edit" aspectratio="f"/>
              <v:textbox inset="0mm,0mm,0mm,0mm" style="mso-fit-shape-to-text:t;">
                <w:txbxContent>
                  <w:p w14:paraId="567F59D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4EE4C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07" name="Shape 50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4B0C3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0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Q6OAq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1f1x8588LRystclhNkzxCwoa6nQH1p&#10;/AIjXZprHimZVY86uvwkPYzqZO7lZq4aE5OU3Nx9WL1fcyaptKw/bdbrjFI9fxwipq8KHMtByyPt&#10;rlgqzt8xTa3XljzLw4OxNuczw4lJjtJ4GGfaB+guxHqg9bbc023mzH7z5F6+CdcgXoPDHGRwDJ9P&#10;iQaUuRl1gpqH0S4K8/ne5GX//V66nv+V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jQ6O&#10;Aq8BAABzAwAADgAAAAAAAAABACAAAAAkAQAAZHJzL2Uyb0RvYy54bWxQSwUGAAAAAAYABgBZAQAA&#10;RQUAAAAA&#10;">
              <v:fill on="f" focussize="0,0"/>
              <v:stroke on="f"/>
              <v:imagedata o:title=""/>
              <o:lock v:ext="edit" aspectratio="f"/>
              <v:textbox inset="0mm,0mm,0mm,0mm" style="mso-fit-shape-to-text:t;">
                <w:txbxContent>
                  <w:p w14:paraId="64B0C3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B8EE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09" name="Shape 50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2C58AF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0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pipl8q8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NfydX3PmReOVl7mspwge4aADXU9BepL&#10;4xcY6dJc80jJrHrU0eUn6WFUJ3MvN3PVmJik5Obu0+rjmjNJpWV9v1mvM0r1/HGImL4qcCwHLY+0&#10;u2KpOH/HNLVeW/IsD4/G2pzPDCcmOUrjYZxpH6C7EOuB1ttyT7eZM/vNk3v5JlyDeA0Oc5DBMXw+&#10;JRpQ5mbUCWoeRrsozOd7k5f98r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pipl&#10;8q8BAABzAwAADgAAAAAAAAABACAAAAAkAQAAZHJzL2Uyb0RvYy54bWxQSwUGAAAAAAYABgBZAQAA&#10;RQUAAAAA&#10;">
              <v:fill on="f" focussize="0,0"/>
              <v:stroke on="f"/>
              <v:imagedata o:title=""/>
              <o:lock v:ext="edit" aspectratio="f"/>
              <v:textbox inset="0mm,0mm,0mm,0mm" style="mso-fit-shape-to-text:t;">
                <w:txbxContent>
                  <w:p w14:paraId="52C58AF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88EE83">
    <w:pPr>
      <w:widowControl w:val="0"/>
      <w:spacing w:line="1" w:lineRule="exact"/>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1BB572">
    <w:pPr>
      <w:widowControl w:val="0"/>
      <w:spacing w:line="1" w:lineRule="exact"/>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786B1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15" name="Shape 5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ADB163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CNiB&#10;sq8BAABzAwAADgAAAAAAAAABACAAAAAkAQAAZHJzL2Uyb0RvYy54bWxQSwUGAAAAAAYABgBZAQAA&#10;RQUAAAAA&#10;">
              <v:fill on="f" focussize="0,0"/>
              <v:stroke on="f"/>
              <v:imagedata o:title=""/>
              <o:lock v:ext="edit" aspectratio="f"/>
              <v:textbox inset="0mm,0mm,0mm,0mm" style="mso-fit-shape-to-text:t;">
                <w:txbxContent>
                  <w:p w14:paraId="3ADB163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F2B1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17" name="Shape 51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2FFD3A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1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3WJ5lK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1fLz9y5oWjlZe5LCfIniFgQ11PgfrS&#10;+AVGujTXPFIyqx51dPlJehjVydzLzVw1JiYpubn7sHq/5kxSaVl/2qzXGaV6/jhETF8VOJaDlkfa&#10;XbFUnL9jmlqvLXmWhwdjbc5nhhOTHKXxMM60D9BdiPVA6225p9vMmf3myb18E65BvAaHOcjgGD6f&#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3WJ5&#10;lK8BAABzAwAADgAAAAAAAAABACAAAAAkAQAAZHJzL2Uyb0RvYy54bWxQSwUGAAAAAAYABgBZAQAA&#10;RQUAAAAA&#10;">
              <v:fill on="f" focussize="0,0"/>
              <v:stroke on="f"/>
              <v:imagedata o:title=""/>
              <o:lock v:ext="edit" aspectratio="f"/>
              <v:textbox inset="0mm,0mm,0mm,0mm" style="mso-fit-shape-to-text:t;">
                <w:txbxContent>
                  <w:p w14:paraId="72FFD3A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DCAC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4830445</wp:posOffset>
              </wp:positionH>
              <wp:positionV relativeFrom="page">
                <wp:posOffset>510540</wp:posOffset>
              </wp:positionV>
              <wp:extent cx="1063625" cy="113030"/>
              <wp:effectExtent l="0" t="0" r="0" b="0"/>
              <wp:wrapNone/>
              <wp:docPr id="519" name="Shape 519"/>
              <wp:cNvGraphicFramePr/>
              <a:graphic xmlns:a="http://schemas.openxmlformats.org/drawingml/2006/main">
                <a:graphicData uri="http://schemas.microsoft.com/office/word/2010/wordprocessingShape">
                  <wps:wsp>
                    <wps:cNvSpPr txBox="1"/>
                    <wps:spPr>
                      <a:xfrm>
                        <a:off x="0" y="0"/>
                        <a:ext cx="1063625" cy="113030"/>
                      </a:xfrm>
                      <a:prstGeom prst="rect">
                        <a:avLst/>
                      </a:prstGeom>
                      <a:noFill/>
                    </wps:spPr>
                    <wps:txbx>
                      <w:txbxContent>
                        <w:p w14:paraId="3AC289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乌木的所有权归属丨</w:t>
                          </w:r>
                          <w:r>
                            <w:rPr>
                              <w:rFonts w:ascii="Times New Roman" w:hAnsi="Times New Roman" w:eastAsia="Times New Roman" w:cs="Times New Roman"/>
                              <w:b/>
                              <w:bCs/>
                              <w:color w:val="000000"/>
                              <w:spacing w:val="0"/>
                              <w:w w:val="100"/>
                              <w:position w:val="0"/>
                              <w:sz w:val="15"/>
                              <w:szCs w:val="15"/>
                            </w:rPr>
                            <w:t>173</w:t>
                          </w:r>
                        </w:p>
                      </w:txbxContent>
                    </wps:txbx>
                    <wps:bodyPr wrap="none" lIns="0" tIns="0" rIns="0" bIns="0">
                      <a:spAutoFit/>
                    </wps:bodyPr>
                  </wps:wsp>
                </a:graphicData>
              </a:graphic>
            </wp:anchor>
          </w:drawing>
        </mc:Choice>
        <mc:Fallback>
          <w:pict>
            <v:shape id="Shape 519" o:spid="_x0000_s1026" o:spt="202" type="#_x0000_t202" style="position:absolute;left:0pt;margin-left:380.35pt;margin-top:40.2pt;height:8.9pt;width:83.75pt;mso-position-horizontal-relative:page;mso-position-vertical-relative:page;mso-wrap-style:none;z-index:-251657216;mso-width-relative:page;mso-height-relative:page;" filled="f" stroked="f" coordsize="21600,21600" o:gfxdata="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5m5gG1AAA&#10;AAkBAAAPAAAAAAAAAAEAIAAAACIAAABkcnMvZG93bnJldi54bWxQSwECFAAUAAAACACHTuJAJyx8&#10;3LABAAB0AwAADgAAAAAAAAABACAAAAAjAQAAZHJzL2Uyb0RvYy54bWxQSwUGAAAAAAYABgBZAQAA&#10;RQUAAAAA&#10;">
              <v:fill on="f" focussize="0,0"/>
              <v:stroke on="f"/>
              <v:imagedata o:title=""/>
              <o:lock v:ext="edit" aspectratio="f"/>
              <v:textbox inset="0mm,0mm,0mm,0mm" style="mso-fit-shape-to-text:t;">
                <w:txbxContent>
                  <w:p w14:paraId="3AC289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乌木的所有权归属丨</w:t>
                    </w:r>
                    <w:r>
                      <w:rPr>
                        <w:rFonts w:ascii="Times New Roman" w:hAnsi="Times New Roman" w:eastAsia="Times New Roman" w:cs="Times New Roman"/>
                        <w:b/>
                        <w:bCs/>
                        <w:color w:val="000000"/>
                        <w:spacing w:val="0"/>
                        <w:w w:val="100"/>
                        <w:position w:val="0"/>
                        <w:sz w:val="15"/>
                        <w:szCs w:val="15"/>
                      </w:rPr>
                      <w:t>173</w:t>
                    </w:r>
                  </w:p>
                </w:txbxContent>
              </v:textbox>
            </v:shape>
          </w:pict>
        </mc:Fallback>
      </mc:AlternateConten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CC78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4830445</wp:posOffset>
              </wp:positionH>
              <wp:positionV relativeFrom="page">
                <wp:posOffset>510540</wp:posOffset>
              </wp:positionV>
              <wp:extent cx="1063625" cy="113030"/>
              <wp:effectExtent l="0" t="0" r="0" b="0"/>
              <wp:wrapNone/>
              <wp:docPr id="521" name="Shape 521"/>
              <wp:cNvGraphicFramePr/>
              <a:graphic xmlns:a="http://schemas.openxmlformats.org/drawingml/2006/main">
                <a:graphicData uri="http://schemas.microsoft.com/office/word/2010/wordprocessingShape">
                  <wps:wsp>
                    <wps:cNvSpPr txBox="1"/>
                    <wps:spPr>
                      <a:xfrm>
                        <a:off x="0" y="0"/>
                        <a:ext cx="1063625" cy="113030"/>
                      </a:xfrm>
                      <a:prstGeom prst="rect">
                        <a:avLst/>
                      </a:prstGeom>
                      <a:noFill/>
                    </wps:spPr>
                    <wps:txbx>
                      <w:txbxContent>
                        <w:p w14:paraId="3EF2AA3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乌木的所有权归属丨</w:t>
                          </w:r>
                          <w:r>
                            <w:rPr>
                              <w:rFonts w:ascii="Times New Roman" w:hAnsi="Times New Roman" w:eastAsia="Times New Roman" w:cs="Times New Roman"/>
                              <w:b/>
                              <w:bCs/>
                              <w:color w:val="000000"/>
                              <w:spacing w:val="0"/>
                              <w:w w:val="100"/>
                              <w:position w:val="0"/>
                              <w:sz w:val="15"/>
                              <w:szCs w:val="15"/>
                            </w:rPr>
                            <w:t>173</w:t>
                          </w:r>
                        </w:p>
                      </w:txbxContent>
                    </wps:txbx>
                    <wps:bodyPr wrap="none" lIns="0" tIns="0" rIns="0" bIns="0">
                      <a:spAutoFit/>
                    </wps:bodyPr>
                  </wps:wsp>
                </a:graphicData>
              </a:graphic>
            </wp:anchor>
          </w:drawing>
        </mc:Choice>
        <mc:Fallback>
          <w:pict>
            <v:shape id="Shape 521" o:spid="_x0000_s1026" o:spt="202" type="#_x0000_t202" style="position:absolute;left:0pt;margin-left:380.35pt;margin-top:40.2pt;height:8.9pt;width:83.75pt;mso-position-horizontal-relative:page;mso-position-vertical-relative:page;mso-wrap-style:none;z-index:-251657216;mso-width-relative:page;mso-height-relative:page;" filled="f" stroked="f" coordsize="21600,21600" o:gfxdata="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mbmAbUAAAA&#10;CQEAAA8AAAAAAAAAAQAgAAAAIgAAAGRycy9kb3ducmV2LnhtbFBLAQIUABQAAAAIAIdO4kCJsOcM&#10;rwEAAHQDAAAOAAAAAAAAAAEAIAAAACMBAABkcnMvZTJvRG9jLnhtbFBLBQYAAAAABgAGAFkBAABE&#10;BQAAAAA=&#10;">
              <v:fill on="f" focussize="0,0"/>
              <v:stroke on="f"/>
              <v:imagedata o:title=""/>
              <o:lock v:ext="edit" aspectratio="f"/>
              <v:textbox inset="0mm,0mm,0mm,0mm" style="mso-fit-shape-to-text:t;">
                <w:txbxContent>
                  <w:p w14:paraId="3EF2AA3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乌木的所有权归属丨</w:t>
                    </w:r>
                    <w:r>
                      <w:rPr>
                        <w:rFonts w:ascii="Times New Roman" w:hAnsi="Times New Roman" w:eastAsia="Times New Roman" w:cs="Times New Roman"/>
                        <w:b/>
                        <w:bCs/>
                        <w:color w:val="000000"/>
                        <w:spacing w:val="0"/>
                        <w:w w:val="100"/>
                        <w:position w:val="0"/>
                        <w:sz w:val="15"/>
                        <w:szCs w:val="15"/>
                      </w:rPr>
                      <w:t>173</w:t>
                    </w:r>
                  </w:p>
                </w:txbxContent>
              </v:textbox>
            </v:shape>
          </w:pict>
        </mc:Fallback>
      </mc:AlternateConten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EE28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4834255</wp:posOffset>
              </wp:positionH>
              <wp:positionV relativeFrom="page">
                <wp:posOffset>513715</wp:posOffset>
              </wp:positionV>
              <wp:extent cx="1063625" cy="109855"/>
              <wp:effectExtent l="0" t="0" r="0" b="0"/>
              <wp:wrapNone/>
              <wp:docPr id="523" name="Shape 523"/>
              <wp:cNvGraphicFramePr/>
              <a:graphic xmlns:a="http://schemas.openxmlformats.org/drawingml/2006/main">
                <a:graphicData uri="http://schemas.microsoft.com/office/word/2010/wordprocessingShape">
                  <wps:wsp>
                    <wps:cNvSpPr txBox="1"/>
                    <wps:spPr>
                      <a:xfrm>
                        <a:off x="0" y="0"/>
                        <a:ext cx="1063625" cy="109855"/>
                      </a:xfrm>
                      <a:prstGeom prst="rect">
                        <a:avLst/>
                      </a:prstGeom>
                      <a:noFill/>
                    </wps:spPr>
                    <wps:txbx>
                      <w:txbxContent>
                        <w:p w14:paraId="5411D3E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15"/>
                              <w:szCs w:val="15"/>
                            </w:rPr>
                            <w:t>#</w:t>
                          </w:r>
                          <w:r>
                            <w:rPr>
                              <w:rFonts w:ascii="Times New Roman" w:hAnsi="Times New Roman" w:eastAsia="Times New Roman" w:cs="Times New Roman"/>
                              <w:i/>
                              <w:i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23" o:spid="_x0000_s1026" o:spt="202" type="#_x0000_t202" style="position:absolute;left:0pt;margin-left:380.65pt;margin-top:40.45pt;height:8.65pt;width:83.75pt;mso-position-horizontal-relative:page;mso-position-vertical-relative:page;mso-wrap-style:none;z-index:-251657216;mso-width-relative:page;mso-height-relative:page;" filled="f" stroked="f" coordsize="21600,21600" o:gfxdata="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Zj7TP1QAA&#10;AAkBAAAPAAAAAAAAAAEAIAAAACIAAABkcnMvZG93bnJldi54bWxQSwECFAAUAAAACACHTuJAEHpc&#10;c68BAAB0AwAADgAAAAAAAAABACAAAAAkAQAAZHJzL2Uyb0RvYy54bWxQSwUGAAAAAAYABgBZAQAA&#10;RQUAAAAA&#10;">
              <v:fill on="f" focussize="0,0"/>
              <v:stroke on="f"/>
              <v:imagedata o:title=""/>
              <o:lock v:ext="edit" aspectratio="f"/>
              <v:textbox inset="0mm,0mm,0mm,0mm" style="mso-fit-shape-to-text:t;">
                <w:txbxContent>
                  <w:p w14:paraId="5411D3E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15"/>
                        <w:szCs w:val="15"/>
                      </w:rPr>
                      <w:t>#</w:t>
                    </w:r>
                    <w:r>
                      <w:rPr>
                        <w:rFonts w:ascii="Times New Roman" w:hAnsi="Times New Roman" w:eastAsia="Times New Roman" w:cs="Times New Roman"/>
                        <w:i/>
                        <w:iCs/>
                        <w:color w:val="000000"/>
                        <w:spacing w:val="0"/>
                        <w:w w:val="100"/>
                        <w:position w:val="0"/>
                        <w:sz w:val="15"/>
                        <w:szCs w:val="15"/>
                      </w:rPr>
                      <w:fldChar w:fldCharType="end"/>
                    </w:r>
                  </w:p>
                </w:txbxContent>
              </v:textbox>
            </v:shape>
          </w:pict>
        </mc:Fallback>
      </mc:AlternateConten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5FB89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4834255</wp:posOffset>
              </wp:positionH>
              <wp:positionV relativeFrom="page">
                <wp:posOffset>513715</wp:posOffset>
              </wp:positionV>
              <wp:extent cx="1063625" cy="109855"/>
              <wp:effectExtent l="0" t="0" r="0" b="0"/>
              <wp:wrapNone/>
              <wp:docPr id="525" name="Shape 525"/>
              <wp:cNvGraphicFramePr/>
              <a:graphic xmlns:a="http://schemas.openxmlformats.org/drawingml/2006/main">
                <a:graphicData uri="http://schemas.microsoft.com/office/word/2010/wordprocessingShape">
                  <wps:wsp>
                    <wps:cNvSpPr txBox="1"/>
                    <wps:spPr>
                      <a:xfrm>
                        <a:off x="0" y="0"/>
                        <a:ext cx="1063625" cy="109855"/>
                      </a:xfrm>
                      <a:prstGeom prst="rect">
                        <a:avLst/>
                      </a:prstGeom>
                      <a:noFill/>
                    </wps:spPr>
                    <wps:txbx>
                      <w:txbxContent>
                        <w:p w14:paraId="643639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15"/>
                              <w:szCs w:val="15"/>
                            </w:rPr>
                            <w:t>#</w:t>
                          </w:r>
                          <w:r>
                            <w:rPr>
                              <w:rFonts w:ascii="Times New Roman" w:hAnsi="Times New Roman" w:eastAsia="Times New Roman" w:cs="Times New Roman"/>
                              <w:i/>
                              <w:i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25" o:spid="_x0000_s1026" o:spt="202" type="#_x0000_t202" style="position:absolute;left:0pt;margin-left:380.65pt;margin-top:40.45pt;height:8.65pt;width:83.75pt;mso-position-horizontal-relative:page;mso-position-vertical-relative:page;mso-wrap-style:none;z-index:-251657216;mso-width-relative:page;mso-height-relative:page;" filled="f" stroked="f" coordsize="21600,21600" o:gfxdata="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mPtM/VAAAA&#10;CQEAAA8AAAAAAAAAAQAgAAAAIgAAAGRycy9kb3ducmV2LnhtbFBLAQIUABQAAAAIAIdO4kByH42z&#10;rgEAAHQDAAAOAAAAAAAAAAEAIAAAACQBAABkcnMvZTJvRG9jLnhtbFBLBQYAAAAABgAGAFkBAABE&#10;BQAAAAA=&#10;">
              <v:fill on="f" focussize="0,0"/>
              <v:stroke on="f"/>
              <v:imagedata o:title=""/>
              <o:lock v:ext="edit" aspectratio="f"/>
              <v:textbox inset="0mm,0mm,0mm,0mm" style="mso-fit-shape-to-text:t;">
                <w:txbxContent>
                  <w:p w14:paraId="643639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乌木的所有权归属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15"/>
                        <w:szCs w:val="15"/>
                      </w:rPr>
                      <w:t>#</w:t>
                    </w:r>
                    <w:r>
                      <w:rPr>
                        <w:rFonts w:ascii="Times New Roman" w:hAnsi="Times New Roman" w:eastAsia="Times New Roman" w:cs="Times New Roman"/>
                        <w:i/>
                        <w:iCs/>
                        <w:color w:val="000000"/>
                        <w:spacing w:val="0"/>
                        <w:w w:val="100"/>
                        <w:position w:val="0"/>
                        <w:sz w:val="15"/>
                        <w:szCs w:val="15"/>
                      </w:rPr>
                      <w:fldChar w:fldCharType="end"/>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389CA">
    <w:pPr>
      <w:widowControl w:val="0"/>
      <w:spacing w:line="1" w:lineRule="exact"/>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810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27" name="Shape 52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BED41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2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bNAR9K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1frz5y5oWjlZe5LCfIniFgQ11PgfrS&#10;+AVGujTXPFIyqx51dPlJehjVydzLzVw1JiYpubn7sHq/5kxSaVl/2qzXGaV6/jhETF8VOJaDlkfa&#10;XbFUnL9jmlqvLXmWhwdjbc5nhhOTHKXxMM60D9BdiPVA6225p9vMmf3myb18E65BvAaHOcjgGD6f&#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bNAR&#10;9K8BAABzAwAADgAAAAAAAAABACAAAAAkAQAAZHJzL2Uyb0RvYy54bWxQSwUGAAAAAAYABgBZAQAA&#10;RQUAAAAA&#10;">
              <v:fill on="f" focussize="0,0"/>
              <v:stroke on="f"/>
              <v:imagedata o:title=""/>
              <o:lock v:ext="edit" aspectratio="f"/>
              <v:textbox inset="0mm,0mm,0mm,0mm" style="mso-fit-shape-to-text:t;">
                <w:txbxContent>
                  <w:p w14:paraId="3BED41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F78E4E">
    <w:pPr>
      <w:widowControl w:val="0"/>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5DE3A">
    <w:pPr>
      <w:widowControl w:val="0"/>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99ABD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37" name="Shape 53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6BCAAB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3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PLzmYr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q+vvv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Dy8&#10;5mKwAQAAcwMAAA4AAAAAAAAAAQAgAAAAJAEAAGRycy9lMm9Eb2MueG1sUEsFBgAAAAAGAAYAWQEA&#10;AEYFAAAAAA==&#10;">
              <v:fill on="f" focussize="0,0"/>
              <v:stroke on="f"/>
              <v:imagedata o:title=""/>
              <o:lock v:ext="edit" aspectratio="f"/>
              <v:textbox inset="0mm,0mm,0mm,0mm" style="mso-fit-shape-to-text:t;">
                <w:txbxContent>
                  <w:p w14:paraId="76BCAAB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F831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39" name="Shape 53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288E2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3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5gNkrABAABzAwAADgAAAGRycy9lMm9Eb2MueG1srVPBbtsw&#10;DL0P2D8Iui920qV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9d0DZ144WnmZy3KC7BkCNtT1HKgv&#10;jZ9hpEtzzSMls+pRR5efpIdRncy93MxVY2KSkpv7j6u7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eY&#10;DZKwAQAAcwMAAA4AAAAAAAAAAQAgAAAAJAEAAGRycy9lMm9Eb2MueG1sUEsFBgAAAAAGAAYAWQEA&#10;AEYFAAAAAA==&#10;">
              <v:fill on="f" focussize="0,0"/>
              <v:stroke on="f"/>
              <v:imagedata o:title=""/>
              <o:lock v:ext="edit" aspectratio="f"/>
              <v:textbox inset="0mm,0mm,0mm,0mm" style="mso-fit-shape-to-text:t;">
                <w:txbxContent>
                  <w:p w14:paraId="3288E2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0EDE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4283710</wp:posOffset>
              </wp:positionH>
              <wp:positionV relativeFrom="page">
                <wp:posOffset>509270</wp:posOffset>
              </wp:positionV>
              <wp:extent cx="1665605" cy="111125"/>
              <wp:effectExtent l="0" t="0" r="0" b="0"/>
              <wp:wrapNone/>
              <wp:docPr id="541" name="Shape 541"/>
              <wp:cNvGraphicFramePr/>
              <a:graphic xmlns:a="http://schemas.openxmlformats.org/drawingml/2006/main">
                <a:graphicData uri="http://schemas.microsoft.com/office/word/2010/wordprocessingShape">
                  <wps:wsp>
                    <wps:cNvSpPr txBox="1"/>
                    <wps:spPr>
                      <a:xfrm>
                        <a:off x="0" y="0"/>
                        <a:ext cx="1665605" cy="111125"/>
                      </a:xfrm>
                      <a:prstGeom prst="rect">
                        <a:avLst/>
                      </a:prstGeom>
                      <a:noFill/>
                    </wps:spPr>
                    <wps:txbx>
                      <w:txbxContent>
                        <w:p w14:paraId="28AF350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41" o:spid="_x0000_s1026" o:spt="202" type="#_x0000_t202" style="position:absolute;left:0pt;margin-left:337.3pt;margin-top:40.1pt;height:8.75pt;width:131.15pt;mso-position-horizontal-relative:page;mso-position-vertical-relative:page;mso-wrap-style:none;z-index:-251657216;mso-width-relative:page;mso-height-relative:page;" filled="f" stroked="f" coordsize="21600,21600" o:gfxdata="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yVhxI1gAA&#10;AAkBAAAPAAAAAAAAAAEAIAAAACIAAABkcnMvZG93bnJldi54bWxQSwECFAAUAAAACACHTuJAnAiz&#10;D64BAAB0AwAADgAAAAAAAAABACAAAAAlAQAAZHJzL2Uyb0RvYy54bWxQSwUGAAAAAAYABgBZAQAA&#10;RQUAAAAA&#10;">
              <v:fill on="f" focussize="0,0"/>
              <v:stroke on="f"/>
              <v:imagedata o:title=""/>
              <o:lock v:ext="edit" aspectratio="f"/>
              <v:textbox inset="0mm,0mm,0mm,0mm" style="mso-fit-shape-to-text:t;">
                <w:txbxContent>
                  <w:p w14:paraId="28AF350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AA80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4280535</wp:posOffset>
              </wp:positionH>
              <wp:positionV relativeFrom="page">
                <wp:posOffset>509270</wp:posOffset>
              </wp:positionV>
              <wp:extent cx="1668780" cy="111125"/>
              <wp:effectExtent l="0" t="0" r="0" b="0"/>
              <wp:wrapNone/>
              <wp:docPr id="543" name="Shape 543"/>
              <wp:cNvGraphicFramePr/>
              <a:graphic xmlns:a="http://schemas.openxmlformats.org/drawingml/2006/main">
                <a:graphicData uri="http://schemas.microsoft.com/office/word/2010/wordprocessingShape">
                  <wps:wsp>
                    <wps:cNvSpPr txBox="1"/>
                    <wps:spPr>
                      <a:xfrm>
                        <a:off x="0" y="0"/>
                        <a:ext cx="1668780" cy="111125"/>
                      </a:xfrm>
                      <a:prstGeom prst="rect">
                        <a:avLst/>
                      </a:prstGeom>
                      <a:noFill/>
                    </wps:spPr>
                    <wps:txbx>
                      <w:txbxContent>
                        <w:p w14:paraId="5BA4439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网络虚拟财产的返还财产请求权丨</w:t>
                          </w:r>
                          <w:r>
                            <w:rPr>
                              <w:rFonts w:ascii="Times New Roman" w:hAnsi="Times New Roman" w:eastAsia="Times New Roman" w:cs="Times New Roman"/>
                              <w:b/>
                              <w:bCs/>
                              <w:color w:val="000000"/>
                              <w:spacing w:val="0"/>
                              <w:w w:val="100"/>
                              <w:position w:val="0"/>
                              <w:sz w:val="15"/>
                              <w:szCs w:val="15"/>
                            </w:rPr>
                            <w:t>179</w:t>
                          </w:r>
                        </w:p>
                      </w:txbxContent>
                    </wps:txbx>
                    <wps:bodyPr wrap="none" lIns="0" tIns="0" rIns="0" bIns="0">
                      <a:spAutoFit/>
                    </wps:bodyPr>
                  </wps:wsp>
                </a:graphicData>
              </a:graphic>
            </wp:anchor>
          </w:drawing>
        </mc:Choice>
        <mc:Fallback>
          <w:pict>
            <v:shape id="Shape 543" o:spid="_x0000_s1026" o:spt="202" type="#_x0000_t202" style="position:absolute;left:0pt;margin-left:337.05pt;margin-top:40.1pt;height:8.75pt;width:131.4pt;mso-position-horizontal-relative:page;mso-position-vertical-relative:page;mso-wrap-style:none;z-index:-251657216;mso-width-relative:page;mso-height-relative:page;" filled="f" stroked="f" coordsize="21600,21600" o:gfxdata="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c/8Se1gAA&#10;AAkBAAAPAAAAAAAAAAEAIAAAACIAAABkcnMvZG93bnJldi54bWxQSwECFAAUAAAACACHTuJAP40N&#10;m64BAAB0AwAADgAAAAAAAAABACAAAAAlAQAAZHJzL2Uyb0RvYy54bWxQSwUGAAAAAAYABgBZAQAA&#10;RQUAAAAA&#10;">
              <v:fill on="f" focussize="0,0"/>
              <v:stroke on="f"/>
              <v:imagedata o:title=""/>
              <o:lock v:ext="edit" aspectratio="f"/>
              <v:textbox inset="0mm,0mm,0mm,0mm" style="mso-fit-shape-to-text:t;">
                <w:txbxContent>
                  <w:p w14:paraId="5BA4439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网络虚拟财产的返还财产请求权丨</w:t>
                    </w:r>
                    <w:r>
                      <w:rPr>
                        <w:rFonts w:ascii="Times New Roman" w:hAnsi="Times New Roman" w:eastAsia="Times New Roman" w:cs="Times New Roman"/>
                        <w:b/>
                        <w:bCs/>
                        <w:color w:val="000000"/>
                        <w:spacing w:val="0"/>
                        <w:w w:val="100"/>
                        <w:position w:val="0"/>
                        <w:sz w:val="15"/>
                        <w:szCs w:val="15"/>
                      </w:rPr>
                      <w:t>179</w:t>
                    </w:r>
                  </w:p>
                </w:txbxContent>
              </v:textbox>
            </v:shape>
          </w:pict>
        </mc:Fallback>
      </mc:AlternateConten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1035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4280535</wp:posOffset>
              </wp:positionH>
              <wp:positionV relativeFrom="page">
                <wp:posOffset>509270</wp:posOffset>
              </wp:positionV>
              <wp:extent cx="1668780" cy="111125"/>
              <wp:effectExtent l="0" t="0" r="0" b="0"/>
              <wp:wrapNone/>
              <wp:docPr id="545" name="Shape 545"/>
              <wp:cNvGraphicFramePr/>
              <a:graphic xmlns:a="http://schemas.openxmlformats.org/drawingml/2006/main">
                <a:graphicData uri="http://schemas.microsoft.com/office/word/2010/wordprocessingShape">
                  <wps:wsp>
                    <wps:cNvSpPr txBox="1"/>
                    <wps:spPr>
                      <a:xfrm>
                        <a:off x="0" y="0"/>
                        <a:ext cx="1668780" cy="111125"/>
                      </a:xfrm>
                      <a:prstGeom prst="rect">
                        <a:avLst/>
                      </a:prstGeom>
                      <a:noFill/>
                    </wps:spPr>
                    <wps:txbx>
                      <w:txbxContent>
                        <w:p w14:paraId="2096078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网络虚拟财产的返还财产请求权丨</w:t>
                          </w:r>
                          <w:r>
                            <w:rPr>
                              <w:rFonts w:ascii="Times New Roman" w:hAnsi="Times New Roman" w:eastAsia="Times New Roman" w:cs="Times New Roman"/>
                              <w:b/>
                              <w:bCs/>
                              <w:color w:val="000000"/>
                              <w:spacing w:val="0"/>
                              <w:w w:val="100"/>
                              <w:position w:val="0"/>
                              <w:sz w:val="15"/>
                              <w:szCs w:val="15"/>
                            </w:rPr>
                            <w:t>179</w:t>
                          </w:r>
                        </w:p>
                      </w:txbxContent>
                    </wps:txbx>
                    <wps:bodyPr wrap="none" lIns="0" tIns="0" rIns="0" bIns="0">
                      <a:spAutoFit/>
                    </wps:bodyPr>
                  </wps:wsp>
                </a:graphicData>
              </a:graphic>
            </wp:anchor>
          </w:drawing>
        </mc:Choice>
        <mc:Fallback>
          <w:pict>
            <v:shape id="Shape 545" o:spid="_x0000_s1026" o:spt="202" type="#_x0000_t202" style="position:absolute;left:0pt;margin-left:337.05pt;margin-top:40.1pt;height:8.75pt;width:131.4pt;mso-position-horizontal-relative:page;mso-position-vertical-relative:page;mso-wrap-style:none;z-index:-251657216;mso-width-relative:page;mso-height-relative:page;" filled="f" stroked="f" coordsize="21600,21600" o:gfxdata="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c/8Se1gAA&#10;AAkBAAAPAAAAAAAAAAEAIAAAACIAAABkcnMvZG93bnJldi54bWxQSwECFAAUAAAACACHTuJAXejc&#10;W64BAAB0AwAADgAAAAAAAAABACAAAAAlAQAAZHJzL2Uyb0RvYy54bWxQSwUGAAAAAAYABgBZAQAA&#10;RQUAAAAA&#10;">
              <v:fill on="f" focussize="0,0"/>
              <v:stroke on="f"/>
              <v:imagedata o:title=""/>
              <o:lock v:ext="edit" aspectratio="f"/>
              <v:textbox inset="0mm,0mm,0mm,0mm" style="mso-fit-shape-to-text:t;">
                <w:txbxContent>
                  <w:p w14:paraId="2096078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网络虚拟财产的返还财产请求权丨</w:t>
                    </w:r>
                    <w:r>
                      <w:rPr>
                        <w:rFonts w:ascii="Times New Roman" w:hAnsi="Times New Roman" w:eastAsia="Times New Roman" w:cs="Times New Roman"/>
                        <w:b/>
                        <w:bCs/>
                        <w:color w:val="000000"/>
                        <w:spacing w:val="0"/>
                        <w:w w:val="100"/>
                        <w:position w:val="0"/>
                        <w:sz w:val="15"/>
                        <w:szCs w:val="15"/>
                      </w:rPr>
                      <w:t>179</w:t>
                    </w:r>
                  </w:p>
                </w:txbxContent>
              </v:textbox>
            </v:shape>
          </w:pict>
        </mc:Fallback>
      </mc:AlternateContent>
    </w: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80BF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47" name="Shape 54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3612CD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4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rXANLABAABzAwAADgAAAGRycy9lMm9Eb2MueG1srVPBjtMw&#10;EL0j8Q+W7zRp2S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q+vvvAmReOVl7mspwge4aADXU9BepL&#10;42cY6dJc80jJrHrU0eUn6WFUJ3MvN3PVmJik5Ob+bvV+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A61&#10;wDSwAQAAcwMAAA4AAAAAAAAAAQAgAAAAJAEAAGRycy9lMm9Eb2MueG1sUEsFBgAAAAAGAAYAWQEA&#10;AEYFAAAAAA==&#10;">
              <v:fill on="f" focussize="0,0"/>
              <v:stroke on="f"/>
              <v:imagedata o:title=""/>
              <o:lock v:ext="edit" aspectratio="f"/>
              <v:textbox inset="0mm,0mm,0mm,0mm" style="mso-fit-shape-to-text:t;">
                <w:txbxContent>
                  <w:p w14:paraId="33612CD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E2E86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49" name="Shape 54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1258F9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4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ZErxLABAABzAwAADgAAAGRycy9lMm9Eb2MueG1srVPBbtsw&#10;DL0P2D8Iui92sqZ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9d0DZ144WnmZy3KC7BkCNtT1HKgv&#10;jZ9hpEtzzSMls+pRR5efpIdRncy93MxVY2KSkpv7u9XH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WR&#10;K8SwAQAAcwMAAA4AAAAAAAAAAQAgAAAAJAEAAGRycy9lMm9Eb2MueG1sUEsFBgAAAAAGAAYAWQEA&#10;AEYFAAAAAA==&#10;">
              <v:fill on="f" focussize="0,0"/>
              <v:stroke on="f"/>
              <v:imagedata o:title=""/>
              <o:lock v:ext="edit" aspectratio="f"/>
              <v:textbox inset="0mm,0mm,0mm,0mm" style="mso-fit-shape-to-text:t;">
                <w:txbxContent>
                  <w:p w14:paraId="61258F9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4A7CF">
    <w:pPr>
      <w:widowControl w:val="0"/>
      <w:spacing w:line="1" w:lineRule="exact"/>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8810D">
    <w:pPr>
      <w:widowControl w:val="0"/>
      <w:spacing w:line="1" w:lineRule="exact"/>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A18125">
    <w:pPr>
      <w:widowControl w:val="0"/>
      <w:spacing w:line="1" w:lineRule="exact"/>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5C33C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3414395</wp:posOffset>
              </wp:positionH>
              <wp:positionV relativeFrom="page">
                <wp:posOffset>522605</wp:posOffset>
              </wp:positionV>
              <wp:extent cx="2465705" cy="109855"/>
              <wp:effectExtent l="0" t="0" r="0" b="0"/>
              <wp:wrapNone/>
              <wp:docPr id="555" name="Shape 555"/>
              <wp:cNvGraphicFramePr/>
              <a:graphic xmlns:a="http://schemas.openxmlformats.org/drawingml/2006/main">
                <a:graphicData uri="http://schemas.microsoft.com/office/word/2010/wordprocessingShape">
                  <wps:wsp>
                    <wps:cNvSpPr txBox="1"/>
                    <wps:spPr>
                      <a:xfrm>
                        <a:off x="0" y="0"/>
                        <a:ext cx="2465705" cy="109855"/>
                      </a:xfrm>
                      <a:prstGeom prst="rect">
                        <a:avLst/>
                      </a:prstGeom>
                      <a:noFill/>
                    </wps:spPr>
                    <wps:txbx>
                      <w:txbxContent>
                        <w:p w14:paraId="4E75574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区分所有建筑物楼顶空间及其架空层的所有权归属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55" o:spid="_x0000_s1026" o:spt="202" type="#_x0000_t202" style="position:absolute;left:0pt;margin-left:268.85pt;margin-top:41.15pt;height:8.65pt;width:194.15pt;mso-position-horizontal-relative:page;mso-position-vertical-relative:page;mso-wrap-style:none;z-index:-251657216;mso-width-relative:page;mso-height-relative:page;" filled="f" stroked="f" coordsize="21600,21600" o:gfxdata="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3UbRjNYA&#10;AAAJAQAADwAAAAAAAAABACAAAAAiAAAAZHJzL2Rvd25yZXYueG1sUEsBAhQAFAAAAAgAh07iQNwC&#10;3iuvAQAAdAMAAA4AAAAAAAAAAQAgAAAAJQEAAGRycy9lMm9Eb2MueG1sUEsFBgAAAAAGAAYAWQEA&#10;AEYFAAAAAA==&#10;">
              <v:fill on="f" focussize="0,0"/>
              <v:stroke on="f"/>
              <v:imagedata o:title=""/>
              <o:lock v:ext="edit" aspectratio="f"/>
              <v:textbox inset="0mm,0mm,0mm,0mm" style="mso-fit-shape-to-text:t;">
                <w:txbxContent>
                  <w:p w14:paraId="4E75574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区分所有建筑物楼顶空间及其架空层的所有权归属</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601AF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57" name="Shape 55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F6768F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5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7Z&#10;N6KwAQAAcwMAAA4AAAAAAAAAAQAgAAAAJAEAAGRycy9lMm9Eb2MueG1sUEsFBgAAAAAGAAYAWQEA&#10;AEYFAAAAAA==&#10;">
              <v:fill on="f" focussize="0,0"/>
              <v:stroke on="f"/>
              <v:imagedata o:title=""/>
              <o:lock v:ext="edit" aspectratio="f"/>
              <v:textbox inset="0mm,0mm,0mm,0mm" style="mso-fit-shape-to-text:t;">
                <w:txbxContent>
                  <w:p w14:paraId="7F6768F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769FD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3420745</wp:posOffset>
              </wp:positionH>
              <wp:positionV relativeFrom="page">
                <wp:posOffset>522605</wp:posOffset>
              </wp:positionV>
              <wp:extent cx="2465705" cy="109855"/>
              <wp:effectExtent l="0" t="0" r="0" b="0"/>
              <wp:wrapNone/>
              <wp:docPr id="559" name="Shape 559"/>
              <wp:cNvGraphicFramePr/>
              <a:graphic xmlns:a="http://schemas.openxmlformats.org/drawingml/2006/main">
                <a:graphicData uri="http://schemas.microsoft.com/office/word/2010/wordprocessingShape">
                  <wps:wsp>
                    <wps:cNvSpPr txBox="1"/>
                    <wps:spPr>
                      <a:xfrm>
                        <a:off x="0" y="0"/>
                        <a:ext cx="2465705" cy="109855"/>
                      </a:xfrm>
                      <a:prstGeom prst="rect">
                        <a:avLst/>
                      </a:prstGeom>
                      <a:noFill/>
                    </wps:spPr>
                    <wps:txbx>
                      <w:txbxContent>
                        <w:p w14:paraId="03EEBCF8">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区分所有建筑物楼顶空间及其架空层的所有权归属</w:t>
                          </w:r>
                          <w:r>
                            <w:rPr>
                              <w:rFonts w:ascii="Times New Roman" w:hAnsi="Times New Roman" w:eastAsia="Times New Roman" w:cs="Times New Roman"/>
                              <w:color w:val="000000"/>
                              <w:spacing w:val="0"/>
                              <w:w w:val="100"/>
                              <w:position w:val="0"/>
                              <w:sz w:val="17"/>
                              <w:szCs w:val="17"/>
                            </w:rPr>
                            <w:t xml:space="preserve">1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559" o:spid="_x0000_s1026" o:spt="202" type="#_x0000_t202" style="position:absolute;left:0pt;margin-left:269.35pt;margin-top:41.15pt;height:8.65pt;width:194.15pt;mso-position-horizontal-relative:page;mso-position-vertical-relative:page;mso-wrap-style:none;z-index:-251657216;mso-width-relative:page;mso-height-relative:page;" filled="f" stroked="f" coordsize="21600,21600" o:gfxdata="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E/gk3W&#10;AAAACQEAAA8AAAAAAAAAAQAgAAAAIgAAAGRycy9kb3ducmV2LnhtbFBLAQIUABQAAAAIAIdO4kBZ&#10;zg1xsAEAAHQDAAAOAAAAAAAAAAEAIAAAACUBAABkcnMvZTJvRG9jLnhtbFBLBQYAAAAABgAGAFkB&#10;AABHBQAAAAA=&#10;">
              <v:fill on="f" focussize="0,0"/>
              <v:stroke on="f"/>
              <v:imagedata o:title=""/>
              <o:lock v:ext="edit" aspectratio="f"/>
              <v:textbox inset="0mm,0mm,0mm,0mm" style="mso-fit-shape-to-text:t;">
                <w:txbxContent>
                  <w:p w14:paraId="03EEBCF8">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区分所有建筑物楼顶空间及其架空层的所有权归属</w:t>
                    </w:r>
                    <w:r>
                      <w:rPr>
                        <w:rFonts w:ascii="Times New Roman" w:hAnsi="Times New Roman" w:eastAsia="Times New Roman" w:cs="Times New Roman"/>
                        <w:color w:val="000000"/>
                        <w:spacing w:val="0"/>
                        <w:w w:val="100"/>
                        <w:position w:val="0"/>
                        <w:sz w:val="17"/>
                        <w:szCs w:val="17"/>
                      </w:rPr>
                      <w:t xml:space="preserve">1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4B7F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3420745</wp:posOffset>
              </wp:positionH>
              <wp:positionV relativeFrom="page">
                <wp:posOffset>522605</wp:posOffset>
              </wp:positionV>
              <wp:extent cx="2465705" cy="109855"/>
              <wp:effectExtent l="0" t="0" r="0" b="0"/>
              <wp:wrapNone/>
              <wp:docPr id="561" name="Shape 561"/>
              <wp:cNvGraphicFramePr/>
              <a:graphic xmlns:a="http://schemas.openxmlformats.org/drawingml/2006/main">
                <a:graphicData uri="http://schemas.microsoft.com/office/word/2010/wordprocessingShape">
                  <wps:wsp>
                    <wps:cNvSpPr txBox="1"/>
                    <wps:spPr>
                      <a:xfrm>
                        <a:off x="0" y="0"/>
                        <a:ext cx="2465705" cy="109855"/>
                      </a:xfrm>
                      <a:prstGeom prst="rect">
                        <a:avLst/>
                      </a:prstGeom>
                      <a:noFill/>
                    </wps:spPr>
                    <wps:txbx>
                      <w:txbxContent>
                        <w:p w14:paraId="1B24949A">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区分所有建筑物楼顶空间及其架空层的所有权归属</w:t>
                          </w:r>
                          <w:r>
                            <w:rPr>
                              <w:rFonts w:ascii="Times New Roman" w:hAnsi="Times New Roman" w:eastAsia="Times New Roman" w:cs="Times New Roman"/>
                              <w:color w:val="000000"/>
                              <w:spacing w:val="0"/>
                              <w:w w:val="100"/>
                              <w:position w:val="0"/>
                              <w:sz w:val="17"/>
                              <w:szCs w:val="17"/>
                            </w:rPr>
                            <w:t xml:space="preserve">1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561" o:spid="_x0000_s1026" o:spt="202" type="#_x0000_t202" style="position:absolute;left:0pt;margin-left:269.35pt;margin-top:41.15pt;height:8.65pt;width:194.15pt;mso-position-horizontal-relative:page;mso-position-vertical-relative:page;mso-wrap-style:none;z-index:-251657216;mso-width-relative:page;mso-height-relative:page;" filled="f" stroked="f" coordsize="21600,21600" o:gfxdata="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E/gk3W&#10;AAAACQEAAA8AAAAAAAAAAQAgAAAAIgAAAGRycy9kb3ducmV2LnhtbFBLAQIUABQAAAAIAIdO4kD3&#10;UpahsAEAAHQDAAAOAAAAAAAAAAEAIAAAACUBAABkcnMvZTJvRG9jLnhtbFBLBQYAAAAABgAGAFkB&#10;AABHBQAAAAA=&#10;">
              <v:fill on="f" focussize="0,0"/>
              <v:stroke on="f"/>
              <v:imagedata o:title=""/>
              <o:lock v:ext="edit" aspectratio="f"/>
              <v:textbox inset="0mm,0mm,0mm,0mm" style="mso-fit-shape-to-text:t;">
                <w:txbxContent>
                  <w:p w14:paraId="1B24949A">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区分所有建筑物楼顶空间及其架空层的所有权归属</w:t>
                    </w:r>
                    <w:r>
                      <w:rPr>
                        <w:rFonts w:ascii="Times New Roman" w:hAnsi="Times New Roman" w:eastAsia="Times New Roman" w:cs="Times New Roman"/>
                        <w:color w:val="000000"/>
                        <w:spacing w:val="0"/>
                        <w:w w:val="100"/>
                        <w:position w:val="0"/>
                        <w:sz w:val="17"/>
                        <w:szCs w:val="17"/>
                      </w:rPr>
                      <w:t xml:space="preserve">1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8E5711">
    <w:pPr>
      <w:widowControl w:val="0"/>
      <w:spacing w:line="1" w:lineRule="exact"/>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EF5CB">
    <w:pPr>
      <w:widowControl w:val="0"/>
      <w:spacing w:line="1" w:lineRule="exact"/>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F0D1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71" name="Shape 57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E48AE3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7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MihP6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1ff1xy5oWjlZe5LCfIniFgQ11PgfrS&#10;+AVGujTXPFIyqx51dPlJehjVydzLzVw1JiYpubn7sHq/5kxSaVl/2qzXGaV6/jhETF8VOJaDlkfa&#10;XbFUnL9jmlqvLXmWhwdjbc5nhhOTHKXxMM60D9BdiPVA6225p9vMmf3myb18E65BvAaHOcjgGD6f&#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wMih&#10;P68BAABzAwAADgAAAAAAAAABACAAAAAkAQAAZHJzL2Uyb0RvYy54bWxQSwUGAAAAAAYABgBZAQAA&#10;RQUAAAAA&#10;">
              <v:fill on="f" focussize="0,0"/>
              <v:stroke on="f"/>
              <v:imagedata o:title=""/>
              <o:lock v:ext="edit" aspectratio="f"/>
              <v:textbox inset="0mm,0mm,0mm,0mm" style="mso-fit-shape-to-text:t;">
                <w:txbxContent>
                  <w:p w14:paraId="2E48AE3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49330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73" name="Shape 5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4A30AC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XJZGb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q+/nD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Vy&#10;WRmwAQAAcwMAAA4AAAAAAAAAAQAgAAAAJAEAAGRycy9lMm9Eb2MueG1sUEsFBgAAAAAGAAYAWQEA&#10;AEYFAAAAAA==&#10;">
              <v:fill on="f" focussize="0,0"/>
              <v:stroke on="f"/>
              <v:imagedata o:title=""/>
              <o:lock v:ext="edit" aspectratio="f"/>
              <v:textbox inset="0mm,0mm,0mm,0mm" style="mso-fit-shape-to-text:t;">
                <w:txbxContent>
                  <w:p w14:paraId="44A30AC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8A20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4208780</wp:posOffset>
              </wp:positionH>
              <wp:positionV relativeFrom="page">
                <wp:posOffset>495935</wp:posOffset>
              </wp:positionV>
              <wp:extent cx="1665605" cy="109855"/>
              <wp:effectExtent l="0" t="0" r="0" b="0"/>
              <wp:wrapNone/>
              <wp:docPr id="51" name="Shape 51"/>
              <wp:cNvGraphicFramePr/>
              <a:graphic xmlns:a="http://schemas.openxmlformats.org/drawingml/2006/main">
                <a:graphicData uri="http://schemas.microsoft.com/office/word/2010/wordprocessingShape">
                  <wps:wsp>
                    <wps:cNvSpPr txBox="1"/>
                    <wps:spPr>
                      <a:xfrm>
                        <a:off x="0" y="0"/>
                        <a:ext cx="1665605" cy="109855"/>
                      </a:xfrm>
                      <a:prstGeom prst="rect">
                        <a:avLst/>
                      </a:prstGeom>
                      <a:noFill/>
                    </wps:spPr>
                    <wps:txbx>
                      <w:txbxContent>
                        <w:p w14:paraId="37224C7A">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公序良俗原则与法律行为的效力丨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51" o:spid="_x0000_s1026" o:spt="202" type="#_x0000_t202" style="position:absolute;left:0pt;margin-left:331.4pt;margin-top:39.05pt;height:8.65pt;width:131.15pt;mso-position-horizontal-relative:page;mso-position-vertical-relative:page;mso-wrap-style:none;z-index:-251657216;mso-width-relative:page;mso-height-relative:page;" filled="f" stroked="f" coordsize="21600,21600" o:gfxdata="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BNP+3VAAAA&#10;CQEAAA8AAAAAAAAAAQAgAAAAIgAAAGRycy9kb3ducmV2LnhtbFBLAQIUABQAAAAIAIdO4kBPG7Ul&#10;rgEAAHIDAAAOAAAAAAAAAAEAIAAAACQBAABkcnMvZTJvRG9jLnhtbFBLBQYAAAAABgAGAFkBAABE&#10;BQAAAAA=&#10;">
              <v:fill on="f" focussize="0,0"/>
              <v:stroke on="f"/>
              <v:imagedata o:title=""/>
              <o:lock v:ext="edit" aspectratio="f"/>
              <v:textbox inset="0mm,0mm,0mm,0mm" style="mso-fit-shape-to-text:t;">
                <w:txbxContent>
                  <w:p w14:paraId="37224C7A">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公序良俗原则与法律行为的效力丨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9FBF4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4585335</wp:posOffset>
              </wp:positionH>
              <wp:positionV relativeFrom="page">
                <wp:posOffset>481330</wp:posOffset>
              </wp:positionV>
              <wp:extent cx="1365250" cy="113030"/>
              <wp:effectExtent l="0" t="0" r="0" b="0"/>
              <wp:wrapNone/>
              <wp:docPr id="575" name="Shape 575"/>
              <wp:cNvGraphicFramePr/>
              <a:graphic xmlns:a="http://schemas.openxmlformats.org/drawingml/2006/main">
                <a:graphicData uri="http://schemas.microsoft.com/office/word/2010/wordprocessingShape">
                  <wps:wsp>
                    <wps:cNvSpPr txBox="1"/>
                    <wps:spPr>
                      <a:xfrm>
                        <a:off x="0" y="0"/>
                        <a:ext cx="1365250" cy="113030"/>
                      </a:xfrm>
                      <a:prstGeom prst="rect">
                        <a:avLst/>
                      </a:prstGeom>
                      <a:noFill/>
                    </wps:spPr>
                    <wps:txbx>
                      <w:txbxContent>
                        <w:p w14:paraId="227DF91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w:t>
                          </w:r>
                          <w:r>
                            <w:rPr>
                              <w:rFonts w:ascii="Times New Roman" w:hAnsi="Times New Roman" w:eastAsia="Times New Roman" w:cs="Times New Roman"/>
                              <w:b/>
                              <w:bCs/>
                              <w:color w:val="000000"/>
                              <w:spacing w:val="0"/>
                              <w:w w:val="100"/>
                              <w:position w:val="0"/>
                              <w:sz w:val="15"/>
                              <w:szCs w:val="15"/>
                              <w:lang w:val="en-US" w:eastAsia="en-US" w:bidi="en-US"/>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75" o:spid="_x0000_s1026" o:spt="202" type="#_x0000_t202" style="position:absolute;left:0pt;margin-left:361.05pt;margin-top:37.9pt;height:8.9pt;width:107.5pt;mso-position-horizontal-relative:page;mso-position-vertical-relative:page;mso-wrap-style:none;z-index:-251657216;mso-width-relative:page;mso-height-relative:page;" filled="f" stroked="f" coordsize="21600,21600" o:gfxdata="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ITiJ0fUAAAA&#10;CQEAAA8AAAAAAAAAAQAgAAAAIgAAAGRycy9kb3ducmV2LnhtbFBLAQIUABQAAAAIAIdO4kBXLCTJ&#10;rwEAAHQDAAAOAAAAAAAAAAEAIAAAACMBAABkcnMvZTJvRG9jLnhtbFBLBQYAAAAABgAGAFkBAABE&#10;BQAAAAA=&#10;">
              <v:fill on="f" focussize="0,0"/>
              <v:stroke on="f"/>
              <v:imagedata o:title=""/>
              <o:lock v:ext="edit" aspectratio="f"/>
              <v:textbox inset="0mm,0mm,0mm,0mm" style="mso-fit-shape-to-text:t;">
                <w:txbxContent>
                  <w:p w14:paraId="227DF91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w:t>
                    </w:r>
                    <w:r>
                      <w:rPr>
                        <w:rFonts w:ascii="Times New Roman" w:hAnsi="Times New Roman" w:eastAsia="Times New Roman" w:cs="Times New Roman"/>
                        <w:b/>
                        <w:bCs/>
                        <w:color w:val="000000"/>
                        <w:spacing w:val="0"/>
                        <w:w w:val="100"/>
                        <w:position w:val="0"/>
                        <w:sz w:val="15"/>
                        <w:szCs w:val="15"/>
                        <w:lang w:val="en-US" w:eastAsia="en-US" w:bidi="en-US"/>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3595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4578350</wp:posOffset>
              </wp:positionH>
              <wp:positionV relativeFrom="page">
                <wp:posOffset>479425</wp:posOffset>
              </wp:positionV>
              <wp:extent cx="1368425" cy="113030"/>
              <wp:effectExtent l="0" t="0" r="0" b="0"/>
              <wp:wrapNone/>
              <wp:docPr id="577" name="Shape 577"/>
              <wp:cNvGraphicFramePr/>
              <a:graphic xmlns:a="http://schemas.openxmlformats.org/drawingml/2006/main">
                <a:graphicData uri="http://schemas.microsoft.com/office/word/2010/wordprocessingShape">
                  <wps:wsp>
                    <wps:cNvSpPr txBox="1"/>
                    <wps:spPr>
                      <a:xfrm>
                        <a:off x="0" y="0"/>
                        <a:ext cx="1368425" cy="113030"/>
                      </a:xfrm>
                      <a:prstGeom prst="rect">
                        <a:avLst/>
                      </a:prstGeom>
                      <a:noFill/>
                    </wps:spPr>
                    <wps:txbx>
                      <w:txbxContent>
                        <w:p w14:paraId="18804A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善意取得中的受让人登记丨</w:t>
                          </w:r>
                          <w:r>
                            <w:rPr>
                              <w:rFonts w:ascii="Times New Roman" w:hAnsi="Times New Roman" w:eastAsia="Times New Roman" w:cs="Times New Roman"/>
                              <w:b/>
                              <w:bCs/>
                              <w:color w:val="000000"/>
                              <w:spacing w:val="0"/>
                              <w:w w:val="100"/>
                              <w:position w:val="0"/>
                              <w:sz w:val="15"/>
                              <w:szCs w:val="15"/>
                            </w:rPr>
                            <w:t>189</w:t>
                          </w:r>
                        </w:p>
                      </w:txbxContent>
                    </wps:txbx>
                    <wps:bodyPr wrap="none" lIns="0" tIns="0" rIns="0" bIns="0">
                      <a:spAutoFit/>
                    </wps:bodyPr>
                  </wps:wsp>
                </a:graphicData>
              </a:graphic>
            </wp:anchor>
          </w:drawing>
        </mc:Choice>
        <mc:Fallback>
          <w:pict>
            <v:shape id="Shape 577" o:spid="_x0000_s1026" o:spt="202" type="#_x0000_t202" style="position:absolute;left:0pt;margin-left:360.5pt;margin-top:37.75pt;height:8.9pt;width:107.75pt;mso-position-horizontal-relative:page;mso-position-vertical-relative:page;mso-wrap-style:none;z-index:-251657216;mso-width-relative:page;mso-height-relative:page;" filled="f" stroked="f" coordsize="21600,21600" o:gfxdata="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YI60dQA&#10;AAAJAQAADwAAAAAAAAABACAAAAAiAAAAZHJzL2Rvd25yZXYueG1sUEsBAhQAFAAAAAgAh07iQKSq&#10;RP6xAQAAdAMAAA4AAAAAAAAAAQAgAAAAIwEAAGRycy9lMm9Eb2MueG1sUEsFBgAAAAAGAAYAWQEA&#10;AEYFAAAAAA==&#10;">
              <v:fill on="f" focussize="0,0"/>
              <v:stroke on="f"/>
              <v:imagedata o:title=""/>
              <o:lock v:ext="edit" aspectratio="f"/>
              <v:textbox inset="0mm,0mm,0mm,0mm" style="mso-fit-shape-to-text:t;">
                <w:txbxContent>
                  <w:p w14:paraId="18804A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善意取得中的受让人登记丨</w:t>
                    </w:r>
                    <w:r>
                      <w:rPr>
                        <w:rFonts w:ascii="Times New Roman" w:hAnsi="Times New Roman" w:eastAsia="Times New Roman" w:cs="Times New Roman"/>
                        <w:b/>
                        <w:bCs/>
                        <w:color w:val="000000"/>
                        <w:spacing w:val="0"/>
                        <w:w w:val="100"/>
                        <w:position w:val="0"/>
                        <w:sz w:val="15"/>
                        <w:szCs w:val="15"/>
                      </w:rPr>
                      <w:t>189</w:t>
                    </w:r>
                  </w:p>
                </w:txbxContent>
              </v:textbox>
            </v:shape>
          </w:pict>
        </mc:Fallback>
      </mc:AlternateConten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BC097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4578350</wp:posOffset>
              </wp:positionH>
              <wp:positionV relativeFrom="page">
                <wp:posOffset>479425</wp:posOffset>
              </wp:positionV>
              <wp:extent cx="1368425" cy="113030"/>
              <wp:effectExtent l="0" t="0" r="0" b="0"/>
              <wp:wrapNone/>
              <wp:docPr id="579" name="Shape 579"/>
              <wp:cNvGraphicFramePr/>
              <a:graphic xmlns:a="http://schemas.openxmlformats.org/drawingml/2006/main">
                <a:graphicData uri="http://schemas.microsoft.com/office/word/2010/wordprocessingShape">
                  <wps:wsp>
                    <wps:cNvSpPr txBox="1"/>
                    <wps:spPr>
                      <a:xfrm>
                        <a:off x="0" y="0"/>
                        <a:ext cx="1368425" cy="113030"/>
                      </a:xfrm>
                      <a:prstGeom prst="rect">
                        <a:avLst/>
                      </a:prstGeom>
                      <a:noFill/>
                    </wps:spPr>
                    <wps:txbx>
                      <w:txbxContent>
                        <w:p w14:paraId="75F372E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善意取得中的受让人登记丨</w:t>
                          </w:r>
                          <w:r>
                            <w:rPr>
                              <w:rFonts w:ascii="Times New Roman" w:hAnsi="Times New Roman" w:eastAsia="Times New Roman" w:cs="Times New Roman"/>
                              <w:b/>
                              <w:bCs/>
                              <w:color w:val="000000"/>
                              <w:spacing w:val="0"/>
                              <w:w w:val="100"/>
                              <w:position w:val="0"/>
                              <w:sz w:val="15"/>
                              <w:szCs w:val="15"/>
                            </w:rPr>
                            <w:t>189</w:t>
                          </w:r>
                        </w:p>
                      </w:txbxContent>
                    </wps:txbx>
                    <wps:bodyPr wrap="none" lIns="0" tIns="0" rIns="0" bIns="0">
                      <a:spAutoFit/>
                    </wps:bodyPr>
                  </wps:wsp>
                </a:graphicData>
              </a:graphic>
            </wp:anchor>
          </w:drawing>
        </mc:Choice>
        <mc:Fallback>
          <w:pict>
            <v:shape id="Shape 579" o:spid="_x0000_s1026" o:spt="202" type="#_x0000_t202" style="position:absolute;left:0pt;margin-left:360.5pt;margin-top:37.75pt;height:8.9pt;width:107.75pt;mso-position-horizontal-relative:page;mso-position-vertical-relative:page;mso-wrap-style:none;z-index:-251657216;mso-width-relative:page;mso-height-relative:page;" filled="f" stroked="f" coordsize="21600,21600" o:gfxdata="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YI60dQA&#10;AAAJAQAADwAAAAAAAAABACAAAAAiAAAAZHJzL2Rvd25yZXYueG1sUEsBAhQAFAAAAAgAh07iQMC4&#10;CFKxAQAAdAMAAA4AAAAAAAAAAQAgAAAAIwEAAGRycy9lMm9Eb2MueG1sUEsFBgAAAAAGAAYAWQEA&#10;AEYFAAAAAA==&#10;">
              <v:fill on="f" focussize="0,0"/>
              <v:stroke on="f"/>
              <v:imagedata o:title=""/>
              <o:lock v:ext="edit" aspectratio="f"/>
              <v:textbox inset="0mm,0mm,0mm,0mm" style="mso-fit-shape-to-text:t;">
                <w:txbxContent>
                  <w:p w14:paraId="75F372E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善意取得中的受让人登记丨</w:t>
                    </w:r>
                    <w:r>
                      <w:rPr>
                        <w:rFonts w:ascii="Times New Roman" w:hAnsi="Times New Roman" w:eastAsia="Times New Roman" w:cs="Times New Roman"/>
                        <w:b/>
                        <w:bCs/>
                        <w:color w:val="000000"/>
                        <w:spacing w:val="0"/>
                        <w:w w:val="100"/>
                        <w:position w:val="0"/>
                        <w:sz w:val="15"/>
                        <w:szCs w:val="15"/>
                      </w:rPr>
                      <w:t>189</w:t>
                    </w:r>
                  </w:p>
                </w:txbxContent>
              </v:textbox>
            </v:shape>
          </w:pict>
        </mc:Fallback>
      </mc:AlternateContent>
    </w: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D41E3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81" name="Shape 58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1A0F03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8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9LYaBa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mv5erPkzAtHKy9zWU6QPUPAhrqeAvWl&#10;8QuMdGmueaRkVj3q6PKT9DCqk7mXm7lqTExScnP3afVxzZmk0rL+vFmvM0r1/HGImL4qcCwHLY+0&#10;u2KpOH/HNLVeW/IsD4/G2pzPDCcmOUrjYZxpH6C7EOuB1ttyT7eZM/vNk3v5JlyDeA0Oc5DBMTyc&#10;Eg0oczPqBDUPo10U5vO9ycv+97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9LYa&#10;Ba8BAABzAwAADgAAAAAAAAABACAAAAAkAQAAZHJzL2Uyb0RvYy54bWxQSwUGAAAAAAYABgBZAQAA&#10;RQUAAAAA&#10;">
              <v:fill on="f" focussize="0,0"/>
              <v:stroke on="f"/>
              <v:imagedata o:title=""/>
              <o:lock v:ext="edit" aspectratio="f"/>
              <v:textbox inset="0mm,0mm,0mm,0mm" style="mso-fit-shape-to-text:t;">
                <w:txbxContent>
                  <w:p w14:paraId="41A0F03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8855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83" name="Shape 58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C82E64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8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QziI7A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mv5enPHmReOVl7mspwge4aADXU9BepL&#10;4xcY6dJc80jJrHrU0eUn6WFUJ3MvN3PVmJik5Ob+4+puzZmk0rL+tFmvM0r18nGImL4qcCwHLY+0&#10;u2KpOH/HNLVeW/IsD4/G2pzPDCcmOUrjYZxpH6C7EOuB1ttyT7eZM/vNk3v5JlyDeA0Oc5DBMXw+&#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EM&#10;4iOwAQAAcwMAAA4AAAAAAAAAAQAgAAAAJAEAAGRycy9lMm9Eb2MueG1sUEsFBgAAAAAGAAYAWQEA&#10;AEYFAAAAAA==&#10;">
              <v:fill on="f" focussize="0,0"/>
              <v:stroke on="f"/>
              <v:imagedata o:title=""/>
              <o:lock v:ext="edit" aspectratio="f"/>
              <v:textbox inset="0mm,0mm,0mm,0mm" style="mso-fit-shape-to-text:t;">
                <w:txbxContent>
                  <w:p w14:paraId="1C82E64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19351C">
    <w:pPr>
      <w:widowControl w:val="0"/>
      <w:spacing w:line="1" w:lineRule="exact"/>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10E53E">
    <w:pPr>
      <w:widowControl w:val="0"/>
      <w:spacing w:line="1" w:lineRule="exact"/>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81EBC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3707765</wp:posOffset>
              </wp:positionH>
              <wp:positionV relativeFrom="page">
                <wp:posOffset>473075</wp:posOffset>
              </wp:positionV>
              <wp:extent cx="2172970" cy="111125"/>
              <wp:effectExtent l="0" t="0" r="0" b="0"/>
              <wp:wrapNone/>
              <wp:docPr id="591" name="Shape 591"/>
              <wp:cNvGraphicFramePr/>
              <a:graphic xmlns:a="http://schemas.openxmlformats.org/drawingml/2006/main">
                <a:graphicData uri="http://schemas.microsoft.com/office/word/2010/wordprocessingShape">
                  <wps:wsp>
                    <wps:cNvSpPr txBox="1"/>
                    <wps:spPr>
                      <a:xfrm>
                        <a:off x="0" y="0"/>
                        <a:ext cx="2172970" cy="111125"/>
                      </a:xfrm>
                      <a:prstGeom prst="rect">
                        <a:avLst/>
                      </a:prstGeom>
                      <a:noFill/>
                    </wps:spPr>
                    <wps:txbx>
                      <w:txbxContent>
                        <w:p w14:paraId="65E0BC4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集体土地征收中土地承包经营权主体的确定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591" o:spid="_x0000_s1026" o:spt="202" type="#_x0000_t202" style="position:absolute;left:0pt;margin-left:291.95pt;margin-top:37.25pt;height:8.75pt;width:171.1pt;mso-position-horizontal-relative:page;mso-position-vertical-relative:page;mso-wrap-style:none;z-index:-251657216;mso-width-relative:page;mso-height-relative:page;" filled="f" stroked="f" coordsize="21600,21600" o:gfxdata="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wwDfM1gAA&#10;AAkBAAAPAAAAAAAAAAEAIAAAACIAAABkcnMvZG93bnJldi54bWxQSwECFAAUAAAACACHTuJAuQwv&#10;zK4BAAB0AwAADgAAAAAAAAABACAAAAAlAQAAZHJzL2Uyb0RvYy54bWxQSwUGAAAAAAYABgBZAQAA&#10;RQUAAAAA&#10;">
              <v:fill on="f" focussize="0,0"/>
              <v:stroke on="f"/>
              <v:imagedata o:title=""/>
              <o:lock v:ext="edit" aspectratio="f"/>
              <v:textbox inset="0mm,0mm,0mm,0mm" style="mso-fit-shape-to-text:t;">
                <w:txbxContent>
                  <w:p w14:paraId="65E0BC4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集体土地征收中土地承包经营权主体的确定</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54E2E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93" name="Shape 59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5465FA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9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WAVtbABAABzAwAADgAAAGRycy9lMm9Eb2MueG1srVPBbtsw&#10;DL0P2D8Iui920qV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9cMdZ144WnmZy3KC7BkCNtT1HKgv&#10;jZ9hpEtzzSMls+pRR5efpIdRncy93MxVY2KSkpv7j6u7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Fg&#10;FbWwAQAAcwMAAA4AAAAAAAAAAQAgAAAAJAEAAGRycy9lMm9Eb2MueG1sUEsFBgAAAAAGAAYAWQEA&#10;AEYFAAAAAA==&#10;">
              <v:fill on="f" focussize="0,0"/>
              <v:stroke on="f"/>
              <v:imagedata o:title=""/>
              <o:lock v:ext="edit" aspectratio="f"/>
              <v:textbox inset="0mm,0mm,0mm,0mm" style="mso-fit-shape-to-text:t;">
                <w:txbxContent>
                  <w:p w14:paraId="45465FA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B181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4654550</wp:posOffset>
              </wp:positionH>
              <wp:positionV relativeFrom="page">
                <wp:posOffset>476885</wp:posOffset>
              </wp:positionV>
              <wp:extent cx="1264920" cy="111125"/>
              <wp:effectExtent l="0" t="0" r="0" b="0"/>
              <wp:wrapNone/>
              <wp:docPr id="595" name="Shape 595"/>
              <wp:cNvGraphicFramePr/>
              <a:graphic xmlns:a="http://schemas.openxmlformats.org/drawingml/2006/main">
                <a:graphicData uri="http://schemas.microsoft.com/office/word/2010/wordprocessingShape">
                  <wps:wsp>
                    <wps:cNvSpPr txBox="1"/>
                    <wps:spPr>
                      <a:xfrm>
                        <a:off x="0" y="0"/>
                        <a:ext cx="1264920" cy="111125"/>
                      </a:xfrm>
                      <a:prstGeom prst="rect">
                        <a:avLst/>
                      </a:prstGeom>
                      <a:noFill/>
                    </wps:spPr>
                    <wps:txbx>
                      <w:txbxContent>
                        <w:p w14:paraId="74A8F3F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宅基地使用权继承问题丨</w:t>
                          </w:r>
                          <w:r>
                            <w:rPr>
                              <w:rFonts w:ascii="Times New Roman" w:hAnsi="Times New Roman" w:eastAsia="Times New Roman" w:cs="Times New Roman"/>
                              <w:b/>
                              <w:bCs/>
                              <w:color w:val="000000"/>
                              <w:spacing w:val="0"/>
                              <w:w w:val="100"/>
                              <w:position w:val="0"/>
                              <w:sz w:val="15"/>
                              <w:szCs w:val="15"/>
                            </w:rPr>
                            <w:t>197</w:t>
                          </w:r>
                        </w:p>
                      </w:txbxContent>
                    </wps:txbx>
                    <wps:bodyPr wrap="none" lIns="0" tIns="0" rIns="0" bIns="0">
                      <a:spAutoFit/>
                    </wps:bodyPr>
                  </wps:wsp>
                </a:graphicData>
              </a:graphic>
            </wp:anchor>
          </w:drawing>
        </mc:Choice>
        <mc:Fallback>
          <w:pict>
            <v:shape id="Shape 595" o:spid="_x0000_s1026" o:spt="202" type="#_x0000_t202" style="position:absolute;left:0pt;margin-left:366.5pt;margin-top:37.55pt;height:8.75pt;width:99.6pt;mso-position-horizontal-relative:page;mso-position-vertical-relative:page;mso-wrap-style:none;z-index:-251657216;mso-width-relative:page;mso-height-relative:page;" filled="f" stroked="f" coordsize="21600,21600" o:gfxdata="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4TEYXVAAAA&#10;CQEAAA8AAAAAAAAAAQAgAAAAIgAAAGRycy9kb3ducmV2LnhtbFBLAQIUABQAAAAIAIdO4kB7v2GI&#10;rgEAAHQDAAAOAAAAAAAAAAEAIAAAACQBAABkcnMvZTJvRG9jLnhtbFBLBQYAAAAABgAGAFkBAABE&#10;BQAAAAA=&#10;">
              <v:fill on="f" focussize="0,0"/>
              <v:stroke on="f"/>
              <v:imagedata o:title=""/>
              <o:lock v:ext="edit" aspectratio="f"/>
              <v:textbox inset="0mm,0mm,0mm,0mm" style="mso-fit-shape-to-text:t;">
                <w:txbxContent>
                  <w:p w14:paraId="74A8F3F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宅基地使用权继承问题丨</w:t>
                    </w:r>
                    <w:r>
                      <w:rPr>
                        <w:rFonts w:ascii="Times New Roman" w:hAnsi="Times New Roman" w:eastAsia="Times New Roman" w:cs="Times New Roman"/>
                        <w:b/>
                        <w:bCs/>
                        <w:color w:val="000000"/>
                        <w:spacing w:val="0"/>
                        <w:w w:val="100"/>
                        <w:position w:val="0"/>
                        <w:sz w:val="15"/>
                        <w:szCs w:val="15"/>
                      </w:rPr>
                      <w:t>197</w:t>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BE65C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53" name="Shape 5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C0FA8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5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8dTZ&#10;XK8BAABxAwAADgAAAAAAAAABACAAAAAkAQAAZHJzL2Uyb0RvYy54bWxQSwUGAAAAAAYABgBZAQAA&#10;RQUAAAAA&#10;">
              <v:fill on="f" focussize="0,0"/>
              <v:stroke on="f"/>
              <v:imagedata o:title=""/>
              <o:lock v:ext="edit" aspectratio="f"/>
              <v:textbox inset="0mm,0mm,0mm,0mm" style="mso-fit-shape-to-text:t;">
                <w:txbxContent>
                  <w:p w14:paraId="5C0FA8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02FB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4654550</wp:posOffset>
              </wp:positionH>
              <wp:positionV relativeFrom="page">
                <wp:posOffset>476885</wp:posOffset>
              </wp:positionV>
              <wp:extent cx="1264920" cy="111125"/>
              <wp:effectExtent l="0" t="0" r="0" b="0"/>
              <wp:wrapNone/>
              <wp:docPr id="597" name="Shape 597"/>
              <wp:cNvGraphicFramePr/>
              <a:graphic xmlns:a="http://schemas.openxmlformats.org/drawingml/2006/main">
                <a:graphicData uri="http://schemas.microsoft.com/office/word/2010/wordprocessingShape">
                  <wps:wsp>
                    <wps:cNvSpPr txBox="1"/>
                    <wps:spPr>
                      <a:xfrm>
                        <a:off x="0" y="0"/>
                        <a:ext cx="1264920" cy="111125"/>
                      </a:xfrm>
                      <a:prstGeom prst="rect">
                        <a:avLst/>
                      </a:prstGeom>
                      <a:noFill/>
                    </wps:spPr>
                    <wps:txbx>
                      <w:txbxContent>
                        <w:p w14:paraId="6F0E05A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宅基地使用权继承问题丨</w:t>
                          </w:r>
                          <w:r>
                            <w:rPr>
                              <w:rFonts w:ascii="Times New Roman" w:hAnsi="Times New Roman" w:eastAsia="Times New Roman" w:cs="Times New Roman"/>
                              <w:b/>
                              <w:bCs/>
                              <w:color w:val="000000"/>
                              <w:spacing w:val="0"/>
                              <w:w w:val="100"/>
                              <w:position w:val="0"/>
                              <w:sz w:val="15"/>
                              <w:szCs w:val="15"/>
                            </w:rPr>
                            <w:t>197</w:t>
                          </w:r>
                        </w:p>
                      </w:txbxContent>
                    </wps:txbx>
                    <wps:bodyPr wrap="none" lIns="0" tIns="0" rIns="0" bIns="0">
                      <a:spAutoFit/>
                    </wps:bodyPr>
                  </wps:wsp>
                </a:graphicData>
              </a:graphic>
            </wp:anchor>
          </w:drawing>
        </mc:Choice>
        <mc:Fallback>
          <w:pict>
            <v:shape id="Shape 597" o:spid="_x0000_s1026" o:spt="202" type="#_x0000_t202" style="position:absolute;left:0pt;margin-left:366.5pt;margin-top:37.55pt;height:8.75pt;width:99.6pt;mso-position-horizontal-relative:page;mso-position-vertical-relative:page;mso-wrap-style:none;z-index:-251657216;mso-width-relative:page;mso-height-relative:page;" filled="f" stroked="f" coordsize="21600,21600" o:gfxdata="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4TEYXVAAAA&#10;CQEAAA8AAAAAAAAAAQAgAAAAIgAAAGRycy9kb3ducmV2LnhtbFBLAQIUABQAAAAIAIdO4kCaYf5+&#10;rgEAAHQDAAAOAAAAAAAAAAEAIAAAACQBAABkcnMvZTJvRG9jLnhtbFBLBQYAAAAABgAGAFkBAABE&#10;BQAAAAA=&#10;">
              <v:fill on="f" focussize="0,0"/>
              <v:stroke on="f"/>
              <v:imagedata o:title=""/>
              <o:lock v:ext="edit" aspectratio="f"/>
              <v:textbox inset="0mm,0mm,0mm,0mm" style="mso-fit-shape-to-text:t;">
                <w:txbxContent>
                  <w:p w14:paraId="6F0E05A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宅基地使用权继承问题丨</w:t>
                    </w:r>
                    <w:r>
                      <w:rPr>
                        <w:rFonts w:ascii="Times New Roman" w:hAnsi="Times New Roman" w:eastAsia="Times New Roman" w:cs="Times New Roman"/>
                        <w:b/>
                        <w:bCs/>
                        <w:color w:val="000000"/>
                        <w:spacing w:val="0"/>
                        <w:w w:val="100"/>
                        <w:position w:val="0"/>
                        <w:sz w:val="15"/>
                        <w:szCs w:val="15"/>
                      </w:rPr>
                      <w:t>197</w:t>
                    </w:r>
                  </w:p>
                </w:txbxContent>
              </v:textbox>
            </v:shape>
          </w:pict>
        </mc:Fallback>
      </mc:AlternateConten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F409F2">
    <w:pPr>
      <w:widowControl w:val="0"/>
      <w:spacing w:line="1" w:lineRule="exact"/>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AA3A3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4587875</wp:posOffset>
              </wp:positionH>
              <wp:positionV relativeFrom="page">
                <wp:posOffset>476885</wp:posOffset>
              </wp:positionV>
              <wp:extent cx="1266190" cy="113030"/>
              <wp:effectExtent l="0" t="0" r="0" b="0"/>
              <wp:wrapNone/>
              <wp:docPr id="605" name="Shape 605"/>
              <wp:cNvGraphicFramePr/>
              <a:graphic xmlns:a="http://schemas.openxmlformats.org/drawingml/2006/main">
                <a:graphicData uri="http://schemas.microsoft.com/office/word/2010/wordprocessingShape">
                  <wps:wsp>
                    <wps:cNvSpPr txBox="1"/>
                    <wps:spPr>
                      <a:xfrm>
                        <a:off x="0" y="0"/>
                        <a:ext cx="1266190" cy="113030"/>
                      </a:xfrm>
                      <a:prstGeom prst="rect">
                        <a:avLst/>
                      </a:prstGeom>
                      <a:noFill/>
                    </wps:spPr>
                    <wps:txbx>
                      <w:txbxContent>
                        <w:p w14:paraId="4D2F361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05" o:spid="_x0000_s1026" o:spt="202" type="#_x0000_t202" style="position:absolute;left:0pt;margin-left:361.25pt;margin-top:37.55pt;height:8.9pt;width:99.7pt;mso-position-horizontal-relative:page;mso-position-vertical-relative:page;mso-wrap-style:none;z-index:-251657216;mso-width-relative:page;mso-height-relative:page;" filled="f" stroked="f" coordsize="21600,21600" o:gfxdata="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KlojUAAAA&#10;CQEAAA8AAAAAAAAAAQAgAAAAIgAAAGRycy9kb3ducmV2LnhtbFBLAQIUABQAAAAIAIdO4kA86din&#10;rwEAAHQDAAAOAAAAAAAAAAEAIAAAACMBAABkcnMvZTJvRG9jLnhtbFBLBQYAAAAABgAGAFkBAABE&#10;BQAAAAA=&#10;">
              <v:fill on="f" focussize="0,0"/>
              <v:stroke on="f"/>
              <v:imagedata o:title=""/>
              <o:lock v:ext="edit" aspectratio="f"/>
              <v:textbox inset="0mm,0mm,0mm,0mm" style="mso-fit-shape-to-text:t;">
                <w:txbxContent>
                  <w:p w14:paraId="4D2F361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宅基地使用权继承问题</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B04D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07" name="Shape 60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E74F71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0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Xl&#10;iL6wAQAAcwMAAA4AAAAAAAAAAQAgAAAAJAEAAGRycy9lMm9Eb2MueG1sUEsFBgAAAAAGAAYAWQEA&#10;AEYFAAAAAA==&#10;">
              <v:fill on="f" focussize="0,0"/>
              <v:stroke on="f"/>
              <v:imagedata o:title=""/>
              <o:lock v:ext="edit" aspectratio="f"/>
              <v:textbox inset="0mm,0mm,0mm,0mm" style="mso-fit-shape-to-text:t;">
                <w:txbxContent>
                  <w:p w14:paraId="3E74F71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C7DB8">
    <w:pPr>
      <w:widowControl w:val="0"/>
      <w:spacing w:line="1" w:lineRule="exact"/>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2557E">
    <w:pPr>
      <w:widowControl w:val="0"/>
      <w:spacing w:line="1" w:lineRule="exact"/>
    </w:pP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CD87E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3849370</wp:posOffset>
              </wp:positionH>
              <wp:positionV relativeFrom="page">
                <wp:posOffset>491490</wp:posOffset>
              </wp:positionV>
              <wp:extent cx="2071370" cy="113030"/>
              <wp:effectExtent l="0" t="0" r="0" b="0"/>
              <wp:wrapNone/>
              <wp:docPr id="611" name="Shape 611"/>
              <wp:cNvGraphicFramePr/>
              <a:graphic xmlns:a="http://schemas.openxmlformats.org/drawingml/2006/main">
                <a:graphicData uri="http://schemas.microsoft.com/office/word/2010/wordprocessingShape">
                  <wps:wsp>
                    <wps:cNvSpPr txBox="1"/>
                    <wps:spPr>
                      <a:xfrm>
                        <a:off x="0" y="0"/>
                        <a:ext cx="2071370" cy="113030"/>
                      </a:xfrm>
                      <a:prstGeom prst="rect">
                        <a:avLst/>
                      </a:prstGeom>
                      <a:noFill/>
                    </wps:spPr>
                    <wps:txbx>
                      <w:txbxContent>
                        <w:p w14:paraId="53F2655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混合担保中担保人之间的追偿权及其范围丨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11" o:spid="_x0000_s1026" o:spt="202" type="#_x0000_t202" style="position:absolute;left:0pt;margin-left:303.1pt;margin-top:38.7pt;height:8.9pt;width:163.1pt;mso-position-horizontal-relative:page;mso-position-vertical-relative:page;mso-wrap-style:none;z-index:-251657216;mso-width-relative:page;mso-height-relative:page;" filled="f" stroked="f" coordsize="21600,21600" o:gfxdata="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OFfu71QAA&#10;AAkBAAAPAAAAAAAAAAEAIAAAACIAAABkcnMvZG93bnJldi54bWxQSwECFAAUAAAACACHTuJAYgcV&#10;z68BAAB0AwAADgAAAAAAAAABACAAAAAkAQAAZHJzL2Uyb0RvYy54bWxQSwUGAAAAAAYABgBZAQAA&#10;RQUAAAAA&#10;">
              <v:fill on="f" focussize="0,0"/>
              <v:stroke on="f"/>
              <v:imagedata o:title=""/>
              <o:lock v:ext="edit" aspectratio="f"/>
              <v:textbox inset="0mm,0mm,0mm,0mm" style="mso-fit-shape-to-text:t;">
                <w:txbxContent>
                  <w:p w14:paraId="53F2655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混合担保中担保人之间的追偿权及其范围丨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4744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13" name="Shape 61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77721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1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3/yOZb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r+Z3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N/8&#10;jmWwAQAAcwMAAA4AAAAAAAAAAQAgAAAAJAEAAGRycy9lMm9Eb2MueG1sUEsFBgAAAAAGAAYAWQEA&#10;AEYFAAAAAA==&#10;">
              <v:fill on="f" focussize="0,0"/>
              <v:stroke on="f"/>
              <v:imagedata o:title=""/>
              <o:lock v:ext="edit" aspectratio="f"/>
              <v:textbox inset="0mm,0mm,0mm,0mm" style="mso-fit-shape-to-text:t;">
                <w:txbxContent>
                  <w:p w14:paraId="077721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25D26">
    <w:pPr>
      <w:widowControl w:val="0"/>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ACD67F">
    <w:pPr>
      <w:widowControl w:val="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5232">
    <w:pPr>
      <w:widowControl w:val="0"/>
      <w:spacing w:line="1" w:lineRule="exact"/>
    </w:pP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F1CD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4754880</wp:posOffset>
              </wp:positionH>
              <wp:positionV relativeFrom="page">
                <wp:posOffset>494665</wp:posOffset>
              </wp:positionV>
              <wp:extent cx="1165860" cy="109855"/>
              <wp:effectExtent l="0" t="0" r="0" b="0"/>
              <wp:wrapNone/>
              <wp:docPr id="621" name="Shape 621"/>
              <wp:cNvGraphicFramePr/>
              <a:graphic xmlns:a="http://schemas.openxmlformats.org/drawingml/2006/main">
                <a:graphicData uri="http://schemas.microsoft.com/office/word/2010/wordprocessingShape">
                  <wps:wsp>
                    <wps:cNvSpPr txBox="1"/>
                    <wps:spPr>
                      <a:xfrm>
                        <a:off x="0" y="0"/>
                        <a:ext cx="1165860" cy="109855"/>
                      </a:xfrm>
                      <a:prstGeom prst="rect">
                        <a:avLst/>
                      </a:prstGeom>
                      <a:noFill/>
                    </wps:spPr>
                    <wps:txbx>
                      <w:txbxContent>
                        <w:p w14:paraId="051CB12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混合共同担保求偿权</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21" o:spid="_x0000_s1026" o:spt="202" type="#_x0000_t202" style="position:absolute;left:0pt;margin-left:374.4pt;margin-top:38.95pt;height:8.65pt;width:91.8pt;mso-position-horizontal-relative:page;mso-position-vertical-relative:page;mso-wrap-style:none;z-index:-251657216;mso-width-relative:page;mso-height-relative:page;" filled="f" stroked="f" coordsize="21600,21600" o:gfxdata="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JSRZbVAAAA&#10;CQEAAA8AAAAAAAAAAQAgAAAAIgAAAGRycy9kb3ducmV2LnhtbFBLAQIUABQAAAAIAIdO4kC08a2+&#10;rgEAAHQDAAAOAAAAAAAAAAEAIAAAACQBAABkcnMvZTJvRG9jLnhtbFBLBQYAAAAABgAGAFkBAABE&#10;BQAAAAA=&#10;">
              <v:fill on="f" focussize="0,0"/>
              <v:stroke on="f"/>
              <v:imagedata o:title=""/>
              <o:lock v:ext="edit" aspectratio="f"/>
              <v:textbox inset="0mm,0mm,0mm,0mm" style="mso-fit-shape-to-text:t;">
                <w:txbxContent>
                  <w:p w14:paraId="051CB12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混合共同担保求偿权</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8ACD0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23" name="Shape 62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64D91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2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bk7mBb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rxZ3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G5O&#10;5gWwAQAAcwMAAA4AAAAAAAAAAQAgAAAAJAEAAGRycy9lMm9Eb2MueG1sUEsFBgAAAAAGAAYAWQEA&#10;AEYFAAAAAA==&#10;">
              <v:fill on="f" focussize="0,0"/>
              <v:stroke on="f"/>
              <v:imagedata o:title=""/>
              <o:lock v:ext="edit" aspectratio="f"/>
              <v:textbox inset="0mm,0mm,0mm,0mm" style="mso-fit-shape-to-text:t;">
                <w:txbxContent>
                  <w:p w14:paraId="664D91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6F1936">
    <w:pPr>
      <w:widowControl w:val="0"/>
      <w:spacing w:line="1" w:lineRule="exact"/>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C95AC">
    <w:pPr>
      <w:widowControl w:val="0"/>
      <w:spacing w:line="1" w:lineRule="exact"/>
    </w:pP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ADA05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3718560</wp:posOffset>
              </wp:positionH>
              <wp:positionV relativeFrom="page">
                <wp:posOffset>527685</wp:posOffset>
              </wp:positionV>
              <wp:extent cx="2165350" cy="109855"/>
              <wp:effectExtent l="0" t="0" r="0" b="0"/>
              <wp:wrapNone/>
              <wp:docPr id="629" name="Shape 629"/>
              <wp:cNvGraphicFramePr/>
              <a:graphic xmlns:a="http://schemas.openxmlformats.org/drawingml/2006/main">
                <a:graphicData uri="http://schemas.microsoft.com/office/word/2010/wordprocessingShape">
                  <wps:wsp>
                    <wps:cNvSpPr txBox="1"/>
                    <wps:spPr>
                      <a:xfrm>
                        <a:off x="0" y="0"/>
                        <a:ext cx="2165350" cy="109855"/>
                      </a:xfrm>
                      <a:prstGeom prst="rect">
                        <a:avLst/>
                      </a:prstGeom>
                      <a:noFill/>
                    </wps:spPr>
                    <wps:txbx>
                      <w:txbxContent>
                        <w:p w14:paraId="6C2696D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以个人资产作抵押为债权提供担保属于保证丨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29" o:spid="_x0000_s1026" o:spt="202" type="#_x0000_t202" style="position:absolute;left:0pt;margin-left:292.8pt;margin-top:41.55pt;height:8.65pt;width:170.5pt;mso-position-horizontal-relative:page;mso-position-vertical-relative:page;mso-wrap-style:none;z-index:-251657216;mso-width-relative:page;mso-height-relative:page;" filled="f" stroked="f" coordsize="21600,21600" o:gfxdata="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j+QxtYA&#10;AAAKAQAADwAAAAAAAAABACAAAAAiAAAAZHJzL2Rvd25yZXYueG1sUEsBAhQAFAAAAAgAh07iQKWw&#10;y2OvAQAAdAMAAA4AAAAAAAAAAQAgAAAAJQEAAGRycy9lMm9Eb2MueG1sUEsFBgAAAAAGAAYAWQEA&#10;AEYFAAAAAA==&#10;">
              <v:fill on="f" focussize="0,0"/>
              <v:stroke on="f"/>
              <v:imagedata o:title=""/>
              <o:lock v:ext="edit" aspectratio="f"/>
              <v:textbox inset="0mm,0mm,0mm,0mm" style="mso-fit-shape-to-text:t;">
                <w:txbxContent>
                  <w:p w14:paraId="6C2696D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以个人资产作抵押为债权提供担保属于保证丨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B22D0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31" name="Shape 63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16659D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3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65jptb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r+7m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OuY&#10;6bWwAQAAcwMAAA4AAAAAAAAAAQAgAAAAJAEAAGRycy9lMm9Eb2MueG1sUEsFBgAAAAAGAAYAWQEA&#10;AEYFAAAAAA==&#10;">
              <v:fill on="f" focussize="0,0"/>
              <v:stroke on="f"/>
              <v:imagedata o:title=""/>
              <o:lock v:ext="edit" aspectratio="f"/>
              <v:textbox inset="0mm,0mm,0mm,0mm" style="mso-fit-shape-to-text:t;">
                <w:txbxContent>
                  <w:p w14:paraId="516659D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1C1934">
    <w:pPr>
      <w:widowControl w:val="0"/>
      <w:spacing w:line="1" w:lineRule="exact"/>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1EA182">
    <w:pPr>
      <w:widowControl w:val="0"/>
      <w:spacing w:line="1" w:lineRule="exact"/>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71BBB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4685030</wp:posOffset>
              </wp:positionH>
              <wp:positionV relativeFrom="page">
                <wp:posOffset>493395</wp:posOffset>
              </wp:positionV>
              <wp:extent cx="1264920" cy="113030"/>
              <wp:effectExtent l="0" t="0" r="0" b="0"/>
              <wp:wrapNone/>
              <wp:docPr id="641" name="Shape 641"/>
              <wp:cNvGraphicFramePr/>
              <a:graphic xmlns:a="http://schemas.openxmlformats.org/drawingml/2006/main">
                <a:graphicData uri="http://schemas.microsoft.com/office/word/2010/wordprocessingShape">
                  <wps:wsp>
                    <wps:cNvSpPr txBox="1"/>
                    <wps:spPr>
                      <a:xfrm>
                        <a:off x="0" y="0"/>
                        <a:ext cx="1264920" cy="113030"/>
                      </a:xfrm>
                      <a:prstGeom prst="rect">
                        <a:avLst/>
                      </a:prstGeom>
                      <a:noFill/>
                    </wps:spPr>
                    <wps:txbx>
                      <w:txbxContent>
                        <w:p w14:paraId="63A253A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未登记抵押合同的效力</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41" o:spid="_x0000_s1026" o:spt="202" type="#_x0000_t202" style="position:absolute;left:0pt;margin-left:368.9pt;margin-top:38.85pt;height:8.9pt;width:99.6pt;mso-position-horizontal-relative:page;mso-position-vertical-relative:page;mso-wrap-style:none;z-index:-251657216;mso-width-relative:page;mso-height-relative:page;" filled="f" stroked="f" coordsize="21600,21600" o:gfxdata="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evdNn1QAA&#10;AAkBAAAPAAAAAAAAAAEAIAAAACIAAABkcnMvZG93bnJldi54bWxQSwECFAAUAAAACACHTuJAlnvC&#10;3q8BAAB0AwAADgAAAAAAAAABACAAAAAkAQAAZHJzL2Uyb0RvYy54bWxQSwUGAAAAAAYABgBZAQAA&#10;RQUAAAAA&#10;">
              <v:fill on="f" focussize="0,0"/>
              <v:stroke on="f"/>
              <v:imagedata o:title=""/>
              <o:lock v:ext="edit" aspectratio="f"/>
              <v:textbox inset="0mm,0mm,0mm,0mm" style="mso-fit-shape-to-text:t;">
                <w:txbxContent>
                  <w:p w14:paraId="63A253A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未登记抵押合同的效力</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A891B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43" name="Shape 64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72431B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4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Awr&#10;N8WwAQAAcwMAAA4AAAAAAAAAAQAgAAAAJAEAAGRycy9lMm9Eb2MueG1sUEsFBgAAAAAGAAYAWQEA&#10;AEYFAAAAAA==&#10;">
              <v:fill on="f" focussize="0,0"/>
              <v:stroke on="f"/>
              <v:imagedata o:title=""/>
              <o:lock v:ext="edit" aspectratio="f"/>
              <v:textbox inset="0mm,0mm,0mm,0mm" style="mso-fit-shape-to-text:t;">
                <w:txbxContent>
                  <w:p w14:paraId="472431B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FB40B5">
    <w:pPr>
      <w:widowControl w:val="0"/>
      <w:spacing w:line="1" w:lineRule="exact"/>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A563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4699000</wp:posOffset>
              </wp:positionH>
              <wp:positionV relativeFrom="page">
                <wp:posOffset>496570</wp:posOffset>
              </wp:positionV>
              <wp:extent cx="1264920" cy="109855"/>
              <wp:effectExtent l="0" t="0" r="0" b="0"/>
              <wp:wrapNone/>
              <wp:docPr id="645" name="Shape 645"/>
              <wp:cNvGraphicFramePr/>
              <a:graphic xmlns:a="http://schemas.openxmlformats.org/drawingml/2006/main">
                <a:graphicData uri="http://schemas.microsoft.com/office/word/2010/wordprocessingShape">
                  <wps:wsp>
                    <wps:cNvSpPr txBox="1"/>
                    <wps:spPr>
                      <a:xfrm>
                        <a:off x="0" y="0"/>
                        <a:ext cx="1264920" cy="109855"/>
                      </a:xfrm>
                      <a:prstGeom prst="rect">
                        <a:avLst/>
                      </a:prstGeom>
                      <a:noFill/>
                    </wps:spPr>
                    <wps:txbx>
                      <w:txbxContent>
                        <w:p w14:paraId="1B855BC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末登记抵押合同的效力</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45" o:spid="_x0000_s1026" o:spt="202" type="#_x0000_t202" style="position:absolute;left:0pt;margin-left:370pt;margin-top:39.1pt;height:8.65pt;width:99.6pt;mso-position-horizontal-relative:page;mso-position-vertical-relative:page;mso-wrap-style:none;z-index:-251657216;mso-width-relative:page;mso-height-relative:page;" filled="f" stroked="f" coordsize="21600,21600" o:gfxdata="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8VEF1QAA&#10;AAkBAAAPAAAAAAAAAAEAIAAAACIAAABkcnMvZG93bnJldi54bWxQSwECFAAUAAAACACHTuJAbdSo&#10;Ya8BAAB0AwAADgAAAAAAAAABACAAAAAkAQAAZHJzL2Uyb0RvYy54bWxQSwUGAAAAAAYABgBZAQAA&#10;RQUAAAAA&#10;">
              <v:fill on="f" focussize="0,0"/>
              <v:stroke on="f"/>
              <v:imagedata o:title=""/>
              <o:lock v:ext="edit" aspectratio="f"/>
              <v:textbox inset="0mm,0mm,0mm,0mm" style="mso-fit-shape-to-text:t;">
                <w:txbxContent>
                  <w:p w14:paraId="1B855BC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末登记抵押合同的效力</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E2310">
    <w:pPr>
      <w:widowControl w:val="0"/>
      <w:spacing w:line="1" w:lineRule="exact"/>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36A02F">
    <w:pPr>
      <w:widowControl w:val="0"/>
      <w:spacing w:line="1" w:lineRule="exact"/>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C52C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53" name="Shape 65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15D1E1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5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EfAU7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r5Z3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xH&#10;wFOwAQAAcwMAAA4AAAAAAAAAAQAgAAAAJAEAAGRycy9lMm9Eb2MueG1sUEsFBgAAAAAGAAYAWQEA&#10;AEYFAAAAAA==&#10;">
              <v:fill on="f" focussize="0,0"/>
              <v:stroke on="f"/>
              <v:imagedata o:title=""/>
              <o:lock v:ext="edit" aspectratio="f"/>
              <v:textbox inset="0mm,0mm,0mm,0mm" style="mso-fit-shape-to-text:t;">
                <w:txbxContent>
                  <w:p w14:paraId="115D1E1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9EE50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55" name="Shape 65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5EFDD5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5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I4jJ&#10;OK8BAABzAwAADgAAAAAAAAABACAAAAAkAQAAZHJzL2Uyb0RvYy54bWxQSwUGAAAAAAYABgBZAQAA&#10;RQUAAAAA&#10;">
              <v:fill on="f" focussize="0,0"/>
              <v:stroke on="f"/>
              <v:imagedata o:title=""/>
              <o:lock v:ext="edit" aspectratio="f"/>
              <v:textbox inset="0mm,0mm,0mm,0mm" style="mso-fit-shape-to-text:t;">
                <w:txbxContent>
                  <w:p w14:paraId="65EFDD5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46924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4035425</wp:posOffset>
              </wp:positionH>
              <wp:positionV relativeFrom="page">
                <wp:posOffset>497205</wp:posOffset>
              </wp:positionV>
              <wp:extent cx="1870075" cy="111125"/>
              <wp:effectExtent l="0" t="0" r="0" b="0"/>
              <wp:wrapNone/>
              <wp:docPr id="657" name="Shape 657"/>
              <wp:cNvGraphicFramePr/>
              <a:graphic xmlns:a="http://schemas.openxmlformats.org/drawingml/2006/main">
                <a:graphicData uri="http://schemas.microsoft.com/office/word/2010/wordprocessingShape">
                  <wps:wsp>
                    <wps:cNvSpPr txBox="1"/>
                    <wps:spPr>
                      <a:xfrm>
                        <a:off x="0" y="0"/>
                        <a:ext cx="1870075" cy="111125"/>
                      </a:xfrm>
                      <a:prstGeom prst="rect">
                        <a:avLst/>
                      </a:prstGeom>
                      <a:noFill/>
                    </wps:spPr>
                    <wps:txbx>
                      <w:txbxContent>
                        <w:p w14:paraId="00537C3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在建工程抵押与房地一体原则的适用丨</w:t>
                          </w:r>
                          <w:r>
                            <w:rPr>
                              <w:rFonts w:ascii="Times New Roman" w:hAnsi="Times New Roman" w:eastAsia="Times New Roman" w:cs="Times New Roman"/>
                              <w:b/>
                              <w:bCs/>
                              <w:color w:val="000000"/>
                              <w:spacing w:val="0"/>
                              <w:w w:val="100"/>
                              <w:position w:val="0"/>
                              <w:sz w:val="15"/>
                              <w:szCs w:val="15"/>
                            </w:rPr>
                            <w:t>223</w:t>
                          </w:r>
                        </w:p>
                      </w:txbxContent>
                    </wps:txbx>
                    <wps:bodyPr wrap="none" lIns="0" tIns="0" rIns="0" bIns="0">
                      <a:spAutoFit/>
                    </wps:bodyPr>
                  </wps:wsp>
                </a:graphicData>
              </a:graphic>
            </wp:anchor>
          </w:drawing>
        </mc:Choice>
        <mc:Fallback>
          <w:pict>
            <v:shape id="Shape 657" o:spid="_x0000_s1026" o:spt="202" type="#_x0000_t202" style="position:absolute;left:0pt;margin-left:317.75pt;margin-top:39.15pt;height:8.75pt;width:147.25pt;mso-position-horizontal-relative:page;mso-position-vertical-relative:page;mso-wrap-style:none;z-index:-251657216;mso-width-relative:page;mso-height-relative:page;" filled="f" stroked="f" coordsize="21600,21600" o:gfxdata="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MDqXnVAAAA&#10;CQEAAA8AAAAAAAAAAQAgAAAAIgAAAGRycy9kb3ducmV2LnhtbFBLAQIUABQAAAAIAIdO4kDqRfBF&#10;rgEAAHQDAAAOAAAAAAAAAAEAIAAAACQBAABkcnMvZTJvRG9jLnhtbFBLBQYAAAAABgAGAFkBAABE&#10;BQAAAAA=&#10;">
              <v:fill on="f" focussize="0,0"/>
              <v:stroke on="f"/>
              <v:imagedata o:title=""/>
              <o:lock v:ext="edit" aspectratio="f"/>
              <v:textbox inset="0mm,0mm,0mm,0mm" style="mso-fit-shape-to-text:t;">
                <w:txbxContent>
                  <w:p w14:paraId="00537C3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在建工程抵押与房地一体原则的适用丨</w:t>
                    </w:r>
                    <w:r>
                      <w:rPr>
                        <w:rFonts w:ascii="Times New Roman" w:hAnsi="Times New Roman" w:eastAsia="Times New Roman" w:cs="Times New Roman"/>
                        <w:b/>
                        <w:bCs/>
                        <w:color w:val="000000"/>
                        <w:spacing w:val="0"/>
                        <w:w w:val="100"/>
                        <w:position w:val="0"/>
                        <w:sz w:val="15"/>
                        <w:szCs w:val="15"/>
                      </w:rPr>
                      <w:t>223</w:t>
                    </w:r>
                  </w:p>
                </w:txbxContent>
              </v:textbox>
            </v:shape>
          </w:pict>
        </mc:Fallback>
      </mc:AlternateContent>
    </w: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9B1B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4035425</wp:posOffset>
              </wp:positionH>
              <wp:positionV relativeFrom="page">
                <wp:posOffset>497205</wp:posOffset>
              </wp:positionV>
              <wp:extent cx="1870075" cy="111125"/>
              <wp:effectExtent l="0" t="0" r="0" b="0"/>
              <wp:wrapNone/>
              <wp:docPr id="659" name="Shape 659"/>
              <wp:cNvGraphicFramePr/>
              <a:graphic xmlns:a="http://schemas.openxmlformats.org/drawingml/2006/main">
                <a:graphicData uri="http://schemas.microsoft.com/office/word/2010/wordprocessingShape">
                  <wps:wsp>
                    <wps:cNvSpPr txBox="1"/>
                    <wps:spPr>
                      <a:xfrm>
                        <a:off x="0" y="0"/>
                        <a:ext cx="1870075" cy="111125"/>
                      </a:xfrm>
                      <a:prstGeom prst="rect">
                        <a:avLst/>
                      </a:prstGeom>
                      <a:noFill/>
                    </wps:spPr>
                    <wps:txbx>
                      <w:txbxContent>
                        <w:p w14:paraId="6469DCA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在建工程抵押与房地一体原则的适用丨</w:t>
                          </w:r>
                          <w:r>
                            <w:rPr>
                              <w:rFonts w:ascii="Times New Roman" w:hAnsi="Times New Roman" w:eastAsia="Times New Roman" w:cs="Times New Roman"/>
                              <w:b/>
                              <w:bCs/>
                              <w:color w:val="000000"/>
                              <w:spacing w:val="0"/>
                              <w:w w:val="100"/>
                              <w:position w:val="0"/>
                              <w:sz w:val="15"/>
                              <w:szCs w:val="15"/>
                            </w:rPr>
                            <w:t>223</w:t>
                          </w:r>
                        </w:p>
                      </w:txbxContent>
                    </wps:txbx>
                    <wps:bodyPr wrap="none" lIns="0" tIns="0" rIns="0" bIns="0">
                      <a:spAutoFit/>
                    </wps:bodyPr>
                  </wps:wsp>
                </a:graphicData>
              </a:graphic>
            </wp:anchor>
          </w:drawing>
        </mc:Choice>
        <mc:Fallback>
          <w:pict>
            <v:shape id="Shape 659" o:spid="_x0000_s1026" o:spt="202" type="#_x0000_t202" style="position:absolute;left:0pt;margin-left:317.75pt;margin-top:39.15pt;height:8.75pt;width:147.25pt;mso-position-horizontal-relative:page;mso-position-vertical-relative:page;mso-wrap-style:none;z-index:-251657216;mso-width-relative:page;mso-height-relative:page;" filled="f" stroked="f" coordsize="21600,21600" o:gfxdata="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DA6l51QAA&#10;AAkBAAAPAAAAAAAAAAEAIAAAACIAAABkcnMvZG93bnJldi54bWxQSwECFAAUAAAACACHTuJAjle8&#10;6a8BAAB0AwAADgAAAAAAAAABACAAAAAkAQAAZHJzL2Uyb0RvYy54bWxQSwUGAAAAAAYABgBZAQAA&#10;RQUAAAAA&#10;">
              <v:fill on="f" focussize="0,0"/>
              <v:stroke on="f"/>
              <v:imagedata o:title=""/>
              <o:lock v:ext="edit" aspectratio="f"/>
              <v:textbox inset="0mm,0mm,0mm,0mm" style="mso-fit-shape-to-text:t;">
                <w:txbxContent>
                  <w:p w14:paraId="6469DCA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在建工程抵押与房地一体原则的适用丨</w:t>
                    </w:r>
                    <w:r>
                      <w:rPr>
                        <w:rFonts w:ascii="Times New Roman" w:hAnsi="Times New Roman" w:eastAsia="Times New Roman" w:cs="Times New Roman"/>
                        <w:b/>
                        <w:bCs/>
                        <w:color w:val="000000"/>
                        <w:spacing w:val="0"/>
                        <w:w w:val="100"/>
                        <w:position w:val="0"/>
                        <w:sz w:val="15"/>
                        <w:szCs w:val="15"/>
                      </w:rPr>
                      <w:t>223</w:t>
                    </w:r>
                  </w:p>
                </w:txbxContent>
              </v:textbox>
            </v:shape>
          </w:pict>
        </mc:Fallback>
      </mc:AlternateContent>
    </w: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D36C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61" name="Shape 66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433527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6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OE9Q&#10;Fa8BAABzAwAADgAAAAAAAAABACAAAAAkAQAAZHJzL2Uyb0RvYy54bWxQSwUGAAAAAAYABgBZAQAA&#10;RQUAAAAA&#10;">
              <v:fill on="f" focussize="0,0"/>
              <v:stroke on="f"/>
              <v:imagedata o:title=""/>
              <o:lock v:ext="edit" aspectratio="f"/>
              <v:textbox inset="0mm,0mm,0mm,0mm" style="mso-fit-shape-to-text:t;">
                <w:txbxContent>
                  <w:p w14:paraId="1433527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A0F61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63" name="Shape 66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2CEC35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6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7fWoM7A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puar1Z3nDlhaeV5LksJsqf3WFHXi6e+&#10;ODzBQJfmkkdKJtVDG2x6kh5GdTL3fDVXDZFJSq5XXxd3S84klebl/Xq5TCjF28c+YPymwLIU1DzQ&#10;7rKl4vQD49h6aUmzHDxrY1I+MRyZpCgO+2GivYfmTKx7Wm/NHd1mzsx3R+6lm3AJwiXYT0ECR/94&#10;jDQgz02oI9Q0jHaRmU/3Ji373/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O31&#10;qDOwAQAAcwMAAA4AAAAAAAAAAQAgAAAAJAEAAGRycy9lMm9Eb2MueG1sUEsFBgAAAAAGAAYAWQEA&#10;AEYFAAAAAA==&#10;">
              <v:fill on="f" focussize="0,0"/>
              <v:stroke on="f"/>
              <v:imagedata o:title=""/>
              <o:lock v:ext="edit" aspectratio="f"/>
              <v:textbox inset="0mm,0mm,0mm,0mm" style="mso-fit-shape-to-text:t;">
                <w:txbxContent>
                  <w:p w14:paraId="02CEC35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C9BA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3963035</wp:posOffset>
              </wp:positionH>
              <wp:positionV relativeFrom="page">
                <wp:posOffset>506730</wp:posOffset>
              </wp:positionV>
              <wp:extent cx="1871345" cy="109855"/>
              <wp:effectExtent l="0" t="0" r="0" b="0"/>
              <wp:wrapNone/>
              <wp:docPr id="665" name="Shape 665"/>
              <wp:cNvGraphicFramePr/>
              <a:graphic xmlns:a="http://schemas.openxmlformats.org/drawingml/2006/main">
                <a:graphicData uri="http://schemas.microsoft.com/office/word/2010/wordprocessingShape">
                  <wps:wsp>
                    <wps:cNvSpPr txBox="1"/>
                    <wps:spPr>
                      <a:xfrm>
                        <a:off x="0" y="0"/>
                        <a:ext cx="1871345" cy="109855"/>
                      </a:xfrm>
                      <a:prstGeom prst="rect">
                        <a:avLst/>
                      </a:prstGeom>
                      <a:noFill/>
                    </wps:spPr>
                    <wps:txbx>
                      <w:txbxContent>
                        <w:p w14:paraId="4A6938B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rPr>
                            <w:t>在建工程抵押与房地一体原则的适用丨</w:t>
                          </w:r>
                          <w:r>
                            <w:rPr>
                              <w:rFonts w:ascii="Times New Roman" w:hAnsi="Times New Roman" w:eastAsia="Times New Roman" w:cs="Times New Roman"/>
                              <w:b/>
                              <w:bCs/>
                              <w:color w:val="000000"/>
                              <w:spacing w:val="0"/>
                              <w:w w:val="100"/>
                              <w:position w:val="0"/>
                              <w:sz w:val="15"/>
                              <w:szCs w:val="15"/>
                            </w:rPr>
                            <w:t>225</w:t>
                          </w:r>
                        </w:p>
                      </w:txbxContent>
                    </wps:txbx>
                    <wps:bodyPr wrap="none" lIns="0" tIns="0" rIns="0" bIns="0">
                      <a:spAutoFit/>
                    </wps:bodyPr>
                  </wps:wsp>
                </a:graphicData>
              </a:graphic>
            </wp:anchor>
          </w:drawing>
        </mc:Choice>
        <mc:Fallback>
          <w:pict>
            <v:shape id="Shape 665" o:spid="_x0000_s1026" o:spt="202" type="#_x0000_t202" style="position:absolute;left:0pt;margin-left:312.05pt;margin-top:39.9pt;height:8.65pt;width:147.35pt;mso-position-horizontal-relative:page;mso-position-vertical-relative:page;mso-wrap-style:none;z-index:-251657216;mso-width-relative:page;mso-height-relative:page;" filled="f" stroked="f" coordsize="21600,21600" o:gfxdata="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OtJhNUA&#10;AAAJAQAADwAAAAAAAAABACAAAAAiAAAAZHJzL2Rvd25yZXYueG1sUEsBAhQAFAAAAAgAh07iQO6G&#10;JmewAQAAdAMAAA4AAAAAAAAAAQAgAAAAJAEAAGRycy9lMm9Eb2MueG1sUEsFBgAAAAAGAAYAWQEA&#10;AEYFAAAAAA==&#10;">
              <v:fill on="f" focussize="0,0"/>
              <v:stroke on="f"/>
              <v:imagedata o:title=""/>
              <o:lock v:ext="edit" aspectratio="f"/>
              <v:textbox inset="0mm,0mm,0mm,0mm" style="mso-fit-shape-to-text:t;">
                <w:txbxContent>
                  <w:p w14:paraId="4A6938B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rPr>
                      <w:t>在建工程抵押与房地一体原则的适用丨</w:t>
                    </w:r>
                    <w:r>
                      <w:rPr>
                        <w:rFonts w:ascii="Times New Roman" w:hAnsi="Times New Roman" w:eastAsia="Times New Roman" w:cs="Times New Roman"/>
                        <w:b/>
                        <w:bCs/>
                        <w:color w:val="000000"/>
                        <w:spacing w:val="0"/>
                        <w:w w:val="100"/>
                        <w:position w:val="0"/>
                        <w:sz w:val="15"/>
                        <w:szCs w:val="15"/>
                      </w:rPr>
                      <w:t>225</w:t>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356EC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4771390</wp:posOffset>
              </wp:positionH>
              <wp:positionV relativeFrom="page">
                <wp:posOffset>501015</wp:posOffset>
              </wp:positionV>
              <wp:extent cx="1158240" cy="109855"/>
              <wp:effectExtent l="0" t="0" r="0" b="0"/>
              <wp:wrapNone/>
              <wp:docPr id="59" name="Shape 59"/>
              <wp:cNvGraphicFramePr/>
              <a:graphic xmlns:a="http://schemas.openxmlformats.org/drawingml/2006/main">
                <a:graphicData uri="http://schemas.microsoft.com/office/word/2010/wordprocessingShape">
                  <wps:wsp>
                    <wps:cNvSpPr txBox="1"/>
                    <wps:spPr>
                      <a:xfrm>
                        <a:off x="0" y="0"/>
                        <a:ext cx="1158240" cy="109855"/>
                      </a:xfrm>
                      <a:prstGeom prst="rect">
                        <a:avLst/>
                      </a:prstGeom>
                      <a:noFill/>
                    </wps:spPr>
                    <wps:txbx>
                      <w:txbxContent>
                        <w:p w14:paraId="7615383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宪法权利的民法效力丨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59" o:spid="_x0000_s1026" o:spt="202" type="#_x0000_t202" style="position:absolute;left:0pt;margin-left:375.7pt;margin-top:39.45pt;height:8.65pt;width:91.2pt;mso-position-horizontal-relative:page;mso-position-vertical-relative:page;mso-wrap-style:none;z-index:-251657216;mso-width-relative:page;mso-height-relative:page;" filled="f" stroked="f" coordsize="21600,21600" o:gfxdata="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pdJ5HVAAAA&#10;CQEAAA8AAAAAAAAAAQAgAAAAIgAAAGRycy9kb3ducmV2LnhtbFBLAQIUABQAAAAIAIdO4kDdql/C&#10;rgEAAHIDAAAOAAAAAAAAAAEAIAAAACQBAABkcnMvZTJvRG9jLnhtbFBLBQYAAAAABgAGAFkBAABE&#10;BQAAAAA=&#10;">
              <v:fill on="f" focussize="0,0"/>
              <v:stroke on="f"/>
              <v:imagedata o:title=""/>
              <o:lock v:ext="edit" aspectratio="f"/>
              <v:textbox inset="0mm,0mm,0mm,0mm" style="mso-fit-shape-to-text:t;">
                <w:txbxContent>
                  <w:p w14:paraId="7615383C">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宪法权利的民法效力丨</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A4B63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3963035</wp:posOffset>
              </wp:positionH>
              <wp:positionV relativeFrom="page">
                <wp:posOffset>506730</wp:posOffset>
              </wp:positionV>
              <wp:extent cx="1871345" cy="109855"/>
              <wp:effectExtent l="0" t="0" r="0" b="0"/>
              <wp:wrapNone/>
              <wp:docPr id="667" name="Shape 667"/>
              <wp:cNvGraphicFramePr/>
              <a:graphic xmlns:a="http://schemas.openxmlformats.org/drawingml/2006/main">
                <a:graphicData uri="http://schemas.microsoft.com/office/word/2010/wordprocessingShape">
                  <wps:wsp>
                    <wps:cNvSpPr txBox="1"/>
                    <wps:spPr>
                      <a:xfrm>
                        <a:off x="0" y="0"/>
                        <a:ext cx="1871345" cy="109855"/>
                      </a:xfrm>
                      <a:prstGeom prst="rect">
                        <a:avLst/>
                      </a:prstGeom>
                      <a:noFill/>
                    </wps:spPr>
                    <wps:txbx>
                      <w:txbxContent>
                        <w:p w14:paraId="7E2AA5C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rPr>
                            <w:t>在建工程抵押与房地一体原则的适用丨</w:t>
                          </w:r>
                          <w:r>
                            <w:rPr>
                              <w:rFonts w:ascii="Times New Roman" w:hAnsi="Times New Roman" w:eastAsia="Times New Roman" w:cs="Times New Roman"/>
                              <w:b/>
                              <w:bCs/>
                              <w:color w:val="000000"/>
                              <w:spacing w:val="0"/>
                              <w:w w:val="100"/>
                              <w:position w:val="0"/>
                              <w:sz w:val="15"/>
                              <w:szCs w:val="15"/>
                            </w:rPr>
                            <w:t>225</w:t>
                          </w:r>
                        </w:p>
                      </w:txbxContent>
                    </wps:txbx>
                    <wps:bodyPr wrap="none" lIns="0" tIns="0" rIns="0" bIns="0">
                      <a:spAutoFit/>
                    </wps:bodyPr>
                  </wps:wsp>
                </a:graphicData>
              </a:graphic>
            </wp:anchor>
          </w:drawing>
        </mc:Choice>
        <mc:Fallback>
          <w:pict>
            <v:shape id="Shape 667" o:spid="_x0000_s1026" o:spt="202" type="#_x0000_t202" style="position:absolute;left:0pt;margin-left:312.05pt;margin-top:39.9pt;height:8.65pt;width:147.35pt;mso-position-horizontal-relative:page;mso-position-vertical-relative:page;mso-wrap-style:none;z-index:-251657216;mso-width-relative:page;mso-height-relative:page;" filled="f" stroked="f" coordsize="21600,21600" o:gfxdata="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OtJhNUA&#10;AAAJAQAADwAAAAAAAAABACAAAAAiAAAAZHJzL2Rvd25yZXYueG1sUEsBAhQAFAAAAAgAh07iQA9Y&#10;uZGwAQAAdAMAAA4AAAAAAAAAAQAgAAAAJAEAAGRycy9lMm9Eb2MueG1sUEsFBgAAAAAGAAYAWQEA&#10;AEYFAAAAAA==&#10;">
              <v:fill on="f" focussize="0,0"/>
              <v:stroke on="f"/>
              <v:imagedata o:title=""/>
              <o:lock v:ext="edit" aspectratio="f"/>
              <v:textbox inset="0mm,0mm,0mm,0mm" style="mso-fit-shape-to-text:t;">
                <w:txbxContent>
                  <w:p w14:paraId="7E2AA5C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8"/>
                        <w:szCs w:val="18"/>
                      </w:rPr>
                      <w:t>在建工程抵押与房地一体原则的适用丨</w:t>
                    </w:r>
                    <w:r>
                      <w:rPr>
                        <w:rFonts w:ascii="Times New Roman" w:hAnsi="Times New Roman" w:eastAsia="Times New Roman" w:cs="Times New Roman"/>
                        <w:b/>
                        <w:bCs/>
                        <w:color w:val="000000"/>
                        <w:spacing w:val="0"/>
                        <w:w w:val="100"/>
                        <w:position w:val="0"/>
                        <w:sz w:val="15"/>
                        <w:szCs w:val="15"/>
                      </w:rPr>
                      <w:t>225</w:t>
                    </w:r>
                  </w:p>
                </w:txbxContent>
              </v:textbox>
            </v:shape>
          </w:pict>
        </mc:Fallback>
      </mc:AlternateContent>
    </w: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91EBE8">
    <w:pPr>
      <w:widowControl w:val="0"/>
      <w:spacing w:line="1" w:lineRule="exact"/>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F4DB4E">
    <w:pPr>
      <w:widowControl w:val="0"/>
      <w:spacing w:line="1" w:lineRule="exact"/>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65F9D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3885565</wp:posOffset>
              </wp:positionH>
              <wp:positionV relativeFrom="page">
                <wp:posOffset>490220</wp:posOffset>
              </wp:positionV>
              <wp:extent cx="2068195" cy="109855"/>
              <wp:effectExtent l="0" t="0" r="0" b="0"/>
              <wp:wrapNone/>
              <wp:docPr id="673" name="Shape 673"/>
              <wp:cNvGraphicFramePr/>
              <a:graphic xmlns:a="http://schemas.openxmlformats.org/drawingml/2006/main">
                <a:graphicData uri="http://schemas.microsoft.com/office/word/2010/wordprocessingShape">
                  <wps:wsp>
                    <wps:cNvSpPr txBox="1"/>
                    <wps:spPr>
                      <a:xfrm>
                        <a:off x="0" y="0"/>
                        <a:ext cx="2068195" cy="109855"/>
                      </a:xfrm>
                      <a:prstGeom prst="rect">
                        <a:avLst/>
                      </a:prstGeom>
                      <a:noFill/>
                    </wps:spPr>
                    <wps:txbx>
                      <w:txbxContent>
                        <w:p w14:paraId="0F97FF6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主债权诉讼时效期间届满抵押权是否消灭丨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73" o:spid="_x0000_s1026" o:spt="202" type="#_x0000_t202" style="position:absolute;left:0pt;margin-left:305.95pt;margin-top:38.6pt;height:8.65pt;width:162.85pt;mso-position-horizontal-relative:page;mso-position-vertical-relative:page;mso-wrap-style:none;z-index:-251657216;mso-width-relative:page;mso-height-relative:page;" filled="f" stroked="f" coordsize="21600,21600" o:gfxdata="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BaumdDW&#10;AAAACQEAAA8AAAAAAAAAAQAgAAAAIgAAAGRycy9kb3ducmV2LnhtbFBLAQIUABQAAAAIAIdO4kCI&#10;Ct0IsAEAAHQDAAAOAAAAAAAAAAEAIAAAACUBAABkcnMvZTJvRG9jLnhtbFBLBQYAAAAABgAGAFkB&#10;AABHBQAAAAA=&#10;">
              <v:fill on="f" focussize="0,0"/>
              <v:stroke on="f"/>
              <v:imagedata o:title=""/>
              <o:lock v:ext="edit" aspectratio="f"/>
              <v:textbox inset="0mm,0mm,0mm,0mm" style="mso-fit-shape-to-text:t;">
                <w:txbxContent>
                  <w:p w14:paraId="0F97FF6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主债权诉讼时效期间届满抵押权是否消灭丨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DF7A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75" name="Shape 67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5029D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7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wlZW&#10;zq8BAABzAwAADgAAAAAAAAABACAAAAAkAQAAZHJzL2Uyb0RvYy54bWxQSwUGAAAAAAYABgBZAQAA&#10;RQUAAAAA&#10;">
              <v:fill on="f" focussize="0,0"/>
              <v:stroke on="f"/>
              <v:imagedata o:title=""/>
              <o:lock v:ext="edit" aspectratio="f"/>
              <v:textbox inset="0mm,0mm,0mm,0mm" style="mso-fit-shape-to-text:t;">
                <w:txbxContent>
                  <w:p w14:paraId="45029D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43F375">
    <w:pPr>
      <w:widowControl w:val="0"/>
    </w:pPr>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82421">
    <w:pPr>
      <w:widowControl w:val="0"/>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45F6E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4103370</wp:posOffset>
              </wp:positionH>
              <wp:positionV relativeFrom="page">
                <wp:posOffset>520700</wp:posOffset>
              </wp:positionV>
              <wp:extent cx="1789430" cy="107950"/>
              <wp:effectExtent l="0" t="0" r="0" b="0"/>
              <wp:wrapNone/>
              <wp:docPr id="683" name="Shape 683"/>
              <wp:cNvGraphicFramePr/>
              <a:graphic xmlns:a="http://schemas.openxmlformats.org/drawingml/2006/main">
                <a:graphicData uri="http://schemas.microsoft.com/office/word/2010/wordprocessingShape">
                  <wps:wsp>
                    <wps:cNvSpPr txBox="1"/>
                    <wps:spPr>
                      <a:xfrm>
                        <a:off x="0" y="0"/>
                        <a:ext cx="1789430" cy="107950"/>
                      </a:xfrm>
                      <a:prstGeom prst="rect">
                        <a:avLst/>
                      </a:prstGeom>
                      <a:noFill/>
                    </wps:spPr>
                    <wps:txbx>
                      <w:txbxContent>
                        <w:p w14:paraId="0D5094B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最高额担保中</w:t>
                          </w:r>
                          <w:r>
                            <w:rPr>
                              <w:color w:val="000000"/>
                              <w:spacing w:val="0"/>
                              <w:w w:val="100"/>
                              <w:position w:val="0"/>
                              <w:sz w:val="15"/>
                              <w:szCs w:val="15"/>
                              <w:lang w:val="zh-CN" w:eastAsia="zh-CN" w:bidi="zh-CN"/>
                            </w:rPr>
                            <w:t>“最</w:t>
                          </w:r>
                          <w:r>
                            <w:rPr>
                              <w:color w:val="000000"/>
                              <w:spacing w:val="0"/>
                              <w:w w:val="100"/>
                              <w:position w:val="0"/>
                              <w:sz w:val="15"/>
                              <w:szCs w:val="15"/>
                            </w:rPr>
                            <w:t>高额</w:t>
                          </w:r>
                          <w:r>
                            <w:rPr>
                              <w:color w:val="000000"/>
                              <w:spacing w:val="0"/>
                              <w:w w:val="100"/>
                              <w:position w:val="0"/>
                              <w:sz w:val="15"/>
                              <w:szCs w:val="15"/>
                              <w:lang w:val="zh-CN" w:eastAsia="zh-CN" w:bidi="zh-CN"/>
                            </w:rPr>
                            <w:t>”含义</w:t>
                          </w:r>
                          <w:r>
                            <w:rPr>
                              <w:color w:val="000000"/>
                              <w:spacing w:val="0"/>
                              <w:w w:val="100"/>
                              <w:position w:val="0"/>
                              <w:sz w:val="15"/>
                              <w:szCs w:val="15"/>
                            </w:rPr>
                            <w:t>的确定丨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83" o:spid="_x0000_s1026" o:spt="202" type="#_x0000_t202" style="position:absolute;left:0pt;margin-left:323.1pt;margin-top:41pt;height:8.5pt;width:140.9pt;mso-position-horizontal-relative:page;mso-position-vertical-relative:page;mso-wrap-style:none;z-index:-251657216;mso-width-relative:page;mso-height-relative:page;" filled="f" stroked="f" coordsize="21600,21600" o:gfxdata="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hmQ9UA&#10;AAAJAQAADwAAAAAAAAABACAAAAAiAAAAZHJzL2Rvd25yZXYueG1sUEsBAhQAFAAAAAgAh07iQFBD&#10;ZSiwAQAAdAMAAA4AAAAAAAAAAQAgAAAAJAEAAGRycy9lMm9Eb2MueG1sUEsFBgAAAAAGAAYAWQEA&#10;AEYFAAAAAA==&#10;">
              <v:fill on="f" focussize="0,0"/>
              <v:stroke on="f"/>
              <v:imagedata o:title=""/>
              <o:lock v:ext="edit" aspectratio="f"/>
              <v:textbox inset="0mm,0mm,0mm,0mm" style="mso-fit-shape-to-text:t;">
                <w:txbxContent>
                  <w:p w14:paraId="0D5094B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最高额担保中</w:t>
                    </w:r>
                    <w:r>
                      <w:rPr>
                        <w:color w:val="000000"/>
                        <w:spacing w:val="0"/>
                        <w:w w:val="100"/>
                        <w:position w:val="0"/>
                        <w:sz w:val="15"/>
                        <w:szCs w:val="15"/>
                        <w:lang w:val="zh-CN" w:eastAsia="zh-CN" w:bidi="zh-CN"/>
                      </w:rPr>
                      <w:t>“最</w:t>
                    </w:r>
                    <w:r>
                      <w:rPr>
                        <w:color w:val="000000"/>
                        <w:spacing w:val="0"/>
                        <w:w w:val="100"/>
                        <w:position w:val="0"/>
                        <w:sz w:val="15"/>
                        <w:szCs w:val="15"/>
                      </w:rPr>
                      <w:t>高额</w:t>
                    </w:r>
                    <w:r>
                      <w:rPr>
                        <w:color w:val="000000"/>
                        <w:spacing w:val="0"/>
                        <w:w w:val="100"/>
                        <w:position w:val="0"/>
                        <w:sz w:val="15"/>
                        <w:szCs w:val="15"/>
                        <w:lang w:val="zh-CN" w:eastAsia="zh-CN" w:bidi="zh-CN"/>
                      </w:rPr>
                      <w:t>”含义</w:t>
                    </w:r>
                    <w:r>
                      <w:rPr>
                        <w:color w:val="000000"/>
                        <w:spacing w:val="0"/>
                        <w:w w:val="100"/>
                        <w:position w:val="0"/>
                        <w:sz w:val="15"/>
                        <w:szCs w:val="15"/>
                      </w:rPr>
                      <w:t>的确定丨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1F64D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85" name="Shape 68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4C0E8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8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9ijt&#10;9K8BAABzAwAADgAAAAAAAAABACAAAAAkAQAAZHJzL2Uyb0RvYy54bWxQSwUGAAAAAAYABgBZAQAA&#10;RQUAAAAA&#10;">
              <v:fill on="f" focussize="0,0"/>
              <v:stroke on="f"/>
              <v:imagedata o:title=""/>
              <o:lock v:ext="edit" aspectratio="f"/>
              <v:textbox inset="0mm,0mm,0mm,0mm" style="mso-fit-shape-to-text:t;">
                <w:txbxContent>
                  <w:p w14:paraId="44C0E8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78F921">
    <w:pPr>
      <w:widowControl w:val="0"/>
      <w:spacing w:line="1"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E011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5207000</wp:posOffset>
              </wp:positionH>
              <wp:positionV relativeFrom="page">
                <wp:posOffset>530225</wp:posOffset>
              </wp:positionV>
              <wp:extent cx="652145" cy="109855"/>
              <wp:effectExtent l="0" t="0" r="0" b="0"/>
              <wp:wrapNone/>
              <wp:docPr id="5" name="Shape 5"/>
              <wp:cNvGraphicFramePr/>
              <a:graphic xmlns:a="http://schemas.openxmlformats.org/drawingml/2006/main">
                <a:graphicData uri="http://schemas.microsoft.com/office/word/2010/wordprocessingShape">
                  <wps:wsp>
                    <wps:cNvSpPr txBox="1"/>
                    <wps:spPr>
                      <a:xfrm>
                        <a:off x="0" y="0"/>
                        <a:ext cx="652145" cy="109855"/>
                      </a:xfrm>
                      <a:prstGeom prst="rect">
                        <a:avLst/>
                      </a:prstGeom>
                      <a:noFill/>
                    </wps:spPr>
                    <wps:txbx>
                      <w:txbxContent>
                        <w:p w14:paraId="7A3AC0AF">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序 言丨</w:t>
                          </w:r>
                          <w:r>
                            <w:rPr>
                              <w:rFonts w:ascii="Times New Roman" w:hAnsi="Times New Roman" w:eastAsia="Times New Roman" w:cs="Times New Roman"/>
                              <w:color w:val="000000"/>
                              <w:spacing w:val="0"/>
                              <w:w w:val="100"/>
                              <w:position w:val="0"/>
                              <w:sz w:val="17"/>
                              <w:szCs w:val="17"/>
                            </w:rPr>
                            <w:t>003</w:t>
                          </w:r>
                        </w:p>
                      </w:txbxContent>
                    </wps:txbx>
                    <wps:bodyPr wrap="none" lIns="0" tIns="0" rIns="0" bIns="0">
                      <a:spAutoFit/>
                    </wps:bodyPr>
                  </wps:wsp>
                </a:graphicData>
              </a:graphic>
            </wp:anchor>
          </w:drawing>
        </mc:Choice>
        <mc:Fallback>
          <w:pict>
            <v:shape id="Shape 5" o:spid="_x0000_s1026" o:spt="202" type="#_x0000_t202" style="position:absolute;left:0pt;margin-left:410pt;margin-top:41.75pt;height:8.65pt;width:51.35pt;mso-position-horizontal-relative:page;mso-position-vertical-relative:page;mso-wrap-style:none;z-index:-251657216;mso-width-relative:page;mso-height-relative:page;" filled="f" stroked="f" coordsize="21600,21600" o:gfxdata="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5aJ6NUAAAAK&#10;AQAADwAAAAAAAAABACAAAAAiAAAAZHJzL2Rvd25yZXYueG1sUEsBAhQAFAAAAAgAh07iQOMKuo6t&#10;AQAAbwMAAA4AAAAAAAAAAQAgAAAAJAEAAGRycy9lMm9Eb2MueG1sUEsFBgAAAAAGAAYAWQEAAEMF&#10;AAAAAA==&#10;">
              <v:fill on="f" focussize="0,0"/>
              <v:stroke on="f"/>
              <v:imagedata o:title=""/>
              <o:lock v:ext="edit" aspectratio="f"/>
              <v:textbox inset="0mm,0mm,0mm,0mm" style="mso-fit-shape-to-text:t;">
                <w:txbxContent>
                  <w:p w14:paraId="7A3AC0AF">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序 言丨</w:t>
                    </w:r>
                    <w:r>
                      <w:rPr>
                        <w:rFonts w:ascii="Times New Roman" w:hAnsi="Times New Roman" w:eastAsia="Times New Roman" w:cs="Times New Roman"/>
                        <w:color w:val="000000"/>
                        <w:spacing w:val="0"/>
                        <w:w w:val="100"/>
                        <w:position w:val="0"/>
                        <w:sz w:val="17"/>
                        <w:szCs w:val="17"/>
                      </w:rPr>
                      <w:t>003</w:t>
                    </w:r>
                  </w:p>
                </w:txbxContent>
              </v:textbox>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EA2B0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1" name="Shape 6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7A7352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AQcE0B&#10;rgEAAHEDAAAOAAAAAAAAAAEAIAAAACQBAABkcnMvZTJvRG9jLnhtbFBLBQYAAAAABgAGAFkBAABE&#10;BQAAAAA=&#10;">
              <v:fill on="f" focussize="0,0"/>
              <v:stroke on="f"/>
              <v:imagedata o:title=""/>
              <o:lock v:ext="edit" aspectratio="f"/>
              <v:textbox inset="0mm,0mm,0mm,0mm" style="mso-fit-shape-to-text:t;">
                <w:txbxContent>
                  <w:p w14:paraId="77A7352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49DD2">
    <w:pPr>
      <w:widowControl w:val="0"/>
      <w:spacing w:line="1" w:lineRule="exact"/>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F377E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4994275</wp:posOffset>
              </wp:positionH>
              <wp:positionV relativeFrom="page">
                <wp:posOffset>528955</wp:posOffset>
              </wp:positionV>
              <wp:extent cx="963295" cy="109855"/>
              <wp:effectExtent l="0" t="0" r="0" b="0"/>
              <wp:wrapNone/>
              <wp:docPr id="693" name="Shape 693"/>
              <wp:cNvGraphicFramePr/>
              <a:graphic xmlns:a="http://schemas.openxmlformats.org/drawingml/2006/main">
                <a:graphicData uri="http://schemas.microsoft.com/office/word/2010/wordprocessingShape">
                  <wps:wsp>
                    <wps:cNvSpPr txBox="1"/>
                    <wps:spPr>
                      <a:xfrm>
                        <a:off x="0" y="0"/>
                        <a:ext cx="963295" cy="109855"/>
                      </a:xfrm>
                      <a:prstGeom prst="rect">
                        <a:avLst/>
                      </a:prstGeom>
                      <a:noFill/>
                    </wps:spPr>
                    <wps:txbx>
                      <w:txbxContent>
                        <w:p w14:paraId="4FCCBE0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流质条款的效力</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693" o:spid="_x0000_s1026" o:spt="202" type="#_x0000_t202" style="position:absolute;left:0pt;margin-left:393.25pt;margin-top:41.65pt;height:8.65pt;width:75.85pt;mso-position-horizontal-relative:page;mso-position-vertical-relative:page;mso-wrap-style:none;z-index:-251657216;mso-width-relative:page;mso-height-relative:page;" filled="f" stroked="f" coordsize="21600,21600" o:gfxdata="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fGE2p1QAA&#10;AAoBAAAPAAAAAAAAAAEAIAAAACIAAABkcnMvZG93bnJldi54bWxQSwECFAAUAAAACACHTuJAkkQa&#10;Ka8BAABzAwAADgAAAAAAAAABACAAAAAkAQAAZHJzL2Uyb0RvYy54bWxQSwUGAAAAAAYABgBZAQAA&#10;RQUAAAAA&#10;">
              <v:fill on="f" focussize="0,0"/>
              <v:stroke on="f"/>
              <v:imagedata o:title=""/>
              <o:lock v:ext="edit" aspectratio="f"/>
              <v:textbox inset="0mm,0mm,0mm,0mm" style="mso-fit-shape-to-text:t;">
                <w:txbxContent>
                  <w:p w14:paraId="4FCCBE0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流质条款的效力</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DC6CA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95" name="Shape 69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3D2287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9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KZE&#10;GmKwAQAAcwMAAA4AAAAAAAAAAQAgAAAAJAEAAGRycy9lMm9Eb2MueG1sUEsFBgAAAAAGAAYAWQEA&#10;AEYFAAAAAA==&#10;">
              <v:fill on="f" focussize="0,0"/>
              <v:stroke on="f"/>
              <v:imagedata o:title=""/>
              <o:lock v:ext="edit" aspectratio="f"/>
              <v:textbox inset="0mm,0mm,0mm,0mm" style="mso-fit-shape-to-text:t;">
                <w:txbxContent>
                  <w:p w14:paraId="73D2287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2222D7">
    <w:pPr>
      <w:widowControl w:val="0"/>
      <w:spacing w:line="1" w:lineRule="exact"/>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49CF9">
    <w:pPr>
      <w:widowControl w:val="0"/>
      <w:spacing w:line="1" w:lineRule="exact"/>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2C5AA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4015105</wp:posOffset>
              </wp:positionH>
              <wp:positionV relativeFrom="page">
                <wp:posOffset>516255</wp:posOffset>
              </wp:positionV>
              <wp:extent cx="1873250" cy="107950"/>
              <wp:effectExtent l="0" t="0" r="0" b="0"/>
              <wp:wrapNone/>
              <wp:docPr id="703" name="Shape 703"/>
              <wp:cNvGraphicFramePr/>
              <a:graphic xmlns:a="http://schemas.openxmlformats.org/drawingml/2006/main">
                <a:graphicData uri="http://schemas.microsoft.com/office/word/2010/wordprocessingShape">
                  <wps:wsp>
                    <wps:cNvSpPr txBox="1"/>
                    <wps:spPr>
                      <a:xfrm>
                        <a:off x="0" y="0"/>
                        <a:ext cx="1873250" cy="107950"/>
                      </a:xfrm>
                      <a:prstGeom prst="rect">
                        <a:avLst/>
                      </a:prstGeom>
                      <a:noFill/>
                    </wps:spPr>
                    <wps:txbx>
                      <w:txbxContent>
                        <w:p w14:paraId="55D18E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特许经营项目收益权质押的效力认定丨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03" o:spid="_x0000_s1026" o:spt="202" type="#_x0000_t202" style="position:absolute;left:0pt;margin-left:316.15pt;margin-top:40.65pt;height:8.5pt;width:147.5pt;mso-position-horizontal-relative:page;mso-position-vertical-relative:page;mso-wrap-style:none;z-index:-251657216;mso-width-relative:page;mso-height-relative:page;" filled="f" stroked="f" coordsize="21600,21600" o:gfxdata="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dgCmzVAAAA&#10;CQEAAA8AAAAAAAAAAQAgAAAAIgAAAGRycy9kb3ducmV2LnhtbFBLAQIUABQAAAAIAIdO4kBzbKQh&#10;rgEAAHQDAAAOAAAAAAAAAAEAIAAAACQBAABkcnMvZTJvRG9jLnhtbFBLBQYAAAAABgAGAFkBAABE&#10;BQAAAAA=&#10;">
              <v:fill on="f" focussize="0,0"/>
              <v:stroke on="f"/>
              <v:imagedata o:title=""/>
              <o:lock v:ext="edit" aspectratio="f"/>
              <v:textbox inset="0mm,0mm,0mm,0mm" style="mso-fit-shape-to-text:t;">
                <w:txbxContent>
                  <w:p w14:paraId="55D18E4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特许经营项目收益权质押的效力认定丨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F3D92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05" name="Shape 70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F779E5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0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Gj5&#10;jfOwAQAAcwMAAA4AAAAAAAAAAQAgAAAAJAEAAGRycy9lMm9Eb2MueG1sUEsFBgAAAAAGAAYAWQEA&#10;AEYFAAAAAA==&#10;">
              <v:fill on="f" focussize="0,0"/>
              <v:stroke on="f"/>
              <v:imagedata o:title=""/>
              <o:lock v:ext="edit" aspectratio="f"/>
              <v:textbox inset="0mm,0mm,0mm,0mm" style="mso-fit-shape-to-text:t;">
                <w:txbxContent>
                  <w:p w14:paraId="5F779E5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65B38F">
    <w:pPr>
      <w:widowControl w:val="0"/>
      <w:spacing w:line="1" w:lineRule="exact"/>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61E187">
    <w:pPr>
      <w:widowControl w:val="0"/>
      <w:spacing w:line="1" w:lineRule="exact"/>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F8A4A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13" name="Shape 71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B3A54A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1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R1pzDr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r+YXn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da&#10;cw6wAQAAcwMAAA4AAAAAAAAAAQAgAAAAJAEAAGRycy9lMm9Eb2MueG1sUEsFBgAAAAAGAAYAWQEA&#10;AEYFAAAAAA==&#10;">
              <v:fill on="f" focussize="0,0"/>
              <v:stroke on="f"/>
              <v:imagedata o:title=""/>
              <o:lock v:ext="edit" aspectratio="f"/>
              <v:textbox inset="0mm,0mm,0mm,0mm" style="mso-fit-shape-to-text:t;">
                <w:txbxContent>
                  <w:p w14:paraId="0B3A54A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177E5E">
    <w:pPr>
      <w:widowControl w:val="0"/>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FE05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15" name="Shape 7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BBB7E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DiV&#10;emWwAQAAcwMAAA4AAAAAAAAAAQAgAAAAJAEAAGRycy9lMm9Eb2MueG1sUEsFBgAAAAAGAAYAWQEA&#10;AEYFAAAAAA==&#10;">
              <v:fill on="f" focussize="0,0"/>
              <v:stroke on="f"/>
              <v:imagedata o:title=""/>
              <o:lock v:ext="edit" aspectratio="f"/>
              <v:textbox inset="0mm,0mm,0mm,0mm" style="mso-fit-shape-to-text:t;">
                <w:txbxContent>
                  <w:p w14:paraId="0BBB7EB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1BD5A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4481195</wp:posOffset>
              </wp:positionH>
              <wp:positionV relativeFrom="page">
                <wp:posOffset>530860</wp:posOffset>
              </wp:positionV>
              <wp:extent cx="1470660" cy="109855"/>
              <wp:effectExtent l="0" t="0" r="0" b="0"/>
              <wp:wrapNone/>
              <wp:docPr id="717" name="Shape 717"/>
              <wp:cNvGraphicFramePr/>
              <a:graphic xmlns:a="http://schemas.openxmlformats.org/drawingml/2006/main">
                <a:graphicData uri="http://schemas.microsoft.com/office/word/2010/wordprocessingShape">
                  <wps:wsp>
                    <wps:cNvSpPr txBox="1"/>
                    <wps:spPr>
                      <a:xfrm>
                        <a:off x="0" y="0"/>
                        <a:ext cx="1470660" cy="109855"/>
                      </a:xfrm>
                      <a:prstGeom prst="rect">
                        <a:avLst/>
                      </a:prstGeom>
                      <a:noFill/>
                    </wps:spPr>
                    <wps:txbx>
                      <w:txbxContent>
                        <w:p w14:paraId="023302A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17" o:spid="_x0000_s1026" o:spt="202" type="#_x0000_t202" style="position:absolute;left:0pt;margin-left:352.85pt;margin-top:41.8pt;height:8.65pt;width:115.8pt;mso-position-horizontal-relative:page;mso-position-vertical-relative:page;mso-wrap-style:none;z-index:-251657216;mso-width-relative:page;mso-height-relative:page;" filled="f" stroked="f" coordsize="21600,21600" o:gfxdata="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1U1O41QAA&#10;AAoBAAAPAAAAAAAAAAEAIAAAACIAAABkcnMvZG93bnJldi54bWxQSwECFAAUAAAACACHTuJA6fOQ&#10;I68BAAB0AwAADgAAAAAAAAABACAAAAAkAQAAZHJzL2Uyb0RvYy54bWxQSwUGAAAAAAYABgBZAQAA&#10;RQUAAAAA&#10;">
              <v:fill on="f" focussize="0,0"/>
              <v:stroke on="f"/>
              <v:imagedata o:title=""/>
              <o:lock v:ext="edit" aspectratio="f"/>
              <v:textbox inset="0mm,0mm,0mm,0mm" style="mso-fit-shape-to-text:t;">
                <w:txbxContent>
                  <w:p w14:paraId="023302A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549BB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4476750</wp:posOffset>
              </wp:positionH>
              <wp:positionV relativeFrom="page">
                <wp:posOffset>523240</wp:posOffset>
              </wp:positionV>
              <wp:extent cx="1471930" cy="113030"/>
              <wp:effectExtent l="0" t="0" r="0" b="0"/>
              <wp:wrapNone/>
              <wp:docPr id="719" name="Shape 719"/>
              <wp:cNvGraphicFramePr/>
              <a:graphic xmlns:a="http://schemas.openxmlformats.org/drawingml/2006/main">
                <a:graphicData uri="http://schemas.microsoft.com/office/word/2010/wordprocessingShape">
                  <wps:wsp>
                    <wps:cNvSpPr txBox="1"/>
                    <wps:spPr>
                      <a:xfrm>
                        <a:off x="0" y="0"/>
                        <a:ext cx="1471930" cy="113030"/>
                      </a:xfrm>
                      <a:prstGeom prst="rect">
                        <a:avLst/>
                      </a:prstGeom>
                      <a:noFill/>
                    </wps:spPr>
                    <wps:txbx>
                      <w:txbxContent>
                        <w:p w14:paraId="1AC4389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保证金账户质押的设立要件丨</w:t>
                          </w:r>
                          <w:r>
                            <w:rPr>
                              <w:rFonts w:ascii="Times New Roman" w:hAnsi="Times New Roman" w:eastAsia="Times New Roman" w:cs="Times New Roman"/>
                              <w:b/>
                              <w:bCs/>
                              <w:color w:val="000000"/>
                              <w:spacing w:val="0"/>
                              <w:w w:val="100"/>
                              <w:position w:val="0"/>
                              <w:sz w:val="15"/>
                              <w:szCs w:val="15"/>
                            </w:rPr>
                            <w:t>249</w:t>
                          </w:r>
                        </w:p>
                      </w:txbxContent>
                    </wps:txbx>
                    <wps:bodyPr wrap="none" lIns="0" tIns="0" rIns="0" bIns="0">
                      <a:spAutoFit/>
                    </wps:bodyPr>
                  </wps:wsp>
                </a:graphicData>
              </a:graphic>
            </wp:anchor>
          </w:drawing>
        </mc:Choice>
        <mc:Fallback>
          <w:pict>
            <v:shape id="Shape 719" o:spid="_x0000_s1026" o:spt="202" type="#_x0000_t202" style="position:absolute;left:0pt;margin-left:352.5pt;margin-top:41.2pt;height:8.9pt;width:115.9pt;mso-position-horizontal-relative:page;mso-position-vertical-relative:page;mso-wrap-style:none;z-index:-251657216;mso-width-relative:page;mso-height-relative:page;" filled="f" stroked="f" coordsize="21600,21600" o:gfxdata="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Cf7L9dUAAAAK&#10;AQAADwAAAAAAAAABACAAAAAiAAAAZHJzL2Rvd25yZXYueG1sUEsBAhQAFAAAAAgAh07iQNmoInyt&#10;AQAAdAMAAA4AAAAAAAAAAQAgAAAAJAEAAGRycy9lMm9Eb2MueG1sUEsFBgAAAAAGAAYAWQEAAEMF&#10;AAAAAA==&#10;">
              <v:fill on="f" focussize="0,0"/>
              <v:stroke on="f"/>
              <v:imagedata o:title=""/>
              <o:lock v:ext="edit" aspectratio="f"/>
              <v:textbox inset="0mm,0mm,0mm,0mm" style="mso-fit-shape-to-text:t;">
                <w:txbxContent>
                  <w:p w14:paraId="1AC4389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保证金账户质押的设立要件丨</w:t>
                    </w:r>
                    <w:r>
                      <w:rPr>
                        <w:rFonts w:ascii="Times New Roman" w:hAnsi="Times New Roman" w:eastAsia="Times New Roman" w:cs="Times New Roman"/>
                        <w:b/>
                        <w:bCs/>
                        <w:color w:val="000000"/>
                        <w:spacing w:val="0"/>
                        <w:w w:val="100"/>
                        <w:position w:val="0"/>
                        <w:sz w:val="15"/>
                        <w:szCs w:val="15"/>
                      </w:rPr>
                      <w:t>249</w:t>
                    </w:r>
                  </w:p>
                </w:txbxContent>
              </v:textbox>
            </v:shape>
          </w:pict>
        </mc:Fallback>
      </mc:AlternateContent>
    </w:r>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5A3D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4476750</wp:posOffset>
              </wp:positionH>
              <wp:positionV relativeFrom="page">
                <wp:posOffset>523240</wp:posOffset>
              </wp:positionV>
              <wp:extent cx="1471930" cy="113030"/>
              <wp:effectExtent l="0" t="0" r="0" b="0"/>
              <wp:wrapNone/>
              <wp:docPr id="721" name="Shape 721"/>
              <wp:cNvGraphicFramePr/>
              <a:graphic xmlns:a="http://schemas.openxmlformats.org/drawingml/2006/main">
                <a:graphicData uri="http://schemas.microsoft.com/office/word/2010/wordprocessingShape">
                  <wps:wsp>
                    <wps:cNvSpPr txBox="1"/>
                    <wps:spPr>
                      <a:xfrm>
                        <a:off x="0" y="0"/>
                        <a:ext cx="1471930" cy="113030"/>
                      </a:xfrm>
                      <a:prstGeom prst="rect">
                        <a:avLst/>
                      </a:prstGeom>
                      <a:noFill/>
                    </wps:spPr>
                    <wps:txbx>
                      <w:txbxContent>
                        <w:p w14:paraId="47765D3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保证金账户质押的设立要件丨</w:t>
                          </w:r>
                          <w:r>
                            <w:rPr>
                              <w:rFonts w:ascii="Times New Roman" w:hAnsi="Times New Roman" w:eastAsia="Times New Roman" w:cs="Times New Roman"/>
                              <w:b/>
                              <w:bCs/>
                              <w:color w:val="000000"/>
                              <w:spacing w:val="0"/>
                              <w:w w:val="100"/>
                              <w:position w:val="0"/>
                              <w:sz w:val="15"/>
                              <w:szCs w:val="15"/>
                            </w:rPr>
                            <w:t>249</w:t>
                          </w:r>
                        </w:p>
                      </w:txbxContent>
                    </wps:txbx>
                    <wps:bodyPr wrap="none" lIns="0" tIns="0" rIns="0" bIns="0">
                      <a:spAutoFit/>
                    </wps:bodyPr>
                  </wps:wsp>
                </a:graphicData>
              </a:graphic>
            </wp:anchor>
          </w:drawing>
        </mc:Choice>
        <mc:Fallback>
          <w:pict>
            <v:shape id="Shape 721" o:spid="_x0000_s1026" o:spt="202" type="#_x0000_t202" style="position:absolute;left:0pt;margin-left:352.5pt;margin-top:41.2pt;height:8.9pt;width:115.9pt;mso-position-horizontal-relative:page;mso-position-vertical-relative:page;mso-wrap-style:none;z-index:-251657216;mso-width-relative:page;mso-height-relative:page;" filled="f" stroked="f" coordsize="21600,21600" o:gfxdata="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n+y/XVAAAA&#10;CgEAAA8AAAAAAAAAAQAgAAAAIgAAAGRycy9kb3ducmV2LnhtbFBLAQIUABQAAAAIAIdO4kB3NLms&#10;rgEAAHQDAAAOAAAAAAAAAAEAIAAAACQBAABkcnMvZTJvRG9jLnhtbFBLBQYAAAAABgAGAFkBAABE&#10;BQAAAAA=&#10;">
              <v:fill on="f" focussize="0,0"/>
              <v:stroke on="f"/>
              <v:imagedata o:title=""/>
              <o:lock v:ext="edit" aspectratio="f"/>
              <v:textbox inset="0mm,0mm,0mm,0mm" style="mso-fit-shape-to-text:t;">
                <w:txbxContent>
                  <w:p w14:paraId="47765D3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保证金账户质押的设立要件丨</w:t>
                    </w:r>
                    <w:r>
                      <w:rPr>
                        <w:rFonts w:ascii="Times New Roman" w:hAnsi="Times New Roman" w:eastAsia="Times New Roman" w:cs="Times New Roman"/>
                        <w:b/>
                        <w:bCs/>
                        <w:color w:val="000000"/>
                        <w:spacing w:val="0"/>
                        <w:w w:val="100"/>
                        <w:position w:val="0"/>
                        <w:sz w:val="15"/>
                        <w:szCs w:val="15"/>
                      </w:rPr>
                      <w:t>249</w:t>
                    </w:r>
                  </w:p>
                </w:txbxContent>
              </v:textbox>
            </v:shape>
          </w:pict>
        </mc:Fallback>
      </mc:AlternateContent>
    </w: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8BC4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23" name="Shape 72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509E31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2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9ugbbr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r+YXX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Pbo&#10;G26wAQAAcwMAAA4AAAAAAAAAAQAgAAAAJAEAAGRycy9lMm9Eb2MueG1sUEsFBgAAAAAGAAYAWQEA&#10;AEYFAAAAAA==&#10;">
              <v:fill on="f" focussize="0,0"/>
              <v:stroke on="f"/>
              <v:imagedata o:title=""/>
              <o:lock v:ext="edit" aspectratio="f"/>
              <v:textbox inset="0mm,0mm,0mm,0mm" style="mso-fit-shape-to-text:t;">
                <w:txbxContent>
                  <w:p w14:paraId="4509E31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C848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25" name="Shape 72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60268B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2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Ikn&#10;EgWwAQAAcwMAAA4AAAAAAAAAAQAgAAAAJAEAAGRycy9lMm9Eb2MueG1sUEsFBgAAAAAGAAYAWQEA&#10;AEYFAAAAAA==&#10;">
              <v:fill on="f" focussize="0,0"/>
              <v:stroke on="f"/>
              <v:imagedata o:title=""/>
              <o:lock v:ext="edit" aspectratio="f"/>
              <v:textbox inset="0mm,0mm,0mm,0mm" style="mso-fit-shape-to-text:t;">
                <w:txbxContent>
                  <w:p w14:paraId="660268B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232969">
    <w:pPr>
      <w:widowControl w:val="0"/>
      <w:spacing w:line="1" w:lineRule="exact"/>
    </w:pPr>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CA8F4">
    <w:pPr>
      <w:widowControl w:val="0"/>
      <w:spacing w:line="1" w:lineRule="exact"/>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1420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4525645</wp:posOffset>
              </wp:positionH>
              <wp:positionV relativeFrom="page">
                <wp:posOffset>508635</wp:posOffset>
              </wp:positionV>
              <wp:extent cx="1368425" cy="111125"/>
              <wp:effectExtent l="0" t="0" r="0" b="0"/>
              <wp:wrapNone/>
              <wp:docPr id="733" name="Shape 733"/>
              <wp:cNvGraphicFramePr/>
              <a:graphic xmlns:a="http://schemas.openxmlformats.org/drawingml/2006/main">
                <a:graphicData uri="http://schemas.microsoft.com/office/word/2010/wordprocessingShape">
                  <wps:wsp>
                    <wps:cNvSpPr txBox="1"/>
                    <wps:spPr>
                      <a:xfrm>
                        <a:off x="0" y="0"/>
                        <a:ext cx="1368425" cy="111125"/>
                      </a:xfrm>
                      <a:prstGeom prst="rect">
                        <a:avLst/>
                      </a:prstGeom>
                      <a:noFill/>
                    </wps:spPr>
                    <wps:txbx>
                      <w:txbxContent>
                        <w:p w14:paraId="46D884A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身份关系协议的法律适用丨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33" o:spid="_x0000_s1026" o:spt="202" type="#_x0000_t202" style="position:absolute;left:0pt;margin-left:356.35pt;margin-top:40.05pt;height:8.75pt;width:107.75pt;mso-position-horizontal-relative:page;mso-position-vertical-relative:page;mso-wrap-style:none;z-index:-251657216;mso-width-relative:page;mso-height-relative:page;" filled="f" stroked="f" coordsize="21600,21600" o:gfxdata="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Z+B8G1QAA&#10;AAkBAAAPAAAAAAAAAAEAIAAAACIAAABkcnMvZG93bnJldi54bWxQSwECFAAUAAAACACHTuJAQxaq&#10;1K8BAAB0AwAADgAAAAAAAAABACAAAAAkAQAAZHJzL2Uyb0RvYy54bWxQSwUGAAAAAAYABgBZAQAA&#10;RQUAAAAA&#10;">
              <v:fill on="f" focussize="0,0"/>
              <v:stroke on="f"/>
              <v:imagedata o:title=""/>
              <o:lock v:ext="edit" aspectratio="f"/>
              <v:textbox inset="0mm,0mm,0mm,0mm" style="mso-fit-shape-to-text:t;">
                <w:txbxContent>
                  <w:p w14:paraId="46D884A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身份关系协议的法律适用丨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C7566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35" name="Shape 73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6189F0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3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2Uvl&#10;k68BAABzAwAADgAAAAAAAAABACAAAAAkAQAAZHJzL2Uyb0RvYy54bWxQSwUGAAAAAAYABgBZAQAA&#10;RQUAAAAA&#10;">
              <v:fill on="f" focussize="0,0"/>
              <v:stroke on="f"/>
              <v:imagedata o:title=""/>
              <o:lock v:ext="edit" aspectratio="f"/>
              <v:textbox inset="0mm,0mm,0mm,0mm" style="mso-fit-shape-to-text:t;">
                <w:txbxContent>
                  <w:p w14:paraId="56189F0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6BD48">
    <w:pPr>
      <w:widowControl w:val="0"/>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33ED1">
    <w:pPr>
      <w:widowControl w:val="0"/>
      <w:spacing w:line="1" w:lineRule="exact"/>
    </w:pPr>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022D32">
    <w:pPr>
      <w:widowControl w:val="0"/>
      <w:spacing w:line="1" w:lineRule="exact"/>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69421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4584700</wp:posOffset>
              </wp:positionH>
              <wp:positionV relativeFrom="page">
                <wp:posOffset>497840</wp:posOffset>
              </wp:positionV>
              <wp:extent cx="1370330" cy="111125"/>
              <wp:effectExtent l="0" t="0" r="0" b="0"/>
              <wp:wrapNone/>
              <wp:docPr id="743" name="Shape 743"/>
              <wp:cNvGraphicFramePr/>
              <a:graphic xmlns:a="http://schemas.openxmlformats.org/drawingml/2006/main">
                <a:graphicData uri="http://schemas.microsoft.com/office/word/2010/wordprocessingShape">
                  <wps:wsp>
                    <wps:cNvSpPr txBox="1"/>
                    <wps:spPr>
                      <a:xfrm>
                        <a:off x="0" y="0"/>
                        <a:ext cx="1370330" cy="111125"/>
                      </a:xfrm>
                      <a:prstGeom prst="rect">
                        <a:avLst/>
                      </a:prstGeom>
                      <a:noFill/>
                    </wps:spPr>
                    <wps:txbx>
                      <w:txbxContent>
                        <w:p w14:paraId="50265C6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混合合同的法律适用规则丨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43" o:spid="_x0000_s1026" o:spt="202" type="#_x0000_t202" style="position:absolute;left:0pt;margin-left:361pt;margin-top:39.2pt;height:8.75pt;width:107.9pt;mso-position-horizontal-relative:page;mso-position-vertical-relative:page;mso-wrap-style:none;z-index:-251657216;mso-width-relative:page;mso-height-relative:page;" filled="f" stroked="f" coordsize="21600,21600" o:gfxdata="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EZSHzVAAAA&#10;CQEAAA8AAAAAAAAAAQAgAAAAIgAAAGRycy9kb3ducmV2LnhtbFBLAQIUABQAAAAIAIdO4kCF7sgy&#10;rgEAAHQDAAAOAAAAAAAAAAEAIAAAACQBAABkcnMvZTJvRG9jLnhtbFBLBQYAAAAABgAGAFkBAABE&#10;BQAAAAA=&#10;">
              <v:fill on="f" focussize="0,0"/>
              <v:stroke on="f"/>
              <v:imagedata o:title=""/>
              <o:lock v:ext="edit" aspectratio="f"/>
              <v:textbox inset="0mm,0mm,0mm,0mm" style="mso-fit-shape-to-text:t;">
                <w:txbxContent>
                  <w:p w14:paraId="50265C6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混合合同的法律适用规则丨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28AA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45" name="Shape 74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641680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4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OtC&#10;w8WwAQAAcwMAAA4AAAAAAAAAAQAgAAAAJAEAAGRycy9lMm9Eb2MueG1sUEsFBgAAAAAGAAYAWQEA&#10;AEYFAAAAAA==&#10;">
              <v:fill on="f" focussize="0,0"/>
              <v:stroke on="f"/>
              <v:imagedata o:title=""/>
              <o:lock v:ext="edit" aspectratio="f"/>
              <v:textbox inset="0mm,0mm,0mm,0mm" style="mso-fit-shape-to-text:t;">
                <w:txbxContent>
                  <w:p w14:paraId="4641680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EB10E3">
    <w:pPr>
      <w:widowControl w:val="0"/>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BEB0D8">
    <w:pPr>
      <w:widowControl w:val="0"/>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8103A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53" name="Shape 75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AD9F19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5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OE9OL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r+YX3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Th&#10;PTiwAQAAcwMAAA4AAAAAAAAAAQAgAAAAJAEAAGRycy9lMm9Eb2MueG1sUEsFBgAAAAAGAAYAWQEA&#10;AEYFAAAAAA==&#10;">
              <v:fill on="f" focussize="0,0"/>
              <v:stroke on="f"/>
              <v:imagedata o:title=""/>
              <o:lock v:ext="edit" aspectratio="f"/>
              <v:textbox inset="0mm,0mm,0mm,0mm" style="mso-fit-shape-to-text:t;">
                <w:txbxContent>
                  <w:p w14:paraId="1AD9F19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4471F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55" name="Shape 75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97B123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5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uy40&#10;U68BAABzAwAADgAAAAAAAAABACAAAAAkAQAAZHJzL2Uyb0RvYy54bWxQSwUGAAAAAAYABgBZAQAA&#10;RQUAAAAA&#10;">
              <v:fill on="f" focussize="0,0"/>
              <v:stroke on="f"/>
              <v:imagedata o:title=""/>
              <o:lock v:ext="edit" aspectratio="f"/>
              <v:textbox inset="0mm,0mm,0mm,0mm" style="mso-fit-shape-to-text:t;">
                <w:txbxContent>
                  <w:p w14:paraId="197B123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5659F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4331335</wp:posOffset>
              </wp:positionH>
              <wp:positionV relativeFrom="page">
                <wp:posOffset>528320</wp:posOffset>
              </wp:positionV>
              <wp:extent cx="1568450" cy="107950"/>
              <wp:effectExtent l="0" t="0" r="0" b="0"/>
              <wp:wrapNone/>
              <wp:docPr id="757" name="Shape 757"/>
              <wp:cNvGraphicFramePr/>
              <a:graphic xmlns:a="http://schemas.openxmlformats.org/drawingml/2006/main">
                <a:graphicData uri="http://schemas.microsoft.com/office/word/2010/wordprocessingShape">
                  <wps:wsp>
                    <wps:cNvSpPr txBox="1"/>
                    <wps:spPr>
                      <a:xfrm>
                        <a:off x="0" y="0"/>
                        <a:ext cx="1568450" cy="107950"/>
                      </a:xfrm>
                      <a:prstGeom prst="rect">
                        <a:avLst/>
                      </a:prstGeom>
                      <a:noFill/>
                    </wps:spPr>
                    <wps:txbx>
                      <w:txbxContent>
                        <w:p w14:paraId="5FFF706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合同联立的认定及其法律适用丨</w:t>
                          </w:r>
                          <w:r>
                            <w:rPr>
                              <w:rFonts w:ascii="Times New Roman" w:hAnsi="Times New Roman" w:eastAsia="Times New Roman" w:cs="Times New Roman"/>
                              <w:b/>
                              <w:bCs/>
                              <w:color w:val="000000"/>
                              <w:spacing w:val="0"/>
                              <w:w w:val="100"/>
                              <w:position w:val="0"/>
                              <w:sz w:val="15"/>
                              <w:szCs w:val="15"/>
                            </w:rPr>
                            <w:t>263</w:t>
                          </w:r>
                        </w:p>
                      </w:txbxContent>
                    </wps:txbx>
                    <wps:bodyPr wrap="none" lIns="0" tIns="0" rIns="0" bIns="0">
                      <a:spAutoFit/>
                    </wps:bodyPr>
                  </wps:wsp>
                </a:graphicData>
              </a:graphic>
            </wp:anchor>
          </w:drawing>
        </mc:Choice>
        <mc:Fallback>
          <w:pict>
            <v:shape id="Shape 757" o:spid="_x0000_s1026" o:spt="202" type="#_x0000_t202" style="position:absolute;left:0pt;margin-left:341.05pt;margin-top:41.6pt;height:8.5pt;width:123.5pt;mso-position-horizontal-relative:page;mso-position-vertical-relative:page;mso-wrap-style:none;z-index:-251657216;mso-width-relative:page;mso-height-relative:page;" filled="f" stroked="f" coordsize="21600,21600" o:gfxdata="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sQQWfVAAAA&#10;CgEAAA8AAAAAAAAAAQAgAAAAIgAAAGRycy9kb3ducmV2LnhtbFBLAQIUABQAAAAIAIdO4kBL1iqW&#10;rgEAAHQDAAAOAAAAAAAAAAEAIAAAACQBAABkcnMvZTJvRG9jLnhtbFBLBQYAAAAABgAGAFkBAABE&#10;BQAAAAA=&#10;">
              <v:fill on="f" focussize="0,0"/>
              <v:stroke on="f"/>
              <v:imagedata o:title=""/>
              <o:lock v:ext="edit" aspectratio="f"/>
              <v:textbox inset="0mm,0mm,0mm,0mm" style="mso-fit-shape-to-text:t;">
                <w:txbxContent>
                  <w:p w14:paraId="5FFF706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合同联立的认定及其法律适用丨</w:t>
                    </w:r>
                    <w:r>
                      <w:rPr>
                        <w:rFonts w:ascii="Times New Roman" w:hAnsi="Times New Roman" w:eastAsia="Times New Roman" w:cs="Times New Roman"/>
                        <w:b/>
                        <w:bCs/>
                        <w:color w:val="000000"/>
                        <w:spacing w:val="0"/>
                        <w:w w:val="100"/>
                        <w:position w:val="0"/>
                        <w:sz w:val="15"/>
                        <w:szCs w:val="15"/>
                      </w:rPr>
                      <w:t>263</w:t>
                    </w:r>
                  </w:p>
                </w:txbxContent>
              </v:textbox>
            </v:shape>
          </w:pict>
        </mc:Fallback>
      </mc:AlternateContent>
    </w: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15F4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4331335</wp:posOffset>
              </wp:positionH>
              <wp:positionV relativeFrom="page">
                <wp:posOffset>528320</wp:posOffset>
              </wp:positionV>
              <wp:extent cx="1568450" cy="107950"/>
              <wp:effectExtent l="0" t="0" r="0" b="0"/>
              <wp:wrapNone/>
              <wp:docPr id="759" name="Shape 759"/>
              <wp:cNvGraphicFramePr/>
              <a:graphic xmlns:a="http://schemas.openxmlformats.org/drawingml/2006/main">
                <a:graphicData uri="http://schemas.microsoft.com/office/word/2010/wordprocessingShape">
                  <wps:wsp>
                    <wps:cNvSpPr txBox="1"/>
                    <wps:spPr>
                      <a:xfrm>
                        <a:off x="0" y="0"/>
                        <a:ext cx="1568450" cy="107950"/>
                      </a:xfrm>
                      <a:prstGeom prst="rect">
                        <a:avLst/>
                      </a:prstGeom>
                      <a:noFill/>
                    </wps:spPr>
                    <wps:txbx>
                      <w:txbxContent>
                        <w:p w14:paraId="0EC0923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合同联立的认定及其法律适用丨</w:t>
                          </w:r>
                          <w:r>
                            <w:rPr>
                              <w:rFonts w:ascii="Times New Roman" w:hAnsi="Times New Roman" w:eastAsia="Times New Roman" w:cs="Times New Roman"/>
                              <w:b/>
                              <w:bCs/>
                              <w:color w:val="000000"/>
                              <w:spacing w:val="0"/>
                              <w:w w:val="100"/>
                              <w:position w:val="0"/>
                              <w:sz w:val="15"/>
                              <w:szCs w:val="15"/>
                            </w:rPr>
                            <w:t>263</w:t>
                          </w:r>
                        </w:p>
                      </w:txbxContent>
                    </wps:txbx>
                    <wps:bodyPr wrap="none" lIns="0" tIns="0" rIns="0" bIns="0">
                      <a:spAutoFit/>
                    </wps:bodyPr>
                  </wps:wsp>
                </a:graphicData>
              </a:graphic>
            </wp:anchor>
          </w:drawing>
        </mc:Choice>
        <mc:Fallback>
          <w:pict>
            <v:shape id="Shape 759" o:spid="_x0000_s1026" o:spt="202" type="#_x0000_t202" style="position:absolute;left:0pt;margin-left:341.05pt;margin-top:41.6pt;height:8.5pt;width:123.5pt;mso-position-horizontal-relative:page;mso-position-vertical-relative:page;mso-wrap-style:none;z-index:-251657216;mso-width-relative:page;mso-height-relative:page;" filled="f" stroked="f" coordsize="21600,21600" o:gfxdata="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LEEFn1QAA&#10;AAoBAAAPAAAAAAAAAAEAIAAAACIAAABkcnMvZG93bnJldi54bWxQSwECFAAUAAAACACHTuJAL8Rm&#10;Oq8BAAB0AwAADgAAAAAAAAABACAAAAAkAQAAZHJzL2Uyb0RvYy54bWxQSwUGAAAAAAYABgBZAQAA&#10;RQUAAAAA&#10;">
              <v:fill on="f" focussize="0,0"/>
              <v:stroke on="f"/>
              <v:imagedata o:title=""/>
              <o:lock v:ext="edit" aspectratio="f"/>
              <v:textbox inset="0mm,0mm,0mm,0mm" style="mso-fit-shape-to-text:t;">
                <w:txbxContent>
                  <w:p w14:paraId="0EC0923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合同联立的认定及其法律适用丨</w:t>
                    </w:r>
                    <w:r>
                      <w:rPr>
                        <w:rFonts w:ascii="Times New Roman" w:hAnsi="Times New Roman" w:eastAsia="Times New Roman" w:cs="Times New Roman"/>
                        <w:b/>
                        <w:bCs/>
                        <w:color w:val="000000"/>
                        <w:spacing w:val="0"/>
                        <w:w w:val="100"/>
                        <w:position w:val="0"/>
                        <w:sz w:val="15"/>
                        <w:szCs w:val="15"/>
                      </w:rPr>
                      <w:t>263</w:t>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3DDA5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5" name="Shape 6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74537E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BRdLW7&#10;rgEAAHEDAAAOAAAAAAAAAAEAIAAAACQBAABkcnMvZTJvRG9jLnhtbFBLBQYAAAAABgAGAFkBAABE&#10;BQAAAAA=&#10;">
              <v:fill on="f" focussize="0,0"/>
              <v:stroke on="f"/>
              <v:imagedata o:title=""/>
              <o:lock v:ext="edit" aspectratio="f"/>
              <v:textbox inset="0mm,0mm,0mm,0mm" style="mso-fit-shape-to-text:t;">
                <w:txbxContent>
                  <w:p w14:paraId="374537E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8747D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61" name="Shape 76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D2EC0D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6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KDp&#10;rX6wAQAAcwMAAA4AAAAAAAAAAQAgAAAAJAEAAGRycy9lMm9Eb2MueG1sUEsFBgAAAAAGAAYAWQEA&#10;AEYFAAAAAA==&#10;">
              <v:fill on="f" focussize="0,0"/>
              <v:stroke on="f"/>
              <v:imagedata o:title=""/>
              <o:lock v:ext="edit" aspectratio="f"/>
              <v:textbox inset="0mm,0mm,0mm,0mm" style="mso-fit-shape-to-text:t;">
                <w:txbxContent>
                  <w:p w14:paraId="6D2EC0D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53FC2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63" name="Shape 76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F52B09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6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VT&#10;VViwAQAAcwMAAA4AAAAAAAAAAQAgAAAAJAEAAGRycy9lMm9Eb2MueG1sUEsFBgAAAAAGAAYAWQEA&#10;AEYFAAAAAA==&#10;">
              <v:fill on="f" focussize="0,0"/>
              <v:stroke on="f"/>
              <v:imagedata o:title=""/>
              <o:lock v:ext="edit" aspectratio="f"/>
              <v:textbox inset="0mm,0mm,0mm,0mm" style="mso-fit-shape-to-text:t;">
                <w:txbxContent>
                  <w:p w14:paraId="7F52B09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59226F">
    <w:pPr>
      <w:widowControl w:val="0"/>
    </w:pPr>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A0836">
    <w:pPr>
      <w:widowControl w:val="0"/>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29F25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4686935</wp:posOffset>
              </wp:positionH>
              <wp:positionV relativeFrom="page">
                <wp:posOffset>513715</wp:posOffset>
              </wp:positionV>
              <wp:extent cx="1261745" cy="109855"/>
              <wp:effectExtent l="0" t="0" r="0" b="0"/>
              <wp:wrapNone/>
              <wp:docPr id="771" name="Shape 771"/>
              <wp:cNvGraphicFramePr/>
              <a:graphic xmlns:a="http://schemas.openxmlformats.org/drawingml/2006/main">
                <a:graphicData uri="http://schemas.microsoft.com/office/word/2010/wordprocessingShape">
                  <wps:wsp>
                    <wps:cNvSpPr txBox="1"/>
                    <wps:spPr>
                      <a:xfrm>
                        <a:off x="0" y="0"/>
                        <a:ext cx="1261745" cy="109855"/>
                      </a:xfrm>
                      <a:prstGeom prst="rect">
                        <a:avLst/>
                      </a:prstGeom>
                      <a:noFill/>
                    </wps:spPr>
                    <wps:txbx>
                      <w:txbxContent>
                        <w:p w14:paraId="2A4543B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预约的认定及违约责任丨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71" o:spid="_x0000_s1026" o:spt="202" type="#_x0000_t202" style="position:absolute;left:0pt;margin-left:369.05pt;margin-top:40.45pt;height:8.65pt;width:99.35pt;mso-position-horizontal-relative:page;mso-position-vertical-relative:page;mso-wrap-style:none;z-index:-251657216;mso-width-relative:page;mso-height-relative:page;" filled="f" stroked="f" coordsize="21600,21600" o:gfxdata="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koeFNUA&#10;AAAJAQAADwAAAAAAAAABACAAAAAiAAAAZHJzL2Rvd25yZXYueG1sUEsBAhQAFAAAAAgAh07iQN9N&#10;DdewAQAAdAMAAA4AAAAAAAAAAQAgAAAAJAEAAGRycy9lMm9Eb2MueG1sUEsFBgAAAAAGAAYAWQEA&#10;AEYFAAAAAA==&#10;">
              <v:fill on="f" focussize="0,0"/>
              <v:stroke on="f"/>
              <v:imagedata o:title=""/>
              <o:lock v:ext="edit" aspectratio="f"/>
              <v:textbox inset="0mm,0mm,0mm,0mm" style="mso-fit-shape-to-text:t;">
                <w:txbxContent>
                  <w:p w14:paraId="2A4543B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预约的认定及违约责任丨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3E7F9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73" name="Shape 7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2E74E1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U/&#10;os6wAQAAcwMAAA4AAAAAAAAAAQAgAAAAJAEAAGRycy9lMm9Eb2MueG1sUEsFBgAAAAAGAAYAWQEA&#10;AEYFAAAAAA==&#10;">
              <v:fill on="f" focussize="0,0"/>
              <v:stroke on="f"/>
              <v:imagedata o:title=""/>
              <o:lock v:ext="edit" aspectratio="f"/>
              <v:textbox inset="0mm,0mm,0mm,0mm" style="mso-fit-shape-to-text:t;">
                <w:txbxContent>
                  <w:p w14:paraId="32E74E1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6DDA50">
    <w:pPr>
      <w:widowControl w:val="0"/>
      <w:spacing w:line="1" w:lineRule="exact"/>
    </w:pPr>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C668D">
    <w:pPr>
      <w:widowControl w:val="0"/>
      <w:spacing w:line="1" w:lineRule="exact"/>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82284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4721860</wp:posOffset>
              </wp:positionH>
              <wp:positionV relativeFrom="page">
                <wp:posOffset>508000</wp:posOffset>
              </wp:positionV>
              <wp:extent cx="1165860" cy="109855"/>
              <wp:effectExtent l="0" t="0" r="0" b="0"/>
              <wp:wrapNone/>
              <wp:docPr id="781" name="Shape 781"/>
              <wp:cNvGraphicFramePr/>
              <a:graphic xmlns:a="http://schemas.openxmlformats.org/drawingml/2006/main">
                <a:graphicData uri="http://schemas.microsoft.com/office/word/2010/wordprocessingShape">
                  <wps:wsp>
                    <wps:cNvSpPr txBox="1"/>
                    <wps:spPr>
                      <a:xfrm>
                        <a:off x="0" y="0"/>
                        <a:ext cx="1165860" cy="109855"/>
                      </a:xfrm>
                      <a:prstGeom prst="rect">
                        <a:avLst/>
                      </a:prstGeom>
                      <a:noFill/>
                    </wps:spPr>
                    <wps:txbx>
                      <w:txbxContent>
                        <w:p w14:paraId="12A45A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81" o:spid="_x0000_s1026" o:spt="202" type="#_x0000_t202" style="position:absolute;left:0pt;margin-left:371.8pt;margin-top:40pt;height:8.65pt;width:91.8pt;mso-position-horizontal-relative:page;mso-position-vertical-relative:page;mso-wrap-style:none;z-index:-251657216;mso-width-relative:page;mso-height-relative:page;" filled="f" stroked="f" coordsize="21600,21600" o:gfxdata="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ljdtYA&#10;AAAJAQAADwAAAAAAAAABACAAAAAiAAAAZHJzL2Rvd25yZXYueG1sUEsBAhQAFAAAAAgAh07iQBZi&#10;5n6vAQAAdAMAAA4AAAAAAAAAAQAgAAAAJQEAAGRycy9lMm9Eb2MueG1sUEsFBgAAAAAGAAYAWQEA&#10;AEYFAAAAAA==&#10;">
              <v:fill on="f" focussize="0,0"/>
              <v:stroke on="f"/>
              <v:imagedata o:title=""/>
              <o:lock v:ext="edit" aspectratio="f"/>
              <v:textbox inset="0mm,0mm,0mm,0mm" style="mso-fit-shape-to-text:t;">
                <w:txbxContent>
                  <w:p w14:paraId="12A45A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9A74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83" name="Shape 78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AD8B17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8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UEZ9L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r+YXPH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FB&#10;GfSwAQAAcwMAAA4AAAAAAAAAAQAgAAAAJAEAAGRycy9lMm9Eb2MueG1sUEsFBgAAAAAGAAYAWQEA&#10;AEYFAAAAAA==&#10;">
              <v:fill on="f" focussize="0,0"/>
              <v:stroke on="f"/>
              <v:imagedata o:title=""/>
              <o:lock v:ext="edit" aspectratio="f"/>
              <v:textbox inset="0mm,0mm,0mm,0mm" style="mso-fit-shape-to-text:t;">
                <w:txbxContent>
                  <w:p w14:paraId="3AD8B17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EF77E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67" name="Shape 6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A38D1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6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UfVx&#10;C68BAABxAwAADgAAAAAAAAABACAAAAAkAQAAZHJzL2Uyb0RvYy54bWxQSwUGAAAAAAYABgBZAQAA&#10;RQUAAAAA&#10;">
              <v:fill on="f" focussize="0,0"/>
              <v:stroke on="f"/>
              <v:imagedata o:title=""/>
              <o:lock v:ext="edit" aspectratio="f"/>
              <v:textbox inset="0mm,0mm,0mm,0mm" style="mso-fit-shape-to-text:t;">
                <w:txbxContent>
                  <w:p w14:paraId="0A38D10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3AC4A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4724400</wp:posOffset>
              </wp:positionH>
              <wp:positionV relativeFrom="page">
                <wp:posOffset>509905</wp:posOffset>
              </wp:positionV>
              <wp:extent cx="1165860" cy="107950"/>
              <wp:effectExtent l="0" t="0" r="0" b="0"/>
              <wp:wrapNone/>
              <wp:docPr id="785" name="Shape 785"/>
              <wp:cNvGraphicFramePr/>
              <a:graphic xmlns:a="http://schemas.openxmlformats.org/drawingml/2006/main">
                <a:graphicData uri="http://schemas.microsoft.com/office/word/2010/wordprocessingShape">
                  <wps:wsp>
                    <wps:cNvSpPr txBox="1"/>
                    <wps:spPr>
                      <a:xfrm>
                        <a:off x="0" y="0"/>
                        <a:ext cx="1165860" cy="107950"/>
                      </a:xfrm>
                      <a:prstGeom prst="rect">
                        <a:avLst/>
                      </a:prstGeom>
                      <a:noFill/>
                    </wps:spPr>
                    <wps:txbx>
                      <w:txbxContent>
                        <w:p w14:paraId="1AE4808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悬赏广告的解释规则丨</w:t>
                          </w:r>
                          <w:r>
                            <w:rPr>
                              <w:rFonts w:ascii="Times New Roman" w:hAnsi="Times New Roman" w:eastAsia="Times New Roman" w:cs="Times New Roman"/>
                              <w:b/>
                              <w:bCs/>
                              <w:color w:val="000000"/>
                              <w:spacing w:val="0"/>
                              <w:w w:val="100"/>
                              <w:position w:val="0"/>
                              <w:sz w:val="15"/>
                              <w:szCs w:val="15"/>
                            </w:rPr>
                            <w:t>275</w:t>
                          </w:r>
                        </w:p>
                      </w:txbxContent>
                    </wps:txbx>
                    <wps:bodyPr wrap="none" lIns="0" tIns="0" rIns="0" bIns="0">
                      <a:spAutoFit/>
                    </wps:bodyPr>
                  </wps:wsp>
                </a:graphicData>
              </a:graphic>
            </wp:anchor>
          </w:drawing>
        </mc:Choice>
        <mc:Fallback>
          <w:pict>
            <v:shape id="Shape 785" o:spid="_x0000_s1026" o:spt="202" type="#_x0000_t202" style="position:absolute;left:0pt;margin-left:372pt;margin-top:40.15pt;height:8.5pt;width:91.8pt;mso-position-horizontal-relative:page;mso-position-vertical-relative:page;mso-wrap-style:none;z-index:-251657216;mso-width-relative:page;mso-height-relative:page;" filled="f" stroked="f" coordsize="21600,21600" o:gfxdata="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A0yU9YA&#10;AAAJAQAADwAAAAAAAAABACAAAAAiAAAAZHJzL2Rvd25yZXYueG1sUEsBAhQAFAAAAAgAh07iQGfD&#10;bjWvAQAAdAMAAA4AAAAAAAAAAQAgAAAAJQEAAGRycy9lMm9Eb2MueG1sUEsFBgAAAAAGAAYAWQEA&#10;AEYFAAAAAA==&#10;">
              <v:fill on="f" focussize="0,0"/>
              <v:stroke on="f"/>
              <v:imagedata o:title=""/>
              <o:lock v:ext="edit" aspectratio="f"/>
              <v:textbox inset="0mm,0mm,0mm,0mm" style="mso-fit-shape-to-text:t;">
                <w:txbxContent>
                  <w:p w14:paraId="1AE4808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悬赏广告的解释规则丨</w:t>
                    </w:r>
                    <w:r>
                      <w:rPr>
                        <w:rFonts w:ascii="Times New Roman" w:hAnsi="Times New Roman" w:eastAsia="Times New Roman" w:cs="Times New Roman"/>
                        <w:b/>
                        <w:bCs/>
                        <w:color w:val="000000"/>
                        <w:spacing w:val="0"/>
                        <w:w w:val="100"/>
                        <w:position w:val="0"/>
                        <w:sz w:val="15"/>
                        <w:szCs w:val="15"/>
                      </w:rPr>
                      <w:t>275</w:t>
                    </w:r>
                  </w:p>
                </w:txbxContent>
              </v:textbox>
            </v:shape>
          </w:pict>
        </mc:Fallback>
      </mc:AlternateContent>
    </w: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1738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4724400</wp:posOffset>
              </wp:positionH>
              <wp:positionV relativeFrom="page">
                <wp:posOffset>509905</wp:posOffset>
              </wp:positionV>
              <wp:extent cx="1165860" cy="107950"/>
              <wp:effectExtent l="0" t="0" r="0" b="0"/>
              <wp:wrapNone/>
              <wp:docPr id="787" name="Shape 787"/>
              <wp:cNvGraphicFramePr/>
              <a:graphic xmlns:a="http://schemas.openxmlformats.org/drawingml/2006/main">
                <a:graphicData uri="http://schemas.microsoft.com/office/word/2010/wordprocessingShape">
                  <wps:wsp>
                    <wps:cNvSpPr txBox="1"/>
                    <wps:spPr>
                      <a:xfrm>
                        <a:off x="0" y="0"/>
                        <a:ext cx="1165860" cy="107950"/>
                      </a:xfrm>
                      <a:prstGeom prst="rect">
                        <a:avLst/>
                      </a:prstGeom>
                      <a:noFill/>
                    </wps:spPr>
                    <wps:txbx>
                      <w:txbxContent>
                        <w:p w14:paraId="1E264EB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悬赏广告的解释规则丨</w:t>
                          </w:r>
                          <w:r>
                            <w:rPr>
                              <w:rFonts w:ascii="Times New Roman" w:hAnsi="Times New Roman" w:eastAsia="Times New Roman" w:cs="Times New Roman"/>
                              <w:b/>
                              <w:bCs/>
                              <w:color w:val="000000"/>
                              <w:spacing w:val="0"/>
                              <w:w w:val="100"/>
                              <w:position w:val="0"/>
                              <w:sz w:val="15"/>
                              <w:szCs w:val="15"/>
                            </w:rPr>
                            <w:t>275</w:t>
                          </w:r>
                        </w:p>
                      </w:txbxContent>
                    </wps:txbx>
                    <wps:bodyPr wrap="none" lIns="0" tIns="0" rIns="0" bIns="0">
                      <a:spAutoFit/>
                    </wps:bodyPr>
                  </wps:wsp>
                </a:graphicData>
              </a:graphic>
            </wp:anchor>
          </w:drawing>
        </mc:Choice>
        <mc:Fallback>
          <w:pict>
            <v:shape id="Shape 787" o:spid="_x0000_s1026" o:spt="202" type="#_x0000_t202" style="position:absolute;left:0pt;margin-left:372pt;margin-top:40.15pt;height:8.5pt;width:91.8pt;mso-position-horizontal-relative:page;mso-position-vertical-relative:page;mso-wrap-style:none;z-index:-251657216;mso-width-relative:page;mso-height-relative:page;" filled="f" stroked="f" coordsize="21600,21600" o:gfxdata="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A0yU9YA&#10;AAAJAQAADwAAAAAAAAABACAAAAAiAAAAZHJzL2Rvd25yZXYueG1sUEsBAhQAFAAAAAgAh07iQIYd&#10;8cOvAQAAdAMAAA4AAAAAAAAAAQAgAAAAJQEAAGRycy9lMm9Eb2MueG1sUEsFBgAAAAAGAAYAWQEA&#10;AEYFAAAAAA==&#10;">
              <v:fill on="f" focussize="0,0"/>
              <v:stroke on="f"/>
              <v:imagedata o:title=""/>
              <o:lock v:ext="edit" aspectratio="f"/>
              <v:textbox inset="0mm,0mm,0mm,0mm" style="mso-fit-shape-to-text:t;">
                <w:txbxContent>
                  <w:p w14:paraId="1E264EB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悬赏广告的解释规则丨</w:t>
                    </w:r>
                    <w:r>
                      <w:rPr>
                        <w:rFonts w:ascii="Times New Roman" w:hAnsi="Times New Roman" w:eastAsia="Times New Roman" w:cs="Times New Roman"/>
                        <w:b/>
                        <w:bCs/>
                        <w:color w:val="000000"/>
                        <w:spacing w:val="0"/>
                        <w:w w:val="100"/>
                        <w:position w:val="0"/>
                        <w:sz w:val="15"/>
                        <w:szCs w:val="15"/>
                      </w:rPr>
                      <w:t>275</w:t>
                    </w:r>
                  </w:p>
                </w:txbxContent>
              </v:textbox>
            </v:shape>
          </w:pict>
        </mc:Fallback>
      </mc:AlternateContent>
    </w: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1BBB1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4992370</wp:posOffset>
              </wp:positionH>
              <wp:positionV relativeFrom="page">
                <wp:posOffset>528320</wp:posOffset>
              </wp:positionV>
              <wp:extent cx="964565" cy="109855"/>
              <wp:effectExtent l="0" t="0" r="0" b="0"/>
              <wp:wrapNone/>
              <wp:docPr id="795" name="Shape 795"/>
              <wp:cNvGraphicFramePr/>
              <a:graphic xmlns:a="http://schemas.openxmlformats.org/drawingml/2006/main">
                <a:graphicData uri="http://schemas.microsoft.com/office/word/2010/wordprocessingShape">
                  <wps:wsp>
                    <wps:cNvSpPr txBox="1"/>
                    <wps:spPr>
                      <a:xfrm>
                        <a:off x="0" y="0"/>
                        <a:ext cx="964565" cy="109855"/>
                      </a:xfrm>
                      <a:prstGeom prst="rect">
                        <a:avLst/>
                      </a:prstGeom>
                      <a:noFill/>
                    </wps:spPr>
                    <wps:txbx>
                      <w:txbxContent>
                        <w:p w14:paraId="1AB019F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恶意磋商的认定丨</w:t>
                          </w:r>
                          <w:r>
                            <w:rPr>
                              <w:rFonts w:ascii="Times New Roman" w:hAnsi="Times New Roman" w:eastAsia="Times New Roman" w:cs="Times New Roman"/>
                              <w:b/>
                              <w:bCs/>
                              <w:color w:val="000000"/>
                              <w:spacing w:val="0"/>
                              <w:w w:val="100"/>
                              <w:position w:val="0"/>
                              <w:sz w:val="15"/>
                              <w:szCs w:val="15"/>
                            </w:rPr>
                            <w:t>277</w:t>
                          </w:r>
                        </w:p>
                      </w:txbxContent>
                    </wps:txbx>
                    <wps:bodyPr wrap="none" lIns="0" tIns="0" rIns="0" bIns="0">
                      <a:spAutoFit/>
                    </wps:bodyPr>
                  </wps:wsp>
                </a:graphicData>
              </a:graphic>
            </wp:anchor>
          </w:drawing>
        </mc:Choice>
        <mc:Fallback>
          <w:pict>
            <v:shape id="Shape 795" o:spid="_x0000_s1026" o:spt="202" type="#_x0000_t202" style="position:absolute;left:0pt;margin-left:393.1pt;margin-top:41.6pt;height:8.65pt;width:75.95pt;mso-position-horizontal-relative:page;mso-position-vertical-relative:page;mso-wrap-style:none;z-index:-251657216;mso-width-relative:page;mso-height-relative:page;" filled="f" stroked="f" coordsize="21600,21600" o:gfxdata="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hbNVTW&#10;AAAACgEAAA8AAAAAAAAAAQAgAAAAIgAAAGRycy9kb3ducmV2LnhtbFBLAQIUABQAAAAIAIdO4kCx&#10;Wzd5sAEAAHMDAAAOAAAAAAAAAAEAIAAAACUBAABkcnMvZTJvRG9jLnhtbFBLBQYAAAAABgAGAFkB&#10;AABHBQAAAAA=&#10;">
              <v:fill on="f" focussize="0,0"/>
              <v:stroke on="f"/>
              <v:imagedata o:title=""/>
              <o:lock v:ext="edit" aspectratio="f"/>
              <v:textbox inset="0mm,0mm,0mm,0mm" style="mso-fit-shape-to-text:t;">
                <w:txbxContent>
                  <w:p w14:paraId="1AB019F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恶意磋商的认定丨</w:t>
                    </w:r>
                    <w:r>
                      <w:rPr>
                        <w:rFonts w:ascii="Times New Roman" w:hAnsi="Times New Roman" w:eastAsia="Times New Roman" w:cs="Times New Roman"/>
                        <w:b/>
                        <w:bCs/>
                        <w:color w:val="000000"/>
                        <w:spacing w:val="0"/>
                        <w:w w:val="100"/>
                        <w:position w:val="0"/>
                        <w:sz w:val="15"/>
                        <w:szCs w:val="15"/>
                      </w:rPr>
                      <w:t>277</w:t>
                    </w:r>
                  </w:p>
                </w:txbxContent>
              </v:textbox>
            </v:shape>
          </w:pict>
        </mc:Fallback>
      </mc:AlternateContent>
    </w:r>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F9CB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4992370</wp:posOffset>
              </wp:positionH>
              <wp:positionV relativeFrom="page">
                <wp:posOffset>528320</wp:posOffset>
              </wp:positionV>
              <wp:extent cx="964565" cy="109855"/>
              <wp:effectExtent l="0" t="0" r="0" b="0"/>
              <wp:wrapNone/>
              <wp:docPr id="797" name="Shape 797"/>
              <wp:cNvGraphicFramePr/>
              <a:graphic xmlns:a="http://schemas.openxmlformats.org/drawingml/2006/main">
                <a:graphicData uri="http://schemas.microsoft.com/office/word/2010/wordprocessingShape">
                  <wps:wsp>
                    <wps:cNvSpPr txBox="1"/>
                    <wps:spPr>
                      <a:xfrm>
                        <a:off x="0" y="0"/>
                        <a:ext cx="964565" cy="109855"/>
                      </a:xfrm>
                      <a:prstGeom prst="rect">
                        <a:avLst/>
                      </a:prstGeom>
                      <a:noFill/>
                    </wps:spPr>
                    <wps:txbx>
                      <w:txbxContent>
                        <w:p w14:paraId="456BBC8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恶意磋商的认定丨</w:t>
                          </w:r>
                          <w:r>
                            <w:rPr>
                              <w:rFonts w:ascii="Times New Roman" w:hAnsi="Times New Roman" w:eastAsia="Times New Roman" w:cs="Times New Roman"/>
                              <w:b/>
                              <w:bCs/>
                              <w:color w:val="000000"/>
                              <w:spacing w:val="0"/>
                              <w:w w:val="100"/>
                              <w:position w:val="0"/>
                              <w:sz w:val="15"/>
                              <w:szCs w:val="15"/>
                            </w:rPr>
                            <w:t>277</w:t>
                          </w:r>
                        </w:p>
                      </w:txbxContent>
                    </wps:txbx>
                    <wps:bodyPr wrap="none" lIns="0" tIns="0" rIns="0" bIns="0">
                      <a:spAutoFit/>
                    </wps:bodyPr>
                  </wps:wsp>
                </a:graphicData>
              </a:graphic>
            </wp:anchor>
          </w:drawing>
        </mc:Choice>
        <mc:Fallback>
          <w:pict>
            <v:shape id="Shape 797" o:spid="_x0000_s1026" o:spt="202" type="#_x0000_t202" style="position:absolute;left:0pt;margin-left:393.1pt;margin-top:41.6pt;height:8.65pt;width:75.95pt;mso-position-horizontal-relative:page;mso-position-vertical-relative:page;mso-wrap-style:none;z-index:-251657216;mso-width-relative:page;mso-height-relative:page;" filled="f" stroked="f" coordsize="21600,21600" o:gfxdata="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hbNVTW&#10;AAAACgEAAA8AAAAAAAAAAQAgAAAAIgAAAGRycy9kb3ducmV2LnhtbFBLAQIUABQAAAAIAIdO4kBk&#10;4c9fsAEAAHMDAAAOAAAAAAAAAAEAIAAAACUBAABkcnMvZTJvRG9jLnhtbFBLBQYAAAAABgAGAFkB&#10;AABHBQAAAAA=&#10;">
              <v:fill on="f" focussize="0,0"/>
              <v:stroke on="f"/>
              <v:imagedata o:title=""/>
              <o:lock v:ext="edit" aspectratio="f"/>
              <v:textbox inset="0mm,0mm,0mm,0mm" style="mso-fit-shape-to-text:t;">
                <w:txbxContent>
                  <w:p w14:paraId="456BBC8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恶意磋商的认定丨</w:t>
                    </w:r>
                    <w:r>
                      <w:rPr>
                        <w:rFonts w:ascii="Times New Roman" w:hAnsi="Times New Roman" w:eastAsia="Times New Roman" w:cs="Times New Roman"/>
                        <w:b/>
                        <w:bCs/>
                        <w:color w:val="000000"/>
                        <w:spacing w:val="0"/>
                        <w:w w:val="100"/>
                        <w:position w:val="0"/>
                        <w:sz w:val="15"/>
                        <w:szCs w:val="15"/>
                      </w:rPr>
                      <w:t>277</w:t>
                    </w:r>
                  </w:p>
                </w:txbxContent>
              </v:textbox>
            </v:shape>
          </w:pict>
        </mc:Fallback>
      </mc:AlternateContent>
    </w: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C2BED5">
    <w:pPr>
      <w:widowControl w:val="0"/>
      <w:spacing w:line="1" w:lineRule="exact"/>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037C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4991100</wp:posOffset>
              </wp:positionH>
              <wp:positionV relativeFrom="page">
                <wp:posOffset>525145</wp:posOffset>
              </wp:positionV>
              <wp:extent cx="963295" cy="113030"/>
              <wp:effectExtent l="0" t="0" r="0" b="0"/>
              <wp:wrapNone/>
              <wp:docPr id="799" name="Shape 799"/>
              <wp:cNvGraphicFramePr/>
              <a:graphic xmlns:a="http://schemas.openxmlformats.org/drawingml/2006/main">
                <a:graphicData uri="http://schemas.microsoft.com/office/word/2010/wordprocessingShape">
                  <wps:wsp>
                    <wps:cNvSpPr txBox="1"/>
                    <wps:spPr>
                      <a:xfrm>
                        <a:off x="0" y="0"/>
                        <a:ext cx="963295" cy="113030"/>
                      </a:xfrm>
                      <a:prstGeom prst="rect">
                        <a:avLst/>
                      </a:prstGeom>
                      <a:noFill/>
                    </wps:spPr>
                    <wps:txbx>
                      <w:txbxContent>
                        <w:p w14:paraId="6FE7E51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799" o:spid="_x0000_s1026" o:spt="202" type="#_x0000_t202" style="position:absolute;left:0pt;margin-left:393pt;margin-top:41.35pt;height:8.9pt;width:75.85pt;mso-position-horizontal-relative:page;mso-position-vertical-relative:page;mso-wrap-style:none;z-index:-251657216;mso-width-relative:page;mso-height-relative:page;" filled="f" stroked="f" coordsize="21600,21600" o:gfxdata="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JzRfLW&#10;AAAACgEAAA8AAAAAAAAAAQAgAAAAIgAAAGRycy9kb3ducmV2LnhtbFBLAQIUABQAAAAIAIdO4kDz&#10;p9l2sAEAAHMDAAAOAAAAAAAAAAEAIAAAACUBAABkcnMvZTJvRG9jLnhtbFBLBQYAAAAABgAGAFkB&#10;AABHBQAAAAA=&#10;">
              <v:fill on="f" focussize="0,0"/>
              <v:stroke on="f"/>
              <v:imagedata o:title=""/>
              <o:lock v:ext="edit" aspectratio="f"/>
              <v:textbox inset="0mm,0mm,0mm,0mm" style="mso-fit-shape-to-text:t;">
                <w:txbxContent>
                  <w:p w14:paraId="6FE7E51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恶意磋商的认定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8C12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01" name="Shape 80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96A52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0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cPyn6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mv5pl5y5oWjlZe5LCfIniFgQ11PgfrS&#10;+AVGujTXPFIyqx51dPlJehjVydzLzVw1JiYpubn7tPq45kxSaVl/3qzXGaV6/jhETF8VOJaDlkfa&#10;XbFUnL9jmlqvLXmWh0djbc5nhhOTHKXxMM60D9BdiPVA6225p9vMmf3myb18E65BvAaHOcjgGB5O&#10;iQaUuRl1gpqH0S4K8/ne5GX/+166nv+V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CcPy&#10;n68BAABzAwAADgAAAAAAAAABACAAAAAkAQAAZHJzL2Uyb0RvYy54bWxQSwUGAAAAAAYABgBZAQAA&#10;RQUAAAAA&#10;">
              <v:fill on="f" focussize="0,0"/>
              <v:stroke on="f"/>
              <v:imagedata o:title=""/>
              <o:lock v:ext="edit" aspectratio="f"/>
              <v:textbox inset="0mm,0mm,0mm,0mm" style="mso-fit-shape-to-text:t;">
                <w:txbxContent>
                  <w:p w14:paraId="396A524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8BAA4">
    <w:pPr>
      <w:widowControl w:val="0"/>
      <w:spacing w:line="1" w:lineRule="exact"/>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46554">
    <w:pPr>
      <w:widowControl w:val="0"/>
      <w:spacing w:line="1" w:lineRule="exact"/>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9D908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3924935</wp:posOffset>
              </wp:positionH>
              <wp:positionV relativeFrom="page">
                <wp:posOffset>516890</wp:posOffset>
              </wp:positionV>
              <wp:extent cx="1965960" cy="109855"/>
              <wp:effectExtent l="0" t="0" r="0" b="0"/>
              <wp:wrapNone/>
              <wp:docPr id="809" name="Shape 809"/>
              <wp:cNvGraphicFramePr/>
              <a:graphic xmlns:a="http://schemas.openxmlformats.org/drawingml/2006/main">
                <a:graphicData uri="http://schemas.microsoft.com/office/word/2010/wordprocessingShape">
                  <wps:wsp>
                    <wps:cNvSpPr txBox="1"/>
                    <wps:spPr>
                      <a:xfrm>
                        <a:off x="0" y="0"/>
                        <a:ext cx="1965960" cy="109855"/>
                      </a:xfrm>
                      <a:prstGeom prst="rect">
                        <a:avLst/>
                      </a:prstGeom>
                      <a:noFill/>
                    </wps:spPr>
                    <wps:txbx>
                      <w:txbxContent>
                        <w:p w14:paraId="076DB20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消费者保护法上的告知义务和欺诈认定</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09" o:spid="_x0000_s1026" o:spt="202" type="#_x0000_t202" style="position:absolute;left:0pt;margin-left:309.05pt;margin-top:40.7pt;height:8.65pt;width:154.8pt;mso-position-horizontal-relative:page;mso-position-vertical-relative:page;mso-wrap-style:none;z-index:-251657216;mso-width-relative:page;mso-height-relative:page;" filled="f" stroked="f" coordsize="21600,21600" o:gfxdata="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Vl65PVAAAA&#10;CQEAAA8AAAAAAAAAAQAgAAAAIgAAAGRycy9kb3ducmV2LnhtbFBLAQIUABQAAAAIAIdO4kB+Zg9S&#10;rgEAAHQDAAAOAAAAAAAAAAEAIAAAACQBAABkcnMvZTJvRG9jLnhtbFBLBQYAAAAABgAGAFkBAABE&#10;BQAAAAA=&#10;">
              <v:fill on="f" focussize="0,0"/>
              <v:stroke on="f"/>
              <v:imagedata o:title=""/>
              <o:lock v:ext="edit" aspectratio="f"/>
              <v:textbox inset="0mm,0mm,0mm,0mm" style="mso-fit-shape-to-text:t;">
                <w:txbxContent>
                  <w:p w14:paraId="076DB20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消费者保护法上的告知义务和欺诈认定</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F45E1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4750435</wp:posOffset>
              </wp:positionH>
              <wp:positionV relativeFrom="page">
                <wp:posOffset>507365</wp:posOffset>
              </wp:positionV>
              <wp:extent cx="1155065" cy="109855"/>
              <wp:effectExtent l="0" t="0" r="0" b="0"/>
              <wp:wrapNone/>
              <wp:docPr id="69" name="Shape 69"/>
              <wp:cNvGraphicFramePr/>
              <a:graphic xmlns:a="http://schemas.openxmlformats.org/drawingml/2006/main">
                <a:graphicData uri="http://schemas.microsoft.com/office/word/2010/wordprocessingShape">
                  <wps:wsp>
                    <wps:cNvSpPr txBox="1"/>
                    <wps:spPr>
                      <a:xfrm>
                        <a:off x="0" y="0"/>
                        <a:ext cx="1155065" cy="109855"/>
                      </a:xfrm>
                      <a:prstGeom prst="rect">
                        <a:avLst/>
                      </a:prstGeom>
                      <a:noFill/>
                    </wps:spPr>
                    <wps:txbx>
                      <w:txbxContent>
                        <w:p w14:paraId="200C93C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019</w:t>
                          </w:r>
                        </w:p>
                      </w:txbxContent>
                    </wps:txbx>
                    <wps:bodyPr wrap="none" lIns="0" tIns="0" rIns="0" bIns="0">
                      <a:spAutoFit/>
                    </wps:bodyPr>
                  </wps:wsp>
                </a:graphicData>
              </a:graphic>
            </wp:anchor>
          </w:drawing>
        </mc:Choice>
        <mc:Fallback>
          <w:pict>
            <v:shape id="Shape 69" o:spid="_x0000_s1026" o:spt="202" type="#_x0000_t202" style="position:absolute;left:0pt;margin-left:374.05pt;margin-top:39.95pt;height:8.65pt;width:90.95pt;mso-position-horizontal-relative:page;mso-position-vertical-relative:page;mso-wrap-style:none;z-index:-251657216;mso-width-relative:page;mso-height-relative:page;" filled="f" stroked="f" coordsize="21600,21600" o:gfxdata="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yb3fbVAAAA&#10;CQEAAA8AAAAAAAAAAQAgAAAAIgAAAGRycy9kb3ducmV2LnhtbFBLAQIUABQAAAAIAIdO4kAi1dQh&#10;rgEAAHIDAAAOAAAAAAAAAAEAIAAAACQBAABkcnMvZTJvRG9jLnhtbFBLBQYAAAAABgAGAFkBAABE&#10;BQAAAAA=&#10;">
              <v:fill on="f" focussize="0,0"/>
              <v:stroke on="f"/>
              <v:imagedata o:title=""/>
              <o:lock v:ext="edit" aspectratio="f"/>
              <v:textbox inset="0mm,0mm,0mm,0mm" style="mso-fit-shape-to-text:t;">
                <w:txbxContent>
                  <w:p w14:paraId="200C93C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019</w:t>
                    </w:r>
                  </w:p>
                </w:txbxContent>
              </v:textbox>
            </v:shape>
          </w:pict>
        </mc:Fallback>
      </mc:AlternateContent>
    </w: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174D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11" name="Shape 81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86B294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1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Wa8F&#10;Ca8BAABzAwAADgAAAAAAAAABACAAAAAkAQAAZHJzL2Uyb0RvYy54bWxQSwUGAAAAAAYABgBZAQAA&#10;RQUAAAAA&#10;">
              <v:fill on="f" focussize="0,0"/>
              <v:stroke on="f"/>
              <v:imagedata o:title=""/>
              <o:lock v:ext="edit" aspectratio="f"/>
              <v:textbox inset="0mm,0mm,0mm,0mm" style="mso-fit-shape-to-text:t;">
                <w:txbxContent>
                  <w:p w14:paraId="686B294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3F146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4373880</wp:posOffset>
              </wp:positionH>
              <wp:positionV relativeFrom="page">
                <wp:posOffset>485140</wp:posOffset>
              </wp:positionV>
              <wp:extent cx="1568450" cy="109855"/>
              <wp:effectExtent l="0" t="0" r="0" b="0"/>
              <wp:wrapNone/>
              <wp:docPr id="813" name="Shape 813"/>
              <wp:cNvGraphicFramePr/>
              <a:graphic xmlns:a="http://schemas.openxmlformats.org/drawingml/2006/main">
                <a:graphicData uri="http://schemas.microsoft.com/office/word/2010/wordprocessingShape">
                  <wps:wsp>
                    <wps:cNvSpPr txBox="1"/>
                    <wps:spPr>
                      <a:xfrm>
                        <a:off x="0" y="0"/>
                        <a:ext cx="1568450" cy="109855"/>
                      </a:xfrm>
                      <a:prstGeom prst="rect">
                        <a:avLst/>
                      </a:prstGeom>
                      <a:noFill/>
                    </wps:spPr>
                    <wps:txbx>
                      <w:txbxContent>
                        <w:p w14:paraId="4661357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报批义务违反之损害赔偿规则丨</w:t>
                          </w:r>
                          <w:r>
                            <w:rPr>
                              <w:rFonts w:ascii="Times New Roman" w:hAnsi="Times New Roman" w:eastAsia="Times New Roman" w:cs="Times New Roman"/>
                              <w:b/>
                              <w:bCs/>
                              <w:color w:val="000000"/>
                              <w:spacing w:val="0"/>
                              <w:w w:val="100"/>
                              <w:position w:val="0"/>
                              <w:sz w:val="15"/>
                              <w:szCs w:val="15"/>
                            </w:rPr>
                            <w:t>287</w:t>
                          </w:r>
                        </w:p>
                      </w:txbxContent>
                    </wps:txbx>
                    <wps:bodyPr wrap="none" lIns="0" tIns="0" rIns="0" bIns="0">
                      <a:spAutoFit/>
                    </wps:bodyPr>
                  </wps:wsp>
                </a:graphicData>
              </a:graphic>
            </wp:anchor>
          </w:drawing>
        </mc:Choice>
        <mc:Fallback>
          <w:pict>
            <v:shape id="Shape 813" o:spid="_x0000_s1026" o:spt="202" type="#_x0000_t202" style="position:absolute;left:0pt;margin-left:344.4pt;margin-top:38.2pt;height:8.65pt;width:123.5pt;mso-position-horizontal-relative:page;mso-position-vertical-relative:page;mso-wrap-style:none;z-index:-251657216;mso-width-relative:page;mso-height-relative:page;" filled="f" stroked="f" coordsize="21600,21600" o:gfxdata="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CV1tPUAAAA&#10;CQEAAA8AAAAAAAAAAQAgAAAAIgAAAGRycy9kb3ducmV2LnhtbFBLAQIUABQAAAAIAIdO4kBsfrKl&#10;rwEAAHQDAAAOAAAAAAAAAAEAIAAAACMBAABkcnMvZTJvRG9jLnhtbFBLBQYAAAAABgAGAFkBAABE&#10;BQAAAAA=&#10;">
              <v:fill on="f" focussize="0,0"/>
              <v:stroke on="f"/>
              <v:imagedata o:title=""/>
              <o:lock v:ext="edit" aspectratio="f"/>
              <v:textbox inset="0mm,0mm,0mm,0mm" style="mso-fit-shape-to-text:t;">
                <w:txbxContent>
                  <w:p w14:paraId="4661357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报批义务违反之损害赔偿规则丨</w:t>
                    </w:r>
                    <w:r>
                      <w:rPr>
                        <w:rFonts w:ascii="Times New Roman" w:hAnsi="Times New Roman" w:eastAsia="Times New Roman" w:cs="Times New Roman"/>
                        <w:b/>
                        <w:bCs/>
                        <w:color w:val="000000"/>
                        <w:spacing w:val="0"/>
                        <w:w w:val="100"/>
                        <w:position w:val="0"/>
                        <w:sz w:val="15"/>
                        <w:szCs w:val="15"/>
                      </w:rPr>
                      <w:t>287</w:t>
                    </w:r>
                  </w:p>
                </w:txbxContent>
              </v:textbox>
            </v:shape>
          </w:pict>
        </mc:Fallback>
      </mc:AlternateContent>
    </w: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9C0E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4373880</wp:posOffset>
              </wp:positionH>
              <wp:positionV relativeFrom="page">
                <wp:posOffset>485140</wp:posOffset>
              </wp:positionV>
              <wp:extent cx="1568450" cy="109855"/>
              <wp:effectExtent l="0" t="0" r="0" b="0"/>
              <wp:wrapNone/>
              <wp:docPr id="815" name="Shape 815"/>
              <wp:cNvGraphicFramePr/>
              <a:graphic xmlns:a="http://schemas.openxmlformats.org/drawingml/2006/main">
                <a:graphicData uri="http://schemas.microsoft.com/office/word/2010/wordprocessingShape">
                  <wps:wsp>
                    <wps:cNvSpPr txBox="1"/>
                    <wps:spPr>
                      <a:xfrm>
                        <a:off x="0" y="0"/>
                        <a:ext cx="1568450" cy="109855"/>
                      </a:xfrm>
                      <a:prstGeom prst="rect">
                        <a:avLst/>
                      </a:prstGeom>
                      <a:noFill/>
                    </wps:spPr>
                    <wps:txbx>
                      <w:txbxContent>
                        <w:p w14:paraId="784BA0E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报批义务违反之损害赔偿规则丨</w:t>
                          </w:r>
                          <w:r>
                            <w:rPr>
                              <w:rFonts w:ascii="Times New Roman" w:hAnsi="Times New Roman" w:eastAsia="Times New Roman" w:cs="Times New Roman"/>
                              <w:b/>
                              <w:bCs/>
                              <w:color w:val="000000"/>
                              <w:spacing w:val="0"/>
                              <w:w w:val="100"/>
                              <w:position w:val="0"/>
                              <w:sz w:val="15"/>
                              <w:szCs w:val="15"/>
                            </w:rPr>
                            <w:t>287</w:t>
                          </w:r>
                        </w:p>
                      </w:txbxContent>
                    </wps:txbx>
                    <wps:bodyPr wrap="none" lIns="0" tIns="0" rIns="0" bIns="0">
                      <a:spAutoFit/>
                    </wps:bodyPr>
                  </wps:wsp>
                </a:graphicData>
              </a:graphic>
            </wp:anchor>
          </w:drawing>
        </mc:Choice>
        <mc:Fallback>
          <w:pict>
            <v:shape id="Shape 815" o:spid="_x0000_s1026" o:spt="202" type="#_x0000_t202" style="position:absolute;left:0pt;margin-left:344.4pt;margin-top:38.2pt;height:8.65pt;width:123.5pt;mso-position-horizontal-relative:page;mso-position-vertical-relative:page;mso-wrap-style:none;z-index:-251657216;mso-width-relative:page;mso-height-relative:page;" filled="f" stroked="f" coordsize="21600,21600" o:gfxdata="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CV1tPUAAAA&#10;CQEAAA8AAAAAAAAAAQAgAAAAIgAAAGRycy9kb3ducmV2LnhtbFBLAQIUABQAAAAIAIdO4kAOG2Nl&#10;rwEAAHQDAAAOAAAAAAAAAAEAIAAAACMBAABkcnMvZTJvRG9jLnhtbFBLBQYAAAAABgAGAFkBAABE&#10;BQAAAAA=&#10;">
              <v:fill on="f" focussize="0,0"/>
              <v:stroke on="f"/>
              <v:imagedata o:title=""/>
              <o:lock v:ext="edit" aspectratio="f"/>
              <v:textbox inset="0mm,0mm,0mm,0mm" style="mso-fit-shape-to-text:t;">
                <w:txbxContent>
                  <w:p w14:paraId="784BA0E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报批义务违反之损害赔偿规则丨</w:t>
                    </w:r>
                    <w:r>
                      <w:rPr>
                        <w:rFonts w:ascii="Times New Roman" w:hAnsi="Times New Roman" w:eastAsia="Times New Roman" w:cs="Times New Roman"/>
                        <w:b/>
                        <w:bCs/>
                        <w:color w:val="000000"/>
                        <w:spacing w:val="0"/>
                        <w:w w:val="100"/>
                        <w:position w:val="0"/>
                        <w:sz w:val="15"/>
                        <w:szCs w:val="15"/>
                      </w:rPr>
                      <w:t>287</w:t>
                    </w:r>
                  </w:p>
                </w:txbxContent>
              </v:textbox>
            </v:shape>
          </w:pict>
        </mc:Fallback>
      </mc:AlternateContent>
    </w:r>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8E410">
    <w:pPr>
      <w:widowControl w:val="0"/>
      <w:spacing w:line="1" w:lineRule="exact"/>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8096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4382770</wp:posOffset>
              </wp:positionH>
              <wp:positionV relativeFrom="page">
                <wp:posOffset>485140</wp:posOffset>
              </wp:positionV>
              <wp:extent cx="1569720" cy="109855"/>
              <wp:effectExtent l="0" t="0" r="0" b="0"/>
              <wp:wrapNone/>
              <wp:docPr id="825" name="Shape 825"/>
              <wp:cNvGraphicFramePr/>
              <a:graphic xmlns:a="http://schemas.openxmlformats.org/drawingml/2006/main">
                <a:graphicData uri="http://schemas.microsoft.com/office/word/2010/wordprocessingShape">
                  <wps:wsp>
                    <wps:cNvSpPr txBox="1"/>
                    <wps:spPr>
                      <a:xfrm>
                        <a:off x="0" y="0"/>
                        <a:ext cx="1569720" cy="109855"/>
                      </a:xfrm>
                      <a:prstGeom prst="rect">
                        <a:avLst/>
                      </a:prstGeom>
                      <a:noFill/>
                    </wps:spPr>
                    <wps:txbx>
                      <w:txbxContent>
                        <w:p w14:paraId="4EC8AE8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25" o:spid="_x0000_s1026" o:spt="202" type="#_x0000_t202" style="position:absolute;left:0pt;margin-left:345.1pt;margin-top:38.2pt;height:8.65pt;width:123.6pt;mso-position-horizontal-relative:page;mso-position-vertical-relative:page;mso-wrap-style:none;z-index:-251657216;mso-width-relative:page;mso-height-relative:page;" filled="f" stroked="f" coordsize="21600,21600" o:gfxdata="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StMc7UAAAA&#10;CQEAAA8AAAAAAAAAAQAgAAAAIgAAAGRycy9kb3ducmV2LnhtbFBLAQIUABQAAAAIAIdO4kCvLCx/&#10;rwEAAHQDAAAOAAAAAAAAAAEAIAAAACMBAABkcnMvZTJvRG9jLnhtbFBLBQYAAAAABgAGAFkBAABE&#10;BQAAAAA=&#10;">
              <v:fill on="f" focussize="0,0"/>
              <v:stroke on="f"/>
              <v:imagedata o:title=""/>
              <o:lock v:ext="edit" aspectratio="f"/>
              <v:textbox inset="0mm,0mm,0mm,0mm" style="mso-fit-shape-to-text:t;">
                <w:txbxContent>
                  <w:p w14:paraId="4EC8AE8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报批义务违反之损害赔偿规则</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8BA11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27" name="Shape 82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DB31E0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2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9JkAq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3frD5y5oWjlZe5LCfIniFgQ11PgfrS&#10;+AVGujTXPFIyqx51dPlJehjVydzLzVw1JiYpubn7sHq/5kxSaVl/2qzXGaV6/jhETF8VOJaDlkfa&#10;XbFUnL9jmlqvLXmWhwdjbc5nhhOTHKXxMM60D9BdiPVA6225p9vMmf3myb18E65BvAaHOcjgGD6f&#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l9Jk&#10;Aq8BAABzAwAADgAAAAAAAAABACAAAAAkAQAAZHJzL2Uyb0RvYy54bWxQSwUGAAAAAAYABgBZAQAA&#10;RQUAAAAA&#10;">
              <v:fill on="f" focussize="0,0"/>
              <v:stroke on="f"/>
              <v:imagedata o:title=""/>
              <o:lock v:ext="edit" aspectratio="f"/>
              <v:textbox inset="0mm,0mm,0mm,0mm" style="mso-fit-shape-to-text:t;">
                <w:txbxContent>
                  <w:p w14:paraId="0DB31E0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5B9A7">
    <w:pPr>
      <w:widowControl w:val="0"/>
      <w:spacing w:line="1" w:lineRule="exact"/>
    </w:pPr>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74B78">
    <w:pPr>
      <w:widowControl w:val="0"/>
      <w:spacing w:line="1" w:lineRule="exact"/>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016C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4123055</wp:posOffset>
              </wp:positionH>
              <wp:positionV relativeFrom="page">
                <wp:posOffset>504825</wp:posOffset>
              </wp:positionV>
              <wp:extent cx="1771015" cy="109855"/>
              <wp:effectExtent l="0" t="0" r="0" b="0"/>
              <wp:wrapNone/>
              <wp:docPr id="835" name="Shape 835"/>
              <wp:cNvGraphicFramePr/>
              <a:graphic xmlns:a="http://schemas.openxmlformats.org/drawingml/2006/main">
                <a:graphicData uri="http://schemas.microsoft.com/office/word/2010/wordprocessingShape">
                  <wps:wsp>
                    <wps:cNvSpPr txBox="1"/>
                    <wps:spPr>
                      <a:xfrm>
                        <a:off x="0" y="0"/>
                        <a:ext cx="1771015" cy="109855"/>
                      </a:xfrm>
                      <a:prstGeom prst="rect">
                        <a:avLst/>
                      </a:prstGeom>
                      <a:noFill/>
                    </wps:spPr>
                    <wps:txbx>
                      <w:txbxContent>
                        <w:p w14:paraId="1255876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约定不明的多数人债务的推定规则丨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35" o:spid="_x0000_s1026" o:spt="202" type="#_x0000_t202" style="position:absolute;left:0pt;margin-left:324.65pt;margin-top:39.75pt;height:8.65pt;width:139.45pt;mso-position-horizontal-relative:page;mso-position-vertical-relative:page;mso-wrap-style:none;z-index:-251657216;mso-width-relative:page;mso-height-relative:page;" filled="f" stroked="f" coordsize="21600,21600" o:gfxdata="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AZQi9YA&#10;AAAJAQAADwAAAAAAAAABACAAAAAiAAAAZHJzL2Rvd25yZXYueG1sUEsBAhQAFAAAAAgAh07iQDMV&#10;/W6vAQAAdAMAAA4AAAAAAAAAAQAgAAAAJQEAAGRycy9lMm9Eb2MueG1sUEsFBgAAAAAGAAYAWQEA&#10;AEYFAAAAAA==&#10;">
              <v:fill on="f" focussize="0,0"/>
              <v:stroke on="f"/>
              <v:imagedata o:title=""/>
              <o:lock v:ext="edit" aspectratio="f"/>
              <v:textbox inset="0mm,0mm,0mm,0mm" style="mso-fit-shape-to-text:t;">
                <w:txbxContent>
                  <w:p w14:paraId="1255876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约定不明的多数人债务的推定规则丨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3B09E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37" name="Shape 83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A55C69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3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76TlLA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Vq+ufvAmReOVl7mspwge4aADXU9BepL&#10;42cY6dJc80jJrHrU0eUn6WFUJ3MvN3PVmJik5Ob+/epuzZmk0rL+uF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e+&#10;k5SwAQAAcwMAAA4AAAAAAAAAAQAgAAAAJAEAAGRycy9lMm9Eb2MueG1sUEsFBgAAAAAGAAYAWQEA&#10;AEYFAAAAAA==&#10;">
              <v:fill on="f" focussize="0,0"/>
              <v:stroke on="f"/>
              <v:imagedata o:title=""/>
              <o:lock v:ext="edit" aspectratio="f"/>
              <v:textbox inset="0mm,0mm,0mm,0mm" style="mso-fit-shape-to-text:t;">
                <w:txbxContent>
                  <w:p w14:paraId="3A55C69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B9FD1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4750435</wp:posOffset>
              </wp:positionH>
              <wp:positionV relativeFrom="page">
                <wp:posOffset>507365</wp:posOffset>
              </wp:positionV>
              <wp:extent cx="1155065" cy="109855"/>
              <wp:effectExtent l="0" t="0" r="0" b="0"/>
              <wp:wrapNone/>
              <wp:docPr id="71" name="Shape 71"/>
              <wp:cNvGraphicFramePr/>
              <a:graphic xmlns:a="http://schemas.openxmlformats.org/drawingml/2006/main">
                <a:graphicData uri="http://schemas.microsoft.com/office/word/2010/wordprocessingShape">
                  <wps:wsp>
                    <wps:cNvSpPr txBox="1"/>
                    <wps:spPr>
                      <a:xfrm>
                        <a:off x="0" y="0"/>
                        <a:ext cx="1155065" cy="109855"/>
                      </a:xfrm>
                      <a:prstGeom prst="rect">
                        <a:avLst/>
                      </a:prstGeom>
                      <a:noFill/>
                    </wps:spPr>
                    <wps:txbx>
                      <w:txbxContent>
                        <w:p w14:paraId="4E877DF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019</w:t>
                          </w:r>
                        </w:p>
                      </w:txbxContent>
                    </wps:txbx>
                    <wps:bodyPr wrap="none" lIns="0" tIns="0" rIns="0" bIns="0">
                      <a:spAutoFit/>
                    </wps:bodyPr>
                  </wps:wsp>
                </a:graphicData>
              </a:graphic>
            </wp:anchor>
          </w:drawing>
        </mc:Choice>
        <mc:Fallback>
          <w:pict>
            <v:shape id="Shape 71" o:spid="_x0000_s1026" o:spt="202" type="#_x0000_t202" style="position:absolute;left:0pt;margin-left:374.05pt;margin-top:39.95pt;height:8.65pt;width:90.95pt;mso-position-horizontal-relative:page;mso-position-vertical-relative:page;mso-wrap-style:none;z-index:-251657216;mso-width-relative:page;mso-height-relative:page;" filled="f" stroked="f" coordsize="21600,21600" o:gfxdata="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yb3fbVAAAA&#10;CQEAAA8AAAAAAAAAAQAgAAAAIgAAAGRycy9kb3ducmV2LnhtbFBLAQIUABQAAAAIAIdO4kCfRkhu&#10;rgEAAHIDAAAOAAAAAAAAAAEAIAAAACQBAABkcnMvZTJvRG9jLnhtbFBLBQYAAAAABgAGAFkBAABE&#10;BQAAAAA=&#10;">
              <v:fill on="f" focussize="0,0"/>
              <v:stroke on="f"/>
              <v:imagedata o:title=""/>
              <o:lock v:ext="edit" aspectratio="f"/>
              <v:textbox inset="0mm,0mm,0mm,0mm" style="mso-fit-shape-to-text:t;">
                <w:txbxContent>
                  <w:p w14:paraId="4E877DF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019</w:t>
                    </w:r>
                  </w:p>
                </w:txbxContent>
              </v:textbox>
            </v:shape>
          </w:pict>
        </mc:Fallback>
      </mc:AlternateContent>
    </w: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D281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5280660</wp:posOffset>
              </wp:positionH>
              <wp:positionV relativeFrom="page">
                <wp:posOffset>520065</wp:posOffset>
              </wp:positionV>
              <wp:extent cx="661670" cy="109855"/>
              <wp:effectExtent l="0" t="0" r="0" b="0"/>
              <wp:wrapNone/>
              <wp:docPr id="839" name="Shape 839"/>
              <wp:cNvGraphicFramePr/>
              <a:graphic xmlns:a="http://schemas.openxmlformats.org/drawingml/2006/main">
                <a:graphicData uri="http://schemas.microsoft.com/office/word/2010/wordprocessingShape">
                  <wps:wsp>
                    <wps:cNvSpPr txBox="1"/>
                    <wps:spPr>
                      <a:xfrm>
                        <a:off x="0" y="0"/>
                        <a:ext cx="661670" cy="109855"/>
                      </a:xfrm>
                      <a:prstGeom prst="rect">
                        <a:avLst/>
                      </a:prstGeom>
                      <a:noFill/>
                    </wps:spPr>
                    <wps:txbx>
                      <w:txbxContent>
                        <w:p w14:paraId="4E9D811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利他合同丨</w:t>
                          </w:r>
                          <w:r>
                            <w:rPr>
                              <w:rFonts w:ascii="Times New Roman" w:hAnsi="Times New Roman" w:eastAsia="Times New Roman" w:cs="Times New Roman"/>
                              <w:b/>
                              <w:bCs/>
                              <w:color w:val="000000"/>
                              <w:spacing w:val="0"/>
                              <w:w w:val="100"/>
                              <w:position w:val="0"/>
                              <w:sz w:val="15"/>
                              <w:szCs w:val="15"/>
                            </w:rPr>
                            <w:t>297</w:t>
                          </w:r>
                        </w:p>
                      </w:txbxContent>
                    </wps:txbx>
                    <wps:bodyPr wrap="none" lIns="0" tIns="0" rIns="0" bIns="0">
                      <a:spAutoFit/>
                    </wps:bodyPr>
                  </wps:wsp>
                </a:graphicData>
              </a:graphic>
            </wp:anchor>
          </w:drawing>
        </mc:Choice>
        <mc:Fallback>
          <w:pict>
            <v:shape id="Shape 839" o:spid="_x0000_s1026" o:spt="202" type="#_x0000_t202" style="position:absolute;left:0pt;margin-left:415.8pt;margin-top:40.95pt;height:8.65pt;width:52.1pt;mso-position-horizontal-relative:page;mso-position-vertical-relative:page;mso-wrap-style:none;z-index:-251657216;mso-width-relative:page;mso-height-relative:page;" filled="f" stroked="f" coordsize="21600,21600" o:gfxdata="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B0Mui1QAA&#10;AAkBAAAPAAAAAAAAAAEAIAAAACIAAABkcnMvZG93bnJldi54bWxQSwECFAAUAAAACACHTuJAwN+O&#10;ka8BAABzAwAADgAAAAAAAAABACAAAAAkAQAAZHJzL2Uyb0RvYy54bWxQSwUGAAAAAAYABgBZAQAA&#10;RQUAAAAA&#10;">
              <v:fill on="f" focussize="0,0"/>
              <v:stroke on="f"/>
              <v:imagedata o:title=""/>
              <o:lock v:ext="edit" aspectratio="f"/>
              <v:textbox inset="0mm,0mm,0mm,0mm" style="mso-fit-shape-to-text:t;">
                <w:txbxContent>
                  <w:p w14:paraId="4E9D811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利他合同丨</w:t>
                    </w:r>
                    <w:r>
                      <w:rPr>
                        <w:rFonts w:ascii="Times New Roman" w:hAnsi="Times New Roman" w:eastAsia="Times New Roman" w:cs="Times New Roman"/>
                        <w:b/>
                        <w:bCs/>
                        <w:color w:val="000000"/>
                        <w:spacing w:val="0"/>
                        <w:w w:val="100"/>
                        <w:position w:val="0"/>
                        <w:sz w:val="15"/>
                        <w:szCs w:val="15"/>
                      </w:rPr>
                      <w:t>297</w:t>
                    </w:r>
                  </w:p>
                </w:txbxContent>
              </v:textbox>
            </v:shape>
          </w:pict>
        </mc:Fallback>
      </mc:AlternateContent>
    </w: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A579D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5280660</wp:posOffset>
              </wp:positionH>
              <wp:positionV relativeFrom="page">
                <wp:posOffset>520065</wp:posOffset>
              </wp:positionV>
              <wp:extent cx="661670" cy="109855"/>
              <wp:effectExtent l="0" t="0" r="0" b="0"/>
              <wp:wrapNone/>
              <wp:docPr id="841" name="Shape 841"/>
              <wp:cNvGraphicFramePr/>
              <a:graphic xmlns:a="http://schemas.openxmlformats.org/drawingml/2006/main">
                <a:graphicData uri="http://schemas.microsoft.com/office/word/2010/wordprocessingShape">
                  <wps:wsp>
                    <wps:cNvSpPr txBox="1"/>
                    <wps:spPr>
                      <a:xfrm>
                        <a:off x="0" y="0"/>
                        <a:ext cx="661670" cy="109855"/>
                      </a:xfrm>
                      <a:prstGeom prst="rect">
                        <a:avLst/>
                      </a:prstGeom>
                      <a:noFill/>
                    </wps:spPr>
                    <wps:txbx>
                      <w:txbxContent>
                        <w:p w14:paraId="3BE2B4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利他合同丨</w:t>
                          </w:r>
                          <w:r>
                            <w:rPr>
                              <w:rFonts w:ascii="Times New Roman" w:hAnsi="Times New Roman" w:eastAsia="Times New Roman" w:cs="Times New Roman"/>
                              <w:b/>
                              <w:bCs/>
                              <w:color w:val="000000"/>
                              <w:spacing w:val="0"/>
                              <w:w w:val="100"/>
                              <w:position w:val="0"/>
                              <w:sz w:val="15"/>
                              <w:szCs w:val="15"/>
                            </w:rPr>
                            <w:t>297</w:t>
                          </w:r>
                        </w:p>
                      </w:txbxContent>
                    </wps:txbx>
                    <wps:bodyPr wrap="none" lIns="0" tIns="0" rIns="0" bIns="0">
                      <a:spAutoFit/>
                    </wps:bodyPr>
                  </wps:wsp>
                </a:graphicData>
              </a:graphic>
            </wp:anchor>
          </w:drawing>
        </mc:Choice>
        <mc:Fallback>
          <w:pict>
            <v:shape id="Shape 841" o:spid="_x0000_s1026" o:spt="202" type="#_x0000_t202" style="position:absolute;left:0pt;margin-left:415.8pt;margin-top:40.95pt;height:8.65pt;width:52.1pt;mso-position-horizontal-relative:page;mso-position-vertical-relative:page;mso-wrap-style:none;z-index:-251657216;mso-width-relative:page;mso-height-relative:page;" filled="f" stroked="f" coordsize="21600,21600" o:gfxdata="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HQy6LVAAAA&#10;CQEAAA8AAAAAAAAAAQAgAAAAIgAAAGRycy9kb3ducmV2LnhtbFBLAQIUABQAAAAIAIdO4kCmPUpc&#10;rgEAAHMDAAAOAAAAAAAAAAEAIAAAACQBAABkcnMvZTJvRG9jLnhtbFBLBQYAAAAABgAGAFkBAABE&#10;BQAAAAA=&#10;">
              <v:fill on="f" focussize="0,0"/>
              <v:stroke on="f"/>
              <v:imagedata o:title=""/>
              <o:lock v:ext="edit" aspectratio="f"/>
              <v:textbox inset="0mm,0mm,0mm,0mm" style="mso-fit-shape-to-text:t;">
                <w:txbxContent>
                  <w:p w14:paraId="3BE2B4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利他合同丨</w:t>
                    </w:r>
                    <w:r>
                      <w:rPr>
                        <w:rFonts w:ascii="Times New Roman" w:hAnsi="Times New Roman" w:eastAsia="Times New Roman" w:cs="Times New Roman"/>
                        <w:b/>
                        <w:bCs/>
                        <w:color w:val="000000"/>
                        <w:spacing w:val="0"/>
                        <w:w w:val="100"/>
                        <w:position w:val="0"/>
                        <w:sz w:val="15"/>
                        <w:szCs w:val="15"/>
                      </w:rPr>
                      <w:t>297</w:t>
                    </w:r>
                  </w:p>
                </w:txbxContent>
              </v:textbox>
            </v:shape>
          </w:pict>
        </mc:Fallback>
      </mc:AlternateContent>
    </w: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53833A">
    <w:pPr>
      <w:widowControl w:val="0"/>
      <w:spacing w:line="1" w:lineRule="exact"/>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5A9E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5283835</wp:posOffset>
              </wp:positionH>
              <wp:positionV relativeFrom="page">
                <wp:posOffset>520065</wp:posOffset>
              </wp:positionV>
              <wp:extent cx="661670" cy="109855"/>
              <wp:effectExtent l="0" t="0" r="0" b="0"/>
              <wp:wrapNone/>
              <wp:docPr id="849" name="Shape 849"/>
              <wp:cNvGraphicFramePr/>
              <a:graphic xmlns:a="http://schemas.openxmlformats.org/drawingml/2006/main">
                <a:graphicData uri="http://schemas.microsoft.com/office/word/2010/wordprocessingShape">
                  <wps:wsp>
                    <wps:cNvSpPr txBox="1"/>
                    <wps:spPr>
                      <a:xfrm>
                        <a:off x="0" y="0"/>
                        <a:ext cx="661670" cy="109855"/>
                      </a:xfrm>
                      <a:prstGeom prst="rect">
                        <a:avLst/>
                      </a:prstGeom>
                      <a:noFill/>
                    </wps:spPr>
                    <wps:txbx>
                      <w:txbxContent>
                        <w:p w14:paraId="42FAED5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49" o:spid="_x0000_s1026" o:spt="202" type="#_x0000_t202" style="position:absolute;left:0pt;margin-left:416.05pt;margin-top:40.95pt;height:8.65pt;width:52.1pt;mso-position-horizontal-relative:page;mso-position-vertical-relative:page;mso-wrap-style:none;z-index:-251657216;mso-width-relative:page;mso-height-relative:page;" filled="f" stroked="f" coordsize="21600,21600" o:gfxdata="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xA41QAA&#10;AAkBAAAPAAAAAAAAAAEAIAAAACIAAABkcnMvZG93bnJldi54bWxQSwECFAAUAAAACACHTuJA8tao&#10;x68BAABzAwAADgAAAAAAAAABACAAAAAkAQAAZHJzL2Uyb0RvYy54bWxQSwUGAAAAAAYABgBZAQAA&#10;RQUAAAAA&#10;">
              <v:fill on="f" focussize="0,0"/>
              <v:stroke on="f"/>
              <v:imagedata o:title=""/>
              <o:lock v:ext="edit" aspectratio="f"/>
              <v:textbox inset="0mm,0mm,0mm,0mm" style="mso-fit-shape-to-text:t;">
                <w:txbxContent>
                  <w:p w14:paraId="42FAED5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利他合同</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E74B4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51" name="Shape 85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BCBFF7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5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2hRLP6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mv5Zr3kzAtHKy9zWU6QPUPAhrqeAvWl&#10;8QuMdGmueaRkVj3q6PKT9DCqk7mXm7lqTExScnP3afVxzZmk0rL+vFmvM0r1/HGImL4qcCwHLY+0&#10;u2KpOH/HNLVeW/IsD4/G2pzPDCcmOUrjYZxpH6C7EOuB1ttyT7eZM/vNk3v5JlyDeA0Oc5DBMTyc&#10;Eg0oczPqBDUPo10U5vO9ycv+9710Pf8r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2hRL&#10;P68BAABzAwAADgAAAAAAAAABACAAAAAkAQAAZHJzL2Uyb0RvYy54bWxQSwUGAAAAAAYABgBZAQAA&#10;RQUAAAAA&#10;">
              <v:fill on="f" focussize="0,0"/>
              <v:stroke on="f"/>
              <v:imagedata o:title=""/>
              <o:lock v:ext="edit" aspectratio="f"/>
              <v:textbox inset="0mm,0mm,0mm,0mm" style="mso-fit-shape-to-text:t;">
                <w:txbxContent>
                  <w:p w14:paraId="6BCBFF7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63034">
    <w:pPr>
      <w:widowControl w:val="0"/>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3A555B">
    <w:pPr>
      <w:widowControl w:val="0"/>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649DB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3643630</wp:posOffset>
              </wp:positionH>
              <wp:positionV relativeFrom="page">
                <wp:posOffset>528955</wp:posOffset>
              </wp:positionV>
              <wp:extent cx="2275205" cy="109855"/>
              <wp:effectExtent l="0" t="0" r="0" b="0"/>
              <wp:wrapNone/>
              <wp:docPr id="859" name="Shape 859"/>
              <wp:cNvGraphicFramePr/>
              <a:graphic xmlns:a="http://schemas.openxmlformats.org/drawingml/2006/main">
                <a:graphicData uri="http://schemas.microsoft.com/office/word/2010/wordprocessingShape">
                  <wps:wsp>
                    <wps:cNvSpPr txBox="1"/>
                    <wps:spPr>
                      <a:xfrm>
                        <a:off x="0" y="0"/>
                        <a:ext cx="2275205" cy="109855"/>
                      </a:xfrm>
                      <a:prstGeom prst="rect">
                        <a:avLst/>
                      </a:prstGeom>
                      <a:noFill/>
                    </wps:spPr>
                    <wps:txbx>
                      <w:txbxContent>
                        <w:p w14:paraId="624DD5D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第三人违约是否引发丧失商业信誉之不安抗辩</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59" o:spid="_x0000_s1026" o:spt="202" type="#_x0000_t202" style="position:absolute;left:0pt;margin-left:286.9pt;margin-top:41.65pt;height:8.65pt;width:179.15pt;mso-position-horizontal-relative:page;mso-position-vertical-relative:page;mso-wrap-style:none;z-index:-251657216;mso-width-relative:page;mso-height-relative:page;" filled="f" stroked="f" coordsize="21600,21600" o:gfxdata="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zxMofW&#10;AAAACgEAAA8AAAAAAAAAAQAgAAAAIgAAAGRycy9kb3ducmV2LnhtbFBLAQIUABQAAAAIAIdO4kBg&#10;MMpNsAEAAHQDAAAOAAAAAAAAAAEAIAAAACUBAABkcnMvZTJvRG9jLnhtbFBLBQYAAAAABgAGAFkB&#10;AABHBQAAAAA=&#10;">
              <v:fill on="f" focussize="0,0"/>
              <v:stroke on="f"/>
              <v:imagedata o:title=""/>
              <o:lock v:ext="edit" aspectratio="f"/>
              <v:textbox inset="0mm,0mm,0mm,0mm" style="mso-fit-shape-to-text:t;">
                <w:txbxContent>
                  <w:p w14:paraId="624DD5D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第三人违约是否引发丧失商业信誉之不安抗辩</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5B49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61" name="Shape 86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E23C36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6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a6Yj&#10;X68BAABzAwAADgAAAAAAAAABACAAAAAkAQAAZHJzL2Uyb0RvYy54bWxQSwUGAAAAAAYABgBZAQAA&#10;RQUAAAAA&#10;">
              <v:fill on="f" focussize="0,0"/>
              <v:stroke on="f"/>
              <v:imagedata o:title=""/>
              <o:lock v:ext="edit" aspectratio="f"/>
              <v:textbox inset="0mm,0mm,0mm,0mm" style="mso-fit-shape-to-text:t;">
                <w:txbxContent>
                  <w:p w14:paraId="1E23C36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324B5C">
    <w:pPr>
      <w:widowControl w:val="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1CF0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3" name="Shape 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D9F05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cBBp&#10;XK8BAABxAwAADgAAAAAAAAABACAAAAAkAQAAZHJzL2Uyb0RvYy54bWxQSwUGAAAAAAYABgBZAQAA&#10;RQUAAAAA&#10;">
              <v:fill on="f" focussize="0,0"/>
              <v:stroke on="f"/>
              <v:imagedata o:title=""/>
              <o:lock v:ext="edit" aspectratio="f"/>
              <v:textbox inset="0mm,0mm,0mm,0mm" style="mso-fit-shape-to-text:t;">
                <w:txbxContent>
                  <w:p w14:paraId="0D9F05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01A14">
    <w:pPr>
      <w:widowControl w:val="0"/>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714A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4282440</wp:posOffset>
              </wp:positionH>
              <wp:positionV relativeFrom="page">
                <wp:posOffset>535305</wp:posOffset>
              </wp:positionV>
              <wp:extent cx="1673225" cy="107950"/>
              <wp:effectExtent l="0" t="0" r="0" b="0"/>
              <wp:wrapNone/>
              <wp:docPr id="869" name="Shape 869"/>
              <wp:cNvGraphicFramePr/>
              <a:graphic xmlns:a="http://schemas.openxmlformats.org/drawingml/2006/main">
                <a:graphicData uri="http://schemas.microsoft.com/office/word/2010/wordprocessingShape">
                  <wps:wsp>
                    <wps:cNvSpPr txBox="1"/>
                    <wps:spPr>
                      <a:xfrm>
                        <a:off x="0" y="0"/>
                        <a:ext cx="1673225" cy="107950"/>
                      </a:xfrm>
                      <a:prstGeom prst="rect">
                        <a:avLst/>
                      </a:prstGeom>
                      <a:noFill/>
                    </wps:spPr>
                    <wps:txbx>
                      <w:txbxContent>
                        <w:p w14:paraId="315B494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情势变更与不可抗力的关系问题丨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69" o:spid="_x0000_s1026" o:spt="202" type="#_x0000_t202" style="position:absolute;left:0pt;margin-left:337.2pt;margin-top:42.15pt;height:8.5pt;width:131.75pt;mso-position-horizontal-relative:page;mso-position-vertical-relative:page;mso-wrap-style:none;z-index:-251657216;mso-width-relative:page;mso-height-relative:page;" filled="f" stroked="f" coordsize="21600,21600" o:gfxdata="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eKz&#10;7tcAAAAKAQAADwAAAAAAAAABACAAAAAiAAAAZHJzL2Rvd25yZXYueG1sUEsBAhQAFAAAAAgAh07i&#10;QBvvb+OxAQAAdAMAAA4AAAAAAAAAAQAgAAAAJgEAAGRycy9lMm9Eb2MueG1sUEsFBgAAAAAGAAYA&#10;WQEAAEkFAAAAAA==&#10;">
              <v:fill on="f" focussize="0,0"/>
              <v:stroke on="f"/>
              <v:imagedata o:title=""/>
              <o:lock v:ext="edit" aspectratio="f"/>
              <v:textbox inset="0mm,0mm,0mm,0mm" style="mso-fit-shape-to-text:t;">
                <w:txbxContent>
                  <w:p w14:paraId="315B494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情势变更与不可抗力的关系问题丨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FDE98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71" name="Shape 87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EB921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7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8rUya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C3ffFxy5oWjlZe5LCfIniFgQ11PgfrS&#10;+AVGujTXPFIyqx51dPlJehjVydzLzVw1JiYpubn7sHq/5kxSaVl/2qzXGaV6/jhETF8VOJaDlkfa&#10;XbFUnL9jmlqvLXmWhwdjbc5nhhOTHKXxMM60D9BdiPVA6225p9vMmf3myb18E65BvAaHOcjgGD6f&#10;Eg0oczPqBDUPo10U5vO9ycv++710Pf8r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O8rU&#10;ya8BAABzAwAADgAAAAAAAAABACAAAAAkAQAAZHJzL2Uyb0RvYy54bWxQSwUGAAAAAAYABgBZAQAA&#10;RQUAAAAA&#10;">
              <v:fill on="f" focussize="0,0"/>
              <v:stroke on="f"/>
              <v:imagedata o:title=""/>
              <o:lock v:ext="edit" aspectratio="f"/>
              <v:textbox inset="0mm,0mm,0mm,0mm" style="mso-fit-shape-to-text:t;">
                <w:txbxContent>
                  <w:p w14:paraId="3EB921B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FD367">
    <w:pPr>
      <w:widowControl w:val="0"/>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B5553">
    <w:pPr>
      <w:widowControl w:val="0"/>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DE0FD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79" name="Shape 87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EC11E3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7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G8h&#10;NlKwAQAAcwMAAA4AAAAAAAAAAQAgAAAAJAEAAGRycy9lMm9Eb2MueG1sUEsFBgAAAAAGAAYAWQEA&#10;AEYFAAAAAA==&#10;">
              <v:fill on="f" focussize="0,0"/>
              <v:stroke on="f"/>
              <v:imagedata o:title=""/>
              <o:lock v:ext="edit" aspectratio="f"/>
              <v:textbox inset="0mm,0mm,0mm,0mm" style="mso-fit-shape-to-text:t;">
                <w:txbxContent>
                  <w:p w14:paraId="5EC11E3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E4B96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81" name="Shape 88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A34CCC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8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D7Rv&#10;868BAABzAwAADgAAAAAAAAABACAAAAAkAQAAZHJzL2Uyb0RvYy54bWxQSwUGAAAAAAYABgBZAQAA&#10;RQUAAAAA&#10;">
              <v:fill on="f" focussize="0,0"/>
              <v:stroke on="f"/>
              <v:imagedata o:title=""/>
              <o:lock v:ext="edit" aspectratio="f"/>
              <v:textbox inset="0mm,0mm,0mm,0mm" style="mso-fit-shape-to-text:t;">
                <w:txbxContent>
                  <w:p w14:paraId="4A34CCC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839C9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4626610</wp:posOffset>
              </wp:positionH>
              <wp:positionV relativeFrom="page">
                <wp:posOffset>543560</wp:posOffset>
              </wp:positionV>
              <wp:extent cx="1266190" cy="109855"/>
              <wp:effectExtent l="0" t="0" r="0" b="0"/>
              <wp:wrapNone/>
              <wp:docPr id="883" name="Shape 883"/>
              <wp:cNvGraphicFramePr/>
              <a:graphic xmlns:a="http://schemas.openxmlformats.org/drawingml/2006/main">
                <a:graphicData uri="http://schemas.microsoft.com/office/word/2010/wordprocessingShape">
                  <wps:wsp>
                    <wps:cNvSpPr txBox="1"/>
                    <wps:spPr>
                      <a:xfrm>
                        <a:off x="0" y="0"/>
                        <a:ext cx="1266190" cy="109855"/>
                      </a:xfrm>
                      <a:prstGeom prst="rect">
                        <a:avLst/>
                      </a:prstGeom>
                      <a:noFill/>
                    </wps:spPr>
                    <wps:txbx>
                      <w:txbxContent>
                        <w:p w14:paraId="0E55A1A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继续性合同的适用规则丨</w:t>
                          </w:r>
                          <w:r>
                            <w:rPr>
                              <w:rFonts w:ascii="Times New Roman" w:hAnsi="Times New Roman" w:eastAsia="Times New Roman" w:cs="Times New Roman"/>
                              <w:b/>
                              <w:bCs/>
                              <w:color w:val="000000"/>
                              <w:spacing w:val="0"/>
                              <w:w w:val="100"/>
                              <w:position w:val="0"/>
                              <w:sz w:val="15"/>
                              <w:szCs w:val="15"/>
                            </w:rPr>
                            <w:t>313</w:t>
                          </w:r>
                        </w:p>
                      </w:txbxContent>
                    </wps:txbx>
                    <wps:bodyPr wrap="none" lIns="0" tIns="0" rIns="0" bIns="0">
                      <a:spAutoFit/>
                    </wps:bodyPr>
                  </wps:wsp>
                </a:graphicData>
              </a:graphic>
            </wp:anchor>
          </w:drawing>
        </mc:Choice>
        <mc:Fallback>
          <w:pict>
            <v:shape id="Shape 883" o:spid="_x0000_s1026" o:spt="202" type="#_x0000_t202" style="position:absolute;left:0pt;margin-left:364.3pt;margin-top:42.8pt;height:8.65pt;width:99.7pt;mso-position-horizontal-relative:page;mso-position-vertical-relative:page;mso-wrap-style:none;z-index:-251657216;mso-width-relative:page;mso-height-relative:page;" filled="f" stroked="f" coordsize="21600,21600" o:gfxdata="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EB3p1QAA&#10;AAoBAAAPAAAAAAAAAAEAIAAAACIAAABkcnMvZG93bnJldi54bWxQSwECFAAUAAAACACHTuJAw9MK&#10;9a8BAAB0AwAADgAAAAAAAAABACAAAAAkAQAAZHJzL2Uyb0RvYy54bWxQSwUGAAAAAAYABgBZAQAA&#10;RQUAAAAA&#10;">
              <v:fill on="f" focussize="0,0"/>
              <v:stroke on="f"/>
              <v:imagedata o:title=""/>
              <o:lock v:ext="edit" aspectratio="f"/>
              <v:textbox inset="0mm,0mm,0mm,0mm" style="mso-fit-shape-to-text:t;">
                <w:txbxContent>
                  <w:p w14:paraId="0E55A1A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继续性合同的适用规则丨</w:t>
                    </w:r>
                    <w:r>
                      <w:rPr>
                        <w:rFonts w:ascii="Times New Roman" w:hAnsi="Times New Roman" w:eastAsia="Times New Roman" w:cs="Times New Roman"/>
                        <w:b/>
                        <w:bCs/>
                        <w:color w:val="000000"/>
                        <w:spacing w:val="0"/>
                        <w:w w:val="100"/>
                        <w:position w:val="0"/>
                        <w:sz w:val="15"/>
                        <w:szCs w:val="15"/>
                      </w:rPr>
                      <w:t>313</w:t>
                    </w:r>
                  </w:p>
                </w:txbxContent>
              </v:textbox>
            </v:shape>
          </w:pict>
        </mc:Fallback>
      </mc:AlternateContent>
    </w: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FAE4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4626610</wp:posOffset>
              </wp:positionH>
              <wp:positionV relativeFrom="page">
                <wp:posOffset>543560</wp:posOffset>
              </wp:positionV>
              <wp:extent cx="1266190" cy="109855"/>
              <wp:effectExtent l="0" t="0" r="0" b="0"/>
              <wp:wrapNone/>
              <wp:docPr id="885" name="Shape 885"/>
              <wp:cNvGraphicFramePr/>
              <a:graphic xmlns:a="http://schemas.openxmlformats.org/drawingml/2006/main">
                <a:graphicData uri="http://schemas.microsoft.com/office/word/2010/wordprocessingShape">
                  <wps:wsp>
                    <wps:cNvSpPr txBox="1"/>
                    <wps:spPr>
                      <a:xfrm>
                        <a:off x="0" y="0"/>
                        <a:ext cx="1266190" cy="109855"/>
                      </a:xfrm>
                      <a:prstGeom prst="rect">
                        <a:avLst/>
                      </a:prstGeom>
                      <a:noFill/>
                    </wps:spPr>
                    <wps:txbx>
                      <w:txbxContent>
                        <w:p w14:paraId="49C88FA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继续性合同的适用规则丨</w:t>
                          </w:r>
                          <w:r>
                            <w:rPr>
                              <w:rFonts w:ascii="Times New Roman" w:hAnsi="Times New Roman" w:eastAsia="Times New Roman" w:cs="Times New Roman"/>
                              <w:b/>
                              <w:bCs/>
                              <w:color w:val="000000"/>
                              <w:spacing w:val="0"/>
                              <w:w w:val="100"/>
                              <w:position w:val="0"/>
                              <w:sz w:val="15"/>
                              <w:szCs w:val="15"/>
                            </w:rPr>
                            <w:t>313</w:t>
                          </w:r>
                        </w:p>
                      </w:txbxContent>
                    </wps:txbx>
                    <wps:bodyPr wrap="none" lIns="0" tIns="0" rIns="0" bIns="0">
                      <a:spAutoFit/>
                    </wps:bodyPr>
                  </wps:wsp>
                </a:graphicData>
              </a:graphic>
            </wp:anchor>
          </w:drawing>
        </mc:Choice>
        <mc:Fallback>
          <w:pict>
            <v:shape id="Shape 885" o:spid="_x0000_s1026" o:spt="202" type="#_x0000_t202" style="position:absolute;left:0pt;margin-left:364.3pt;margin-top:42.8pt;height:8.65pt;width:99.7pt;mso-position-horizontal-relative:page;mso-position-vertical-relative:page;mso-wrap-style:none;z-index:-251657216;mso-width-relative:page;mso-height-relative:page;" filled="f" stroked="f" coordsize="21600,21600" o:gfxdata="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FEB3p1QAA&#10;AAoBAAAPAAAAAAAAAAEAIAAAACIAAABkcnMvZG93bnJldi54bWxQSwECFAAUAAAACACHTuJAobbb&#10;Na8BAAB0AwAADgAAAAAAAAABACAAAAAkAQAAZHJzL2Uyb0RvYy54bWxQSwUGAAAAAAYABgBZAQAA&#10;RQUAAAAA&#10;">
              <v:fill on="f" focussize="0,0"/>
              <v:stroke on="f"/>
              <v:imagedata o:title=""/>
              <o:lock v:ext="edit" aspectratio="f"/>
              <v:textbox inset="0mm,0mm,0mm,0mm" style="mso-fit-shape-to-text:t;">
                <w:txbxContent>
                  <w:p w14:paraId="49C88FA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继续性合同的适用规则丨</w:t>
                    </w:r>
                    <w:r>
                      <w:rPr>
                        <w:rFonts w:ascii="Times New Roman" w:hAnsi="Times New Roman" w:eastAsia="Times New Roman" w:cs="Times New Roman"/>
                        <w:b/>
                        <w:bCs/>
                        <w:color w:val="000000"/>
                        <w:spacing w:val="0"/>
                        <w:w w:val="100"/>
                        <w:position w:val="0"/>
                        <w:sz w:val="15"/>
                        <w:szCs w:val="15"/>
                      </w:rPr>
                      <w:t>313</w:t>
                    </w:r>
                  </w:p>
                </w:txbxContent>
              </v:textbox>
            </v:shape>
          </w:pict>
        </mc:Fallback>
      </mc:AlternateContent>
    </w: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4E78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4631690</wp:posOffset>
              </wp:positionH>
              <wp:positionV relativeFrom="page">
                <wp:posOffset>543560</wp:posOffset>
              </wp:positionV>
              <wp:extent cx="1266190" cy="109855"/>
              <wp:effectExtent l="0" t="0" r="0" b="0"/>
              <wp:wrapNone/>
              <wp:docPr id="887" name="Shape 887"/>
              <wp:cNvGraphicFramePr/>
              <a:graphic xmlns:a="http://schemas.openxmlformats.org/drawingml/2006/main">
                <a:graphicData uri="http://schemas.microsoft.com/office/word/2010/wordprocessingShape">
                  <wps:wsp>
                    <wps:cNvSpPr txBox="1"/>
                    <wps:spPr>
                      <a:xfrm>
                        <a:off x="0" y="0"/>
                        <a:ext cx="1266190" cy="109855"/>
                      </a:xfrm>
                      <a:prstGeom prst="rect">
                        <a:avLst/>
                      </a:prstGeom>
                      <a:noFill/>
                    </wps:spPr>
                    <wps:txbx>
                      <w:txbxContent>
                        <w:p w14:paraId="23FB6427">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继续性合同的适用规则</w:t>
                          </w:r>
                          <w:r>
                            <w:rPr>
                              <w:rFonts w:ascii="Times New Roman" w:hAnsi="Times New Roman" w:eastAsia="Times New Roman" w:cs="Times New Roman"/>
                              <w:color w:val="000000"/>
                              <w:spacing w:val="0"/>
                              <w:w w:val="100"/>
                              <w:position w:val="0"/>
                              <w:sz w:val="17"/>
                              <w:szCs w:val="17"/>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887" o:spid="_x0000_s1026" o:spt="202" type="#_x0000_t202" style="position:absolute;left:0pt;margin-left:364.7pt;margin-top:42.8pt;height:8.65pt;width:99.7pt;mso-position-horizontal-relative:page;mso-position-vertical-relative:page;mso-wrap-style:none;z-index:-251657216;mso-width-relative:page;mso-height-relative:page;" filled="f" stroked="f" coordsize="21600,21600" o:gfxdata="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5zUmB9YA&#10;AAAKAQAADwAAAAAAAAABACAAAAAiAAAAZHJzL2Rvd25yZXYueG1sUEsBAhQAFAAAAAgAh07iQEBo&#10;RMOvAQAAdAMAAA4AAAAAAAAAAQAgAAAAJQEAAGRycy9lMm9Eb2MueG1sUEsFBgAAAAAGAAYAWQEA&#10;AEYFAAAAAA==&#10;">
              <v:fill on="f" focussize="0,0"/>
              <v:stroke on="f"/>
              <v:imagedata o:title=""/>
              <o:lock v:ext="edit" aspectratio="f"/>
              <v:textbox inset="0mm,0mm,0mm,0mm" style="mso-fit-shape-to-text:t;">
                <w:txbxContent>
                  <w:p w14:paraId="23FB6427">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继续性合同的适用规则</w:t>
                    </w:r>
                    <w:r>
                      <w:rPr>
                        <w:rFonts w:ascii="Times New Roman" w:hAnsi="Times New Roman" w:eastAsia="Times New Roman" w:cs="Times New Roman"/>
                        <w:color w:val="000000"/>
                        <w:spacing w:val="0"/>
                        <w:w w:val="100"/>
                        <w:position w:val="0"/>
                        <w:sz w:val="17"/>
                        <w:szCs w:val="17"/>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BB0A4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75" name="Shape 7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B93FC5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7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MZVV&#10;Vq8BAABxAwAADgAAAAAAAAABACAAAAAkAQAAZHJzL2Uyb0RvYy54bWxQSwUGAAAAAAYABgBZAQAA&#10;RQUAAAAA&#10;">
              <v:fill on="f" focussize="0,0"/>
              <v:stroke on="f"/>
              <v:imagedata o:title=""/>
              <o:lock v:ext="edit" aspectratio="f"/>
              <v:textbox inset="0mm,0mm,0mm,0mm" style="mso-fit-shape-to-text:t;">
                <w:txbxContent>
                  <w:p w14:paraId="5B93FC5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915B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4631690</wp:posOffset>
              </wp:positionH>
              <wp:positionV relativeFrom="page">
                <wp:posOffset>543560</wp:posOffset>
              </wp:positionV>
              <wp:extent cx="1266190" cy="109855"/>
              <wp:effectExtent l="0" t="0" r="0" b="0"/>
              <wp:wrapNone/>
              <wp:docPr id="889" name="Shape 889"/>
              <wp:cNvGraphicFramePr/>
              <a:graphic xmlns:a="http://schemas.openxmlformats.org/drawingml/2006/main">
                <a:graphicData uri="http://schemas.microsoft.com/office/word/2010/wordprocessingShape">
                  <wps:wsp>
                    <wps:cNvSpPr txBox="1"/>
                    <wps:spPr>
                      <a:xfrm>
                        <a:off x="0" y="0"/>
                        <a:ext cx="1266190" cy="109855"/>
                      </a:xfrm>
                      <a:prstGeom prst="rect">
                        <a:avLst/>
                      </a:prstGeom>
                      <a:noFill/>
                    </wps:spPr>
                    <wps:txbx>
                      <w:txbxContent>
                        <w:p w14:paraId="6E913656">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继续性合同的适用规则</w:t>
                          </w:r>
                          <w:r>
                            <w:rPr>
                              <w:rFonts w:ascii="Times New Roman" w:hAnsi="Times New Roman" w:eastAsia="Times New Roman" w:cs="Times New Roman"/>
                              <w:color w:val="000000"/>
                              <w:spacing w:val="0"/>
                              <w:w w:val="100"/>
                              <w:position w:val="0"/>
                              <w:sz w:val="17"/>
                              <w:szCs w:val="17"/>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889" o:spid="_x0000_s1026" o:spt="202" type="#_x0000_t202" style="position:absolute;left:0pt;margin-left:364.7pt;margin-top:42.8pt;height:8.65pt;width:99.7pt;mso-position-horizontal-relative:page;mso-position-vertical-relative:page;mso-wrap-style:none;z-index:-251657216;mso-width-relative:page;mso-height-relative:page;" filled="f" stroked="f" coordsize="21600,21600" o:gfxdata="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nNSYH1gAA&#10;AAoBAAAPAAAAAAAAAAEAIAAAACIAAABkcnMvZG93bnJldi54bWxQSwECFAAUAAAACACHTuJAJHoI&#10;b64BAAB0AwAADgAAAAAAAAABACAAAAAlAQAAZHJzL2Uyb0RvYy54bWxQSwUGAAAAAAYABgBZAQAA&#10;RQUAAAAA&#10;">
              <v:fill on="f" focussize="0,0"/>
              <v:stroke on="f"/>
              <v:imagedata o:title=""/>
              <o:lock v:ext="edit" aspectratio="f"/>
              <v:textbox inset="0mm,0mm,0mm,0mm" style="mso-fit-shape-to-text:t;">
                <w:txbxContent>
                  <w:p w14:paraId="6E913656">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继续性合同的适用规则</w:t>
                    </w:r>
                    <w:r>
                      <w:rPr>
                        <w:rFonts w:ascii="Times New Roman" w:hAnsi="Times New Roman" w:eastAsia="Times New Roman" w:cs="Times New Roman"/>
                        <w:color w:val="000000"/>
                        <w:spacing w:val="0"/>
                        <w:w w:val="100"/>
                        <w:position w:val="0"/>
                        <w:sz w:val="17"/>
                        <w:szCs w:val="17"/>
                      </w:rPr>
                      <w:t xml:space="preserve">I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62E3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91" name="Shape 89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9EC10A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9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9iYZbA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Nfyzf2SMy8crbzMZTlB9gwBG+p6CtSX&#10;xi8w0qW55pGSWfWoo8tP0sOoTuZebuaqMTFJyc3dp9XHNWeSSsv6frNeZ5Tq+eMQMX1V4FgOWh5p&#10;d8VScf6OaWq9tuRZHh6NtTmfGU5McpTGwzjTPkB3IdYDrbflnm4zZ/abJ/fyTbgG8Roc5iCDY/h8&#10;SjSgzM2oE9Q8jHZRmM/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Y&#10;mGWwAQAAcwMAAA4AAAAAAAAAAQAgAAAAJAEAAGRycy9lMm9Eb2MueG1sUEsFBgAAAAAGAAYAWQEA&#10;AEYFAAAAAA==&#10;">
              <v:fill on="f" focussize="0,0"/>
              <v:stroke on="f"/>
              <v:imagedata o:title=""/>
              <o:lock v:ext="edit" aspectratio="f"/>
              <v:textbox inset="0mm,0mm,0mm,0mm" style="mso-fit-shape-to-text:t;">
                <w:txbxContent>
                  <w:p w14:paraId="79EC10A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AA3D5">
    <w:pPr>
      <w:widowControl w:val="0"/>
      <w:spacing w:line="1" w:lineRule="exact"/>
    </w:pPr>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794200">
    <w:pPr>
      <w:widowControl w:val="0"/>
      <w:spacing w:line="1" w:lineRule="exact"/>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919D4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4068445</wp:posOffset>
              </wp:positionH>
              <wp:positionV relativeFrom="page">
                <wp:posOffset>511175</wp:posOffset>
              </wp:positionV>
              <wp:extent cx="1875790" cy="113030"/>
              <wp:effectExtent l="0" t="0" r="0" b="0"/>
              <wp:wrapNone/>
              <wp:docPr id="897" name="Shape 897"/>
              <wp:cNvGraphicFramePr/>
              <a:graphic xmlns:a="http://schemas.openxmlformats.org/drawingml/2006/main">
                <a:graphicData uri="http://schemas.microsoft.com/office/word/2010/wordprocessingShape">
                  <wps:wsp>
                    <wps:cNvSpPr txBox="1"/>
                    <wps:spPr>
                      <a:xfrm>
                        <a:off x="0" y="0"/>
                        <a:ext cx="1875790" cy="113030"/>
                      </a:xfrm>
                      <a:prstGeom prst="rect">
                        <a:avLst/>
                      </a:prstGeom>
                      <a:noFill/>
                    </wps:spPr>
                    <wps:txbx>
                      <w:txbxContent>
                        <w:p w14:paraId="599D011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债务人进入破产程序后的代位权行使</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97" o:spid="_x0000_s1026" o:spt="202" type="#_x0000_t202" style="position:absolute;left:0pt;margin-left:320.35pt;margin-top:40.25pt;height:8.9pt;width:147.7pt;mso-position-horizontal-relative:page;mso-position-vertical-relative:page;mso-wrap-style:none;z-index:-251657216;mso-width-relative:page;mso-height-relative:page;" filled="f" stroked="f" coordsize="21600,21600" o:gfxdata="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LbhYArW&#10;AAAACQEAAA8AAAAAAAAAAQAgAAAAIgAAAGRycy9kb3ducmV2LnhtbFBLAQIUABQAAAAIAIdO4kCE&#10;UkGtsAEAAHQDAAAOAAAAAAAAAAEAIAAAACUBAABkcnMvZTJvRG9jLnhtbFBLBQYAAAAABgAGAFkB&#10;AABHBQAAAAA=&#10;">
              <v:fill on="f" focussize="0,0"/>
              <v:stroke on="f"/>
              <v:imagedata o:title=""/>
              <o:lock v:ext="edit" aspectratio="f"/>
              <v:textbox inset="0mm,0mm,0mm,0mm" style="mso-fit-shape-to-text:t;">
                <w:txbxContent>
                  <w:p w14:paraId="599D011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债务人进入破产程序后的代位权行使</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AF344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99" name="Shape 89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6B45AB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9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Asz&#10;ev6wAQAAcwMAAA4AAAAAAAAAAQAgAAAAJAEAAGRycy9lMm9Eb2MueG1sUEsFBgAAAAAGAAYAWQEA&#10;AEYFAAAAAA==&#10;">
              <v:fill on="f" focussize="0,0"/>
              <v:stroke on="f"/>
              <v:imagedata o:title=""/>
              <o:lock v:ext="edit" aspectratio="f"/>
              <v:textbox inset="0mm,0mm,0mm,0mm" style="mso-fit-shape-to-text:t;">
                <w:txbxContent>
                  <w:p w14:paraId="56B45AB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80F43">
    <w:pPr>
      <w:widowControl w:val="0"/>
      <w:spacing w:line="1" w:lineRule="exact"/>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716F87">
    <w:pPr>
      <w:widowControl w:val="0"/>
      <w:spacing w:line="1" w:lineRule="exact"/>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5784D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4354195</wp:posOffset>
              </wp:positionH>
              <wp:positionV relativeFrom="page">
                <wp:posOffset>516890</wp:posOffset>
              </wp:positionV>
              <wp:extent cx="1569720" cy="109855"/>
              <wp:effectExtent l="0" t="0" r="0" b="0"/>
              <wp:wrapNone/>
              <wp:docPr id="907" name="Shape 907"/>
              <wp:cNvGraphicFramePr/>
              <a:graphic xmlns:a="http://schemas.openxmlformats.org/drawingml/2006/main">
                <a:graphicData uri="http://schemas.microsoft.com/office/word/2010/wordprocessingShape">
                  <wps:wsp>
                    <wps:cNvSpPr txBox="1"/>
                    <wps:spPr>
                      <a:xfrm>
                        <a:off x="0" y="0"/>
                        <a:ext cx="1569720" cy="109855"/>
                      </a:xfrm>
                      <a:prstGeom prst="rect">
                        <a:avLst/>
                      </a:prstGeom>
                      <a:noFill/>
                    </wps:spPr>
                    <wps:txbx>
                      <w:txbxContent>
                        <w:p w14:paraId="5C8DC4C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债权人对故意有偿行为的撤销丨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07" o:spid="_x0000_s1026" o:spt="202" type="#_x0000_t202" style="position:absolute;left:0pt;margin-left:342.85pt;margin-top:40.7pt;height:8.65pt;width:123.6pt;mso-position-horizontal-relative:page;mso-position-vertical-relative:page;mso-wrap-style:none;z-index:-251657216;mso-width-relative:page;mso-height-relative:page;" filled="f" stroked="f" coordsize="21600,21600" o:gfxdata="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iDZ5HtYA&#10;AAAJAQAADwAAAAAAAAABACAAAAAiAAAAZHJzL2Rvd25yZXYueG1sUEsBAhQAFAAAAAgAh07iQK5Z&#10;96CvAQAAdAMAAA4AAAAAAAAAAQAgAAAAJQEAAGRycy9lMm9Eb2MueG1sUEsFBgAAAAAGAAYAWQEA&#10;AEYFAAAAAA==&#10;">
              <v:fill on="f" focussize="0,0"/>
              <v:stroke on="f"/>
              <v:imagedata o:title=""/>
              <o:lock v:ext="edit" aspectratio="f"/>
              <v:textbox inset="0mm,0mm,0mm,0mm" style="mso-fit-shape-to-text:t;">
                <w:txbxContent>
                  <w:p w14:paraId="5C8DC4C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债权人对故意有偿行为的撤销丨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D805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09" name="Shape 90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2CD626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0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MWO&#10;7W+wAQAAcwMAAA4AAAAAAAAAAQAgAAAAJAEAAGRycy9lMm9Eb2MueG1sUEsFBgAAAAAGAAYAWQEA&#10;AEYFAAAAAA==&#10;">
              <v:fill on="f" focussize="0,0"/>
              <v:stroke on="f"/>
              <v:imagedata o:title=""/>
              <o:lock v:ext="edit" aspectratio="f"/>
              <v:textbox inset="0mm,0mm,0mm,0mm" style="mso-fit-shape-to-text:t;">
                <w:txbxContent>
                  <w:p w14:paraId="42CD626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5DCC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4752975</wp:posOffset>
              </wp:positionH>
              <wp:positionV relativeFrom="page">
                <wp:posOffset>506095</wp:posOffset>
              </wp:positionV>
              <wp:extent cx="1150620" cy="109855"/>
              <wp:effectExtent l="0" t="0" r="0" b="0"/>
              <wp:wrapNone/>
              <wp:docPr id="77" name="Shape 77"/>
              <wp:cNvGraphicFramePr/>
              <a:graphic xmlns:a="http://schemas.openxmlformats.org/drawingml/2006/main">
                <a:graphicData uri="http://schemas.microsoft.com/office/word/2010/wordprocessingShape">
                  <wps:wsp>
                    <wps:cNvSpPr txBox="1"/>
                    <wps:spPr>
                      <a:xfrm>
                        <a:off x="0" y="0"/>
                        <a:ext cx="1150620" cy="109855"/>
                      </a:xfrm>
                      <a:prstGeom prst="rect">
                        <a:avLst/>
                      </a:prstGeom>
                      <a:noFill/>
                    </wps:spPr>
                    <wps:txbx>
                      <w:txbxContent>
                        <w:p w14:paraId="6F91A90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习惯作为法源的适用丨</w:t>
                          </w:r>
                          <w:r>
                            <w:rPr>
                              <w:rFonts w:ascii="Times New Roman" w:hAnsi="Times New Roman" w:eastAsia="Times New Roman" w:cs="Times New Roman"/>
                              <w:b/>
                              <w:bCs/>
                              <w:color w:val="000000"/>
                              <w:spacing w:val="0"/>
                              <w:w w:val="100"/>
                              <w:position w:val="0"/>
                              <w:sz w:val="15"/>
                              <w:szCs w:val="15"/>
                            </w:rPr>
                            <w:t>021</w:t>
                          </w:r>
                        </w:p>
                      </w:txbxContent>
                    </wps:txbx>
                    <wps:bodyPr wrap="none" lIns="0" tIns="0" rIns="0" bIns="0">
                      <a:spAutoFit/>
                    </wps:bodyPr>
                  </wps:wsp>
                </a:graphicData>
              </a:graphic>
            </wp:anchor>
          </w:drawing>
        </mc:Choice>
        <mc:Fallback>
          <w:pict>
            <v:shape id="Shape 77" o:spid="_x0000_s1026" o:spt="202" type="#_x0000_t202" style="position:absolute;left:0pt;margin-left:374.25pt;margin-top:39.85pt;height:8.65pt;width:90.6pt;mso-position-horizontal-relative:page;mso-position-vertical-relative:page;mso-wrap-style:none;z-index:-251657216;mso-width-relative:page;mso-height-relative:page;" filled="f" stroked="f" coordsize="21600,21600" o:gfxdata="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QsGEu0wAAAAkB&#10;AAAPAAAAAAAAAAEAIAAAACIAAABkcnMvZG93bnJldi54bWxQSwECFAAUAAAACACHTuJAaLWFj64B&#10;AAByAwAADgAAAAAAAAABACAAAAAiAQAAZHJzL2Uyb0RvYy54bWxQSwUGAAAAAAYABgBZAQAAQgUA&#10;AAAA&#10;">
              <v:fill on="f" focussize="0,0"/>
              <v:stroke on="f"/>
              <v:imagedata o:title=""/>
              <o:lock v:ext="edit" aspectratio="f"/>
              <v:textbox inset="0mm,0mm,0mm,0mm" style="mso-fit-shape-to-text:t;">
                <w:txbxContent>
                  <w:p w14:paraId="6F91A90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习惯作为法源的适用丨</w:t>
                    </w:r>
                    <w:r>
                      <w:rPr>
                        <w:rFonts w:ascii="Times New Roman" w:hAnsi="Times New Roman" w:eastAsia="Times New Roman" w:cs="Times New Roman"/>
                        <w:b/>
                        <w:bCs/>
                        <w:color w:val="000000"/>
                        <w:spacing w:val="0"/>
                        <w:w w:val="100"/>
                        <w:position w:val="0"/>
                        <w:sz w:val="15"/>
                        <w:szCs w:val="15"/>
                      </w:rPr>
                      <w:t>021</w:t>
                    </w:r>
                  </w:p>
                </w:txbxContent>
              </v:textbox>
            </v:shape>
          </w:pict>
        </mc:Fallback>
      </mc:AlternateContent>
    </w: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615E6">
    <w:pPr>
      <w:widowControl w:val="0"/>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1EFDE">
    <w:pPr>
      <w:widowControl w:val="0"/>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B1FDD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4353560</wp:posOffset>
              </wp:positionH>
              <wp:positionV relativeFrom="page">
                <wp:posOffset>516890</wp:posOffset>
              </wp:positionV>
              <wp:extent cx="1569720" cy="109855"/>
              <wp:effectExtent l="0" t="0" r="0" b="0"/>
              <wp:wrapNone/>
              <wp:docPr id="917" name="Shape 917"/>
              <wp:cNvGraphicFramePr/>
              <a:graphic xmlns:a="http://schemas.openxmlformats.org/drawingml/2006/main">
                <a:graphicData uri="http://schemas.microsoft.com/office/word/2010/wordprocessingShape">
                  <wps:wsp>
                    <wps:cNvSpPr txBox="1"/>
                    <wps:spPr>
                      <a:xfrm>
                        <a:off x="0" y="0"/>
                        <a:ext cx="1569720" cy="109855"/>
                      </a:xfrm>
                      <a:prstGeom prst="rect">
                        <a:avLst/>
                      </a:prstGeom>
                      <a:noFill/>
                    </wps:spPr>
                    <wps:txbx>
                      <w:txbxContent>
                        <w:p w14:paraId="302A766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债权让与通知对债务人的效力</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17" o:spid="_x0000_s1026" o:spt="202" type="#_x0000_t202" style="position:absolute;left:0pt;margin-left:342.8pt;margin-top:40.7pt;height:8.65pt;width:123.6pt;mso-position-horizontal-relative:page;mso-position-vertical-relative:page;mso-wrap-style:none;z-index:-251657216;mso-width-relative:page;mso-height-relative:page;" filled="f" stroked="f" coordsize="21600,21600" o:gfxdata="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xXdWtYA&#10;AAAJAQAADwAAAAAAAAABACAAAAAiAAAAZHJzL2Rvd25yZXYueG1sUEsBAhQAFAAAAAgAh07iQDb/&#10;CsuvAQAAdAMAAA4AAAAAAAAAAQAgAAAAJQEAAGRycy9lMm9Eb2MueG1sUEsFBgAAAAAGAAYAWQEA&#10;AEYFAAAAAA==&#10;">
              <v:fill on="f" focussize="0,0"/>
              <v:stroke on="f"/>
              <v:imagedata o:title=""/>
              <o:lock v:ext="edit" aspectratio="f"/>
              <v:textbox inset="0mm,0mm,0mm,0mm" style="mso-fit-shape-to-text:t;">
                <w:txbxContent>
                  <w:p w14:paraId="302A766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债权让与通知对债务人的效力</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AB0CA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19" name="Shape 91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42E01E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1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Xi&#10;GvmwAQAAcwMAAA4AAAAAAAAAAQAgAAAAJAEAAGRycy9lMm9Eb2MueG1sUEsFBgAAAAAGAAYAWQEA&#10;AEYFAAAAAA==&#10;">
              <v:fill on="f" focussize="0,0"/>
              <v:stroke on="f"/>
              <v:imagedata o:title=""/>
              <o:lock v:ext="edit" aspectratio="f"/>
              <v:textbox inset="0mm,0mm,0mm,0mm" style="mso-fit-shape-to-text:t;">
                <w:txbxContent>
                  <w:p w14:paraId="042E01E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D94C7">
    <w:pPr>
      <w:widowControl w:val="0"/>
      <w:spacing w:line="1" w:lineRule="exact"/>
    </w:pPr>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397E68">
    <w:pPr>
      <w:widowControl w:val="0"/>
      <w:spacing w:line="1" w:lineRule="exact"/>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BAD3E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4018915</wp:posOffset>
              </wp:positionH>
              <wp:positionV relativeFrom="page">
                <wp:posOffset>501015</wp:posOffset>
              </wp:positionV>
              <wp:extent cx="1871345" cy="111125"/>
              <wp:effectExtent l="0" t="0" r="0" b="0"/>
              <wp:wrapNone/>
              <wp:docPr id="929" name="Shape 929"/>
              <wp:cNvGraphicFramePr/>
              <a:graphic xmlns:a="http://schemas.openxmlformats.org/drawingml/2006/main">
                <a:graphicData uri="http://schemas.microsoft.com/office/word/2010/wordprocessingShape">
                  <wps:wsp>
                    <wps:cNvSpPr txBox="1"/>
                    <wps:spPr>
                      <a:xfrm>
                        <a:off x="0" y="0"/>
                        <a:ext cx="1871345" cy="111125"/>
                      </a:xfrm>
                      <a:prstGeom prst="rect">
                        <a:avLst/>
                      </a:prstGeom>
                      <a:noFill/>
                    </wps:spPr>
                    <wps:txbx>
                      <w:txbxContent>
                        <w:p w14:paraId="731F14A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转让抵押权不以办理转移登记为必要丨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29" o:spid="_x0000_s1026" o:spt="202" type="#_x0000_t202" style="position:absolute;left:0pt;margin-left:316.45pt;margin-top:39.45pt;height:8.75pt;width:147.35pt;mso-position-horizontal-relative:page;mso-position-vertical-relative:page;mso-wrap-style:none;z-index:-251657216;mso-width-relative:page;mso-height-relative:page;" filled="f" stroked="f" coordsize="21600,21600" o:gfxdata="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kxj6S1QAA&#10;AAkBAAAPAAAAAAAAAAEAIAAAACIAAABkcnMvZG93bnJldi54bWxQSwECFAAUAAAACACHTuJA4Qfo&#10;gq8BAAB0AwAADgAAAAAAAAABACAAAAAkAQAAZHJzL2Uyb0RvYy54bWxQSwUGAAAAAAYABgBZAQAA&#10;RQUAAAAA&#10;">
              <v:fill on="f" focussize="0,0"/>
              <v:stroke on="f"/>
              <v:imagedata o:title=""/>
              <o:lock v:ext="edit" aspectratio="f"/>
              <v:textbox inset="0mm,0mm,0mm,0mm" style="mso-fit-shape-to-text:t;">
                <w:txbxContent>
                  <w:p w14:paraId="731F14A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转让抵押权不以办理转移登记为必要丨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6118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31" name="Shape 93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ADD2D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3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NdnlLABAABzAwAADgAAAGRycy9lMm9Eb2MueG1srVPBbtsw&#10;DL0P2D8Iui920qV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h7slZ144WnmZy3KC7BkCNtT1HKgv&#10;jZ9hpEtzzSMls+pRR5efpIdRncy93MxVY2KSkpv7j6u7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DX&#10;Z5SwAQAAcwMAAA4AAAAAAAAAAQAgAAAAJAEAAGRycy9lMm9Eb2MueG1sUEsFBgAAAAAGAAYAWQEA&#10;AEYFAAAAAA==&#10;">
              <v:fill on="f" focussize="0,0"/>
              <v:stroke on="f"/>
              <v:imagedata o:title=""/>
              <o:lock v:ext="edit" aspectratio="f"/>
              <v:textbox inset="0mm,0mm,0mm,0mm" style="mso-fit-shape-to-text:t;">
                <w:txbxContent>
                  <w:p w14:paraId="7ADD2D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5F8651">
    <w:pPr>
      <w:widowControl w:val="0"/>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36278">
    <w:pPr>
      <w:widowControl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D2D0B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5207000</wp:posOffset>
              </wp:positionH>
              <wp:positionV relativeFrom="page">
                <wp:posOffset>530225</wp:posOffset>
              </wp:positionV>
              <wp:extent cx="652145" cy="109855"/>
              <wp:effectExtent l="0" t="0" r="0" b="0"/>
              <wp:wrapNone/>
              <wp:docPr id="7" name="Shape 7"/>
              <wp:cNvGraphicFramePr/>
              <a:graphic xmlns:a="http://schemas.openxmlformats.org/drawingml/2006/main">
                <a:graphicData uri="http://schemas.microsoft.com/office/word/2010/wordprocessingShape">
                  <wps:wsp>
                    <wps:cNvSpPr txBox="1"/>
                    <wps:spPr>
                      <a:xfrm>
                        <a:off x="0" y="0"/>
                        <a:ext cx="652145" cy="109855"/>
                      </a:xfrm>
                      <a:prstGeom prst="rect">
                        <a:avLst/>
                      </a:prstGeom>
                      <a:noFill/>
                    </wps:spPr>
                    <wps:txbx>
                      <w:txbxContent>
                        <w:p w14:paraId="5CF76D20">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序 言丨</w:t>
                          </w:r>
                          <w:r>
                            <w:rPr>
                              <w:rFonts w:ascii="Times New Roman" w:hAnsi="Times New Roman" w:eastAsia="Times New Roman" w:cs="Times New Roman"/>
                              <w:color w:val="000000"/>
                              <w:spacing w:val="0"/>
                              <w:w w:val="100"/>
                              <w:position w:val="0"/>
                              <w:sz w:val="17"/>
                              <w:szCs w:val="17"/>
                            </w:rPr>
                            <w:t>003</w:t>
                          </w:r>
                        </w:p>
                      </w:txbxContent>
                    </wps:txbx>
                    <wps:bodyPr wrap="none" lIns="0" tIns="0" rIns="0" bIns="0">
                      <a:spAutoFit/>
                    </wps:bodyPr>
                  </wps:wsp>
                </a:graphicData>
              </a:graphic>
            </wp:anchor>
          </w:drawing>
        </mc:Choice>
        <mc:Fallback>
          <w:pict>
            <v:shape id="Shape 7" o:spid="_x0000_s1026" o:spt="202" type="#_x0000_t202" style="position:absolute;left:0pt;margin-left:410pt;margin-top:41.75pt;height:8.65pt;width:51.35pt;mso-position-horizontal-relative:page;mso-position-vertical-relative:page;mso-wrap-style:none;z-index:-251657216;mso-width-relative:page;mso-height-relative:page;" filled="f" stroked="f" coordsize="21600,21600" o:gfxdata="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A5aJ6NUAAAAK&#10;AQAADwAAAAAAAAABACAAAAAiAAAAZHJzL2Rvd25yZXYueG1sUEsBAhQAFAAAAAgAh07iQKnQ7Qut&#10;AQAAbwMAAA4AAAAAAAAAAQAgAAAAJAEAAGRycy9lMm9Eb2MueG1sUEsFBgAAAAAGAAYAWQEAAEMF&#10;AAAAAA==&#10;">
              <v:fill on="f" focussize="0,0"/>
              <v:stroke on="f"/>
              <v:imagedata o:title=""/>
              <o:lock v:ext="edit" aspectratio="f"/>
              <v:textbox inset="0mm,0mm,0mm,0mm" style="mso-fit-shape-to-text:t;">
                <w:txbxContent>
                  <w:p w14:paraId="5CF76D20">
                    <w:pPr>
                      <w:pStyle w:val="19"/>
                      <w:keepNext w:val="0"/>
                      <w:keepLines w:val="0"/>
                      <w:widowControl w:val="0"/>
                      <w:shd w:val="clear" w:color="auto" w:fill="auto"/>
                      <w:bidi w:val="0"/>
                      <w:spacing w:before="0" w:after="0" w:line="240" w:lineRule="auto"/>
                      <w:ind w:left="0" w:right="0" w:firstLine="0"/>
                      <w:jc w:val="left"/>
                      <w:rPr>
                        <w:sz w:val="17"/>
                        <w:szCs w:val="17"/>
                      </w:rPr>
                    </w:pPr>
                    <w:r>
                      <w:rPr>
                        <w:rFonts w:ascii="宋体" w:hAnsi="宋体" w:eastAsia="宋体" w:cs="宋体"/>
                        <w:color w:val="000000"/>
                        <w:spacing w:val="0"/>
                        <w:w w:val="100"/>
                        <w:position w:val="0"/>
                        <w:sz w:val="18"/>
                        <w:szCs w:val="18"/>
                      </w:rPr>
                      <w:t>序 言丨</w:t>
                    </w:r>
                    <w:r>
                      <w:rPr>
                        <w:rFonts w:ascii="Times New Roman" w:hAnsi="Times New Roman" w:eastAsia="Times New Roman" w:cs="Times New Roman"/>
                        <w:color w:val="000000"/>
                        <w:spacing w:val="0"/>
                        <w:w w:val="100"/>
                        <w:position w:val="0"/>
                        <w:sz w:val="17"/>
                        <w:szCs w:val="17"/>
                      </w:rPr>
                      <w:t>003</w:t>
                    </w: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8E01B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4752975</wp:posOffset>
              </wp:positionH>
              <wp:positionV relativeFrom="page">
                <wp:posOffset>506095</wp:posOffset>
              </wp:positionV>
              <wp:extent cx="1150620" cy="109855"/>
              <wp:effectExtent l="0" t="0" r="0" b="0"/>
              <wp:wrapNone/>
              <wp:docPr id="79" name="Shape 79"/>
              <wp:cNvGraphicFramePr/>
              <a:graphic xmlns:a="http://schemas.openxmlformats.org/drawingml/2006/main">
                <a:graphicData uri="http://schemas.microsoft.com/office/word/2010/wordprocessingShape">
                  <wps:wsp>
                    <wps:cNvSpPr txBox="1"/>
                    <wps:spPr>
                      <a:xfrm>
                        <a:off x="0" y="0"/>
                        <a:ext cx="1150620" cy="109855"/>
                      </a:xfrm>
                      <a:prstGeom prst="rect">
                        <a:avLst/>
                      </a:prstGeom>
                      <a:noFill/>
                    </wps:spPr>
                    <wps:txbx>
                      <w:txbxContent>
                        <w:p w14:paraId="0C9B840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习惯作为法源的适用丨</w:t>
                          </w:r>
                          <w:r>
                            <w:rPr>
                              <w:rFonts w:ascii="Times New Roman" w:hAnsi="Times New Roman" w:eastAsia="Times New Roman" w:cs="Times New Roman"/>
                              <w:b/>
                              <w:bCs/>
                              <w:color w:val="000000"/>
                              <w:spacing w:val="0"/>
                              <w:w w:val="100"/>
                              <w:position w:val="0"/>
                              <w:sz w:val="15"/>
                              <w:szCs w:val="15"/>
                            </w:rPr>
                            <w:t>021</w:t>
                          </w:r>
                        </w:p>
                      </w:txbxContent>
                    </wps:txbx>
                    <wps:bodyPr wrap="none" lIns="0" tIns="0" rIns="0" bIns="0">
                      <a:spAutoFit/>
                    </wps:bodyPr>
                  </wps:wsp>
                </a:graphicData>
              </a:graphic>
            </wp:anchor>
          </w:drawing>
        </mc:Choice>
        <mc:Fallback>
          <w:pict>
            <v:shape id="Shape 79" o:spid="_x0000_s1026" o:spt="202" type="#_x0000_t202" style="position:absolute;left:0pt;margin-left:374.25pt;margin-top:39.85pt;height:8.65pt;width:90.6pt;mso-position-horizontal-relative:page;mso-position-vertical-relative:page;mso-wrap-style:none;z-index:-251657216;mso-width-relative:page;mso-height-relative:page;" filled="f" stroked="f" coordsize="21600,21600" o:gfxdata="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QsGEu0wAAAAkB&#10;AAAPAAAAAAAAAAEAIAAAACIAAABkcnMvZG93bnJldi54bWxQSwECFAAUAAAACACHTuJA7+qXjK4B&#10;AAByAwAADgAAAAAAAAABACAAAAAiAQAAZHJzL2Uyb0RvYy54bWxQSwUGAAAAAAYABgBZAQAAQgUA&#10;AAAA&#10;">
              <v:fill on="f" focussize="0,0"/>
              <v:stroke on="f"/>
              <v:imagedata o:title=""/>
              <o:lock v:ext="edit" aspectratio="f"/>
              <v:textbox inset="0mm,0mm,0mm,0mm" style="mso-fit-shape-to-text:t;">
                <w:txbxContent>
                  <w:p w14:paraId="0C9B840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习惯作为法源的适用丨</w:t>
                    </w:r>
                    <w:r>
                      <w:rPr>
                        <w:rFonts w:ascii="Times New Roman" w:hAnsi="Times New Roman" w:eastAsia="Times New Roman" w:cs="Times New Roman"/>
                        <w:b/>
                        <w:bCs/>
                        <w:color w:val="000000"/>
                        <w:spacing w:val="0"/>
                        <w:w w:val="100"/>
                        <w:position w:val="0"/>
                        <w:sz w:val="15"/>
                        <w:szCs w:val="15"/>
                      </w:rPr>
                      <w:t>021</w:t>
                    </w:r>
                  </w:p>
                </w:txbxContent>
              </v:textbox>
            </v:shape>
          </w:pict>
        </mc:Fallback>
      </mc:AlternateContent>
    </w: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620BC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4272915</wp:posOffset>
              </wp:positionH>
              <wp:positionV relativeFrom="page">
                <wp:posOffset>528955</wp:posOffset>
              </wp:positionV>
              <wp:extent cx="1684020" cy="109855"/>
              <wp:effectExtent l="0" t="0" r="0" b="0"/>
              <wp:wrapNone/>
              <wp:docPr id="939" name="Shape 939"/>
              <wp:cNvGraphicFramePr/>
              <a:graphic xmlns:a="http://schemas.openxmlformats.org/drawingml/2006/main">
                <a:graphicData uri="http://schemas.microsoft.com/office/word/2010/wordprocessingShape">
                  <wps:wsp>
                    <wps:cNvSpPr txBox="1"/>
                    <wps:spPr>
                      <a:xfrm>
                        <a:off x="0" y="0"/>
                        <a:ext cx="1684020" cy="109855"/>
                      </a:xfrm>
                      <a:prstGeom prst="rect">
                        <a:avLst/>
                      </a:prstGeom>
                      <a:noFill/>
                    </wps:spPr>
                    <wps:txbx>
                      <w:txbxContent>
                        <w:p w14:paraId="409C3EE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以物抵债（替代清偿）的规则建构丨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39" o:spid="_x0000_s1026" o:spt="202" type="#_x0000_t202" style="position:absolute;left:0pt;margin-left:336.45pt;margin-top:41.65pt;height:8.65pt;width:132.6pt;mso-position-horizontal-relative:page;mso-position-vertical-relative:page;mso-wrap-style:none;z-index:-251657216;mso-width-relative:page;mso-height-relative:page;" filled="f" stroked="f" coordsize="21600,21600" o:gfxdata="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QBsddYA&#10;AAAKAQAADwAAAAAAAAABACAAAAAiAAAAZHJzL2Rvd25yZXYueG1sUEsBAhQAFAAAAAgAh07iQH5w&#10;13KvAQAAdAMAAA4AAAAAAAAAAQAgAAAAJQEAAGRycy9lMm9Eb2MueG1sUEsFBgAAAAAGAAYAWQEA&#10;AEYFAAAAAA==&#10;">
              <v:fill on="f" focussize="0,0"/>
              <v:stroke on="f"/>
              <v:imagedata o:title=""/>
              <o:lock v:ext="edit" aspectratio="f"/>
              <v:textbox inset="0mm,0mm,0mm,0mm" style="mso-fit-shape-to-text:t;">
                <w:txbxContent>
                  <w:p w14:paraId="409C3EE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以物抵债（替代清偿）的规则建构丨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D4020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41" name="Shape 94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CA0721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4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t5BwrABAABzAwAADgAAAGRycy9lMm9Eb2MueG1srVPBbtsw&#10;DL0P2D8Iui92sqZ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Nfyh7slZ144WnmZy3KC7BkCNtT1HKgv&#10;jZ9hpEtzzSMls+pRR5efpIdRncy93MxVY2KSkpv7u9XHNWeSSsv6YbNeZ5Tq5eMQMX1R4FgOWh5p&#10;d8VScf6GaWq9tuRZHp6MtTmfGU5McpTGwzjTPkB3IdYDrbflnm4zZ/arJ/fyTbgG8Roc5iCDY/h0&#10;SjSgzM2oE9Q8jHZRmM/3Ji/77/fS9fKv7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Le&#10;QcKwAQAAcwMAAA4AAAAAAAAAAQAgAAAAJAEAAGRycy9lMm9Eb2MueG1sUEsFBgAAAAAGAAYAWQEA&#10;AEYFAAAAAA==&#10;">
              <v:fill on="f" focussize="0,0"/>
              <v:stroke on="f"/>
              <v:imagedata o:title=""/>
              <o:lock v:ext="edit" aspectratio="f"/>
              <v:textbox inset="0mm,0mm,0mm,0mm" style="mso-fit-shape-to-text:t;">
                <w:txbxContent>
                  <w:p w14:paraId="3CA0721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17349F">
    <w:pPr>
      <w:widowControl w:val="0"/>
      <w:spacing w:line="1" w:lineRule="exact"/>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A231F4">
    <w:pPr>
      <w:widowControl w:val="0"/>
      <w:spacing w:line="1" w:lineRule="exact"/>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CF03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3591560</wp:posOffset>
              </wp:positionH>
              <wp:positionV relativeFrom="page">
                <wp:posOffset>537210</wp:posOffset>
              </wp:positionV>
              <wp:extent cx="2293620" cy="109855"/>
              <wp:effectExtent l="0" t="0" r="0" b="0"/>
              <wp:wrapNone/>
              <wp:docPr id="949" name="Shape 949"/>
              <wp:cNvGraphicFramePr/>
              <a:graphic xmlns:a="http://schemas.openxmlformats.org/drawingml/2006/main">
                <a:graphicData uri="http://schemas.microsoft.com/office/word/2010/wordprocessingShape">
                  <wps:wsp>
                    <wps:cNvSpPr txBox="1"/>
                    <wps:spPr>
                      <a:xfrm>
                        <a:off x="0" y="0"/>
                        <a:ext cx="2293620" cy="109855"/>
                      </a:xfrm>
                      <a:prstGeom prst="rect">
                        <a:avLst/>
                      </a:prstGeom>
                      <a:noFill/>
                    </wps:spPr>
                    <wps:txbx>
                      <w:txbxContent>
                        <w:p w14:paraId="5C47970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非金钱合同债务履行费用</w:t>
                          </w:r>
                          <w:r>
                            <w:rPr>
                              <w:color w:val="000000"/>
                              <w:spacing w:val="0"/>
                              <w:w w:val="100"/>
                              <w:position w:val="0"/>
                              <w:sz w:val="15"/>
                              <w:szCs w:val="15"/>
                              <w:lang w:val="zh-CN" w:eastAsia="zh-CN" w:bidi="zh-CN"/>
                            </w:rPr>
                            <w:t>“过高”与</w:t>
                          </w:r>
                          <w:r>
                            <w:rPr>
                              <w:color w:val="000000"/>
                              <w:spacing w:val="0"/>
                              <w:w w:val="100"/>
                              <w:position w:val="0"/>
                              <w:sz w:val="15"/>
                              <w:szCs w:val="15"/>
                            </w:rPr>
                            <w:t>违约方解除</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49" o:spid="_x0000_s1026" o:spt="202" type="#_x0000_t202" style="position:absolute;left:0pt;margin-left:282.8pt;margin-top:42.3pt;height:8.65pt;width:180.6pt;mso-position-horizontal-relative:page;mso-position-vertical-relative:page;mso-wrap-style:none;z-index:-251657216;mso-width-relative:page;mso-height-relative:page;" filled="f" stroked="f" coordsize="21600,21600" o:gfxdata="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eM6O/W&#10;AAAACgEAAA8AAAAAAAAAAQAgAAAAIgAAAGRycy9kb3ducmV2LnhtbFBLAQIUABQAAAAIAIdO4kBH&#10;CbKesAEAAHQDAAAOAAAAAAAAAAEAIAAAACUBAABkcnMvZTJvRG9jLnhtbFBLBQYAAAAABgAGAFkB&#10;AABHBQAAAAA=&#10;">
              <v:fill on="f" focussize="0,0"/>
              <v:stroke on="f"/>
              <v:imagedata o:title=""/>
              <o:lock v:ext="edit" aspectratio="f"/>
              <v:textbox inset="0mm,0mm,0mm,0mm" style="mso-fit-shape-to-text:t;">
                <w:txbxContent>
                  <w:p w14:paraId="5C47970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非金钱合同债务履行费用</w:t>
                    </w:r>
                    <w:r>
                      <w:rPr>
                        <w:color w:val="000000"/>
                        <w:spacing w:val="0"/>
                        <w:w w:val="100"/>
                        <w:position w:val="0"/>
                        <w:sz w:val="15"/>
                        <w:szCs w:val="15"/>
                        <w:lang w:val="zh-CN" w:eastAsia="zh-CN" w:bidi="zh-CN"/>
                      </w:rPr>
                      <w:t>“过高”与</w:t>
                    </w:r>
                    <w:r>
                      <w:rPr>
                        <w:color w:val="000000"/>
                        <w:spacing w:val="0"/>
                        <w:w w:val="100"/>
                        <w:position w:val="0"/>
                        <w:sz w:val="15"/>
                        <w:szCs w:val="15"/>
                      </w:rPr>
                      <w:t>违约方解除</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F03C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51" name="Shape 95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B7DCFF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5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QrK2VLA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Nfy+/WSMy8crbzMZTlB9gwBG+p6CtSX&#10;xi8w0qW55pGSWfWoo8tP0sOoTuZebuaqMTFJyc3dp9XHNWeSSsv6frNeZ5Tq+eMQMX1V4FgOWh5p&#10;d8VScf6OaWq9tuRZHh6NtTmfGU5McpTGwzjTPkB3IdYDrbflnm4zZ/abJ/fyTbgG8Roc5iCDY/h8&#10;SjSgzM2oE9Q8jHZRmM/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Ky&#10;tlSwAQAAcwMAAA4AAAAAAAAAAQAgAAAAJAEAAGRycy9lMm9Eb2MueG1sUEsFBgAAAAAGAAYAWQEA&#10;AEYFAAAAAA==&#10;">
              <v:fill on="f" focussize="0,0"/>
              <v:stroke on="f"/>
              <v:imagedata o:title=""/>
              <o:lock v:ext="edit" aspectratio="f"/>
              <v:textbox inset="0mm,0mm,0mm,0mm" style="mso-fit-shape-to-text:t;">
                <w:txbxContent>
                  <w:p w14:paraId="7B7DCFF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DA30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3599180</wp:posOffset>
              </wp:positionH>
              <wp:positionV relativeFrom="page">
                <wp:posOffset>538480</wp:posOffset>
              </wp:positionV>
              <wp:extent cx="2294890" cy="107950"/>
              <wp:effectExtent l="0" t="0" r="0" b="0"/>
              <wp:wrapNone/>
              <wp:docPr id="953" name="Shape 953"/>
              <wp:cNvGraphicFramePr/>
              <a:graphic xmlns:a="http://schemas.openxmlformats.org/drawingml/2006/main">
                <a:graphicData uri="http://schemas.microsoft.com/office/word/2010/wordprocessingShape">
                  <wps:wsp>
                    <wps:cNvSpPr txBox="1"/>
                    <wps:spPr>
                      <a:xfrm>
                        <a:off x="0" y="0"/>
                        <a:ext cx="2294890" cy="107950"/>
                      </a:xfrm>
                      <a:prstGeom prst="rect">
                        <a:avLst/>
                      </a:prstGeom>
                      <a:noFill/>
                    </wps:spPr>
                    <wps:txbx>
                      <w:txbxContent>
                        <w:p w14:paraId="1D5E593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非金钱合同债务履行费用“过高”与违约方解除丨</w:t>
                          </w:r>
                          <w:r>
                            <w:rPr>
                              <w:rFonts w:ascii="Times New Roman" w:hAnsi="Times New Roman" w:eastAsia="Times New Roman" w:cs="Times New Roman"/>
                              <w:b/>
                              <w:bCs/>
                              <w:color w:val="000000"/>
                              <w:spacing w:val="0"/>
                              <w:w w:val="100"/>
                              <w:position w:val="0"/>
                              <w:sz w:val="15"/>
                              <w:szCs w:val="15"/>
                            </w:rPr>
                            <w:t>345</w:t>
                          </w:r>
                        </w:p>
                      </w:txbxContent>
                    </wps:txbx>
                    <wps:bodyPr wrap="none" lIns="0" tIns="0" rIns="0" bIns="0">
                      <a:spAutoFit/>
                    </wps:bodyPr>
                  </wps:wsp>
                </a:graphicData>
              </a:graphic>
            </wp:anchor>
          </w:drawing>
        </mc:Choice>
        <mc:Fallback>
          <w:pict>
            <v:shape id="Shape 953" o:spid="_x0000_s1026" o:spt="202" type="#_x0000_t202" style="position:absolute;left:0pt;margin-left:283.4pt;margin-top:42.4pt;height:8.5pt;width:180.7pt;mso-position-horizontal-relative:page;mso-position-vertical-relative:page;mso-wrap-style:none;z-index:-251657216;mso-width-relative:page;mso-height-relative:page;" filled="f" stroked="f" coordsize="21600,21600" o:gfxdata="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g2D2C&#10;1gAAAAoBAAAPAAAAAAAAAAEAIAAAACIAAABkcnMvZG93bnJldi54bWxQSwECFAAUAAAACACHTuJA&#10;4WYlUrEBAAB0AwAADgAAAAAAAAABACAAAAAlAQAAZHJzL2Uyb0RvYy54bWxQSwUGAAAAAAYABgBZ&#10;AQAASAUAAAAA&#10;">
              <v:fill on="f" focussize="0,0"/>
              <v:stroke on="f"/>
              <v:imagedata o:title=""/>
              <o:lock v:ext="edit" aspectratio="f"/>
              <v:textbox inset="0mm,0mm,0mm,0mm" style="mso-fit-shape-to-text:t;">
                <w:txbxContent>
                  <w:p w14:paraId="1D5E593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非金钱合同债务履行费用“过高”与违约方解除丨</w:t>
                    </w:r>
                    <w:r>
                      <w:rPr>
                        <w:rFonts w:ascii="Times New Roman" w:hAnsi="Times New Roman" w:eastAsia="Times New Roman" w:cs="Times New Roman"/>
                        <w:b/>
                        <w:bCs/>
                        <w:color w:val="000000"/>
                        <w:spacing w:val="0"/>
                        <w:w w:val="100"/>
                        <w:position w:val="0"/>
                        <w:sz w:val="15"/>
                        <w:szCs w:val="15"/>
                      </w:rPr>
                      <w:t>345</w:t>
                    </w:r>
                  </w:p>
                </w:txbxContent>
              </v:textbox>
            </v:shape>
          </w:pict>
        </mc:Fallback>
      </mc:AlternateContent>
    </w: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01AF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3599180</wp:posOffset>
              </wp:positionH>
              <wp:positionV relativeFrom="page">
                <wp:posOffset>538480</wp:posOffset>
              </wp:positionV>
              <wp:extent cx="2294890" cy="107950"/>
              <wp:effectExtent l="0" t="0" r="0" b="0"/>
              <wp:wrapNone/>
              <wp:docPr id="955" name="Shape 955"/>
              <wp:cNvGraphicFramePr/>
              <a:graphic xmlns:a="http://schemas.openxmlformats.org/drawingml/2006/main">
                <a:graphicData uri="http://schemas.microsoft.com/office/word/2010/wordprocessingShape">
                  <wps:wsp>
                    <wps:cNvSpPr txBox="1"/>
                    <wps:spPr>
                      <a:xfrm>
                        <a:off x="0" y="0"/>
                        <a:ext cx="2294890" cy="107950"/>
                      </a:xfrm>
                      <a:prstGeom prst="rect">
                        <a:avLst/>
                      </a:prstGeom>
                      <a:noFill/>
                    </wps:spPr>
                    <wps:txbx>
                      <w:txbxContent>
                        <w:p w14:paraId="33F319D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非金钱合同债务履行费用“过高”与违约方解除丨</w:t>
                          </w:r>
                          <w:r>
                            <w:rPr>
                              <w:rFonts w:ascii="Times New Roman" w:hAnsi="Times New Roman" w:eastAsia="Times New Roman" w:cs="Times New Roman"/>
                              <w:b/>
                              <w:bCs/>
                              <w:color w:val="000000"/>
                              <w:spacing w:val="0"/>
                              <w:w w:val="100"/>
                              <w:position w:val="0"/>
                              <w:sz w:val="15"/>
                              <w:szCs w:val="15"/>
                            </w:rPr>
                            <w:t>345</w:t>
                          </w:r>
                        </w:p>
                      </w:txbxContent>
                    </wps:txbx>
                    <wps:bodyPr wrap="none" lIns="0" tIns="0" rIns="0" bIns="0">
                      <a:spAutoFit/>
                    </wps:bodyPr>
                  </wps:wsp>
                </a:graphicData>
              </a:graphic>
            </wp:anchor>
          </w:drawing>
        </mc:Choice>
        <mc:Fallback>
          <w:pict>
            <v:shape id="Shape 955" o:spid="_x0000_s1026" o:spt="202" type="#_x0000_t202" style="position:absolute;left:0pt;margin-left:283.4pt;margin-top:42.4pt;height:8.5pt;width:180.7pt;mso-position-horizontal-relative:page;mso-position-vertical-relative:page;mso-wrap-style:none;z-index:-251657216;mso-width-relative:page;mso-height-relative:page;" filled="f" stroked="f" coordsize="21600,21600" o:gfxdata="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DYPYLW&#10;AAAACgEAAA8AAAAAAAAAAQAgAAAAIgAAAGRycy9kb3ducmV2LnhtbFBLAQIUABQAAAAIAIdO4kCD&#10;A/SSsAEAAHQDAAAOAAAAAAAAAAEAIAAAACUBAABkcnMvZTJvRG9jLnhtbFBLBQYAAAAABgAGAFkB&#10;AABHBQAAAAA=&#10;">
              <v:fill on="f" focussize="0,0"/>
              <v:stroke on="f"/>
              <v:imagedata o:title=""/>
              <o:lock v:ext="edit" aspectratio="f"/>
              <v:textbox inset="0mm,0mm,0mm,0mm" style="mso-fit-shape-to-text:t;">
                <w:txbxContent>
                  <w:p w14:paraId="33F319D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非金钱合同债务履行费用“过高”与违约方解除丨</w:t>
                    </w:r>
                    <w:r>
                      <w:rPr>
                        <w:rFonts w:ascii="Times New Roman" w:hAnsi="Times New Roman" w:eastAsia="Times New Roman" w:cs="Times New Roman"/>
                        <w:b/>
                        <w:bCs/>
                        <w:color w:val="000000"/>
                        <w:spacing w:val="0"/>
                        <w:w w:val="100"/>
                        <w:position w:val="0"/>
                        <w:sz w:val="15"/>
                        <w:szCs w:val="15"/>
                      </w:rPr>
                      <w:t>345</w:t>
                    </w:r>
                  </w:p>
                </w:txbxContent>
              </v:textbox>
            </v:shape>
          </w:pict>
        </mc:Fallback>
      </mc:AlternateContent>
    </w: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EE0242">
    <w:pPr>
      <w:widowControl w:val="0"/>
      <w:spacing w:line="1" w:lineRule="exact"/>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E83428">
    <w:pPr>
      <w:widowControl w:val="0"/>
      <w:spacing w:line="1" w:lineRule="exact"/>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1528D">
    <w:pPr>
      <w:widowControl w:val="0"/>
      <w:spacing w:line="1" w:lineRule="exact"/>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0C08B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4678680</wp:posOffset>
              </wp:positionH>
              <wp:positionV relativeFrom="page">
                <wp:posOffset>506730</wp:posOffset>
              </wp:positionV>
              <wp:extent cx="1268095" cy="107950"/>
              <wp:effectExtent l="0" t="0" r="0" b="0"/>
              <wp:wrapNone/>
              <wp:docPr id="963" name="Shape 963"/>
              <wp:cNvGraphicFramePr/>
              <a:graphic xmlns:a="http://schemas.openxmlformats.org/drawingml/2006/main">
                <a:graphicData uri="http://schemas.microsoft.com/office/word/2010/wordprocessingShape">
                  <wps:wsp>
                    <wps:cNvSpPr txBox="1"/>
                    <wps:spPr>
                      <a:xfrm>
                        <a:off x="0" y="0"/>
                        <a:ext cx="1268095" cy="107950"/>
                      </a:xfrm>
                      <a:prstGeom prst="rect">
                        <a:avLst/>
                      </a:prstGeom>
                      <a:noFill/>
                    </wps:spPr>
                    <wps:txbx>
                      <w:txbxContent>
                        <w:p w14:paraId="3D44617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合同解除权与解除异议丨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63" o:spid="_x0000_s1026" o:spt="202" type="#_x0000_t202" style="position:absolute;left:0pt;margin-left:368.4pt;margin-top:39.9pt;height:8.5pt;width:99.85pt;mso-position-horizontal-relative:page;mso-position-vertical-relative:page;mso-wrap-style:none;z-index:-251657216;mso-width-relative:page;mso-height-relative:page;" filled="f" stroked="f" coordsize="21600,21600" o:gfxdata="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hMsW1AAA&#10;AAkBAAAPAAAAAAAAAAEAIAAAACIAAABkcnMvZG93bnJldi54bWxQSwECFAAUAAAACACHTuJAEnCi&#10;rLABAAB0AwAADgAAAAAAAAABACAAAAAjAQAAZHJzL2Uyb0RvYy54bWxQSwUGAAAAAAYABgBZAQAA&#10;RQUAAAAA&#10;">
              <v:fill on="f" focussize="0,0"/>
              <v:stroke on="f"/>
              <v:imagedata o:title=""/>
              <o:lock v:ext="edit" aspectratio="f"/>
              <v:textbox inset="0mm,0mm,0mm,0mm" style="mso-fit-shape-to-text:t;">
                <w:txbxContent>
                  <w:p w14:paraId="3D44617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合同解除权与解除异议丨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5174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65" name="Shape 96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539779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6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l1&#10;L3mwAQAAcwMAAA4AAAAAAAAAAQAgAAAAJAEAAGRycy9lMm9Eb2MueG1sUEsFBgAAAAAGAAYAWQEA&#10;AEYFAAAAAA==&#10;">
              <v:fill on="f" focussize="0,0"/>
              <v:stroke on="f"/>
              <v:imagedata o:title=""/>
              <o:lock v:ext="edit" aspectratio="f"/>
              <v:textbox inset="0mm,0mm,0mm,0mm" style="mso-fit-shape-to-text:t;">
                <w:txbxContent>
                  <w:p w14:paraId="5539779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CB1356">
    <w:pPr>
      <w:widowControl w:val="0"/>
      <w:spacing w:line="1" w:lineRule="exact"/>
    </w:pPr>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192AC8">
    <w:pPr>
      <w:widowControl w:val="0"/>
      <w:spacing w:line="1" w:lineRule="exact"/>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A21A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73" name="Shape 9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A03A07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bW&#10;0YSwAQAAcwMAAA4AAAAAAAAAAQAgAAAAJAEAAGRycy9lMm9Eb2MueG1sUEsFBgAAAAAGAAYAWQEA&#10;AEYFAAAAAA==&#10;">
              <v:fill on="f" focussize="0,0"/>
              <v:stroke on="f"/>
              <v:imagedata o:title=""/>
              <o:lock v:ext="edit" aspectratio="f"/>
              <v:textbox inset="0mm,0mm,0mm,0mm" style="mso-fit-shape-to-text:t;">
                <w:txbxContent>
                  <w:p w14:paraId="2A03A07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5A770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75" name="Shape 97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54C67C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7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AkZ&#10;2O+wAQAAcwMAAA4AAAAAAAAAAQAgAAAAJAEAAGRycy9lMm9Eb2MueG1sUEsFBgAAAAAGAAYAWQEA&#10;AEYFAAAAAA==&#10;">
              <v:fill on="f" focussize="0,0"/>
              <v:stroke on="f"/>
              <v:imagedata o:title=""/>
              <o:lock v:ext="edit" aspectratio="f"/>
              <v:textbox inset="0mm,0mm,0mm,0mm" style="mso-fit-shape-to-text:t;">
                <w:txbxContent>
                  <w:p w14:paraId="354C67C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FD50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4378325</wp:posOffset>
              </wp:positionH>
              <wp:positionV relativeFrom="page">
                <wp:posOffset>488950</wp:posOffset>
              </wp:positionV>
              <wp:extent cx="1516380" cy="107950"/>
              <wp:effectExtent l="0" t="0" r="0" b="0"/>
              <wp:wrapNone/>
              <wp:docPr id="977" name="Shape 977"/>
              <wp:cNvGraphicFramePr/>
              <a:graphic xmlns:a="http://schemas.openxmlformats.org/drawingml/2006/main">
                <a:graphicData uri="http://schemas.microsoft.com/office/word/2010/wordprocessingShape">
                  <wps:wsp>
                    <wps:cNvSpPr txBox="1"/>
                    <wps:spPr>
                      <a:xfrm>
                        <a:off x="0" y="0"/>
                        <a:ext cx="1516380" cy="107950"/>
                      </a:xfrm>
                      <a:prstGeom prst="rect">
                        <a:avLst/>
                      </a:prstGeom>
                      <a:noFill/>
                    </wps:spPr>
                    <wps:txbx>
                      <w:txbxContent>
                        <w:p w14:paraId="3E12AD3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瑕疵补正请求权:修理与更换丨</w:t>
                          </w:r>
                          <w:r>
                            <w:rPr>
                              <w:rFonts w:ascii="Times New Roman" w:hAnsi="Times New Roman" w:eastAsia="Times New Roman" w:cs="Times New Roman"/>
                              <w:b/>
                              <w:bCs/>
                              <w:color w:val="000000"/>
                              <w:spacing w:val="0"/>
                              <w:w w:val="100"/>
                              <w:position w:val="0"/>
                              <w:sz w:val="15"/>
                              <w:szCs w:val="15"/>
                            </w:rPr>
                            <w:t>353</w:t>
                          </w:r>
                        </w:p>
                      </w:txbxContent>
                    </wps:txbx>
                    <wps:bodyPr wrap="none" lIns="0" tIns="0" rIns="0" bIns="0">
                      <a:spAutoFit/>
                    </wps:bodyPr>
                  </wps:wsp>
                </a:graphicData>
              </a:graphic>
            </wp:anchor>
          </w:drawing>
        </mc:Choice>
        <mc:Fallback>
          <w:pict>
            <v:shape id="Shape 977" o:spid="_x0000_s1026" o:spt="202" type="#_x0000_t202" style="position:absolute;left:0pt;margin-left:344.75pt;margin-top:38.5pt;height:8.5pt;width:119.4pt;mso-position-horizontal-relative:page;mso-position-vertical-relative:page;mso-wrap-style:none;z-index:-251657216;mso-width-relative:page;mso-height-relative:page;" filled="f" stroked="f" coordsize="21600,21600" o:gfxdata="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sA/nPW&#10;AAAACQEAAA8AAAAAAAAAAQAgAAAAIgAAAGRycy9kb3ducmV2LnhtbFBLAQIUABQAAAAIAIdO4kCB&#10;4UzesAEAAHQDAAAOAAAAAAAAAAEAIAAAACUBAABkcnMvZTJvRG9jLnhtbFBLBQYAAAAABgAGAFkB&#10;AABHBQAAAAA=&#10;">
              <v:fill on="f" focussize="0,0"/>
              <v:stroke on="f"/>
              <v:imagedata o:title=""/>
              <o:lock v:ext="edit" aspectratio="f"/>
              <v:textbox inset="0mm,0mm,0mm,0mm" style="mso-fit-shape-to-text:t;">
                <w:txbxContent>
                  <w:p w14:paraId="3E12AD3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瑕疵补正请求权:修理与更换丨</w:t>
                    </w:r>
                    <w:r>
                      <w:rPr>
                        <w:rFonts w:ascii="Times New Roman" w:hAnsi="Times New Roman" w:eastAsia="Times New Roman" w:cs="Times New Roman"/>
                        <w:b/>
                        <w:bCs/>
                        <w:color w:val="000000"/>
                        <w:spacing w:val="0"/>
                        <w:w w:val="100"/>
                        <w:position w:val="0"/>
                        <w:sz w:val="15"/>
                        <w:szCs w:val="15"/>
                      </w:rPr>
                      <w:t>353</w:t>
                    </w:r>
                  </w:p>
                </w:txbxContent>
              </v:textbox>
            </v:shape>
          </w:pict>
        </mc:Fallback>
      </mc:AlternateContent>
    </w: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87ECB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4378325</wp:posOffset>
              </wp:positionH>
              <wp:positionV relativeFrom="page">
                <wp:posOffset>488950</wp:posOffset>
              </wp:positionV>
              <wp:extent cx="1516380" cy="107950"/>
              <wp:effectExtent l="0" t="0" r="0" b="0"/>
              <wp:wrapNone/>
              <wp:docPr id="979" name="Shape 979"/>
              <wp:cNvGraphicFramePr/>
              <a:graphic xmlns:a="http://schemas.openxmlformats.org/drawingml/2006/main">
                <a:graphicData uri="http://schemas.microsoft.com/office/word/2010/wordprocessingShape">
                  <wps:wsp>
                    <wps:cNvSpPr txBox="1"/>
                    <wps:spPr>
                      <a:xfrm>
                        <a:off x="0" y="0"/>
                        <a:ext cx="1516380" cy="107950"/>
                      </a:xfrm>
                      <a:prstGeom prst="rect">
                        <a:avLst/>
                      </a:prstGeom>
                      <a:noFill/>
                    </wps:spPr>
                    <wps:txbx>
                      <w:txbxContent>
                        <w:p w14:paraId="68E5D7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瑕疵补正请求权:修理与更换丨</w:t>
                          </w:r>
                          <w:r>
                            <w:rPr>
                              <w:rFonts w:ascii="Times New Roman" w:hAnsi="Times New Roman" w:eastAsia="Times New Roman" w:cs="Times New Roman"/>
                              <w:b/>
                              <w:bCs/>
                              <w:color w:val="000000"/>
                              <w:spacing w:val="0"/>
                              <w:w w:val="100"/>
                              <w:position w:val="0"/>
                              <w:sz w:val="15"/>
                              <w:szCs w:val="15"/>
                            </w:rPr>
                            <w:t>353</w:t>
                          </w:r>
                        </w:p>
                      </w:txbxContent>
                    </wps:txbx>
                    <wps:bodyPr wrap="none" lIns="0" tIns="0" rIns="0" bIns="0">
                      <a:spAutoFit/>
                    </wps:bodyPr>
                  </wps:wsp>
                </a:graphicData>
              </a:graphic>
            </wp:anchor>
          </w:drawing>
        </mc:Choice>
        <mc:Fallback>
          <w:pict>
            <v:shape id="Shape 979" o:spid="_x0000_s1026" o:spt="202" type="#_x0000_t202" style="position:absolute;left:0pt;margin-left:344.75pt;margin-top:38.5pt;height:8.5pt;width:119.4pt;mso-position-horizontal-relative:page;mso-position-vertical-relative:page;mso-wrap-style:none;z-index:-251657216;mso-width-relative:page;mso-height-relative:page;" filled="f" stroked="f" coordsize="21600,21600" o:gfxdata="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sA/nPW&#10;AAAACQEAAA8AAAAAAAAAAQAgAAAAIgAAAGRycy9kb3ducmV2LnhtbFBLAQIUABQAAAAIAIdO4kDl&#10;8wBysAEAAHQDAAAOAAAAAAAAAAEAIAAAACUBAABkcnMvZTJvRG9jLnhtbFBLBQYAAAAABgAGAFkB&#10;AABHBQAAAAA=&#10;">
              <v:fill on="f" focussize="0,0"/>
              <v:stroke on="f"/>
              <v:imagedata o:title=""/>
              <o:lock v:ext="edit" aspectratio="f"/>
              <v:textbox inset="0mm,0mm,0mm,0mm" style="mso-fit-shape-to-text:t;">
                <w:txbxContent>
                  <w:p w14:paraId="68E5D74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瑕疵补正请求权:修理与更换丨</w:t>
                    </w:r>
                    <w:r>
                      <w:rPr>
                        <w:rFonts w:ascii="Times New Roman" w:hAnsi="Times New Roman" w:eastAsia="Times New Roman" w:cs="Times New Roman"/>
                        <w:b/>
                        <w:bCs/>
                        <w:color w:val="000000"/>
                        <w:spacing w:val="0"/>
                        <w:w w:val="100"/>
                        <w:position w:val="0"/>
                        <w:sz w:val="15"/>
                        <w:szCs w:val="15"/>
                      </w:rPr>
                      <w:t>353</w:t>
                    </w:r>
                  </w:p>
                </w:txbxContent>
              </v:textbox>
            </v:shape>
          </w:pict>
        </mc:Fallback>
      </mc:AlternateContent>
    </w: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7334A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4382135</wp:posOffset>
              </wp:positionH>
              <wp:positionV relativeFrom="page">
                <wp:posOffset>508635</wp:posOffset>
              </wp:positionV>
              <wp:extent cx="1517650" cy="109855"/>
              <wp:effectExtent l="0" t="0" r="0" b="0"/>
              <wp:wrapNone/>
              <wp:docPr id="981" name="Shape 981"/>
              <wp:cNvGraphicFramePr/>
              <a:graphic xmlns:a="http://schemas.openxmlformats.org/drawingml/2006/main">
                <a:graphicData uri="http://schemas.microsoft.com/office/word/2010/wordprocessingShape">
                  <wps:wsp>
                    <wps:cNvSpPr txBox="1"/>
                    <wps:spPr>
                      <a:xfrm>
                        <a:off x="0" y="0"/>
                        <a:ext cx="1517650" cy="109855"/>
                      </a:xfrm>
                      <a:prstGeom prst="rect">
                        <a:avLst/>
                      </a:prstGeom>
                      <a:noFill/>
                    </wps:spPr>
                    <wps:txbx>
                      <w:txbxContent>
                        <w:p w14:paraId="3BD13A2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81" o:spid="_x0000_s1026" o:spt="202" type="#_x0000_t202" style="position:absolute;left:0pt;margin-left:345.05pt;margin-top:40.05pt;height:8.65pt;width:119.5pt;mso-position-horizontal-relative:page;mso-position-vertical-relative:page;mso-wrap-style:none;z-index:-251657216;mso-width-relative:page;mso-height-relative:page;" filled="f" stroked="f" coordsize="21600,21600" o:gfxdata="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cMvCB1QAA&#10;AAkBAAAPAAAAAAAAAAEAIAAAACIAAABkcnMvZG93bnJldi54bWxQSwECFAAUAAAACACHTuJAu/+8&#10;c68BAAB0AwAADgAAAAAAAAABACAAAAAkAQAAZHJzL2Uyb0RvYy54bWxQSwUGAAAAAAYABgBZAQAA&#10;RQUAAAAA&#10;">
              <v:fill on="f" focussize="0,0"/>
              <v:stroke on="f"/>
              <v:imagedata o:title=""/>
              <o:lock v:ext="edit" aspectratio="f"/>
              <v:textbox inset="0mm,0mm,0mm,0mm" style="mso-fit-shape-to-text:t;">
                <w:txbxContent>
                  <w:p w14:paraId="3BD13A2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F669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4382135</wp:posOffset>
              </wp:positionH>
              <wp:positionV relativeFrom="page">
                <wp:posOffset>508635</wp:posOffset>
              </wp:positionV>
              <wp:extent cx="1517650" cy="109855"/>
              <wp:effectExtent l="0" t="0" r="0" b="0"/>
              <wp:wrapNone/>
              <wp:docPr id="983" name="Shape 983"/>
              <wp:cNvGraphicFramePr/>
              <a:graphic xmlns:a="http://schemas.openxmlformats.org/drawingml/2006/main">
                <a:graphicData uri="http://schemas.microsoft.com/office/word/2010/wordprocessingShape">
                  <wps:wsp>
                    <wps:cNvSpPr txBox="1"/>
                    <wps:spPr>
                      <a:xfrm>
                        <a:off x="0" y="0"/>
                        <a:ext cx="1517650" cy="109855"/>
                      </a:xfrm>
                      <a:prstGeom prst="rect">
                        <a:avLst/>
                      </a:prstGeom>
                      <a:noFill/>
                    </wps:spPr>
                    <wps:txbx>
                      <w:txbxContent>
                        <w:p w14:paraId="6284D15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83" o:spid="_x0000_s1026" o:spt="202" type="#_x0000_t202" style="position:absolute;left:0pt;margin-left:345.05pt;margin-top:40.05pt;height:8.65pt;width:119.5pt;mso-position-horizontal-relative:page;mso-position-vertical-relative:page;mso-wrap-style:none;z-index:-251657216;mso-width-relative:page;mso-height-relative:page;" filled="f" stroked="f" coordsize="21600,21600" o:gfxdata="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cMvCB1QAA&#10;AAkBAAAPAAAAAAAAAAEAIAAAACIAAABkcnMvZG93bnJldi54bWxQSwECFAAUAAAACACHTuJAWiEj&#10;ha8BAAB0AwAADgAAAAAAAAABACAAAAAkAQAAZHJzL2Uyb0RvYy54bWxQSwUGAAAAAAYABgBZAQAA&#10;RQUAAAAA&#10;">
              <v:fill on="f" focussize="0,0"/>
              <v:stroke on="f"/>
              <v:imagedata o:title=""/>
              <o:lock v:ext="edit" aspectratio="f"/>
              <v:textbox inset="0mm,0mm,0mm,0mm" style="mso-fit-shape-to-text:t;">
                <w:txbxContent>
                  <w:p w14:paraId="6284D15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瑕疵补正请求权:修理与更换</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2AC68">
    <w:pPr>
      <w:widowControl w:val="0"/>
      <w:spacing w:line="1" w:lineRule="exact"/>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9163A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85" name="Shape 98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0F99ED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8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A9Z2PV&#10;rgEAAHMDAAAOAAAAAAAAAAEAIAAAACQBAABkcnMvZTJvRG9jLnhtbFBLBQYAAAAABgAGAFkBAABE&#10;BQAAAAA=&#10;">
              <v:fill on="f" focussize="0,0"/>
              <v:stroke on="f"/>
              <v:imagedata o:title=""/>
              <o:lock v:ext="edit" aspectratio="f"/>
              <v:textbox inset="0mm,0mm,0mm,0mm" style="mso-fit-shape-to-text:t;">
                <w:txbxContent>
                  <w:p w14:paraId="10F99ED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85196">
    <w:pPr>
      <w:widowControl w:val="0"/>
      <w:spacing w:line="1" w:lineRule="exact"/>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DC407D">
    <w:pPr>
      <w:widowControl w:val="0"/>
      <w:spacing w:line="1" w:lineRule="exact"/>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C6EDE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4181475</wp:posOffset>
              </wp:positionH>
              <wp:positionV relativeFrom="page">
                <wp:posOffset>505460</wp:posOffset>
              </wp:positionV>
              <wp:extent cx="1766570" cy="107950"/>
              <wp:effectExtent l="0" t="0" r="0" b="0"/>
              <wp:wrapNone/>
              <wp:docPr id="991" name="Shape 991"/>
              <wp:cNvGraphicFramePr/>
              <a:graphic xmlns:a="http://schemas.openxmlformats.org/drawingml/2006/main">
                <a:graphicData uri="http://schemas.microsoft.com/office/word/2010/wordprocessingShape">
                  <wps:wsp>
                    <wps:cNvSpPr txBox="1"/>
                    <wps:spPr>
                      <a:xfrm>
                        <a:off x="0" y="0"/>
                        <a:ext cx="1766570" cy="107950"/>
                      </a:xfrm>
                      <a:prstGeom prst="rect">
                        <a:avLst/>
                      </a:prstGeom>
                      <a:noFill/>
                    </wps:spPr>
                    <wps:txbx>
                      <w:txbxContent>
                        <w:p w14:paraId="00BDC1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隐藏在银行卡盗刷纠纷背后的法理丨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91" o:spid="_x0000_s1026" o:spt="202" type="#_x0000_t202" style="position:absolute;left:0pt;margin-left:329.25pt;margin-top:39.8pt;height:8.5pt;width:139.1pt;mso-position-horizontal-relative:page;mso-position-vertical-relative:page;mso-wrap-style:none;z-index:-251657216;mso-width-relative:page;mso-height-relative:page;" filled="f" stroked="f" coordsize="21600,21600" o:gfxdata="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5Brs/1QAA&#10;AAkBAAAPAAAAAAAAAAEAIAAAACIAAABkcnMvZG93bnJldi54bWxQSwECFAAUAAAACACHTuJAyd1c&#10;b68BAAB0AwAADgAAAAAAAAABACAAAAAkAQAAZHJzL2Uyb0RvYy54bWxQSwUGAAAAAAYABgBZAQAA&#10;RQUAAAAA&#10;">
              <v:fill on="f" focussize="0,0"/>
              <v:stroke on="f"/>
              <v:imagedata o:title=""/>
              <o:lock v:ext="edit" aspectratio="f"/>
              <v:textbox inset="0mm,0mm,0mm,0mm" style="mso-fit-shape-to-text:t;">
                <w:txbxContent>
                  <w:p w14:paraId="00BDC1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隐藏在银行卡盗刷纠纷背后的法理丨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25088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93" name="Shape 99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1B773A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9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LE&#10;nSiwAQAAcwMAAA4AAAAAAAAAAQAgAAAAJAEAAGRycy9lMm9Eb2MueG1sUEsFBgAAAAAGAAYAWQEA&#10;AEYFAAAAAA==&#10;">
              <v:fill on="f" focussize="0,0"/>
              <v:stroke on="f"/>
              <v:imagedata o:title=""/>
              <o:lock v:ext="edit" aspectratio="f"/>
              <v:textbox inset="0mm,0mm,0mm,0mm" style="mso-fit-shape-to-text:t;">
                <w:txbxContent>
                  <w:p w14:paraId="11B773A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8CBC9">
    <w:pPr>
      <w:widowControl w:val="0"/>
      <w:spacing w:line="1" w:lineRule="exact"/>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98359">
    <w:pPr>
      <w:widowControl w:val="0"/>
      <w:spacing w:line="1" w:lineRule="exact"/>
    </w:pPr>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9D67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3096895</wp:posOffset>
              </wp:positionH>
              <wp:positionV relativeFrom="page">
                <wp:posOffset>509270</wp:posOffset>
              </wp:positionV>
              <wp:extent cx="2793365" cy="109855"/>
              <wp:effectExtent l="0" t="0" r="0" b="0"/>
              <wp:wrapNone/>
              <wp:docPr id="999" name="Shape 999"/>
              <wp:cNvGraphicFramePr/>
              <a:graphic xmlns:a="http://schemas.openxmlformats.org/drawingml/2006/main">
                <a:graphicData uri="http://schemas.microsoft.com/office/word/2010/wordprocessingShape">
                  <wps:wsp>
                    <wps:cNvSpPr txBox="1"/>
                    <wps:spPr>
                      <a:xfrm>
                        <a:off x="0" y="0"/>
                        <a:ext cx="2793365" cy="109855"/>
                      </a:xfrm>
                      <a:prstGeom prst="rect">
                        <a:avLst/>
                      </a:prstGeom>
                      <a:noFill/>
                    </wps:spPr>
                    <wps:txbx>
                      <w:txbxContent>
                        <w:p w14:paraId="07EF702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预期违约情形</w:t>
                          </w:r>
                          <w:r>
                            <w:rPr>
                              <w:color w:val="000000"/>
                              <w:spacing w:val="0"/>
                              <w:w w:val="100"/>
                              <w:position w:val="0"/>
                              <w:sz w:val="15"/>
                              <w:szCs w:val="15"/>
                              <w:lang w:val="zh-CN" w:eastAsia="zh-CN" w:bidi="zh-CN"/>
                            </w:rPr>
                            <w:t>“以</w:t>
                          </w:r>
                          <w:r>
                            <w:rPr>
                              <w:color w:val="000000"/>
                              <w:spacing w:val="0"/>
                              <w:w w:val="100"/>
                              <w:position w:val="0"/>
                              <w:sz w:val="15"/>
                              <w:szCs w:val="15"/>
                            </w:rPr>
                            <w:t>自己的行为表明不履行合同义务”的认定丨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99" o:spid="_x0000_s1026" o:spt="202" type="#_x0000_t202" style="position:absolute;left:0pt;margin-left:243.85pt;margin-top:40.1pt;height:8.65pt;width:219.95pt;mso-position-horizontal-relative:page;mso-position-vertical-relative:page;mso-wrap-style:none;z-index:-251657216;mso-width-relative:page;mso-height-relative:page;" filled="f" stroked="f" coordsize="21600,21600" o:gfxdata="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poP9l&#10;1gAAAAkBAAAPAAAAAAAAAAEAIAAAACIAAABkcnMvZG93bnJldi54bWxQSwECFAAUAAAACACHTuJA&#10;WLDEV7EBAAB0AwAADgAAAAAAAAABACAAAAAlAQAAZHJzL2Uyb0RvYy54bWxQSwUGAAAAAAYABgBZ&#10;AQAASAUAAAAA&#10;">
              <v:fill on="f" focussize="0,0"/>
              <v:stroke on="f"/>
              <v:imagedata o:title=""/>
              <o:lock v:ext="edit" aspectratio="f"/>
              <v:textbox inset="0mm,0mm,0mm,0mm" style="mso-fit-shape-to-text:t;">
                <w:txbxContent>
                  <w:p w14:paraId="07EF702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预期违约情形</w:t>
                    </w:r>
                    <w:r>
                      <w:rPr>
                        <w:color w:val="000000"/>
                        <w:spacing w:val="0"/>
                        <w:w w:val="100"/>
                        <w:position w:val="0"/>
                        <w:sz w:val="15"/>
                        <w:szCs w:val="15"/>
                        <w:lang w:val="zh-CN" w:eastAsia="zh-CN" w:bidi="zh-CN"/>
                      </w:rPr>
                      <w:t>“以</w:t>
                    </w:r>
                    <w:r>
                      <w:rPr>
                        <w:color w:val="000000"/>
                        <w:spacing w:val="0"/>
                        <w:w w:val="100"/>
                        <w:position w:val="0"/>
                        <w:sz w:val="15"/>
                        <w:szCs w:val="15"/>
                      </w:rPr>
                      <w:t>自己的行为表明不履行合同义务”的认定丨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3945A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01" name="Shape 100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3BB564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0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R8&#10;oq8BAAB1AwAADgAAAAAAAAABACAAAAAkAQAAZHJzL2Uyb0RvYy54bWxQSwUGAAAAAAYABgBZAQAA&#10;RQUAAAAA&#10;">
              <v:fill on="f" focussize="0,0"/>
              <v:stroke on="f"/>
              <v:imagedata o:title=""/>
              <o:lock v:ext="edit" aspectratio="f"/>
              <v:textbox inset="0mm,0mm,0mm,0mm" style="mso-fit-shape-to-text:t;">
                <w:txbxContent>
                  <w:p w14:paraId="33BB564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BC45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4033520</wp:posOffset>
              </wp:positionH>
              <wp:positionV relativeFrom="page">
                <wp:posOffset>515620</wp:posOffset>
              </wp:positionV>
              <wp:extent cx="1924685" cy="107950"/>
              <wp:effectExtent l="0" t="0" r="0" b="0"/>
              <wp:wrapNone/>
              <wp:docPr id="1003" name="Shape 1003"/>
              <wp:cNvGraphicFramePr/>
              <a:graphic xmlns:a="http://schemas.openxmlformats.org/drawingml/2006/main">
                <a:graphicData uri="http://schemas.microsoft.com/office/word/2010/wordprocessingShape">
                  <wps:wsp>
                    <wps:cNvSpPr txBox="1"/>
                    <wps:spPr>
                      <a:xfrm>
                        <a:off x="0" y="0"/>
                        <a:ext cx="1924685" cy="107950"/>
                      </a:xfrm>
                      <a:prstGeom prst="rect">
                        <a:avLst/>
                      </a:prstGeom>
                      <a:noFill/>
                    </wps:spPr>
                    <wps:txbx>
                      <w:txbxContent>
                        <w:p w14:paraId="73EAEE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wps:txbx>
                    <wps:bodyPr wrap="none" lIns="0" tIns="0" rIns="0" bIns="0">
                      <a:spAutoFit/>
                    </wps:bodyPr>
                  </wps:wsp>
                </a:graphicData>
              </a:graphic>
            </wp:anchor>
          </w:drawing>
        </mc:Choice>
        <mc:Fallback>
          <w:pict>
            <v:shape id="Shape 1003" o:spid="_x0000_s1026" o:spt="202" type="#_x0000_t202" style="position:absolute;left:0pt;margin-left:317.6pt;margin-top:40.6pt;height:8.5pt;width:151.55pt;mso-position-horizontal-relative:page;mso-position-vertical-relative:page;mso-wrap-style:none;z-index:-251657216;mso-width-relative:page;mso-height-relative:page;" filled="f" stroked="f" coordsize="21600,21600" o:gfxdata="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EbEbLV&#10;AAAACQEAAA8AAAAAAAAAAQAgAAAAIgAAAGRycy9kb3ducmV2LnhtbFBLAQIUABQAAAAIAIdO4kBt&#10;UsVRsQEAAHYDAAAOAAAAAAAAAAEAIAAAACQBAABkcnMvZTJvRG9jLnhtbFBLBQYAAAAABgAGAFkB&#10;AABHBQAAAAA=&#10;">
              <v:fill on="f" focussize="0,0"/>
              <v:stroke on="f"/>
              <v:imagedata o:title=""/>
              <o:lock v:ext="edit" aspectratio="f"/>
              <v:textbox inset="0mm,0mm,0mm,0mm" style="mso-fit-shape-to-text:t;">
                <w:txbxContent>
                  <w:p w14:paraId="73EAEE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E069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3370580</wp:posOffset>
              </wp:positionH>
              <wp:positionV relativeFrom="page">
                <wp:posOffset>511175</wp:posOffset>
              </wp:positionV>
              <wp:extent cx="2571115" cy="113030"/>
              <wp:effectExtent l="0" t="0" r="0" b="0"/>
              <wp:wrapNone/>
              <wp:docPr id="87" name="Shape 87"/>
              <wp:cNvGraphicFramePr/>
              <a:graphic xmlns:a="http://schemas.openxmlformats.org/drawingml/2006/main">
                <a:graphicData uri="http://schemas.microsoft.com/office/word/2010/wordprocessingShape">
                  <wps:wsp>
                    <wps:cNvSpPr txBox="1"/>
                    <wps:spPr>
                      <a:xfrm>
                        <a:off x="0" y="0"/>
                        <a:ext cx="2571115" cy="113030"/>
                      </a:xfrm>
                      <a:prstGeom prst="rect">
                        <a:avLst/>
                      </a:prstGeom>
                      <a:noFill/>
                    </wps:spPr>
                    <wps:txbx>
                      <w:txbxContent>
                        <w:p w14:paraId="40BFB79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异质人工授精所生子女的法律地位及胎儿继承权保护</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87" o:spid="_x0000_s1026" o:spt="202" type="#_x0000_t202" style="position:absolute;left:0pt;margin-left:265.4pt;margin-top:40.25pt;height:8.9pt;width:202.45pt;mso-position-horizontal-relative:page;mso-position-vertical-relative:page;mso-wrap-style:none;z-index:-251657216;mso-width-relative:page;mso-height-relative:page;" filled="f" stroked="f" coordsize="21600,21600" o:gfxdata="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g6J99YA&#10;AAAJAQAADwAAAAAAAAABACAAAAAiAAAAZHJzL2Rvd25yZXYueG1sUEsBAhQAFAAAAAgAh07iQMtc&#10;ucWvAQAAcgMAAA4AAAAAAAAAAQAgAAAAJQEAAGRycy9lMm9Eb2MueG1sUEsFBgAAAAAGAAYAWQEA&#10;AEYFAAAAAA==&#10;">
              <v:fill on="f" focussize="0,0"/>
              <v:stroke on="f"/>
              <v:imagedata o:title=""/>
              <o:lock v:ext="edit" aspectratio="f"/>
              <v:textbox inset="0mm,0mm,0mm,0mm" style="mso-fit-shape-to-text:t;">
                <w:txbxContent>
                  <w:p w14:paraId="40BFB79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异质人工授精所生子女的法律地位及胎儿继承权保护</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4A7F7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4033520</wp:posOffset>
              </wp:positionH>
              <wp:positionV relativeFrom="page">
                <wp:posOffset>515620</wp:posOffset>
              </wp:positionV>
              <wp:extent cx="1924685" cy="107950"/>
              <wp:effectExtent l="0" t="0" r="0" b="0"/>
              <wp:wrapNone/>
              <wp:docPr id="1005" name="Shape 1005"/>
              <wp:cNvGraphicFramePr/>
              <a:graphic xmlns:a="http://schemas.openxmlformats.org/drawingml/2006/main">
                <a:graphicData uri="http://schemas.microsoft.com/office/word/2010/wordprocessingShape">
                  <wps:wsp>
                    <wps:cNvSpPr txBox="1"/>
                    <wps:spPr>
                      <a:xfrm>
                        <a:off x="0" y="0"/>
                        <a:ext cx="1924685" cy="107950"/>
                      </a:xfrm>
                      <a:prstGeom prst="rect">
                        <a:avLst/>
                      </a:prstGeom>
                      <a:noFill/>
                    </wps:spPr>
                    <wps:txbx>
                      <w:txbxContent>
                        <w:p w14:paraId="6B6B19B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wps:txbx>
                    <wps:bodyPr wrap="none" lIns="0" tIns="0" rIns="0" bIns="0">
                      <a:spAutoFit/>
                    </wps:bodyPr>
                  </wps:wsp>
                </a:graphicData>
              </a:graphic>
            </wp:anchor>
          </w:drawing>
        </mc:Choice>
        <mc:Fallback>
          <w:pict>
            <v:shape id="Shape 1005" o:spid="_x0000_s1026" o:spt="202" type="#_x0000_t202" style="position:absolute;left:0pt;margin-left:317.6pt;margin-top:40.6pt;height:8.5pt;width:151.55pt;mso-position-horizontal-relative:page;mso-position-vertical-relative:page;mso-wrap-style:none;z-index:-251657216;mso-width-relative:page;mso-height-relative:page;" filled="f" stroked="f" coordsize="21600,21600" o:gfxdata="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RsRstUA&#10;AAAJAQAADwAAAAAAAAABACAAAAAiAAAAZHJzL2Rvd25yZXYueG1sUEsBAhQAFAAAAAgAh07iQMnl&#10;2EawAQAAdgMAAA4AAAAAAAAAAQAgAAAAJAEAAGRycy9lMm9Eb2MueG1sUEsFBgAAAAAGAAYAWQEA&#10;AEYFAAAAAA==&#10;">
              <v:fill on="f" focussize="0,0"/>
              <v:stroke on="f"/>
              <v:imagedata o:title=""/>
              <o:lock v:ext="edit" aspectratio="f"/>
              <v:textbox inset="0mm,0mm,0mm,0mm" style="mso-fit-shape-to-text:t;">
                <w:txbxContent>
                  <w:p w14:paraId="6B6B19B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v:textbox>
            </v:shape>
          </w:pict>
        </mc:Fallback>
      </mc:AlternateContent>
    </w:r>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C0594A">
    <w:pPr>
      <w:widowControl w:val="0"/>
      <w:spacing w:line="1" w:lineRule="exact"/>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54AC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4033520</wp:posOffset>
              </wp:positionH>
              <wp:positionV relativeFrom="page">
                <wp:posOffset>515620</wp:posOffset>
              </wp:positionV>
              <wp:extent cx="1924685" cy="107950"/>
              <wp:effectExtent l="0" t="0" r="0" b="0"/>
              <wp:wrapNone/>
              <wp:docPr id="1011" name="Shape 1011"/>
              <wp:cNvGraphicFramePr/>
              <a:graphic xmlns:a="http://schemas.openxmlformats.org/drawingml/2006/main">
                <a:graphicData uri="http://schemas.microsoft.com/office/word/2010/wordprocessingShape">
                  <wps:wsp>
                    <wps:cNvSpPr txBox="1"/>
                    <wps:spPr>
                      <a:xfrm>
                        <a:off x="0" y="0"/>
                        <a:ext cx="1924685" cy="107950"/>
                      </a:xfrm>
                      <a:prstGeom prst="rect">
                        <a:avLst/>
                      </a:prstGeom>
                      <a:noFill/>
                    </wps:spPr>
                    <wps:txbx>
                      <w:txbxContent>
                        <w:p w14:paraId="1F6AA66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wps:txbx>
                    <wps:bodyPr wrap="none" lIns="0" tIns="0" rIns="0" bIns="0">
                      <a:spAutoFit/>
                    </wps:bodyPr>
                  </wps:wsp>
                </a:graphicData>
              </a:graphic>
            </wp:anchor>
          </w:drawing>
        </mc:Choice>
        <mc:Fallback>
          <w:pict>
            <v:shape id="Shape 1011" o:spid="_x0000_s1026" o:spt="202" type="#_x0000_t202" style="position:absolute;left:0pt;margin-left:317.6pt;margin-top:40.6pt;height:8.5pt;width:151.55pt;mso-position-horizontal-relative:page;mso-position-vertical-relative:page;mso-wrap-style:none;z-index:-251657216;mso-width-relative:page;mso-height-relative:page;" filled="f" stroked="f" coordsize="21600,21600" o:gfxdata="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URsRstUA&#10;AAAJAQAADwAAAAAAAAABACAAAAAiAAAAZHJzL2Rvd25yZXYueG1sUEsBAhQAFAAAAAgAh07iQC/W&#10;rM2wAQAAdgMAAA4AAAAAAAAAAQAgAAAAJAEAAGRycy9lMm9Eb2MueG1sUEsFBgAAAAAGAAYAWQEA&#10;AEYFAAAAAA==&#10;">
              <v:fill on="f" focussize="0,0"/>
              <v:stroke on="f"/>
              <v:imagedata o:title=""/>
              <o:lock v:ext="edit" aspectratio="f"/>
              <v:textbox inset="0mm,0mm,0mm,0mm" style="mso-fit-shape-to-text:t;">
                <w:txbxContent>
                  <w:p w14:paraId="1F6AA66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v:textbox>
            </v:shape>
          </w:pict>
        </mc:Fallback>
      </mc:AlternateContent>
    </w: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9102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4033520</wp:posOffset>
              </wp:positionH>
              <wp:positionV relativeFrom="page">
                <wp:posOffset>515620</wp:posOffset>
              </wp:positionV>
              <wp:extent cx="1924685" cy="107950"/>
              <wp:effectExtent l="0" t="0" r="0" b="0"/>
              <wp:wrapNone/>
              <wp:docPr id="1013" name="Shape 1013"/>
              <wp:cNvGraphicFramePr/>
              <a:graphic xmlns:a="http://schemas.openxmlformats.org/drawingml/2006/main">
                <a:graphicData uri="http://schemas.microsoft.com/office/word/2010/wordprocessingShape">
                  <wps:wsp>
                    <wps:cNvSpPr txBox="1"/>
                    <wps:spPr>
                      <a:xfrm>
                        <a:off x="0" y="0"/>
                        <a:ext cx="1924685" cy="107950"/>
                      </a:xfrm>
                      <a:prstGeom prst="rect">
                        <a:avLst/>
                      </a:prstGeom>
                      <a:noFill/>
                    </wps:spPr>
                    <wps:txbx>
                      <w:txbxContent>
                        <w:p w14:paraId="1CA7EC1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wps:txbx>
                    <wps:bodyPr wrap="none" lIns="0" tIns="0" rIns="0" bIns="0">
                      <a:spAutoFit/>
                    </wps:bodyPr>
                  </wps:wsp>
                </a:graphicData>
              </a:graphic>
            </wp:anchor>
          </w:drawing>
        </mc:Choice>
        <mc:Fallback>
          <w:pict>
            <v:shape id="Shape 1013" o:spid="_x0000_s1026" o:spt="202" type="#_x0000_t202" style="position:absolute;left:0pt;margin-left:317.6pt;margin-top:40.6pt;height:8.5pt;width:151.55pt;mso-position-horizontal-relative:page;mso-position-vertical-relative:page;mso-wrap-style:none;z-index:-251657216;mso-width-relative:page;mso-height-relative:page;" filled="f" stroked="f" coordsize="21600,21600" o:gfxdata="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EbEbLV&#10;AAAACQEAAA8AAAAAAAAAAQAgAAAAIgAAAGRycy9kb3ducmV2LnhtbFBLAQIUABQAAAAIAIdO4kCM&#10;Rnd2sQEAAHYDAAAOAAAAAAAAAAEAIAAAACQBAABkcnMvZTJvRG9jLnhtbFBLBQYAAAAABgAGAFkB&#10;AABHBQAAAAA=&#10;">
              <v:fill on="f" focussize="0,0"/>
              <v:stroke on="f"/>
              <v:imagedata o:title=""/>
              <o:lock v:ext="edit" aspectratio="f"/>
              <v:textbox inset="0mm,0mm,0mm,0mm" style="mso-fit-shape-to-text:t;">
                <w:txbxContent>
                  <w:p w14:paraId="1CA7EC1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违反竞业禁止、保密义务与违约金酌减丨</w:t>
                    </w:r>
                    <w:r>
                      <w:rPr>
                        <w:rFonts w:ascii="Times New Roman" w:hAnsi="Times New Roman" w:eastAsia="Times New Roman" w:cs="Times New Roman"/>
                        <w:b/>
                        <w:bCs/>
                        <w:color w:val="000000"/>
                        <w:spacing w:val="0"/>
                        <w:w w:val="100"/>
                        <w:position w:val="0"/>
                        <w:sz w:val="15"/>
                        <w:szCs w:val="15"/>
                      </w:rPr>
                      <w:t>367</w:t>
                    </w:r>
                  </w:p>
                </w:txbxContent>
              </v:textbox>
            </v:shape>
          </w:pict>
        </mc:Fallback>
      </mc:AlternateContent>
    </w: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6667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15" name="Shape 10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45ECF6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Ci2Pdo&#10;rgEAAHUDAAAOAAAAAAAAAAEAIAAAACQBAABkcnMvZTJvRG9jLnhtbFBLBQYAAAAABgAGAFkBAABE&#10;BQAAAAA=&#10;">
              <v:fill on="f" focussize="0,0"/>
              <v:stroke on="f"/>
              <v:imagedata o:title=""/>
              <o:lock v:ext="edit" aspectratio="f"/>
              <v:textbox inset="0mm,0mm,0mm,0mm" style="mso-fit-shape-to-text:t;">
                <w:txbxContent>
                  <w:p w14:paraId="245ECF6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E3A50">
    <w:pPr>
      <w:widowControl w:val="0"/>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B18E2D">
    <w:pPr>
      <w:widowControl w:val="0"/>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501F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4262755</wp:posOffset>
              </wp:positionH>
              <wp:positionV relativeFrom="page">
                <wp:posOffset>519430</wp:posOffset>
              </wp:positionV>
              <wp:extent cx="1665605" cy="109855"/>
              <wp:effectExtent l="0" t="0" r="0" b="0"/>
              <wp:wrapNone/>
              <wp:docPr id="1023" name="Shape 1023"/>
              <wp:cNvGraphicFramePr/>
              <a:graphic xmlns:a="http://schemas.openxmlformats.org/drawingml/2006/main">
                <a:graphicData uri="http://schemas.microsoft.com/office/word/2010/wordprocessingShape">
                  <wps:wsp>
                    <wps:cNvSpPr txBox="1"/>
                    <wps:spPr>
                      <a:xfrm>
                        <a:off x="0" y="0"/>
                        <a:ext cx="1665605" cy="109855"/>
                      </a:xfrm>
                      <a:prstGeom prst="rect">
                        <a:avLst/>
                      </a:prstGeom>
                      <a:noFill/>
                    </wps:spPr>
                    <wps:txbx>
                      <w:txbxContent>
                        <w:p w14:paraId="4E57D04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债权人违反协力义务的法律效果丨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23" o:spid="_x0000_s1026" o:spt="202" type="#_x0000_t202" style="position:absolute;left:0pt;margin-left:335.65pt;margin-top:40.9pt;height:8.65pt;width:131.15pt;mso-position-horizontal-relative:page;mso-position-vertical-relative:page;mso-wrap-style:none;z-index:-251657216;mso-width-relative:page;mso-height-relative:page;" filled="f" stroked="f" coordsize="21600,21600" o:gfxdata="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NwYGNYA&#10;AAAJAQAADwAAAAAAAAABACAAAAAiAAAAZHJzL2Rvd25yZXYueG1sUEsBAhQAFAAAAAgAh07iQAt7&#10;mKivAQAAdgMAAA4AAAAAAAAAAQAgAAAAJQEAAGRycy9lMm9Eb2MueG1sUEsFBgAAAAAGAAYAWQEA&#10;AEYFAAAAAA==&#10;">
              <v:fill on="f" focussize="0,0"/>
              <v:stroke on="f"/>
              <v:imagedata o:title=""/>
              <o:lock v:ext="edit" aspectratio="f"/>
              <v:textbox inset="0mm,0mm,0mm,0mm" style="mso-fit-shape-to-text:t;">
                <w:txbxContent>
                  <w:p w14:paraId="4E57D04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债权人违反协力义务的法律效果丨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655EF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25" name="Shape 102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4315B3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2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BwA3lj&#10;rgEAAHUDAAAOAAAAAAAAAAEAIAAAACQBAABkcnMvZTJvRG9jLnhtbFBLBQYAAAAABgAGAFkBAABE&#10;BQAAAAA=&#10;">
              <v:fill on="f" focussize="0,0"/>
              <v:stroke on="f"/>
              <v:imagedata o:title=""/>
              <o:lock v:ext="edit" aspectratio="f"/>
              <v:textbox inset="0mm,0mm,0mm,0mm" style="mso-fit-shape-to-text:t;">
                <w:txbxContent>
                  <w:p w14:paraId="14315B3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2EDBA6">
    <w:pPr>
      <w:widowControl w:val="0"/>
      <w:spacing w:line="1" w:lineRule="exact"/>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62539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89" name="Shape 8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1A73CC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8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VCHe&#10;rK8BAABxAwAADgAAAAAAAAABACAAAAAkAQAAZHJzL2Uyb0RvYy54bWxQSwUGAAAAAAYABgBZAQAA&#10;RQUAAAAA&#10;">
              <v:fill on="f" focussize="0,0"/>
              <v:stroke on="f"/>
              <v:imagedata o:title=""/>
              <o:lock v:ext="edit" aspectratio="f"/>
              <v:textbox inset="0mm,0mm,0mm,0mm" style="mso-fit-shape-to-text:t;">
                <w:txbxContent>
                  <w:p w14:paraId="11A73CC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D5F77">
    <w:pPr>
      <w:widowControl w:val="0"/>
      <w:spacing w:line="1" w:lineRule="exact"/>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9644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4730750</wp:posOffset>
              </wp:positionH>
              <wp:positionV relativeFrom="page">
                <wp:posOffset>528320</wp:posOffset>
              </wp:positionV>
              <wp:extent cx="1169035" cy="109855"/>
              <wp:effectExtent l="0" t="0" r="0" b="0"/>
              <wp:wrapNone/>
              <wp:docPr id="1033" name="Shape 1033"/>
              <wp:cNvGraphicFramePr/>
              <a:graphic xmlns:a="http://schemas.openxmlformats.org/drawingml/2006/main">
                <a:graphicData uri="http://schemas.microsoft.com/office/word/2010/wordprocessingShape">
                  <wps:wsp>
                    <wps:cNvSpPr txBox="1"/>
                    <wps:spPr>
                      <a:xfrm>
                        <a:off x="0" y="0"/>
                        <a:ext cx="1169035" cy="109855"/>
                      </a:xfrm>
                      <a:prstGeom prst="rect">
                        <a:avLst/>
                      </a:prstGeom>
                      <a:noFill/>
                    </wps:spPr>
                    <wps:txbx>
                      <w:txbxContent>
                        <w:p w14:paraId="7C49944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减损义务与替代交易丨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33" o:spid="_x0000_s1026" o:spt="202" type="#_x0000_t202" style="position:absolute;left:0pt;margin-left:372.5pt;margin-top:41.6pt;height:8.65pt;width:92.05pt;mso-position-horizontal-relative:page;mso-position-vertical-relative:page;mso-wrap-style:none;z-index:-251657216;mso-width-relative:page;mso-height-relative:page;" filled="f" stroked="f" coordsize="21600,21600" o:gfxdata="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fqlNYA&#10;AAAKAQAADwAAAAAAAAABACAAAAAiAAAAZHJzL2Rvd25yZXYueG1sUEsBAhQAFAAAAAgAh07iQHRt&#10;qgmvAQAAdgMAAA4AAAAAAAAAAQAgAAAAJQEAAGRycy9lMm9Eb2MueG1sUEsFBgAAAAAGAAYAWQEA&#10;AEYFAAAAAA==&#10;">
              <v:fill on="f" focussize="0,0"/>
              <v:stroke on="f"/>
              <v:imagedata o:title=""/>
              <o:lock v:ext="edit" aspectratio="f"/>
              <v:textbox inset="0mm,0mm,0mm,0mm" style="mso-fit-shape-to-text:t;">
                <w:txbxContent>
                  <w:p w14:paraId="7C49944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减损义务与替代交易丨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1157A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35" name="Shape 103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075C1C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3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DmZK9UAAAAI&#10;AQAADwAAAAAAAAABACAAAAAiAAAAZHJzL2Rvd25yZXYueG1sUEsBAhQAFAAAAAgAh07iQAFILNOt&#10;AQAAdQMAAA4AAAAAAAAAAQAgAAAAJAEAAGRycy9lMm9Eb2MueG1sUEsFBgAAAAAGAAYAWQEAAEMF&#10;AAAAAA==&#10;">
              <v:fill on="f" focussize="0,0"/>
              <v:stroke on="f"/>
              <v:imagedata o:title=""/>
              <o:lock v:ext="edit" aspectratio="f"/>
              <v:textbox inset="0mm,0mm,0mm,0mm" style="mso-fit-shape-to-text:t;">
                <w:txbxContent>
                  <w:p w14:paraId="7075C1C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B58CF4">
    <w:pPr>
      <w:widowControl w:val="0"/>
      <w:spacing w:line="1" w:lineRule="exact"/>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CFB9E1">
    <w:pPr>
      <w:widowControl w:val="0"/>
      <w:spacing w:line="1" w:lineRule="exact"/>
    </w:pPr>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8680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3918585</wp:posOffset>
              </wp:positionH>
              <wp:positionV relativeFrom="page">
                <wp:posOffset>495935</wp:posOffset>
              </wp:positionV>
              <wp:extent cx="2019300" cy="109855"/>
              <wp:effectExtent l="0" t="0" r="0" b="0"/>
              <wp:wrapNone/>
              <wp:docPr id="1043" name="Shape 1043"/>
              <wp:cNvGraphicFramePr/>
              <a:graphic xmlns:a="http://schemas.openxmlformats.org/drawingml/2006/main">
                <a:graphicData uri="http://schemas.microsoft.com/office/word/2010/wordprocessingShape">
                  <wps:wsp>
                    <wps:cNvSpPr txBox="1"/>
                    <wps:spPr>
                      <a:xfrm>
                        <a:off x="0" y="0"/>
                        <a:ext cx="2019300" cy="109855"/>
                      </a:xfrm>
                      <a:prstGeom prst="rect">
                        <a:avLst/>
                      </a:prstGeom>
                      <a:noFill/>
                    </wps:spPr>
                    <wps:txbx>
                      <w:txbxContent>
                        <w:p w14:paraId="3E14F1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检验期间、通知期间与质量保证期的关系丨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43" o:spid="_x0000_s1026" o:spt="202" type="#_x0000_t202" style="position:absolute;left:0pt;margin-left:308.55pt;margin-top:39.05pt;height:8.65pt;width:159pt;mso-position-horizontal-relative:page;mso-position-vertical-relative:page;mso-wrap-style:none;z-index:-251657216;mso-width-relative:page;mso-height-relative:page;" filled="f" stroked="f" coordsize="21600,21600" o:gfxdata="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AucMrVAAAA&#10;CQEAAA8AAAAAAAAAAQAgAAAAIgAAAGRycy9kb3ducmV2LnhtbFBLAQIUABQAAAAIAIdO4kDxjOLI&#10;rgEAAHYDAAAOAAAAAAAAAAEAIAAAACQBAABkcnMvZTJvRG9jLnhtbFBLBQYAAAAABgAGAFkBAABE&#10;BQAAAAA=&#10;">
              <v:fill on="f" focussize="0,0"/>
              <v:stroke on="f"/>
              <v:imagedata o:title=""/>
              <o:lock v:ext="edit" aspectratio="f"/>
              <v:textbox inset="0mm,0mm,0mm,0mm" style="mso-fit-shape-to-text:t;">
                <w:txbxContent>
                  <w:p w14:paraId="3E14F1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检验期间、通知期间与质量保证期的关系丨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9269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45" name="Shape 104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751820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4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1LRk&#10;dK8BAAB1AwAADgAAAAAAAAABACAAAAAkAQAAZHJzL2Uyb0RvYy54bWxQSwUGAAAAAAYABgBZAQAA&#10;RQUAAAAA&#10;">
              <v:fill on="f" focussize="0,0"/>
              <v:stroke on="f"/>
              <v:imagedata o:title=""/>
              <o:lock v:ext="edit" aspectratio="f"/>
              <v:textbox inset="0mm,0mm,0mm,0mm" style="mso-fit-shape-to-text:t;">
                <w:txbxContent>
                  <w:p w14:paraId="2751820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4D7DA4">
    <w:pPr>
      <w:widowControl w:val="0"/>
      <w:spacing w:line="1" w:lineRule="exact"/>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489B55">
    <w:pPr>
      <w:widowControl w:val="0"/>
      <w:spacing w:line="1" w:lineRule="exact"/>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DD07F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49" name="Shape 104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35A9EE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4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Kl9&#10;BvuwAQAAdQMAAA4AAAAAAAAAAQAgAAAAJAEAAGRycy9lMm9Eb2MueG1sUEsFBgAAAAAGAAYAWQEA&#10;AEYFAAAAAA==&#10;">
              <v:fill on="f" focussize="0,0"/>
              <v:stroke on="f"/>
              <v:imagedata o:title=""/>
              <o:lock v:ext="edit" aspectratio="f"/>
              <v:textbox inset="0mm,0mm,0mm,0mm" style="mso-fit-shape-to-text:t;">
                <w:txbxContent>
                  <w:p w14:paraId="535A9EE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B10B18">
    <w:pPr>
      <w:widowControl w:val="0"/>
      <w:spacing w:line="1" w:lineRule="exact"/>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B9FA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51" name="Shape 105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B8F65C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5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jrjv&#10;vq8BAAB1AwAADgAAAAAAAAABACAAAAAkAQAAZHJzL2Uyb0RvYy54bWxQSwUGAAAAAAYABgBZAQAA&#10;RQUAAAAA&#10;">
              <v:fill on="f" focussize="0,0"/>
              <v:stroke on="f"/>
              <v:imagedata o:title=""/>
              <o:lock v:ext="edit" aspectratio="f"/>
              <v:textbox inset="0mm,0mm,0mm,0mm" style="mso-fit-shape-to-text:t;">
                <w:txbxContent>
                  <w:p w14:paraId="0B8F65C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AEFB4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4428490</wp:posOffset>
              </wp:positionH>
              <wp:positionV relativeFrom="page">
                <wp:posOffset>520065</wp:posOffset>
              </wp:positionV>
              <wp:extent cx="1469390" cy="109855"/>
              <wp:effectExtent l="0" t="0" r="0" b="0"/>
              <wp:wrapNone/>
              <wp:docPr id="1053" name="Shape 1053"/>
              <wp:cNvGraphicFramePr/>
              <a:graphic xmlns:a="http://schemas.openxmlformats.org/drawingml/2006/main">
                <a:graphicData uri="http://schemas.microsoft.com/office/word/2010/wordprocessingShape">
                  <wps:wsp>
                    <wps:cNvSpPr txBox="1"/>
                    <wps:spPr>
                      <a:xfrm>
                        <a:off x="0" y="0"/>
                        <a:ext cx="1469390" cy="109855"/>
                      </a:xfrm>
                      <a:prstGeom prst="rect">
                        <a:avLst/>
                      </a:prstGeom>
                      <a:noFill/>
                    </wps:spPr>
                    <wps:txbx>
                      <w:txbxContent>
                        <w:p w14:paraId="027AEFA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借名购房中的多重法律关系丨</w:t>
                          </w:r>
                          <w:r>
                            <w:rPr>
                              <w:rFonts w:ascii="Times New Roman" w:hAnsi="Times New Roman" w:eastAsia="Times New Roman" w:cs="Times New Roman"/>
                              <w:b/>
                              <w:bCs/>
                              <w:color w:val="000000"/>
                              <w:spacing w:val="0"/>
                              <w:w w:val="100"/>
                              <w:position w:val="0"/>
                              <w:sz w:val="15"/>
                              <w:szCs w:val="15"/>
                            </w:rPr>
                            <w:t>387</w:t>
                          </w:r>
                        </w:p>
                      </w:txbxContent>
                    </wps:txbx>
                    <wps:bodyPr wrap="none" lIns="0" tIns="0" rIns="0" bIns="0">
                      <a:spAutoFit/>
                    </wps:bodyPr>
                  </wps:wsp>
                </a:graphicData>
              </a:graphic>
            </wp:anchor>
          </w:drawing>
        </mc:Choice>
        <mc:Fallback>
          <w:pict>
            <v:shape id="Shape 1053" o:spid="_x0000_s1026" o:spt="202" type="#_x0000_t202" style="position:absolute;left:0pt;margin-left:348.7pt;margin-top:40.95pt;height:8.65pt;width:115.7pt;mso-position-horizontal-relative:page;mso-position-vertical-relative:page;mso-wrap-style:none;z-index:-251657216;mso-width-relative:page;mso-height-relative:page;" filled="f" stroked="f" coordsize="21600,21600" o:gfxdata="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i3BtYA&#10;AAAJAQAADwAAAAAAAAABACAAAAAiAAAAZHJzL2Rvd25yZXYueG1sUEsBAhQAFAAAAAgAh07iQCYw&#10;LnmvAQAAdgMAAA4AAAAAAAAAAQAgAAAAJQEAAGRycy9lMm9Eb2MueG1sUEsFBgAAAAAGAAYAWQEA&#10;AEYFAAAAAA==&#10;">
              <v:fill on="f" focussize="0,0"/>
              <v:stroke on="f"/>
              <v:imagedata o:title=""/>
              <o:lock v:ext="edit" aspectratio="f"/>
              <v:textbox inset="0mm,0mm,0mm,0mm" style="mso-fit-shape-to-text:t;">
                <w:txbxContent>
                  <w:p w14:paraId="027AEFA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借名购房中的多重法律关系丨</w:t>
                    </w:r>
                    <w:r>
                      <w:rPr>
                        <w:rFonts w:ascii="Times New Roman" w:hAnsi="Times New Roman" w:eastAsia="Times New Roman" w:cs="Times New Roman"/>
                        <w:b/>
                        <w:bCs/>
                        <w:color w:val="000000"/>
                        <w:spacing w:val="0"/>
                        <w:w w:val="100"/>
                        <w:position w:val="0"/>
                        <w:sz w:val="15"/>
                        <w:szCs w:val="15"/>
                      </w:rPr>
                      <w:t>387</w:t>
                    </w:r>
                  </w:p>
                </w:txbxContent>
              </v:textbox>
            </v:shape>
          </w:pict>
        </mc:Fallback>
      </mc:AlternateContent>
    </w: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041E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4428490</wp:posOffset>
              </wp:positionH>
              <wp:positionV relativeFrom="page">
                <wp:posOffset>520065</wp:posOffset>
              </wp:positionV>
              <wp:extent cx="1469390" cy="109855"/>
              <wp:effectExtent l="0" t="0" r="0" b="0"/>
              <wp:wrapNone/>
              <wp:docPr id="1055" name="Shape 1055"/>
              <wp:cNvGraphicFramePr/>
              <a:graphic xmlns:a="http://schemas.openxmlformats.org/drawingml/2006/main">
                <a:graphicData uri="http://schemas.microsoft.com/office/word/2010/wordprocessingShape">
                  <wps:wsp>
                    <wps:cNvSpPr txBox="1"/>
                    <wps:spPr>
                      <a:xfrm>
                        <a:off x="0" y="0"/>
                        <a:ext cx="1469390" cy="109855"/>
                      </a:xfrm>
                      <a:prstGeom prst="rect">
                        <a:avLst/>
                      </a:prstGeom>
                      <a:noFill/>
                    </wps:spPr>
                    <wps:txbx>
                      <w:txbxContent>
                        <w:p w14:paraId="300B963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借名购房中的多重法律关系丨</w:t>
                          </w:r>
                          <w:r>
                            <w:rPr>
                              <w:rFonts w:ascii="Times New Roman" w:hAnsi="Times New Roman" w:eastAsia="Times New Roman" w:cs="Times New Roman"/>
                              <w:b/>
                              <w:bCs/>
                              <w:color w:val="000000"/>
                              <w:spacing w:val="0"/>
                              <w:w w:val="100"/>
                              <w:position w:val="0"/>
                              <w:sz w:val="15"/>
                              <w:szCs w:val="15"/>
                            </w:rPr>
                            <w:t>387</w:t>
                          </w:r>
                        </w:p>
                      </w:txbxContent>
                    </wps:txbx>
                    <wps:bodyPr wrap="none" lIns="0" tIns="0" rIns="0" bIns="0">
                      <a:spAutoFit/>
                    </wps:bodyPr>
                  </wps:wsp>
                </a:graphicData>
              </a:graphic>
            </wp:anchor>
          </w:drawing>
        </mc:Choice>
        <mc:Fallback>
          <w:pict>
            <v:shape id="Shape 1055" o:spid="_x0000_s1026" o:spt="202" type="#_x0000_t202" style="position:absolute;left:0pt;margin-left:348.7pt;margin-top:40.95pt;height:8.65pt;width:115.7pt;mso-position-horizontal-relative:page;mso-position-vertical-relative:page;mso-wrap-style:none;z-index:-251657216;mso-width-relative:page;mso-height-relative:page;" filled="f" stroked="f" coordsize="21600,21600" o:gfxdata="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i3BtYA&#10;AAAJAQAADwAAAAAAAAABACAAAAAiAAAAZHJzL2Rvd25yZXYueG1sUEsBAhQAFAAAAAgAh07iQIKH&#10;M26vAQAAdgMAAA4AAAAAAAAAAQAgAAAAJQEAAGRycy9lMm9Eb2MueG1sUEsFBgAAAAAGAAYAWQEA&#10;AEYFAAAAAA==&#10;">
              <v:fill on="f" focussize="0,0"/>
              <v:stroke on="f"/>
              <v:imagedata o:title=""/>
              <o:lock v:ext="edit" aspectratio="f"/>
              <v:textbox inset="0mm,0mm,0mm,0mm" style="mso-fit-shape-to-text:t;">
                <w:txbxContent>
                  <w:p w14:paraId="300B963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借名购房中的多重法律关系丨</w:t>
                    </w:r>
                    <w:r>
                      <w:rPr>
                        <w:rFonts w:ascii="Times New Roman" w:hAnsi="Times New Roman" w:eastAsia="Times New Roman" w:cs="Times New Roman"/>
                        <w:b/>
                        <w:bCs/>
                        <w:color w:val="000000"/>
                        <w:spacing w:val="0"/>
                        <w:w w:val="100"/>
                        <w:position w:val="0"/>
                        <w:sz w:val="15"/>
                        <w:szCs w:val="15"/>
                      </w:rPr>
                      <w:t>387</w:t>
                    </w:r>
                  </w:p>
                </w:txbxContent>
              </v:textbox>
            </v:shape>
          </w:pict>
        </mc:Fallback>
      </mc:AlternateContent>
    </w: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85675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57" name="Shape 105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5423AF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5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BBf&#10;5hSwAQAAdQMAAA4AAAAAAAAAAQAgAAAAJAEAAGRycy9lMm9Eb2MueG1sUEsFBgAAAAAGAAYAWQEA&#10;AEYFAAAAAA==&#10;">
              <v:fill on="f" focussize="0,0"/>
              <v:stroke on="f"/>
              <v:imagedata o:title=""/>
              <o:lock v:ext="edit" aspectratio="f"/>
              <v:textbox inset="0mm,0mm,0mm,0mm" style="mso-fit-shape-to-text:t;">
                <w:txbxContent>
                  <w:p w14:paraId="75423AF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1CB8B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59" name="Shape 105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BAA32D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5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2DZT&#10;S68BAAB1AwAADgAAAAAAAAABACAAAAAkAQAAZHJzL2Uyb0RvYy54bWxQSwUGAAAAAAYABgBZAQAA&#10;RQUAAAAA&#10;">
              <v:fill on="f" focussize="0,0"/>
              <v:stroke on="f"/>
              <v:imagedata o:title=""/>
              <o:lock v:ext="edit" aspectratio="f"/>
              <v:textbox inset="0mm,0mm,0mm,0mm" style="mso-fit-shape-to-text:t;">
                <w:txbxContent>
                  <w:p w14:paraId="3BAA32D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FD05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4432300</wp:posOffset>
              </wp:positionH>
              <wp:positionV relativeFrom="page">
                <wp:posOffset>509905</wp:posOffset>
              </wp:positionV>
              <wp:extent cx="1470660" cy="111125"/>
              <wp:effectExtent l="0" t="0" r="0" b="0"/>
              <wp:wrapNone/>
              <wp:docPr id="1061" name="Shape 1061"/>
              <wp:cNvGraphicFramePr/>
              <a:graphic xmlns:a="http://schemas.openxmlformats.org/drawingml/2006/main">
                <a:graphicData uri="http://schemas.microsoft.com/office/word/2010/wordprocessingShape">
                  <wps:wsp>
                    <wps:cNvSpPr txBox="1"/>
                    <wps:spPr>
                      <a:xfrm>
                        <a:off x="0" y="0"/>
                        <a:ext cx="1470660" cy="111125"/>
                      </a:xfrm>
                      <a:prstGeom prst="rect">
                        <a:avLst/>
                      </a:prstGeom>
                      <a:noFill/>
                    </wps:spPr>
                    <wps:txbx>
                      <w:txbxContent>
                        <w:p w14:paraId="681B098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借名购房中的多重法律关系丨</w:t>
                          </w:r>
                          <w:r>
                            <w:rPr>
                              <w:rFonts w:ascii="Times New Roman" w:hAnsi="Times New Roman" w:eastAsia="Times New Roman" w:cs="Times New Roman"/>
                              <w:b/>
                              <w:bCs/>
                              <w:color w:val="000000"/>
                              <w:spacing w:val="0"/>
                              <w:w w:val="100"/>
                              <w:position w:val="0"/>
                              <w:sz w:val="15"/>
                              <w:szCs w:val="15"/>
                            </w:rPr>
                            <w:t>389</w:t>
                          </w:r>
                        </w:p>
                      </w:txbxContent>
                    </wps:txbx>
                    <wps:bodyPr wrap="none" lIns="0" tIns="0" rIns="0" bIns="0">
                      <a:spAutoFit/>
                    </wps:bodyPr>
                  </wps:wsp>
                </a:graphicData>
              </a:graphic>
            </wp:anchor>
          </w:drawing>
        </mc:Choice>
        <mc:Fallback>
          <w:pict>
            <v:shape id="Shape 1061" o:spid="_x0000_s1026" o:spt="202" type="#_x0000_t202" style="position:absolute;left:0pt;margin-left:349pt;margin-top:40.15pt;height:8.75pt;width:115.8pt;mso-position-horizontal-relative:page;mso-position-vertical-relative:page;mso-wrap-style:none;z-index:-251657216;mso-width-relative:page;mso-height-relative:page;" filled="f" stroked="f" coordsize="21600,21600" o:gfxdata="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OisnTWAAAA&#10;CQEAAA8AAAAAAAAAAQAgAAAAIgAAAGRycy9kb3ducmV2LnhtbFBLAQIUABQAAAAIAIdO4kBj1w1Y&#10;rQEAAHYDAAAOAAAAAAAAAAEAIAAAACUBAABkcnMvZTJvRG9jLnhtbFBLBQYAAAAABgAGAFkBAABE&#10;BQAAAAA=&#10;">
              <v:fill on="f" focussize="0,0"/>
              <v:stroke on="f"/>
              <v:imagedata o:title=""/>
              <o:lock v:ext="edit" aspectratio="f"/>
              <v:textbox inset="0mm,0mm,0mm,0mm" style="mso-fit-shape-to-text:t;">
                <w:txbxContent>
                  <w:p w14:paraId="681B098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借名购房中的多重法律关系丨</w:t>
                    </w:r>
                    <w:r>
                      <w:rPr>
                        <w:rFonts w:ascii="Times New Roman" w:hAnsi="Times New Roman" w:eastAsia="Times New Roman" w:cs="Times New Roman"/>
                        <w:b/>
                        <w:bCs/>
                        <w:color w:val="000000"/>
                        <w:spacing w:val="0"/>
                        <w:w w:val="100"/>
                        <w:position w:val="0"/>
                        <w:sz w:val="15"/>
                        <w:szCs w:val="15"/>
                      </w:rPr>
                      <w:t>389</w:t>
                    </w:r>
                  </w:p>
                </w:txbxContent>
              </v:textbox>
            </v:shape>
          </w:pict>
        </mc:Fallback>
      </mc:AlternateContent>
    </w: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21AC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4432300</wp:posOffset>
              </wp:positionH>
              <wp:positionV relativeFrom="page">
                <wp:posOffset>509905</wp:posOffset>
              </wp:positionV>
              <wp:extent cx="1470660" cy="111125"/>
              <wp:effectExtent l="0" t="0" r="0" b="0"/>
              <wp:wrapNone/>
              <wp:docPr id="1063" name="Shape 1063"/>
              <wp:cNvGraphicFramePr/>
              <a:graphic xmlns:a="http://schemas.openxmlformats.org/drawingml/2006/main">
                <a:graphicData uri="http://schemas.microsoft.com/office/word/2010/wordprocessingShape">
                  <wps:wsp>
                    <wps:cNvSpPr txBox="1"/>
                    <wps:spPr>
                      <a:xfrm>
                        <a:off x="0" y="0"/>
                        <a:ext cx="1470660" cy="111125"/>
                      </a:xfrm>
                      <a:prstGeom prst="rect">
                        <a:avLst/>
                      </a:prstGeom>
                      <a:noFill/>
                    </wps:spPr>
                    <wps:txbx>
                      <w:txbxContent>
                        <w:p w14:paraId="4531879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借名购房中的多重法律关系丨</w:t>
                          </w:r>
                          <w:r>
                            <w:rPr>
                              <w:rFonts w:ascii="Times New Roman" w:hAnsi="Times New Roman" w:eastAsia="Times New Roman" w:cs="Times New Roman"/>
                              <w:b/>
                              <w:bCs/>
                              <w:color w:val="000000"/>
                              <w:spacing w:val="0"/>
                              <w:w w:val="100"/>
                              <w:position w:val="0"/>
                              <w:sz w:val="15"/>
                              <w:szCs w:val="15"/>
                            </w:rPr>
                            <w:t>389</w:t>
                          </w:r>
                        </w:p>
                      </w:txbxContent>
                    </wps:txbx>
                    <wps:bodyPr wrap="none" lIns="0" tIns="0" rIns="0" bIns="0">
                      <a:spAutoFit/>
                    </wps:bodyPr>
                  </wps:wsp>
                </a:graphicData>
              </a:graphic>
            </wp:anchor>
          </w:drawing>
        </mc:Choice>
        <mc:Fallback>
          <w:pict>
            <v:shape id="Shape 1063" o:spid="_x0000_s1026" o:spt="202" type="#_x0000_t202" style="position:absolute;left:0pt;margin-left:349pt;margin-top:40.15pt;height:8.75pt;width:115.8pt;mso-position-horizontal-relative:page;mso-position-vertical-relative:page;mso-wrap-style:none;z-index:-251657216;mso-width-relative:page;mso-height-relative:page;" filled="f" stroked="f" coordsize="21600,21600" o:gfxdata="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TorJ01gAA&#10;AAkBAAAPAAAAAAAAAAEAIAAAACIAAABkcnMvZG93bnJldi54bWxQSwECFAAUAAAACACHTuJAwEfW&#10;464BAAB2AwAADgAAAAAAAAABACAAAAAlAQAAZHJzL2Uyb0RvYy54bWxQSwUGAAAAAAYABgBZAQAA&#10;RQUAAAAA&#10;">
              <v:fill on="f" focussize="0,0"/>
              <v:stroke on="f"/>
              <v:imagedata o:title=""/>
              <o:lock v:ext="edit" aspectratio="f"/>
              <v:textbox inset="0mm,0mm,0mm,0mm" style="mso-fit-shape-to-text:t;">
                <w:txbxContent>
                  <w:p w14:paraId="4531879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1"/>
                        <w:szCs w:val="11"/>
                      </w:rPr>
                      <w:t>借名购房中的多重法律关系丨</w:t>
                    </w:r>
                    <w:r>
                      <w:rPr>
                        <w:rFonts w:ascii="Times New Roman" w:hAnsi="Times New Roman" w:eastAsia="Times New Roman" w:cs="Times New Roman"/>
                        <w:b/>
                        <w:bCs/>
                        <w:color w:val="000000"/>
                        <w:spacing w:val="0"/>
                        <w:w w:val="100"/>
                        <w:position w:val="0"/>
                        <w:sz w:val="15"/>
                        <w:szCs w:val="15"/>
                      </w:rPr>
                      <w:t>389</w:t>
                    </w:r>
                  </w:p>
                </w:txbxContent>
              </v:textbox>
            </v:shape>
          </w:pict>
        </mc:Fallback>
      </mc:AlternateContent>
    </w: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4B731">
    <w:pPr>
      <w:widowControl w:val="0"/>
      <w:spacing w:line="1" w:lineRule="exact"/>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4207D">
    <w:pPr>
      <w:widowControl w:val="0"/>
      <w:spacing w:line="1" w:lineRule="exact"/>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C968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3472180</wp:posOffset>
              </wp:positionH>
              <wp:positionV relativeFrom="page">
                <wp:posOffset>514350</wp:posOffset>
              </wp:positionV>
              <wp:extent cx="2470150" cy="109855"/>
              <wp:effectExtent l="0" t="0" r="0" b="0"/>
              <wp:wrapNone/>
              <wp:docPr id="1071" name="Shape 1071"/>
              <wp:cNvGraphicFramePr/>
              <a:graphic xmlns:a="http://schemas.openxmlformats.org/drawingml/2006/main">
                <a:graphicData uri="http://schemas.microsoft.com/office/word/2010/wordprocessingShape">
                  <wps:wsp>
                    <wps:cNvSpPr txBox="1"/>
                    <wps:spPr>
                      <a:xfrm>
                        <a:off x="0" y="0"/>
                        <a:ext cx="2470150" cy="109855"/>
                      </a:xfrm>
                      <a:prstGeom prst="rect">
                        <a:avLst/>
                      </a:prstGeom>
                      <a:noFill/>
                    </wps:spPr>
                    <wps:txbx>
                      <w:txbxContent>
                        <w:p w14:paraId="4E866DC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分期付款买卖合同解除规则对股权转让的参照适用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71" o:spid="_x0000_s1026" o:spt="202" type="#_x0000_t202" style="position:absolute;left:0pt;margin-left:273.4pt;margin-top:40.5pt;height:8.65pt;width:194.5pt;mso-position-horizontal-relative:page;mso-position-vertical-relative:page;mso-wrap-style:none;z-index:-251657216;mso-width-relative:page;mso-height-relative:page;" filled="f" stroked="f" coordsize="21600,21600" o:gfxdata="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PJUR1QAA&#10;AAkBAAAPAAAAAAAAAAEAIAAAACIAAABkcnMvZG93bnJldi54bWxQSwECFAAUAAAACACHTuJAIIdf&#10;0a8BAAB2AwAADgAAAAAAAAABACAAAAAkAQAAZHJzL2Uyb0RvYy54bWxQSwUGAAAAAAYABgBZAQAA&#10;RQUAAAAA&#10;">
              <v:fill on="f" focussize="0,0"/>
              <v:stroke on="f"/>
              <v:imagedata o:title=""/>
              <o:lock v:ext="edit" aspectratio="f"/>
              <v:textbox inset="0mm,0mm,0mm,0mm" style="mso-fit-shape-to-text:t;">
                <w:txbxContent>
                  <w:p w14:paraId="4E866DC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分期付款买卖合同解除规则对股权转让的参照适用</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C50A1">
    <w:pPr>
      <w:widowControl w:val="0"/>
      <w:spacing w:line="1" w:lineRule="exact"/>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AD59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73" name="Shape 10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E05849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iI&#10;49WwAQAAdQMAAA4AAAAAAAAAAQAgAAAAJAEAAGRycy9lMm9Eb2MueG1sUEsFBgAAAAAGAAYAWQEA&#10;AEYFAAAAAA==&#10;">
              <v:fill on="f" focussize="0,0"/>
              <v:stroke on="f"/>
              <v:imagedata o:title=""/>
              <o:lock v:ext="edit" aspectratio="f"/>
              <v:textbox inset="0mm,0mm,0mm,0mm" style="mso-fit-shape-to-text:t;">
                <w:txbxContent>
                  <w:p w14:paraId="7E05849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96915">
    <w:pPr>
      <w:widowControl w:val="0"/>
      <w:spacing w:line="1" w:lineRule="exact"/>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78BE44">
    <w:pPr>
      <w:widowControl w:val="0"/>
      <w:spacing w:line="1" w:lineRule="exact"/>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5B53A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3967480</wp:posOffset>
              </wp:positionH>
              <wp:positionV relativeFrom="page">
                <wp:posOffset>506730</wp:posOffset>
              </wp:positionV>
              <wp:extent cx="1972310" cy="109855"/>
              <wp:effectExtent l="0" t="0" r="0" b="0"/>
              <wp:wrapNone/>
              <wp:docPr id="1081" name="Shape 1081"/>
              <wp:cNvGraphicFramePr/>
              <a:graphic xmlns:a="http://schemas.openxmlformats.org/drawingml/2006/main">
                <a:graphicData uri="http://schemas.microsoft.com/office/word/2010/wordprocessingShape">
                  <wps:wsp>
                    <wps:cNvSpPr txBox="1"/>
                    <wps:spPr>
                      <a:xfrm>
                        <a:off x="0" y="0"/>
                        <a:ext cx="1972310" cy="109855"/>
                      </a:xfrm>
                      <a:prstGeom prst="rect">
                        <a:avLst/>
                      </a:prstGeom>
                      <a:noFill/>
                    </wps:spPr>
                    <wps:txbx>
                      <w:txbxContent>
                        <w:p w14:paraId="1E2DD8A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股东与公司间股权回购协议的裁判路径</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81" o:spid="_x0000_s1026" o:spt="202" type="#_x0000_t202" style="position:absolute;left:0pt;margin-left:312.4pt;margin-top:39.9pt;height:8.65pt;width:155.3pt;mso-position-horizontal-relative:page;mso-position-vertical-relative:page;mso-wrap-style:none;z-index:-251657216;mso-width-relative:page;mso-height-relative:page;" filled="f" stroked="f" coordsize="21600,21600" o:gfxdata="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V+FBL1QAA&#10;AAkBAAAPAAAAAAAAAAEAIAAAACIAAABkcnMvZG93bnJldi54bWxQSwECFAAUAAAACACHTuJAjzhx&#10;kK8BAAB2AwAADgAAAAAAAAABACAAAAAkAQAAZHJzL2Uyb0RvYy54bWxQSwUGAAAAAAYABgBZAQAA&#10;RQUAAAAA&#10;">
              <v:fill on="f" focussize="0,0"/>
              <v:stroke on="f"/>
              <v:imagedata o:title=""/>
              <o:lock v:ext="edit" aspectratio="f"/>
              <v:textbox inset="0mm,0mm,0mm,0mm" style="mso-fit-shape-to-text:t;">
                <w:txbxContent>
                  <w:p w14:paraId="1E2DD8A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股东与公司间股权回购协议的裁判路径</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70300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083" name="Shape 108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FF9A3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08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AjxW&#10;8K8BAAB1AwAADgAAAAAAAAABACAAAAAkAQAAZHJzL2Uyb0RvYy54bWxQSwUGAAAAAAYABgBZAQAA&#10;RQUAAAAA&#10;">
              <v:fill on="f" focussize="0,0"/>
              <v:stroke on="f"/>
              <v:imagedata o:title=""/>
              <o:lock v:ext="edit" aspectratio="f"/>
              <v:textbox inset="0mm,0mm,0mm,0mm" style="mso-fit-shape-to-text:t;">
                <w:txbxContent>
                  <w:p w14:paraId="0FF9A38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E540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3968115</wp:posOffset>
              </wp:positionH>
              <wp:positionV relativeFrom="page">
                <wp:posOffset>506730</wp:posOffset>
              </wp:positionV>
              <wp:extent cx="1969135" cy="109855"/>
              <wp:effectExtent l="0" t="0" r="0" b="0"/>
              <wp:wrapNone/>
              <wp:docPr id="1089" name="Shape 1089"/>
              <wp:cNvGraphicFramePr/>
              <a:graphic xmlns:a="http://schemas.openxmlformats.org/drawingml/2006/main">
                <a:graphicData uri="http://schemas.microsoft.com/office/word/2010/wordprocessingShape">
                  <wps:wsp>
                    <wps:cNvSpPr txBox="1"/>
                    <wps:spPr>
                      <a:xfrm>
                        <a:off x="0" y="0"/>
                        <a:ext cx="1969135" cy="109855"/>
                      </a:xfrm>
                      <a:prstGeom prst="rect">
                        <a:avLst/>
                      </a:prstGeom>
                      <a:noFill/>
                    </wps:spPr>
                    <wps:txbx>
                      <w:txbxContent>
                        <w:p w14:paraId="41B8D6D5">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股东与公司间股权回购协议的裁判路径</w:t>
                          </w:r>
                          <w:r>
                            <w:rPr>
                              <w:color w:val="000000"/>
                              <w:spacing w:val="0"/>
                              <w:w w:val="100"/>
                              <w:position w:val="0"/>
                              <w:sz w:val="11"/>
                              <w:szCs w:val="11"/>
                            </w:rPr>
                            <w:t>丨</w:t>
                          </w:r>
                          <w:r>
                            <w:rPr>
                              <w:rFonts w:ascii="Times New Roman" w:hAnsi="Times New Roman" w:eastAsia="Times New Roman" w:cs="Times New Roman"/>
                              <w:color w:val="000000"/>
                              <w:spacing w:val="0"/>
                              <w:w w:val="100"/>
                              <w:position w:val="0"/>
                              <w:sz w:val="17"/>
                              <w:szCs w:val="17"/>
                            </w:rPr>
                            <w:t>399</w:t>
                          </w:r>
                        </w:p>
                      </w:txbxContent>
                    </wps:txbx>
                    <wps:bodyPr wrap="none" lIns="0" tIns="0" rIns="0" bIns="0">
                      <a:spAutoFit/>
                    </wps:bodyPr>
                  </wps:wsp>
                </a:graphicData>
              </a:graphic>
            </wp:anchor>
          </w:drawing>
        </mc:Choice>
        <mc:Fallback>
          <w:pict>
            <v:shape id="Shape 1089" o:spid="_x0000_s1026" o:spt="202" type="#_x0000_t202" style="position:absolute;left:0pt;margin-left:312.45pt;margin-top:39.9pt;height:8.65pt;width:155.05pt;mso-position-horizontal-relative:page;mso-position-vertical-relative:page;mso-wrap-style:none;z-index:-251657216;mso-width-relative:page;mso-height-relative:page;" filled="f" stroked="f" coordsize="21600,21600" o:gfxdata="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qs5ANYA&#10;AAAJAQAADwAAAAAAAAABACAAAAAiAAAAZHJzL2Rvd25yZXYueG1sUEsBAhQAFAAAAAgAh07iQKn3&#10;VxuvAQAAdgMAAA4AAAAAAAAAAQAgAAAAJQEAAGRycy9lMm9Eb2MueG1sUEsFBgAAAAAGAAYAWQEA&#10;AEYFAAAAAA==&#10;">
              <v:fill on="f" focussize="0,0"/>
              <v:stroke on="f"/>
              <v:imagedata o:title=""/>
              <o:lock v:ext="edit" aspectratio="f"/>
              <v:textbox inset="0mm,0mm,0mm,0mm" style="mso-fit-shape-to-text:t;">
                <w:txbxContent>
                  <w:p w14:paraId="41B8D6D5">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股东与公司间股权回购协议的裁判路径</w:t>
                    </w:r>
                    <w:r>
                      <w:rPr>
                        <w:color w:val="000000"/>
                        <w:spacing w:val="0"/>
                        <w:w w:val="100"/>
                        <w:position w:val="0"/>
                        <w:sz w:val="11"/>
                        <w:szCs w:val="11"/>
                      </w:rPr>
                      <w:t>丨</w:t>
                    </w:r>
                    <w:r>
                      <w:rPr>
                        <w:rFonts w:ascii="Times New Roman" w:hAnsi="Times New Roman" w:eastAsia="Times New Roman" w:cs="Times New Roman"/>
                        <w:color w:val="000000"/>
                        <w:spacing w:val="0"/>
                        <w:w w:val="100"/>
                        <w:position w:val="0"/>
                        <w:sz w:val="17"/>
                        <w:szCs w:val="17"/>
                      </w:rPr>
                      <w:t>399</w:t>
                    </w:r>
                  </w:p>
                </w:txbxContent>
              </v:textbox>
            </v:shape>
          </w:pict>
        </mc:Fallback>
      </mc:AlternateContent>
    </w: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61B98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3968115</wp:posOffset>
              </wp:positionH>
              <wp:positionV relativeFrom="page">
                <wp:posOffset>506730</wp:posOffset>
              </wp:positionV>
              <wp:extent cx="1969135" cy="109855"/>
              <wp:effectExtent l="0" t="0" r="0" b="0"/>
              <wp:wrapNone/>
              <wp:docPr id="1091" name="Shape 1091"/>
              <wp:cNvGraphicFramePr/>
              <a:graphic xmlns:a="http://schemas.openxmlformats.org/drawingml/2006/main">
                <a:graphicData uri="http://schemas.microsoft.com/office/word/2010/wordprocessingShape">
                  <wps:wsp>
                    <wps:cNvSpPr txBox="1"/>
                    <wps:spPr>
                      <a:xfrm>
                        <a:off x="0" y="0"/>
                        <a:ext cx="1969135" cy="109855"/>
                      </a:xfrm>
                      <a:prstGeom prst="rect">
                        <a:avLst/>
                      </a:prstGeom>
                      <a:noFill/>
                    </wps:spPr>
                    <wps:txbx>
                      <w:txbxContent>
                        <w:p w14:paraId="268A2025">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股东与公司间股权回购协议的裁判路径</w:t>
                          </w:r>
                          <w:r>
                            <w:rPr>
                              <w:color w:val="000000"/>
                              <w:spacing w:val="0"/>
                              <w:w w:val="100"/>
                              <w:position w:val="0"/>
                              <w:sz w:val="11"/>
                              <w:szCs w:val="11"/>
                            </w:rPr>
                            <w:t>丨</w:t>
                          </w:r>
                          <w:r>
                            <w:rPr>
                              <w:rFonts w:ascii="Times New Roman" w:hAnsi="Times New Roman" w:eastAsia="Times New Roman" w:cs="Times New Roman"/>
                              <w:color w:val="000000"/>
                              <w:spacing w:val="0"/>
                              <w:w w:val="100"/>
                              <w:position w:val="0"/>
                              <w:sz w:val="17"/>
                              <w:szCs w:val="17"/>
                            </w:rPr>
                            <w:t>399</w:t>
                          </w:r>
                        </w:p>
                      </w:txbxContent>
                    </wps:txbx>
                    <wps:bodyPr wrap="none" lIns="0" tIns="0" rIns="0" bIns="0">
                      <a:spAutoFit/>
                    </wps:bodyPr>
                  </wps:wsp>
                </a:graphicData>
              </a:graphic>
            </wp:anchor>
          </w:drawing>
        </mc:Choice>
        <mc:Fallback>
          <w:pict>
            <v:shape id="Shape 1091" o:spid="_x0000_s1026" o:spt="202" type="#_x0000_t202" style="position:absolute;left:0pt;margin-left:312.45pt;margin-top:39.9pt;height:8.65pt;width:155.05pt;mso-position-horizontal-relative:page;mso-position-vertical-relative:page;mso-wrap-style:none;z-index:-251657216;mso-width-relative:page;mso-height-relative:page;" filled="f" stroked="f" coordsize="21600,21600" o:gfxdata="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yqzkA1gAA&#10;AAkBAAAPAAAAAAAAAAEAIAAAACIAAABkcnMvZG93bnJldi54bWxQSwECFAAUAAAACACHTuJAB6sY&#10;vq4BAAB2AwAADgAAAAAAAAABACAAAAAlAQAAZHJzL2Uyb0RvYy54bWxQSwUGAAAAAAYABgBZAQAA&#10;RQUAAAAA&#10;">
              <v:fill on="f" focussize="0,0"/>
              <v:stroke on="f"/>
              <v:imagedata o:title=""/>
              <o:lock v:ext="edit" aspectratio="f"/>
              <v:textbox inset="0mm,0mm,0mm,0mm" style="mso-fit-shape-to-text:t;">
                <w:txbxContent>
                  <w:p w14:paraId="268A2025">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股东与公司间股权回购协议的裁判路径</w:t>
                    </w:r>
                    <w:r>
                      <w:rPr>
                        <w:color w:val="000000"/>
                        <w:spacing w:val="0"/>
                        <w:w w:val="100"/>
                        <w:position w:val="0"/>
                        <w:sz w:val="11"/>
                        <w:szCs w:val="11"/>
                      </w:rPr>
                      <w:t>丨</w:t>
                    </w:r>
                    <w:r>
                      <w:rPr>
                        <w:rFonts w:ascii="Times New Roman" w:hAnsi="Times New Roman" w:eastAsia="Times New Roman" w:cs="Times New Roman"/>
                        <w:color w:val="000000"/>
                        <w:spacing w:val="0"/>
                        <w:w w:val="100"/>
                        <w:position w:val="0"/>
                        <w:sz w:val="17"/>
                        <w:szCs w:val="17"/>
                      </w:rPr>
                      <w:t>399</w:t>
                    </w:r>
                  </w:p>
                </w:txbxContent>
              </v:textbox>
            </v:shape>
          </w:pict>
        </mc:Fallback>
      </mc:AlternateContent>
    </w: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F4E488">
    <w:pPr>
      <w:widowControl w:val="0"/>
      <w:spacing w:line="1" w:lineRule="exact"/>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5A1EB">
    <w:pPr>
      <w:widowControl w:val="0"/>
      <w:spacing w:line="1" w:lineRule="exact"/>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994AB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4580890</wp:posOffset>
              </wp:positionH>
              <wp:positionV relativeFrom="page">
                <wp:posOffset>517525</wp:posOffset>
              </wp:positionV>
              <wp:extent cx="1363980" cy="111125"/>
              <wp:effectExtent l="0" t="0" r="0" b="0"/>
              <wp:wrapNone/>
              <wp:docPr id="1099" name="Shape 1099"/>
              <wp:cNvGraphicFramePr/>
              <a:graphic xmlns:a="http://schemas.openxmlformats.org/drawingml/2006/main">
                <a:graphicData uri="http://schemas.microsoft.com/office/word/2010/wordprocessingShape">
                  <wps:wsp>
                    <wps:cNvSpPr txBox="1"/>
                    <wps:spPr>
                      <a:xfrm>
                        <a:off x="0" y="0"/>
                        <a:ext cx="1363980" cy="111125"/>
                      </a:xfrm>
                      <a:prstGeom prst="rect">
                        <a:avLst/>
                      </a:prstGeom>
                      <a:noFill/>
                    </wps:spPr>
                    <wps:txbx>
                      <w:txbxContent>
                        <w:p w14:paraId="5937656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独立担保索付欺诈的认定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099" o:spid="_x0000_s1026" o:spt="202" type="#_x0000_t202" style="position:absolute;left:0pt;margin-left:360.7pt;margin-top:40.75pt;height:8.75pt;width:107.4pt;mso-position-horizontal-relative:page;mso-position-vertical-relative:page;mso-wrap-style:none;z-index:-251657216;mso-width-relative:page;mso-height-relative:page;" filled="f" stroked="f" coordsize="21600,21600" o:gfxdata="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UmaQ1gAA&#10;AAkBAAAPAAAAAAAAAAEAIAAAACIAAABkcnMvZG93bnJldi54bWxQSwECFAAUAAAACACHTuJAhbpk&#10;v64BAAB2AwAADgAAAAAAAAABACAAAAAlAQAAZHJzL2Uyb0RvYy54bWxQSwUGAAAAAAYABgBZAQAA&#10;RQUAAAAA&#10;">
              <v:fill on="f" focussize="0,0"/>
              <v:stroke on="f"/>
              <v:imagedata o:title=""/>
              <o:lock v:ext="edit" aspectratio="f"/>
              <v:textbox inset="0mm,0mm,0mm,0mm" style="mso-fit-shape-to-text:t;">
                <w:txbxContent>
                  <w:p w14:paraId="5937656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独立担保索付欺诈的认定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28E7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3622040</wp:posOffset>
              </wp:positionH>
              <wp:positionV relativeFrom="page">
                <wp:posOffset>490855</wp:posOffset>
              </wp:positionV>
              <wp:extent cx="2264410" cy="111125"/>
              <wp:effectExtent l="0" t="0" r="0" b="0"/>
              <wp:wrapNone/>
              <wp:docPr id="97" name="Shape 97"/>
              <wp:cNvGraphicFramePr/>
              <a:graphic xmlns:a="http://schemas.openxmlformats.org/drawingml/2006/main">
                <a:graphicData uri="http://schemas.microsoft.com/office/word/2010/wordprocessingShape">
                  <wps:wsp>
                    <wps:cNvSpPr txBox="1"/>
                    <wps:spPr>
                      <a:xfrm>
                        <a:off x="0" y="0"/>
                        <a:ext cx="2264410" cy="111125"/>
                      </a:xfrm>
                      <a:prstGeom prst="rect">
                        <a:avLst/>
                      </a:prstGeom>
                      <a:noFill/>
                    </wps:spPr>
                    <wps:txbx>
                      <w:txbxContent>
                        <w:p w14:paraId="37638C5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限制民事行为能力人实施代理行为的默示追认</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97" o:spid="_x0000_s1026" o:spt="202" type="#_x0000_t202" style="position:absolute;left:0pt;margin-left:285.2pt;margin-top:38.65pt;height:8.75pt;width:178.3pt;mso-position-horizontal-relative:page;mso-position-vertical-relative:page;mso-wrap-style:none;z-index:-251657216;mso-width-relative:page;mso-height-relative:page;" filled="f" stroked="f" coordsize="21600,21600" o:gfxdata="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LBj9ZtUAAAAJ&#10;AQAADwAAAAAAAAABACAAAAAiAAAAZHJzL2Rvd25yZXYueG1sUEsBAhQAFAAAAAgAh07iQCK1qH2t&#10;AQAAcgMAAA4AAAAAAAAAAQAgAAAAJAEAAGRycy9lMm9Eb2MueG1sUEsFBgAAAAAGAAYAWQEAAEMF&#10;AAAAAA==&#10;">
              <v:fill on="f" focussize="0,0"/>
              <v:stroke on="f"/>
              <v:imagedata o:title=""/>
              <o:lock v:ext="edit" aspectratio="f"/>
              <v:textbox inset="0mm,0mm,0mm,0mm" style="mso-fit-shape-to-text:t;">
                <w:txbxContent>
                  <w:p w14:paraId="37638C5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限制民事行为能力人实施代理行为的默示追认</w:t>
                    </w:r>
                    <w:r>
                      <w:rPr>
                        <w:rFonts w:ascii="Times New Roman" w:hAnsi="Times New Roman" w:eastAsia="Times New Roman" w:cs="Times New Roman"/>
                        <w:b/>
                        <w:bCs/>
                        <w:color w:val="000000"/>
                        <w:spacing w:val="0"/>
                        <w:w w:val="100"/>
                        <w:position w:val="0"/>
                        <w:sz w:val="15"/>
                        <w:szCs w:val="15"/>
                      </w:rPr>
                      <w:t>|</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7A878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01" name="Shape 110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ECB7E2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0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GcDO&#10;ha8BAAB1AwAADgAAAAAAAAABACAAAAAkAQAAZHJzL2Uyb0RvYy54bWxQSwUGAAAAAAYABgBZAQAA&#10;RQUAAAAA&#10;">
              <v:fill on="f" focussize="0,0"/>
              <v:stroke on="f"/>
              <v:imagedata o:title=""/>
              <o:lock v:ext="edit" aspectratio="f"/>
              <v:textbox inset="0mm,0mm,0mm,0mm" style="mso-fit-shape-to-text:t;">
                <w:txbxContent>
                  <w:p w14:paraId="4ECB7E2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CA0B11">
    <w:pPr>
      <w:widowControl w:val="0"/>
      <w:spacing w:line="1" w:lineRule="exact"/>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572498">
    <w:pPr>
      <w:widowControl w:val="0"/>
      <w:spacing w:line="1" w:lineRule="exact"/>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46347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4018915</wp:posOffset>
              </wp:positionH>
              <wp:positionV relativeFrom="page">
                <wp:posOffset>523875</wp:posOffset>
              </wp:positionV>
              <wp:extent cx="1873250" cy="111125"/>
              <wp:effectExtent l="0" t="0" r="0" b="0"/>
              <wp:wrapNone/>
              <wp:docPr id="1109" name="Shape 1109"/>
              <wp:cNvGraphicFramePr/>
              <a:graphic xmlns:a="http://schemas.openxmlformats.org/drawingml/2006/main">
                <a:graphicData uri="http://schemas.microsoft.com/office/word/2010/wordprocessingShape">
                  <wps:wsp>
                    <wps:cNvSpPr txBox="1"/>
                    <wps:spPr>
                      <a:xfrm>
                        <a:off x="0" y="0"/>
                        <a:ext cx="1873250" cy="111125"/>
                      </a:xfrm>
                      <a:prstGeom prst="rect">
                        <a:avLst/>
                      </a:prstGeom>
                      <a:noFill/>
                    </wps:spPr>
                    <wps:txbx>
                      <w:txbxContent>
                        <w:p w14:paraId="14E8E3B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基础合同真实性与保理人权利的实现丨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109" o:spid="_x0000_s1026" o:spt="202" type="#_x0000_t202" style="position:absolute;left:0pt;margin-left:316.45pt;margin-top:41.25pt;height:8.75pt;width:147.5pt;mso-position-horizontal-relative:page;mso-position-vertical-relative:page;mso-wrap-style:none;z-index:-251657216;mso-width-relative:page;mso-height-relative:page;" filled="f" stroked="f" coordsize="21600,21600" o:gfxdata="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PZkGsLVAAAA&#10;CgEAAA8AAAAAAAAAAQAgAAAAIgAAAGRycy9kb3ducmV2LnhtbFBLAQIUABQAAAAIAIdO4kDjHTf+&#10;rgEAAHYDAAAOAAAAAAAAAAEAIAAAACQBAABkcnMvZTJvRG9jLnhtbFBLBQYAAAAABgAGAFkBAABE&#10;BQAAAAA=&#10;">
              <v:fill on="f" focussize="0,0"/>
              <v:stroke on="f"/>
              <v:imagedata o:title=""/>
              <o:lock v:ext="edit" aspectratio="f"/>
              <v:textbox inset="0mm,0mm,0mm,0mm" style="mso-fit-shape-to-text:t;">
                <w:txbxContent>
                  <w:p w14:paraId="14E8E3B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基础合同真实性与保理人权利的实现丨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5D402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11" name="Shape 111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32E0F1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1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Boi5s1&#10;rgEAAHUDAAAOAAAAAAAAAAEAIAAAACQBAABkcnMvZTJvRG9jLnhtbFBLBQYAAAAABgAGAFkBAABE&#10;BQAAAAA=&#10;">
              <v:fill on="f" focussize="0,0"/>
              <v:stroke on="f"/>
              <v:imagedata o:title=""/>
              <o:lock v:ext="edit" aspectratio="f"/>
              <v:textbox inset="0mm,0mm,0mm,0mm" style="mso-fit-shape-to-text:t;">
                <w:txbxContent>
                  <w:p w14:paraId="032E0F1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F58B10">
    <w:pPr>
      <w:widowControl w:val="0"/>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4D851">
    <w:pPr>
      <w:widowControl w:val="0"/>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EE94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3679825</wp:posOffset>
              </wp:positionH>
              <wp:positionV relativeFrom="page">
                <wp:posOffset>532130</wp:posOffset>
              </wp:positionV>
              <wp:extent cx="2174875" cy="111125"/>
              <wp:effectExtent l="0" t="0" r="0" b="0"/>
              <wp:wrapNone/>
              <wp:docPr id="1119" name="Shape 1119"/>
              <wp:cNvGraphicFramePr/>
              <a:graphic xmlns:a="http://schemas.openxmlformats.org/drawingml/2006/main">
                <a:graphicData uri="http://schemas.microsoft.com/office/word/2010/wordprocessingShape">
                  <wps:wsp>
                    <wps:cNvSpPr txBox="1"/>
                    <wps:spPr>
                      <a:xfrm>
                        <a:off x="0" y="0"/>
                        <a:ext cx="2174875" cy="111125"/>
                      </a:xfrm>
                      <a:prstGeom prst="rect">
                        <a:avLst/>
                      </a:prstGeom>
                      <a:noFill/>
                    </wps:spPr>
                    <wps:txbx>
                      <w:txbxContent>
                        <w:p w14:paraId="60D9DA7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定作人任意解除权的行使与赔偿范围之认定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119" o:spid="_x0000_s1026" o:spt="202" type="#_x0000_t202" style="position:absolute;left:0pt;margin-left:289.75pt;margin-top:41.9pt;height:8.75pt;width:171.25pt;mso-position-horizontal-relative:page;mso-position-vertical-relative:page;mso-wrap-style:none;z-index:-251657216;mso-width-relative:page;mso-height-relative:page;" filled="f" stroked="f" coordsize="21600,21600" o:gfxdata="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5LjNYA&#10;AAAKAQAADwAAAAAAAAABACAAAAAiAAAAZHJzL2Rvd25yZXYueG1sUEsBAhQAFAAAAAgAh07iQBCA&#10;IGuvAQAAdgMAAA4AAAAAAAAAAQAgAAAAJQEAAGRycy9lMm9Eb2MueG1sUEsFBgAAAAAGAAYAWQEA&#10;AEYFAAAAAA==&#10;">
              <v:fill on="f" focussize="0,0"/>
              <v:stroke on="f"/>
              <v:imagedata o:title=""/>
              <o:lock v:ext="edit" aspectratio="f"/>
              <v:textbox inset="0mm,0mm,0mm,0mm" style="mso-fit-shape-to-text:t;">
                <w:txbxContent>
                  <w:p w14:paraId="60D9DA7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定作人任意解除权的行使与赔偿范围之认定</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E5A0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21" name="Shape 112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FE6CA2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2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ulAV&#10;Pq8BAAB1AwAADgAAAAAAAAABACAAAAAkAQAAZHJzL2Uyb0RvYy54bWxQSwUGAAAAAAYABgBZAQAA&#10;RQUAAAAA&#10;">
              <v:fill on="f" focussize="0,0"/>
              <v:stroke on="f"/>
              <v:imagedata o:title=""/>
              <o:lock v:ext="edit" aspectratio="f"/>
              <v:textbox inset="0mm,0mm,0mm,0mm" style="mso-fit-shape-to-text:t;">
                <w:txbxContent>
                  <w:p w14:paraId="2FE6CA2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46C527">
    <w:pPr>
      <w:widowControl w:val="0"/>
      <w:spacing w:line="1" w:lineRule="exact"/>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8DB0B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99" name="Shape 9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1E07D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9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MA+&#10;Qa8BAABxAwAADgAAAAAAAAABACAAAAAkAQAAZHJzL2Uyb0RvYy54bWxQSwUGAAAAAAYABgBZAQAA&#10;RQUAAAAA&#10;">
              <v:fill on="f" focussize="0,0"/>
              <v:stroke on="f"/>
              <v:imagedata o:title=""/>
              <o:lock v:ext="edit" aspectratio="f"/>
              <v:textbox inset="0mm,0mm,0mm,0mm" style="mso-fit-shape-to-text:t;">
                <w:txbxContent>
                  <w:p w14:paraId="21E07D2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484EE">
    <w:pPr>
      <w:widowControl w:val="0"/>
      <w:spacing w:line="1" w:lineRule="exact"/>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C772E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4123690</wp:posOffset>
              </wp:positionH>
              <wp:positionV relativeFrom="page">
                <wp:posOffset>492760</wp:posOffset>
              </wp:positionV>
              <wp:extent cx="1772285" cy="111125"/>
              <wp:effectExtent l="0" t="0" r="0" b="0"/>
              <wp:wrapNone/>
              <wp:docPr id="1129" name="Shape 1129"/>
              <wp:cNvGraphicFramePr/>
              <a:graphic xmlns:a="http://schemas.openxmlformats.org/drawingml/2006/main">
                <a:graphicData uri="http://schemas.microsoft.com/office/word/2010/wordprocessingShape">
                  <wps:wsp>
                    <wps:cNvSpPr txBox="1"/>
                    <wps:spPr>
                      <a:xfrm>
                        <a:off x="0" y="0"/>
                        <a:ext cx="1772285" cy="111125"/>
                      </a:xfrm>
                      <a:prstGeom prst="rect">
                        <a:avLst/>
                      </a:prstGeom>
                      <a:noFill/>
                    </wps:spPr>
                    <wps:txbx>
                      <w:txbxContent>
                        <w:p w14:paraId="4BE8E0A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129" o:spid="_x0000_s1026" o:spt="202" type="#_x0000_t202" style="position:absolute;left:0pt;margin-left:324.7pt;margin-top:38.8pt;height:8.75pt;width:139.55pt;mso-position-horizontal-relative:page;mso-position-vertical-relative:page;mso-wrap-style:none;z-index:-251657216;mso-width-relative:page;mso-height-relative:page;" filled="f" stroked="f" coordsize="21600,21600" o:gfxdata="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7kTPy1gAA&#10;AAkBAAAPAAAAAAAAAAEAIAAAACIAAABkcnMvZG93bnJldi54bWxQSwECFAAUAAAACACHTuJAZvIj&#10;fK4BAAB2AwAADgAAAAAAAAABACAAAAAlAQAAZHJzL2Uyb0RvYy54bWxQSwUGAAAAAAYABgBZAQAA&#10;RQUAAAAA&#10;">
              <v:fill on="f" focussize="0,0"/>
              <v:stroke on="f"/>
              <v:imagedata o:title=""/>
              <o:lock v:ext="edit" aspectratio="f"/>
              <v:textbox inset="0mm,0mm,0mm,0mm" style="mso-fit-shape-to-text:t;">
                <w:txbxContent>
                  <w:p w14:paraId="4BE8E0A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306B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31" name="Shape 113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37479B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3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yxtA&#10;jq8BAAB1AwAADgAAAAAAAAABACAAAAAkAQAAZHJzL2Uyb0RvYy54bWxQSwUGAAAAAAYABgBZAQAA&#10;RQUAAAAA&#10;">
              <v:fill on="f" focussize="0,0"/>
              <v:stroke on="f"/>
              <v:imagedata o:title=""/>
              <o:lock v:ext="edit" aspectratio="f"/>
              <v:textbox inset="0mm,0mm,0mm,0mm" style="mso-fit-shape-to-text:t;">
                <w:txbxContent>
                  <w:p w14:paraId="537479B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734A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4121150</wp:posOffset>
              </wp:positionH>
              <wp:positionV relativeFrom="page">
                <wp:posOffset>518795</wp:posOffset>
              </wp:positionV>
              <wp:extent cx="1774190" cy="109855"/>
              <wp:effectExtent l="0" t="0" r="0" b="0"/>
              <wp:wrapNone/>
              <wp:docPr id="1133" name="Shape 1133"/>
              <wp:cNvGraphicFramePr/>
              <a:graphic xmlns:a="http://schemas.openxmlformats.org/drawingml/2006/main">
                <a:graphicData uri="http://schemas.microsoft.com/office/word/2010/wordprocessingShape">
                  <wps:wsp>
                    <wps:cNvSpPr txBox="1"/>
                    <wps:spPr>
                      <a:xfrm>
                        <a:off x="0" y="0"/>
                        <a:ext cx="1774190" cy="109855"/>
                      </a:xfrm>
                      <a:prstGeom prst="rect">
                        <a:avLst/>
                      </a:prstGeom>
                      <a:noFill/>
                    </wps:spPr>
                    <wps:txbx>
                      <w:txbxContent>
                        <w:p w14:paraId="7CC005E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借用资质承揽建设工程的法律责任丨</w:t>
                          </w:r>
                          <w:r>
                            <w:rPr>
                              <w:rFonts w:ascii="Times New Roman" w:hAnsi="Times New Roman" w:eastAsia="Times New Roman" w:cs="Times New Roman"/>
                              <w:b/>
                              <w:bCs/>
                              <w:color w:val="000000"/>
                              <w:spacing w:val="0"/>
                              <w:w w:val="100"/>
                              <w:position w:val="0"/>
                              <w:sz w:val="15"/>
                              <w:szCs w:val="15"/>
                            </w:rPr>
                            <w:t>419</w:t>
                          </w:r>
                        </w:p>
                      </w:txbxContent>
                    </wps:txbx>
                    <wps:bodyPr wrap="none" lIns="0" tIns="0" rIns="0" bIns="0">
                      <a:spAutoFit/>
                    </wps:bodyPr>
                  </wps:wsp>
                </a:graphicData>
              </a:graphic>
            </wp:anchor>
          </w:drawing>
        </mc:Choice>
        <mc:Fallback>
          <w:pict>
            <v:shape id="Shape 1133" o:spid="_x0000_s1026" o:spt="202" type="#_x0000_t202" style="position:absolute;left:0pt;margin-left:324.5pt;margin-top:40.85pt;height:8.65pt;width:139.7pt;mso-position-horizontal-relative:page;mso-position-vertical-relative:page;mso-wrap-style:none;z-index:-251657216;mso-width-relative:page;mso-height-relative:page;" filled="f" stroked="f" coordsize="21600,21600" o:gfxdata="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ntAsNUA&#10;AAAJAQAADwAAAAAAAAABACAAAAAiAAAAZHJzL2Rvd25yZXYueG1sUEsBAhQAFAAAAAgAh07iQDEV&#10;EG+wAQAAdgMAAA4AAAAAAAAAAQAgAAAAJAEAAGRycy9lMm9Eb2MueG1sUEsFBgAAAAAGAAYAWQEA&#10;AEYFAAAAAA==&#10;">
              <v:fill on="f" focussize="0,0"/>
              <v:stroke on="f"/>
              <v:imagedata o:title=""/>
              <o:lock v:ext="edit" aspectratio="f"/>
              <v:textbox inset="0mm,0mm,0mm,0mm" style="mso-fit-shape-to-text:t;">
                <w:txbxContent>
                  <w:p w14:paraId="7CC005EC">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借用资质承揽建设工程的法律责任丨</w:t>
                    </w:r>
                    <w:r>
                      <w:rPr>
                        <w:rFonts w:ascii="Times New Roman" w:hAnsi="Times New Roman" w:eastAsia="Times New Roman" w:cs="Times New Roman"/>
                        <w:b/>
                        <w:bCs/>
                        <w:color w:val="000000"/>
                        <w:spacing w:val="0"/>
                        <w:w w:val="100"/>
                        <w:position w:val="0"/>
                        <w:sz w:val="15"/>
                        <w:szCs w:val="15"/>
                      </w:rPr>
                      <w:t>419</w:t>
                    </w:r>
                  </w:p>
                </w:txbxContent>
              </v:textbox>
            </v:shape>
          </w:pict>
        </mc:Fallback>
      </mc:AlternateContent>
    </w: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365C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4121150</wp:posOffset>
              </wp:positionH>
              <wp:positionV relativeFrom="page">
                <wp:posOffset>518795</wp:posOffset>
              </wp:positionV>
              <wp:extent cx="1774190" cy="109855"/>
              <wp:effectExtent l="0" t="0" r="0" b="0"/>
              <wp:wrapNone/>
              <wp:docPr id="1135" name="Shape 1135"/>
              <wp:cNvGraphicFramePr/>
              <a:graphic xmlns:a="http://schemas.openxmlformats.org/drawingml/2006/main">
                <a:graphicData uri="http://schemas.microsoft.com/office/word/2010/wordprocessingShape">
                  <wps:wsp>
                    <wps:cNvSpPr txBox="1"/>
                    <wps:spPr>
                      <a:xfrm>
                        <a:off x="0" y="0"/>
                        <a:ext cx="1774190" cy="109855"/>
                      </a:xfrm>
                      <a:prstGeom prst="rect">
                        <a:avLst/>
                      </a:prstGeom>
                      <a:noFill/>
                    </wps:spPr>
                    <wps:txbx>
                      <w:txbxContent>
                        <w:p w14:paraId="3B21761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借用资质承揽建设工程的法律责任丨</w:t>
                          </w:r>
                          <w:r>
                            <w:rPr>
                              <w:rFonts w:ascii="Times New Roman" w:hAnsi="Times New Roman" w:eastAsia="Times New Roman" w:cs="Times New Roman"/>
                              <w:b/>
                              <w:bCs/>
                              <w:color w:val="000000"/>
                              <w:spacing w:val="0"/>
                              <w:w w:val="100"/>
                              <w:position w:val="0"/>
                              <w:sz w:val="15"/>
                              <w:szCs w:val="15"/>
                            </w:rPr>
                            <w:t>419</w:t>
                          </w:r>
                        </w:p>
                      </w:txbxContent>
                    </wps:txbx>
                    <wps:bodyPr wrap="none" lIns="0" tIns="0" rIns="0" bIns="0">
                      <a:spAutoFit/>
                    </wps:bodyPr>
                  </wps:wsp>
                </a:graphicData>
              </a:graphic>
            </wp:anchor>
          </w:drawing>
        </mc:Choice>
        <mc:Fallback>
          <w:pict>
            <v:shape id="Shape 1135" o:spid="_x0000_s1026" o:spt="202" type="#_x0000_t202" style="position:absolute;left:0pt;margin-left:324.5pt;margin-top:40.85pt;height:8.65pt;width:139.7pt;mso-position-horizontal-relative:page;mso-position-vertical-relative:page;mso-wrap-style:none;z-index:-251657216;mso-width-relative:page;mso-height-relative:page;" filled="f" stroked="f" coordsize="21600,21600" o:gfxdata="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ue0Cw1QAA&#10;AAkBAAAPAAAAAAAAAAEAIAAAACIAAABkcnMvZG93bnJldi54bWxQSwECFAAUAAAACACHTuJAlaIN&#10;eK8BAAB2AwAADgAAAAAAAAABACAAAAAkAQAAZHJzL2Uyb0RvYy54bWxQSwUGAAAAAAYABgBZAQAA&#10;RQUAAAAA&#10;">
              <v:fill on="f" focussize="0,0"/>
              <v:stroke on="f"/>
              <v:imagedata o:title=""/>
              <o:lock v:ext="edit" aspectratio="f"/>
              <v:textbox inset="0mm,0mm,0mm,0mm" style="mso-fit-shape-to-text:t;">
                <w:txbxContent>
                  <w:p w14:paraId="3B21761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借用资质承揽建设工程的法律责任丨</w:t>
                    </w:r>
                    <w:r>
                      <w:rPr>
                        <w:rFonts w:ascii="Times New Roman" w:hAnsi="Times New Roman" w:eastAsia="Times New Roman" w:cs="Times New Roman"/>
                        <w:b/>
                        <w:bCs/>
                        <w:color w:val="000000"/>
                        <w:spacing w:val="0"/>
                        <w:w w:val="100"/>
                        <w:position w:val="0"/>
                        <w:sz w:val="15"/>
                        <w:szCs w:val="15"/>
                      </w:rPr>
                      <w:t>419</w:t>
                    </w:r>
                  </w:p>
                </w:txbxContent>
              </v:textbox>
            </v:shape>
          </w:pict>
        </mc:Fallback>
      </mc:AlternateContent>
    </w: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88D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4263390</wp:posOffset>
              </wp:positionH>
              <wp:positionV relativeFrom="page">
                <wp:posOffset>520700</wp:posOffset>
              </wp:positionV>
              <wp:extent cx="1667510" cy="109855"/>
              <wp:effectExtent l="0" t="0" r="0" b="0"/>
              <wp:wrapNone/>
              <wp:docPr id="1143" name="Shape 1143"/>
              <wp:cNvGraphicFramePr/>
              <a:graphic xmlns:a="http://schemas.openxmlformats.org/drawingml/2006/main">
                <a:graphicData uri="http://schemas.microsoft.com/office/word/2010/wordprocessingShape">
                  <wps:wsp>
                    <wps:cNvSpPr txBox="1"/>
                    <wps:spPr>
                      <a:xfrm>
                        <a:off x="0" y="0"/>
                        <a:ext cx="1667510" cy="109855"/>
                      </a:xfrm>
                      <a:prstGeom prst="rect">
                        <a:avLst/>
                      </a:prstGeom>
                      <a:noFill/>
                    </wps:spPr>
                    <wps:txbx>
                      <w:txbxContent>
                        <w:p w14:paraId="6CFB58D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货运代理转委托行为的效力规则丨</w:t>
                          </w:r>
                          <w:r>
                            <w:rPr>
                              <w:rFonts w:ascii="Times New Roman" w:hAnsi="Times New Roman" w:eastAsia="Times New Roman" w:cs="Times New Roman"/>
                              <w:b/>
                              <w:bCs/>
                              <w:color w:val="000000"/>
                              <w:spacing w:val="0"/>
                              <w:w w:val="100"/>
                              <w:position w:val="0"/>
                              <w:sz w:val="15"/>
                              <w:szCs w:val="15"/>
                            </w:rPr>
                            <w:t>421</w:t>
                          </w:r>
                        </w:p>
                      </w:txbxContent>
                    </wps:txbx>
                    <wps:bodyPr wrap="none" lIns="0" tIns="0" rIns="0" bIns="0">
                      <a:spAutoFit/>
                    </wps:bodyPr>
                  </wps:wsp>
                </a:graphicData>
              </a:graphic>
            </wp:anchor>
          </w:drawing>
        </mc:Choice>
        <mc:Fallback>
          <w:pict>
            <v:shape id="Shape 1143" o:spid="_x0000_s1026" o:spt="202" type="#_x0000_t202" style="position:absolute;left:0pt;margin-left:335.7pt;margin-top:41pt;height:8.65pt;width:131.3pt;mso-position-horizontal-relative:page;mso-position-vertical-relative:page;mso-wrap-style:none;z-index:-251657216;mso-width-relative:page;mso-height-relative:page;" filled="f" stroked="f" coordsize="21600,21600" o:gfxdata="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VPlKNYA&#10;AAAJAQAADwAAAAAAAAABACAAAAAiAAAAZHJzL2Rvd25yZXYueG1sUEsBAhQAFAAAAAgAh07iQHdL&#10;JnevAQAAdgMAAA4AAAAAAAAAAQAgAAAAJQEAAGRycy9lMm9Eb2MueG1sUEsFBgAAAAAGAAYAWQEA&#10;AEYFAAAAAA==&#10;">
              <v:fill on="f" focussize="0,0"/>
              <v:stroke on="f"/>
              <v:imagedata o:title=""/>
              <o:lock v:ext="edit" aspectratio="f"/>
              <v:textbox inset="0mm,0mm,0mm,0mm" style="mso-fit-shape-to-text:t;">
                <w:txbxContent>
                  <w:p w14:paraId="6CFB58D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货运代理转委托行为的效力规则丨</w:t>
                    </w:r>
                    <w:r>
                      <w:rPr>
                        <w:rFonts w:ascii="Times New Roman" w:hAnsi="Times New Roman" w:eastAsia="Times New Roman" w:cs="Times New Roman"/>
                        <w:b/>
                        <w:bCs/>
                        <w:color w:val="000000"/>
                        <w:spacing w:val="0"/>
                        <w:w w:val="100"/>
                        <w:position w:val="0"/>
                        <w:sz w:val="15"/>
                        <w:szCs w:val="15"/>
                      </w:rPr>
                      <w:t>421</w:t>
                    </w:r>
                  </w:p>
                </w:txbxContent>
              </v:textbox>
            </v:shape>
          </w:pict>
        </mc:Fallback>
      </mc:AlternateContent>
    </w: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F546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4263390</wp:posOffset>
              </wp:positionH>
              <wp:positionV relativeFrom="page">
                <wp:posOffset>520700</wp:posOffset>
              </wp:positionV>
              <wp:extent cx="1667510" cy="109855"/>
              <wp:effectExtent l="0" t="0" r="0" b="0"/>
              <wp:wrapNone/>
              <wp:docPr id="1145" name="Shape 1145"/>
              <wp:cNvGraphicFramePr/>
              <a:graphic xmlns:a="http://schemas.openxmlformats.org/drawingml/2006/main">
                <a:graphicData uri="http://schemas.microsoft.com/office/word/2010/wordprocessingShape">
                  <wps:wsp>
                    <wps:cNvSpPr txBox="1"/>
                    <wps:spPr>
                      <a:xfrm>
                        <a:off x="0" y="0"/>
                        <a:ext cx="1667510" cy="109855"/>
                      </a:xfrm>
                      <a:prstGeom prst="rect">
                        <a:avLst/>
                      </a:prstGeom>
                      <a:noFill/>
                    </wps:spPr>
                    <wps:txbx>
                      <w:txbxContent>
                        <w:p w14:paraId="65229B5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货运代理转委托行为的效力规则丨</w:t>
                          </w:r>
                          <w:r>
                            <w:rPr>
                              <w:rFonts w:ascii="Times New Roman" w:hAnsi="Times New Roman" w:eastAsia="Times New Roman" w:cs="Times New Roman"/>
                              <w:b/>
                              <w:bCs/>
                              <w:color w:val="000000"/>
                              <w:spacing w:val="0"/>
                              <w:w w:val="100"/>
                              <w:position w:val="0"/>
                              <w:sz w:val="15"/>
                              <w:szCs w:val="15"/>
                            </w:rPr>
                            <w:t>421</w:t>
                          </w:r>
                        </w:p>
                      </w:txbxContent>
                    </wps:txbx>
                    <wps:bodyPr wrap="none" lIns="0" tIns="0" rIns="0" bIns="0">
                      <a:spAutoFit/>
                    </wps:bodyPr>
                  </wps:wsp>
                </a:graphicData>
              </a:graphic>
            </wp:anchor>
          </w:drawing>
        </mc:Choice>
        <mc:Fallback>
          <w:pict>
            <v:shape id="Shape 1145" o:spid="_x0000_s1026" o:spt="202" type="#_x0000_t202" style="position:absolute;left:0pt;margin-left:335.7pt;margin-top:41pt;height:8.65pt;width:131.3pt;mso-position-horizontal-relative:page;mso-position-vertical-relative:page;mso-wrap-style:none;z-index:-251657216;mso-width-relative:page;mso-height-relative:page;" filled="f" stroked="f" coordsize="21600,21600" o:gfxdata="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qVPlKNYA&#10;AAAJAQAADwAAAAAAAAABACAAAAAiAAAAZHJzL2Rvd25yZXYueG1sUEsBAhQAFAAAAAgAh07iQNP8&#10;O2CvAQAAdgMAAA4AAAAAAAAAAQAgAAAAJQEAAGRycy9lMm9Eb2MueG1sUEsFBgAAAAAGAAYAWQEA&#10;AEYFAAAAAA==&#10;">
              <v:fill on="f" focussize="0,0"/>
              <v:stroke on="f"/>
              <v:imagedata o:title=""/>
              <o:lock v:ext="edit" aspectratio="f"/>
              <v:textbox inset="0mm,0mm,0mm,0mm" style="mso-fit-shape-to-text:t;">
                <w:txbxContent>
                  <w:p w14:paraId="65229B5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货运代理转委托行为的效力规则丨</w:t>
                    </w:r>
                    <w:r>
                      <w:rPr>
                        <w:rFonts w:ascii="Times New Roman" w:hAnsi="Times New Roman" w:eastAsia="Times New Roman" w:cs="Times New Roman"/>
                        <w:b/>
                        <w:bCs/>
                        <w:color w:val="000000"/>
                        <w:spacing w:val="0"/>
                        <w:w w:val="100"/>
                        <w:position w:val="0"/>
                        <w:sz w:val="15"/>
                        <w:szCs w:val="15"/>
                      </w:rPr>
                      <w:t>421</w:t>
                    </w:r>
                  </w:p>
                </w:txbxContent>
              </v:textbox>
            </v:shape>
          </w:pict>
        </mc:Fallback>
      </mc:AlternateContent>
    </w: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113EF">
    <w:pPr>
      <w:widowControl w:val="0"/>
      <w:spacing w:line="1" w:lineRule="exact"/>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47843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4259580</wp:posOffset>
              </wp:positionH>
              <wp:positionV relativeFrom="page">
                <wp:posOffset>518795</wp:posOffset>
              </wp:positionV>
              <wp:extent cx="1668780" cy="111125"/>
              <wp:effectExtent l="0" t="0" r="0" b="0"/>
              <wp:wrapNone/>
              <wp:docPr id="1147" name="Shape 1147"/>
              <wp:cNvGraphicFramePr/>
              <a:graphic xmlns:a="http://schemas.openxmlformats.org/drawingml/2006/main">
                <a:graphicData uri="http://schemas.microsoft.com/office/word/2010/wordprocessingShape">
                  <wps:wsp>
                    <wps:cNvSpPr txBox="1"/>
                    <wps:spPr>
                      <a:xfrm>
                        <a:off x="0" y="0"/>
                        <a:ext cx="1668780" cy="111125"/>
                      </a:xfrm>
                      <a:prstGeom prst="rect">
                        <a:avLst/>
                      </a:prstGeom>
                      <a:noFill/>
                    </wps:spPr>
                    <wps:txbx>
                      <w:txbxContent>
                        <w:p w14:paraId="5D1A4D7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147" o:spid="_x0000_s1026" o:spt="202" type="#_x0000_t202" style="position:absolute;left:0pt;margin-left:335.4pt;margin-top:40.85pt;height:8.75pt;width:131.4pt;mso-position-horizontal-relative:page;mso-position-vertical-relative:page;mso-wrap-style:none;z-index:-251657216;mso-width-relative:page;mso-height-relative:page;" filled="f" stroked="f" coordsize="21600,21600" o:gfxdata="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5bYDA1gAA&#10;AAkBAAAPAAAAAAAAAAEAIAAAACIAAABkcnMvZG93bnJldi54bWxQSwECFAAUAAAACACHTuJALln0&#10;p64BAAB2AwAADgAAAAAAAAABACAAAAAlAQAAZHJzL2Uyb0RvYy54bWxQSwUGAAAAAAYABgBZAQAA&#10;RQUAAAAA&#10;">
              <v:fill on="f" focussize="0,0"/>
              <v:stroke on="f"/>
              <v:imagedata o:title=""/>
              <o:lock v:ext="edit" aspectratio="f"/>
              <v:textbox inset="0mm,0mm,0mm,0mm" style="mso-fit-shape-to-text:t;">
                <w:txbxContent>
                  <w:p w14:paraId="5D1A4D7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货运代理转委托行为的效力规则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C2E73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49" name="Shape 114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7785D9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4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hp&#10;tNywAQAAdQMAAA4AAAAAAAAAAQAgAAAAJAEAAGRycy9lMm9Eb2MueG1sUEsFBgAAAAAGAAYAWQEA&#10;AEYFAAAAAA==&#10;">
              <v:fill on="f" focussize="0,0"/>
              <v:stroke on="f"/>
              <v:imagedata o:title=""/>
              <o:lock v:ext="edit" aspectratio="f"/>
              <v:textbox inset="0mm,0mm,0mm,0mm" style="mso-fit-shape-to-text:t;">
                <w:txbxContent>
                  <w:p w14:paraId="37785D9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94C6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4977765</wp:posOffset>
              </wp:positionH>
              <wp:positionV relativeFrom="page">
                <wp:posOffset>478155</wp:posOffset>
              </wp:positionV>
              <wp:extent cx="951230" cy="113030"/>
              <wp:effectExtent l="0" t="0" r="0" b="0"/>
              <wp:wrapNone/>
              <wp:docPr id="101" name="Shape 101"/>
              <wp:cNvGraphicFramePr/>
              <a:graphic xmlns:a="http://schemas.openxmlformats.org/drawingml/2006/main">
                <a:graphicData uri="http://schemas.microsoft.com/office/word/2010/wordprocessingShape">
                  <wps:wsp>
                    <wps:cNvSpPr txBox="1"/>
                    <wps:spPr>
                      <a:xfrm>
                        <a:off x="0" y="0"/>
                        <a:ext cx="951230" cy="113030"/>
                      </a:xfrm>
                      <a:prstGeom prst="rect">
                        <a:avLst/>
                      </a:prstGeom>
                      <a:noFill/>
                    </wps:spPr>
                    <wps:txbx>
                      <w:txbxContent>
                        <w:p w14:paraId="118DE60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w:t>
                          </w:r>
                          <w:r>
                            <w:rPr>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033</w:t>
                          </w:r>
                        </w:p>
                      </w:txbxContent>
                    </wps:txbx>
                    <wps:bodyPr wrap="none" lIns="0" tIns="0" rIns="0" bIns="0">
                      <a:spAutoFit/>
                    </wps:bodyPr>
                  </wps:wsp>
                </a:graphicData>
              </a:graphic>
            </wp:anchor>
          </w:drawing>
        </mc:Choice>
        <mc:Fallback>
          <w:pict>
            <v:shape id="Shape 101" o:spid="_x0000_s1026" o:spt="202" type="#_x0000_t202" style="position:absolute;left:0pt;margin-left:391.95pt;margin-top:37.65pt;height:8.9pt;width:74.9pt;mso-position-horizontal-relative:page;mso-position-vertical-relative:page;mso-wrap-style:none;z-index:-251657216;mso-width-relative:page;mso-height-relative:page;" filled="f" stroked="f" coordsize="21600,21600" o:gfxdata="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NAEw91QAAAAkB&#10;AAAPAAAAAAAAAAEAIAAAACIAAABkcnMvZG93bnJldi54bWxQSwECFAAUAAAACACHTuJAOPcgUawB&#10;AABzAwAADgAAAAAAAAABACAAAAAkAQAAZHJzL2Uyb0RvYy54bWxQSwUGAAAAAAYABgBZAQAAQgUA&#10;AAAA&#10;">
              <v:fill on="f" focussize="0,0"/>
              <v:stroke on="f"/>
              <v:imagedata o:title=""/>
              <o:lock v:ext="edit" aspectratio="f"/>
              <v:textbox inset="0mm,0mm,0mm,0mm" style="mso-fit-shape-to-text:t;">
                <w:txbxContent>
                  <w:p w14:paraId="118DE60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w:t>
                    </w:r>
                    <w:r>
                      <w:rPr>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033</w:t>
                    </w:r>
                  </w:p>
                </w:txbxContent>
              </v:textbox>
            </v:shape>
          </w:pict>
        </mc:Fallback>
      </mc:AlternateContent>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718A50">
    <w:pPr>
      <w:widowControl w:val="0"/>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1CC63">
    <w:pPr>
      <w:widowControl w:val="0"/>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80FF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73" name="Shape 11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EF1DA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Hmc&#10;UfKwAQAAdQMAAA4AAAAAAAAAAQAgAAAAJAEAAGRycy9lMm9Eb2MueG1sUEsFBgAAAAAGAAYAWQEA&#10;AEYFAAAAAA==&#10;">
              <v:fill on="f" focussize="0,0"/>
              <v:stroke on="f"/>
              <v:imagedata o:title=""/>
              <o:lock v:ext="edit" aspectratio="f"/>
              <v:textbox inset="0mm,0mm,0mm,0mm" style="mso-fit-shape-to-text:t;">
                <w:txbxContent>
                  <w:p w14:paraId="3EF1DA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71DD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75" name="Shape 117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7B9991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7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53tY&#10;WK8BAAB1AwAADgAAAAAAAAABACAAAAAkAQAAZHJzL2Uyb0RvYy54bWxQSwUGAAAAAAYABgBZAQAA&#10;RQUAAAAA&#10;">
              <v:fill on="f" focussize="0,0"/>
              <v:stroke on="f"/>
              <v:imagedata o:title=""/>
              <o:lock v:ext="edit" aspectratio="f"/>
              <v:textbox inset="0mm,0mm,0mm,0mm" style="mso-fit-shape-to-text:t;">
                <w:txbxContent>
                  <w:p w14:paraId="77B9991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39C9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4966335</wp:posOffset>
              </wp:positionH>
              <wp:positionV relativeFrom="page">
                <wp:posOffset>520700</wp:posOffset>
              </wp:positionV>
              <wp:extent cx="964565" cy="109855"/>
              <wp:effectExtent l="0" t="0" r="0" b="0"/>
              <wp:wrapNone/>
              <wp:docPr id="1177" name="Shape 1177"/>
              <wp:cNvGraphicFramePr/>
              <a:graphic xmlns:a="http://schemas.openxmlformats.org/drawingml/2006/main">
                <a:graphicData uri="http://schemas.microsoft.com/office/word/2010/wordprocessingShape">
                  <wps:wsp>
                    <wps:cNvSpPr txBox="1"/>
                    <wps:spPr>
                      <a:xfrm>
                        <a:off x="0" y="0"/>
                        <a:ext cx="964565" cy="109855"/>
                      </a:xfrm>
                      <a:prstGeom prst="rect">
                        <a:avLst/>
                      </a:prstGeom>
                      <a:noFill/>
                    </wps:spPr>
                    <wps:txbx>
                      <w:txbxContent>
                        <w:p w14:paraId="671A901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合伙关系的认定丨</w:t>
                          </w:r>
                          <w:r>
                            <w:rPr>
                              <w:rFonts w:ascii="Times New Roman" w:hAnsi="Times New Roman" w:eastAsia="Times New Roman" w:cs="Times New Roman"/>
                              <w:b/>
                              <w:bCs/>
                              <w:color w:val="000000"/>
                              <w:spacing w:val="0"/>
                              <w:w w:val="100"/>
                              <w:position w:val="0"/>
                              <w:sz w:val="15"/>
                              <w:szCs w:val="15"/>
                            </w:rPr>
                            <w:t>427</w:t>
                          </w:r>
                        </w:p>
                      </w:txbxContent>
                    </wps:txbx>
                    <wps:bodyPr wrap="none" lIns="0" tIns="0" rIns="0" bIns="0">
                      <a:spAutoFit/>
                    </wps:bodyPr>
                  </wps:wsp>
                </a:graphicData>
              </a:graphic>
            </wp:anchor>
          </w:drawing>
        </mc:Choice>
        <mc:Fallback>
          <w:pict>
            <v:shape id="Shape 1177" o:spid="_x0000_s1026" o:spt="202" type="#_x0000_t202" style="position:absolute;left:0pt;margin-left:391.05pt;margin-top:41pt;height:8.65pt;width:75.95pt;mso-position-horizontal-relative:page;mso-position-vertical-relative:page;mso-wrap-style:none;z-index:-251657216;mso-width-relative:page;mso-height-relative:page;" filled="f" stroked="f" coordsize="21600,21600" o:gfxdata="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Eet8ENUA&#10;AAAJAQAADwAAAAAAAAABACAAAAAiAAAAZHJzL2Rvd25yZXYueG1sUEsBAhQAFAAAAAgAh07iQN1i&#10;X/iwAQAAdQMAAA4AAAAAAAAAAQAgAAAAJAEAAGRycy9lMm9Eb2MueG1sUEsFBgAAAAAGAAYAWQEA&#10;AEYFAAAAAA==&#10;">
              <v:fill on="f" focussize="0,0"/>
              <v:stroke on="f"/>
              <v:imagedata o:title=""/>
              <o:lock v:ext="edit" aspectratio="f"/>
              <v:textbox inset="0mm,0mm,0mm,0mm" style="mso-fit-shape-to-text:t;">
                <w:txbxContent>
                  <w:p w14:paraId="671A901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合伙关系的认定丨</w:t>
                    </w:r>
                    <w:r>
                      <w:rPr>
                        <w:rFonts w:ascii="Times New Roman" w:hAnsi="Times New Roman" w:eastAsia="Times New Roman" w:cs="Times New Roman"/>
                        <w:b/>
                        <w:bCs/>
                        <w:color w:val="000000"/>
                        <w:spacing w:val="0"/>
                        <w:w w:val="100"/>
                        <w:position w:val="0"/>
                        <w:sz w:val="15"/>
                        <w:szCs w:val="15"/>
                      </w:rPr>
                      <w:t>427</w:t>
                    </w:r>
                  </w:p>
                </w:txbxContent>
              </v:textbox>
            </v:shape>
          </w:pict>
        </mc:Fallback>
      </mc:AlternateContent>
    </w: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2BAD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4966335</wp:posOffset>
              </wp:positionH>
              <wp:positionV relativeFrom="page">
                <wp:posOffset>520700</wp:posOffset>
              </wp:positionV>
              <wp:extent cx="964565" cy="109855"/>
              <wp:effectExtent l="0" t="0" r="0" b="0"/>
              <wp:wrapNone/>
              <wp:docPr id="1179" name="Shape 1179"/>
              <wp:cNvGraphicFramePr/>
              <a:graphic xmlns:a="http://schemas.openxmlformats.org/drawingml/2006/main">
                <a:graphicData uri="http://schemas.microsoft.com/office/word/2010/wordprocessingShape">
                  <wps:wsp>
                    <wps:cNvSpPr txBox="1"/>
                    <wps:spPr>
                      <a:xfrm>
                        <a:off x="0" y="0"/>
                        <a:ext cx="964565" cy="109855"/>
                      </a:xfrm>
                      <a:prstGeom prst="rect">
                        <a:avLst/>
                      </a:prstGeom>
                      <a:noFill/>
                    </wps:spPr>
                    <wps:txbx>
                      <w:txbxContent>
                        <w:p w14:paraId="03DD979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合伙关系的认定丨</w:t>
                          </w:r>
                          <w:r>
                            <w:rPr>
                              <w:rFonts w:ascii="Times New Roman" w:hAnsi="Times New Roman" w:eastAsia="Times New Roman" w:cs="Times New Roman"/>
                              <w:b/>
                              <w:bCs/>
                              <w:color w:val="000000"/>
                              <w:spacing w:val="0"/>
                              <w:w w:val="100"/>
                              <w:position w:val="0"/>
                              <w:sz w:val="15"/>
                              <w:szCs w:val="15"/>
                            </w:rPr>
                            <w:t>427</w:t>
                          </w:r>
                        </w:p>
                      </w:txbxContent>
                    </wps:txbx>
                    <wps:bodyPr wrap="none" lIns="0" tIns="0" rIns="0" bIns="0">
                      <a:spAutoFit/>
                    </wps:bodyPr>
                  </wps:wsp>
                </a:graphicData>
              </a:graphic>
            </wp:anchor>
          </w:drawing>
        </mc:Choice>
        <mc:Fallback>
          <w:pict>
            <v:shape id="Shape 1179" o:spid="_x0000_s1026" o:spt="202" type="#_x0000_t202" style="position:absolute;left:0pt;margin-left:391.05pt;margin-top:41pt;height:8.65pt;width:75.95pt;mso-position-horizontal-relative:page;mso-position-vertical-relative:page;mso-wrap-style:none;z-index:-251657216;mso-width-relative:page;mso-height-relative:page;" filled="f" stroked="f" coordsize="21600,21600" o:gfxdata="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Eet8ENUA&#10;AAAJAQAADwAAAAAAAAABACAAAAAiAAAAZHJzL2Rvd25yZXYueG1sUEsBAhQAFAAAAAgAh07iQBUL&#10;6qewAQAAdQMAAA4AAAAAAAAAAQAgAAAAJAEAAGRycy9lMm9Eb2MueG1sUEsFBgAAAAAGAAYAWQEA&#10;AEYFAAAAAA==&#10;">
              <v:fill on="f" focussize="0,0"/>
              <v:stroke on="f"/>
              <v:imagedata o:title=""/>
              <o:lock v:ext="edit" aspectratio="f"/>
              <v:textbox inset="0mm,0mm,0mm,0mm" style="mso-fit-shape-to-text:t;">
                <w:txbxContent>
                  <w:p w14:paraId="03DD979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合伙关系的认定丨</w:t>
                    </w:r>
                    <w:r>
                      <w:rPr>
                        <w:rFonts w:ascii="Times New Roman" w:hAnsi="Times New Roman" w:eastAsia="Times New Roman" w:cs="Times New Roman"/>
                        <w:b/>
                        <w:bCs/>
                        <w:color w:val="000000"/>
                        <w:spacing w:val="0"/>
                        <w:w w:val="100"/>
                        <w:position w:val="0"/>
                        <w:sz w:val="15"/>
                        <w:szCs w:val="15"/>
                      </w:rPr>
                      <w:t>427</w:t>
                    </w:r>
                  </w:p>
                </w:txbxContent>
              </v:textbox>
            </v:shape>
          </w:pict>
        </mc:Fallback>
      </mc:AlternateContent>
    </w: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8FEB4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4973320</wp:posOffset>
              </wp:positionH>
              <wp:positionV relativeFrom="page">
                <wp:posOffset>516255</wp:posOffset>
              </wp:positionV>
              <wp:extent cx="964565" cy="114300"/>
              <wp:effectExtent l="0" t="0" r="0" b="0"/>
              <wp:wrapNone/>
              <wp:docPr id="1181" name="Shape 1181"/>
              <wp:cNvGraphicFramePr/>
              <a:graphic xmlns:a="http://schemas.openxmlformats.org/drawingml/2006/main">
                <a:graphicData uri="http://schemas.microsoft.com/office/word/2010/wordprocessingShape">
                  <wps:wsp>
                    <wps:cNvSpPr txBox="1"/>
                    <wps:spPr>
                      <a:xfrm>
                        <a:off x="0" y="0"/>
                        <a:ext cx="964565" cy="114300"/>
                      </a:xfrm>
                      <a:prstGeom prst="rect">
                        <a:avLst/>
                      </a:prstGeom>
                      <a:noFill/>
                    </wps:spPr>
                    <wps:txbx>
                      <w:txbxContent>
                        <w:p w14:paraId="67B5BBBD">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合伙关系的认定</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1181" o:spid="_x0000_s1026" o:spt="202" type="#_x0000_t202" style="position:absolute;left:0pt;margin-left:391.6pt;margin-top:40.65pt;height:9pt;width:75.95pt;mso-position-horizontal-relative:page;mso-position-vertical-relative:page;mso-wrap-style:none;z-index:-251657216;mso-width-relative:page;mso-height-relative:page;" filled="f" stroked="f" coordsize="21600,21600" o:gfxdata="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kpKpzW&#10;AAAACQEAAA8AAAAAAAAAAQAgAAAAIgAAAGRycy9kb3ducmV2LnhtbFBLAQIUABQAAAAIAIdO4kBA&#10;JqLCsAEAAHUDAAAOAAAAAAAAAAEAIAAAACUBAABkcnMvZTJvRG9jLnhtbFBLBQYAAAAABgAGAFkB&#10;AABHBQAAAAA=&#10;">
              <v:fill on="f" focussize="0,0"/>
              <v:stroke on="f"/>
              <v:imagedata o:title=""/>
              <o:lock v:ext="edit" aspectratio="f"/>
              <v:textbox inset="0mm,0mm,0mm,0mm" style="mso-fit-shape-to-text:t;">
                <w:txbxContent>
                  <w:p w14:paraId="67B5BBBD">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合伙关系的认定</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1643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4973320</wp:posOffset>
              </wp:positionH>
              <wp:positionV relativeFrom="page">
                <wp:posOffset>516255</wp:posOffset>
              </wp:positionV>
              <wp:extent cx="964565" cy="114300"/>
              <wp:effectExtent l="0" t="0" r="0" b="0"/>
              <wp:wrapNone/>
              <wp:docPr id="1183" name="Shape 1183"/>
              <wp:cNvGraphicFramePr/>
              <a:graphic xmlns:a="http://schemas.openxmlformats.org/drawingml/2006/main">
                <a:graphicData uri="http://schemas.microsoft.com/office/word/2010/wordprocessingShape">
                  <wps:wsp>
                    <wps:cNvSpPr txBox="1"/>
                    <wps:spPr>
                      <a:xfrm>
                        <a:off x="0" y="0"/>
                        <a:ext cx="964565" cy="114300"/>
                      </a:xfrm>
                      <a:prstGeom prst="rect">
                        <a:avLst/>
                      </a:prstGeom>
                      <a:noFill/>
                    </wps:spPr>
                    <wps:txbx>
                      <w:txbxContent>
                        <w:p w14:paraId="0FF2248C">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合伙关系的认定</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wps:txbx>
                    <wps:bodyPr wrap="none" lIns="0" tIns="0" rIns="0" bIns="0">
                      <a:spAutoFit/>
                    </wps:bodyPr>
                  </wps:wsp>
                </a:graphicData>
              </a:graphic>
            </wp:anchor>
          </w:drawing>
        </mc:Choice>
        <mc:Fallback>
          <w:pict>
            <v:shape id="Shape 1183" o:spid="_x0000_s1026" o:spt="202" type="#_x0000_t202" style="position:absolute;left:0pt;margin-left:391.6pt;margin-top:40.65pt;height:9pt;width:75.95pt;mso-position-horizontal-relative:page;mso-position-vertical-relative:page;mso-wrap-style:none;z-index:-251657216;mso-width-relative:page;mso-height-relative:page;" filled="f" stroked="f" coordsize="21600,21600" o:gfxdata="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5KSqc&#10;1gAAAAkBAAAPAAAAAAAAAAEAIAAAACIAAABkcnMvZG93bnJldi54bWxQSwECFAAUAAAACACHTuJA&#10;9YZ1ErEBAAB1AwAADgAAAAAAAAABACAAAAAlAQAAZHJzL2Uyb0RvYy54bWxQSwUGAAAAAAYABgBZ&#10;AQAASAUAAAAA&#10;">
              <v:fill on="f" focussize="0,0"/>
              <v:stroke on="f"/>
              <v:imagedata o:title=""/>
              <o:lock v:ext="edit" aspectratio="f"/>
              <v:textbox inset="0mm,0mm,0mm,0mm" style="mso-fit-shape-to-text:t;">
                <w:txbxContent>
                  <w:p w14:paraId="0FF2248C">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合伙关系的认定</w:t>
                    </w:r>
                    <w:r>
                      <w:rPr>
                        <w:rFonts w:ascii="Times New Roman" w:hAnsi="Times New Roman" w:eastAsia="Times New Roman" w:cs="Times New Roman"/>
                        <w:color w:val="000000"/>
                        <w:spacing w:val="0"/>
                        <w:w w:val="100"/>
                        <w:position w:val="0"/>
                        <w:sz w:val="17"/>
                        <w:szCs w:val="17"/>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rPr>
                      <w:t>#</w:t>
                    </w:r>
                    <w:r>
                      <w:rPr>
                        <w:rFonts w:ascii="Times New Roman" w:hAnsi="Times New Roman" w:eastAsia="Times New Roman" w:cs="Times New Roman"/>
                        <w:color w:val="000000"/>
                        <w:spacing w:val="0"/>
                        <w:w w:val="100"/>
                        <w:position w:val="0"/>
                        <w:sz w:val="17"/>
                        <w:szCs w:val="17"/>
                      </w:rPr>
                      <w:fldChar w:fldCharType="end"/>
                    </w:r>
                  </w:p>
                </w:txbxContent>
              </v:textbox>
            </v:shape>
          </w:pict>
        </mc:Fallback>
      </mc:AlternateContent>
    </w: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2C70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85" name="Shape 118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22E58B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8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B9z+19&#10;rgEAAHUDAAAOAAAAAAAAAAEAIAAAACQBAABkcnMvZTJvRG9jLnhtbFBLBQYAAAAABgAGAFkBAABE&#10;BQAAAAA=&#10;">
              <v:fill on="f" focussize="0,0"/>
              <v:stroke on="f"/>
              <v:imagedata o:title=""/>
              <o:lock v:ext="edit" aspectratio="f"/>
              <v:textbox inset="0mm,0mm,0mm,0mm" style="mso-fit-shape-to-text:t;">
                <w:txbxContent>
                  <w:p w14:paraId="322E58B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7E0006">
    <w:pPr>
      <w:widowControl w:val="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FABE0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441960</wp:posOffset>
              </wp:positionH>
              <wp:positionV relativeFrom="page">
                <wp:posOffset>530225</wp:posOffset>
              </wp:positionV>
              <wp:extent cx="666115" cy="107950"/>
              <wp:effectExtent l="0" t="0" r="0" b="0"/>
              <wp:wrapNone/>
              <wp:docPr id="9" name="Shape 9"/>
              <wp:cNvGraphicFramePr/>
              <a:graphic xmlns:a="http://schemas.openxmlformats.org/drawingml/2006/main">
                <a:graphicData uri="http://schemas.microsoft.com/office/word/2010/wordprocessingShape">
                  <wps:wsp>
                    <wps:cNvSpPr txBox="1"/>
                    <wps:spPr>
                      <a:xfrm>
                        <a:off x="0" y="0"/>
                        <a:ext cx="666115" cy="107950"/>
                      </a:xfrm>
                      <a:prstGeom prst="rect">
                        <a:avLst/>
                      </a:prstGeom>
                      <a:noFill/>
                    </wps:spPr>
                    <wps:txbx>
                      <w:txbxContent>
                        <w:p w14:paraId="12B4435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wps:txbx>
                    <wps:bodyPr wrap="none" lIns="0" tIns="0" rIns="0" bIns="0">
                      <a:spAutoFit/>
                    </wps:bodyPr>
                  </wps:wsp>
                </a:graphicData>
              </a:graphic>
            </wp:anchor>
          </w:drawing>
        </mc:Choice>
        <mc:Fallback>
          <w:pict>
            <v:shape id="Shape 9" o:spid="_x0000_s1026" o:spt="202" type="#_x0000_t202" style="position:absolute;left:0pt;margin-left:34.8pt;margin-top:41.75pt;height:8.5pt;width:52.45pt;mso-position-horizontal-relative:page;mso-position-vertical-relative:page;mso-wrap-style:none;z-index:-251657216;mso-width-relative:page;mso-height-relative:page;" filled="f" stroked="f" coordsize="21600,21600" o:gfxdata="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k+x2QdUAAAAJ&#10;AQAADwAAAAAAAAABACAAAAAiAAAAZHJzL2Rvd25yZXYueG1sUEsBAhQAFAAAAAgAh07iQJ8XiCqt&#10;AQAAbwMAAA4AAAAAAAAAAQAgAAAAJAEAAGRycy9lMm9Eb2MueG1sUEsFBgAAAAAGAAYAWQEAAEMF&#10;AAAAAA==&#10;">
              <v:fill on="f" focussize="0,0"/>
              <v:stroke on="f"/>
              <v:imagedata o:title=""/>
              <o:lock v:ext="edit" aspectratio="f"/>
              <v:textbox inset="0mm,0mm,0mm,0mm" style="mso-fit-shape-to-text:t;">
                <w:txbxContent>
                  <w:p w14:paraId="12B4435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v:textbox>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A0A9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4977765</wp:posOffset>
              </wp:positionH>
              <wp:positionV relativeFrom="page">
                <wp:posOffset>478155</wp:posOffset>
              </wp:positionV>
              <wp:extent cx="951230" cy="113030"/>
              <wp:effectExtent l="0" t="0" r="0" b="0"/>
              <wp:wrapNone/>
              <wp:docPr id="103" name="Shape 103"/>
              <wp:cNvGraphicFramePr/>
              <a:graphic xmlns:a="http://schemas.openxmlformats.org/drawingml/2006/main">
                <a:graphicData uri="http://schemas.microsoft.com/office/word/2010/wordprocessingShape">
                  <wps:wsp>
                    <wps:cNvSpPr txBox="1"/>
                    <wps:spPr>
                      <a:xfrm>
                        <a:off x="0" y="0"/>
                        <a:ext cx="951230" cy="113030"/>
                      </a:xfrm>
                      <a:prstGeom prst="rect">
                        <a:avLst/>
                      </a:prstGeom>
                      <a:noFill/>
                    </wps:spPr>
                    <wps:txbx>
                      <w:txbxContent>
                        <w:p w14:paraId="0CC5E08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w:t>
                          </w:r>
                          <w:r>
                            <w:rPr>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033</w:t>
                          </w:r>
                        </w:p>
                      </w:txbxContent>
                    </wps:txbx>
                    <wps:bodyPr wrap="none" lIns="0" tIns="0" rIns="0" bIns="0">
                      <a:spAutoFit/>
                    </wps:bodyPr>
                  </wps:wsp>
                </a:graphicData>
              </a:graphic>
            </wp:anchor>
          </w:drawing>
        </mc:Choice>
        <mc:Fallback>
          <w:pict>
            <v:shape id="Shape 103" o:spid="_x0000_s1026" o:spt="202" type="#_x0000_t202" style="position:absolute;left:0pt;margin-left:391.95pt;margin-top:37.65pt;height:8.9pt;width:74.9pt;mso-position-horizontal-relative:page;mso-position-vertical-relative:page;mso-wrap-style:none;z-index:-251657216;mso-width-relative:page;mso-height-relative:page;" filled="f" stroked="f" coordsize="21600,21600" o:gfxdata="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NAEw91QAAAAkB&#10;AAAPAAAAAAAAAAEAIAAAACIAAABkcnMvZG93bnJldi54bWxQSwECFAAUAAAACACHTuJA7U3Yd6wB&#10;AABzAwAADgAAAAAAAAABACAAAAAkAQAAZHJzL2Uyb0RvYy54bWxQSwUGAAAAAAYABgBZAQAAQgUA&#10;AAAA&#10;">
              <v:fill on="f" focussize="0,0"/>
              <v:stroke on="f"/>
              <v:imagedata o:title=""/>
              <o:lock v:ext="edit" aspectratio="f"/>
              <v:textbox inset="0mm,0mm,0mm,0mm" style="mso-fit-shape-to-text:t;">
                <w:txbxContent>
                  <w:p w14:paraId="0CC5E08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w:t>
                    </w:r>
                    <w:r>
                      <w:rPr>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033</w:t>
                    </w:r>
                  </w:p>
                </w:txbxContent>
              </v:textbox>
            </v:shape>
          </w:pict>
        </mc:Fallback>
      </mc:AlternateContent>
    </w: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9BF58">
    <w:pPr>
      <w:widowControl w:val="0"/>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E521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3592195</wp:posOffset>
              </wp:positionH>
              <wp:positionV relativeFrom="page">
                <wp:posOffset>530225</wp:posOffset>
              </wp:positionV>
              <wp:extent cx="2368550" cy="109855"/>
              <wp:effectExtent l="0" t="0" r="0" b="0"/>
              <wp:wrapNone/>
              <wp:docPr id="1193" name="Shape 1193"/>
              <wp:cNvGraphicFramePr/>
              <a:graphic xmlns:a="http://schemas.openxmlformats.org/drawingml/2006/main">
                <a:graphicData uri="http://schemas.microsoft.com/office/word/2010/wordprocessingShape">
                  <wps:wsp>
                    <wps:cNvSpPr txBox="1"/>
                    <wps:spPr>
                      <a:xfrm>
                        <a:off x="0" y="0"/>
                        <a:ext cx="2368550" cy="109855"/>
                      </a:xfrm>
                      <a:prstGeom prst="rect">
                        <a:avLst/>
                      </a:prstGeom>
                      <a:noFill/>
                    </wps:spPr>
                    <wps:txbx>
                      <w:txbxContent>
                        <w:p w14:paraId="3EC1B32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不当得利当事人确定和善意得利人返还范围规则</w:t>
                          </w:r>
                          <w:r>
                            <w:rPr>
                              <w:rFonts w:ascii="Times New Roman" w:hAnsi="Times New Roman" w:eastAsia="Times New Roman" w:cs="Times New Roman"/>
                              <w:b/>
                              <w:bCs/>
                              <w:color w:val="000000"/>
                              <w:spacing w:val="0"/>
                              <w:w w:val="100"/>
                              <w:position w:val="0"/>
                              <w:sz w:val="19"/>
                              <w:szCs w:val="19"/>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193" o:spid="_x0000_s1026" o:spt="202" type="#_x0000_t202" style="position:absolute;left:0pt;margin-left:282.85pt;margin-top:41.75pt;height:8.65pt;width:186.5pt;mso-position-horizontal-relative:page;mso-position-vertical-relative:page;mso-wrap-style:none;z-index:-251657216;mso-width-relative:page;mso-height-relative:page;" filled="f" stroked="f" coordsize="21600,21600" o:gfxdata="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BMLm41gAA&#10;AAoBAAAPAAAAAAAAAAEAIAAAACIAAABkcnMvZG93bnJldi54bWxQSwECFAAUAAAACACHTuJA8BKz&#10;Qa4BAAB2AwAADgAAAAAAAAABACAAAAAlAQAAZHJzL2Uyb0RvYy54bWxQSwUGAAAAAAYABgBZAQAA&#10;RQUAAAAA&#10;">
              <v:fill on="f" focussize="0,0"/>
              <v:stroke on="f"/>
              <v:imagedata o:title=""/>
              <o:lock v:ext="edit" aspectratio="f"/>
              <v:textbox inset="0mm,0mm,0mm,0mm" style="mso-fit-shape-to-text:t;">
                <w:txbxContent>
                  <w:p w14:paraId="3EC1B32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不当得利当事人确定和善意得利人返还范围规则</w:t>
                    </w:r>
                    <w:r>
                      <w:rPr>
                        <w:rFonts w:ascii="Times New Roman" w:hAnsi="Times New Roman" w:eastAsia="Times New Roman" w:cs="Times New Roman"/>
                        <w:b/>
                        <w:bCs/>
                        <w:color w:val="000000"/>
                        <w:spacing w:val="0"/>
                        <w:w w:val="100"/>
                        <w:position w:val="0"/>
                        <w:sz w:val="19"/>
                        <w:szCs w:val="19"/>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F1AD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95" name="Shape 119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31658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9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DIS4&#10;za8BAAB1AwAADgAAAAAAAAABACAAAAAkAQAAZHJzL2Uyb0RvYy54bWxQSwUGAAAAAAYABgBZAQAA&#10;RQUAAAAA&#10;">
              <v:fill on="f" focussize="0,0"/>
              <v:stroke on="f"/>
              <v:imagedata o:title=""/>
              <o:lock v:ext="edit" aspectratio="f"/>
              <v:textbox inset="0mm,0mm,0mm,0mm" style="mso-fit-shape-to-text:t;">
                <w:txbxContent>
                  <w:p w14:paraId="731658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D5815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528955</wp:posOffset>
              </wp:positionH>
              <wp:positionV relativeFrom="page">
                <wp:posOffset>536575</wp:posOffset>
              </wp:positionV>
              <wp:extent cx="864235" cy="111125"/>
              <wp:effectExtent l="0" t="0" r="0" b="0"/>
              <wp:wrapNone/>
              <wp:docPr id="1197" name="Shape 1197"/>
              <wp:cNvGraphicFramePr/>
              <a:graphic xmlns:a="http://schemas.openxmlformats.org/drawingml/2006/main">
                <a:graphicData uri="http://schemas.microsoft.com/office/word/2010/wordprocessingShape">
                  <wps:wsp>
                    <wps:cNvSpPr txBox="1"/>
                    <wps:spPr>
                      <a:xfrm>
                        <a:off x="0" y="0"/>
                        <a:ext cx="864235" cy="111125"/>
                      </a:xfrm>
                      <a:prstGeom prst="rect">
                        <a:avLst/>
                      </a:prstGeom>
                      <a:noFill/>
                    </wps:spPr>
                    <wps:txbx>
                      <w:txbxContent>
                        <w:p w14:paraId="2162BAB2">
                          <w:pPr>
                            <w:pStyle w:val="31"/>
                            <w:keepNext w:val="0"/>
                            <w:keepLines w:val="0"/>
                            <w:widowControl w:val="0"/>
                            <w:shd w:val="clear" w:color="auto" w:fill="auto"/>
                            <w:bidi w:val="0"/>
                            <w:spacing w:before="0" w:after="0" w:line="240" w:lineRule="auto"/>
                            <w:ind w:left="0" w:right="0" w:firstLine="0"/>
                            <w:jc w:val="left"/>
                            <w:rPr>
                              <w:sz w:val="15"/>
                              <w:szCs w:val="15"/>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lang w:val="en-US" w:eastAsia="en-US" w:bidi="en-US"/>
                            </w:rPr>
                            <w:t>J</w:t>
                          </w:r>
                          <w:r>
                            <w:rPr>
                              <w:color w:val="000000"/>
                              <w:spacing w:val="0"/>
                              <w:w w:val="100"/>
                              <w:position w:val="0"/>
                              <w:sz w:val="15"/>
                              <w:szCs w:val="15"/>
                            </w:rPr>
                            <w:t>民法判例百选</w:t>
                          </w:r>
                        </w:p>
                      </w:txbxContent>
                    </wps:txbx>
                    <wps:bodyPr wrap="none" lIns="0" tIns="0" rIns="0" bIns="0">
                      <a:spAutoFit/>
                    </wps:bodyPr>
                  </wps:wsp>
                </a:graphicData>
              </a:graphic>
            </wp:anchor>
          </w:drawing>
        </mc:Choice>
        <mc:Fallback>
          <w:pict>
            <v:shape id="Shape 1197" o:spid="_x0000_s1026" o:spt="202" type="#_x0000_t202" style="position:absolute;left:0pt;margin-left:41.65pt;margin-top:42.25pt;height:8.75pt;width:68.05pt;mso-position-horizontal-relative:page;mso-position-vertical-relative:page;mso-wrap-style:none;z-index:-251657216;mso-width-relative:page;mso-height-relative:page;" filled="f" stroked="f" coordsize="21600,21600" o:gfxdata="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thQtBNYA&#10;AAAJAQAADwAAAAAAAAABACAAAAAiAAAAZHJzL2Rvd25yZXYueG1sUEsBAhQAFAAAAAgAh07iQGVg&#10;YtqvAQAAdQMAAA4AAAAAAAAAAQAgAAAAJQEAAGRycy9lMm9Eb2MueG1sUEsFBgAAAAAGAAYAWQEA&#10;AEYFAAAAAA==&#10;">
              <v:fill on="f" focussize="0,0"/>
              <v:stroke on="f"/>
              <v:imagedata o:title=""/>
              <o:lock v:ext="edit" aspectratio="f"/>
              <v:textbox inset="0mm,0mm,0mm,0mm" style="mso-fit-shape-to-text:t;">
                <w:txbxContent>
                  <w:p w14:paraId="2162BAB2">
                    <w:pPr>
                      <w:pStyle w:val="31"/>
                      <w:keepNext w:val="0"/>
                      <w:keepLines w:val="0"/>
                      <w:widowControl w:val="0"/>
                      <w:shd w:val="clear" w:color="auto" w:fill="auto"/>
                      <w:bidi w:val="0"/>
                      <w:spacing w:before="0" w:after="0" w:line="240" w:lineRule="auto"/>
                      <w:ind w:left="0" w:right="0" w:firstLine="0"/>
                      <w:jc w:val="left"/>
                      <w:rPr>
                        <w:sz w:val="15"/>
                        <w:szCs w:val="15"/>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lang w:val="en-US" w:eastAsia="en-US" w:bidi="en-US"/>
                      </w:rPr>
                      <w:t>J</w:t>
                    </w:r>
                    <w:r>
                      <w:rPr>
                        <w:color w:val="000000"/>
                        <w:spacing w:val="0"/>
                        <w:w w:val="100"/>
                        <w:position w:val="0"/>
                        <w:sz w:val="15"/>
                        <w:szCs w:val="15"/>
                      </w:rPr>
                      <w:t>民法判例百选</w:t>
                    </w:r>
                  </w:p>
                </w:txbxContent>
              </v:textbox>
            </v:shape>
          </w:pict>
        </mc:Fallback>
      </mc:AlternateContent>
    </w: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D3586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528955</wp:posOffset>
              </wp:positionH>
              <wp:positionV relativeFrom="page">
                <wp:posOffset>536575</wp:posOffset>
              </wp:positionV>
              <wp:extent cx="864235" cy="111125"/>
              <wp:effectExtent l="0" t="0" r="0" b="0"/>
              <wp:wrapNone/>
              <wp:docPr id="1199" name="Shape 1199"/>
              <wp:cNvGraphicFramePr/>
              <a:graphic xmlns:a="http://schemas.openxmlformats.org/drawingml/2006/main">
                <a:graphicData uri="http://schemas.microsoft.com/office/word/2010/wordprocessingShape">
                  <wps:wsp>
                    <wps:cNvSpPr txBox="1"/>
                    <wps:spPr>
                      <a:xfrm>
                        <a:off x="0" y="0"/>
                        <a:ext cx="864235" cy="111125"/>
                      </a:xfrm>
                      <a:prstGeom prst="rect">
                        <a:avLst/>
                      </a:prstGeom>
                      <a:noFill/>
                    </wps:spPr>
                    <wps:txbx>
                      <w:txbxContent>
                        <w:p w14:paraId="22FED512">
                          <w:pPr>
                            <w:pStyle w:val="31"/>
                            <w:keepNext w:val="0"/>
                            <w:keepLines w:val="0"/>
                            <w:widowControl w:val="0"/>
                            <w:shd w:val="clear" w:color="auto" w:fill="auto"/>
                            <w:bidi w:val="0"/>
                            <w:spacing w:before="0" w:after="0" w:line="240" w:lineRule="auto"/>
                            <w:ind w:left="0" w:right="0" w:firstLine="0"/>
                            <w:jc w:val="left"/>
                            <w:rPr>
                              <w:sz w:val="15"/>
                              <w:szCs w:val="15"/>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lang w:val="en-US" w:eastAsia="en-US" w:bidi="en-US"/>
                            </w:rPr>
                            <w:t>J</w:t>
                          </w:r>
                          <w:r>
                            <w:rPr>
                              <w:color w:val="000000"/>
                              <w:spacing w:val="0"/>
                              <w:w w:val="100"/>
                              <w:position w:val="0"/>
                              <w:sz w:val="15"/>
                              <w:szCs w:val="15"/>
                            </w:rPr>
                            <w:t>民法判例百选</w:t>
                          </w:r>
                        </w:p>
                      </w:txbxContent>
                    </wps:txbx>
                    <wps:bodyPr wrap="none" lIns="0" tIns="0" rIns="0" bIns="0">
                      <a:spAutoFit/>
                    </wps:bodyPr>
                  </wps:wsp>
                </a:graphicData>
              </a:graphic>
            </wp:anchor>
          </w:drawing>
        </mc:Choice>
        <mc:Fallback>
          <w:pict>
            <v:shape id="Shape 1199" o:spid="_x0000_s1026" o:spt="202" type="#_x0000_t202" style="position:absolute;left:0pt;margin-left:41.65pt;margin-top:42.25pt;height:8.75pt;width:68.05pt;mso-position-horizontal-relative:page;mso-position-vertical-relative:page;mso-wrap-style:none;z-index:-251657216;mso-width-relative:page;mso-height-relative:page;" filled="f" stroked="f" coordsize="21600,21600" o:gfxdata="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thQtBNYA&#10;AAAJAQAADwAAAAAAAAABACAAAAAiAAAAZHJzL2Rvd25yZXYueG1sUEsBAhQAFAAAAAgAh07iQK0J&#10;14WvAQAAdQMAAA4AAAAAAAAAAQAgAAAAJQEAAGRycy9lMm9Eb2MueG1sUEsFBgAAAAAGAAYAWQEA&#10;AEYFAAAAAA==&#10;">
              <v:fill on="f" focussize="0,0"/>
              <v:stroke on="f"/>
              <v:imagedata o:title=""/>
              <o:lock v:ext="edit" aspectratio="f"/>
              <v:textbox inset="0mm,0mm,0mm,0mm" style="mso-fit-shape-to-text:t;">
                <w:txbxContent>
                  <w:p w14:paraId="22FED512">
                    <w:pPr>
                      <w:pStyle w:val="31"/>
                      <w:keepNext w:val="0"/>
                      <w:keepLines w:val="0"/>
                      <w:widowControl w:val="0"/>
                      <w:shd w:val="clear" w:color="auto" w:fill="auto"/>
                      <w:bidi w:val="0"/>
                      <w:spacing w:before="0" w:after="0" w:line="240" w:lineRule="auto"/>
                      <w:ind w:left="0" w:right="0" w:firstLine="0"/>
                      <w:jc w:val="left"/>
                      <w:rPr>
                        <w:sz w:val="15"/>
                        <w:szCs w:val="15"/>
                      </w:rPr>
                    </w:pP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lang w:val="en-US" w:eastAsia="en-US" w:bidi="en-US"/>
                      </w:rPr>
                      <w:t>J</w:t>
                    </w:r>
                    <w:r>
                      <w:rPr>
                        <w:color w:val="000000"/>
                        <w:spacing w:val="0"/>
                        <w:w w:val="100"/>
                        <w:position w:val="0"/>
                        <w:sz w:val="15"/>
                        <w:szCs w:val="15"/>
                      </w:rPr>
                      <w:t>民法判例百选</w:t>
                    </w:r>
                  </w:p>
                </w:txbxContent>
              </v:textbox>
            </v:shape>
          </w:pict>
        </mc:Fallback>
      </mc:AlternateContent>
    </w: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2BA5D">
    <w:pPr>
      <w:widowControl w:val="0"/>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AF158E">
    <w:pPr>
      <w:widowControl w:val="0"/>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8D8D8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3916045</wp:posOffset>
              </wp:positionH>
              <wp:positionV relativeFrom="page">
                <wp:posOffset>523875</wp:posOffset>
              </wp:positionV>
              <wp:extent cx="1974850" cy="109855"/>
              <wp:effectExtent l="0" t="0" r="0" b="0"/>
              <wp:wrapNone/>
              <wp:docPr id="1207" name="Shape 1207"/>
              <wp:cNvGraphicFramePr/>
              <a:graphic xmlns:a="http://schemas.openxmlformats.org/drawingml/2006/main">
                <a:graphicData uri="http://schemas.microsoft.com/office/word/2010/wordprocessingShape">
                  <wps:wsp>
                    <wps:cNvSpPr txBox="1"/>
                    <wps:spPr>
                      <a:xfrm>
                        <a:off x="0" y="0"/>
                        <a:ext cx="1974850" cy="109855"/>
                      </a:xfrm>
                      <a:prstGeom prst="rect">
                        <a:avLst/>
                      </a:prstGeom>
                      <a:noFill/>
                    </wps:spPr>
                    <wps:txbx>
                      <w:txbxContent>
                        <w:p w14:paraId="4F0AD3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受害人特殊体质与损害赔偿责任的减轻丨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07" o:spid="_x0000_s1026" o:spt="202" type="#_x0000_t202" style="position:absolute;left:0pt;margin-left:308.35pt;margin-top:41.25pt;height:8.65pt;width:155.5pt;mso-position-horizontal-relative:page;mso-position-vertical-relative:page;mso-wrap-style:none;z-index:-251657216;mso-width-relative:page;mso-height-relative:page;" filled="f" stroked="f" coordsize="21600,21600" o:gfxdata="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pHoLl1QAA&#10;AAkBAAAPAAAAAAAAAAEAIAAAACIAAABkcnMvZG93bnJldi54bWxQSwECFAAUAAAACACHTuJA0Qrq&#10;Ya8BAAB2AwAADgAAAAAAAAABACAAAAAkAQAAZHJzL2Uyb0RvYy54bWxQSwUGAAAAAAYABgBZAQAA&#10;RQUAAAAA&#10;">
              <v:fill on="f" focussize="0,0"/>
              <v:stroke on="f"/>
              <v:imagedata o:title=""/>
              <o:lock v:ext="edit" aspectratio="f"/>
              <v:textbox inset="0mm,0mm,0mm,0mm" style="mso-fit-shape-to-text:t;">
                <w:txbxContent>
                  <w:p w14:paraId="4F0AD3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受害人特殊体质与损害赔偿责任的减轻丨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04528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09" name="Shape 120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0D7B25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0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bHOk&#10;GK8BAAB1AwAADgAAAAAAAAABACAAAAAkAQAAZHJzL2Uyb0RvYy54bWxQSwUGAAAAAAYABgBZAQAA&#10;RQUAAAAA&#10;">
              <v:fill on="f" focussize="0,0"/>
              <v:stroke on="f"/>
              <v:imagedata o:title=""/>
              <o:lock v:ext="edit" aspectratio="f"/>
              <v:textbox inset="0mm,0mm,0mm,0mm" style="mso-fit-shape-to-text:t;">
                <w:txbxContent>
                  <w:p w14:paraId="70D7B25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EC11C3">
    <w:pPr>
      <w:widowControl w:val="0"/>
      <w:spacing w:line="1" w:lineRule="exact"/>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B5E90">
    <w:pPr>
      <w:widowControl w:val="0"/>
      <w:spacing w:line="1" w:lineRule="exact"/>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1C72D2">
    <w:pPr>
      <w:widowControl w:val="0"/>
      <w:spacing w:line="1" w:lineRule="exact"/>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2656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3578860</wp:posOffset>
              </wp:positionH>
              <wp:positionV relativeFrom="page">
                <wp:posOffset>535305</wp:posOffset>
              </wp:positionV>
              <wp:extent cx="2372995" cy="109855"/>
              <wp:effectExtent l="0" t="0" r="0" b="0"/>
              <wp:wrapNone/>
              <wp:docPr id="1215" name="Shape 1215"/>
              <wp:cNvGraphicFramePr/>
              <a:graphic xmlns:a="http://schemas.openxmlformats.org/drawingml/2006/main">
                <a:graphicData uri="http://schemas.microsoft.com/office/word/2010/wordprocessingShape">
                  <wps:wsp>
                    <wps:cNvSpPr txBox="1"/>
                    <wps:spPr>
                      <a:xfrm>
                        <a:off x="0" y="0"/>
                        <a:ext cx="2372995" cy="109855"/>
                      </a:xfrm>
                      <a:prstGeom prst="rect">
                        <a:avLst/>
                      </a:prstGeom>
                      <a:noFill/>
                    </wps:spPr>
                    <wps:txbx>
                      <w:txbxContent>
                        <w:p w14:paraId="33EA81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数人侵权责任规则的检索顺序及共同过失的认定</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15" o:spid="_x0000_s1026" o:spt="202" type="#_x0000_t202" style="position:absolute;left:0pt;margin-left:281.8pt;margin-top:42.15pt;height:8.65pt;width:186.85pt;mso-position-horizontal-relative:page;mso-position-vertical-relative:page;mso-wrap-style:none;z-index:-251657216;mso-width-relative:page;mso-height-relative:page;" filled="f" stroked="f" coordsize="21600,21600" o:gfxdata="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HRBsnW&#10;AAAACgEAAA8AAAAAAAAAAQAgAAAAIgAAAGRycy9kb3ducmV2LnhtbFBLAQIUABQAAAAIAIdO4kDL&#10;jCdKsAEAAHYDAAAOAAAAAAAAAAEAIAAAACUBAABkcnMvZTJvRG9jLnhtbFBLBQYAAAAABgAGAFkB&#10;AABHBQAAAAA=&#10;">
              <v:fill on="f" focussize="0,0"/>
              <v:stroke on="f"/>
              <v:imagedata o:title=""/>
              <o:lock v:ext="edit" aspectratio="f"/>
              <v:textbox inset="0mm,0mm,0mm,0mm" style="mso-fit-shape-to-text:t;">
                <w:txbxContent>
                  <w:p w14:paraId="33EA81E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数人侵权责任规则的检索顺序及共同过失的认定</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F4B6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17" name="Shape 121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779A69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1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NVR&#10;RPewAQAAdQMAAA4AAAAAAAAAAQAgAAAAJAEAAGRycy9lMm9Eb2MueG1sUEsFBgAAAAAGAAYAWQEA&#10;AEYFAAAAAA==&#10;">
              <v:fill on="f" focussize="0,0"/>
              <v:stroke on="f"/>
              <v:imagedata o:title=""/>
              <o:lock v:ext="edit" aspectratio="f"/>
              <v:textbox inset="0mm,0mm,0mm,0mm" style="mso-fit-shape-to-text:t;">
                <w:txbxContent>
                  <w:p w14:paraId="3779A69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F36D0">
    <w:pPr>
      <w:widowControl w:val="0"/>
      <w:spacing w:line="1" w:lineRule="exact"/>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0CB1F">
    <w:pPr>
      <w:widowControl w:val="0"/>
      <w:spacing w:line="1" w:lineRule="exact"/>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9EFB4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25" name="Shape 122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48823B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2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siod&#10;LK8BAAB1AwAADgAAAAAAAAABACAAAAAkAQAAZHJzL2Uyb0RvYy54bWxQSwUGAAAAAAYABgBZAQAA&#10;RQUAAAAA&#10;">
              <v:fill on="f" focussize="0,0"/>
              <v:stroke on="f"/>
              <v:imagedata o:title=""/>
              <o:lock v:ext="edit" aspectratio="f"/>
              <v:textbox inset="0mm,0mm,0mm,0mm" style="mso-fit-shape-to-text:t;">
                <w:txbxContent>
                  <w:p w14:paraId="048823B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94B6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27" name="Shape 122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D09F4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2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AeK&#10;yvywAQAAdQMAAA4AAAAAAAAAAQAgAAAAJAEAAGRycy9lMm9Eb2MueG1sUEsFBgAAAAAGAAYAWQEA&#10;AEYFAAAAAA==&#10;">
              <v:fill on="f" focussize="0,0"/>
              <v:stroke on="f"/>
              <v:imagedata o:title=""/>
              <o:lock v:ext="edit" aspectratio="f"/>
              <v:textbox inset="0mm,0mm,0mm,0mm" style="mso-fit-shape-to-text:t;">
                <w:txbxContent>
                  <w:p w14:paraId="2D09F4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FEC2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4332605</wp:posOffset>
              </wp:positionH>
              <wp:positionV relativeFrom="page">
                <wp:posOffset>516255</wp:posOffset>
              </wp:positionV>
              <wp:extent cx="1569720" cy="109855"/>
              <wp:effectExtent l="0" t="0" r="0" b="0"/>
              <wp:wrapNone/>
              <wp:docPr id="1229" name="Shape 1229"/>
              <wp:cNvGraphicFramePr/>
              <a:graphic xmlns:a="http://schemas.openxmlformats.org/drawingml/2006/main">
                <a:graphicData uri="http://schemas.microsoft.com/office/word/2010/wordprocessingShape">
                  <wps:wsp>
                    <wps:cNvSpPr txBox="1"/>
                    <wps:spPr>
                      <a:xfrm>
                        <a:off x="0" y="0"/>
                        <a:ext cx="1569720" cy="109855"/>
                      </a:xfrm>
                      <a:prstGeom prst="rect">
                        <a:avLst/>
                      </a:prstGeom>
                      <a:noFill/>
                    </wps:spPr>
                    <wps:txbx>
                      <w:txbxContent>
                        <w:p w14:paraId="2D6F48F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擅自转让旅游业务与连带责任丨</w:t>
                          </w:r>
                          <w:r>
                            <w:rPr>
                              <w:rFonts w:ascii="Times New Roman" w:hAnsi="Times New Roman" w:eastAsia="Times New Roman" w:cs="Times New Roman"/>
                              <w:b/>
                              <w:bCs/>
                              <w:color w:val="000000"/>
                              <w:spacing w:val="0"/>
                              <w:w w:val="100"/>
                              <w:position w:val="0"/>
                              <w:sz w:val="15"/>
                              <w:szCs w:val="15"/>
                            </w:rPr>
                            <w:t>447</w:t>
                          </w:r>
                        </w:p>
                      </w:txbxContent>
                    </wps:txbx>
                    <wps:bodyPr wrap="none" lIns="0" tIns="0" rIns="0" bIns="0">
                      <a:spAutoFit/>
                    </wps:bodyPr>
                  </wps:wsp>
                </a:graphicData>
              </a:graphic>
            </wp:anchor>
          </w:drawing>
        </mc:Choice>
        <mc:Fallback>
          <w:pict>
            <v:shape id="Shape 1229" o:spid="_x0000_s1026" o:spt="202" type="#_x0000_t202" style="position:absolute;left:0pt;margin-left:341.15pt;margin-top:40.65pt;height:8.65pt;width:123.6pt;mso-position-horizontal-relative:page;mso-position-vertical-relative:page;mso-wrap-style:none;z-index:-251657216;mso-width-relative:page;mso-height-relative:page;" filled="f" stroked="f" coordsize="21600,21600" o:gfxdata="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zKj4u1QAA&#10;AAkBAAAPAAAAAAAAAAEAIAAAACIAAABkcnMvZG93bnJldi54bWxQSwECFAAUAAAACACHTuJAuTCi&#10;7K8BAAB2AwAADgAAAAAAAAABACAAAAAkAQAAZHJzL2Uyb0RvYy54bWxQSwUGAAAAAAYABgBZAQAA&#10;RQUAAAAA&#10;">
              <v:fill on="f" focussize="0,0"/>
              <v:stroke on="f"/>
              <v:imagedata o:title=""/>
              <o:lock v:ext="edit" aspectratio="f"/>
              <v:textbox inset="0mm,0mm,0mm,0mm" style="mso-fit-shape-to-text:t;">
                <w:txbxContent>
                  <w:p w14:paraId="2D6F48F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擅自转让旅游业务与连带责任丨</w:t>
                    </w:r>
                    <w:r>
                      <w:rPr>
                        <w:rFonts w:ascii="Times New Roman" w:hAnsi="Times New Roman" w:eastAsia="Times New Roman" w:cs="Times New Roman"/>
                        <w:b/>
                        <w:bCs/>
                        <w:color w:val="000000"/>
                        <w:spacing w:val="0"/>
                        <w:w w:val="100"/>
                        <w:position w:val="0"/>
                        <w:sz w:val="15"/>
                        <w:szCs w:val="15"/>
                      </w:rPr>
                      <w:t>447</w:t>
                    </w:r>
                  </w:p>
                </w:txbxContent>
              </v:textbox>
            </v:shape>
          </w:pict>
        </mc:Fallback>
      </mc:AlternateContent>
    </w: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6F01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4332605</wp:posOffset>
              </wp:positionH>
              <wp:positionV relativeFrom="page">
                <wp:posOffset>516255</wp:posOffset>
              </wp:positionV>
              <wp:extent cx="1569720" cy="109855"/>
              <wp:effectExtent l="0" t="0" r="0" b="0"/>
              <wp:wrapNone/>
              <wp:docPr id="1231" name="Shape 1231"/>
              <wp:cNvGraphicFramePr/>
              <a:graphic xmlns:a="http://schemas.openxmlformats.org/drawingml/2006/main">
                <a:graphicData uri="http://schemas.microsoft.com/office/word/2010/wordprocessingShape">
                  <wps:wsp>
                    <wps:cNvSpPr txBox="1"/>
                    <wps:spPr>
                      <a:xfrm>
                        <a:off x="0" y="0"/>
                        <a:ext cx="1569720" cy="109855"/>
                      </a:xfrm>
                      <a:prstGeom prst="rect">
                        <a:avLst/>
                      </a:prstGeom>
                      <a:noFill/>
                    </wps:spPr>
                    <wps:txbx>
                      <w:txbxContent>
                        <w:p w14:paraId="743BF6C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擅自转让旅游业务与连带责任丨</w:t>
                          </w:r>
                          <w:r>
                            <w:rPr>
                              <w:rFonts w:ascii="Times New Roman" w:hAnsi="Times New Roman" w:eastAsia="Times New Roman" w:cs="Times New Roman"/>
                              <w:b/>
                              <w:bCs/>
                              <w:color w:val="000000"/>
                              <w:spacing w:val="0"/>
                              <w:w w:val="100"/>
                              <w:position w:val="0"/>
                              <w:sz w:val="15"/>
                              <w:szCs w:val="15"/>
                            </w:rPr>
                            <w:t>447</w:t>
                          </w:r>
                        </w:p>
                      </w:txbxContent>
                    </wps:txbx>
                    <wps:bodyPr wrap="none" lIns="0" tIns="0" rIns="0" bIns="0">
                      <a:spAutoFit/>
                    </wps:bodyPr>
                  </wps:wsp>
                </a:graphicData>
              </a:graphic>
            </wp:anchor>
          </w:drawing>
        </mc:Choice>
        <mc:Fallback>
          <w:pict>
            <v:shape id="Shape 1231" o:spid="_x0000_s1026" o:spt="202" type="#_x0000_t202" style="position:absolute;left:0pt;margin-left:341.15pt;margin-top:40.65pt;height:8.65pt;width:123.6pt;mso-position-horizontal-relative:page;mso-position-vertical-relative:page;mso-wrap-style:none;z-index:-251657216;mso-width-relative:page;mso-height-relative:page;" filled="f" stroked="f" coordsize="21600,21600" o:gfxdata="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zKj4u1QAA&#10;AAkBAAAPAAAAAAAAAAEAIAAAACIAAABkcnMvZG93bnJldi54bWxQSwECFAAUAAAACACHTuJAF2zt&#10;Sa8BAAB2AwAADgAAAAAAAAABACAAAAAkAQAAZHJzL2Uyb0RvYy54bWxQSwUGAAAAAAYABgBZAQAA&#10;RQUAAAAA&#10;">
              <v:fill on="f" focussize="0,0"/>
              <v:stroke on="f"/>
              <v:imagedata o:title=""/>
              <o:lock v:ext="edit" aspectratio="f"/>
              <v:textbox inset="0mm,0mm,0mm,0mm" style="mso-fit-shape-to-text:t;">
                <w:txbxContent>
                  <w:p w14:paraId="743BF6C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擅自转让旅游业务与连带责任丨</w:t>
                    </w:r>
                    <w:r>
                      <w:rPr>
                        <w:rFonts w:ascii="Times New Roman" w:hAnsi="Times New Roman" w:eastAsia="Times New Roman" w:cs="Times New Roman"/>
                        <w:b/>
                        <w:bCs/>
                        <w:color w:val="000000"/>
                        <w:spacing w:val="0"/>
                        <w:w w:val="100"/>
                        <w:position w:val="0"/>
                        <w:sz w:val="15"/>
                        <w:szCs w:val="15"/>
                      </w:rPr>
                      <w:t>447</w:t>
                    </w:r>
                  </w:p>
                </w:txbxContent>
              </v:textbox>
            </v:shape>
          </w:pict>
        </mc:Fallback>
      </mc:AlternateContent>
    </w: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38BA4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33" name="Shape 123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FB06DC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3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2G&#10;QTawAQAAdQMAAA4AAAAAAAAAAQAgAAAAJAEAAGRycy9lMm9Eb2MueG1sUEsFBgAAAAAGAAYAWQEA&#10;AEYFAAAAAA==&#10;">
              <v:fill on="f" focussize="0,0"/>
              <v:stroke on="f"/>
              <v:imagedata o:title=""/>
              <o:lock v:ext="edit" aspectratio="f"/>
              <v:textbox inset="0mm,0mm,0mm,0mm" style="mso-fit-shape-to-text:t;">
                <w:txbxContent>
                  <w:p w14:paraId="4FB06DC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D2EAE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1" name="Shape 11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486FB0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gzH3&#10;i68BAABzAwAADgAAAAAAAAABACAAAAAkAQAAZHJzL2Uyb0RvYy54bWxQSwUGAAAAAAYABgBZAQAA&#10;RQUAAAAA&#10;">
              <v:fill on="f" focussize="0,0"/>
              <v:stroke on="f"/>
              <v:imagedata o:title=""/>
              <o:lock v:ext="edit" aspectratio="f"/>
              <v:textbox inset="0mm,0mm,0mm,0mm" style="mso-fit-shape-to-text:t;">
                <w:txbxContent>
                  <w:p w14:paraId="4486FB0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D989A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35" name="Shape 123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F7A53D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3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sDmZK9UAAAAI&#10;AQAADwAAAAAAAAABACAAAAAiAAAAZHJzL2Rvd25yZXYueG1sUEsBAhQAFAAAAAgAh07iQMNhSJyt&#10;AQAAdQMAAA4AAAAAAAAAAQAgAAAAJAEAAGRycy9lMm9Eb2MueG1sUEsFBgAAAAAGAAYAWQEAAEMF&#10;AAAAAA==&#10;">
              <v:fill on="f" focussize="0,0"/>
              <v:stroke on="f"/>
              <v:imagedata o:title=""/>
              <o:lock v:ext="edit" aspectratio="f"/>
              <v:textbox inset="0mm,0mm,0mm,0mm" style="mso-fit-shape-to-text:t;">
                <w:txbxContent>
                  <w:p w14:paraId="3F7A53D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A0E30E">
    <w:pPr>
      <w:widowControl w:val="0"/>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586BD7">
    <w:pPr>
      <w:widowControl w:val="0"/>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FA33A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4443730</wp:posOffset>
              </wp:positionH>
              <wp:positionV relativeFrom="page">
                <wp:posOffset>521970</wp:posOffset>
              </wp:positionV>
              <wp:extent cx="1463040" cy="109855"/>
              <wp:effectExtent l="0" t="0" r="0" b="0"/>
              <wp:wrapNone/>
              <wp:docPr id="1241" name="Shape 1241"/>
              <wp:cNvGraphicFramePr/>
              <a:graphic xmlns:a="http://schemas.openxmlformats.org/drawingml/2006/main">
                <a:graphicData uri="http://schemas.microsoft.com/office/word/2010/wordprocessingShape">
                  <wps:wsp>
                    <wps:cNvSpPr txBox="1"/>
                    <wps:spPr>
                      <a:xfrm>
                        <a:off x="0" y="0"/>
                        <a:ext cx="1463040" cy="109855"/>
                      </a:xfrm>
                      <a:prstGeom prst="rect">
                        <a:avLst/>
                      </a:prstGeom>
                      <a:noFill/>
                    </wps:spPr>
                    <wps:txbx>
                      <w:txbxContent>
                        <w:p w14:paraId="3830B7D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41" o:spid="_x0000_s1026" o:spt="202" type="#_x0000_t202" style="position:absolute;left:0pt;margin-left:349.9pt;margin-top:41.1pt;height:8.65pt;width:115.2pt;mso-position-horizontal-relative:page;mso-position-vertical-relative:page;mso-wrap-style:none;z-index:-251657216;mso-width-relative:page;mso-height-relative:page;" filled="f" stroked="f" coordsize="21600,21600" o:gfxdata="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oz3oy1QAA&#10;AAkBAAAPAAAAAAAAAAEAIAAAACIAAABkcnMvZG93bnJldi54bWxQSwECFAAUAAAACACHTuJA+n8J&#10;568BAAB2AwAADgAAAAAAAAABACAAAAAkAQAAZHJzL2Uyb0RvYy54bWxQSwUGAAAAAAYABgBZAQAA&#10;RQUAAAAA&#10;">
              <v:fill on="f" focussize="0,0"/>
              <v:stroke on="f"/>
              <v:imagedata o:title=""/>
              <o:lock v:ext="edit" aspectratio="f"/>
              <v:textbox inset="0mm,0mm,0mm,0mm" style="mso-fit-shape-to-text:t;">
                <w:txbxContent>
                  <w:p w14:paraId="3830B7D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w:t>
                    </w:r>
                    <w:r>
                      <w:rPr>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2D022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43" name="Shape 124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5E71E0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4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Ih6&#10;CZGwAQAAdQMAAA4AAAAAAAAAAQAgAAAAJAEAAGRycy9lMm9Eb2MueG1sUEsFBgAAAAAGAAYAWQEA&#10;AEYFAAAAAA==&#10;">
              <v:fill on="f" focussize="0,0"/>
              <v:stroke on="f"/>
              <v:imagedata o:title=""/>
              <o:lock v:ext="edit" aspectratio="f"/>
              <v:textbox inset="0mm,0mm,0mm,0mm" style="mso-fit-shape-to-text:t;">
                <w:txbxContent>
                  <w:p w14:paraId="45E71E0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456A1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4439920</wp:posOffset>
              </wp:positionH>
              <wp:positionV relativeFrom="page">
                <wp:posOffset>516255</wp:posOffset>
              </wp:positionV>
              <wp:extent cx="1467485" cy="109855"/>
              <wp:effectExtent l="0" t="0" r="0" b="0"/>
              <wp:wrapNone/>
              <wp:docPr id="1245" name="Shape 1245"/>
              <wp:cNvGraphicFramePr/>
              <a:graphic xmlns:a="http://schemas.openxmlformats.org/drawingml/2006/main">
                <a:graphicData uri="http://schemas.microsoft.com/office/word/2010/wordprocessingShape">
                  <wps:wsp>
                    <wps:cNvSpPr txBox="1"/>
                    <wps:spPr>
                      <a:xfrm>
                        <a:off x="0" y="0"/>
                        <a:ext cx="1467485" cy="109855"/>
                      </a:xfrm>
                      <a:prstGeom prst="rect">
                        <a:avLst/>
                      </a:prstGeom>
                      <a:noFill/>
                    </wps:spPr>
                    <wps:txbx>
                      <w:txbxContent>
                        <w:p w14:paraId="32BBC6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刑事受害人的民事赔偿范围丨</w:t>
                          </w:r>
                          <w:r>
                            <w:rPr>
                              <w:rFonts w:ascii="Times New Roman" w:hAnsi="Times New Roman" w:eastAsia="Times New Roman" w:cs="Times New Roman"/>
                              <w:b/>
                              <w:bCs/>
                              <w:color w:val="000000"/>
                              <w:spacing w:val="0"/>
                              <w:w w:val="100"/>
                              <w:position w:val="0"/>
                              <w:sz w:val="15"/>
                              <w:szCs w:val="15"/>
                            </w:rPr>
                            <w:t>453</w:t>
                          </w:r>
                        </w:p>
                      </w:txbxContent>
                    </wps:txbx>
                    <wps:bodyPr wrap="none" lIns="0" tIns="0" rIns="0" bIns="0">
                      <a:spAutoFit/>
                    </wps:bodyPr>
                  </wps:wsp>
                </a:graphicData>
              </a:graphic>
            </wp:anchor>
          </w:drawing>
        </mc:Choice>
        <mc:Fallback>
          <w:pict>
            <v:shape id="Shape 1245" o:spid="_x0000_s1026" o:spt="202" type="#_x0000_t202" style="position:absolute;left:0pt;margin-left:349.6pt;margin-top:40.65pt;height:8.65pt;width:115.55pt;mso-position-horizontal-relative:page;mso-position-vertical-relative:page;mso-wrap-style:none;z-index:-251657216;mso-width-relative:page;mso-height-relative:page;" filled="f" stroked="f" coordsize="21600,21600" o:gfxdata="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mN7aL1QAA&#10;AAkBAAAPAAAAAAAAAAEAIAAAACIAAABkcnMvZG93bnJldi54bWxQSwECFAAUAAAACACHTuJAxKH3&#10;L68BAAB2AwAADgAAAAAAAAABACAAAAAkAQAAZHJzL2Uyb0RvYy54bWxQSwUGAAAAAAYABgBZAQAA&#10;RQUAAAAA&#10;">
              <v:fill on="f" focussize="0,0"/>
              <v:stroke on="f"/>
              <v:imagedata o:title=""/>
              <o:lock v:ext="edit" aspectratio="f"/>
              <v:textbox inset="0mm,0mm,0mm,0mm" style="mso-fit-shape-to-text:t;">
                <w:txbxContent>
                  <w:p w14:paraId="32BBC6D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刑事受害人的民事赔偿范围丨</w:t>
                    </w:r>
                    <w:r>
                      <w:rPr>
                        <w:rFonts w:ascii="Times New Roman" w:hAnsi="Times New Roman" w:eastAsia="Times New Roman" w:cs="Times New Roman"/>
                        <w:b/>
                        <w:bCs/>
                        <w:color w:val="000000"/>
                        <w:spacing w:val="0"/>
                        <w:w w:val="100"/>
                        <w:position w:val="0"/>
                        <w:sz w:val="15"/>
                        <w:szCs w:val="15"/>
                      </w:rPr>
                      <w:t>453</w:t>
                    </w:r>
                  </w:p>
                </w:txbxContent>
              </v:textbox>
            </v:shape>
          </w:pict>
        </mc:Fallback>
      </mc:AlternateContent>
    </w: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26F2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4439920</wp:posOffset>
              </wp:positionH>
              <wp:positionV relativeFrom="page">
                <wp:posOffset>516255</wp:posOffset>
              </wp:positionV>
              <wp:extent cx="1467485" cy="109855"/>
              <wp:effectExtent l="0" t="0" r="0" b="0"/>
              <wp:wrapNone/>
              <wp:docPr id="1247" name="Shape 1247"/>
              <wp:cNvGraphicFramePr/>
              <a:graphic xmlns:a="http://schemas.openxmlformats.org/drawingml/2006/main">
                <a:graphicData uri="http://schemas.microsoft.com/office/word/2010/wordprocessingShape">
                  <wps:wsp>
                    <wps:cNvSpPr txBox="1"/>
                    <wps:spPr>
                      <a:xfrm>
                        <a:off x="0" y="0"/>
                        <a:ext cx="1467485" cy="109855"/>
                      </a:xfrm>
                      <a:prstGeom prst="rect">
                        <a:avLst/>
                      </a:prstGeom>
                      <a:noFill/>
                    </wps:spPr>
                    <wps:txbx>
                      <w:txbxContent>
                        <w:p w14:paraId="09E02EC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刑事受害人的民事赔偿范围丨</w:t>
                          </w:r>
                          <w:r>
                            <w:rPr>
                              <w:rFonts w:ascii="Times New Roman" w:hAnsi="Times New Roman" w:eastAsia="Times New Roman" w:cs="Times New Roman"/>
                              <w:b/>
                              <w:bCs/>
                              <w:color w:val="000000"/>
                              <w:spacing w:val="0"/>
                              <w:w w:val="100"/>
                              <w:position w:val="0"/>
                              <w:sz w:val="15"/>
                              <w:szCs w:val="15"/>
                            </w:rPr>
                            <w:t>453</w:t>
                          </w:r>
                        </w:p>
                      </w:txbxContent>
                    </wps:txbx>
                    <wps:bodyPr wrap="none" lIns="0" tIns="0" rIns="0" bIns="0">
                      <a:spAutoFit/>
                    </wps:bodyPr>
                  </wps:wsp>
                </a:graphicData>
              </a:graphic>
            </wp:anchor>
          </w:drawing>
        </mc:Choice>
        <mc:Fallback>
          <w:pict>
            <v:shape id="Shape 1247" o:spid="_x0000_s1026" o:spt="202" type="#_x0000_t202" style="position:absolute;left:0pt;margin-left:349.6pt;margin-top:40.65pt;height:8.65pt;width:115.55pt;mso-position-horizontal-relative:page;mso-position-vertical-relative:page;mso-wrap-style:none;z-index:-251657216;mso-width-relative:page;mso-height-relative:page;" filled="f" stroked="f" coordsize="21600,21600" o:gfxdata="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je2i9UA&#10;AAAJAQAADwAAAAAAAAABACAAAAAiAAAAZHJzL2Rvd25yZXYueG1sUEsBAhQAFAAAAAgAh07iQGcx&#10;LJSwAQAAdgMAAA4AAAAAAAAAAQAgAAAAJAEAAGRycy9lMm9Eb2MueG1sUEsFBgAAAAAGAAYAWQEA&#10;AEYFAAAAAA==&#10;">
              <v:fill on="f" focussize="0,0"/>
              <v:stroke on="f"/>
              <v:imagedata o:title=""/>
              <o:lock v:ext="edit" aspectratio="f"/>
              <v:textbox inset="0mm,0mm,0mm,0mm" style="mso-fit-shape-to-text:t;">
                <w:txbxContent>
                  <w:p w14:paraId="09E02EC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刑事受害人的民事赔偿范围丨</w:t>
                    </w:r>
                    <w:r>
                      <w:rPr>
                        <w:rFonts w:ascii="Times New Roman" w:hAnsi="Times New Roman" w:eastAsia="Times New Roman" w:cs="Times New Roman"/>
                        <w:b/>
                        <w:bCs/>
                        <w:color w:val="000000"/>
                        <w:spacing w:val="0"/>
                        <w:w w:val="100"/>
                        <w:position w:val="0"/>
                        <w:sz w:val="15"/>
                        <w:szCs w:val="15"/>
                      </w:rPr>
                      <w:t>453</w:t>
                    </w:r>
                  </w:p>
                </w:txbxContent>
              </v:textbox>
            </v:shape>
          </w:pict>
        </mc:Fallback>
      </mc:AlternateContent>
    </w: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91EEF7">
    <w:pPr>
      <w:widowControl w:val="0"/>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E4D7D">
    <w:pPr>
      <w:widowControl w:val="0"/>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478E5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4074160</wp:posOffset>
              </wp:positionH>
              <wp:positionV relativeFrom="page">
                <wp:posOffset>533400</wp:posOffset>
              </wp:positionV>
              <wp:extent cx="1873250" cy="107950"/>
              <wp:effectExtent l="0" t="0" r="0" b="0"/>
              <wp:wrapNone/>
              <wp:docPr id="1255" name="Shape 1255"/>
              <wp:cNvGraphicFramePr/>
              <a:graphic xmlns:a="http://schemas.openxmlformats.org/drawingml/2006/main">
                <a:graphicData uri="http://schemas.microsoft.com/office/word/2010/wordprocessingShape">
                  <wps:wsp>
                    <wps:cNvSpPr txBox="1"/>
                    <wps:spPr>
                      <a:xfrm>
                        <a:off x="0" y="0"/>
                        <a:ext cx="1873250" cy="107950"/>
                      </a:xfrm>
                      <a:prstGeom prst="rect">
                        <a:avLst/>
                      </a:prstGeom>
                      <a:noFill/>
                    </wps:spPr>
                    <wps:txbx>
                      <w:txbxContent>
                        <w:p w14:paraId="1C3702C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按因侵权所获利益认定赔偿额的方法丨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55" o:spid="_x0000_s1026" o:spt="202" type="#_x0000_t202" style="position:absolute;left:0pt;margin-left:320.8pt;margin-top:42pt;height:8.5pt;width:147.5pt;mso-position-horizontal-relative:page;mso-position-vertical-relative:page;mso-wrap-style:none;z-index:-251657216;mso-width-relative:page;mso-height-relative:page;" filled="f" stroked="f" coordsize="21600,21600" o:gfxdata="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chbQHVAAAA&#10;CgEAAA8AAAAAAAAAAQAgAAAAIgAAAGRycy9kb3ducmV2LnhtbFBLAQIUABQAAAAIAIdO4kCvzLJx&#10;rgEAAHYDAAAOAAAAAAAAAAEAIAAAACQBAABkcnMvZTJvRG9jLnhtbFBLBQYAAAAABgAGAFkBAABE&#10;BQAAAAA=&#10;">
              <v:fill on="f" focussize="0,0"/>
              <v:stroke on="f"/>
              <v:imagedata o:title=""/>
              <o:lock v:ext="edit" aspectratio="f"/>
              <v:textbox inset="0mm,0mm,0mm,0mm" style="mso-fit-shape-to-text:t;">
                <w:txbxContent>
                  <w:p w14:paraId="1C3702C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按因侵权所获利益认定赔偿额的方法丨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1F60D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3" name="Shape 11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E6DA6E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VosPra8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qObsLzjzAtHKy9zWU6QPUPAhrqeAvWl&#10;8QuM1HrNIyWz6lFHl5+kh1GdzL3czFVjYpKSm/uPq7s1Z5JKy/rTZr3OKNXLxyFi+qrAsRy0PNLu&#10;iqXi/B3T1HptybM8PBprcz4znJjkKI2HcaZ9gO5CrAdab8s93WbO7DdP7uWbcA3iNTjMQQbH8PmU&#10;aECZm1EnqHkY7aIwn+9NXvbf76Xr5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VosP&#10;ra8BAABzAwAADgAAAAAAAAABACAAAAAkAQAAZHJzL2Uyb0RvYy54bWxQSwUGAAAAAAYABgBZAQAA&#10;RQUAAAAA&#10;">
              <v:fill on="f" focussize="0,0"/>
              <v:stroke on="f"/>
              <v:imagedata o:title=""/>
              <o:lock v:ext="edit" aspectratio="f"/>
              <v:textbox inset="0mm,0mm,0mm,0mm" style="mso-fit-shape-to-text:t;">
                <w:txbxContent>
                  <w:p w14:paraId="6E6DA6E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1C49D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57" name="Shape 125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F8B92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5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NJ2&#10;gluwAQAAdQMAAA4AAAAAAAAAAQAgAAAAJAEAAGRycy9lMm9Eb2MueG1sUEsFBgAAAAAGAAYAWQEA&#10;AEYFAAAAAA==&#10;">
              <v:fill on="f" focussize="0,0"/>
              <v:stroke on="f"/>
              <v:imagedata o:title=""/>
              <o:lock v:ext="edit" aspectratio="f"/>
              <v:textbox inset="0mm,0mm,0mm,0mm" style="mso-fit-shape-to-text:t;">
                <w:txbxContent>
                  <w:p w14:paraId="6F8B92E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51DC92">
    <w:pPr>
      <w:widowControl w:val="0"/>
      <w:spacing w:line="1" w:lineRule="exact"/>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5E1D5">
    <w:pPr>
      <w:widowControl w:val="0"/>
      <w:spacing w:line="1" w:lineRule="exact"/>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8A38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63" name="Shape 126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DD8735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6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vq&#10;0iqwAQAAdQMAAA4AAAAAAAAAAQAgAAAAJAEAAGRycy9lMm9Eb2MueG1sUEsFBgAAAAAGAAYAWQEA&#10;AEYFAAAAAA==&#10;">
              <v:fill on="f" focussize="0,0"/>
              <v:stroke on="f"/>
              <v:imagedata o:title=""/>
              <o:lock v:ext="edit" aspectratio="f"/>
              <v:textbox inset="0mm,0mm,0mm,0mm" style="mso-fit-shape-to-text:t;">
                <w:txbxContent>
                  <w:p w14:paraId="5DD8735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FBCDD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65" name="Shape 126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6AD91F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6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tQ3b&#10;gK8BAAB1AwAADgAAAAAAAAABACAAAAAkAQAAZHJzL2Uyb0RvYy54bWxQSwUGAAAAAAYABgBZAQAA&#10;RQUAAAAA&#10;">
              <v:fill on="f" focussize="0,0"/>
              <v:stroke on="f"/>
              <v:imagedata o:title=""/>
              <o:lock v:ext="edit" aspectratio="f"/>
              <v:textbox inset="0mm,0mm,0mm,0mm" style="mso-fit-shape-to-text:t;">
                <w:txbxContent>
                  <w:p w14:paraId="76AD91F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9D59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4223385</wp:posOffset>
              </wp:positionH>
              <wp:positionV relativeFrom="page">
                <wp:posOffset>512445</wp:posOffset>
              </wp:positionV>
              <wp:extent cx="1665605" cy="109855"/>
              <wp:effectExtent l="0" t="0" r="0" b="0"/>
              <wp:wrapNone/>
              <wp:docPr id="1267" name="Shape 1267"/>
              <wp:cNvGraphicFramePr/>
              <a:graphic xmlns:a="http://schemas.openxmlformats.org/drawingml/2006/main">
                <a:graphicData uri="http://schemas.microsoft.com/office/word/2010/wordprocessingShape">
                  <wps:wsp>
                    <wps:cNvSpPr txBox="1"/>
                    <wps:spPr>
                      <a:xfrm>
                        <a:off x="0" y="0"/>
                        <a:ext cx="1665605" cy="109855"/>
                      </a:xfrm>
                      <a:prstGeom prst="rect">
                        <a:avLst/>
                      </a:prstGeom>
                      <a:noFill/>
                    </wps:spPr>
                    <wps:txbx>
                      <w:txbxContent>
                        <w:p w14:paraId="11ED8F5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纯粹经济损失的侵权责任法保护丨</w:t>
                          </w:r>
                          <w:r>
                            <w:rPr>
                              <w:rFonts w:ascii="Times New Roman" w:hAnsi="Times New Roman" w:eastAsia="Times New Roman" w:cs="Times New Roman"/>
                              <w:b/>
                              <w:bCs/>
                              <w:color w:val="000000"/>
                              <w:spacing w:val="0"/>
                              <w:w w:val="100"/>
                              <w:position w:val="0"/>
                              <w:sz w:val="15"/>
                              <w:szCs w:val="15"/>
                            </w:rPr>
                            <w:t>461</w:t>
                          </w:r>
                        </w:p>
                      </w:txbxContent>
                    </wps:txbx>
                    <wps:bodyPr wrap="none" lIns="0" tIns="0" rIns="0" bIns="0">
                      <a:spAutoFit/>
                    </wps:bodyPr>
                  </wps:wsp>
                </a:graphicData>
              </a:graphic>
            </wp:anchor>
          </w:drawing>
        </mc:Choice>
        <mc:Fallback>
          <w:pict>
            <v:shape id="Shape 1267" o:spid="_x0000_s1026" o:spt="202" type="#_x0000_t202" style="position:absolute;left:0pt;margin-left:332.55pt;margin-top:40.35pt;height:8.65pt;width:131.15pt;mso-position-horizontal-relative:page;mso-position-vertical-relative:page;mso-wrap-style:none;z-index:-251657216;mso-width-relative:page;mso-height-relative:page;" filled="f" stroked="f" coordsize="21600,21600" o:gfxdata="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LnndtYA&#10;AAAJAQAADwAAAAAAAAABACAAAAAiAAAAZHJzL2Rvd25yZXYueG1sUEsBAhQAFAAAAAgAh07iQD3I&#10;s++vAQAAdgMAAA4AAAAAAAAAAQAgAAAAJQEAAGRycy9lMm9Eb2MueG1sUEsFBgAAAAAGAAYAWQEA&#10;AEYFAAAAAA==&#10;">
              <v:fill on="f" focussize="0,0"/>
              <v:stroke on="f"/>
              <v:imagedata o:title=""/>
              <o:lock v:ext="edit" aspectratio="f"/>
              <v:textbox inset="0mm,0mm,0mm,0mm" style="mso-fit-shape-to-text:t;">
                <w:txbxContent>
                  <w:p w14:paraId="11ED8F5B">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纯粹经济损失的侵权责任法保护丨</w:t>
                    </w:r>
                    <w:r>
                      <w:rPr>
                        <w:rFonts w:ascii="Times New Roman" w:hAnsi="Times New Roman" w:eastAsia="Times New Roman" w:cs="Times New Roman"/>
                        <w:b/>
                        <w:bCs/>
                        <w:color w:val="000000"/>
                        <w:spacing w:val="0"/>
                        <w:w w:val="100"/>
                        <w:position w:val="0"/>
                        <w:sz w:val="15"/>
                        <w:szCs w:val="15"/>
                      </w:rPr>
                      <w:t>461</w:t>
                    </w:r>
                  </w:p>
                </w:txbxContent>
              </v:textbox>
            </v:shape>
          </w:pict>
        </mc:Fallback>
      </mc:AlternateContent>
    </w: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7BA3F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4223385</wp:posOffset>
              </wp:positionH>
              <wp:positionV relativeFrom="page">
                <wp:posOffset>512445</wp:posOffset>
              </wp:positionV>
              <wp:extent cx="1665605" cy="109855"/>
              <wp:effectExtent l="0" t="0" r="0" b="0"/>
              <wp:wrapNone/>
              <wp:docPr id="1269" name="Shape 1269"/>
              <wp:cNvGraphicFramePr/>
              <a:graphic xmlns:a="http://schemas.openxmlformats.org/drawingml/2006/main">
                <a:graphicData uri="http://schemas.microsoft.com/office/word/2010/wordprocessingShape">
                  <wps:wsp>
                    <wps:cNvSpPr txBox="1"/>
                    <wps:spPr>
                      <a:xfrm>
                        <a:off x="0" y="0"/>
                        <a:ext cx="1665605" cy="109855"/>
                      </a:xfrm>
                      <a:prstGeom prst="rect">
                        <a:avLst/>
                      </a:prstGeom>
                      <a:noFill/>
                    </wps:spPr>
                    <wps:txbx>
                      <w:txbxContent>
                        <w:p w14:paraId="35ED99D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纯粹经济损失的侵权责任法保护丨</w:t>
                          </w:r>
                          <w:r>
                            <w:rPr>
                              <w:rFonts w:ascii="Times New Roman" w:hAnsi="Times New Roman" w:eastAsia="Times New Roman" w:cs="Times New Roman"/>
                              <w:b/>
                              <w:bCs/>
                              <w:color w:val="000000"/>
                              <w:spacing w:val="0"/>
                              <w:w w:val="100"/>
                              <w:position w:val="0"/>
                              <w:sz w:val="15"/>
                              <w:szCs w:val="15"/>
                            </w:rPr>
                            <w:t>461</w:t>
                          </w:r>
                        </w:p>
                      </w:txbxContent>
                    </wps:txbx>
                    <wps:bodyPr wrap="none" lIns="0" tIns="0" rIns="0" bIns="0">
                      <a:spAutoFit/>
                    </wps:bodyPr>
                  </wps:wsp>
                </a:graphicData>
              </a:graphic>
            </wp:anchor>
          </w:drawing>
        </mc:Choice>
        <mc:Fallback>
          <w:pict>
            <v:shape id="Shape 1269" o:spid="_x0000_s1026" o:spt="202" type="#_x0000_t202" style="position:absolute;left:0pt;margin-left:332.55pt;margin-top:40.35pt;height:8.65pt;width:131.15pt;mso-position-horizontal-relative:page;mso-position-vertical-relative:page;mso-wrap-style:none;z-index:-251657216;mso-width-relative:page;mso-height-relative:page;" filled="f" stroked="f" coordsize="21600,21600" o:gfxdata="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LnndtYA&#10;AAAJAQAADwAAAAAAAAABACAAAAAiAAAAZHJzL2Rvd25yZXYueG1sUEsBAhQAFAAAAAgAh07iQNY3&#10;U3qvAQAAdgMAAA4AAAAAAAAAAQAgAAAAJQEAAGRycy9lMm9Eb2MueG1sUEsFBgAAAAAGAAYAWQEA&#10;AEYFAAAAAA==&#10;">
              <v:fill on="f" focussize="0,0"/>
              <v:stroke on="f"/>
              <v:imagedata o:title=""/>
              <o:lock v:ext="edit" aspectratio="f"/>
              <v:textbox inset="0mm,0mm,0mm,0mm" style="mso-fit-shape-to-text:t;">
                <w:txbxContent>
                  <w:p w14:paraId="35ED99D4">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纯粹经济损失的侵权责任法保护丨</w:t>
                    </w:r>
                    <w:r>
                      <w:rPr>
                        <w:rFonts w:ascii="Times New Roman" w:hAnsi="Times New Roman" w:eastAsia="Times New Roman" w:cs="Times New Roman"/>
                        <w:b/>
                        <w:bCs/>
                        <w:color w:val="000000"/>
                        <w:spacing w:val="0"/>
                        <w:w w:val="100"/>
                        <w:position w:val="0"/>
                        <w:sz w:val="15"/>
                        <w:szCs w:val="15"/>
                      </w:rPr>
                      <w:t>461</w:t>
                    </w:r>
                  </w:p>
                </w:txbxContent>
              </v:textbox>
            </v:shape>
          </w:pict>
        </mc:Fallback>
      </mc:AlternateContent>
    </w: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F3269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71" name="Shape 127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206718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7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O8B&#10;UEqwAQAAdQMAAA4AAAAAAAAAAQAgAAAAJAEAAGRycy9lMm9Eb2MueG1sUEsFBgAAAAAGAAYAWQEA&#10;AEYFAAAAAA==&#10;">
              <v:fill on="f" focussize="0,0"/>
              <v:stroke on="f"/>
              <v:imagedata o:title=""/>
              <o:lock v:ext="edit" aspectratio="f"/>
              <v:textbox inset="0mm,0mm,0mm,0mm" style="mso-fit-shape-to-text:t;">
                <w:txbxContent>
                  <w:p w14:paraId="5206718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1404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73" name="Shape 12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C413E6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qh&#10;h5qwAQAAdQMAAA4AAAAAAAAAAQAgAAAAJAEAAGRycy9lMm9Eb2MueG1sUEsFBgAAAAAGAAYAWQEA&#10;AEYFAAAAAA==&#10;">
              <v:fill on="f" focussize="0,0"/>
              <v:stroke on="f"/>
              <v:imagedata o:title=""/>
              <o:lock v:ext="edit" aspectratio="f"/>
              <v:textbox inset="0mm,0mm,0mm,0mm" style="mso-fit-shape-to-text:t;">
                <w:txbxContent>
                  <w:p w14:paraId="6C413E6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FBC5A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4222115</wp:posOffset>
              </wp:positionH>
              <wp:positionV relativeFrom="page">
                <wp:posOffset>518795</wp:posOffset>
              </wp:positionV>
              <wp:extent cx="1671955" cy="109855"/>
              <wp:effectExtent l="0" t="0" r="0" b="0"/>
              <wp:wrapNone/>
              <wp:docPr id="1275" name="Shape 1275"/>
              <wp:cNvGraphicFramePr/>
              <a:graphic xmlns:a="http://schemas.openxmlformats.org/drawingml/2006/main">
                <a:graphicData uri="http://schemas.microsoft.com/office/word/2010/wordprocessingShape">
                  <wps:wsp>
                    <wps:cNvSpPr txBox="1"/>
                    <wps:spPr>
                      <a:xfrm>
                        <a:off x="0" y="0"/>
                        <a:ext cx="1671955" cy="109855"/>
                      </a:xfrm>
                      <a:prstGeom prst="rect">
                        <a:avLst/>
                      </a:prstGeom>
                      <a:noFill/>
                    </wps:spPr>
                    <wps:txbx>
                      <w:txbxContent>
                        <w:p w14:paraId="589327C1">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纯粹经济损失的侵权责任法保护丨</w:t>
                          </w:r>
                          <w:r>
                            <w:rPr>
                              <w:rFonts w:ascii="Times New Roman" w:hAnsi="Times New Roman" w:eastAsia="Times New Roman" w:cs="Times New Roman"/>
                              <w:color w:val="000000"/>
                              <w:spacing w:val="0"/>
                              <w:w w:val="100"/>
                              <w:position w:val="0"/>
                              <w:sz w:val="17"/>
                              <w:szCs w:val="17"/>
                            </w:rPr>
                            <w:t>463</w:t>
                          </w:r>
                        </w:p>
                      </w:txbxContent>
                    </wps:txbx>
                    <wps:bodyPr wrap="none" lIns="0" tIns="0" rIns="0" bIns="0">
                      <a:spAutoFit/>
                    </wps:bodyPr>
                  </wps:wsp>
                </a:graphicData>
              </a:graphic>
            </wp:anchor>
          </w:drawing>
        </mc:Choice>
        <mc:Fallback>
          <w:pict>
            <v:shape id="Shape 1275" o:spid="_x0000_s1026" o:spt="202" type="#_x0000_t202" style="position:absolute;left:0pt;margin-left:332.45pt;margin-top:40.85pt;height:8.65pt;width:131.65pt;mso-position-horizontal-relative:page;mso-position-vertical-relative:page;mso-wrap-style:none;z-index:-251657216;mso-width-relative:page;mso-height-relative:page;" filled="f" stroked="f" coordsize="21600,21600" o:gfxdata="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kPikP1gAA&#10;AAkBAAAPAAAAAAAAAAEAIAAAACIAAABkcnMvZG93bnJldi54bWxQSwECFAAUAAAACACHTuJA3Fsl&#10;1K4BAAB2AwAADgAAAAAAAAABACAAAAAlAQAAZHJzL2Uyb0RvYy54bWxQSwUGAAAAAAYABgBZAQAA&#10;RQUAAAAA&#10;">
              <v:fill on="f" focussize="0,0"/>
              <v:stroke on="f"/>
              <v:imagedata o:title=""/>
              <o:lock v:ext="edit" aspectratio="f"/>
              <v:textbox inset="0mm,0mm,0mm,0mm" style="mso-fit-shape-to-text:t;">
                <w:txbxContent>
                  <w:p w14:paraId="589327C1">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纯粹经济损失的侵权责任法保护丨</w:t>
                    </w:r>
                    <w:r>
                      <w:rPr>
                        <w:rFonts w:ascii="Times New Roman" w:hAnsi="Times New Roman" w:eastAsia="Times New Roman" w:cs="Times New Roman"/>
                        <w:color w:val="000000"/>
                        <w:spacing w:val="0"/>
                        <w:w w:val="100"/>
                        <w:position w:val="0"/>
                        <w:sz w:val="17"/>
                        <w:szCs w:val="17"/>
                      </w:rPr>
                      <w:t>463</w:t>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2530E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4976495</wp:posOffset>
              </wp:positionH>
              <wp:positionV relativeFrom="page">
                <wp:posOffset>481330</wp:posOffset>
              </wp:positionV>
              <wp:extent cx="955675" cy="109855"/>
              <wp:effectExtent l="0" t="0" r="0" b="0"/>
              <wp:wrapNone/>
              <wp:docPr id="115" name="Shape 115"/>
              <wp:cNvGraphicFramePr/>
              <a:graphic xmlns:a="http://schemas.openxmlformats.org/drawingml/2006/main">
                <a:graphicData uri="http://schemas.microsoft.com/office/word/2010/wordprocessingShape">
                  <wps:wsp>
                    <wps:cNvSpPr txBox="1"/>
                    <wps:spPr>
                      <a:xfrm>
                        <a:off x="0" y="0"/>
                        <a:ext cx="955675" cy="109855"/>
                      </a:xfrm>
                      <a:prstGeom prst="rect">
                        <a:avLst/>
                      </a:prstGeom>
                      <a:noFill/>
                    </wps:spPr>
                    <wps:txbx>
                      <w:txbxContent>
                        <w:p w14:paraId="4F07813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监护资格的撤销丨</w:t>
                          </w:r>
                          <w:r>
                            <w:rPr>
                              <w:rFonts w:ascii="Times New Roman" w:hAnsi="Times New Roman" w:eastAsia="Times New Roman" w:cs="Times New Roman"/>
                              <w:b/>
                              <w:bCs/>
                              <w:color w:val="000000"/>
                              <w:spacing w:val="0"/>
                              <w:w w:val="100"/>
                              <w:position w:val="0"/>
                              <w:sz w:val="15"/>
                              <w:szCs w:val="15"/>
                            </w:rPr>
                            <w:t>035</w:t>
                          </w:r>
                        </w:p>
                      </w:txbxContent>
                    </wps:txbx>
                    <wps:bodyPr wrap="none" lIns="0" tIns="0" rIns="0" bIns="0">
                      <a:spAutoFit/>
                    </wps:bodyPr>
                  </wps:wsp>
                </a:graphicData>
              </a:graphic>
            </wp:anchor>
          </w:drawing>
        </mc:Choice>
        <mc:Fallback>
          <w:pict>
            <v:shape id="Shape 115" o:spid="_x0000_s1026" o:spt="202" type="#_x0000_t202" style="position:absolute;left:0pt;margin-left:391.85pt;margin-top:37.9pt;height:8.65pt;width:75.25pt;mso-position-horizontal-relative:page;mso-position-vertical-relative:page;mso-wrap-style:none;z-index:-251657216;mso-width-relative:page;mso-height-relative:page;" filled="f" stroked="f" coordsize="21600,21600" o:gfxdata="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XHQhU1QAA&#10;AAkBAAAPAAAAAAAAAAEAIAAAACIAAABkcnMvZG93bnJldi54bWxQSwECFAAUAAAACACHTuJAs94s&#10;da8BAABzAwAADgAAAAAAAAABACAAAAAkAQAAZHJzL2Uyb0RvYy54bWxQSwUGAAAAAAYABgBZAQAA&#10;RQUAAAAA&#10;">
              <v:fill on="f" focussize="0,0"/>
              <v:stroke on="f"/>
              <v:imagedata o:title=""/>
              <o:lock v:ext="edit" aspectratio="f"/>
              <v:textbox inset="0mm,0mm,0mm,0mm" style="mso-fit-shape-to-text:t;">
                <w:txbxContent>
                  <w:p w14:paraId="4F07813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监护资格的撤销丨</w:t>
                    </w:r>
                    <w:r>
                      <w:rPr>
                        <w:rFonts w:ascii="Times New Roman" w:hAnsi="Times New Roman" w:eastAsia="Times New Roman" w:cs="Times New Roman"/>
                        <w:b/>
                        <w:bCs/>
                        <w:color w:val="000000"/>
                        <w:spacing w:val="0"/>
                        <w:w w:val="100"/>
                        <w:position w:val="0"/>
                        <w:sz w:val="15"/>
                        <w:szCs w:val="15"/>
                      </w:rPr>
                      <w:t>035</w:t>
                    </w:r>
                  </w:p>
                </w:txbxContent>
              </v:textbox>
            </v:shape>
          </w:pict>
        </mc:Fallback>
      </mc:AlternateContent>
    </w:r>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5004E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4222115</wp:posOffset>
              </wp:positionH>
              <wp:positionV relativeFrom="page">
                <wp:posOffset>518795</wp:posOffset>
              </wp:positionV>
              <wp:extent cx="1671955" cy="109855"/>
              <wp:effectExtent l="0" t="0" r="0" b="0"/>
              <wp:wrapNone/>
              <wp:docPr id="1277" name="Shape 1277"/>
              <wp:cNvGraphicFramePr/>
              <a:graphic xmlns:a="http://schemas.openxmlformats.org/drawingml/2006/main">
                <a:graphicData uri="http://schemas.microsoft.com/office/word/2010/wordprocessingShape">
                  <wps:wsp>
                    <wps:cNvSpPr txBox="1"/>
                    <wps:spPr>
                      <a:xfrm>
                        <a:off x="0" y="0"/>
                        <a:ext cx="1671955" cy="109855"/>
                      </a:xfrm>
                      <a:prstGeom prst="rect">
                        <a:avLst/>
                      </a:prstGeom>
                      <a:noFill/>
                    </wps:spPr>
                    <wps:txbx>
                      <w:txbxContent>
                        <w:p w14:paraId="1239BA9C">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纯粹经济损失的侵权责任法保护丨</w:t>
                          </w:r>
                          <w:r>
                            <w:rPr>
                              <w:rFonts w:ascii="Times New Roman" w:hAnsi="Times New Roman" w:eastAsia="Times New Roman" w:cs="Times New Roman"/>
                              <w:color w:val="000000"/>
                              <w:spacing w:val="0"/>
                              <w:w w:val="100"/>
                              <w:position w:val="0"/>
                              <w:sz w:val="17"/>
                              <w:szCs w:val="17"/>
                            </w:rPr>
                            <w:t>463</w:t>
                          </w:r>
                        </w:p>
                      </w:txbxContent>
                    </wps:txbx>
                    <wps:bodyPr wrap="none" lIns="0" tIns="0" rIns="0" bIns="0">
                      <a:spAutoFit/>
                    </wps:bodyPr>
                  </wps:wsp>
                </a:graphicData>
              </a:graphic>
            </wp:anchor>
          </w:drawing>
        </mc:Choice>
        <mc:Fallback>
          <w:pict>
            <v:shape id="Shape 1277" o:spid="_x0000_s1026" o:spt="202" type="#_x0000_t202" style="position:absolute;left:0pt;margin-left:332.45pt;margin-top:40.85pt;height:8.65pt;width:131.65pt;mso-position-horizontal-relative:page;mso-position-vertical-relative:page;mso-wrap-style:none;z-index:-251657216;mso-width-relative:page;mso-height-relative:page;" filled="f" stroked="f" coordsize="21600,21600" o:gfxdata="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pD4pD9YA&#10;AAAJAQAADwAAAAAAAAABACAAAAAiAAAAZHJzL2Rvd25yZXYueG1sUEsBAhQAFAAAAAgAh07iQH/L&#10;/m+vAQAAdgMAAA4AAAAAAAAAAQAgAAAAJQEAAGRycy9lMm9Eb2MueG1sUEsFBgAAAAAGAAYAWQEA&#10;AEYFAAAAAA==&#10;">
              <v:fill on="f" focussize="0,0"/>
              <v:stroke on="f"/>
              <v:imagedata o:title=""/>
              <o:lock v:ext="edit" aspectratio="f"/>
              <v:textbox inset="0mm,0mm,0mm,0mm" style="mso-fit-shape-to-text:t;">
                <w:txbxContent>
                  <w:p w14:paraId="1239BA9C">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1"/>
                        <w:szCs w:val="11"/>
                      </w:rPr>
                      <w:t>纯粹经济损失的侵权责任法保护丨</w:t>
                    </w:r>
                    <w:r>
                      <w:rPr>
                        <w:rFonts w:ascii="Times New Roman" w:hAnsi="Times New Roman" w:eastAsia="Times New Roman" w:cs="Times New Roman"/>
                        <w:color w:val="000000"/>
                        <w:spacing w:val="0"/>
                        <w:w w:val="100"/>
                        <w:position w:val="0"/>
                        <w:sz w:val="17"/>
                        <w:szCs w:val="17"/>
                      </w:rPr>
                      <w:t>463</w:t>
                    </w:r>
                  </w:p>
                </w:txbxContent>
              </v:textbox>
            </v:shape>
          </w:pict>
        </mc:Fallback>
      </mc:AlternateContent>
    </w: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6D7171">
    <w:pPr>
      <w:widowControl w:val="0"/>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D9BA7">
    <w:pPr>
      <w:widowControl w:val="0"/>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40A7F2">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3473450</wp:posOffset>
              </wp:positionH>
              <wp:positionV relativeFrom="page">
                <wp:posOffset>554990</wp:posOffset>
              </wp:positionV>
              <wp:extent cx="2479675" cy="109855"/>
              <wp:effectExtent l="0" t="0" r="0" b="0"/>
              <wp:wrapNone/>
              <wp:docPr id="1287" name="Shape 1287"/>
              <wp:cNvGraphicFramePr/>
              <a:graphic xmlns:a="http://schemas.openxmlformats.org/drawingml/2006/main">
                <a:graphicData uri="http://schemas.microsoft.com/office/word/2010/wordprocessingShape">
                  <wps:wsp>
                    <wps:cNvSpPr txBox="1"/>
                    <wps:spPr>
                      <a:xfrm>
                        <a:off x="0" y="0"/>
                        <a:ext cx="2479675" cy="109855"/>
                      </a:xfrm>
                      <a:prstGeom prst="rect">
                        <a:avLst/>
                      </a:prstGeom>
                      <a:noFill/>
                    </wps:spPr>
                    <wps:txbx>
                      <w:txbxContent>
                        <w:p w14:paraId="2783BA8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适用公平责任规则是否以存在法律因果关系为要件</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87" o:spid="_x0000_s1026" o:spt="202" type="#_x0000_t202" style="position:absolute;left:0pt;margin-left:273.5pt;margin-top:43.7pt;height:8.65pt;width:195.25pt;mso-position-horizontal-relative:page;mso-position-vertical-relative:page;mso-wrap-style:none;z-index:-251657216;mso-width-relative:page;mso-height-relative:page;" filled="f" stroked="f" coordsize="21600,21600" o:gfxdata="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rWU7&#10;wNcAAAAKAQAADwAAAAAAAAABACAAAAAiAAAAZHJzL2Rvd25yZXYueG1sUEsBAhQAFAAAAAgAh07i&#10;QLPUC0WxAQAAdgMAAA4AAAAAAAAAAQAgAAAAJgEAAGRycy9lMm9Eb2MueG1sUEsFBgAAAAAGAAYA&#10;WQEAAEkFAAAAAA==&#10;">
              <v:fill on="f" focussize="0,0"/>
              <v:stroke on="f"/>
              <v:imagedata o:title=""/>
              <o:lock v:ext="edit" aspectratio="f"/>
              <v:textbox inset="0mm,0mm,0mm,0mm" style="mso-fit-shape-to-text:t;">
                <w:txbxContent>
                  <w:p w14:paraId="2783BA8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适用公平责任规则是否以存在法律因果关系为要件</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DF85E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89" name="Shape 128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E4B42C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8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CM7&#10;WZqwAQAAdQMAAA4AAAAAAAAAAQAgAAAAJAEAAGRycy9lMm9Eb2MueG1sUEsFBgAAAAAGAAYAWQEA&#10;AEYFAAAAAA==&#10;">
              <v:fill on="f" focussize="0,0"/>
              <v:stroke on="f"/>
              <v:imagedata o:title=""/>
              <o:lock v:ext="edit" aspectratio="f"/>
              <v:textbox inset="0mm,0mm,0mm,0mm" style="mso-fit-shape-to-text:t;">
                <w:txbxContent>
                  <w:p w14:paraId="0E4B42C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4FAF90">
    <w:pPr>
      <w:widowControl w:val="0"/>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64A845">
    <w:pPr>
      <w:widowControl w:val="0"/>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C594F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2409825</wp:posOffset>
              </wp:positionH>
              <wp:positionV relativeFrom="page">
                <wp:posOffset>582295</wp:posOffset>
              </wp:positionV>
              <wp:extent cx="3481070" cy="111125"/>
              <wp:effectExtent l="0" t="0" r="0" b="0"/>
              <wp:wrapNone/>
              <wp:docPr id="1295" name="Shape 1295"/>
              <wp:cNvGraphicFramePr/>
              <a:graphic xmlns:a="http://schemas.openxmlformats.org/drawingml/2006/main">
                <a:graphicData uri="http://schemas.microsoft.com/office/word/2010/wordprocessingShape">
                  <wps:wsp>
                    <wps:cNvSpPr txBox="1"/>
                    <wps:spPr>
                      <a:xfrm>
                        <a:off x="0" y="0"/>
                        <a:ext cx="3481070" cy="111125"/>
                      </a:xfrm>
                      <a:prstGeom prst="rect">
                        <a:avLst/>
                      </a:prstGeom>
                      <a:noFill/>
                    </wps:spPr>
                    <wps:txbx>
                      <w:txbxContent>
                        <w:p w14:paraId="0DF362A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经营者未尽产品特殊危险的充分警示义务与被侵权人过错的责任分担规则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295" o:spid="_x0000_s1026" o:spt="202" type="#_x0000_t202" style="position:absolute;left:0pt;margin-left:189.75pt;margin-top:45.85pt;height:8.75pt;width:274.1pt;mso-position-horizontal-relative:page;mso-position-vertical-relative:page;mso-wrap-style:none;z-index:-251657216;mso-width-relative:page;mso-height-relative:page;" filled="f" stroked="f" coordsize="21600,21600" o:gfxdata="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rjLHdYA&#10;AAAKAQAADwAAAAAAAAABACAAAAAiAAAAZHJzL2Rvd25yZXYueG1sUEsBAhQAFAAAAAgAh07iQFHN&#10;MHavAQAAdgMAAA4AAAAAAAAAAQAgAAAAJQEAAGRycy9lMm9Eb2MueG1sUEsFBgAAAAAGAAYAWQEA&#10;AEYFAAAAAA==&#10;">
              <v:fill on="f" focussize="0,0"/>
              <v:stroke on="f"/>
              <v:imagedata o:title=""/>
              <o:lock v:ext="edit" aspectratio="f"/>
              <v:textbox inset="0mm,0mm,0mm,0mm" style="mso-fit-shape-to-text:t;">
                <w:txbxContent>
                  <w:p w14:paraId="0DF362A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经营者未尽产品特殊危险的充分警示义务与被侵权人过错的责任分担规则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6647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97" name="Shape 129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4DC416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9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oZ&#10;uXWwAQAAdQMAAA4AAAAAAAAAAQAgAAAAJAEAAGRycy9lMm9Eb2MueG1sUEsFBgAAAAAGAAYAWQEA&#10;AEYFAAAAAA==&#10;">
              <v:fill on="f" focussize="0,0"/>
              <v:stroke on="f"/>
              <v:imagedata o:title=""/>
              <o:lock v:ext="edit" aspectratio="f"/>
              <v:textbox inset="0mm,0mm,0mm,0mm" style="mso-fit-shape-to-text:t;">
                <w:txbxContent>
                  <w:p w14:paraId="14DC416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DE71C9">
    <w:pPr>
      <w:widowControl w:val="0"/>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C6EC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4976495</wp:posOffset>
              </wp:positionH>
              <wp:positionV relativeFrom="page">
                <wp:posOffset>481330</wp:posOffset>
              </wp:positionV>
              <wp:extent cx="955675" cy="109855"/>
              <wp:effectExtent l="0" t="0" r="0" b="0"/>
              <wp:wrapNone/>
              <wp:docPr id="117" name="Shape 117"/>
              <wp:cNvGraphicFramePr/>
              <a:graphic xmlns:a="http://schemas.openxmlformats.org/drawingml/2006/main">
                <a:graphicData uri="http://schemas.microsoft.com/office/word/2010/wordprocessingShape">
                  <wps:wsp>
                    <wps:cNvSpPr txBox="1"/>
                    <wps:spPr>
                      <a:xfrm>
                        <a:off x="0" y="0"/>
                        <a:ext cx="955675" cy="109855"/>
                      </a:xfrm>
                      <a:prstGeom prst="rect">
                        <a:avLst/>
                      </a:prstGeom>
                      <a:noFill/>
                    </wps:spPr>
                    <wps:txbx>
                      <w:txbxContent>
                        <w:p w14:paraId="7486E5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监护资格的撤销丨</w:t>
                          </w:r>
                          <w:r>
                            <w:rPr>
                              <w:rFonts w:ascii="Times New Roman" w:hAnsi="Times New Roman" w:eastAsia="Times New Roman" w:cs="Times New Roman"/>
                              <w:b/>
                              <w:bCs/>
                              <w:color w:val="000000"/>
                              <w:spacing w:val="0"/>
                              <w:w w:val="100"/>
                              <w:position w:val="0"/>
                              <w:sz w:val="15"/>
                              <w:szCs w:val="15"/>
                            </w:rPr>
                            <w:t>035</w:t>
                          </w:r>
                        </w:p>
                      </w:txbxContent>
                    </wps:txbx>
                    <wps:bodyPr wrap="none" lIns="0" tIns="0" rIns="0" bIns="0">
                      <a:spAutoFit/>
                    </wps:bodyPr>
                  </wps:wsp>
                </a:graphicData>
              </a:graphic>
            </wp:anchor>
          </w:drawing>
        </mc:Choice>
        <mc:Fallback>
          <w:pict>
            <v:shape id="Shape 117" o:spid="_x0000_s1026" o:spt="202" type="#_x0000_t202" style="position:absolute;left:0pt;margin-left:391.85pt;margin-top:37.9pt;height:8.65pt;width:75.25pt;mso-position-horizontal-relative:page;mso-position-vertical-relative:page;mso-wrap-style:none;z-index:-251657216;mso-width-relative:page;mso-height-relative:page;" filled="f" stroked="f" coordsize="21600,21600" o:gfxdata="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XHQhU1QAA&#10;AAkBAAAPAAAAAAAAAAEAIAAAACIAAABkcnMvZG93bnJldi54bWxQSwECFAAUAAAACACHTuJAZmTU&#10;U68BAABzAwAADgAAAAAAAAABACAAAAAkAQAAZHJzL2Uyb0RvYy54bWxQSwUGAAAAAAYABgBZAQAA&#10;RQUAAAAA&#10;">
              <v:fill on="f" focussize="0,0"/>
              <v:stroke on="f"/>
              <v:imagedata o:title=""/>
              <o:lock v:ext="edit" aspectratio="f"/>
              <v:textbox inset="0mm,0mm,0mm,0mm" style="mso-fit-shape-to-text:t;">
                <w:txbxContent>
                  <w:p w14:paraId="7486E5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监护资格的撤销丨</w:t>
                    </w:r>
                    <w:r>
                      <w:rPr>
                        <w:rFonts w:ascii="Times New Roman" w:hAnsi="Times New Roman" w:eastAsia="Times New Roman" w:cs="Times New Roman"/>
                        <w:b/>
                        <w:bCs/>
                        <w:color w:val="000000"/>
                        <w:spacing w:val="0"/>
                        <w:w w:val="100"/>
                        <w:position w:val="0"/>
                        <w:sz w:val="15"/>
                        <w:szCs w:val="15"/>
                      </w:rPr>
                      <w:t>035</w:t>
                    </w:r>
                  </w:p>
                </w:txbxContent>
              </v:textbox>
            </v:shape>
          </w:pict>
        </mc:Fallback>
      </mc:AlternateContent>
    </w: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11B824">
    <w:pPr>
      <w:widowControl w:val="0"/>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31B75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05" name="Shape 130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1E6AF6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0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8K50&#10;sK8BAAB1AwAADgAAAAAAAAABACAAAAAkAQAAZHJzL2Uyb0RvYy54bWxQSwUGAAAAAAYABgBZAQAA&#10;RQUAAAAA&#10;">
              <v:fill on="f" focussize="0,0"/>
              <v:stroke on="f"/>
              <v:imagedata o:title=""/>
              <o:lock v:ext="edit" aspectratio="f"/>
              <v:textbox inset="0mm,0mm,0mm,0mm" style="mso-fit-shape-to-text:t;">
                <w:txbxContent>
                  <w:p w14:paraId="71E6AF6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25066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07" name="Shape 130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48B1FD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0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EUO&#10;o2CwAQAAdQMAAA4AAAAAAAAAAQAgAAAAJAEAAGRycy9lMm9Eb2MueG1sUEsFBgAAAAAGAAYAWQEA&#10;AEYFAAAAAA==&#10;">
              <v:fill on="f" focussize="0,0"/>
              <v:stroke on="f"/>
              <v:imagedata o:title=""/>
              <o:lock v:ext="edit" aspectratio="f"/>
              <v:textbox inset="0mm,0mm,0mm,0mm" style="mso-fit-shape-to-text:t;">
                <w:txbxContent>
                  <w:p w14:paraId="348B1FD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9AD00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4730750</wp:posOffset>
              </wp:positionH>
              <wp:positionV relativeFrom="page">
                <wp:posOffset>499745</wp:posOffset>
              </wp:positionV>
              <wp:extent cx="1272540" cy="109855"/>
              <wp:effectExtent l="0" t="0" r="0" b="0"/>
              <wp:wrapNone/>
              <wp:docPr id="1309" name="Shape 1309"/>
              <wp:cNvGraphicFramePr/>
              <a:graphic xmlns:a="http://schemas.openxmlformats.org/drawingml/2006/main">
                <a:graphicData uri="http://schemas.microsoft.com/office/word/2010/wordprocessingShape">
                  <wps:wsp>
                    <wps:cNvSpPr txBox="1"/>
                    <wps:spPr>
                      <a:xfrm>
                        <a:off x="0" y="0"/>
                        <a:ext cx="1272540" cy="109855"/>
                      </a:xfrm>
                      <a:prstGeom prst="rect">
                        <a:avLst/>
                      </a:prstGeom>
                      <a:noFill/>
                    </wps:spPr>
                    <wps:txbx>
                      <w:txbxContent>
                        <w:p w14:paraId="1DC378A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309" o:spid="_x0000_s1026" o:spt="202" type="#_x0000_t202" style="position:absolute;left:0pt;margin-left:372.5pt;margin-top:39.35pt;height:8.65pt;width:100.2pt;mso-position-horizontal-relative:page;mso-position-vertical-relative:page;mso-wrap-style:none;z-index:-251657216;mso-width-relative:page;mso-height-relative:page;" filled="f" stroked="f" coordsize="21600,21600" o:gfxdata="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9dkg81QAA&#10;AAkBAAAPAAAAAAAAAAEAIAAAACIAAABkcnMvZG93bnJldi54bWxQSwECFAAUAAAACACHTuJAFbYU&#10;068BAAB2AwAADgAAAAAAAAABACAAAAAkAQAAZHJzL2Uyb0RvYy54bWxQSwUGAAAAAAYABgBZAQAA&#10;RQUAAAAA&#10;">
              <v:fill on="f" focussize="0,0"/>
              <v:stroke on="f"/>
              <v:imagedata o:title=""/>
              <o:lock v:ext="edit" aspectratio="f"/>
              <v:textbox inset="0mm,0mm,0mm,0mm" style="mso-fit-shape-to-text:t;">
                <w:txbxContent>
                  <w:p w14:paraId="1DC378A2">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7B416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4603750</wp:posOffset>
              </wp:positionH>
              <wp:positionV relativeFrom="page">
                <wp:posOffset>508635</wp:posOffset>
              </wp:positionV>
              <wp:extent cx="1269365" cy="111125"/>
              <wp:effectExtent l="0" t="0" r="0" b="0"/>
              <wp:wrapNone/>
              <wp:docPr id="1311" name="Shape 1311"/>
              <wp:cNvGraphicFramePr/>
              <a:graphic xmlns:a="http://schemas.openxmlformats.org/drawingml/2006/main">
                <a:graphicData uri="http://schemas.microsoft.com/office/word/2010/wordprocessingShape">
                  <wps:wsp>
                    <wps:cNvSpPr txBox="1"/>
                    <wps:spPr>
                      <a:xfrm>
                        <a:off x="0" y="0"/>
                        <a:ext cx="1269365" cy="111125"/>
                      </a:xfrm>
                      <a:prstGeom prst="rect">
                        <a:avLst/>
                      </a:prstGeom>
                      <a:noFill/>
                    </wps:spPr>
                    <wps:txbx>
                      <w:txbxContent>
                        <w:p w14:paraId="694E4CC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惩罚性赔偿的适用规则丨</w:t>
                          </w:r>
                          <w:r>
                            <w:rPr>
                              <w:rFonts w:ascii="Times New Roman" w:hAnsi="Times New Roman" w:eastAsia="Times New Roman" w:cs="Times New Roman"/>
                              <w:b/>
                              <w:bCs/>
                              <w:color w:val="000000"/>
                              <w:spacing w:val="0"/>
                              <w:w w:val="100"/>
                              <w:position w:val="0"/>
                              <w:sz w:val="15"/>
                              <w:szCs w:val="15"/>
                            </w:rPr>
                            <w:t>477</w:t>
                          </w:r>
                        </w:p>
                      </w:txbxContent>
                    </wps:txbx>
                    <wps:bodyPr wrap="none" lIns="0" tIns="0" rIns="0" bIns="0">
                      <a:spAutoFit/>
                    </wps:bodyPr>
                  </wps:wsp>
                </a:graphicData>
              </a:graphic>
            </wp:anchor>
          </w:drawing>
        </mc:Choice>
        <mc:Fallback>
          <w:pict>
            <v:shape id="Shape 1311" o:spid="_x0000_s1026" o:spt="202" type="#_x0000_t202" style="position:absolute;left:0pt;margin-left:362.5pt;margin-top:40.05pt;height:8.75pt;width:99.95pt;mso-position-horizontal-relative:page;mso-position-vertical-relative:page;mso-wrap-style:none;z-index:-251657216;mso-width-relative:page;mso-height-relative:page;" filled="f" stroked="f" coordsize="21600,21600" o:gfxdata="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c/z9tYA&#10;AAAJAQAADwAAAAAAAAABACAAAAAiAAAAZHJzL2Rvd25yZXYueG1sUEsBAhQAFAAAAAgAh07iQBY5&#10;UEavAQAAdgMAAA4AAAAAAAAAAQAgAAAAJQEAAGRycy9lMm9Eb2MueG1sUEsFBgAAAAAGAAYAWQEA&#10;AEYFAAAAAA==&#10;">
              <v:fill on="f" focussize="0,0"/>
              <v:stroke on="f"/>
              <v:imagedata o:title=""/>
              <o:lock v:ext="edit" aspectratio="f"/>
              <v:textbox inset="0mm,0mm,0mm,0mm" style="mso-fit-shape-to-text:t;">
                <w:txbxContent>
                  <w:p w14:paraId="694E4CC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惩罚性赔偿的适用规则丨</w:t>
                    </w:r>
                    <w:r>
                      <w:rPr>
                        <w:rFonts w:ascii="Times New Roman" w:hAnsi="Times New Roman" w:eastAsia="Times New Roman" w:cs="Times New Roman"/>
                        <w:b/>
                        <w:bCs/>
                        <w:color w:val="000000"/>
                        <w:spacing w:val="0"/>
                        <w:w w:val="100"/>
                        <w:position w:val="0"/>
                        <w:sz w:val="15"/>
                        <w:szCs w:val="15"/>
                      </w:rPr>
                      <w:t>477</w:t>
                    </w:r>
                  </w:p>
                </w:txbxContent>
              </v:textbox>
            </v:shape>
          </w:pict>
        </mc:Fallback>
      </mc:AlternateContent>
    </w: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15B8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4603750</wp:posOffset>
              </wp:positionH>
              <wp:positionV relativeFrom="page">
                <wp:posOffset>508635</wp:posOffset>
              </wp:positionV>
              <wp:extent cx="1269365" cy="111125"/>
              <wp:effectExtent l="0" t="0" r="0" b="0"/>
              <wp:wrapNone/>
              <wp:docPr id="1313" name="Shape 1313"/>
              <wp:cNvGraphicFramePr/>
              <a:graphic xmlns:a="http://schemas.openxmlformats.org/drawingml/2006/main">
                <a:graphicData uri="http://schemas.microsoft.com/office/word/2010/wordprocessingShape">
                  <wps:wsp>
                    <wps:cNvSpPr txBox="1"/>
                    <wps:spPr>
                      <a:xfrm>
                        <a:off x="0" y="0"/>
                        <a:ext cx="1269365" cy="111125"/>
                      </a:xfrm>
                      <a:prstGeom prst="rect">
                        <a:avLst/>
                      </a:prstGeom>
                      <a:noFill/>
                    </wps:spPr>
                    <wps:txbx>
                      <w:txbxContent>
                        <w:p w14:paraId="7E25DC2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惩罚性赔偿的适用规则丨</w:t>
                          </w:r>
                          <w:r>
                            <w:rPr>
                              <w:rFonts w:ascii="Times New Roman" w:hAnsi="Times New Roman" w:eastAsia="Times New Roman" w:cs="Times New Roman"/>
                              <w:b/>
                              <w:bCs/>
                              <w:color w:val="000000"/>
                              <w:spacing w:val="0"/>
                              <w:w w:val="100"/>
                              <w:position w:val="0"/>
                              <w:sz w:val="15"/>
                              <w:szCs w:val="15"/>
                            </w:rPr>
                            <w:t>477</w:t>
                          </w:r>
                        </w:p>
                      </w:txbxContent>
                    </wps:txbx>
                    <wps:bodyPr wrap="none" lIns="0" tIns="0" rIns="0" bIns="0">
                      <a:spAutoFit/>
                    </wps:bodyPr>
                  </wps:wsp>
                </a:graphicData>
              </a:graphic>
            </wp:anchor>
          </w:drawing>
        </mc:Choice>
        <mc:Fallback>
          <w:pict>
            <v:shape id="Shape 1313" o:spid="_x0000_s1026" o:spt="202" type="#_x0000_t202" style="position:absolute;left:0pt;margin-left:362.5pt;margin-top:40.05pt;height:8.75pt;width:99.95pt;mso-position-horizontal-relative:page;mso-position-vertical-relative:page;mso-wrap-style:none;z-index:-251657216;mso-width-relative:page;mso-height-relative:page;" filled="f" stroked="f" coordsize="21600,21600" o:gfxdata="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c/z9tYA&#10;AAAJAQAADwAAAAAAAAABACAAAAAiAAAAZHJzL2Rvd25yZXYueG1sUEsBAhQAFAAAAAgAh07iQLWp&#10;i/2vAQAAdgMAAA4AAAAAAAAAAQAgAAAAJQEAAGRycy9lMm9Eb2MueG1sUEsFBgAAAAAGAAYAWQEA&#10;AEYFAAAAAA==&#10;">
              <v:fill on="f" focussize="0,0"/>
              <v:stroke on="f"/>
              <v:imagedata o:title=""/>
              <o:lock v:ext="edit" aspectratio="f"/>
              <v:textbox inset="0mm,0mm,0mm,0mm" style="mso-fit-shape-to-text:t;">
                <w:txbxContent>
                  <w:p w14:paraId="7E25DC2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惩罚性赔偿的适用规则丨</w:t>
                    </w:r>
                    <w:r>
                      <w:rPr>
                        <w:rFonts w:ascii="Times New Roman" w:hAnsi="Times New Roman" w:eastAsia="Times New Roman" w:cs="Times New Roman"/>
                        <w:b/>
                        <w:bCs/>
                        <w:color w:val="000000"/>
                        <w:spacing w:val="0"/>
                        <w:w w:val="100"/>
                        <w:position w:val="0"/>
                        <w:sz w:val="15"/>
                        <w:szCs w:val="15"/>
                      </w:rPr>
                      <w:t>477</w:t>
                    </w:r>
                  </w:p>
                </w:txbxContent>
              </v:textbox>
            </v:shape>
          </w:pict>
        </mc:Fallback>
      </mc:AlternateContent>
    </w: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496F5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15" name="Shape 13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D3ECE5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geUh&#10;AK8BAAB1AwAADgAAAAAAAAABACAAAAAkAQAAZHJzL2Uyb0RvYy54bWxQSwUGAAAAAAYABgBZAQAA&#10;RQUAAAAA&#10;">
              <v:fill on="f" focussize="0,0"/>
              <v:stroke on="f"/>
              <v:imagedata o:title=""/>
              <o:lock v:ext="edit" aspectratio="f"/>
              <v:textbox inset="0mm,0mm,0mm,0mm" style="mso-fit-shape-to-text:t;">
                <w:txbxContent>
                  <w:p w14:paraId="5D3ECE5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9F7F1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17" name="Shape 131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4E011F8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1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DRF&#10;9tCwAQAAdQMAAA4AAAAAAAAAAQAgAAAAJAEAAGRycy9lMm9Eb2MueG1sUEsFBgAAAAAGAAYAWQEA&#10;AEYFAAAAAA==&#10;">
              <v:fill on="f" focussize="0,0"/>
              <v:stroke on="f"/>
              <v:imagedata o:title=""/>
              <o:lock v:ext="edit" aspectratio="f"/>
              <v:textbox inset="0mm,0mm,0mm,0mm" style="mso-fit-shape-to-text:t;">
                <w:txbxContent>
                  <w:p w14:paraId="4E011F8B">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845DC">
    <w:pPr>
      <w:widowControl w:val="0"/>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B795E7">
    <w:pPr>
      <w:widowControl w:val="0"/>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9CE6A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19" name="Shape 11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B8CF7F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1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19oVEK8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Ec3YXnPmReOVl7mspwge4aADXU9BepL&#10;4xcYqfWaR0pm1aOOLj9JD6M6mXu5mavGxCQlN3efVh/XnEkqLev7zXqdUarnj0PE9FWBYzloeaTd&#10;FUvF+TumqfXakmd5eDTW5nxmODHJURoP40z7AN2FWA+03pZ7us2c2W+e3Ms34RrEa3CYgwyO4fMp&#10;0YAyN6NOUPMw2kVhPt+bvOyX76Xr+V/Z/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19oV&#10;EK8BAABzAwAADgAAAAAAAAABACAAAAAkAQAAZHJzL2Uyb0RvYy54bWxQSwUGAAAAAAYABgBZAQAA&#10;RQUAAAAA&#10;">
              <v:fill on="f" focussize="0,0"/>
              <v:stroke on="f"/>
              <v:imagedata o:title=""/>
              <o:lock v:ext="edit" aspectratio="f"/>
              <v:textbox inset="0mm,0mm,0mm,0mm" style="mso-fit-shape-to-text:t;">
                <w:txbxContent>
                  <w:p w14:paraId="3B8CF7F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AB32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25" name="Shape 132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ADA72F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2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Uz6v&#10;C68BAAB1AwAADgAAAAAAAAABACAAAAAkAQAAZHJzL2Uyb0RvYy54bWxQSwUGAAAAAAYABgBZAQAA&#10;RQUAAAAA&#10;">
              <v:fill on="f" focussize="0,0"/>
              <v:stroke on="f"/>
              <v:imagedata o:title=""/>
              <o:lock v:ext="edit" aspectratio="f"/>
              <v:textbox inset="0mm,0mm,0mm,0mm" style="mso-fit-shape-to-text:t;">
                <w:txbxContent>
                  <w:p w14:paraId="5ADA72F9">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41DA6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27" name="Shape 132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F55ACE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2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Oae&#10;eNuwAQAAdQMAAA4AAAAAAAAAAQAgAAAAJAEAAGRycy9lMm9Eb2MueG1sUEsFBgAAAAAGAAYAWQEA&#10;AEYFAAAAAA==&#10;">
              <v:fill on="f" focussize="0,0"/>
              <v:stroke on="f"/>
              <v:imagedata o:title=""/>
              <o:lock v:ext="edit" aspectratio="f"/>
              <v:textbox inset="0mm,0mm,0mm,0mm" style="mso-fit-shape-to-text:t;">
                <w:txbxContent>
                  <w:p w14:paraId="6F55ACE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A1F5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4123690</wp:posOffset>
              </wp:positionH>
              <wp:positionV relativeFrom="page">
                <wp:posOffset>499745</wp:posOffset>
              </wp:positionV>
              <wp:extent cx="1767840" cy="109855"/>
              <wp:effectExtent l="0" t="0" r="0" b="0"/>
              <wp:wrapNone/>
              <wp:docPr id="1329" name="Shape 1329"/>
              <wp:cNvGraphicFramePr/>
              <a:graphic xmlns:a="http://schemas.openxmlformats.org/drawingml/2006/main">
                <a:graphicData uri="http://schemas.microsoft.com/office/word/2010/wordprocessingShape">
                  <wps:wsp>
                    <wps:cNvSpPr txBox="1"/>
                    <wps:spPr>
                      <a:xfrm>
                        <a:off x="0" y="0"/>
                        <a:ext cx="1767840" cy="109855"/>
                      </a:xfrm>
                      <a:prstGeom prst="rect">
                        <a:avLst/>
                      </a:prstGeom>
                      <a:noFill/>
                    </wps:spPr>
                    <wps:txbx>
                      <w:txbxContent>
                        <w:p w14:paraId="497A6C4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违反医疗知情同意规则的法律责任丨</w:t>
                          </w:r>
                          <w:r>
                            <w:rPr>
                              <w:rFonts w:ascii="Times New Roman" w:hAnsi="Times New Roman" w:eastAsia="Times New Roman" w:cs="Times New Roman"/>
                              <w:b/>
                              <w:bCs/>
                              <w:color w:val="000000"/>
                              <w:spacing w:val="0"/>
                              <w:w w:val="100"/>
                              <w:position w:val="0"/>
                              <w:sz w:val="15"/>
                              <w:szCs w:val="15"/>
                            </w:rPr>
                            <w:t>481</w:t>
                          </w:r>
                        </w:p>
                      </w:txbxContent>
                    </wps:txbx>
                    <wps:bodyPr wrap="none" lIns="0" tIns="0" rIns="0" bIns="0">
                      <a:spAutoFit/>
                    </wps:bodyPr>
                  </wps:wsp>
                </a:graphicData>
              </a:graphic>
            </wp:anchor>
          </w:drawing>
        </mc:Choice>
        <mc:Fallback>
          <w:pict>
            <v:shape id="Shape 1329" o:spid="_x0000_s1026" o:spt="202" type="#_x0000_t202" style="position:absolute;left:0pt;margin-left:324.7pt;margin-top:39.35pt;height:8.65pt;width:139.2pt;mso-position-horizontal-relative:page;mso-position-vertical-relative:page;mso-wrap-style:none;z-index:-251657216;mso-width-relative:page;mso-height-relative:page;" filled="f" stroked="f" coordsize="21600,21600" o:gfxdata="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jxdTPW&#10;AAAACQEAAA8AAAAAAAAAAQAgAAAAIgAAAGRycy9kb3ducmV2LnhtbFBLAQIUABQAAAAIAIdO4kCa&#10;OfzDsAEAAHYDAAAOAAAAAAAAAAEAIAAAACUBAABkcnMvZTJvRG9jLnhtbFBLBQYAAAAABgAGAFkB&#10;AABHBQAAAAA=&#10;">
              <v:fill on="f" focussize="0,0"/>
              <v:stroke on="f"/>
              <v:imagedata o:title=""/>
              <o:lock v:ext="edit" aspectratio="f"/>
              <v:textbox inset="0mm,0mm,0mm,0mm" style="mso-fit-shape-to-text:t;">
                <w:txbxContent>
                  <w:p w14:paraId="497A6C4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违反医疗知情同意规则的法律责任丨</w:t>
                    </w:r>
                    <w:r>
                      <w:rPr>
                        <w:rFonts w:ascii="Times New Roman" w:hAnsi="Times New Roman" w:eastAsia="Times New Roman" w:cs="Times New Roman"/>
                        <w:b/>
                        <w:bCs/>
                        <w:color w:val="000000"/>
                        <w:spacing w:val="0"/>
                        <w:w w:val="100"/>
                        <w:position w:val="0"/>
                        <w:sz w:val="15"/>
                        <w:szCs w:val="15"/>
                      </w:rPr>
                      <w:t>481</w:t>
                    </w:r>
                  </w:p>
                </w:txbxContent>
              </v:textbox>
            </v:shape>
          </w:pict>
        </mc:Fallback>
      </mc:AlternateContent>
    </w: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72950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4123690</wp:posOffset>
              </wp:positionH>
              <wp:positionV relativeFrom="page">
                <wp:posOffset>499745</wp:posOffset>
              </wp:positionV>
              <wp:extent cx="1767840" cy="109855"/>
              <wp:effectExtent l="0" t="0" r="0" b="0"/>
              <wp:wrapNone/>
              <wp:docPr id="1331" name="Shape 1331"/>
              <wp:cNvGraphicFramePr/>
              <a:graphic xmlns:a="http://schemas.openxmlformats.org/drawingml/2006/main">
                <a:graphicData uri="http://schemas.microsoft.com/office/word/2010/wordprocessingShape">
                  <wps:wsp>
                    <wps:cNvSpPr txBox="1"/>
                    <wps:spPr>
                      <a:xfrm>
                        <a:off x="0" y="0"/>
                        <a:ext cx="1767840" cy="109855"/>
                      </a:xfrm>
                      <a:prstGeom prst="rect">
                        <a:avLst/>
                      </a:prstGeom>
                      <a:noFill/>
                    </wps:spPr>
                    <wps:txbx>
                      <w:txbxContent>
                        <w:p w14:paraId="4056496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违反医疗知情同意规则的法律责任丨</w:t>
                          </w:r>
                          <w:r>
                            <w:rPr>
                              <w:rFonts w:ascii="Times New Roman" w:hAnsi="Times New Roman" w:eastAsia="Times New Roman" w:cs="Times New Roman"/>
                              <w:b/>
                              <w:bCs/>
                              <w:color w:val="000000"/>
                              <w:spacing w:val="0"/>
                              <w:w w:val="100"/>
                              <w:position w:val="0"/>
                              <w:sz w:val="15"/>
                              <w:szCs w:val="15"/>
                            </w:rPr>
                            <w:t>481</w:t>
                          </w:r>
                        </w:p>
                      </w:txbxContent>
                    </wps:txbx>
                    <wps:bodyPr wrap="none" lIns="0" tIns="0" rIns="0" bIns="0">
                      <a:spAutoFit/>
                    </wps:bodyPr>
                  </wps:wsp>
                </a:graphicData>
              </a:graphic>
            </wp:anchor>
          </w:drawing>
        </mc:Choice>
        <mc:Fallback>
          <w:pict>
            <v:shape id="Shape 1331" o:spid="_x0000_s1026" o:spt="202" type="#_x0000_t202" style="position:absolute;left:0pt;margin-left:324.7pt;margin-top:39.35pt;height:8.65pt;width:139.2pt;mso-position-horizontal-relative:page;mso-position-vertical-relative:page;mso-wrap-style:none;z-index:-251657216;mso-width-relative:page;mso-height-relative:page;" filled="f" stroked="f" coordsize="21600,21600" o:gfxdata="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GjxdTPW&#10;AAAACQEAAA8AAAAAAAAAAQAgAAAAIgAAAGRycy9kb3ducmV2LnhtbFBLAQIUABQAAAAIAIdO4kA0&#10;ZbNmsAEAAHYDAAAOAAAAAAAAAAEAIAAAACUBAABkcnMvZTJvRG9jLnhtbFBLBQYAAAAABgAGAFkB&#10;AABHBQAAAAA=&#10;">
              <v:fill on="f" focussize="0,0"/>
              <v:stroke on="f"/>
              <v:imagedata o:title=""/>
              <o:lock v:ext="edit" aspectratio="f"/>
              <v:textbox inset="0mm,0mm,0mm,0mm" style="mso-fit-shape-to-text:t;">
                <w:txbxContent>
                  <w:p w14:paraId="4056496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违反医疗知情同意规则的法律责任丨</w:t>
                    </w:r>
                    <w:r>
                      <w:rPr>
                        <w:rFonts w:ascii="Times New Roman" w:hAnsi="Times New Roman" w:eastAsia="Times New Roman" w:cs="Times New Roman"/>
                        <w:b/>
                        <w:bCs/>
                        <w:color w:val="000000"/>
                        <w:spacing w:val="0"/>
                        <w:w w:val="100"/>
                        <w:position w:val="0"/>
                        <w:sz w:val="15"/>
                        <w:szCs w:val="15"/>
                      </w:rPr>
                      <w:t>481</w:t>
                    </w:r>
                  </w:p>
                </w:txbxContent>
              </v:textbox>
            </v:shape>
          </w:pict>
        </mc:Fallback>
      </mc:AlternateContent>
    </w: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2D1B1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33" name="Shape 133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BAE7B4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3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LyS&#10;8xGwAQAAdQMAAA4AAAAAAAAAAQAgAAAAJAEAAGRycy9lMm9Eb2MueG1sUEsFBgAAAAAGAAYAWQEA&#10;AEYFAAAAAA==&#10;">
              <v:fill on="f" focussize="0,0"/>
              <v:stroke on="f"/>
              <v:imagedata o:title=""/>
              <o:lock v:ext="edit" aspectratio="f"/>
              <v:textbox inset="0mm,0mm,0mm,0mm" style="mso-fit-shape-to-text:t;">
                <w:txbxContent>
                  <w:p w14:paraId="5BAE7B4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09C6A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35" name="Shape 133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716B36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3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Aidfq7&#10;rgEAAHUDAAAOAAAAAAAAAAEAIAAAACQBAABkcnMvZTJvRG9jLnhtbFBLBQYAAAAABgAGAFkBAABE&#10;BQAAAAA=&#10;">
              <v:fill on="f" focussize="0,0"/>
              <v:stroke on="f"/>
              <v:imagedata o:title=""/>
              <o:lock v:ext="edit" aspectratio="f"/>
              <v:textbox inset="0mm,0mm,0mm,0mm" style="mso-fit-shape-to-text:t;">
                <w:txbxContent>
                  <w:p w14:paraId="1716B36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AF51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4130040</wp:posOffset>
              </wp:positionH>
              <wp:positionV relativeFrom="page">
                <wp:posOffset>502285</wp:posOffset>
              </wp:positionV>
              <wp:extent cx="1767840" cy="111125"/>
              <wp:effectExtent l="0" t="0" r="0" b="0"/>
              <wp:wrapNone/>
              <wp:docPr id="1337" name="Shape 1337"/>
              <wp:cNvGraphicFramePr/>
              <a:graphic xmlns:a="http://schemas.openxmlformats.org/drawingml/2006/main">
                <a:graphicData uri="http://schemas.microsoft.com/office/word/2010/wordprocessingShape">
                  <wps:wsp>
                    <wps:cNvSpPr txBox="1"/>
                    <wps:spPr>
                      <a:xfrm>
                        <a:off x="0" y="0"/>
                        <a:ext cx="1767840" cy="111125"/>
                      </a:xfrm>
                      <a:prstGeom prst="rect">
                        <a:avLst/>
                      </a:prstGeom>
                      <a:noFill/>
                    </wps:spPr>
                    <wps:txbx>
                      <w:txbxContent>
                        <w:p w14:paraId="3437125A">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违反医疗知情同意规则的法律责任丨</w:t>
                          </w:r>
                          <w:r>
                            <w:rPr>
                              <w:rFonts w:ascii="Times New Roman" w:hAnsi="Times New Roman" w:eastAsia="Times New Roman" w:cs="Times New Roman"/>
                              <w:color w:val="000000"/>
                              <w:spacing w:val="0"/>
                              <w:w w:val="100"/>
                              <w:position w:val="0"/>
                              <w:sz w:val="17"/>
                              <w:szCs w:val="17"/>
                            </w:rPr>
                            <w:t>483</w:t>
                          </w:r>
                        </w:p>
                      </w:txbxContent>
                    </wps:txbx>
                    <wps:bodyPr wrap="none" lIns="0" tIns="0" rIns="0" bIns="0">
                      <a:spAutoFit/>
                    </wps:bodyPr>
                  </wps:wsp>
                </a:graphicData>
              </a:graphic>
            </wp:anchor>
          </w:drawing>
        </mc:Choice>
        <mc:Fallback>
          <w:pict>
            <v:shape id="Shape 1337" o:spid="_x0000_s1026" o:spt="202" type="#_x0000_t202" style="position:absolute;left:0pt;margin-left:325.2pt;margin-top:39.55pt;height:8.75pt;width:139.2pt;mso-position-horizontal-relative:page;mso-position-vertical-relative:page;mso-wrap-style:none;z-index:-251657216;mso-width-relative:page;mso-height-relative:page;" filled="f" stroked="f" coordsize="21600,21600" o:gfxdata="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vjhi7VAAAA&#10;CQEAAA8AAAAAAAAAAQAgAAAAIgAAAGRycy9kb3ducmV2LnhtbFBLAQIUABQAAAAIAIdO4kBMlqO2&#10;rgEAAHYDAAAOAAAAAAAAAAEAIAAAACQBAABkcnMvZTJvRG9jLnhtbFBLBQYAAAAABgAGAFkBAABE&#10;BQAAAAA=&#10;">
              <v:fill on="f" focussize="0,0"/>
              <v:stroke on="f"/>
              <v:imagedata o:title=""/>
              <o:lock v:ext="edit" aspectratio="f"/>
              <v:textbox inset="0mm,0mm,0mm,0mm" style="mso-fit-shape-to-text:t;">
                <w:txbxContent>
                  <w:p w14:paraId="3437125A">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违反医疗知情同意规则的法律责任丨</w:t>
                    </w:r>
                    <w:r>
                      <w:rPr>
                        <w:rFonts w:ascii="Times New Roman" w:hAnsi="Times New Roman" w:eastAsia="Times New Roman" w:cs="Times New Roman"/>
                        <w:color w:val="000000"/>
                        <w:spacing w:val="0"/>
                        <w:w w:val="100"/>
                        <w:position w:val="0"/>
                        <w:sz w:val="17"/>
                        <w:szCs w:val="17"/>
                      </w:rPr>
                      <w:t>483</w:t>
                    </w:r>
                  </w:p>
                </w:txbxContent>
              </v:textbox>
            </v:shape>
          </w:pict>
        </mc:Fallback>
      </mc:AlternateContent>
    </w: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DD8ED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4130040</wp:posOffset>
              </wp:positionH>
              <wp:positionV relativeFrom="page">
                <wp:posOffset>502285</wp:posOffset>
              </wp:positionV>
              <wp:extent cx="1767840" cy="111125"/>
              <wp:effectExtent l="0" t="0" r="0" b="0"/>
              <wp:wrapNone/>
              <wp:docPr id="1339" name="Shape 1339"/>
              <wp:cNvGraphicFramePr/>
              <a:graphic xmlns:a="http://schemas.openxmlformats.org/drawingml/2006/main">
                <a:graphicData uri="http://schemas.microsoft.com/office/word/2010/wordprocessingShape">
                  <wps:wsp>
                    <wps:cNvSpPr txBox="1"/>
                    <wps:spPr>
                      <a:xfrm>
                        <a:off x="0" y="0"/>
                        <a:ext cx="1767840" cy="111125"/>
                      </a:xfrm>
                      <a:prstGeom prst="rect">
                        <a:avLst/>
                      </a:prstGeom>
                      <a:noFill/>
                    </wps:spPr>
                    <wps:txbx>
                      <w:txbxContent>
                        <w:p w14:paraId="693AB8BE">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违反医疗知情同意规则的法律责任丨</w:t>
                          </w:r>
                          <w:r>
                            <w:rPr>
                              <w:rFonts w:ascii="Times New Roman" w:hAnsi="Times New Roman" w:eastAsia="Times New Roman" w:cs="Times New Roman"/>
                              <w:color w:val="000000"/>
                              <w:spacing w:val="0"/>
                              <w:w w:val="100"/>
                              <w:position w:val="0"/>
                              <w:sz w:val="17"/>
                              <w:szCs w:val="17"/>
                            </w:rPr>
                            <w:t>483</w:t>
                          </w:r>
                        </w:p>
                      </w:txbxContent>
                    </wps:txbx>
                    <wps:bodyPr wrap="none" lIns="0" tIns="0" rIns="0" bIns="0">
                      <a:spAutoFit/>
                    </wps:bodyPr>
                  </wps:wsp>
                </a:graphicData>
              </a:graphic>
            </wp:anchor>
          </w:drawing>
        </mc:Choice>
        <mc:Fallback>
          <w:pict>
            <v:shape id="Shape 1339" o:spid="_x0000_s1026" o:spt="202" type="#_x0000_t202" style="position:absolute;left:0pt;margin-left:325.2pt;margin-top:39.55pt;height:8.75pt;width:139.2pt;mso-position-horizontal-relative:page;mso-position-vertical-relative:page;mso-wrap-style:none;z-index:-251657216;mso-width-relative:page;mso-height-relative:page;" filled="f" stroked="f" coordsize="21600,21600" o:gfxdata="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b44Yu1QAA&#10;AAkBAAAPAAAAAAAAAAEAIAAAACIAAABkcnMvZG93bnJldi54bWxQSwECFAAUAAAACACHTuJAp2lD&#10;I68BAAB2AwAADgAAAAAAAAABACAAAAAkAQAAZHJzL2Uyb0RvYy54bWxQSwUGAAAAAAYABgBZAQAA&#10;RQUAAAAA&#10;">
              <v:fill on="f" focussize="0,0"/>
              <v:stroke on="f"/>
              <v:imagedata o:title=""/>
              <o:lock v:ext="edit" aspectratio="f"/>
              <v:textbox inset="0mm,0mm,0mm,0mm" style="mso-fit-shape-to-text:t;">
                <w:txbxContent>
                  <w:p w14:paraId="693AB8BE">
                    <w:pPr>
                      <w:pStyle w:val="31"/>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8"/>
                        <w:szCs w:val="18"/>
                      </w:rPr>
                      <w:t>违反医疗知情同意规则的法律责任丨</w:t>
                    </w:r>
                    <w:r>
                      <w:rPr>
                        <w:rFonts w:ascii="Times New Roman" w:hAnsi="Times New Roman" w:eastAsia="Times New Roman" w:cs="Times New Roman"/>
                        <w:color w:val="000000"/>
                        <w:spacing w:val="0"/>
                        <w:w w:val="100"/>
                        <w:position w:val="0"/>
                        <w:sz w:val="17"/>
                        <w:szCs w:val="17"/>
                      </w:rPr>
                      <w:t>483</w:t>
                    </w:r>
                  </w:p>
                </w:txbxContent>
              </v:textbox>
            </v:shape>
          </w:pict>
        </mc:Fallback>
      </mc:AlternateContent>
    </w: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266A18">
    <w:pPr>
      <w:widowControl w:val="0"/>
      <w:spacing w:line="1" w:lineRule="exact"/>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44A25">
    <w:pPr>
      <w:widowControl w:val="0"/>
      <w:spacing w:line="1" w:lineRule="exact"/>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AF243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1" name="Shape 12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3B5BB2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oOf66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qObsFpy5oWjlZe5LCfIniFgQ11PgfrS&#10;+AVGar3mkZJZ9aijy0/Sw6hO5l5u5qoxMUnJzd2n1cc1Z5JKy/rzZr3OKNXzxyFi+qrAsRy0PNLu&#10;iqXi/B3T1HptybM8PBprcz4znJjkKI2HcaZ9gO5CrAdab8s93WbO7DdP7uWbcA3iNTjMQQbH8HBK&#10;NKDMzagT1DyMdlGYz/cmL/vf99L1/K/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MoOf&#10;668BAABzAwAADgAAAAAAAAABACAAAAAkAQAAZHJzL2Uyb0RvYy54bWxQSwUGAAAAAAYABgBZAQAA&#10;RQUAAAAA&#10;">
              <v:fill on="f" focussize="0,0"/>
              <v:stroke on="f"/>
              <v:imagedata o:title=""/>
              <o:lock v:ext="edit" aspectratio="f"/>
              <v:textbox inset="0mm,0mm,0mm,0mm" style="mso-fit-shape-to-text:t;">
                <w:txbxContent>
                  <w:p w14:paraId="13B5BB26">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DCF37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4773930</wp:posOffset>
              </wp:positionH>
              <wp:positionV relativeFrom="page">
                <wp:posOffset>495935</wp:posOffset>
              </wp:positionV>
              <wp:extent cx="1167130" cy="109855"/>
              <wp:effectExtent l="0" t="0" r="0" b="0"/>
              <wp:wrapNone/>
              <wp:docPr id="1347" name="Shape 1347"/>
              <wp:cNvGraphicFramePr/>
              <a:graphic xmlns:a="http://schemas.openxmlformats.org/drawingml/2006/main">
                <a:graphicData uri="http://schemas.microsoft.com/office/word/2010/wordprocessingShape">
                  <wps:wsp>
                    <wps:cNvSpPr txBox="1"/>
                    <wps:spPr>
                      <a:xfrm>
                        <a:off x="0" y="0"/>
                        <a:ext cx="1167130" cy="109855"/>
                      </a:xfrm>
                      <a:prstGeom prst="rect">
                        <a:avLst/>
                      </a:prstGeom>
                      <a:noFill/>
                    </wps:spPr>
                    <wps:txbx>
                      <w:txbxContent>
                        <w:p w14:paraId="0945624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延误治疗与侵权责任丨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347" o:spid="_x0000_s1026" o:spt="202" type="#_x0000_t202" style="position:absolute;left:0pt;margin-left:375.9pt;margin-top:39.05pt;height:8.65pt;width:91.9pt;mso-position-horizontal-relative:page;mso-position-vertical-relative:page;mso-wrap-style:none;z-index:-251657216;mso-width-relative:page;mso-height-relative:page;" filled="f" stroked="f" coordsize="21600,21600" o:gfxdata="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nCwWK1QAA&#10;AAkBAAAPAAAAAAAAAAEAIAAAACIAAABkcnMvZG93bnJldi54bWxQSwECFAAUAAAACACHTuJAOzXf&#10;Ya8BAAB2AwAADgAAAAAAAAABACAAAAAkAQAAZHJzL2Uyb0RvYy54bWxQSwUGAAAAAAYABgBZAQAA&#10;RQUAAAAA&#10;">
              <v:fill on="f" focussize="0,0"/>
              <v:stroke on="f"/>
              <v:imagedata o:title=""/>
              <o:lock v:ext="edit" aspectratio="f"/>
              <v:textbox inset="0mm,0mm,0mm,0mm" style="mso-fit-shape-to-text:t;">
                <w:txbxContent>
                  <w:p w14:paraId="0945624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延误治疗与侵权责任丨</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C63DD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49" name="Shape 134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8999D5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4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IpA&#10;0JOwAQAAdQMAAA4AAAAAAAAAAQAgAAAAJAEAAGRycy9lMm9Eb2MueG1sUEsFBgAAAAAGAAYAWQEA&#10;AEYFAAAAAA==&#10;">
              <v:fill on="f" focussize="0,0"/>
              <v:stroke on="f"/>
              <v:imagedata o:title=""/>
              <o:lock v:ext="edit" aspectratio="f"/>
              <v:textbox inset="0mm,0mm,0mm,0mm" style="mso-fit-shape-to-text:t;">
                <w:txbxContent>
                  <w:p w14:paraId="58999D5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E456F">
    <w:pPr>
      <w:widowControl w:val="0"/>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0A3E48">
    <w:pPr>
      <w:widowControl w:val="0"/>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E593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4222750</wp:posOffset>
              </wp:positionH>
              <wp:positionV relativeFrom="page">
                <wp:posOffset>522605</wp:posOffset>
              </wp:positionV>
              <wp:extent cx="1667510" cy="111125"/>
              <wp:effectExtent l="0" t="0" r="0" b="0"/>
              <wp:wrapNone/>
              <wp:docPr id="1357" name="Shape 1357"/>
              <wp:cNvGraphicFramePr/>
              <a:graphic xmlns:a="http://schemas.openxmlformats.org/drawingml/2006/main">
                <a:graphicData uri="http://schemas.microsoft.com/office/word/2010/wordprocessingShape">
                  <wps:wsp>
                    <wps:cNvSpPr txBox="1"/>
                    <wps:spPr>
                      <a:xfrm>
                        <a:off x="0" y="0"/>
                        <a:ext cx="1667510" cy="111125"/>
                      </a:xfrm>
                      <a:prstGeom prst="rect">
                        <a:avLst/>
                      </a:prstGeom>
                      <a:noFill/>
                    </wps:spPr>
                    <wps:txbx>
                      <w:txbxContent>
                        <w:p w14:paraId="76A7B3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357" o:spid="_x0000_s1026" o:spt="202" type="#_x0000_t202" style="position:absolute;left:0pt;margin-left:332.5pt;margin-top:41.15pt;height:8.75pt;width:131.3pt;mso-position-horizontal-relative:page;mso-position-vertical-relative:page;mso-wrap-style:none;z-index:-251657216;mso-width-relative:page;mso-height-relative:page;" filled="f" stroked="f" coordsize="21600,21600" o:gfxdata="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V+HQD9cA&#10;AAAJAQAADwAAAAAAAAABACAAAAAiAAAAZHJzL2Rvd25yZXYueG1sUEsBAhQAFAAAAAgAh07iQPj7&#10;ek6uAQAAdgMAAA4AAAAAAAAAAQAgAAAAJgEAAGRycy9lMm9Eb2MueG1sUEsFBgAAAAAGAAYAWQEA&#10;AEYFAAAAAA==&#10;">
              <v:fill on="f" focussize="0,0"/>
              <v:stroke on="f"/>
              <v:imagedata o:title=""/>
              <o:lock v:ext="edit" aspectratio="f"/>
              <v:textbox inset="0mm,0mm,0mm,0mm" style="mso-fit-shape-to-text:t;">
                <w:txbxContent>
                  <w:p w14:paraId="76A7B36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w:t>
                    </w:r>
                    <w:r>
                      <w:rPr>
                        <w:rFonts w:ascii="Times New Roman" w:hAnsi="Times New Roman" w:eastAsia="Times New Roman" w:cs="Times New Roman"/>
                        <w:b/>
                        <w:bCs/>
                        <w:color w:val="000000"/>
                        <w:spacing w:val="0"/>
                        <w:w w:val="100"/>
                        <w:position w:val="0"/>
                        <w:sz w:val="15"/>
                        <w:szCs w:val="15"/>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58DFE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59" name="Shape 135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FEB8BB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5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PsL&#10;hSOwAQAAdQMAAA4AAAAAAAAAAQAgAAAAJAEAAGRycy9lMm9Eb2MueG1sUEsFBgAAAAAGAAYAWQEA&#10;AEYFAAAAAA==&#10;">
              <v:fill on="f" focussize="0,0"/>
              <v:stroke on="f"/>
              <v:imagedata o:title=""/>
              <o:lock v:ext="edit" aspectratio="f"/>
              <v:textbox inset="0mm,0mm,0mm,0mm" style="mso-fit-shape-to-text:t;">
                <w:txbxContent>
                  <w:p w14:paraId="0FEB8BB1">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5770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4226560</wp:posOffset>
              </wp:positionH>
              <wp:positionV relativeFrom="page">
                <wp:posOffset>525780</wp:posOffset>
              </wp:positionV>
              <wp:extent cx="1668780" cy="107950"/>
              <wp:effectExtent l="0" t="0" r="0" b="0"/>
              <wp:wrapNone/>
              <wp:docPr id="1361" name="Shape 1361"/>
              <wp:cNvGraphicFramePr/>
              <a:graphic xmlns:a="http://schemas.openxmlformats.org/drawingml/2006/main">
                <a:graphicData uri="http://schemas.microsoft.com/office/word/2010/wordprocessingShape">
                  <wps:wsp>
                    <wps:cNvSpPr txBox="1"/>
                    <wps:spPr>
                      <a:xfrm>
                        <a:off x="0" y="0"/>
                        <a:ext cx="1668780" cy="107950"/>
                      </a:xfrm>
                      <a:prstGeom prst="rect">
                        <a:avLst/>
                      </a:prstGeom>
                      <a:noFill/>
                    </wps:spPr>
                    <wps:txbx>
                      <w:txbxContent>
                        <w:p w14:paraId="5C54A8A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环境污染侵权中的因果关系证明丨</w:t>
                          </w:r>
                          <w:r>
                            <w:rPr>
                              <w:rFonts w:ascii="Times New Roman" w:hAnsi="Times New Roman" w:eastAsia="Times New Roman" w:cs="Times New Roman"/>
                              <w:b/>
                              <w:bCs/>
                              <w:color w:val="000000"/>
                              <w:spacing w:val="0"/>
                              <w:w w:val="100"/>
                              <w:position w:val="0"/>
                              <w:sz w:val="15"/>
                              <w:szCs w:val="15"/>
                            </w:rPr>
                            <w:t>493</w:t>
                          </w:r>
                        </w:p>
                      </w:txbxContent>
                    </wps:txbx>
                    <wps:bodyPr wrap="none" lIns="0" tIns="0" rIns="0" bIns="0">
                      <a:spAutoFit/>
                    </wps:bodyPr>
                  </wps:wsp>
                </a:graphicData>
              </a:graphic>
            </wp:anchor>
          </w:drawing>
        </mc:Choice>
        <mc:Fallback>
          <w:pict>
            <v:shape id="Shape 1361" o:spid="_x0000_s1026" o:spt="202" type="#_x0000_t202" style="position:absolute;left:0pt;margin-left:332.8pt;margin-top:41.4pt;height:8.5pt;width:131.4pt;mso-position-horizontal-relative:page;mso-position-vertical-relative:page;mso-wrap-style:none;z-index:-251657216;mso-width-relative:page;mso-height-relative:page;" filled="f" stroked="f" coordsize="21600,21600" o:gfxdata="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KX3jPW&#10;AAAACQEAAA8AAAAAAAAAAQAgAAAAIgAAAGRycy9kb3ducmV2LnhtbFBLAQIUABQAAAAIAIdO4kDT&#10;XmMwsAEAAHYDAAAOAAAAAAAAAAEAIAAAACUBAABkcnMvZTJvRG9jLnhtbFBLBQYAAAAABgAGAFkB&#10;AABHBQAAAAA=&#10;">
              <v:fill on="f" focussize="0,0"/>
              <v:stroke on="f"/>
              <v:imagedata o:title=""/>
              <o:lock v:ext="edit" aspectratio="f"/>
              <v:textbox inset="0mm,0mm,0mm,0mm" style="mso-fit-shape-to-text:t;">
                <w:txbxContent>
                  <w:p w14:paraId="5C54A8AF">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环境污染侵权中的因果关系证明丨</w:t>
                    </w:r>
                    <w:r>
                      <w:rPr>
                        <w:rFonts w:ascii="Times New Roman" w:hAnsi="Times New Roman" w:eastAsia="Times New Roman" w:cs="Times New Roman"/>
                        <w:b/>
                        <w:bCs/>
                        <w:color w:val="000000"/>
                        <w:spacing w:val="0"/>
                        <w:w w:val="100"/>
                        <w:position w:val="0"/>
                        <w:sz w:val="15"/>
                        <w:szCs w:val="15"/>
                      </w:rPr>
                      <w:t>493</w:t>
                    </w:r>
                  </w:p>
                </w:txbxContent>
              </v:textbox>
            </v:shape>
          </w:pict>
        </mc:Fallback>
      </mc:AlternateContent>
    </w: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68B2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4226560</wp:posOffset>
              </wp:positionH>
              <wp:positionV relativeFrom="page">
                <wp:posOffset>525780</wp:posOffset>
              </wp:positionV>
              <wp:extent cx="1668780" cy="107950"/>
              <wp:effectExtent l="0" t="0" r="0" b="0"/>
              <wp:wrapNone/>
              <wp:docPr id="1363" name="Shape 1363"/>
              <wp:cNvGraphicFramePr/>
              <a:graphic xmlns:a="http://schemas.openxmlformats.org/drawingml/2006/main">
                <a:graphicData uri="http://schemas.microsoft.com/office/word/2010/wordprocessingShape">
                  <wps:wsp>
                    <wps:cNvSpPr txBox="1"/>
                    <wps:spPr>
                      <a:xfrm>
                        <a:off x="0" y="0"/>
                        <a:ext cx="1668780" cy="107950"/>
                      </a:xfrm>
                      <a:prstGeom prst="rect">
                        <a:avLst/>
                      </a:prstGeom>
                      <a:noFill/>
                    </wps:spPr>
                    <wps:txbx>
                      <w:txbxContent>
                        <w:p w14:paraId="32590E6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环境污染侵权中的因果关系证明丨</w:t>
                          </w:r>
                          <w:r>
                            <w:rPr>
                              <w:rFonts w:ascii="Times New Roman" w:hAnsi="Times New Roman" w:eastAsia="Times New Roman" w:cs="Times New Roman"/>
                              <w:b/>
                              <w:bCs/>
                              <w:color w:val="000000"/>
                              <w:spacing w:val="0"/>
                              <w:w w:val="100"/>
                              <w:position w:val="0"/>
                              <w:sz w:val="15"/>
                              <w:szCs w:val="15"/>
                            </w:rPr>
                            <w:t>493</w:t>
                          </w:r>
                        </w:p>
                      </w:txbxContent>
                    </wps:txbx>
                    <wps:bodyPr wrap="none" lIns="0" tIns="0" rIns="0" bIns="0">
                      <a:spAutoFit/>
                    </wps:bodyPr>
                  </wps:wsp>
                </a:graphicData>
              </a:graphic>
            </wp:anchor>
          </w:drawing>
        </mc:Choice>
        <mc:Fallback>
          <w:pict>
            <v:shape id="Shape 1363" o:spid="_x0000_s1026" o:spt="202" type="#_x0000_t202" style="position:absolute;left:0pt;margin-left:332.8pt;margin-top:41.4pt;height:8.5pt;width:131.4pt;mso-position-horizontal-relative:page;mso-position-vertical-relative:page;mso-wrap-style:none;z-index:-251657216;mso-width-relative:page;mso-height-relative:page;" filled="f" stroked="f" coordsize="21600,21600" o:gfxdata="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KX3jPW&#10;AAAACQEAAA8AAAAAAAAAAQAgAAAAIgAAAGRycy9kb3ducmV2LnhtbFBLAQIUABQAAAAIAIdO4kBw&#10;zriLsAEAAHYDAAAOAAAAAAAAAAEAIAAAACUBAABkcnMvZTJvRG9jLnhtbFBLBQYAAAAABgAGAFkB&#10;AABHBQAAAAA=&#10;">
              <v:fill on="f" focussize="0,0"/>
              <v:stroke on="f"/>
              <v:imagedata o:title=""/>
              <o:lock v:ext="edit" aspectratio="f"/>
              <v:textbox inset="0mm,0mm,0mm,0mm" style="mso-fit-shape-to-text:t;">
                <w:txbxContent>
                  <w:p w14:paraId="32590E67">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环境污染侵权中的因果关系证明丨</w:t>
                    </w:r>
                    <w:r>
                      <w:rPr>
                        <w:rFonts w:ascii="Times New Roman" w:hAnsi="Times New Roman" w:eastAsia="Times New Roman" w:cs="Times New Roman"/>
                        <w:b/>
                        <w:bCs/>
                        <w:color w:val="000000"/>
                        <w:spacing w:val="0"/>
                        <w:w w:val="100"/>
                        <w:position w:val="0"/>
                        <w:sz w:val="15"/>
                        <w:szCs w:val="15"/>
                      </w:rPr>
                      <w:t>493</w:t>
                    </w:r>
                  </w:p>
                </w:txbxContent>
              </v:textbox>
            </v:shape>
          </w:pict>
        </mc:Fallback>
      </mc:AlternateContent>
    </w: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5C210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5099050</wp:posOffset>
              </wp:positionH>
              <wp:positionV relativeFrom="page">
                <wp:posOffset>484505</wp:posOffset>
              </wp:positionV>
              <wp:extent cx="861060" cy="109855"/>
              <wp:effectExtent l="0" t="0" r="0" b="0"/>
              <wp:wrapNone/>
              <wp:docPr id="1365" name="Shape 1365"/>
              <wp:cNvGraphicFramePr/>
              <a:graphic xmlns:a="http://schemas.openxmlformats.org/drawingml/2006/main">
                <a:graphicData uri="http://schemas.microsoft.com/office/word/2010/wordprocessingShape">
                  <wps:wsp>
                    <wps:cNvSpPr txBox="1"/>
                    <wps:spPr>
                      <a:xfrm>
                        <a:off x="0" y="0"/>
                        <a:ext cx="861060" cy="109855"/>
                      </a:xfrm>
                      <a:prstGeom prst="rect">
                        <a:avLst/>
                      </a:prstGeom>
                      <a:noFill/>
                    </wps:spPr>
                    <wps:txbx>
                      <w:txbxContent>
                        <w:p w14:paraId="50BAE89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wps:txbx>
                    <wps:bodyPr wrap="none" lIns="0" tIns="0" rIns="0" bIns="0">
                      <a:spAutoFit/>
                    </wps:bodyPr>
                  </wps:wsp>
                </a:graphicData>
              </a:graphic>
            </wp:anchor>
          </w:drawing>
        </mc:Choice>
        <mc:Fallback>
          <w:pict>
            <v:shape id="Shape 1365" o:spid="_x0000_s1026" o:spt="202" type="#_x0000_t202" style="position:absolute;left:0pt;margin-left:401.5pt;margin-top:38.15pt;height:8.65pt;width:67.8pt;mso-position-horizontal-relative:page;mso-position-vertical-relative:page;mso-wrap-style:none;z-index:-251657216;mso-width-relative:page;mso-height-relative:page;" filled="f" stroked="f" coordsize="21600,21600" o:gfxdata="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EMbJzVAAAA&#10;CQEAAA8AAAAAAAAAAQAgAAAAIgAAAGRycy9kb3ducmV2LnhtbFBLAQIUABQAAAAIAIdO4kCebOq7&#10;rgEAAHUDAAAOAAAAAAAAAAEAIAAAACQBAABkcnMvZTJvRG9jLnhtbFBLBQYAAAAABgAGAFkBAABE&#10;BQAAAAA=&#10;">
              <v:fill on="f" focussize="0,0"/>
              <v:stroke on="f"/>
              <v:imagedata o:title=""/>
              <o:lock v:ext="edit" aspectratio="f"/>
              <v:textbox inset="0mm,0mm,0mm,0mm" style="mso-fit-shape-to-text:t;">
                <w:txbxContent>
                  <w:p w14:paraId="50BAE89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v:textbox>
            </v:shape>
          </w:pict>
        </mc:Fallback>
      </mc:AlternateContent>
    </w: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69D5C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5099050</wp:posOffset>
              </wp:positionH>
              <wp:positionV relativeFrom="page">
                <wp:posOffset>484505</wp:posOffset>
              </wp:positionV>
              <wp:extent cx="861060" cy="109855"/>
              <wp:effectExtent l="0" t="0" r="0" b="0"/>
              <wp:wrapNone/>
              <wp:docPr id="1367" name="Shape 1367"/>
              <wp:cNvGraphicFramePr/>
              <a:graphic xmlns:a="http://schemas.openxmlformats.org/drawingml/2006/main">
                <a:graphicData uri="http://schemas.microsoft.com/office/word/2010/wordprocessingShape">
                  <wps:wsp>
                    <wps:cNvSpPr txBox="1"/>
                    <wps:spPr>
                      <a:xfrm>
                        <a:off x="0" y="0"/>
                        <a:ext cx="861060" cy="109855"/>
                      </a:xfrm>
                      <a:prstGeom prst="rect">
                        <a:avLst/>
                      </a:prstGeom>
                      <a:noFill/>
                    </wps:spPr>
                    <wps:txbx>
                      <w:txbxContent>
                        <w:p w14:paraId="51F58AB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wps:txbx>
                    <wps:bodyPr wrap="none" lIns="0" tIns="0" rIns="0" bIns="0">
                      <a:spAutoFit/>
                    </wps:bodyPr>
                  </wps:wsp>
                </a:graphicData>
              </a:graphic>
            </wp:anchor>
          </w:drawing>
        </mc:Choice>
        <mc:Fallback>
          <w:pict>
            <v:shape id="Shape 1367" o:spid="_x0000_s1026" o:spt="202" type="#_x0000_t202" style="position:absolute;left:0pt;margin-left:401.5pt;margin-top:38.15pt;height:8.65pt;width:67.8pt;mso-position-horizontal-relative:page;mso-position-vertical-relative:page;mso-wrap-style:none;z-index:-251657216;mso-width-relative:page;mso-height-relative:page;" filled="f" stroked="f" coordsize="21600,21600" o:gfxdata="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EMbJzVAAAA&#10;CQEAAA8AAAAAAAAAAQAgAAAAIgAAAGRycy9kb3ducmV2LnhtbFBLAQIUABQAAAAIAIdO4kArzD1r&#10;rgEAAHUDAAAOAAAAAAAAAAEAIAAAACQBAABkcnMvZTJvRG9jLnhtbFBLBQYAAAAABgAGAFkBAABE&#10;BQAAAAA=&#10;">
              <v:fill on="f" focussize="0,0"/>
              <v:stroke on="f"/>
              <v:imagedata o:title=""/>
              <o:lock v:ext="edit" aspectratio="f"/>
              <v:textbox inset="0mm,0mm,0mm,0mm" style="mso-fit-shape-to-text:t;">
                <w:txbxContent>
                  <w:p w14:paraId="51F58AB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097B2F">
    <w:pPr>
      <w:widowControl w:val="0"/>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1841F">
    <w:pPr>
      <w:widowControl w:val="0"/>
      <w:spacing w:line="1" w:lineRule="exact"/>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6628A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5099050</wp:posOffset>
              </wp:positionH>
              <wp:positionV relativeFrom="page">
                <wp:posOffset>484505</wp:posOffset>
              </wp:positionV>
              <wp:extent cx="861060" cy="109855"/>
              <wp:effectExtent l="0" t="0" r="0" b="0"/>
              <wp:wrapNone/>
              <wp:docPr id="1375" name="Shape 1375"/>
              <wp:cNvGraphicFramePr/>
              <a:graphic xmlns:a="http://schemas.openxmlformats.org/drawingml/2006/main">
                <a:graphicData uri="http://schemas.microsoft.com/office/word/2010/wordprocessingShape">
                  <wps:wsp>
                    <wps:cNvSpPr txBox="1"/>
                    <wps:spPr>
                      <a:xfrm>
                        <a:off x="0" y="0"/>
                        <a:ext cx="861060" cy="109855"/>
                      </a:xfrm>
                      <a:prstGeom prst="rect">
                        <a:avLst/>
                      </a:prstGeom>
                      <a:noFill/>
                    </wps:spPr>
                    <wps:txbx>
                      <w:txbxContent>
                        <w:p w14:paraId="3EF4074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wps:txbx>
                    <wps:bodyPr wrap="none" lIns="0" tIns="0" rIns="0" bIns="0">
                      <a:spAutoFit/>
                    </wps:bodyPr>
                  </wps:wsp>
                </a:graphicData>
              </a:graphic>
            </wp:anchor>
          </w:drawing>
        </mc:Choice>
        <mc:Fallback>
          <w:pict>
            <v:shape id="Shape 1375" o:spid="_x0000_s1026" o:spt="202" type="#_x0000_t202" style="position:absolute;left:0pt;margin-left:401.5pt;margin-top:38.15pt;height:8.65pt;width:67.8pt;mso-position-horizontal-relative:page;mso-position-vertical-relative:page;mso-wrap-style:none;z-index:-251657216;mso-width-relative:page;mso-height-relative:page;" filled="f" stroked="f" coordsize="21600,21600" o:gfxdata="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EMbJzVAAAA&#10;CQEAAA8AAAAAAAAAAQAgAAAAIgAAAGRycy9kb3ducmV2LnhtbFBLAQIUABQAAAAIAIdO4kDvJ78L&#10;rgEAAHUDAAAOAAAAAAAAAAEAIAAAACQBAABkcnMvZTJvRG9jLnhtbFBLBQYAAAAABgAGAFkBAABE&#10;BQAAAAA=&#10;">
              <v:fill on="f" focussize="0,0"/>
              <v:stroke on="f"/>
              <v:imagedata o:title=""/>
              <o:lock v:ext="edit" aspectratio="f"/>
              <v:textbox inset="0mm,0mm,0mm,0mm" style="mso-fit-shape-to-text:t;">
                <w:txbxContent>
                  <w:p w14:paraId="3EF40741">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动物侵权责任丨</w:t>
                    </w:r>
                    <w:r>
                      <w:rPr>
                        <w:rFonts w:ascii="Times New Roman" w:hAnsi="Times New Roman" w:eastAsia="Times New Roman" w:cs="Times New Roman"/>
                        <w:b/>
                        <w:bCs/>
                        <w:color w:val="000000"/>
                        <w:spacing w:val="0"/>
                        <w:w w:val="100"/>
                        <w:position w:val="0"/>
                        <w:sz w:val="15"/>
                        <w:szCs w:val="15"/>
                      </w:rPr>
                      <w:t>495</w:t>
                    </w:r>
                  </w:p>
                </w:txbxContent>
              </v:textbox>
            </v:shape>
          </w:pict>
        </mc:Fallback>
      </mc:AlternateContent>
    </w: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EF2D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77" name="Shape 137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5CA274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7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Dy&#10;68ewAQAAdQMAAA4AAAAAAAAAAQAgAAAAJAEAAGRycy9lMm9Eb2MueG1sUEsFBgAAAAAGAAYAWQEA&#10;AEYFAAAAAA==&#10;">
              <v:fill on="f" focussize="0,0"/>
              <v:stroke on="f"/>
              <v:imagedata o:title=""/>
              <o:lock v:ext="edit" aspectratio="f"/>
              <v:textbox inset="0mm,0mm,0mm,0mm" style="mso-fit-shape-to-text:t;">
                <w:txbxContent>
                  <w:p w14:paraId="75CA274C">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1C7EE">
    <w:pPr>
      <w:widowControl w:val="0"/>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9AF665">
    <w:pPr>
      <w:widowControl w:val="0"/>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FF21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79" name="Shape 137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EC8C74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7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Fib&#10;XpiwAQAAdQMAAA4AAAAAAAAAAQAgAAAAJAEAAGRycy9lMm9Eb2MueG1sUEsFBgAAAAAGAAYAWQEA&#10;AEYFAAAAAA==&#10;">
              <v:fill on="f" focussize="0,0"/>
              <v:stroke on="f"/>
              <v:imagedata o:title=""/>
              <o:lock v:ext="edit" aspectratio="f"/>
              <v:textbox inset="0mm,0mm,0mm,0mm" style="mso-fit-shape-to-text:t;">
                <w:txbxContent>
                  <w:p w14:paraId="2EC8C74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1F80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81" name="Shape 138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100813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8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JSh&#10;V0iwAQAAdQMAAA4AAAAAAAAAAQAgAAAAJAEAAGRycy9lMm9Eb2MueG1sUEsFBgAAAAAGAAYAWQEA&#10;AEYFAAAAAA==&#10;">
              <v:fill on="f" focussize="0,0"/>
              <v:stroke on="f"/>
              <v:imagedata o:title=""/>
              <o:lock v:ext="edit" aspectratio="f"/>
              <v:textbox inset="0mm,0mm,0mm,0mm" style="mso-fit-shape-to-text:t;">
                <w:txbxContent>
                  <w:p w14:paraId="11008137">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117B5C">
    <w:pPr>
      <w:widowControl w:val="0"/>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01069">
    <w:pPr>
      <w:widowControl w:val="0"/>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ADA36">
    <w:pPr>
      <w:widowControl w:val="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E470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441960</wp:posOffset>
              </wp:positionH>
              <wp:positionV relativeFrom="page">
                <wp:posOffset>530225</wp:posOffset>
              </wp:positionV>
              <wp:extent cx="666115" cy="107950"/>
              <wp:effectExtent l="0" t="0" r="0" b="0"/>
              <wp:wrapNone/>
              <wp:docPr id="11" name="Shape 11"/>
              <wp:cNvGraphicFramePr/>
              <a:graphic xmlns:a="http://schemas.openxmlformats.org/drawingml/2006/main">
                <a:graphicData uri="http://schemas.microsoft.com/office/word/2010/wordprocessingShape">
                  <wps:wsp>
                    <wps:cNvSpPr txBox="1"/>
                    <wps:spPr>
                      <a:xfrm>
                        <a:off x="0" y="0"/>
                        <a:ext cx="666115" cy="107950"/>
                      </a:xfrm>
                      <a:prstGeom prst="rect">
                        <a:avLst/>
                      </a:prstGeom>
                      <a:noFill/>
                    </wps:spPr>
                    <wps:txbx>
                      <w:txbxContent>
                        <w:p w14:paraId="6908146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wps:txbx>
                    <wps:bodyPr wrap="none" lIns="0" tIns="0" rIns="0" bIns="0">
                      <a:spAutoFit/>
                    </wps:bodyPr>
                  </wps:wsp>
                </a:graphicData>
              </a:graphic>
            </wp:anchor>
          </w:drawing>
        </mc:Choice>
        <mc:Fallback>
          <w:pict>
            <v:shape id="Shape 11" o:spid="_x0000_s1026" o:spt="202" type="#_x0000_t202" style="position:absolute;left:0pt;margin-left:34.8pt;margin-top:41.75pt;height:8.5pt;width:52.45pt;mso-position-horizontal-relative:page;mso-position-vertical-relative:page;mso-wrap-style:none;z-index:-251657216;mso-width-relative:page;mso-height-relative:page;" filled="f" stroked="f" coordsize="21600,21600" o:gfxdata="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PsdkHVAAAA&#10;CQEAAA8AAAAAAAAAAQAgAAAAIgAAAGRycy9kb3ducmV2LnhtbFBLAQIUABQAAAAIAIdO4kCw7Ku3&#10;rgEAAHEDAAAOAAAAAAAAAAEAIAAAACQBAABkcnMvZTJvRG9jLnhtbFBLBQYAAAAABgAGAFkBAABE&#10;BQAAAAA=&#10;">
              <v:fill on="f" focussize="0,0"/>
              <v:stroke on="f"/>
              <v:imagedata o:title=""/>
              <o:lock v:ext="edit" aspectratio="f"/>
              <v:textbox inset="0mm,0mm,0mm,0mm" style="mso-fit-shape-to-text:t;">
                <w:txbxContent>
                  <w:p w14:paraId="6908146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宋体" w:hAnsi="宋体" w:eastAsia="宋体" w:cs="宋体"/>
                        <w:color w:val="000000"/>
                        <w:spacing w:val="0"/>
                        <w:w w:val="100"/>
                        <w:position w:val="0"/>
                        <w:sz w:val="18"/>
                        <w:szCs w:val="18"/>
                      </w:rPr>
                      <w:t>丨序 言</w:t>
                    </w: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02FA9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29" name="Shape 12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479FA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2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Zmh9cK8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Ec3YXXPmReOVl7mspwge4aADXU9BepL&#10;4xcYqfWaR0pm1aOOLj9JD6M6mXu5mavGxCQlN3efVh/XnEkqLev7zXqdUarnj0PE9FWBYzloeaTd&#10;FUvF+TumqfXakmd5eDTW5nxmODHJURoP40z7AN2FWA+03pZ7us2c2W+e3Ms34RrEa3CYgwyO4fMp&#10;0YAyN6NOUPMw2kVhPt+bvOyX76Xr+V/Z/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Zmh9&#10;cK8BAABzAwAADgAAAAAAAAABACAAAAAkAQAAZHJzL2Uyb0RvYy54bWxQSwUGAAAAAAYABgBZAQAA&#10;RQUAAAAA&#10;">
              <v:fill on="f" focussize="0,0"/>
              <v:stroke on="f"/>
              <v:imagedata o:title=""/>
              <o:lock v:ext="edit" aspectratio="f"/>
              <v:textbox inset="0mm,0mm,0mm,0mm" style="mso-fit-shape-to-text:t;">
                <w:txbxContent>
                  <w:p w14:paraId="5479FA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88B9A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1" name="Shape 13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0C9019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Yu9ofa8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qObcLfkzAtHKy9zWU6QPUPAhrqeAvWl&#10;8QuM1HrNIyWz6lFHl5+kh1GdzL3czFVjYpKSm/uPq7s1Z5JKy/rTZr3OKNXLxyFi+qrAsRy0PNLu&#10;iqXi/B3T1HptybM8PBprcz4znJjkKI2HcaZ9gO5CrAdab8s93WbO7DdP7uWbcA3iNTjMQQbH8PmU&#10;aECZm1EnqHkY7aIwn+9NXvbf76Xr5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Yu9o&#10;fa8BAABzAwAADgAAAAAAAAABACAAAAAkAQAAZHJzL2Uyb0RvYy54bWxQSwUGAAAAAAYABgBZAQAA&#10;RQUAAAAA&#10;">
              <v:fill on="f" focussize="0,0"/>
              <v:stroke on="f"/>
              <v:imagedata o:title=""/>
              <o:lock v:ext="edit" aspectratio="f"/>
              <v:textbox inset="0mm,0mm,0mm,0mm" style="mso-fit-shape-to-text:t;">
                <w:txbxContent>
                  <w:p w14:paraId="0C901900">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C57A2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4744085</wp:posOffset>
              </wp:positionH>
              <wp:positionV relativeFrom="page">
                <wp:posOffset>499745</wp:posOffset>
              </wp:positionV>
              <wp:extent cx="1161415" cy="109855"/>
              <wp:effectExtent l="0" t="0" r="0" b="0"/>
              <wp:wrapNone/>
              <wp:docPr id="133" name="Shape 133"/>
              <wp:cNvGraphicFramePr/>
              <a:graphic xmlns:a="http://schemas.openxmlformats.org/drawingml/2006/main">
                <a:graphicData uri="http://schemas.microsoft.com/office/word/2010/wordprocessingShape">
                  <wps:wsp>
                    <wps:cNvSpPr txBox="1"/>
                    <wps:spPr>
                      <a:xfrm>
                        <a:off x="0" y="0"/>
                        <a:ext cx="1161415" cy="109855"/>
                      </a:xfrm>
                      <a:prstGeom prst="rect">
                        <a:avLst/>
                      </a:prstGeom>
                      <a:noFill/>
                    </wps:spPr>
                    <wps:txbx>
                      <w:txbxContent>
                        <w:p w14:paraId="2DD5CF7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越权代表的效力认定丨</w:t>
                          </w:r>
                          <w:r>
                            <w:rPr>
                              <w:rFonts w:ascii="Times New Roman" w:hAnsi="Times New Roman" w:eastAsia="Times New Roman" w:cs="Times New Roman"/>
                              <w:b/>
                              <w:bCs/>
                              <w:color w:val="000000"/>
                              <w:spacing w:val="0"/>
                              <w:w w:val="100"/>
                              <w:position w:val="0"/>
                              <w:sz w:val="15"/>
                              <w:szCs w:val="15"/>
                            </w:rPr>
                            <w:t>039</w:t>
                          </w:r>
                        </w:p>
                      </w:txbxContent>
                    </wps:txbx>
                    <wps:bodyPr wrap="none" lIns="0" tIns="0" rIns="0" bIns="0">
                      <a:spAutoFit/>
                    </wps:bodyPr>
                  </wps:wsp>
                </a:graphicData>
              </a:graphic>
            </wp:anchor>
          </w:drawing>
        </mc:Choice>
        <mc:Fallback>
          <w:pict>
            <v:shape id="Shape 133" o:spid="_x0000_s1026" o:spt="202" type="#_x0000_t202" style="position:absolute;left:0pt;margin-left:373.55pt;margin-top:39.35pt;height:8.65pt;width:91.45pt;mso-position-horizontal-relative:page;mso-position-vertical-relative:page;mso-wrap-style:none;z-index:-251657216;mso-width-relative:page;mso-height-relative:page;" filled="f" stroked="f" coordsize="21600,21600" o:gfxdata="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dzeB7UAAAA&#10;CQEAAA8AAAAAAAAAAQAgAAAAIgAAAGRycy9kb3ducmV2LnhtbFBLAQIUABQAAAAIAIdO4kCsXUHh&#10;rwEAAHQDAAAOAAAAAAAAAAEAIAAAACMBAABkcnMvZTJvRG9jLnhtbFBLBQYAAAAABgAGAFkBAABE&#10;BQAAAAA=&#10;">
              <v:fill on="f" focussize="0,0"/>
              <v:stroke on="f"/>
              <v:imagedata o:title=""/>
              <o:lock v:ext="edit" aspectratio="f"/>
              <v:textbox inset="0mm,0mm,0mm,0mm" style="mso-fit-shape-to-text:t;">
                <w:txbxContent>
                  <w:p w14:paraId="2DD5CF7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越权代表的效力认定丨</w:t>
                    </w:r>
                    <w:r>
                      <w:rPr>
                        <w:rFonts w:ascii="Times New Roman" w:hAnsi="Times New Roman" w:eastAsia="Times New Roman" w:cs="Times New Roman"/>
                        <w:b/>
                        <w:bCs/>
                        <w:color w:val="000000"/>
                        <w:spacing w:val="0"/>
                        <w:w w:val="100"/>
                        <w:position w:val="0"/>
                        <w:sz w:val="15"/>
                        <w:szCs w:val="15"/>
                      </w:rPr>
                      <w:t>039</w:t>
                    </w:r>
                  </w:p>
                </w:txbxContent>
              </v:textbox>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FD8DEC">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4744085</wp:posOffset>
              </wp:positionH>
              <wp:positionV relativeFrom="page">
                <wp:posOffset>499745</wp:posOffset>
              </wp:positionV>
              <wp:extent cx="1161415" cy="109855"/>
              <wp:effectExtent l="0" t="0" r="0" b="0"/>
              <wp:wrapNone/>
              <wp:docPr id="135" name="Shape 135"/>
              <wp:cNvGraphicFramePr/>
              <a:graphic xmlns:a="http://schemas.openxmlformats.org/drawingml/2006/main">
                <a:graphicData uri="http://schemas.microsoft.com/office/word/2010/wordprocessingShape">
                  <wps:wsp>
                    <wps:cNvSpPr txBox="1"/>
                    <wps:spPr>
                      <a:xfrm>
                        <a:off x="0" y="0"/>
                        <a:ext cx="1161415" cy="109855"/>
                      </a:xfrm>
                      <a:prstGeom prst="rect">
                        <a:avLst/>
                      </a:prstGeom>
                      <a:noFill/>
                    </wps:spPr>
                    <wps:txbx>
                      <w:txbxContent>
                        <w:p w14:paraId="2C5C76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越权代表的效力认定丨</w:t>
                          </w:r>
                          <w:r>
                            <w:rPr>
                              <w:rFonts w:ascii="Times New Roman" w:hAnsi="Times New Roman" w:eastAsia="Times New Roman" w:cs="Times New Roman"/>
                              <w:b/>
                              <w:bCs/>
                              <w:color w:val="000000"/>
                              <w:spacing w:val="0"/>
                              <w:w w:val="100"/>
                              <w:position w:val="0"/>
                              <w:sz w:val="15"/>
                              <w:szCs w:val="15"/>
                            </w:rPr>
                            <w:t>039</w:t>
                          </w:r>
                        </w:p>
                      </w:txbxContent>
                    </wps:txbx>
                    <wps:bodyPr wrap="none" lIns="0" tIns="0" rIns="0" bIns="0">
                      <a:spAutoFit/>
                    </wps:bodyPr>
                  </wps:wsp>
                </a:graphicData>
              </a:graphic>
            </wp:anchor>
          </w:drawing>
        </mc:Choice>
        <mc:Fallback>
          <w:pict>
            <v:shape id="Shape 135" o:spid="_x0000_s1026" o:spt="202" type="#_x0000_t202" style="position:absolute;left:0pt;margin-left:373.55pt;margin-top:39.35pt;height:8.65pt;width:91.45pt;mso-position-horizontal-relative:page;mso-position-vertical-relative:page;mso-wrap-style:none;z-index:-251657216;mso-width-relative:page;mso-height-relative:page;" filled="f" stroked="f" coordsize="21600,21600" o:gfxdata="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JdzeB7UAAAA&#10;CQEAAA8AAAAAAAAAAQAgAAAAIgAAAGRycy9kb3ducmV2LnhtbFBLAQIUABQAAAAIAIdO4kDOOJAh&#10;rwEAAHQDAAAOAAAAAAAAAAEAIAAAACMBAABkcnMvZTJvRG9jLnhtbFBLBQYAAAAABgAGAFkBAABE&#10;BQAAAAA=&#10;">
              <v:fill on="f" focussize="0,0"/>
              <v:stroke on="f"/>
              <v:imagedata o:title=""/>
              <o:lock v:ext="edit" aspectratio="f"/>
              <v:textbox inset="0mm,0mm,0mm,0mm" style="mso-fit-shape-to-text:t;">
                <w:txbxContent>
                  <w:p w14:paraId="2C5C760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越权代表的效力认定丨</w:t>
                    </w:r>
                    <w:r>
                      <w:rPr>
                        <w:rFonts w:ascii="Times New Roman" w:hAnsi="Times New Roman" w:eastAsia="Times New Roman" w:cs="Times New Roman"/>
                        <w:b/>
                        <w:bCs/>
                        <w:color w:val="000000"/>
                        <w:spacing w:val="0"/>
                        <w:w w:val="100"/>
                        <w:position w:val="0"/>
                        <w:sz w:val="15"/>
                        <w:szCs w:val="15"/>
                      </w:rPr>
                      <w:t>039</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A4248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7" name="Shape 137"/>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17A827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7"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HSBhFq8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egm3H3gzAtHKy9zWU6QPUPAhrqeAvWl&#10;8TOM1HrNIyWz6lFHl5+kh1GdzL3czFVjYpKSm/v3q7s1Z5JKy/rjZr3OKNXzxyFi+qLAsRy0PNLu&#10;iqXi/A3T1HptybM8PBprcz4znJjkKI2HcaZ9gO5CrAdab8s93WbO7FdP7uWbcA3iNTjMQQbH8OmU&#10;aECZm1EnqHkY7aIwn+9NXvbf76Xr+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HSBh&#10;Fq8BAABzAwAADgAAAAAAAAABACAAAAAkAQAAZHJzL2Uyb0RvYy54bWxQSwUGAAAAAAYABgBZAQAA&#10;RQUAAAAA&#10;">
              <v:fill on="f" focussize="0,0"/>
              <v:stroke on="f"/>
              <v:imagedata o:title=""/>
              <o:lock v:ext="edit" aspectratio="f"/>
              <v:textbox inset="0mm,0mm,0mm,0mm" style="mso-fit-shape-to-text:t;">
                <w:txbxContent>
                  <w:p w14:paraId="317A827A">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92A6F">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39" name="Shape 13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036783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3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gSK&#10;5q8BAABzAwAADgAAAAAAAAABACAAAAAkAQAAZHJzL2Uyb0RvYy54bWxQSwUGAAAAAAYABgBZAQAA&#10;RQUAAAAA&#10;">
              <v:fill on="f" focussize="0,0"/>
              <v:stroke on="f"/>
              <v:imagedata o:title=""/>
              <o:lock v:ext="edit" aspectratio="f"/>
              <v:textbox inset="0mm,0mm,0mm,0mm" style="mso-fit-shape-to-text:t;">
                <w:txbxContent>
                  <w:p w14:paraId="7036783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A513BA">
    <w:pPr>
      <w:widowControl w:val="0"/>
      <w:spacing w:line="1" w:lineRule="exact"/>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FF0A">
    <w:pPr>
      <w:widowControl w:val="0"/>
      <w:spacing w:line="1" w:lineRule="exact"/>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83BAE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4744720</wp:posOffset>
              </wp:positionH>
              <wp:positionV relativeFrom="page">
                <wp:posOffset>499745</wp:posOffset>
              </wp:positionV>
              <wp:extent cx="1156970" cy="109855"/>
              <wp:effectExtent l="0" t="0" r="0" b="0"/>
              <wp:wrapNone/>
              <wp:docPr id="147" name="Shape 147"/>
              <wp:cNvGraphicFramePr/>
              <a:graphic xmlns:a="http://schemas.openxmlformats.org/drawingml/2006/main">
                <a:graphicData uri="http://schemas.microsoft.com/office/word/2010/wordprocessingShape">
                  <wps:wsp>
                    <wps:cNvSpPr txBox="1"/>
                    <wps:spPr>
                      <a:xfrm>
                        <a:off x="0" y="0"/>
                        <a:ext cx="1156970" cy="109855"/>
                      </a:xfrm>
                      <a:prstGeom prst="rect">
                        <a:avLst/>
                      </a:prstGeom>
                      <a:noFill/>
                    </wps:spPr>
                    <wps:txbx>
                      <w:txbxContent>
                        <w:p w14:paraId="1CEF98F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w:t>
                          </w:r>
                          <w:r>
                            <w:rPr>
                              <w:rFonts w:ascii="Times New Roman" w:hAnsi="Times New Roman" w:eastAsia="Times New Roman" w:cs="Times New Roman"/>
                              <w:b/>
                              <w:bCs/>
                              <w:color w:val="000000"/>
                              <w:spacing w:val="0"/>
                              <w:w w:val="100"/>
                              <w:position w:val="0"/>
                              <w:sz w:val="15"/>
                              <w:szCs w:val="15"/>
                            </w:rPr>
                            <w:t>I 041</w:t>
                          </w:r>
                        </w:p>
                      </w:txbxContent>
                    </wps:txbx>
                    <wps:bodyPr wrap="none" lIns="0" tIns="0" rIns="0" bIns="0">
                      <a:spAutoFit/>
                    </wps:bodyPr>
                  </wps:wsp>
                </a:graphicData>
              </a:graphic>
            </wp:anchor>
          </w:drawing>
        </mc:Choice>
        <mc:Fallback>
          <w:pict>
            <v:shape id="Shape 147" o:spid="_x0000_s1026" o:spt="202" type="#_x0000_t202" style="position:absolute;left:0pt;margin-left:373.6pt;margin-top:39.35pt;height:8.65pt;width:91.1pt;mso-position-horizontal-relative:page;mso-position-vertical-relative:page;mso-wrap-style:none;z-index:-251657216;mso-width-relative:page;mso-height-relative:page;" filled="f" stroked="f" coordsize="21600,21600" o:gfxdata="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lnFxu1QAA&#10;AAkBAAAPAAAAAAAAAAEAIAAAACIAAABkcnMvZG93bnJldi54bWxQSwECFAAUAAAACACHTuJAjnbx&#10;/K8BAAB0AwAADgAAAAAAAAABACAAAAAkAQAAZHJzL2Uyb0RvYy54bWxQSwUGAAAAAAYABgBZAQAA&#10;RQUAAAAA&#10;">
              <v:fill on="f" focussize="0,0"/>
              <v:stroke on="f"/>
              <v:imagedata o:title=""/>
              <o:lock v:ext="edit" aspectratio="f"/>
              <v:textbox inset="0mm,0mm,0mm,0mm" style="mso-fit-shape-to-text:t;">
                <w:txbxContent>
                  <w:p w14:paraId="1CEF98F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越权代表的效力认定</w:t>
                    </w:r>
                    <w:r>
                      <w:rPr>
                        <w:rFonts w:ascii="Times New Roman" w:hAnsi="Times New Roman" w:eastAsia="Times New Roman" w:cs="Times New Roman"/>
                        <w:b/>
                        <w:bCs/>
                        <w:color w:val="000000"/>
                        <w:spacing w:val="0"/>
                        <w:w w:val="100"/>
                        <w:position w:val="0"/>
                        <w:sz w:val="15"/>
                        <w:szCs w:val="15"/>
                      </w:rPr>
                      <w:t>I 041</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B76E71">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4449445</wp:posOffset>
              </wp:positionH>
              <wp:positionV relativeFrom="page">
                <wp:posOffset>499745</wp:posOffset>
              </wp:positionV>
              <wp:extent cx="1461770" cy="109855"/>
              <wp:effectExtent l="0" t="0" r="0" b="0"/>
              <wp:wrapNone/>
              <wp:docPr id="149" name="Shape 149"/>
              <wp:cNvGraphicFramePr/>
              <a:graphic xmlns:a="http://schemas.openxmlformats.org/drawingml/2006/main">
                <a:graphicData uri="http://schemas.microsoft.com/office/word/2010/wordprocessingShape">
                  <wps:wsp>
                    <wps:cNvSpPr txBox="1"/>
                    <wps:spPr>
                      <a:xfrm>
                        <a:off x="0" y="0"/>
                        <a:ext cx="1461770" cy="109855"/>
                      </a:xfrm>
                      <a:prstGeom prst="rect">
                        <a:avLst/>
                      </a:prstGeom>
                      <a:noFill/>
                    </wps:spPr>
                    <wps:txbx>
                      <w:txbxContent>
                        <w:p w14:paraId="43A0368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w:t>
                          </w:r>
                          <w:r>
                            <w:rPr>
                              <w:rFonts w:ascii="Times New Roman" w:hAnsi="Times New Roman" w:eastAsia="Times New Roman" w:cs="Times New Roman"/>
                              <w:b/>
                              <w:bCs/>
                              <w:color w:val="000000"/>
                              <w:spacing w:val="0"/>
                              <w:w w:val="100"/>
                              <w:position w:val="0"/>
                              <w:sz w:val="15"/>
                              <w:szCs w:val="15"/>
                            </w:rPr>
                            <w:t>1043</w:t>
                          </w:r>
                        </w:p>
                      </w:txbxContent>
                    </wps:txbx>
                    <wps:bodyPr wrap="none" lIns="0" tIns="0" rIns="0" bIns="0">
                      <a:spAutoFit/>
                    </wps:bodyPr>
                  </wps:wsp>
                </a:graphicData>
              </a:graphic>
            </wp:anchor>
          </w:drawing>
        </mc:Choice>
        <mc:Fallback>
          <w:pict>
            <v:shape id="Shape 149" o:spid="_x0000_s1026" o:spt="202" type="#_x0000_t202" style="position:absolute;left:0pt;margin-left:350.35pt;margin-top:39.35pt;height:8.65pt;width:115.1pt;mso-position-horizontal-relative:page;mso-position-vertical-relative:page;mso-wrap-style:none;z-index:-251657216;mso-width-relative:page;mso-height-relative:page;" filled="f" stroked="f" coordsize="21600,21600" o:gfxdata="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e5LRttQAAAAJ&#10;AQAADwAAAAAAAAABACAAAAAiAAAAZHJzL2Rvd25yZXYueG1sUEsBAhQAFAAAAAgAh07iQH4X9wmu&#10;AQAAdAMAAA4AAAAAAAAAAQAgAAAAIwEAAGRycy9lMm9Eb2MueG1sUEsFBgAAAAAGAAYAWQEAAEMF&#10;AAAAAA==&#10;">
              <v:fill on="f" focussize="0,0"/>
              <v:stroke on="f"/>
              <v:imagedata o:title=""/>
              <o:lock v:ext="edit" aspectratio="f"/>
              <v:textbox inset="0mm,0mm,0mm,0mm" style="mso-fit-shape-to-text:t;">
                <w:txbxContent>
                  <w:p w14:paraId="43A03680">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w:t>
                    </w:r>
                    <w:r>
                      <w:rPr>
                        <w:rFonts w:ascii="Times New Roman" w:hAnsi="Times New Roman" w:eastAsia="Times New Roman" w:cs="Times New Roman"/>
                        <w:b/>
                        <w:bCs/>
                        <w:color w:val="000000"/>
                        <w:spacing w:val="0"/>
                        <w:w w:val="100"/>
                        <w:position w:val="0"/>
                        <w:sz w:val="15"/>
                        <w:szCs w:val="15"/>
                      </w:rPr>
                      <w:t>1043</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5D5D37">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591820</wp:posOffset>
              </wp:positionH>
              <wp:positionV relativeFrom="page">
                <wp:posOffset>506730</wp:posOffset>
              </wp:positionV>
              <wp:extent cx="664210" cy="109855"/>
              <wp:effectExtent l="0" t="0" r="0" b="0"/>
              <wp:wrapNone/>
              <wp:docPr id="13" name="Shape 13"/>
              <wp:cNvGraphicFramePr/>
              <a:graphic xmlns:a="http://schemas.openxmlformats.org/drawingml/2006/main">
                <a:graphicData uri="http://schemas.microsoft.com/office/word/2010/wordprocessingShape">
                  <wps:wsp>
                    <wps:cNvSpPr txBox="1"/>
                    <wps:spPr>
                      <a:xfrm>
                        <a:off x="0" y="0"/>
                        <a:ext cx="664210" cy="109855"/>
                      </a:xfrm>
                      <a:prstGeom prst="rect">
                        <a:avLst/>
                      </a:prstGeom>
                      <a:noFill/>
                    </wps:spPr>
                    <wps:txbx>
                      <w:txbxContent>
                        <w:p w14:paraId="21AB64F0">
                          <w:pPr>
                            <w:pStyle w:val="1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002</w:t>
                          </w:r>
                          <w:r>
                            <w:rPr>
                              <w:rFonts w:ascii="宋体" w:hAnsi="宋体" w:eastAsia="宋体" w:cs="宋体"/>
                              <w:color w:val="000000"/>
                              <w:spacing w:val="0"/>
                              <w:w w:val="100"/>
                              <w:position w:val="0"/>
                              <w:sz w:val="18"/>
                              <w:szCs w:val="18"/>
                            </w:rPr>
                            <w:t>丨目 录</w:t>
                          </w:r>
                        </w:p>
                      </w:txbxContent>
                    </wps:txbx>
                    <wps:bodyPr wrap="none" lIns="0" tIns="0" rIns="0" bIns="0">
                      <a:spAutoFit/>
                    </wps:bodyPr>
                  </wps:wsp>
                </a:graphicData>
              </a:graphic>
            </wp:anchor>
          </w:drawing>
        </mc:Choice>
        <mc:Fallback>
          <w:pict>
            <v:shape id="Shape 13" o:spid="_x0000_s1026" o:spt="202" type="#_x0000_t202" style="position:absolute;left:0pt;margin-left:46.6pt;margin-top:39.9pt;height:8.65pt;width:52.3pt;mso-position-horizontal-relative:page;mso-position-vertical-relative:page;mso-wrap-style:none;z-index:-251657216;mso-width-relative:page;mso-height-relative:page;" filled="f" stroked="f" coordsize="21600,21600" o:gfxdata="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3sZcj1AAAAAgB&#10;AAAPAAAAAAAAAAEAIAAAACIAAABkcnMvZG93bnJldi54bWxQSwECFAAUAAAACACHTuJAJIbToa0B&#10;AABxAwAADgAAAAAAAAABACAAAAAjAQAAZHJzL2Uyb0RvYy54bWxQSwUGAAAAAAYABgBZAQAAQgUA&#10;AAAA&#10;">
              <v:fill on="f" focussize="0,0"/>
              <v:stroke on="f"/>
              <v:imagedata o:title=""/>
              <o:lock v:ext="edit" aspectratio="f"/>
              <v:textbox inset="0mm,0mm,0mm,0mm" style="mso-fit-shape-to-text:t;">
                <w:txbxContent>
                  <w:p w14:paraId="21AB64F0">
                    <w:pPr>
                      <w:pStyle w:val="1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002</w:t>
                    </w:r>
                    <w:r>
                      <w:rPr>
                        <w:rFonts w:ascii="宋体" w:hAnsi="宋体" w:eastAsia="宋体" w:cs="宋体"/>
                        <w:color w:val="000000"/>
                        <w:spacing w:val="0"/>
                        <w:w w:val="100"/>
                        <w:position w:val="0"/>
                        <w:sz w:val="18"/>
                        <w:szCs w:val="18"/>
                      </w:rPr>
                      <w:t>丨目 录</w:t>
                    </w: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EDC1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4449445</wp:posOffset>
              </wp:positionH>
              <wp:positionV relativeFrom="page">
                <wp:posOffset>499745</wp:posOffset>
              </wp:positionV>
              <wp:extent cx="1461770" cy="109855"/>
              <wp:effectExtent l="0" t="0" r="0" b="0"/>
              <wp:wrapNone/>
              <wp:docPr id="151" name="Shape 151"/>
              <wp:cNvGraphicFramePr/>
              <a:graphic xmlns:a="http://schemas.openxmlformats.org/drawingml/2006/main">
                <a:graphicData uri="http://schemas.microsoft.com/office/word/2010/wordprocessingShape">
                  <wps:wsp>
                    <wps:cNvSpPr txBox="1"/>
                    <wps:spPr>
                      <a:xfrm>
                        <a:off x="0" y="0"/>
                        <a:ext cx="1461770" cy="109855"/>
                      </a:xfrm>
                      <a:prstGeom prst="rect">
                        <a:avLst/>
                      </a:prstGeom>
                      <a:noFill/>
                    </wps:spPr>
                    <wps:txbx>
                      <w:txbxContent>
                        <w:p w14:paraId="62989DC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w:t>
                          </w:r>
                          <w:r>
                            <w:rPr>
                              <w:rFonts w:ascii="Times New Roman" w:hAnsi="Times New Roman" w:eastAsia="Times New Roman" w:cs="Times New Roman"/>
                              <w:b/>
                              <w:bCs/>
                              <w:color w:val="000000"/>
                              <w:spacing w:val="0"/>
                              <w:w w:val="100"/>
                              <w:position w:val="0"/>
                              <w:sz w:val="15"/>
                              <w:szCs w:val="15"/>
                            </w:rPr>
                            <w:t>1043</w:t>
                          </w:r>
                        </w:p>
                      </w:txbxContent>
                    </wps:txbx>
                    <wps:bodyPr wrap="none" lIns="0" tIns="0" rIns="0" bIns="0">
                      <a:spAutoFit/>
                    </wps:bodyPr>
                  </wps:wsp>
                </a:graphicData>
              </a:graphic>
            </wp:anchor>
          </w:drawing>
        </mc:Choice>
        <mc:Fallback>
          <w:pict>
            <v:shape id="Shape 151" o:spid="_x0000_s1026" o:spt="202" type="#_x0000_t202" style="position:absolute;left:0pt;margin-left:350.35pt;margin-top:39.35pt;height:8.65pt;width:115.1pt;mso-position-horizontal-relative:page;mso-position-vertical-relative:page;mso-wrap-style:none;z-index:-251657216;mso-width-relative:page;mso-height-relative:page;" filled="f" stroked="f" coordsize="21600,21600" o:gfxdata="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e5LRttQAAAAJ&#10;AQAADwAAAAAAAAABACAAAAAiAAAAZHJzL2Rvd25yZXYueG1sUEsBAhQAFAAAAAgAh07iQODGlw6u&#10;AQAAdAMAAA4AAAAAAAAAAQAgAAAAIwEAAGRycy9lMm9Eb2MueG1sUEsFBgAAAAAGAAYAWQEAAEMF&#10;AAAAAA==&#10;">
              <v:fill on="f" focussize="0,0"/>
              <v:stroke on="f"/>
              <v:imagedata o:title=""/>
              <o:lock v:ext="edit" aspectratio="f"/>
              <v:textbox inset="0mm,0mm,0mm,0mm" style="mso-fit-shape-to-text:t;">
                <w:txbxContent>
                  <w:p w14:paraId="62989DC3">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w:t>
                    </w:r>
                    <w:r>
                      <w:rPr>
                        <w:rFonts w:ascii="Times New Roman" w:hAnsi="Times New Roman" w:eastAsia="Times New Roman" w:cs="Times New Roman"/>
                        <w:b/>
                        <w:bCs/>
                        <w:color w:val="000000"/>
                        <w:spacing w:val="0"/>
                        <w:w w:val="100"/>
                        <w:position w:val="0"/>
                        <w:sz w:val="15"/>
                        <w:szCs w:val="15"/>
                      </w:rPr>
                      <w:t>1043</w:t>
                    </w: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2A5CA">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53" name="Shape 15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25AC3A2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5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1TBBm68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qObsL7jzAtHKy9zWU6QPUPAhrqeAvWl&#10;8QuM1HrNIyWz6lFHl5+kh1GdzL3czFVjYpKSm/uPq7s1Z5JKy/rTZr3OKNXLxyFi+qrAsRy0PNLu&#10;iqXi/B3T1HptybM8PBprcz4znJjkKI2HcaZ9gO5CrAdab8s93WbO7DdP7uWbcA3iNTjMQQbH8PmU&#10;aECZm1EnqHkY7aIwn+9NXvbf76Xr5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1TBB&#10;m68BAABzAwAADgAAAAAAAAABACAAAAAkAQAAZHJzL2Uyb0RvYy54bWxQSwUGAAAAAAYABgBZAQAA&#10;RQUAAAAA&#10;">
              <v:fill on="f" focussize="0,0"/>
              <v:stroke on="f"/>
              <v:imagedata o:title=""/>
              <o:lock v:ext="edit" aspectratio="f"/>
              <v:textbox inset="0mm,0mm,0mm,0mm" style="mso-fit-shape-to-text:t;">
                <w:txbxContent>
                  <w:p w14:paraId="25AC3A2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39E8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55" name="Shape 15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9C0EB8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5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Cq/0jw&#10;rgEAAHMDAAAOAAAAAAAAAAEAIAAAACQBAABkcnMvZTJvRG9jLnhtbFBLBQYAAAAABgAGAFkBAABE&#10;BQAAAAA=&#10;">
              <v:fill on="f" focussize="0,0"/>
              <v:stroke on="f"/>
              <v:imagedata o:title=""/>
              <o:lock v:ext="edit" aspectratio="f"/>
              <v:textbox inset="0mm,0mm,0mm,0mm" style="mso-fit-shape-to-text:t;">
                <w:txbxContent>
                  <w:p w14:paraId="59C0EB85">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FEC6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4443730</wp:posOffset>
              </wp:positionH>
              <wp:positionV relativeFrom="page">
                <wp:posOffset>498475</wp:posOffset>
              </wp:positionV>
              <wp:extent cx="1461770" cy="111125"/>
              <wp:effectExtent l="0" t="0" r="0" b="0"/>
              <wp:wrapNone/>
              <wp:docPr id="157" name="Shape 157"/>
              <wp:cNvGraphicFramePr/>
              <a:graphic xmlns:a="http://schemas.openxmlformats.org/drawingml/2006/main">
                <a:graphicData uri="http://schemas.microsoft.com/office/word/2010/wordprocessingShape">
                  <wps:wsp>
                    <wps:cNvSpPr txBox="1"/>
                    <wps:spPr>
                      <a:xfrm>
                        <a:off x="0" y="0"/>
                        <a:ext cx="1461770" cy="111125"/>
                      </a:xfrm>
                      <a:prstGeom prst="rect">
                        <a:avLst/>
                      </a:prstGeom>
                      <a:noFill/>
                    </wps:spPr>
                    <wps:txbx>
                      <w:txbxContent>
                        <w:p w14:paraId="7BE40F9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有限公司清算义务人的界定丨</w:t>
                          </w:r>
                          <w:r>
                            <w:rPr>
                              <w:rFonts w:ascii="Times New Roman" w:hAnsi="Times New Roman" w:eastAsia="Times New Roman" w:cs="Times New Roman"/>
                              <w:b/>
                              <w:bCs/>
                              <w:color w:val="000000"/>
                              <w:spacing w:val="0"/>
                              <w:w w:val="100"/>
                              <w:position w:val="0"/>
                              <w:sz w:val="15"/>
                              <w:szCs w:val="15"/>
                            </w:rPr>
                            <w:t>045</w:t>
                          </w:r>
                        </w:p>
                      </w:txbxContent>
                    </wps:txbx>
                    <wps:bodyPr wrap="none" lIns="0" tIns="0" rIns="0" bIns="0">
                      <a:spAutoFit/>
                    </wps:bodyPr>
                  </wps:wsp>
                </a:graphicData>
              </a:graphic>
            </wp:anchor>
          </w:drawing>
        </mc:Choice>
        <mc:Fallback>
          <w:pict>
            <v:shape id="Shape 157" o:spid="_x0000_s1026" o:spt="202" type="#_x0000_t202" style="position:absolute;left:0pt;margin-left:349.9pt;margin-top:39.25pt;height:8.75pt;width:115.1pt;mso-position-horizontal-relative:page;mso-position-vertical-relative:page;mso-wrap-style:none;z-index:-251657216;mso-width-relative:page;mso-height-relative:page;" filled="f" stroked="f" coordsize="21600,21600" o:gfxdata="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o6XJVtUAAAAJ&#10;AQAADwAAAAAAAAABACAAAAAiAAAAZHJzL2Rvd25yZXYueG1sUEsBAhQAFAAAAAgAh07iQF7nSwmt&#10;AQAAdAMAAA4AAAAAAAAAAQAgAAAAJAEAAGRycy9lMm9Eb2MueG1sUEsFBgAAAAAGAAYAWQEAAEMF&#10;AAAAAA==&#10;">
              <v:fill on="f" focussize="0,0"/>
              <v:stroke on="f"/>
              <v:imagedata o:title=""/>
              <o:lock v:ext="edit" aspectratio="f"/>
              <v:textbox inset="0mm,0mm,0mm,0mm" style="mso-fit-shape-to-text:t;">
                <w:txbxContent>
                  <w:p w14:paraId="7BE40F9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有限公司清算义务人的界定丨</w:t>
                    </w:r>
                    <w:r>
                      <w:rPr>
                        <w:rFonts w:ascii="Times New Roman" w:hAnsi="Times New Roman" w:eastAsia="Times New Roman" w:cs="Times New Roman"/>
                        <w:b/>
                        <w:bCs/>
                        <w:color w:val="000000"/>
                        <w:spacing w:val="0"/>
                        <w:w w:val="100"/>
                        <w:position w:val="0"/>
                        <w:sz w:val="15"/>
                        <w:szCs w:val="15"/>
                      </w:rPr>
                      <w:t>045</w:t>
                    </w: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208FC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4443730</wp:posOffset>
              </wp:positionH>
              <wp:positionV relativeFrom="page">
                <wp:posOffset>498475</wp:posOffset>
              </wp:positionV>
              <wp:extent cx="1461770" cy="111125"/>
              <wp:effectExtent l="0" t="0" r="0" b="0"/>
              <wp:wrapNone/>
              <wp:docPr id="159" name="Shape 159"/>
              <wp:cNvGraphicFramePr/>
              <a:graphic xmlns:a="http://schemas.openxmlformats.org/drawingml/2006/main">
                <a:graphicData uri="http://schemas.microsoft.com/office/word/2010/wordprocessingShape">
                  <wps:wsp>
                    <wps:cNvSpPr txBox="1"/>
                    <wps:spPr>
                      <a:xfrm>
                        <a:off x="0" y="0"/>
                        <a:ext cx="1461770" cy="111125"/>
                      </a:xfrm>
                      <a:prstGeom prst="rect">
                        <a:avLst/>
                      </a:prstGeom>
                      <a:noFill/>
                    </wps:spPr>
                    <wps:txbx>
                      <w:txbxContent>
                        <w:p w14:paraId="4C526BB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有限公司清算义务人的界定丨</w:t>
                          </w:r>
                          <w:r>
                            <w:rPr>
                              <w:rFonts w:ascii="Times New Roman" w:hAnsi="Times New Roman" w:eastAsia="Times New Roman" w:cs="Times New Roman"/>
                              <w:b/>
                              <w:bCs/>
                              <w:color w:val="000000"/>
                              <w:spacing w:val="0"/>
                              <w:w w:val="100"/>
                              <w:position w:val="0"/>
                              <w:sz w:val="15"/>
                              <w:szCs w:val="15"/>
                            </w:rPr>
                            <w:t>045</w:t>
                          </w:r>
                        </w:p>
                      </w:txbxContent>
                    </wps:txbx>
                    <wps:bodyPr wrap="none" lIns="0" tIns="0" rIns="0" bIns="0">
                      <a:spAutoFit/>
                    </wps:bodyPr>
                  </wps:wsp>
                </a:graphicData>
              </a:graphic>
            </wp:anchor>
          </w:drawing>
        </mc:Choice>
        <mc:Fallback>
          <w:pict>
            <v:shape id="Shape 159" o:spid="_x0000_s1026" o:spt="202" type="#_x0000_t202" style="position:absolute;left:0pt;margin-left:349.9pt;margin-top:39.25pt;height:8.75pt;width:115.1pt;mso-position-horizontal-relative:page;mso-position-vertical-relative:page;mso-wrap-style:none;z-index:-251657216;mso-width-relative:page;mso-height-relative:page;" filled="f" stroked="f" coordsize="21600,21600" o:gfxdata="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OlyVbVAAAA&#10;CQEAAA8AAAAAAAAAAQAgAAAAIgAAAGRycy9kb3ducmV2LnhtbFBLAQIUABQAAAAIAIdO4kA69Qel&#10;rgEAAHQDAAAOAAAAAAAAAAEAIAAAACQBAABkcnMvZTJvRG9jLnhtbFBLBQYAAAAABgAGAFkBAABE&#10;BQAAAAA=&#10;">
              <v:fill on="f" focussize="0,0"/>
              <v:stroke on="f"/>
              <v:imagedata o:title=""/>
              <o:lock v:ext="edit" aspectratio="f"/>
              <v:textbox inset="0mm,0mm,0mm,0mm" style="mso-fit-shape-to-text:t;">
                <w:txbxContent>
                  <w:p w14:paraId="4C526BB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有限公司清算义务人的界定丨</w:t>
                    </w:r>
                    <w:r>
                      <w:rPr>
                        <w:rFonts w:ascii="Times New Roman" w:hAnsi="Times New Roman" w:eastAsia="Times New Roman" w:cs="Times New Roman"/>
                        <w:b/>
                        <w:bCs/>
                        <w:color w:val="000000"/>
                        <w:spacing w:val="0"/>
                        <w:w w:val="100"/>
                        <w:position w:val="0"/>
                        <w:sz w:val="15"/>
                        <w:szCs w:val="15"/>
                      </w:rPr>
                      <w:t>045</w:t>
                    </w:r>
                  </w:p>
                </w:txbxContent>
              </v:textbox>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4758E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61" name="Shape 16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F752E9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6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CxONHd&#10;rgEAAHMDAAAOAAAAAAAAAAEAIAAAACQBAABkcnMvZTJvRG9jLnhtbFBLBQYAAAAABgAGAFkBAABE&#10;BQAAAAA=&#10;">
              <v:fill on="f" focussize="0,0"/>
              <v:stroke on="f"/>
              <v:imagedata o:title=""/>
              <o:lock v:ext="edit" aspectratio="f"/>
              <v:textbox inset="0mm,0mm,0mm,0mm" style="mso-fit-shape-to-text:t;">
                <w:txbxContent>
                  <w:p w14:paraId="5F752E94">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77BA3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63" name="Shape 16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BD649B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6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ZIIp&#10;+68BAABzAwAADgAAAAAAAAABACAAAAAkAQAAZHJzL2Uyb0RvYy54bWxQSwUGAAAAAAYABgBZAQAA&#10;RQUAAAAA&#10;">
              <v:fill on="f" focussize="0,0"/>
              <v:stroke on="f"/>
              <v:imagedata o:title=""/>
              <o:lock v:ext="edit" aspectratio="f"/>
              <v:textbox inset="0mm,0mm,0mm,0mm" style="mso-fit-shape-to-text:t;">
                <w:txbxContent>
                  <w:p w14:paraId="3BD649B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AA5ED">
    <w:pPr>
      <w:widowControl w:val="0"/>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5D056F">
    <w:pPr>
      <w:widowControl w:val="0"/>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BB649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71" name="Shape 17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3D598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7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4VQm&#10;S68BAABzAwAADgAAAAAAAAABACAAAAAkAQAAZHJzL2Uyb0RvYy54bWxQSwUGAAAAAAYABgBZAQAA&#10;RQUAAAAA&#10;">
              <v:fill on="f" focussize="0,0"/>
              <v:stroke on="f"/>
              <v:imagedata o:title=""/>
              <o:lock v:ext="edit" aspectratio="f"/>
              <v:textbox inset="0mm,0mm,0mm,0mm" style="mso-fit-shape-to-text:t;">
                <w:txbxContent>
                  <w:p w14:paraId="73D598C3">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2F3DA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591820</wp:posOffset>
              </wp:positionH>
              <wp:positionV relativeFrom="page">
                <wp:posOffset>506730</wp:posOffset>
              </wp:positionV>
              <wp:extent cx="664210" cy="109855"/>
              <wp:effectExtent l="0" t="0" r="0" b="0"/>
              <wp:wrapNone/>
              <wp:docPr id="15" name="Shape 15"/>
              <wp:cNvGraphicFramePr/>
              <a:graphic xmlns:a="http://schemas.openxmlformats.org/drawingml/2006/main">
                <a:graphicData uri="http://schemas.microsoft.com/office/word/2010/wordprocessingShape">
                  <wps:wsp>
                    <wps:cNvSpPr txBox="1"/>
                    <wps:spPr>
                      <a:xfrm>
                        <a:off x="0" y="0"/>
                        <a:ext cx="664210" cy="109855"/>
                      </a:xfrm>
                      <a:prstGeom prst="rect">
                        <a:avLst/>
                      </a:prstGeom>
                      <a:noFill/>
                    </wps:spPr>
                    <wps:txbx>
                      <w:txbxContent>
                        <w:p w14:paraId="6D92EF59">
                          <w:pPr>
                            <w:pStyle w:val="1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002</w:t>
                          </w:r>
                          <w:r>
                            <w:rPr>
                              <w:rFonts w:ascii="宋体" w:hAnsi="宋体" w:eastAsia="宋体" w:cs="宋体"/>
                              <w:color w:val="000000"/>
                              <w:spacing w:val="0"/>
                              <w:w w:val="100"/>
                              <w:position w:val="0"/>
                              <w:sz w:val="18"/>
                              <w:szCs w:val="18"/>
                            </w:rPr>
                            <w:t>丨目 录</w:t>
                          </w:r>
                        </w:p>
                      </w:txbxContent>
                    </wps:txbx>
                    <wps:bodyPr wrap="none" lIns="0" tIns="0" rIns="0" bIns="0">
                      <a:spAutoFit/>
                    </wps:bodyPr>
                  </wps:wsp>
                </a:graphicData>
              </a:graphic>
            </wp:anchor>
          </w:drawing>
        </mc:Choice>
        <mc:Fallback>
          <w:pict>
            <v:shape id="Shape 15" o:spid="_x0000_s1026" o:spt="202" type="#_x0000_t202" style="position:absolute;left:0pt;margin-left:46.6pt;margin-top:39.9pt;height:8.65pt;width:52.3pt;mso-position-horizontal-relative:page;mso-position-vertical-relative:page;mso-wrap-style:none;z-index:-251657216;mso-width-relative:page;mso-height-relative:page;" filled="f" stroked="f" coordsize="21600,21600" o:gfxdata="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3sZcj1AAAAAgB&#10;AAAPAAAAAAAAAAEAIAAAACIAAABkcnMvZG93bnJldi54bWxQSwECFAAUAAAACACHTuJAZQPvq60B&#10;AABxAwAADgAAAAAAAAABACAAAAAjAQAAZHJzL2Uyb0RvYy54bWxQSwUGAAAAAAYABgBZAQAAQgUA&#10;AAAA&#10;">
              <v:fill on="f" focussize="0,0"/>
              <v:stroke on="f"/>
              <v:imagedata o:title=""/>
              <o:lock v:ext="edit" aspectratio="f"/>
              <v:textbox inset="0mm,0mm,0mm,0mm" style="mso-fit-shape-to-text:t;">
                <w:txbxContent>
                  <w:p w14:paraId="6D92EF59">
                    <w:pPr>
                      <w:pStyle w:val="19"/>
                      <w:keepNext w:val="0"/>
                      <w:keepLines w:val="0"/>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color w:val="000000"/>
                        <w:spacing w:val="0"/>
                        <w:w w:val="100"/>
                        <w:position w:val="0"/>
                        <w:sz w:val="17"/>
                        <w:szCs w:val="17"/>
                        <w:lang w:val="zh-CN" w:eastAsia="zh-CN" w:bidi="zh-CN"/>
                      </w:rPr>
                      <w:t>002</w:t>
                    </w:r>
                    <w:r>
                      <w:rPr>
                        <w:rFonts w:ascii="宋体" w:hAnsi="宋体" w:eastAsia="宋体" w:cs="宋体"/>
                        <w:color w:val="000000"/>
                        <w:spacing w:val="0"/>
                        <w:w w:val="100"/>
                        <w:position w:val="0"/>
                        <w:sz w:val="18"/>
                        <w:szCs w:val="18"/>
                      </w:rPr>
                      <w:t>丨目 录</w:t>
                    </w:r>
                  </w:p>
                </w:txbxContent>
              </v:textbox>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2DD15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73" name="Shape 17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53C7FD9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7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NO7e&#10;ba8BAABzAwAADgAAAAAAAAABACAAAAAkAQAAZHJzL2Uyb0RvYy54bWxQSwUGAAAAAAYABgBZAQAA&#10;RQUAAAAA&#10;">
              <v:fill on="f" focussize="0,0"/>
              <v:stroke on="f"/>
              <v:imagedata o:title=""/>
              <o:lock v:ext="edit" aspectratio="f"/>
              <v:textbox inset="0mm,0mm,0mm,0mm" style="mso-fit-shape-to-text:t;">
                <w:txbxContent>
                  <w:p w14:paraId="53C7FD9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3CE5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4152900</wp:posOffset>
              </wp:positionH>
              <wp:positionV relativeFrom="page">
                <wp:posOffset>521335</wp:posOffset>
              </wp:positionV>
              <wp:extent cx="1767840" cy="107950"/>
              <wp:effectExtent l="0" t="0" r="0" b="0"/>
              <wp:wrapNone/>
              <wp:docPr id="175" name="Shape 175"/>
              <wp:cNvGraphicFramePr/>
              <a:graphic xmlns:a="http://schemas.openxmlformats.org/drawingml/2006/main">
                <a:graphicData uri="http://schemas.microsoft.com/office/word/2010/wordprocessingShape">
                  <wps:wsp>
                    <wps:cNvSpPr txBox="1"/>
                    <wps:spPr>
                      <a:xfrm>
                        <a:off x="0" y="0"/>
                        <a:ext cx="1767840" cy="107950"/>
                      </a:xfrm>
                      <a:prstGeom prst="rect">
                        <a:avLst/>
                      </a:prstGeom>
                      <a:noFill/>
                    </wps:spPr>
                    <wps:txbx>
                      <w:txbxContent>
                        <w:p w14:paraId="7CBE4E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关联公司间法人格否认制度的适用</w:t>
                          </w:r>
                          <w:r>
                            <w:rPr>
                              <w:rFonts w:ascii="Times New Roman" w:hAnsi="Times New Roman" w:eastAsia="Times New Roman" w:cs="Times New Roman"/>
                              <w:b/>
                              <w:bCs/>
                              <w:color w:val="000000"/>
                              <w:spacing w:val="0"/>
                              <w:w w:val="100"/>
                              <w:position w:val="0"/>
                              <w:sz w:val="15"/>
                              <w:szCs w:val="15"/>
                            </w:rPr>
                            <w:t>|049</w:t>
                          </w:r>
                        </w:p>
                      </w:txbxContent>
                    </wps:txbx>
                    <wps:bodyPr wrap="none" lIns="0" tIns="0" rIns="0" bIns="0">
                      <a:spAutoFit/>
                    </wps:bodyPr>
                  </wps:wsp>
                </a:graphicData>
              </a:graphic>
            </wp:anchor>
          </w:drawing>
        </mc:Choice>
        <mc:Fallback>
          <w:pict>
            <v:shape id="Shape 175" o:spid="_x0000_s1026" o:spt="202" type="#_x0000_t202" style="position:absolute;left:0pt;margin-left:327pt;margin-top:41.05pt;height:8.5pt;width:139.2pt;mso-position-horizontal-relative:page;mso-position-vertical-relative:page;mso-wrap-style:none;z-index:-251657216;mso-width-relative:page;mso-height-relative:page;" filled="f" stroked="f" coordsize="21600,21600" o:gfxdata="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xsrrX&#10;AAAACQEAAA8AAAAAAAAAAQAgAAAAIgAAAGRycy9kb3ducmV2LnhtbFBLAQIUABQAAAAIAIdO4kBp&#10;rGCDrwEAAHQDAAAOAAAAAAAAAAEAIAAAACYBAABkcnMvZTJvRG9jLnhtbFBLBQYAAAAABgAGAFkB&#10;AABHBQAAAAA=&#10;">
              <v:fill on="f" focussize="0,0"/>
              <v:stroke on="f"/>
              <v:imagedata o:title=""/>
              <o:lock v:ext="edit" aspectratio="f"/>
              <v:textbox inset="0mm,0mm,0mm,0mm" style="mso-fit-shape-to-text:t;">
                <w:txbxContent>
                  <w:p w14:paraId="7CBE4E4A">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关联公司间法人格否认制度的适用</w:t>
                    </w:r>
                    <w:r>
                      <w:rPr>
                        <w:rFonts w:ascii="Times New Roman" w:hAnsi="Times New Roman" w:eastAsia="Times New Roman" w:cs="Times New Roman"/>
                        <w:b/>
                        <w:bCs/>
                        <w:color w:val="000000"/>
                        <w:spacing w:val="0"/>
                        <w:w w:val="100"/>
                        <w:position w:val="0"/>
                        <w:sz w:val="15"/>
                        <w:szCs w:val="15"/>
                      </w:rPr>
                      <w:t>|049</w:t>
                    </w:r>
                  </w:p>
                </w:txbxContent>
              </v:textbox>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A2763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4152900</wp:posOffset>
              </wp:positionH>
              <wp:positionV relativeFrom="page">
                <wp:posOffset>521335</wp:posOffset>
              </wp:positionV>
              <wp:extent cx="1767840" cy="107950"/>
              <wp:effectExtent l="0" t="0" r="0" b="0"/>
              <wp:wrapNone/>
              <wp:docPr id="177" name="Shape 177"/>
              <wp:cNvGraphicFramePr/>
              <a:graphic xmlns:a="http://schemas.openxmlformats.org/drawingml/2006/main">
                <a:graphicData uri="http://schemas.microsoft.com/office/word/2010/wordprocessingShape">
                  <wps:wsp>
                    <wps:cNvSpPr txBox="1"/>
                    <wps:spPr>
                      <a:xfrm>
                        <a:off x="0" y="0"/>
                        <a:ext cx="1767840" cy="107950"/>
                      </a:xfrm>
                      <a:prstGeom prst="rect">
                        <a:avLst/>
                      </a:prstGeom>
                      <a:noFill/>
                    </wps:spPr>
                    <wps:txbx>
                      <w:txbxContent>
                        <w:p w14:paraId="70366A3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关联公司间法人格否认制度的适用</w:t>
                          </w:r>
                          <w:r>
                            <w:rPr>
                              <w:rFonts w:ascii="Times New Roman" w:hAnsi="Times New Roman" w:eastAsia="Times New Roman" w:cs="Times New Roman"/>
                              <w:b/>
                              <w:bCs/>
                              <w:color w:val="000000"/>
                              <w:spacing w:val="0"/>
                              <w:w w:val="100"/>
                              <w:position w:val="0"/>
                              <w:sz w:val="15"/>
                              <w:szCs w:val="15"/>
                            </w:rPr>
                            <w:t>|049</w:t>
                          </w:r>
                        </w:p>
                      </w:txbxContent>
                    </wps:txbx>
                    <wps:bodyPr wrap="none" lIns="0" tIns="0" rIns="0" bIns="0">
                      <a:spAutoFit/>
                    </wps:bodyPr>
                  </wps:wsp>
                </a:graphicData>
              </a:graphic>
            </wp:anchor>
          </w:drawing>
        </mc:Choice>
        <mc:Fallback>
          <w:pict>
            <v:shape id="Shape 177" o:spid="_x0000_s1026" o:spt="202" type="#_x0000_t202" style="position:absolute;left:0pt;margin-left:327pt;margin-top:41.05pt;height:8.5pt;width:139.2pt;mso-position-horizontal-relative:page;mso-position-vertical-relative:page;mso-wrap-style:none;z-index:-251657216;mso-width-relative:page;mso-height-relative:page;" filled="f" stroked="f" coordsize="21600,21600" o:gfxdata="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exsrrX&#10;AAAACQEAAA8AAAAAAAAAAQAgAAAAIgAAAGRycy9kb3ducmV2LnhtbFBLAQIUABQAAAAIAIdO4kCI&#10;cv91rwEAAHQDAAAOAAAAAAAAAAEAIAAAACYBAABkcnMvZTJvRG9jLnhtbFBLBQYAAAAABgAGAFkB&#10;AABHBQAAAAA=&#10;">
              <v:fill on="f" focussize="0,0"/>
              <v:stroke on="f"/>
              <v:imagedata o:title=""/>
              <o:lock v:ext="edit" aspectratio="f"/>
              <v:textbox inset="0mm,0mm,0mm,0mm" style="mso-fit-shape-to-text:t;">
                <w:txbxContent>
                  <w:p w14:paraId="70366A36">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关联公司间法人格否认制度的适用</w:t>
                    </w:r>
                    <w:r>
                      <w:rPr>
                        <w:rFonts w:ascii="Times New Roman" w:hAnsi="Times New Roman" w:eastAsia="Times New Roman" w:cs="Times New Roman"/>
                        <w:b/>
                        <w:bCs/>
                        <w:color w:val="000000"/>
                        <w:spacing w:val="0"/>
                        <w:w w:val="100"/>
                        <w:position w:val="0"/>
                        <w:sz w:val="15"/>
                        <w:szCs w:val="15"/>
                      </w:rPr>
                      <w:t>|049</w:t>
                    </w:r>
                  </w:p>
                </w:txbxContent>
              </v:textbox>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85B29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79" name="Shape 179"/>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4F214B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79"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tb/E&#10;0K8BAABzAwAADgAAAAAAAAABACAAAAAkAQAAZHJzL2Uyb0RvYy54bWxQSwUGAAAAAAYABgBZAQAA&#10;RQUAAAAA&#10;">
              <v:fill on="f" focussize="0,0"/>
              <v:stroke on="f"/>
              <v:imagedata o:title=""/>
              <o:lock v:ext="edit" aspectratio="f"/>
              <v:textbox inset="0mm,0mm,0mm,0mm" style="mso-fit-shape-to-text:t;">
                <w:txbxContent>
                  <w:p w14:paraId="74F214B2">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D3BD6D">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81" name="Shape 18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36A5CE0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8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1Sqd&#10;ca8BAABzAwAADgAAAAAAAAABACAAAAAkAQAAZHJzL2Uyb0RvYy54bWxQSwUGAAAAAAYABgBZAQAA&#10;RQUAAAAA&#10;">
              <v:fill on="f" focussize="0,0"/>
              <v:stroke on="f"/>
              <v:imagedata o:title=""/>
              <o:lock v:ext="edit" aspectratio="f"/>
              <v:textbox inset="0mm,0mm,0mm,0mm" style="mso-fit-shape-to-text:t;">
                <w:txbxContent>
                  <w:p w14:paraId="36A5CE0E">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33627">
    <w:pPr>
      <w:widowControl w:val="0"/>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03148">
    <w:pPr>
      <w:widowControl w:val="0"/>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39BC69">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3380740</wp:posOffset>
              </wp:positionH>
              <wp:positionV relativeFrom="page">
                <wp:posOffset>515620</wp:posOffset>
              </wp:positionV>
              <wp:extent cx="2566670" cy="111125"/>
              <wp:effectExtent l="0" t="0" r="0" b="0"/>
              <wp:wrapNone/>
              <wp:docPr id="189" name="Shape 189"/>
              <wp:cNvGraphicFramePr/>
              <a:graphic xmlns:a="http://schemas.openxmlformats.org/drawingml/2006/main">
                <a:graphicData uri="http://schemas.microsoft.com/office/word/2010/wordprocessingShape">
                  <wps:wsp>
                    <wps:cNvSpPr txBox="1"/>
                    <wps:spPr>
                      <a:xfrm>
                        <a:off x="0" y="0"/>
                        <a:ext cx="2566670" cy="111125"/>
                      </a:xfrm>
                      <a:prstGeom prst="rect">
                        <a:avLst/>
                      </a:prstGeom>
                      <a:noFill/>
                    </wps:spPr>
                    <wps:txbx>
                      <w:txbxContent>
                        <w:p w14:paraId="58ECD2E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隐名股东与名义股东债权人执行异议之诉的裁判规则</w:t>
                          </w:r>
                          <w:r>
                            <w:rPr>
                              <w:rFonts w:ascii="Times New Roman" w:hAnsi="Times New Roman" w:eastAsia="Times New Roman" w:cs="Times New Roman"/>
                              <w:b/>
                              <w:bCs/>
                              <w:color w:val="000000"/>
                              <w:spacing w:val="0"/>
                              <w:w w:val="100"/>
                              <w:position w:val="0"/>
                              <w:sz w:val="15"/>
                              <w:szCs w:val="15"/>
                              <w:lang w:val="en-US" w:eastAsia="en-US" w:bidi="en-US"/>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p>
                      </w:txbxContent>
                    </wps:txbx>
                    <wps:bodyPr wrap="none" lIns="0" tIns="0" rIns="0" bIns="0">
                      <a:spAutoFit/>
                    </wps:bodyPr>
                  </wps:wsp>
                </a:graphicData>
              </a:graphic>
            </wp:anchor>
          </w:drawing>
        </mc:Choice>
        <mc:Fallback>
          <w:pict>
            <v:shape id="Shape 189" o:spid="_x0000_s1026" o:spt="202" type="#_x0000_t202" style="position:absolute;left:0pt;margin-left:266.2pt;margin-top:40.6pt;height:8.75pt;width:202.1pt;mso-position-horizontal-relative:page;mso-position-vertical-relative:page;mso-wrap-style:none;z-index:-251657216;mso-width-relative:page;mso-height-relative:page;" filled="f" stroked="f" coordsize="21600,21600" o:gfxdata="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Fk+ENcA&#10;AAAJAQAADwAAAAAAAAABACAAAAAiAAAAZHJzL2Rvd25yZXYueG1sUEsBAhQAFAAAAAgAh07iQHam&#10;cYuuAQAAdAMAAA4AAAAAAAAAAQAgAAAAJgEAAGRycy9lMm9Eb2MueG1sUEsFBgAAAAAGAAYAWQEA&#10;AEYFAAAAAA==&#10;">
              <v:fill on="f" focussize="0,0"/>
              <v:stroke on="f"/>
              <v:imagedata o:title=""/>
              <o:lock v:ext="edit" aspectratio="f"/>
              <v:textbox inset="0mm,0mm,0mm,0mm" style="mso-fit-shape-to-text:t;">
                <w:txbxContent>
                  <w:p w14:paraId="58ECD2E5">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隐名股东与名义股东债权人执行异议之诉的裁判规则</w:t>
                    </w:r>
                    <w:r>
                      <w:rPr>
                        <w:rFonts w:ascii="Times New Roman" w:hAnsi="Times New Roman" w:eastAsia="Times New Roman" w:cs="Times New Roman"/>
                        <w:b/>
                        <w:bCs/>
                        <w:color w:val="000000"/>
                        <w:spacing w:val="0"/>
                        <w:w w:val="100"/>
                        <w:position w:val="0"/>
                        <w:sz w:val="15"/>
                        <w:szCs w:val="15"/>
                        <w:lang w:val="en-US" w:eastAsia="en-US" w:bidi="en-US"/>
                      </w:rPr>
                      <w:t xml:space="preserve">I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lang w:val="zh-CN" w:eastAsia="zh-CN" w:bidi="zh-CN"/>
                      </w:rPr>
                      <w:t>#</w:t>
                    </w:r>
                    <w:r>
                      <w:rPr>
                        <w:rFonts w:ascii="Times New Roman" w:hAnsi="Times New Roman" w:eastAsia="Times New Roman" w:cs="Times New Roman"/>
                        <w:b/>
                        <w:bCs/>
                        <w:color w:val="000000"/>
                        <w:spacing w:val="0"/>
                        <w:w w:val="100"/>
                        <w:position w:val="0"/>
                        <w:sz w:val="15"/>
                        <w:szCs w:val="15"/>
                        <w:lang w:val="zh-CN" w:eastAsia="zh-CN" w:bidi="zh-CN"/>
                      </w:rPr>
                      <w:fldChar w:fldCharType="end"/>
                    </w:r>
                  </w:p>
                </w:txbxContent>
              </v:textbox>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B850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191" name="Shape 19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7C65D1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19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hUZq&#10;568BAABzAwAADgAAAAAAAAABACAAAAAkAQAAZHJzL2Uyb0RvYy54bWxQSwUGAAAAAAYABgBZAQAA&#10;RQUAAAAA&#10;">
              <v:fill on="f" focussize="0,0"/>
              <v:stroke on="f"/>
              <v:imagedata o:title=""/>
              <o:lock v:ext="edit" aspectratio="f"/>
              <v:textbox inset="0mm,0mm,0mm,0mm" style="mso-fit-shape-to-text:t;">
                <w:txbxContent>
                  <w:p w14:paraId="77C65D1F">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95A362">
    <w:pPr>
      <w:widowControl w:val="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EEF0B8">
    <w:pPr>
      <w:widowControl w:val="0"/>
      <w:spacing w:line="1" w:lineRule="exact"/>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DEC11E">
    <w:pPr>
      <w:widowControl w:val="0"/>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A892A4">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3982720</wp:posOffset>
              </wp:positionH>
              <wp:positionV relativeFrom="page">
                <wp:posOffset>512445</wp:posOffset>
              </wp:positionV>
              <wp:extent cx="1912620" cy="107950"/>
              <wp:effectExtent l="0" t="0" r="0" b="0"/>
              <wp:wrapNone/>
              <wp:docPr id="199" name="Shape 199"/>
              <wp:cNvGraphicFramePr/>
              <a:graphic xmlns:a="http://schemas.openxmlformats.org/drawingml/2006/main">
                <a:graphicData uri="http://schemas.microsoft.com/office/word/2010/wordprocessingShape">
                  <wps:wsp>
                    <wps:cNvSpPr txBox="1"/>
                    <wps:spPr>
                      <a:xfrm>
                        <a:off x="0" y="0"/>
                        <a:ext cx="1912620" cy="107950"/>
                      </a:xfrm>
                      <a:prstGeom prst="rect">
                        <a:avLst/>
                      </a:prstGeom>
                      <a:noFill/>
                    </wps:spPr>
                    <wps:txbx>
                      <w:txbxContent>
                        <w:p w14:paraId="4A8EE72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非营利法人举办者、出资人的法律权利</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wps:txbx>
                    <wps:bodyPr wrap="none" lIns="0" tIns="0" rIns="0" bIns="0">
                      <a:spAutoFit/>
                    </wps:bodyPr>
                  </wps:wsp>
                </a:graphicData>
              </a:graphic>
            </wp:anchor>
          </w:drawing>
        </mc:Choice>
        <mc:Fallback>
          <w:pict>
            <v:shape id="Shape 199" o:spid="_x0000_s1026" o:spt="202" type="#_x0000_t202" style="position:absolute;left:0pt;margin-left:313.6pt;margin-top:40.35pt;height:8.5pt;width:150.6pt;mso-position-horizontal-relative:page;mso-position-vertical-relative:page;mso-wrap-style:none;z-index:-251657216;mso-width-relative:page;mso-height-relative:page;" filled="f" stroked="f" coordsize="21600,21600" o:gfxdata="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8vko/VAAAA&#10;CQEAAA8AAAAAAAAAAQAgAAAAIgAAAGRycy9kb3ducmV2LnhtbFBLAQIUABQAAAAIAIdO4kBFmu1e&#10;rgEAAHQDAAAOAAAAAAAAAAEAIAAAACQBAABkcnMvZTJvRG9jLnhtbFBLBQYAAAAABgAGAFkBAABE&#10;BQAAAAA=&#10;">
              <v:fill on="f" focussize="0,0"/>
              <v:stroke on="f"/>
              <v:imagedata o:title=""/>
              <o:lock v:ext="edit" aspectratio="f"/>
              <v:textbox inset="0mm,0mm,0mm,0mm" style="mso-fit-shape-to-text:t;">
                <w:txbxContent>
                  <w:p w14:paraId="4A8EE72D">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非营利法人举办者、出资人的法律权利</w:t>
                    </w:r>
                    <w:r>
                      <w:rPr>
                        <w:rFonts w:ascii="Times New Roman" w:hAnsi="Times New Roman" w:eastAsia="Times New Roman" w:cs="Times New Roman"/>
                        <w:b/>
                        <w:bCs/>
                        <w:color w:val="000000"/>
                        <w:spacing w:val="0"/>
                        <w:w w:val="100"/>
                        <w:position w:val="0"/>
                        <w:sz w:val="15"/>
                        <w:szCs w:val="15"/>
                        <w:lang w:val="zh-CN" w:eastAsia="zh-CN" w:bidi="zh-CN"/>
                      </w:rPr>
                      <w:t xml:space="preserve">| </w:t>
                    </w:r>
                    <w:r>
                      <w:fldChar w:fldCharType="begin"/>
                    </w:r>
                    <w:r>
                      <w:instrText xml:space="preserve"> PAGE \* MERGEFORMAT </w:instrText>
                    </w:r>
                    <w:r>
                      <w:fldChar w:fldCharType="separate"/>
                    </w:r>
                    <w:r>
                      <w:rPr>
                        <w:rFonts w:ascii="Times New Roman" w:hAnsi="Times New Roman" w:eastAsia="Times New Roman" w:cs="Times New Roman"/>
                        <w:b/>
                        <w:bCs/>
                        <w:color w:val="000000"/>
                        <w:spacing w:val="0"/>
                        <w:w w:val="100"/>
                        <w:position w:val="0"/>
                        <w:sz w:val="15"/>
                        <w:szCs w:val="15"/>
                      </w:rPr>
                      <w:t>#</w:t>
                    </w:r>
                    <w:r>
                      <w:rPr>
                        <w:rFonts w:ascii="Times New Roman" w:hAnsi="Times New Roman" w:eastAsia="Times New Roman" w:cs="Times New Roman"/>
                        <w:b/>
                        <w:bCs/>
                        <w:color w:val="000000"/>
                        <w:spacing w:val="0"/>
                        <w:w w:val="100"/>
                        <w:position w:val="0"/>
                        <w:sz w:val="15"/>
                        <w:szCs w:val="15"/>
                      </w:rPr>
                      <w:fldChar w:fldCharType="end"/>
                    </w:r>
                  </w:p>
                </w:txbxContent>
              </v:textbox>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753F5">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01" name="Shape 201"/>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6B7DAC8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01"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A5mSvVAAAA&#10;CAEAAA8AAAAAAAAAAQAgAAAAIgAAAGRycy9kb3ducmV2LnhtbFBLAQIUABQAAAAIAIdO4kB7tgah&#10;rgEAAHMDAAAOAAAAAAAAAAEAIAAAACQBAABkcnMvZTJvRG9jLnhtbFBLBQYAAAAABgAGAFkBAABE&#10;BQAAAAA=&#10;">
              <v:fill on="f" focussize="0,0"/>
              <v:stroke on="f"/>
              <v:imagedata o:title=""/>
              <o:lock v:ext="edit" aspectratio="f"/>
              <v:textbox inset="0mm,0mm,0mm,0mm" style="mso-fit-shape-to-text:t;">
                <w:txbxContent>
                  <w:p w14:paraId="6B7DAC8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01550">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4264660</wp:posOffset>
              </wp:positionH>
              <wp:positionV relativeFrom="page">
                <wp:posOffset>511175</wp:posOffset>
              </wp:positionV>
              <wp:extent cx="1659890" cy="107950"/>
              <wp:effectExtent l="0" t="0" r="0" b="0"/>
              <wp:wrapNone/>
              <wp:docPr id="203" name="Shape 203"/>
              <wp:cNvGraphicFramePr/>
              <a:graphic xmlns:a="http://schemas.openxmlformats.org/drawingml/2006/main">
                <a:graphicData uri="http://schemas.microsoft.com/office/word/2010/wordprocessingShape">
                  <wps:wsp>
                    <wps:cNvSpPr txBox="1"/>
                    <wps:spPr>
                      <a:xfrm>
                        <a:off x="0" y="0"/>
                        <a:ext cx="1659890" cy="107950"/>
                      </a:xfrm>
                      <a:prstGeom prst="rect">
                        <a:avLst/>
                      </a:prstGeom>
                      <a:noFill/>
                    </wps:spPr>
                    <wps:txbx>
                      <w:txbxContent>
                        <w:p w14:paraId="5CC53DF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冷冻胚胎的法律属性及法律归属丨</w:t>
                          </w:r>
                          <w:r>
                            <w:rPr>
                              <w:rFonts w:ascii="Times New Roman" w:hAnsi="Times New Roman" w:eastAsia="Times New Roman" w:cs="Times New Roman"/>
                              <w:b/>
                              <w:bCs/>
                              <w:color w:val="000000"/>
                              <w:spacing w:val="0"/>
                              <w:w w:val="100"/>
                              <w:position w:val="0"/>
                              <w:sz w:val="15"/>
                              <w:szCs w:val="15"/>
                            </w:rPr>
                            <w:t>063</w:t>
                          </w:r>
                        </w:p>
                      </w:txbxContent>
                    </wps:txbx>
                    <wps:bodyPr wrap="none" lIns="0" tIns="0" rIns="0" bIns="0">
                      <a:spAutoFit/>
                    </wps:bodyPr>
                  </wps:wsp>
                </a:graphicData>
              </a:graphic>
            </wp:anchor>
          </w:drawing>
        </mc:Choice>
        <mc:Fallback>
          <w:pict>
            <v:shape id="Shape 203" o:spid="_x0000_s1026" o:spt="202" type="#_x0000_t202" style="position:absolute;left:0pt;margin-left:335.8pt;margin-top:40.25pt;height:8.5pt;width:130.7pt;mso-position-horizontal-relative:page;mso-position-vertical-relative:page;mso-wrap-style:none;z-index:-251657216;mso-width-relative:page;mso-height-relative:page;" filled="f" stroked="f" coordsize="21600,21600" o:gfxdata="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Dc0KYvW&#10;AAAACQEAAA8AAAAAAAAAAQAgAAAAIgAAAGRycy9kb3ducmV2LnhtbFBLAQIUABQAAAAIAIdO4kC/&#10;4AHasAEAAHQDAAAOAAAAAAAAAAEAIAAAACUBAABkcnMvZTJvRG9jLnhtbFBLBQYAAAAABgAGAFkB&#10;AABHBQAAAAA=&#10;">
              <v:fill on="f" focussize="0,0"/>
              <v:stroke on="f"/>
              <v:imagedata o:title=""/>
              <o:lock v:ext="edit" aspectratio="f"/>
              <v:textbox inset="0mm,0mm,0mm,0mm" style="mso-fit-shape-to-text:t;">
                <w:txbxContent>
                  <w:p w14:paraId="5CC53DF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冷冻胚胎的法律属性及法律归属丨</w:t>
                    </w:r>
                    <w:r>
                      <w:rPr>
                        <w:rFonts w:ascii="Times New Roman" w:hAnsi="Times New Roman" w:eastAsia="Times New Roman" w:cs="Times New Roman"/>
                        <w:b/>
                        <w:bCs/>
                        <w:color w:val="000000"/>
                        <w:spacing w:val="0"/>
                        <w:w w:val="100"/>
                        <w:position w:val="0"/>
                        <w:sz w:val="15"/>
                        <w:szCs w:val="15"/>
                      </w:rPr>
                      <w:t>063</w:t>
                    </w:r>
                  </w:p>
                </w:txbxContent>
              </v:textbox>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FCC416">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4264660</wp:posOffset>
              </wp:positionH>
              <wp:positionV relativeFrom="page">
                <wp:posOffset>511175</wp:posOffset>
              </wp:positionV>
              <wp:extent cx="1659890" cy="107950"/>
              <wp:effectExtent l="0" t="0" r="0" b="0"/>
              <wp:wrapNone/>
              <wp:docPr id="205" name="Shape 205"/>
              <wp:cNvGraphicFramePr/>
              <a:graphic xmlns:a="http://schemas.openxmlformats.org/drawingml/2006/main">
                <a:graphicData uri="http://schemas.microsoft.com/office/word/2010/wordprocessingShape">
                  <wps:wsp>
                    <wps:cNvSpPr txBox="1"/>
                    <wps:spPr>
                      <a:xfrm>
                        <a:off x="0" y="0"/>
                        <a:ext cx="1659890" cy="107950"/>
                      </a:xfrm>
                      <a:prstGeom prst="rect">
                        <a:avLst/>
                      </a:prstGeom>
                      <a:noFill/>
                    </wps:spPr>
                    <wps:txbx>
                      <w:txbxContent>
                        <w:p w14:paraId="333AA3B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冷冻胚胎的法律属性及法律归属丨</w:t>
                          </w:r>
                          <w:r>
                            <w:rPr>
                              <w:rFonts w:ascii="Times New Roman" w:hAnsi="Times New Roman" w:eastAsia="Times New Roman" w:cs="Times New Roman"/>
                              <w:b/>
                              <w:bCs/>
                              <w:color w:val="000000"/>
                              <w:spacing w:val="0"/>
                              <w:w w:val="100"/>
                              <w:position w:val="0"/>
                              <w:sz w:val="15"/>
                              <w:szCs w:val="15"/>
                            </w:rPr>
                            <w:t>063</w:t>
                          </w:r>
                        </w:p>
                      </w:txbxContent>
                    </wps:txbx>
                    <wps:bodyPr wrap="none" lIns="0" tIns="0" rIns="0" bIns="0">
                      <a:spAutoFit/>
                    </wps:bodyPr>
                  </wps:wsp>
                </a:graphicData>
              </a:graphic>
            </wp:anchor>
          </w:drawing>
        </mc:Choice>
        <mc:Fallback>
          <w:pict>
            <v:shape id="Shape 205" o:spid="_x0000_s1026" o:spt="202" type="#_x0000_t202" style="position:absolute;left:0pt;margin-left:335.8pt;margin-top:40.25pt;height:8.5pt;width:130.7pt;mso-position-horizontal-relative:page;mso-position-vertical-relative:page;mso-wrap-style:none;z-index:-251657216;mso-width-relative:page;mso-height-relative:page;" filled="f" stroked="f" coordsize="21600,21600" o:gfxdata="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NzQpi9YA&#10;AAAJAQAADwAAAAAAAAABACAAAAAiAAAAZHJzL2Rvd25yZXYueG1sUEsBAhQAFAAAAAgAh07iQN2F&#10;0BqvAQAAdAMAAA4AAAAAAAAAAQAgAAAAJQEAAGRycy9lMm9Eb2MueG1sUEsFBgAAAAAGAAYAWQEA&#10;AEYFAAAAAA==&#10;">
              <v:fill on="f" focussize="0,0"/>
              <v:stroke on="f"/>
              <v:imagedata o:title=""/>
              <o:lock v:ext="edit" aspectratio="f"/>
              <v:textbox inset="0mm,0mm,0mm,0mm" style="mso-fit-shape-to-text:t;">
                <w:txbxContent>
                  <w:p w14:paraId="333AA3B8">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冷冻胚胎的法律属性及法律归属丨</w:t>
                    </w:r>
                    <w:r>
                      <w:rPr>
                        <w:rFonts w:ascii="Times New Roman" w:hAnsi="Times New Roman" w:eastAsia="Times New Roman" w:cs="Times New Roman"/>
                        <w:b/>
                        <w:bCs/>
                        <w:color w:val="000000"/>
                        <w:spacing w:val="0"/>
                        <w:w w:val="100"/>
                        <w:position w:val="0"/>
                        <w:sz w:val="15"/>
                        <w:szCs w:val="15"/>
                      </w:rPr>
                      <w:t>063</w:t>
                    </w:r>
                  </w:p>
                </w:txbxContent>
              </v:textbox>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B1772">
    <w:pPr>
      <w:widowControl w:val="0"/>
      <w:spacing w:line="1" w:lineRule="exact"/>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F0A223">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13" name="Shape 213"/>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1A8E7A1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13"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DmZK9UA&#10;AAAIAQAADwAAAAAAAAABACAAAAAiAAAAZHJzL2Rvd25yZXYueG1sUEsBAhQAFAAAAAgAh07iQP5g&#10;CRGwAQAAcwMAAA4AAAAAAAAAAQAgAAAAJAEAAGRycy9lMm9Eb2MueG1sUEsFBgAAAAAGAAYAWQEA&#10;AEYFAAAAAA==&#10;">
              <v:fill on="f" focussize="0,0"/>
              <v:stroke on="f"/>
              <v:imagedata o:title=""/>
              <o:lock v:ext="edit" aspectratio="f"/>
              <v:textbox inset="0mm,0mm,0mm,0mm" style="mso-fit-shape-to-text:t;">
                <w:txbxContent>
                  <w:p w14:paraId="1A8E7A18">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98753E">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491490</wp:posOffset>
              </wp:positionH>
              <wp:positionV relativeFrom="page">
                <wp:posOffset>485775</wp:posOffset>
              </wp:positionV>
              <wp:extent cx="864235" cy="109855"/>
              <wp:effectExtent l="0" t="0" r="0" b="0"/>
              <wp:wrapNone/>
              <wp:docPr id="215" name="Shape 215"/>
              <wp:cNvGraphicFramePr/>
              <a:graphic xmlns:a="http://schemas.openxmlformats.org/drawingml/2006/main">
                <a:graphicData uri="http://schemas.microsoft.com/office/word/2010/wordprocessingShape">
                  <wps:wsp>
                    <wps:cNvSpPr txBox="1"/>
                    <wps:spPr>
                      <a:xfrm>
                        <a:off x="0" y="0"/>
                        <a:ext cx="864235" cy="109855"/>
                      </a:xfrm>
                      <a:prstGeom prst="rect">
                        <a:avLst/>
                      </a:prstGeom>
                      <a:noFill/>
                    </wps:spPr>
                    <wps:txbx>
                      <w:txbxContent>
                        <w:p w14:paraId="716E90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wps:txbx>
                    <wps:bodyPr wrap="none" lIns="0" tIns="0" rIns="0" bIns="0">
                      <a:spAutoFit/>
                    </wps:bodyPr>
                  </wps:wsp>
                </a:graphicData>
              </a:graphic>
            </wp:anchor>
          </w:drawing>
        </mc:Choice>
        <mc:Fallback>
          <w:pict>
            <v:shape id="Shape 215" o:spid="_x0000_s1026" o:spt="202" type="#_x0000_t202" style="position:absolute;left:0pt;margin-left:38.7pt;margin-top:38.25pt;height:8.65pt;width:68.05pt;mso-position-horizontal-relative:page;mso-position-vertical-relative:page;mso-wrap-style:none;z-index:-251657216;mso-width-relative:page;mso-height-relative:page;" filled="f" stroked="f" coordsize="21600,21600" o:gfxdata="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wOZkr1QAA&#10;AAgBAAAPAAAAAAAAAAEAIAAAACIAAABkcnMvZG93bnJldi54bWxQSwECFAAUAAAACACHTuJAga8A&#10;eq8BAABzAwAADgAAAAAAAAABACAAAAAkAQAAZHJzL2Uyb0RvYy54bWxQSwUGAAAAAAYABgBZAQAA&#10;RQUAAAAA&#10;">
              <v:fill on="f" focussize="0,0"/>
              <v:stroke on="f"/>
              <v:imagedata o:title=""/>
              <o:lock v:ext="edit" aspectratio="f"/>
              <v:textbox inset="0mm,0mm,0mm,0mm" style="mso-fit-shape-to-text:t;">
                <w:txbxContent>
                  <w:p w14:paraId="716E909D">
                    <w:pPr>
                      <w:pStyle w:val="19"/>
                      <w:keepNext w:val="0"/>
                      <w:keepLines w:val="0"/>
                      <w:widowControl w:val="0"/>
                      <w:shd w:val="clear" w:color="auto" w:fill="auto"/>
                      <w:bidi w:val="0"/>
                      <w:spacing w:before="0" w:after="0" w:line="240" w:lineRule="auto"/>
                      <w:ind w:left="0" w:right="0" w:firstLine="0"/>
                      <w:jc w:val="left"/>
                      <w:rPr>
                        <w:sz w:val="18"/>
                        <w:szCs w:val="18"/>
                      </w:rPr>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sz w:val="17"/>
                        <w:szCs w:val="17"/>
                        <w:lang w:val="zh-CN" w:eastAsia="zh-CN" w:bidi="zh-CN"/>
                      </w:rPr>
                      <w:t>#</w:t>
                    </w:r>
                    <w:r>
                      <w:rPr>
                        <w:rFonts w:ascii="Times New Roman" w:hAnsi="Times New Roman" w:eastAsia="Times New Roman" w:cs="Times New Roman"/>
                        <w:color w:val="000000"/>
                        <w:spacing w:val="0"/>
                        <w:w w:val="100"/>
                        <w:position w:val="0"/>
                        <w:sz w:val="17"/>
                        <w:szCs w:val="17"/>
                        <w:lang w:val="zh-CN" w:eastAsia="zh-CN" w:bidi="zh-CN"/>
                      </w:rPr>
                      <w:fldChar w:fldCharType="end"/>
                    </w:r>
                    <w:r>
                      <w:rPr>
                        <w:rFonts w:ascii="Times New Roman" w:hAnsi="Times New Roman" w:eastAsia="Times New Roman" w:cs="Times New Roman"/>
                        <w:color w:val="000000"/>
                        <w:spacing w:val="0"/>
                        <w:w w:val="100"/>
                        <w:position w:val="0"/>
                        <w:sz w:val="17"/>
                        <w:szCs w:val="17"/>
                        <w:lang w:val="zh-CN" w:eastAsia="zh-CN" w:bidi="zh-CN"/>
                      </w:rPr>
                      <w:t xml:space="preserve"> I</w:t>
                    </w:r>
                    <w:r>
                      <w:rPr>
                        <w:rFonts w:ascii="宋体" w:hAnsi="宋体" w:eastAsia="宋体" w:cs="宋体"/>
                        <w:color w:val="000000"/>
                        <w:spacing w:val="0"/>
                        <w:w w:val="100"/>
                        <w:position w:val="0"/>
                        <w:sz w:val="18"/>
                        <w:szCs w:val="18"/>
                      </w:rPr>
                      <w:t>民法判例百选</w:t>
                    </w:r>
                  </w:p>
                </w:txbxContent>
              </v:textbox>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2CC7B">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4269740</wp:posOffset>
              </wp:positionH>
              <wp:positionV relativeFrom="page">
                <wp:posOffset>503555</wp:posOffset>
              </wp:positionV>
              <wp:extent cx="1662430" cy="109855"/>
              <wp:effectExtent l="0" t="0" r="0" b="0"/>
              <wp:wrapNone/>
              <wp:docPr id="217" name="Shape 217"/>
              <wp:cNvGraphicFramePr/>
              <a:graphic xmlns:a="http://schemas.openxmlformats.org/drawingml/2006/main">
                <a:graphicData uri="http://schemas.microsoft.com/office/word/2010/wordprocessingShape">
                  <wps:wsp>
                    <wps:cNvSpPr txBox="1"/>
                    <wps:spPr>
                      <a:xfrm>
                        <a:off x="0" y="0"/>
                        <a:ext cx="1662430" cy="109855"/>
                      </a:xfrm>
                      <a:prstGeom prst="rect">
                        <a:avLst/>
                      </a:prstGeom>
                      <a:noFill/>
                    </wps:spPr>
                    <wps:txbx>
                      <w:txbxContent>
                        <w:p w14:paraId="2BFF887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065</w:t>
                          </w:r>
                        </w:p>
                      </w:txbxContent>
                    </wps:txbx>
                    <wps:bodyPr wrap="none" lIns="0" tIns="0" rIns="0" bIns="0">
                      <a:spAutoFit/>
                    </wps:bodyPr>
                  </wps:wsp>
                </a:graphicData>
              </a:graphic>
            </wp:anchor>
          </w:drawing>
        </mc:Choice>
        <mc:Fallback>
          <w:pict>
            <v:shape id="Shape 217" o:spid="_x0000_s1026" o:spt="202" type="#_x0000_t202" style="position:absolute;left:0pt;margin-left:336.2pt;margin-top:39.65pt;height:8.65pt;width:130.9pt;mso-position-horizontal-relative:page;mso-position-vertical-relative:page;mso-wrap-style:none;z-index:-251657216;mso-width-relative:page;mso-height-relative:page;" filled="f" stroked="f" coordsize="21600,21600" o:gfxdata="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wg9y9YA&#10;AAAJAQAADwAAAAAAAAABACAAAAAiAAAAZHJzL2Rvd25yZXYueG1sUEsBAhQAFAAAAAgAh07iQNUn&#10;fZuvAQAAdAMAAA4AAAAAAAAAAQAgAAAAJQEAAGRycy9lMm9Eb2MueG1sUEsFBgAAAAAGAAYAWQEA&#10;AEYFAAAAAA==&#10;">
              <v:fill on="f" focussize="0,0"/>
              <v:stroke on="f"/>
              <v:imagedata o:title=""/>
              <o:lock v:ext="edit" aspectratio="f"/>
              <v:textbox inset="0mm,0mm,0mm,0mm" style="mso-fit-shape-to-text:t;">
                <w:txbxContent>
                  <w:p w14:paraId="2BFF8879">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065</w:t>
                    </w:r>
                  </w:p>
                </w:txbxContent>
              </v:textbox>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1C368">
    <w:pPr>
      <w:widowControl w:val="0"/>
      <w:spacing w:line="1" w:lineRule="exact"/>
    </w:pPr>
    <w:r>
      <mc:AlternateContent>
        <mc:Choice Requires="wps">
          <w:drawing>
            <wp:anchor distT="0" distB="0" distL="0" distR="0" simplePos="0" relativeHeight="251659264" behindDoc="1" locked="0" layoutInCell="1" allowOverlap="1">
              <wp:simplePos x="0" y="0"/>
              <wp:positionH relativeFrom="page">
                <wp:posOffset>4269740</wp:posOffset>
              </wp:positionH>
              <wp:positionV relativeFrom="page">
                <wp:posOffset>503555</wp:posOffset>
              </wp:positionV>
              <wp:extent cx="1662430" cy="109855"/>
              <wp:effectExtent l="0" t="0" r="0" b="0"/>
              <wp:wrapNone/>
              <wp:docPr id="219" name="Shape 219"/>
              <wp:cNvGraphicFramePr/>
              <a:graphic xmlns:a="http://schemas.openxmlformats.org/drawingml/2006/main">
                <a:graphicData uri="http://schemas.microsoft.com/office/word/2010/wordprocessingShape">
                  <wps:wsp>
                    <wps:cNvSpPr txBox="1"/>
                    <wps:spPr>
                      <a:xfrm>
                        <a:off x="0" y="0"/>
                        <a:ext cx="1662430" cy="109855"/>
                      </a:xfrm>
                      <a:prstGeom prst="rect">
                        <a:avLst/>
                      </a:prstGeom>
                      <a:noFill/>
                    </wps:spPr>
                    <wps:txbx>
                      <w:txbxContent>
                        <w:p w14:paraId="1724F68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065</w:t>
                          </w:r>
                        </w:p>
                      </w:txbxContent>
                    </wps:txbx>
                    <wps:bodyPr wrap="none" lIns="0" tIns="0" rIns="0" bIns="0">
                      <a:spAutoFit/>
                    </wps:bodyPr>
                  </wps:wsp>
                </a:graphicData>
              </a:graphic>
            </wp:anchor>
          </w:drawing>
        </mc:Choice>
        <mc:Fallback>
          <w:pict>
            <v:shape id="Shape 219" o:spid="_x0000_s1026" o:spt="202" type="#_x0000_t202" style="position:absolute;left:0pt;margin-left:336.2pt;margin-top:39.65pt;height:8.65pt;width:130.9pt;mso-position-horizontal-relative:page;mso-position-vertical-relative:page;mso-wrap-style:none;z-index:-251657216;mso-width-relative:page;mso-height-relative:page;" filled="f" stroked="f" coordsize="21600,21600" o:gfxdata="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wg9y9YA&#10;AAAJAQAADwAAAAAAAAABACAAAAAiAAAAZHJzL2Rvd25yZXYueG1sUEsBAhQAFAAAAAgAh07iQLE1&#10;MTevAQAAdAMAAA4AAAAAAAAAAQAgAAAAJQEAAGRycy9lMm9Eb2MueG1sUEsFBgAAAAAGAAYAWQEA&#10;AEYFAAAAAA==&#10;">
              <v:fill on="f" focussize="0,0"/>
              <v:stroke on="f"/>
              <v:imagedata o:title=""/>
              <o:lock v:ext="edit" aspectratio="f"/>
              <v:textbox inset="0mm,0mm,0mm,0mm" style="mso-fit-shape-to-text:t;">
                <w:txbxContent>
                  <w:p w14:paraId="1724F68E">
                    <w:pPr>
                      <w:pStyle w:val="31"/>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冷冻胚胎的法律属性及法律归属</w:t>
                    </w:r>
                    <w:r>
                      <w:rPr>
                        <w:rFonts w:ascii="Times New Roman" w:hAnsi="Times New Roman" w:eastAsia="Times New Roman" w:cs="Times New Roman"/>
                        <w:b/>
                        <w:bCs/>
                        <w:color w:val="000000"/>
                        <w:spacing w:val="0"/>
                        <w:w w:val="100"/>
                        <w:position w:val="0"/>
                        <w:sz w:val="15"/>
                        <w:szCs w:val="15"/>
                        <w:lang w:val="zh-CN" w:eastAsia="zh-CN" w:bidi="zh-CN"/>
                      </w:rPr>
                      <w:t xml:space="preserve">| </w:t>
                    </w:r>
                    <w:r>
                      <w:rPr>
                        <w:rFonts w:ascii="Times New Roman" w:hAnsi="Times New Roman" w:eastAsia="Times New Roman" w:cs="Times New Roman"/>
                        <w:b/>
                        <w:bCs/>
                        <w:color w:val="000000"/>
                        <w:spacing w:val="0"/>
                        <w:w w:val="100"/>
                        <w:position w:val="0"/>
                        <w:sz w:val="15"/>
                        <w:szCs w:val="15"/>
                      </w:rPr>
                      <w:t>065</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
    <w:nsid w:val="845B5372"/>
    <w:multiLevelType w:val="singleLevel"/>
    <w:tmpl w:val="845B537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nsid w:val="8461FADE"/>
    <w:multiLevelType w:val="singleLevel"/>
    <w:tmpl w:val="8461FAD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
    <w:nsid w:val="8CAEB125"/>
    <w:multiLevelType w:val="singleLevel"/>
    <w:tmpl w:val="8CAEB12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4">
    <w:nsid w:val="91995D4F"/>
    <w:multiLevelType w:val="singleLevel"/>
    <w:tmpl w:val="91995D4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
    <w:nsid w:val="9239341B"/>
    <w:multiLevelType w:val="singleLevel"/>
    <w:tmpl w:val="9239341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
    <w:nsid w:val="9288B902"/>
    <w:multiLevelType w:val="singleLevel"/>
    <w:tmpl w:val="9288B90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
    <w:nsid w:val="9C8AC8EF"/>
    <w:multiLevelType w:val="singleLevel"/>
    <w:tmpl w:val="9C8AC8E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
    <w:nsid w:val="B0F1ACD9"/>
    <w:multiLevelType w:val="singleLevel"/>
    <w:tmpl w:val="B0F1ACD9"/>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9">
    <w:nsid w:val="B5E306ED"/>
    <w:multiLevelType w:val="singleLevel"/>
    <w:tmpl w:val="B5E306ED"/>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0">
    <w:nsid w:val="B8CEF35B"/>
    <w:multiLevelType w:val="singleLevel"/>
    <w:tmpl w:val="B8CEF35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1">
    <w:nsid w:val="BB64CFA9"/>
    <w:multiLevelType w:val="singleLevel"/>
    <w:tmpl w:val="BB64CFA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
    <w:nsid w:val="BE923771"/>
    <w:multiLevelType w:val="singleLevel"/>
    <w:tmpl w:val="BE923771"/>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
    <w:nsid w:val="BF205925"/>
    <w:multiLevelType w:val="singleLevel"/>
    <w:tmpl w:val="BF20592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4">
    <w:nsid w:val="C8879AEF"/>
    <w:multiLevelType w:val="singleLevel"/>
    <w:tmpl w:val="C8879AEF"/>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15">
    <w:nsid w:val="CF092B84"/>
    <w:multiLevelType w:val="singleLevel"/>
    <w:tmpl w:val="CF092B84"/>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6">
    <w:nsid w:val="D7F9FE59"/>
    <w:multiLevelType w:val="singleLevel"/>
    <w:tmpl w:val="D7F9FE5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
    <w:nsid w:val="DCBA6B53"/>
    <w:multiLevelType w:val="singleLevel"/>
    <w:tmpl w:val="DCBA6B5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nsid w:val="E093A4B0"/>
    <w:multiLevelType w:val="singleLevel"/>
    <w:tmpl w:val="E093A4B0"/>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
    <w:nsid w:val="F4B5D9F5"/>
    <w:multiLevelType w:val="singleLevel"/>
    <w:tmpl w:val="F4B5D9F5"/>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
    <w:nsid w:val="F7735DC9"/>
    <w:multiLevelType w:val="singleLevel"/>
    <w:tmpl w:val="F7735DC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21">
    <w:nsid w:val="0053208E"/>
    <w:multiLevelType w:val="singleLevel"/>
    <w:tmpl w:val="0053208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
    <w:nsid w:val="0248C179"/>
    <w:multiLevelType w:val="singleLevel"/>
    <w:tmpl w:val="0248C17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
    <w:nsid w:val="03D62ECE"/>
    <w:multiLevelType w:val="singleLevel"/>
    <w:tmpl w:val="03D62ECE"/>
    <w:lvl w:ilvl="0" w:tentative="0">
      <w:start w:val="2"/>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4">
    <w:nsid w:val="0E640482"/>
    <w:multiLevelType w:val="singleLevel"/>
    <w:tmpl w:val="0E64048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5">
    <w:nsid w:val="1ACDE60F"/>
    <w:multiLevelType w:val="singleLevel"/>
    <w:tmpl w:val="1ACDE60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6">
    <w:nsid w:val="243FCF68"/>
    <w:multiLevelType w:val="singleLevel"/>
    <w:tmpl w:val="243FCF6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zh-TW" w:eastAsia="zh-TW" w:bidi="zh-TW"/>
      </w:rPr>
    </w:lvl>
  </w:abstractNum>
  <w:abstractNum w:abstractNumId="27">
    <w:nsid w:val="2470EC97"/>
    <w:multiLevelType w:val="singleLevel"/>
    <w:tmpl w:val="2470EC9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
    <w:nsid w:val="25B654F3"/>
    <w:multiLevelType w:val="singleLevel"/>
    <w:tmpl w:val="25B654F3"/>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9">
    <w:nsid w:val="2A8F537B"/>
    <w:multiLevelType w:val="singleLevel"/>
    <w:tmpl w:val="2A8F537B"/>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
    <w:nsid w:val="30FC5B15"/>
    <w:multiLevelType w:val="singleLevel"/>
    <w:tmpl w:val="30FC5B1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1">
    <w:nsid w:val="39A0D9AC"/>
    <w:multiLevelType w:val="singleLevel"/>
    <w:tmpl w:val="39A0D9AC"/>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2">
    <w:nsid w:val="46A08BB8"/>
    <w:multiLevelType w:val="singleLevel"/>
    <w:tmpl w:val="46A08BB8"/>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3">
    <w:nsid w:val="4C1BAE26"/>
    <w:multiLevelType w:val="singleLevel"/>
    <w:tmpl w:val="4C1BAE2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4">
    <w:nsid w:val="4D4DC07F"/>
    <w:multiLevelType w:val="singleLevel"/>
    <w:tmpl w:val="4D4DC07F"/>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5">
    <w:nsid w:val="4D94DA66"/>
    <w:multiLevelType w:val="singleLevel"/>
    <w:tmpl w:val="4D94DA6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
    <w:nsid w:val="58765686"/>
    <w:multiLevelType w:val="singleLevel"/>
    <w:tmpl w:val="5876568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7">
    <w:nsid w:val="59ADCABA"/>
    <w:multiLevelType w:val="singleLevel"/>
    <w:tmpl w:val="59ADCAB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38">
    <w:nsid w:val="5A241D34"/>
    <w:multiLevelType w:val="singleLevel"/>
    <w:tmpl w:val="5A241D3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9">
    <w:nsid w:val="5E29AB5A"/>
    <w:multiLevelType w:val="singleLevel"/>
    <w:tmpl w:val="5E29AB5A"/>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
    <w:nsid w:val="5FFFB1A7"/>
    <w:multiLevelType w:val="singleLevel"/>
    <w:tmpl w:val="5FFFB1A7"/>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1">
    <w:nsid w:val="60382F6E"/>
    <w:multiLevelType w:val="singleLevel"/>
    <w:tmpl w:val="60382F6E"/>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
    <w:nsid w:val="629F7852"/>
    <w:multiLevelType w:val="singleLevel"/>
    <w:tmpl w:val="629F7852"/>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3">
    <w:nsid w:val="72183CF9"/>
    <w:multiLevelType w:val="singleLevel"/>
    <w:tmpl w:val="72183CF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
    <w:nsid w:val="74C28B35"/>
    <w:multiLevelType w:val="singleLevel"/>
    <w:tmpl w:val="74C28B35"/>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5">
    <w:nsid w:val="77ECEA79"/>
    <w:multiLevelType w:val="singleLevel"/>
    <w:tmpl w:val="77ECEA7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6">
    <w:nsid w:val="79AA4FA4"/>
    <w:multiLevelType w:val="singleLevel"/>
    <w:tmpl w:val="79AA4FA4"/>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47">
    <w:nsid w:val="7C246926"/>
    <w:multiLevelType w:val="singleLevel"/>
    <w:tmpl w:val="7C246926"/>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8">
    <w:nsid w:val="7DEC2089"/>
    <w:multiLevelType w:val="singleLevel"/>
    <w:tmpl w:val="7DEC2089"/>
    <w:lvl w:ilvl="0" w:tentative="0">
      <w:start w:val="1"/>
      <w:numFmt w:val="decimal"/>
      <w:lvlText w:val="%1."/>
      <w:lvlJc w:val="left"/>
      <w:rPr>
        <w:rFonts w:ascii="Times New Roman" w:hAnsi="Times New Roman" w:eastAsia="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num w:numId="1">
    <w:abstractNumId w:val="21"/>
  </w:num>
  <w:num w:numId="2">
    <w:abstractNumId w:val="15"/>
  </w:num>
  <w:num w:numId="3">
    <w:abstractNumId w:val="37"/>
  </w:num>
  <w:num w:numId="4">
    <w:abstractNumId w:val="13"/>
  </w:num>
  <w:num w:numId="5">
    <w:abstractNumId w:val="9"/>
  </w:num>
  <w:num w:numId="6">
    <w:abstractNumId w:val="23"/>
  </w:num>
  <w:num w:numId="7">
    <w:abstractNumId w:val="28"/>
  </w:num>
  <w:num w:numId="8">
    <w:abstractNumId w:val="43"/>
  </w:num>
  <w:num w:numId="9">
    <w:abstractNumId w:val="22"/>
  </w:num>
  <w:num w:numId="10">
    <w:abstractNumId w:val="5"/>
  </w:num>
  <w:num w:numId="11">
    <w:abstractNumId w:val="29"/>
  </w:num>
  <w:num w:numId="12">
    <w:abstractNumId w:val="38"/>
  </w:num>
  <w:num w:numId="13">
    <w:abstractNumId w:val="14"/>
  </w:num>
  <w:num w:numId="14">
    <w:abstractNumId w:val="34"/>
  </w:num>
  <w:num w:numId="15">
    <w:abstractNumId w:val="19"/>
  </w:num>
  <w:num w:numId="16">
    <w:abstractNumId w:val="27"/>
  </w:num>
  <w:num w:numId="17">
    <w:abstractNumId w:val="17"/>
  </w:num>
  <w:num w:numId="18">
    <w:abstractNumId w:val="16"/>
  </w:num>
  <w:num w:numId="19">
    <w:abstractNumId w:val="7"/>
  </w:num>
  <w:num w:numId="20">
    <w:abstractNumId w:val="33"/>
  </w:num>
  <w:num w:numId="21">
    <w:abstractNumId w:val="41"/>
  </w:num>
  <w:num w:numId="22">
    <w:abstractNumId w:val="24"/>
  </w:num>
  <w:num w:numId="23">
    <w:abstractNumId w:val="32"/>
  </w:num>
  <w:num w:numId="24">
    <w:abstractNumId w:val="8"/>
  </w:num>
  <w:num w:numId="25">
    <w:abstractNumId w:val="47"/>
  </w:num>
  <w:num w:numId="26">
    <w:abstractNumId w:val="45"/>
  </w:num>
  <w:num w:numId="27">
    <w:abstractNumId w:val="12"/>
  </w:num>
  <w:num w:numId="28">
    <w:abstractNumId w:val="42"/>
  </w:num>
  <w:num w:numId="29">
    <w:abstractNumId w:val="6"/>
  </w:num>
  <w:num w:numId="30">
    <w:abstractNumId w:val="31"/>
  </w:num>
  <w:num w:numId="31">
    <w:abstractNumId w:val="2"/>
  </w:num>
  <w:num w:numId="32">
    <w:abstractNumId w:val="36"/>
  </w:num>
  <w:num w:numId="33">
    <w:abstractNumId w:val="48"/>
  </w:num>
  <w:num w:numId="34">
    <w:abstractNumId w:val="0"/>
  </w:num>
  <w:num w:numId="35">
    <w:abstractNumId w:val="26"/>
  </w:num>
  <w:num w:numId="36">
    <w:abstractNumId w:val="35"/>
  </w:num>
  <w:num w:numId="37">
    <w:abstractNumId w:val="20"/>
  </w:num>
  <w:num w:numId="38">
    <w:abstractNumId w:val="18"/>
  </w:num>
  <w:num w:numId="39">
    <w:abstractNumId w:val="30"/>
  </w:num>
  <w:num w:numId="40">
    <w:abstractNumId w:val="46"/>
  </w:num>
  <w:num w:numId="41">
    <w:abstractNumId w:val="11"/>
  </w:num>
  <w:num w:numId="42">
    <w:abstractNumId w:val="4"/>
  </w:num>
  <w:num w:numId="43">
    <w:abstractNumId w:val="10"/>
  </w:num>
  <w:num w:numId="44">
    <w:abstractNumId w:val="39"/>
  </w:num>
  <w:num w:numId="45">
    <w:abstractNumId w:val="1"/>
  </w:num>
  <w:num w:numId="46">
    <w:abstractNumId w:val="25"/>
  </w:num>
  <w:num w:numId="47">
    <w:abstractNumId w:val="3"/>
  </w:num>
  <w:num w:numId="48">
    <w:abstractNumId w:val="40"/>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2"/>
    <w:footnote w:id="3"/>
  </w:footnotePr>
  <w:endnotePr>
    <w:endnote w:id="0"/>
    <w:endnote w:id="1"/>
  </w:endnotePr>
  <w:compat>
    <w:doNotExpandShiftReturn/>
    <w:useFELayout/>
    <w:compatSetting w:name="compatibilityMode" w:uri="http://schemas.microsoft.com/office/word" w:val="15"/>
  </w:compat>
  <w:rsids>
    <w:rsidRoot w:val="00000000"/>
    <w:rsid w:val="63D845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uiPriority w:val="0"/>
    <w:tblPr>
      <w:tblCellMar>
        <w:top w:w="0" w:type="dxa"/>
        <w:left w:w="108" w:type="dxa"/>
        <w:bottom w:w="0" w:type="dxa"/>
        <w:right w:w="108" w:type="dxa"/>
      </w:tblCellMar>
    </w:tblPr>
  </w:style>
  <w:style w:type="character" w:customStyle="1" w:styleId="4">
    <w:name w:val="Footnote|1_"/>
    <w:basedOn w:val="3"/>
    <w:link w:val="5"/>
    <w:uiPriority w:val="0"/>
    <w:rPr>
      <w:rFonts w:ascii="宋体" w:hAnsi="宋体" w:eastAsia="宋体" w:cs="宋体"/>
      <w:sz w:val="18"/>
      <w:szCs w:val="18"/>
      <w:u w:val="none"/>
      <w:shd w:val="clear" w:color="auto" w:fill="auto"/>
      <w:lang w:val="zh-TW" w:eastAsia="zh-TW" w:bidi="zh-TW"/>
    </w:rPr>
  </w:style>
  <w:style w:type="paragraph" w:customStyle="1" w:styleId="5">
    <w:name w:val="Footnote|1"/>
    <w:basedOn w:val="1"/>
    <w:link w:val="4"/>
    <w:uiPriority w:val="0"/>
    <w:pPr>
      <w:widowControl w:val="0"/>
      <w:shd w:val="clear" w:color="auto" w:fill="auto"/>
      <w:spacing w:line="264" w:lineRule="exact"/>
      <w:ind w:firstLine="300"/>
    </w:pPr>
    <w:rPr>
      <w:rFonts w:ascii="宋体" w:hAnsi="宋体" w:eastAsia="宋体" w:cs="宋体"/>
      <w:sz w:val="18"/>
      <w:szCs w:val="18"/>
      <w:u w:val="none"/>
      <w:shd w:val="clear" w:color="auto" w:fill="auto"/>
      <w:lang w:val="zh-TW" w:eastAsia="zh-TW" w:bidi="zh-TW"/>
    </w:rPr>
  </w:style>
  <w:style w:type="character" w:customStyle="1" w:styleId="6">
    <w:name w:val="Heading #1|1_"/>
    <w:basedOn w:val="3"/>
    <w:link w:val="7"/>
    <w:uiPriority w:val="0"/>
    <w:rPr>
      <w:rFonts w:ascii="宋体" w:hAnsi="宋体" w:eastAsia="宋体" w:cs="宋体"/>
      <w:sz w:val="92"/>
      <w:szCs w:val="92"/>
      <w:u w:val="none"/>
      <w:shd w:val="clear" w:color="auto" w:fill="auto"/>
      <w:lang w:val="zh-TW" w:eastAsia="zh-TW" w:bidi="zh-TW"/>
    </w:rPr>
  </w:style>
  <w:style w:type="paragraph" w:customStyle="1" w:styleId="7">
    <w:name w:val="Heading #1|1"/>
    <w:basedOn w:val="1"/>
    <w:link w:val="6"/>
    <w:uiPriority w:val="0"/>
    <w:pPr>
      <w:widowControl w:val="0"/>
      <w:shd w:val="clear" w:color="auto" w:fill="auto"/>
      <w:spacing w:before="2060" w:after="920"/>
      <w:jc w:val="center"/>
      <w:outlineLvl w:val="0"/>
    </w:pPr>
    <w:rPr>
      <w:rFonts w:ascii="宋体" w:hAnsi="宋体" w:eastAsia="宋体" w:cs="宋体"/>
      <w:sz w:val="92"/>
      <w:szCs w:val="92"/>
      <w:u w:val="none"/>
      <w:shd w:val="clear" w:color="auto" w:fill="auto"/>
      <w:lang w:val="zh-TW" w:eastAsia="zh-TW" w:bidi="zh-TW"/>
    </w:rPr>
  </w:style>
  <w:style w:type="character" w:customStyle="1" w:styleId="8">
    <w:name w:val="Body text|8_"/>
    <w:basedOn w:val="3"/>
    <w:link w:val="9"/>
    <w:uiPriority w:val="0"/>
    <w:rPr>
      <w:rFonts w:ascii="宋体" w:hAnsi="宋体" w:eastAsia="宋体" w:cs="宋体"/>
      <w:sz w:val="26"/>
      <w:szCs w:val="26"/>
      <w:u w:val="none"/>
      <w:shd w:val="clear" w:color="auto" w:fill="auto"/>
      <w:lang w:val="zh-TW" w:eastAsia="zh-TW" w:bidi="zh-TW"/>
    </w:rPr>
  </w:style>
  <w:style w:type="paragraph" w:customStyle="1" w:styleId="9">
    <w:name w:val="Body text|8"/>
    <w:basedOn w:val="1"/>
    <w:link w:val="8"/>
    <w:uiPriority w:val="0"/>
    <w:pPr>
      <w:widowControl w:val="0"/>
      <w:shd w:val="clear" w:color="auto" w:fill="auto"/>
      <w:spacing w:after="7600"/>
      <w:jc w:val="center"/>
    </w:pPr>
    <w:rPr>
      <w:rFonts w:ascii="宋体" w:hAnsi="宋体" w:eastAsia="宋体" w:cs="宋体"/>
      <w:sz w:val="26"/>
      <w:szCs w:val="26"/>
      <w:u w:val="none"/>
      <w:shd w:val="clear" w:color="auto" w:fill="auto"/>
      <w:lang w:val="zh-TW" w:eastAsia="zh-TW" w:bidi="zh-TW"/>
    </w:rPr>
  </w:style>
  <w:style w:type="character" w:customStyle="1" w:styleId="10">
    <w:name w:val="Body text|3_"/>
    <w:basedOn w:val="3"/>
    <w:link w:val="11"/>
    <w:uiPriority w:val="0"/>
    <w:rPr>
      <w:rFonts w:ascii="宋体" w:hAnsi="宋体" w:eastAsia="宋体" w:cs="宋体"/>
      <w:sz w:val="22"/>
      <w:szCs w:val="22"/>
      <w:u w:val="none"/>
      <w:shd w:val="clear" w:color="auto" w:fill="auto"/>
      <w:lang w:val="zh-TW" w:eastAsia="zh-TW" w:bidi="zh-TW"/>
    </w:rPr>
  </w:style>
  <w:style w:type="paragraph" w:customStyle="1" w:styleId="11">
    <w:name w:val="Body text|3"/>
    <w:basedOn w:val="1"/>
    <w:link w:val="10"/>
    <w:uiPriority w:val="0"/>
    <w:pPr>
      <w:widowControl w:val="0"/>
      <w:shd w:val="clear" w:color="auto" w:fill="auto"/>
      <w:spacing w:after="90" w:line="340" w:lineRule="exact"/>
    </w:pPr>
    <w:rPr>
      <w:rFonts w:ascii="宋体" w:hAnsi="宋体" w:eastAsia="宋体" w:cs="宋体"/>
      <w:sz w:val="22"/>
      <w:szCs w:val="22"/>
      <w:u w:val="none"/>
      <w:shd w:val="clear" w:color="auto" w:fill="auto"/>
      <w:lang w:val="zh-TW" w:eastAsia="zh-TW" w:bidi="zh-TW"/>
    </w:rPr>
  </w:style>
  <w:style w:type="character" w:customStyle="1" w:styleId="12">
    <w:name w:val="Body text|7_"/>
    <w:basedOn w:val="3"/>
    <w:link w:val="13"/>
    <w:uiPriority w:val="0"/>
    <w:rPr>
      <w:sz w:val="11"/>
      <w:szCs w:val="11"/>
      <w:u w:val="none"/>
      <w:shd w:val="clear" w:color="auto" w:fill="auto"/>
    </w:rPr>
  </w:style>
  <w:style w:type="paragraph" w:customStyle="1" w:styleId="13">
    <w:name w:val="Body text|7"/>
    <w:basedOn w:val="1"/>
    <w:link w:val="12"/>
    <w:uiPriority w:val="0"/>
    <w:pPr>
      <w:widowControl w:val="0"/>
      <w:shd w:val="clear" w:color="auto" w:fill="auto"/>
      <w:jc w:val="center"/>
    </w:pPr>
    <w:rPr>
      <w:sz w:val="11"/>
      <w:szCs w:val="11"/>
      <w:u w:val="none"/>
      <w:shd w:val="clear" w:color="auto" w:fill="auto"/>
    </w:rPr>
  </w:style>
  <w:style w:type="character" w:customStyle="1" w:styleId="14">
    <w:name w:val="Heading #3|1_"/>
    <w:basedOn w:val="3"/>
    <w:link w:val="15"/>
    <w:uiPriority w:val="0"/>
    <w:rPr>
      <w:rFonts w:ascii="宋体" w:hAnsi="宋体" w:eastAsia="宋体" w:cs="宋体"/>
      <w:sz w:val="30"/>
      <w:szCs w:val="30"/>
      <w:u w:val="none"/>
      <w:shd w:val="clear" w:color="auto" w:fill="auto"/>
      <w:lang w:val="zh-TW" w:eastAsia="zh-TW" w:bidi="zh-TW"/>
    </w:rPr>
  </w:style>
  <w:style w:type="paragraph" w:customStyle="1" w:styleId="15">
    <w:name w:val="Heading #3|1"/>
    <w:basedOn w:val="1"/>
    <w:link w:val="14"/>
    <w:uiPriority w:val="0"/>
    <w:pPr>
      <w:widowControl w:val="0"/>
      <w:shd w:val="clear" w:color="auto" w:fill="auto"/>
      <w:outlineLvl w:val="2"/>
    </w:pPr>
    <w:rPr>
      <w:rFonts w:ascii="宋体" w:hAnsi="宋体" w:eastAsia="宋体" w:cs="宋体"/>
      <w:sz w:val="30"/>
      <w:szCs w:val="30"/>
      <w:u w:val="none"/>
      <w:shd w:val="clear" w:color="auto" w:fill="auto"/>
      <w:lang w:val="zh-TW" w:eastAsia="zh-TW" w:bidi="zh-TW"/>
    </w:rPr>
  </w:style>
  <w:style w:type="character" w:customStyle="1" w:styleId="16">
    <w:name w:val="Body text|1_"/>
    <w:basedOn w:val="3"/>
    <w:link w:val="17"/>
    <w:uiPriority w:val="0"/>
    <w:rPr>
      <w:rFonts w:ascii="宋体" w:hAnsi="宋体" w:eastAsia="宋体" w:cs="宋体"/>
      <w:sz w:val="18"/>
      <w:szCs w:val="18"/>
      <w:u w:val="none"/>
      <w:shd w:val="clear" w:color="auto" w:fill="auto"/>
      <w:lang w:val="zh-TW" w:eastAsia="zh-TW" w:bidi="zh-TW"/>
    </w:rPr>
  </w:style>
  <w:style w:type="paragraph" w:customStyle="1" w:styleId="17">
    <w:name w:val="Body text|1"/>
    <w:basedOn w:val="1"/>
    <w:link w:val="16"/>
    <w:uiPriority w:val="0"/>
    <w:pPr>
      <w:widowControl w:val="0"/>
      <w:shd w:val="clear" w:color="auto" w:fill="auto"/>
      <w:spacing w:line="398" w:lineRule="auto"/>
      <w:ind w:firstLine="400"/>
    </w:pPr>
    <w:rPr>
      <w:rFonts w:ascii="宋体" w:hAnsi="宋体" w:eastAsia="宋体" w:cs="宋体"/>
      <w:sz w:val="18"/>
      <w:szCs w:val="18"/>
      <w:u w:val="none"/>
      <w:shd w:val="clear" w:color="auto" w:fill="auto"/>
      <w:lang w:val="zh-TW" w:eastAsia="zh-TW" w:bidi="zh-TW"/>
    </w:rPr>
  </w:style>
  <w:style w:type="character" w:customStyle="1" w:styleId="18">
    <w:name w:val="Header or footer|2_"/>
    <w:basedOn w:val="3"/>
    <w:link w:val="19"/>
    <w:uiPriority w:val="0"/>
    <w:rPr>
      <w:sz w:val="20"/>
      <w:szCs w:val="20"/>
      <w:u w:val="none"/>
      <w:shd w:val="clear" w:color="auto" w:fill="auto"/>
      <w:lang w:val="zh-TW" w:eastAsia="zh-TW" w:bidi="zh-TW"/>
    </w:rPr>
  </w:style>
  <w:style w:type="paragraph" w:customStyle="1" w:styleId="19">
    <w:name w:val="Header or footer|2"/>
    <w:basedOn w:val="1"/>
    <w:link w:val="18"/>
    <w:uiPriority w:val="0"/>
    <w:pPr>
      <w:widowControl w:val="0"/>
      <w:shd w:val="clear" w:color="auto" w:fill="auto"/>
    </w:pPr>
    <w:rPr>
      <w:sz w:val="20"/>
      <w:szCs w:val="20"/>
      <w:u w:val="none"/>
      <w:shd w:val="clear" w:color="auto" w:fill="auto"/>
      <w:lang w:val="zh-TW" w:eastAsia="zh-TW" w:bidi="zh-TW"/>
    </w:rPr>
  </w:style>
  <w:style w:type="character" w:customStyle="1" w:styleId="20">
    <w:name w:val="Body text|5_"/>
    <w:basedOn w:val="3"/>
    <w:link w:val="21"/>
    <w:uiPriority w:val="0"/>
    <w:rPr>
      <w:sz w:val="19"/>
      <w:szCs w:val="19"/>
      <w:u w:val="none"/>
      <w:shd w:val="clear" w:color="auto" w:fill="auto"/>
      <w:lang w:val="zh-TW" w:eastAsia="zh-TW" w:bidi="zh-TW"/>
    </w:rPr>
  </w:style>
  <w:style w:type="paragraph" w:customStyle="1" w:styleId="21">
    <w:name w:val="Body text|5"/>
    <w:basedOn w:val="1"/>
    <w:link w:val="20"/>
    <w:uiPriority w:val="0"/>
    <w:pPr>
      <w:widowControl w:val="0"/>
      <w:shd w:val="clear" w:color="auto" w:fill="auto"/>
    </w:pPr>
    <w:rPr>
      <w:sz w:val="19"/>
      <w:szCs w:val="19"/>
      <w:u w:val="none"/>
      <w:shd w:val="clear" w:color="auto" w:fill="auto"/>
      <w:lang w:val="zh-TW" w:eastAsia="zh-TW" w:bidi="zh-TW"/>
    </w:rPr>
  </w:style>
  <w:style w:type="character" w:customStyle="1" w:styleId="22">
    <w:name w:val="Table of contents|1_"/>
    <w:basedOn w:val="3"/>
    <w:link w:val="23"/>
    <w:uiPriority w:val="0"/>
    <w:rPr>
      <w:rFonts w:ascii="宋体" w:hAnsi="宋体" w:eastAsia="宋体" w:cs="宋体"/>
      <w:sz w:val="18"/>
      <w:szCs w:val="18"/>
      <w:u w:val="none"/>
      <w:shd w:val="clear" w:color="auto" w:fill="auto"/>
      <w:lang w:val="zh-TW" w:eastAsia="zh-TW" w:bidi="zh-TW"/>
    </w:rPr>
  </w:style>
  <w:style w:type="paragraph" w:customStyle="1" w:styleId="23">
    <w:name w:val="Table of contents|1"/>
    <w:basedOn w:val="1"/>
    <w:link w:val="22"/>
    <w:uiPriority w:val="0"/>
    <w:pPr>
      <w:widowControl w:val="0"/>
      <w:shd w:val="clear" w:color="auto" w:fill="auto"/>
      <w:spacing w:after="100" w:line="305" w:lineRule="exact"/>
      <w:ind w:firstLine="580"/>
    </w:pPr>
    <w:rPr>
      <w:rFonts w:ascii="宋体" w:hAnsi="宋体" w:eastAsia="宋体" w:cs="宋体"/>
      <w:sz w:val="18"/>
      <w:szCs w:val="18"/>
      <w:u w:val="none"/>
      <w:shd w:val="clear" w:color="auto" w:fill="auto"/>
      <w:lang w:val="zh-TW" w:eastAsia="zh-TW" w:bidi="zh-TW"/>
    </w:rPr>
  </w:style>
  <w:style w:type="character" w:customStyle="1" w:styleId="24">
    <w:name w:val="Body text|4_"/>
    <w:basedOn w:val="3"/>
    <w:link w:val="25"/>
    <w:uiPriority w:val="0"/>
    <w:rPr>
      <w:sz w:val="17"/>
      <w:szCs w:val="17"/>
      <w:u w:val="none"/>
      <w:shd w:val="clear" w:color="auto" w:fill="auto"/>
    </w:rPr>
  </w:style>
  <w:style w:type="paragraph" w:customStyle="1" w:styleId="25">
    <w:name w:val="Body text|4"/>
    <w:basedOn w:val="1"/>
    <w:link w:val="24"/>
    <w:uiPriority w:val="0"/>
    <w:pPr>
      <w:widowControl w:val="0"/>
      <w:shd w:val="clear" w:color="auto" w:fill="auto"/>
      <w:spacing w:after="820" w:line="329" w:lineRule="exact"/>
      <w:ind w:firstLine="880"/>
    </w:pPr>
    <w:rPr>
      <w:sz w:val="17"/>
      <w:szCs w:val="17"/>
      <w:u w:val="none"/>
      <w:shd w:val="clear" w:color="auto" w:fill="auto"/>
    </w:rPr>
  </w:style>
  <w:style w:type="character" w:customStyle="1" w:styleId="26">
    <w:name w:val="Heading #2|1_"/>
    <w:basedOn w:val="3"/>
    <w:link w:val="27"/>
    <w:uiPriority w:val="0"/>
    <w:rPr>
      <w:sz w:val="40"/>
      <w:szCs w:val="40"/>
      <w:u w:val="none"/>
      <w:shd w:val="clear" w:color="auto" w:fill="FFFFFF"/>
      <w:lang w:val="zh-CN" w:eastAsia="zh-CN" w:bidi="zh-CN"/>
    </w:rPr>
  </w:style>
  <w:style w:type="paragraph" w:customStyle="1" w:styleId="27">
    <w:name w:val="Heading #2|1"/>
    <w:basedOn w:val="1"/>
    <w:link w:val="26"/>
    <w:uiPriority w:val="0"/>
    <w:pPr>
      <w:widowControl w:val="0"/>
      <w:shd w:val="clear" w:color="auto" w:fill="auto"/>
      <w:outlineLvl w:val="1"/>
    </w:pPr>
    <w:rPr>
      <w:sz w:val="40"/>
      <w:szCs w:val="40"/>
      <w:u w:val="none"/>
      <w:shd w:val="clear" w:color="auto" w:fill="FFFFFF"/>
      <w:lang w:val="zh-CN" w:eastAsia="zh-CN" w:bidi="zh-CN"/>
    </w:rPr>
  </w:style>
  <w:style w:type="character" w:customStyle="1" w:styleId="28">
    <w:name w:val="Other|1_"/>
    <w:basedOn w:val="3"/>
    <w:link w:val="29"/>
    <w:uiPriority w:val="0"/>
    <w:rPr>
      <w:rFonts w:ascii="宋体" w:hAnsi="宋体" w:eastAsia="宋体" w:cs="宋体"/>
      <w:sz w:val="18"/>
      <w:szCs w:val="18"/>
      <w:u w:val="none"/>
      <w:shd w:val="clear" w:color="auto" w:fill="auto"/>
      <w:lang w:val="zh-TW" w:eastAsia="zh-TW" w:bidi="zh-TW"/>
    </w:rPr>
  </w:style>
  <w:style w:type="paragraph" w:customStyle="1" w:styleId="29">
    <w:name w:val="Other|1"/>
    <w:basedOn w:val="1"/>
    <w:link w:val="28"/>
    <w:uiPriority w:val="0"/>
    <w:pPr>
      <w:widowControl w:val="0"/>
      <w:shd w:val="clear" w:color="auto" w:fill="auto"/>
      <w:spacing w:line="398" w:lineRule="auto"/>
      <w:ind w:firstLine="400"/>
    </w:pPr>
    <w:rPr>
      <w:rFonts w:ascii="宋体" w:hAnsi="宋体" w:eastAsia="宋体" w:cs="宋体"/>
      <w:sz w:val="18"/>
      <w:szCs w:val="18"/>
      <w:u w:val="none"/>
      <w:shd w:val="clear" w:color="auto" w:fill="auto"/>
      <w:lang w:val="zh-TW" w:eastAsia="zh-TW" w:bidi="zh-TW"/>
    </w:rPr>
  </w:style>
  <w:style w:type="character" w:customStyle="1" w:styleId="30">
    <w:name w:val="Header or footer|1_"/>
    <w:basedOn w:val="3"/>
    <w:link w:val="31"/>
    <w:uiPriority w:val="0"/>
    <w:rPr>
      <w:rFonts w:ascii="宋体" w:hAnsi="宋体" w:eastAsia="宋体" w:cs="宋体"/>
      <w:sz w:val="18"/>
      <w:szCs w:val="18"/>
      <w:u w:val="none"/>
      <w:shd w:val="clear" w:color="auto" w:fill="auto"/>
      <w:lang w:val="zh-TW" w:eastAsia="zh-TW" w:bidi="zh-TW"/>
    </w:rPr>
  </w:style>
  <w:style w:type="paragraph" w:customStyle="1" w:styleId="31">
    <w:name w:val="Header or footer|1"/>
    <w:basedOn w:val="1"/>
    <w:link w:val="30"/>
    <w:uiPriority w:val="0"/>
    <w:pPr>
      <w:widowControl w:val="0"/>
      <w:shd w:val="clear" w:color="auto" w:fill="auto"/>
    </w:pPr>
    <w:rPr>
      <w:rFonts w:ascii="宋体" w:hAnsi="宋体" w:eastAsia="宋体" w:cs="宋体"/>
      <w:sz w:val="18"/>
      <w:szCs w:val="18"/>
      <w:u w:val="none"/>
      <w:shd w:val="clear" w:color="auto" w:fill="auto"/>
      <w:lang w:val="zh-TW" w:eastAsia="zh-TW" w:bidi="zh-TW"/>
    </w:rPr>
  </w:style>
  <w:style w:type="character" w:customStyle="1" w:styleId="32">
    <w:name w:val="Body text|2_"/>
    <w:basedOn w:val="3"/>
    <w:link w:val="33"/>
    <w:uiPriority w:val="0"/>
    <w:rPr>
      <w:rFonts w:ascii="宋体" w:hAnsi="宋体" w:eastAsia="宋体" w:cs="宋体"/>
      <w:sz w:val="11"/>
      <w:szCs w:val="11"/>
      <w:u w:val="none"/>
      <w:shd w:val="clear" w:color="auto" w:fill="auto"/>
      <w:lang w:val="zh-TW" w:eastAsia="zh-TW" w:bidi="zh-TW"/>
    </w:rPr>
  </w:style>
  <w:style w:type="paragraph" w:customStyle="1" w:styleId="33">
    <w:name w:val="Body text|2"/>
    <w:basedOn w:val="1"/>
    <w:link w:val="32"/>
    <w:uiPriority w:val="0"/>
    <w:pPr>
      <w:widowControl w:val="0"/>
      <w:shd w:val="clear" w:color="auto" w:fill="auto"/>
      <w:spacing w:after="1390"/>
      <w:jc w:val="right"/>
    </w:pPr>
    <w:rPr>
      <w:rFonts w:ascii="宋体" w:hAnsi="宋体" w:eastAsia="宋体" w:cs="宋体"/>
      <w:sz w:val="11"/>
      <w:szCs w:val="11"/>
      <w:u w:val="none"/>
      <w:shd w:val="clear" w:color="auto" w:fill="auto"/>
      <w:lang w:val="zh-TW" w:eastAsia="zh-TW" w:bidi="zh-TW"/>
    </w:rPr>
  </w:style>
  <w:style w:type="character" w:customStyle="1" w:styleId="34">
    <w:name w:val="Body text|6_"/>
    <w:basedOn w:val="3"/>
    <w:link w:val="35"/>
    <w:uiPriority w:val="0"/>
    <w:rPr>
      <w:rFonts w:ascii="宋体" w:hAnsi="宋体" w:eastAsia="宋体" w:cs="宋体"/>
      <w:sz w:val="15"/>
      <w:szCs w:val="15"/>
      <w:u w:val="none"/>
      <w:shd w:val="clear" w:color="auto" w:fill="auto"/>
      <w:lang w:val="zh-TW" w:eastAsia="zh-TW" w:bidi="zh-TW"/>
    </w:rPr>
  </w:style>
  <w:style w:type="paragraph" w:customStyle="1" w:styleId="35">
    <w:name w:val="Body text|6"/>
    <w:basedOn w:val="1"/>
    <w:link w:val="34"/>
    <w:uiPriority w:val="0"/>
    <w:pPr>
      <w:widowControl w:val="0"/>
      <w:shd w:val="clear" w:color="auto" w:fill="auto"/>
      <w:spacing w:line="238" w:lineRule="exact"/>
      <w:ind w:firstLine="280"/>
    </w:pPr>
    <w:rPr>
      <w:rFonts w:ascii="宋体" w:hAnsi="宋体" w:eastAsia="宋体" w:cs="宋体"/>
      <w:sz w:val="15"/>
      <w:szCs w:val="15"/>
      <w:u w:val="none"/>
      <w:shd w:val="clear" w:color="auto" w:fill="auto"/>
      <w:lang w:val="zh-TW" w:eastAsia="zh-TW" w:bidi="zh-TW"/>
    </w:rPr>
  </w:style>
  <w:style w:type="character" w:customStyle="1" w:styleId="36">
    <w:name w:val="Picture caption|1_"/>
    <w:basedOn w:val="3"/>
    <w:link w:val="37"/>
    <w:uiPriority w:val="0"/>
    <w:rPr>
      <w:rFonts w:ascii="宋体" w:hAnsi="宋体" w:eastAsia="宋体" w:cs="宋体"/>
      <w:sz w:val="18"/>
      <w:szCs w:val="18"/>
      <w:u w:val="none"/>
      <w:shd w:val="clear" w:color="auto" w:fill="auto"/>
      <w:lang w:val="zh-TW" w:eastAsia="zh-TW" w:bidi="zh-TW"/>
    </w:rPr>
  </w:style>
  <w:style w:type="paragraph" w:customStyle="1" w:styleId="37">
    <w:name w:val="Picture caption|1"/>
    <w:basedOn w:val="1"/>
    <w:link w:val="36"/>
    <w:uiPriority w:val="0"/>
    <w:pPr>
      <w:widowControl w:val="0"/>
      <w:shd w:val="clear" w:color="auto" w:fill="auto"/>
    </w:pPr>
    <w:rPr>
      <w:rFonts w:ascii="宋体" w:hAnsi="宋体" w:eastAsia="宋体" w:cs="宋体"/>
      <w:sz w:val="18"/>
      <w:szCs w:val="18"/>
      <w:u w:val="none"/>
      <w:shd w:val="clear" w:color="auto" w:fill="auto"/>
      <w:lang w:val="zh-TW" w:eastAsia="zh-TW" w:bidi="zh-TW"/>
    </w:rPr>
  </w:style>
  <w:style w:type="character" w:customStyle="1" w:styleId="38">
    <w:name w:val="Table caption|1_"/>
    <w:basedOn w:val="3"/>
    <w:link w:val="39"/>
    <w:uiPriority w:val="0"/>
    <w:rPr>
      <w:rFonts w:ascii="宋体" w:hAnsi="宋体" w:eastAsia="宋体" w:cs="宋体"/>
      <w:sz w:val="15"/>
      <w:szCs w:val="15"/>
      <w:u w:val="none"/>
      <w:shd w:val="clear" w:color="auto" w:fill="auto"/>
      <w:lang w:val="zh-TW" w:eastAsia="zh-TW" w:bidi="zh-TW"/>
    </w:rPr>
  </w:style>
  <w:style w:type="paragraph" w:customStyle="1" w:styleId="39">
    <w:name w:val="Table caption|1"/>
    <w:basedOn w:val="1"/>
    <w:link w:val="38"/>
    <w:uiPriority w:val="0"/>
    <w:pPr>
      <w:widowControl w:val="0"/>
      <w:shd w:val="clear" w:color="auto" w:fill="auto"/>
    </w:pPr>
    <w:rPr>
      <w:rFonts w:ascii="宋体" w:hAnsi="宋体" w:eastAsia="宋体" w:cs="宋体"/>
      <w:sz w:val="15"/>
      <w:szCs w:val="15"/>
      <w:u w:val="none"/>
      <w:shd w:val="clear" w:color="auto" w:fill="auto"/>
      <w:lang w:val="zh-TW" w:eastAsia="zh-TW" w:bidi="zh-TW"/>
    </w:rPr>
  </w:style>
</w:styles>
</file>

<file path=word/_rels/document.xml.rels><?xml version="1.0" encoding="UTF-8" standalone="yes"?>
<Relationships xmlns="http://schemas.openxmlformats.org/package/2006/relationships"><Relationship Id="rId99" Type="http://schemas.openxmlformats.org/officeDocument/2006/relationships/header" Target="header95.xml"/><Relationship Id="rId98" Type="http://schemas.openxmlformats.org/officeDocument/2006/relationships/header" Target="header94.xml"/><Relationship Id="rId97" Type="http://schemas.openxmlformats.org/officeDocument/2006/relationships/header" Target="header93.xml"/><Relationship Id="rId96" Type="http://schemas.openxmlformats.org/officeDocument/2006/relationships/header" Target="header92.xml"/><Relationship Id="rId95" Type="http://schemas.openxmlformats.org/officeDocument/2006/relationships/header" Target="header91.xml"/><Relationship Id="rId94" Type="http://schemas.openxmlformats.org/officeDocument/2006/relationships/header" Target="header90.xml"/><Relationship Id="rId93" Type="http://schemas.openxmlformats.org/officeDocument/2006/relationships/header" Target="header89.xml"/><Relationship Id="rId92" Type="http://schemas.openxmlformats.org/officeDocument/2006/relationships/header" Target="header88.xml"/><Relationship Id="rId91" Type="http://schemas.openxmlformats.org/officeDocument/2006/relationships/header" Target="header87.xml"/><Relationship Id="rId90" Type="http://schemas.openxmlformats.org/officeDocument/2006/relationships/header" Target="header86.xml"/><Relationship Id="rId9" Type="http://schemas.openxmlformats.org/officeDocument/2006/relationships/header" Target="header5.xml"/><Relationship Id="rId89" Type="http://schemas.openxmlformats.org/officeDocument/2006/relationships/header" Target="header85.xml"/><Relationship Id="rId88" Type="http://schemas.openxmlformats.org/officeDocument/2006/relationships/header" Target="header84.xml"/><Relationship Id="rId87" Type="http://schemas.openxmlformats.org/officeDocument/2006/relationships/header" Target="header83.xml"/><Relationship Id="rId86" Type="http://schemas.openxmlformats.org/officeDocument/2006/relationships/header" Target="header82.xml"/><Relationship Id="rId85" Type="http://schemas.openxmlformats.org/officeDocument/2006/relationships/header" Target="header81.xml"/><Relationship Id="rId84" Type="http://schemas.openxmlformats.org/officeDocument/2006/relationships/header" Target="header80.xml"/><Relationship Id="rId83" Type="http://schemas.openxmlformats.org/officeDocument/2006/relationships/header" Target="header79.xml"/><Relationship Id="rId82" Type="http://schemas.openxmlformats.org/officeDocument/2006/relationships/header" Target="header78.xml"/><Relationship Id="rId81" Type="http://schemas.openxmlformats.org/officeDocument/2006/relationships/header" Target="header77.xml"/><Relationship Id="rId80" Type="http://schemas.openxmlformats.org/officeDocument/2006/relationships/header" Target="header76.xml"/><Relationship Id="rId8" Type="http://schemas.openxmlformats.org/officeDocument/2006/relationships/header" Target="header4.xml"/><Relationship Id="rId79" Type="http://schemas.openxmlformats.org/officeDocument/2006/relationships/header" Target="header75.xml"/><Relationship Id="rId78" Type="http://schemas.openxmlformats.org/officeDocument/2006/relationships/header" Target="header74.xml"/><Relationship Id="rId77" Type="http://schemas.openxmlformats.org/officeDocument/2006/relationships/header" Target="header73.xml"/><Relationship Id="rId76" Type="http://schemas.openxmlformats.org/officeDocument/2006/relationships/header" Target="header72.xml"/><Relationship Id="rId75" Type="http://schemas.openxmlformats.org/officeDocument/2006/relationships/header" Target="header71.xml"/><Relationship Id="rId74" Type="http://schemas.openxmlformats.org/officeDocument/2006/relationships/header" Target="header70.xml"/><Relationship Id="rId73" Type="http://schemas.openxmlformats.org/officeDocument/2006/relationships/header" Target="header69.xml"/><Relationship Id="rId723" Type="http://schemas.openxmlformats.org/officeDocument/2006/relationships/fontTable" Target="fontTable.xml"/><Relationship Id="rId722" Type="http://schemas.openxmlformats.org/officeDocument/2006/relationships/numbering" Target="numbering.xml"/><Relationship Id="rId721" Type="http://schemas.openxmlformats.org/officeDocument/2006/relationships/customXml" Target="../customXml/item1.xml"/><Relationship Id="rId720" Type="http://schemas.openxmlformats.org/officeDocument/2006/relationships/image" Target="media/image127.png"/><Relationship Id="rId72" Type="http://schemas.openxmlformats.org/officeDocument/2006/relationships/header" Target="header68.xml"/><Relationship Id="rId719" Type="http://schemas.openxmlformats.org/officeDocument/2006/relationships/image" Target="media/image126.png"/><Relationship Id="rId718" Type="http://schemas.openxmlformats.org/officeDocument/2006/relationships/image" Target="media/image125.png"/><Relationship Id="rId717" Type="http://schemas.openxmlformats.org/officeDocument/2006/relationships/image" Target="media/image124.png"/><Relationship Id="rId716" Type="http://schemas.openxmlformats.org/officeDocument/2006/relationships/image" Target="media/image123.png"/><Relationship Id="rId715" Type="http://schemas.openxmlformats.org/officeDocument/2006/relationships/image" Target="media/image122.jpeg"/><Relationship Id="rId714" Type="http://schemas.openxmlformats.org/officeDocument/2006/relationships/image" Target="media/image121.jpeg"/><Relationship Id="rId713" Type="http://schemas.openxmlformats.org/officeDocument/2006/relationships/image" Target="media/image120.png"/><Relationship Id="rId712" Type="http://schemas.openxmlformats.org/officeDocument/2006/relationships/image" Target="media/image119.png"/><Relationship Id="rId711" Type="http://schemas.openxmlformats.org/officeDocument/2006/relationships/image" Target="media/image118.png"/><Relationship Id="rId710" Type="http://schemas.openxmlformats.org/officeDocument/2006/relationships/image" Target="media/image117.png"/><Relationship Id="rId71" Type="http://schemas.openxmlformats.org/officeDocument/2006/relationships/header" Target="header67.xml"/><Relationship Id="rId709" Type="http://schemas.openxmlformats.org/officeDocument/2006/relationships/image" Target="media/image116.png"/><Relationship Id="rId708" Type="http://schemas.openxmlformats.org/officeDocument/2006/relationships/image" Target="media/image115.png"/><Relationship Id="rId707" Type="http://schemas.openxmlformats.org/officeDocument/2006/relationships/image" Target="media/image114.png"/><Relationship Id="rId706" Type="http://schemas.openxmlformats.org/officeDocument/2006/relationships/image" Target="media/image113.png"/><Relationship Id="rId705" Type="http://schemas.openxmlformats.org/officeDocument/2006/relationships/image" Target="media/image112.png"/><Relationship Id="rId704" Type="http://schemas.openxmlformats.org/officeDocument/2006/relationships/image" Target="media/image111.png"/><Relationship Id="rId703" Type="http://schemas.openxmlformats.org/officeDocument/2006/relationships/image" Target="media/image110.png"/><Relationship Id="rId702" Type="http://schemas.openxmlformats.org/officeDocument/2006/relationships/image" Target="media/image109.png"/><Relationship Id="rId701" Type="http://schemas.openxmlformats.org/officeDocument/2006/relationships/image" Target="media/image108.png"/><Relationship Id="rId700" Type="http://schemas.openxmlformats.org/officeDocument/2006/relationships/image" Target="media/image107.png"/><Relationship Id="rId70" Type="http://schemas.openxmlformats.org/officeDocument/2006/relationships/header" Target="header66.xml"/><Relationship Id="rId7" Type="http://schemas.openxmlformats.org/officeDocument/2006/relationships/header" Target="header3.xml"/><Relationship Id="rId699" Type="http://schemas.openxmlformats.org/officeDocument/2006/relationships/image" Target="media/image106.png"/><Relationship Id="rId698" Type="http://schemas.openxmlformats.org/officeDocument/2006/relationships/image" Target="media/image105.png"/><Relationship Id="rId697" Type="http://schemas.openxmlformats.org/officeDocument/2006/relationships/image" Target="media/image104.png"/><Relationship Id="rId696" Type="http://schemas.openxmlformats.org/officeDocument/2006/relationships/image" Target="media/image103.png"/><Relationship Id="rId695" Type="http://schemas.openxmlformats.org/officeDocument/2006/relationships/image" Target="media/image102.png"/><Relationship Id="rId694" Type="http://schemas.openxmlformats.org/officeDocument/2006/relationships/image" Target="media/image101.png"/><Relationship Id="rId693" Type="http://schemas.openxmlformats.org/officeDocument/2006/relationships/image" Target="media/image100.png"/><Relationship Id="rId692" Type="http://schemas.openxmlformats.org/officeDocument/2006/relationships/image" Target="media/image99.png"/><Relationship Id="rId691" Type="http://schemas.openxmlformats.org/officeDocument/2006/relationships/image" Target="media/image98.png"/><Relationship Id="rId690" Type="http://schemas.openxmlformats.org/officeDocument/2006/relationships/image" Target="media/image97.png"/><Relationship Id="rId69" Type="http://schemas.openxmlformats.org/officeDocument/2006/relationships/header" Target="header65.xml"/><Relationship Id="rId689" Type="http://schemas.openxmlformats.org/officeDocument/2006/relationships/image" Target="media/image96.png"/><Relationship Id="rId688" Type="http://schemas.openxmlformats.org/officeDocument/2006/relationships/image" Target="media/image95.png"/><Relationship Id="rId687" Type="http://schemas.openxmlformats.org/officeDocument/2006/relationships/image" Target="media/image94.png"/><Relationship Id="rId686" Type="http://schemas.openxmlformats.org/officeDocument/2006/relationships/image" Target="media/image93.png"/><Relationship Id="rId685" Type="http://schemas.openxmlformats.org/officeDocument/2006/relationships/image" Target="media/image92.png"/><Relationship Id="rId684" Type="http://schemas.openxmlformats.org/officeDocument/2006/relationships/image" Target="media/image91.png"/><Relationship Id="rId683" Type="http://schemas.openxmlformats.org/officeDocument/2006/relationships/image" Target="media/image90.png"/><Relationship Id="rId682" Type="http://schemas.openxmlformats.org/officeDocument/2006/relationships/image" Target="media/image89.png"/><Relationship Id="rId681" Type="http://schemas.openxmlformats.org/officeDocument/2006/relationships/image" Target="media/image88.png"/><Relationship Id="rId680" Type="http://schemas.openxmlformats.org/officeDocument/2006/relationships/image" Target="media/image87.png"/><Relationship Id="rId68" Type="http://schemas.openxmlformats.org/officeDocument/2006/relationships/header" Target="header64.xml"/><Relationship Id="rId679" Type="http://schemas.openxmlformats.org/officeDocument/2006/relationships/image" Target="media/image86.png"/><Relationship Id="rId678" Type="http://schemas.openxmlformats.org/officeDocument/2006/relationships/image" Target="media/image85.png"/><Relationship Id="rId677" Type="http://schemas.openxmlformats.org/officeDocument/2006/relationships/image" Target="media/image84.png"/><Relationship Id="rId676" Type="http://schemas.openxmlformats.org/officeDocument/2006/relationships/image" Target="media/image83.png"/><Relationship Id="rId675" Type="http://schemas.openxmlformats.org/officeDocument/2006/relationships/image" Target="media/image82.png"/><Relationship Id="rId674" Type="http://schemas.openxmlformats.org/officeDocument/2006/relationships/image" Target="media/image81.png"/><Relationship Id="rId673" Type="http://schemas.openxmlformats.org/officeDocument/2006/relationships/image" Target="media/image80.png"/><Relationship Id="rId672" Type="http://schemas.openxmlformats.org/officeDocument/2006/relationships/image" Target="media/image79.png"/><Relationship Id="rId671" Type="http://schemas.openxmlformats.org/officeDocument/2006/relationships/image" Target="media/image78.png"/><Relationship Id="rId670" Type="http://schemas.openxmlformats.org/officeDocument/2006/relationships/image" Target="media/image77.png"/><Relationship Id="rId67" Type="http://schemas.openxmlformats.org/officeDocument/2006/relationships/header" Target="header63.xml"/><Relationship Id="rId669" Type="http://schemas.openxmlformats.org/officeDocument/2006/relationships/image" Target="media/image76.png"/><Relationship Id="rId668" Type="http://schemas.openxmlformats.org/officeDocument/2006/relationships/image" Target="media/image75.png"/><Relationship Id="rId667" Type="http://schemas.openxmlformats.org/officeDocument/2006/relationships/image" Target="media/image74.png"/><Relationship Id="rId666" Type="http://schemas.openxmlformats.org/officeDocument/2006/relationships/image" Target="media/image73.png"/><Relationship Id="rId665" Type="http://schemas.openxmlformats.org/officeDocument/2006/relationships/image" Target="media/image72.png"/><Relationship Id="rId664" Type="http://schemas.openxmlformats.org/officeDocument/2006/relationships/image" Target="media/image71.png"/><Relationship Id="rId663" Type="http://schemas.openxmlformats.org/officeDocument/2006/relationships/image" Target="media/image70.png"/><Relationship Id="rId662" Type="http://schemas.openxmlformats.org/officeDocument/2006/relationships/image" Target="media/image69.png"/><Relationship Id="rId661" Type="http://schemas.openxmlformats.org/officeDocument/2006/relationships/image" Target="media/image68.png"/><Relationship Id="rId660" Type="http://schemas.openxmlformats.org/officeDocument/2006/relationships/image" Target="media/image67.png"/><Relationship Id="rId66" Type="http://schemas.openxmlformats.org/officeDocument/2006/relationships/header" Target="header62.xml"/><Relationship Id="rId659" Type="http://schemas.openxmlformats.org/officeDocument/2006/relationships/image" Target="media/image66.png"/><Relationship Id="rId658" Type="http://schemas.openxmlformats.org/officeDocument/2006/relationships/image" Target="media/image65.png"/><Relationship Id="rId657" Type="http://schemas.openxmlformats.org/officeDocument/2006/relationships/image" Target="media/image64.png"/><Relationship Id="rId656" Type="http://schemas.openxmlformats.org/officeDocument/2006/relationships/image" Target="media/image63.png"/><Relationship Id="rId655" Type="http://schemas.openxmlformats.org/officeDocument/2006/relationships/image" Target="media/image62.png"/><Relationship Id="rId654" Type="http://schemas.openxmlformats.org/officeDocument/2006/relationships/image" Target="media/image61.png"/><Relationship Id="rId653" Type="http://schemas.openxmlformats.org/officeDocument/2006/relationships/image" Target="media/image60.png"/><Relationship Id="rId652" Type="http://schemas.openxmlformats.org/officeDocument/2006/relationships/image" Target="media/image59.png"/><Relationship Id="rId651" Type="http://schemas.openxmlformats.org/officeDocument/2006/relationships/image" Target="media/image58.png"/><Relationship Id="rId650" Type="http://schemas.openxmlformats.org/officeDocument/2006/relationships/image" Target="media/image57.png"/><Relationship Id="rId65" Type="http://schemas.openxmlformats.org/officeDocument/2006/relationships/header" Target="header61.xml"/><Relationship Id="rId649" Type="http://schemas.openxmlformats.org/officeDocument/2006/relationships/image" Target="media/image56.png"/><Relationship Id="rId648" Type="http://schemas.openxmlformats.org/officeDocument/2006/relationships/image" Target="media/image55.png"/><Relationship Id="rId647" Type="http://schemas.openxmlformats.org/officeDocument/2006/relationships/image" Target="media/image54.png"/><Relationship Id="rId646" Type="http://schemas.openxmlformats.org/officeDocument/2006/relationships/image" Target="media/image53.png"/><Relationship Id="rId645" Type="http://schemas.openxmlformats.org/officeDocument/2006/relationships/image" Target="media/image52.png"/><Relationship Id="rId644" Type="http://schemas.openxmlformats.org/officeDocument/2006/relationships/image" Target="media/image51.png"/><Relationship Id="rId643" Type="http://schemas.openxmlformats.org/officeDocument/2006/relationships/image" Target="media/image50.png"/><Relationship Id="rId642" Type="http://schemas.openxmlformats.org/officeDocument/2006/relationships/image" Target="media/image49.png"/><Relationship Id="rId641" Type="http://schemas.openxmlformats.org/officeDocument/2006/relationships/image" Target="media/image48.png"/><Relationship Id="rId640" Type="http://schemas.openxmlformats.org/officeDocument/2006/relationships/image" Target="media/image47.png"/><Relationship Id="rId64" Type="http://schemas.openxmlformats.org/officeDocument/2006/relationships/header" Target="header60.xml"/><Relationship Id="rId639" Type="http://schemas.openxmlformats.org/officeDocument/2006/relationships/image" Target="media/image46.png"/><Relationship Id="rId638" Type="http://schemas.openxmlformats.org/officeDocument/2006/relationships/image" Target="media/image45.png"/><Relationship Id="rId637" Type="http://schemas.openxmlformats.org/officeDocument/2006/relationships/image" Target="media/image44.png"/><Relationship Id="rId636" Type="http://schemas.openxmlformats.org/officeDocument/2006/relationships/image" Target="media/image43.png"/><Relationship Id="rId635" Type="http://schemas.openxmlformats.org/officeDocument/2006/relationships/image" Target="media/image42.png"/><Relationship Id="rId634" Type="http://schemas.openxmlformats.org/officeDocument/2006/relationships/image" Target="media/image41.png"/><Relationship Id="rId633" Type="http://schemas.openxmlformats.org/officeDocument/2006/relationships/image" Target="media/image40.png"/><Relationship Id="rId632" Type="http://schemas.openxmlformats.org/officeDocument/2006/relationships/image" Target="media/image39.png"/><Relationship Id="rId631" Type="http://schemas.openxmlformats.org/officeDocument/2006/relationships/image" Target="media/image38.png"/><Relationship Id="rId630" Type="http://schemas.openxmlformats.org/officeDocument/2006/relationships/image" Target="media/image37.png"/><Relationship Id="rId63" Type="http://schemas.openxmlformats.org/officeDocument/2006/relationships/header" Target="header59.xml"/><Relationship Id="rId629" Type="http://schemas.openxmlformats.org/officeDocument/2006/relationships/image" Target="media/image36.png"/><Relationship Id="rId628" Type="http://schemas.openxmlformats.org/officeDocument/2006/relationships/image" Target="media/image35.png"/><Relationship Id="rId627" Type="http://schemas.openxmlformats.org/officeDocument/2006/relationships/image" Target="media/image34.png"/><Relationship Id="rId626" Type="http://schemas.openxmlformats.org/officeDocument/2006/relationships/image" Target="media/image33.png"/><Relationship Id="rId625" Type="http://schemas.openxmlformats.org/officeDocument/2006/relationships/image" Target="media/image32.png"/><Relationship Id="rId624" Type="http://schemas.openxmlformats.org/officeDocument/2006/relationships/image" Target="media/image31.png"/><Relationship Id="rId623" Type="http://schemas.openxmlformats.org/officeDocument/2006/relationships/image" Target="media/image30.png"/><Relationship Id="rId622" Type="http://schemas.openxmlformats.org/officeDocument/2006/relationships/image" Target="media/image29.png"/><Relationship Id="rId621" Type="http://schemas.openxmlformats.org/officeDocument/2006/relationships/image" Target="media/image28.png"/><Relationship Id="rId620" Type="http://schemas.openxmlformats.org/officeDocument/2006/relationships/image" Target="media/image27.png"/><Relationship Id="rId62" Type="http://schemas.openxmlformats.org/officeDocument/2006/relationships/header" Target="header58.xml"/><Relationship Id="rId619" Type="http://schemas.openxmlformats.org/officeDocument/2006/relationships/image" Target="media/image26.png"/><Relationship Id="rId618" Type="http://schemas.openxmlformats.org/officeDocument/2006/relationships/image" Target="media/image25.png"/><Relationship Id="rId617" Type="http://schemas.openxmlformats.org/officeDocument/2006/relationships/image" Target="media/image24.png"/><Relationship Id="rId616" Type="http://schemas.openxmlformats.org/officeDocument/2006/relationships/image" Target="media/image23.png"/><Relationship Id="rId615" Type="http://schemas.openxmlformats.org/officeDocument/2006/relationships/image" Target="media/image22.png"/><Relationship Id="rId614" Type="http://schemas.openxmlformats.org/officeDocument/2006/relationships/image" Target="media/image21.png"/><Relationship Id="rId613" Type="http://schemas.openxmlformats.org/officeDocument/2006/relationships/image" Target="media/image20.png"/><Relationship Id="rId612" Type="http://schemas.openxmlformats.org/officeDocument/2006/relationships/image" Target="media/image19.png"/><Relationship Id="rId611" Type="http://schemas.openxmlformats.org/officeDocument/2006/relationships/image" Target="media/image18.png"/><Relationship Id="rId610" Type="http://schemas.openxmlformats.org/officeDocument/2006/relationships/image" Target="media/image17.png"/><Relationship Id="rId61" Type="http://schemas.openxmlformats.org/officeDocument/2006/relationships/header" Target="header57.xml"/><Relationship Id="rId609" Type="http://schemas.openxmlformats.org/officeDocument/2006/relationships/image" Target="media/image16.png"/><Relationship Id="rId608" Type="http://schemas.openxmlformats.org/officeDocument/2006/relationships/image" Target="media/image15.png"/><Relationship Id="rId607" Type="http://schemas.openxmlformats.org/officeDocument/2006/relationships/image" Target="media/image14.png"/><Relationship Id="rId606" Type="http://schemas.openxmlformats.org/officeDocument/2006/relationships/image" Target="media/image13.png"/><Relationship Id="rId605" Type="http://schemas.openxmlformats.org/officeDocument/2006/relationships/image" Target="media/image12.png"/><Relationship Id="rId604" Type="http://schemas.openxmlformats.org/officeDocument/2006/relationships/image" Target="media/image11.png"/><Relationship Id="rId603" Type="http://schemas.openxmlformats.org/officeDocument/2006/relationships/image" Target="media/image10.png"/><Relationship Id="rId602" Type="http://schemas.openxmlformats.org/officeDocument/2006/relationships/image" Target="media/image9.png"/><Relationship Id="rId601" Type="http://schemas.openxmlformats.org/officeDocument/2006/relationships/image" Target="media/image8.png"/><Relationship Id="rId600" Type="http://schemas.openxmlformats.org/officeDocument/2006/relationships/image" Target="media/image7.png"/><Relationship Id="rId60" Type="http://schemas.openxmlformats.org/officeDocument/2006/relationships/header" Target="header56.xml"/><Relationship Id="rId6" Type="http://schemas.openxmlformats.org/officeDocument/2006/relationships/header" Target="header2.xml"/><Relationship Id="rId599" Type="http://schemas.openxmlformats.org/officeDocument/2006/relationships/image" Target="media/image6.png"/><Relationship Id="rId598" Type="http://schemas.openxmlformats.org/officeDocument/2006/relationships/image" Target="media/image5.png"/><Relationship Id="rId597" Type="http://schemas.openxmlformats.org/officeDocument/2006/relationships/image" Target="media/image4.png"/><Relationship Id="rId596" Type="http://schemas.openxmlformats.org/officeDocument/2006/relationships/image" Target="media/image3.png"/><Relationship Id="rId595" Type="http://schemas.openxmlformats.org/officeDocument/2006/relationships/image" Target="media/image2.png"/><Relationship Id="rId594" Type="http://schemas.openxmlformats.org/officeDocument/2006/relationships/image" Target="media/image1.png"/><Relationship Id="rId593" Type="http://schemas.openxmlformats.org/officeDocument/2006/relationships/theme" Target="theme/theme1.xml"/><Relationship Id="rId592" Type="http://schemas.openxmlformats.org/officeDocument/2006/relationships/header" Target="header588.xml"/><Relationship Id="rId591" Type="http://schemas.openxmlformats.org/officeDocument/2006/relationships/header" Target="header587.xml"/><Relationship Id="rId590" Type="http://schemas.openxmlformats.org/officeDocument/2006/relationships/header" Target="header586.xml"/><Relationship Id="rId59" Type="http://schemas.openxmlformats.org/officeDocument/2006/relationships/header" Target="header55.xml"/><Relationship Id="rId589" Type="http://schemas.openxmlformats.org/officeDocument/2006/relationships/header" Target="header585.xml"/><Relationship Id="rId588" Type="http://schemas.openxmlformats.org/officeDocument/2006/relationships/header" Target="header584.xml"/><Relationship Id="rId587" Type="http://schemas.openxmlformats.org/officeDocument/2006/relationships/header" Target="header583.xml"/><Relationship Id="rId586" Type="http://schemas.openxmlformats.org/officeDocument/2006/relationships/header" Target="header582.xml"/><Relationship Id="rId585" Type="http://schemas.openxmlformats.org/officeDocument/2006/relationships/header" Target="header581.xml"/><Relationship Id="rId584" Type="http://schemas.openxmlformats.org/officeDocument/2006/relationships/header" Target="header580.xml"/><Relationship Id="rId583" Type="http://schemas.openxmlformats.org/officeDocument/2006/relationships/header" Target="header579.xml"/><Relationship Id="rId582" Type="http://schemas.openxmlformats.org/officeDocument/2006/relationships/header" Target="header578.xml"/><Relationship Id="rId581" Type="http://schemas.openxmlformats.org/officeDocument/2006/relationships/header" Target="header577.xml"/><Relationship Id="rId580" Type="http://schemas.openxmlformats.org/officeDocument/2006/relationships/header" Target="header576.xml"/><Relationship Id="rId58" Type="http://schemas.openxmlformats.org/officeDocument/2006/relationships/header" Target="header54.xml"/><Relationship Id="rId579" Type="http://schemas.openxmlformats.org/officeDocument/2006/relationships/header" Target="header575.xml"/><Relationship Id="rId578" Type="http://schemas.openxmlformats.org/officeDocument/2006/relationships/header" Target="header574.xml"/><Relationship Id="rId577" Type="http://schemas.openxmlformats.org/officeDocument/2006/relationships/header" Target="header573.xml"/><Relationship Id="rId576" Type="http://schemas.openxmlformats.org/officeDocument/2006/relationships/header" Target="header572.xml"/><Relationship Id="rId575" Type="http://schemas.openxmlformats.org/officeDocument/2006/relationships/header" Target="header571.xml"/><Relationship Id="rId574" Type="http://schemas.openxmlformats.org/officeDocument/2006/relationships/header" Target="header570.xml"/><Relationship Id="rId573" Type="http://schemas.openxmlformats.org/officeDocument/2006/relationships/header" Target="header569.xml"/><Relationship Id="rId572" Type="http://schemas.openxmlformats.org/officeDocument/2006/relationships/header" Target="header568.xml"/><Relationship Id="rId571" Type="http://schemas.openxmlformats.org/officeDocument/2006/relationships/header" Target="header567.xml"/><Relationship Id="rId570" Type="http://schemas.openxmlformats.org/officeDocument/2006/relationships/header" Target="header566.xml"/><Relationship Id="rId57" Type="http://schemas.openxmlformats.org/officeDocument/2006/relationships/header" Target="header53.xml"/><Relationship Id="rId569" Type="http://schemas.openxmlformats.org/officeDocument/2006/relationships/header" Target="header565.xml"/><Relationship Id="rId568" Type="http://schemas.openxmlformats.org/officeDocument/2006/relationships/header" Target="header564.xml"/><Relationship Id="rId567" Type="http://schemas.openxmlformats.org/officeDocument/2006/relationships/header" Target="header563.xml"/><Relationship Id="rId566" Type="http://schemas.openxmlformats.org/officeDocument/2006/relationships/header" Target="header562.xml"/><Relationship Id="rId565" Type="http://schemas.openxmlformats.org/officeDocument/2006/relationships/header" Target="header561.xml"/><Relationship Id="rId564" Type="http://schemas.openxmlformats.org/officeDocument/2006/relationships/header" Target="header560.xml"/><Relationship Id="rId563" Type="http://schemas.openxmlformats.org/officeDocument/2006/relationships/header" Target="header559.xml"/><Relationship Id="rId562" Type="http://schemas.openxmlformats.org/officeDocument/2006/relationships/header" Target="header558.xml"/><Relationship Id="rId561" Type="http://schemas.openxmlformats.org/officeDocument/2006/relationships/header" Target="header557.xml"/><Relationship Id="rId560" Type="http://schemas.openxmlformats.org/officeDocument/2006/relationships/header" Target="header556.xml"/><Relationship Id="rId56" Type="http://schemas.openxmlformats.org/officeDocument/2006/relationships/header" Target="header52.xml"/><Relationship Id="rId559" Type="http://schemas.openxmlformats.org/officeDocument/2006/relationships/header" Target="header555.xml"/><Relationship Id="rId558" Type="http://schemas.openxmlformats.org/officeDocument/2006/relationships/header" Target="header554.xml"/><Relationship Id="rId557" Type="http://schemas.openxmlformats.org/officeDocument/2006/relationships/header" Target="header553.xml"/><Relationship Id="rId556" Type="http://schemas.openxmlformats.org/officeDocument/2006/relationships/header" Target="header552.xml"/><Relationship Id="rId555" Type="http://schemas.openxmlformats.org/officeDocument/2006/relationships/header" Target="header551.xml"/><Relationship Id="rId554" Type="http://schemas.openxmlformats.org/officeDocument/2006/relationships/header" Target="header550.xml"/><Relationship Id="rId553" Type="http://schemas.openxmlformats.org/officeDocument/2006/relationships/header" Target="header549.xml"/><Relationship Id="rId552" Type="http://schemas.openxmlformats.org/officeDocument/2006/relationships/header" Target="header548.xml"/><Relationship Id="rId551" Type="http://schemas.openxmlformats.org/officeDocument/2006/relationships/header" Target="header547.xml"/><Relationship Id="rId550" Type="http://schemas.openxmlformats.org/officeDocument/2006/relationships/header" Target="header546.xml"/><Relationship Id="rId55" Type="http://schemas.openxmlformats.org/officeDocument/2006/relationships/header" Target="header51.xml"/><Relationship Id="rId549" Type="http://schemas.openxmlformats.org/officeDocument/2006/relationships/header" Target="header545.xml"/><Relationship Id="rId548" Type="http://schemas.openxmlformats.org/officeDocument/2006/relationships/header" Target="header544.xml"/><Relationship Id="rId547" Type="http://schemas.openxmlformats.org/officeDocument/2006/relationships/header" Target="header543.xml"/><Relationship Id="rId546" Type="http://schemas.openxmlformats.org/officeDocument/2006/relationships/header" Target="header542.xml"/><Relationship Id="rId545" Type="http://schemas.openxmlformats.org/officeDocument/2006/relationships/header" Target="header541.xml"/><Relationship Id="rId544" Type="http://schemas.openxmlformats.org/officeDocument/2006/relationships/header" Target="header540.xml"/><Relationship Id="rId543" Type="http://schemas.openxmlformats.org/officeDocument/2006/relationships/header" Target="header539.xml"/><Relationship Id="rId542" Type="http://schemas.openxmlformats.org/officeDocument/2006/relationships/header" Target="header538.xml"/><Relationship Id="rId541" Type="http://schemas.openxmlformats.org/officeDocument/2006/relationships/header" Target="header537.xml"/><Relationship Id="rId540" Type="http://schemas.openxmlformats.org/officeDocument/2006/relationships/header" Target="header536.xml"/><Relationship Id="rId54" Type="http://schemas.openxmlformats.org/officeDocument/2006/relationships/header" Target="header50.xml"/><Relationship Id="rId539" Type="http://schemas.openxmlformats.org/officeDocument/2006/relationships/header" Target="header535.xml"/><Relationship Id="rId538" Type="http://schemas.openxmlformats.org/officeDocument/2006/relationships/header" Target="header534.xml"/><Relationship Id="rId537" Type="http://schemas.openxmlformats.org/officeDocument/2006/relationships/header" Target="header533.xml"/><Relationship Id="rId536" Type="http://schemas.openxmlformats.org/officeDocument/2006/relationships/header" Target="header532.xml"/><Relationship Id="rId535" Type="http://schemas.openxmlformats.org/officeDocument/2006/relationships/header" Target="header531.xml"/><Relationship Id="rId534" Type="http://schemas.openxmlformats.org/officeDocument/2006/relationships/header" Target="header530.xml"/><Relationship Id="rId533" Type="http://schemas.openxmlformats.org/officeDocument/2006/relationships/header" Target="header529.xml"/><Relationship Id="rId532" Type="http://schemas.openxmlformats.org/officeDocument/2006/relationships/header" Target="header528.xml"/><Relationship Id="rId531" Type="http://schemas.openxmlformats.org/officeDocument/2006/relationships/header" Target="header527.xml"/><Relationship Id="rId530" Type="http://schemas.openxmlformats.org/officeDocument/2006/relationships/header" Target="header526.xml"/><Relationship Id="rId53" Type="http://schemas.openxmlformats.org/officeDocument/2006/relationships/header" Target="header49.xml"/><Relationship Id="rId529" Type="http://schemas.openxmlformats.org/officeDocument/2006/relationships/header" Target="header525.xml"/><Relationship Id="rId528" Type="http://schemas.openxmlformats.org/officeDocument/2006/relationships/header" Target="header524.xml"/><Relationship Id="rId527" Type="http://schemas.openxmlformats.org/officeDocument/2006/relationships/header" Target="header523.xml"/><Relationship Id="rId526" Type="http://schemas.openxmlformats.org/officeDocument/2006/relationships/header" Target="header522.xml"/><Relationship Id="rId525" Type="http://schemas.openxmlformats.org/officeDocument/2006/relationships/header" Target="header521.xml"/><Relationship Id="rId524" Type="http://schemas.openxmlformats.org/officeDocument/2006/relationships/header" Target="header520.xml"/><Relationship Id="rId523" Type="http://schemas.openxmlformats.org/officeDocument/2006/relationships/header" Target="header519.xml"/><Relationship Id="rId522" Type="http://schemas.openxmlformats.org/officeDocument/2006/relationships/header" Target="header518.xml"/><Relationship Id="rId521" Type="http://schemas.openxmlformats.org/officeDocument/2006/relationships/header" Target="header517.xml"/><Relationship Id="rId520" Type="http://schemas.openxmlformats.org/officeDocument/2006/relationships/header" Target="header516.xml"/><Relationship Id="rId52" Type="http://schemas.openxmlformats.org/officeDocument/2006/relationships/header" Target="header48.xml"/><Relationship Id="rId519" Type="http://schemas.openxmlformats.org/officeDocument/2006/relationships/header" Target="header515.xml"/><Relationship Id="rId518" Type="http://schemas.openxmlformats.org/officeDocument/2006/relationships/header" Target="header514.xml"/><Relationship Id="rId517" Type="http://schemas.openxmlformats.org/officeDocument/2006/relationships/header" Target="header513.xml"/><Relationship Id="rId516" Type="http://schemas.openxmlformats.org/officeDocument/2006/relationships/header" Target="header512.xml"/><Relationship Id="rId515" Type="http://schemas.openxmlformats.org/officeDocument/2006/relationships/header" Target="header511.xml"/><Relationship Id="rId514" Type="http://schemas.openxmlformats.org/officeDocument/2006/relationships/header" Target="header510.xml"/><Relationship Id="rId513" Type="http://schemas.openxmlformats.org/officeDocument/2006/relationships/header" Target="header509.xml"/><Relationship Id="rId512" Type="http://schemas.openxmlformats.org/officeDocument/2006/relationships/header" Target="header508.xml"/><Relationship Id="rId511" Type="http://schemas.openxmlformats.org/officeDocument/2006/relationships/header" Target="header507.xml"/><Relationship Id="rId510" Type="http://schemas.openxmlformats.org/officeDocument/2006/relationships/header" Target="header506.xml"/><Relationship Id="rId51" Type="http://schemas.openxmlformats.org/officeDocument/2006/relationships/header" Target="header47.xml"/><Relationship Id="rId509" Type="http://schemas.openxmlformats.org/officeDocument/2006/relationships/header" Target="header505.xml"/><Relationship Id="rId508" Type="http://schemas.openxmlformats.org/officeDocument/2006/relationships/header" Target="header504.xml"/><Relationship Id="rId507" Type="http://schemas.openxmlformats.org/officeDocument/2006/relationships/header" Target="header503.xml"/><Relationship Id="rId506" Type="http://schemas.openxmlformats.org/officeDocument/2006/relationships/header" Target="header502.xml"/><Relationship Id="rId505" Type="http://schemas.openxmlformats.org/officeDocument/2006/relationships/header" Target="header501.xml"/><Relationship Id="rId504" Type="http://schemas.openxmlformats.org/officeDocument/2006/relationships/header" Target="header500.xml"/><Relationship Id="rId503" Type="http://schemas.openxmlformats.org/officeDocument/2006/relationships/header" Target="header499.xml"/><Relationship Id="rId502" Type="http://schemas.openxmlformats.org/officeDocument/2006/relationships/header" Target="header498.xml"/><Relationship Id="rId501" Type="http://schemas.openxmlformats.org/officeDocument/2006/relationships/header" Target="header497.xml"/><Relationship Id="rId500" Type="http://schemas.openxmlformats.org/officeDocument/2006/relationships/header" Target="header496.xml"/><Relationship Id="rId50" Type="http://schemas.openxmlformats.org/officeDocument/2006/relationships/header" Target="header46.xml"/><Relationship Id="rId5" Type="http://schemas.openxmlformats.org/officeDocument/2006/relationships/header" Target="header1.xml"/><Relationship Id="rId499" Type="http://schemas.openxmlformats.org/officeDocument/2006/relationships/header" Target="header495.xml"/><Relationship Id="rId498" Type="http://schemas.openxmlformats.org/officeDocument/2006/relationships/header" Target="header494.xml"/><Relationship Id="rId497" Type="http://schemas.openxmlformats.org/officeDocument/2006/relationships/header" Target="header493.xml"/><Relationship Id="rId496" Type="http://schemas.openxmlformats.org/officeDocument/2006/relationships/header" Target="header492.xml"/><Relationship Id="rId495" Type="http://schemas.openxmlformats.org/officeDocument/2006/relationships/header" Target="header491.xml"/><Relationship Id="rId494" Type="http://schemas.openxmlformats.org/officeDocument/2006/relationships/header" Target="header490.xml"/><Relationship Id="rId493" Type="http://schemas.openxmlformats.org/officeDocument/2006/relationships/header" Target="header489.xml"/><Relationship Id="rId492" Type="http://schemas.openxmlformats.org/officeDocument/2006/relationships/header" Target="header488.xml"/><Relationship Id="rId491" Type="http://schemas.openxmlformats.org/officeDocument/2006/relationships/header" Target="header487.xml"/><Relationship Id="rId490" Type="http://schemas.openxmlformats.org/officeDocument/2006/relationships/header" Target="header486.xml"/><Relationship Id="rId49" Type="http://schemas.openxmlformats.org/officeDocument/2006/relationships/header" Target="header45.xml"/><Relationship Id="rId489" Type="http://schemas.openxmlformats.org/officeDocument/2006/relationships/header" Target="header485.xml"/><Relationship Id="rId488" Type="http://schemas.openxmlformats.org/officeDocument/2006/relationships/header" Target="header484.xml"/><Relationship Id="rId487" Type="http://schemas.openxmlformats.org/officeDocument/2006/relationships/header" Target="header483.xml"/><Relationship Id="rId486" Type="http://schemas.openxmlformats.org/officeDocument/2006/relationships/header" Target="header482.xml"/><Relationship Id="rId485" Type="http://schemas.openxmlformats.org/officeDocument/2006/relationships/header" Target="header481.xml"/><Relationship Id="rId484" Type="http://schemas.openxmlformats.org/officeDocument/2006/relationships/header" Target="header480.xml"/><Relationship Id="rId483" Type="http://schemas.openxmlformats.org/officeDocument/2006/relationships/header" Target="header479.xml"/><Relationship Id="rId482" Type="http://schemas.openxmlformats.org/officeDocument/2006/relationships/header" Target="header478.xml"/><Relationship Id="rId481" Type="http://schemas.openxmlformats.org/officeDocument/2006/relationships/header" Target="header477.xml"/><Relationship Id="rId480" Type="http://schemas.openxmlformats.org/officeDocument/2006/relationships/header" Target="header476.xml"/><Relationship Id="rId48" Type="http://schemas.openxmlformats.org/officeDocument/2006/relationships/header" Target="header44.xml"/><Relationship Id="rId479" Type="http://schemas.openxmlformats.org/officeDocument/2006/relationships/header" Target="header475.xml"/><Relationship Id="rId478" Type="http://schemas.openxmlformats.org/officeDocument/2006/relationships/header" Target="header474.xml"/><Relationship Id="rId477" Type="http://schemas.openxmlformats.org/officeDocument/2006/relationships/header" Target="header473.xml"/><Relationship Id="rId476" Type="http://schemas.openxmlformats.org/officeDocument/2006/relationships/header" Target="header472.xml"/><Relationship Id="rId475" Type="http://schemas.openxmlformats.org/officeDocument/2006/relationships/header" Target="header471.xml"/><Relationship Id="rId474" Type="http://schemas.openxmlformats.org/officeDocument/2006/relationships/header" Target="header470.xml"/><Relationship Id="rId473" Type="http://schemas.openxmlformats.org/officeDocument/2006/relationships/header" Target="header469.xml"/><Relationship Id="rId472" Type="http://schemas.openxmlformats.org/officeDocument/2006/relationships/header" Target="header468.xml"/><Relationship Id="rId471" Type="http://schemas.openxmlformats.org/officeDocument/2006/relationships/header" Target="header467.xml"/><Relationship Id="rId470" Type="http://schemas.openxmlformats.org/officeDocument/2006/relationships/header" Target="header466.xml"/><Relationship Id="rId47" Type="http://schemas.openxmlformats.org/officeDocument/2006/relationships/header" Target="header43.xml"/><Relationship Id="rId469" Type="http://schemas.openxmlformats.org/officeDocument/2006/relationships/header" Target="header465.xml"/><Relationship Id="rId468" Type="http://schemas.openxmlformats.org/officeDocument/2006/relationships/header" Target="header464.xml"/><Relationship Id="rId467" Type="http://schemas.openxmlformats.org/officeDocument/2006/relationships/header" Target="header463.xml"/><Relationship Id="rId466" Type="http://schemas.openxmlformats.org/officeDocument/2006/relationships/header" Target="header462.xml"/><Relationship Id="rId465" Type="http://schemas.openxmlformats.org/officeDocument/2006/relationships/header" Target="header461.xml"/><Relationship Id="rId464" Type="http://schemas.openxmlformats.org/officeDocument/2006/relationships/header" Target="header460.xml"/><Relationship Id="rId463" Type="http://schemas.openxmlformats.org/officeDocument/2006/relationships/header" Target="header459.xml"/><Relationship Id="rId462" Type="http://schemas.openxmlformats.org/officeDocument/2006/relationships/header" Target="header458.xml"/><Relationship Id="rId461" Type="http://schemas.openxmlformats.org/officeDocument/2006/relationships/header" Target="header457.xml"/><Relationship Id="rId460" Type="http://schemas.openxmlformats.org/officeDocument/2006/relationships/header" Target="header456.xml"/><Relationship Id="rId46" Type="http://schemas.openxmlformats.org/officeDocument/2006/relationships/header" Target="header42.xml"/><Relationship Id="rId459" Type="http://schemas.openxmlformats.org/officeDocument/2006/relationships/header" Target="header455.xml"/><Relationship Id="rId458" Type="http://schemas.openxmlformats.org/officeDocument/2006/relationships/header" Target="header454.xml"/><Relationship Id="rId457" Type="http://schemas.openxmlformats.org/officeDocument/2006/relationships/header" Target="header453.xml"/><Relationship Id="rId456" Type="http://schemas.openxmlformats.org/officeDocument/2006/relationships/header" Target="header452.xml"/><Relationship Id="rId455" Type="http://schemas.openxmlformats.org/officeDocument/2006/relationships/header" Target="header451.xml"/><Relationship Id="rId454" Type="http://schemas.openxmlformats.org/officeDocument/2006/relationships/header" Target="header450.xml"/><Relationship Id="rId453" Type="http://schemas.openxmlformats.org/officeDocument/2006/relationships/header" Target="header449.xml"/><Relationship Id="rId452" Type="http://schemas.openxmlformats.org/officeDocument/2006/relationships/header" Target="header448.xml"/><Relationship Id="rId451" Type="http://schemas.openxmlformats.org/officeDocument/2006/relationships/header" Target="header447.xml"/><Relationship Id="rId450" Type="http://schemas.openxmlformats.org/officeDocument/2006/relationships/header" Target="header446.xml"/><Relationship Id="rId45" Type="http://schemas.openxmlformats.org/officeDocument/2006/relationships/header" Target="header41.xml"/><Relationship Id="rId449" Type="http://schemas.openxmlformats.org/officeDocument/2006/relationships/header" Target="header445.xml"/><Relationship Id="rId448" Type="http://schemas.openxmlformats.org/officeDocument/2006/relationships/header" Target="header444.xml"/><Relationship Id="rId447" Type="http://schemas.openxmlformats.org/officeDocument/2006/relationships/header" Target="header443.xml"/><Relationship Id="rId446" Type="http://schemas.openxmlformats.org/officeDocument/2006/relationships/header" Target="header442.xml"/><Relationship Id="rId445" Type="http://schemas.openxmlformats.org/officeDocument/2006/relationships/header" Target="header441.xml"/><Relationship Id="rId444" Type="http://schemas.openxmlformats.org/officeDocument/2006/relationships/header" Target="header440.xml"/><Relationship Id="rId443" Type="http://schemas.openxmlformats.org/officeDocument/2006/relationships/header" Target="header439.xml"/><Relationship Id="rId442" Type="http://schemas.openxmlformats.org/officeDocument/2006/relationships/header" Target="header438.xml"/><Relationship Id="rId441" Type="http://schemas.openxmlformats.org/officeDocument/2006/relationships/header" Target="header437.xml"/><Relationship Id="rId440" Type="http://schemas.openxmlformats.org/officeDocument/2006/relationships/header" Target="header436.xml"/><Relationship Id="rId44" Type="http://schemas.openxmlformats.org/officeDocument/2006/relationships/header" Target="header40.xml"/><Relationship Id="rId439" Type="http://schemas.openxmlformats.org/officeDocument/2006/relationships/header" Target="header435.xml"/><Relationship Id="rId438" Type="http://schemas.openxmlformats.org/officeDocument/2006/relationships/header" Target="header434.xml"/><Relationship Id="rId437" Type="http://schemas.openxmlformats.org/officeDocument/2006/relationships/header" Target="header433.xml"/><Relationship Id="rId436" Type="http://schemas.openxmlformats.org/officeDocument/2006/relationships/header" Target="header432.xml"/><Relationship Id="rId435" Type="http://schemas.openxmlformats.org/officeDocument/2006/relationships/header" Target="header431.xml"/><Relationship Id="rId434" Type="http://schemas.openxmlformats.org/officeDocument/2006/relationships/header" Target="header430.xml"/><Relationship Id="rId433" Type="http://schemas.openxmlformats.org/officeDocument/2006/relationships/header" Target="header429.xml"/><Relationship Id="rId432" Type="http://schemas.openxmlformats.org/officeDocument/2006/relationships/header" Target="header428.xml"/><Relationship Id="rId431" Type="http://schemas.openxmlformats.org/officeDocument/2006/relationships/header" Target="header427.xml"/><Relationship Id="rId430" Type="http://schemas.openxmlformats.org/officeDocument/2006/relationships/header" Target="header426.xml"/><Relationship Id="rId43" Type="http://schemas.openxmlformats.org/officeDocument/2006/relationships/header" Target="header39.xml"/><Relationship Id="rId429" Type="http://schemas.openxmlformats.org/officeDocument/2006/relationships/header" Target="header425.xml"/><Relationship Id="rId428" Type="http://schemas.openxmlformats.org/officeDocument/2006/relationships/header" Target="header424.xml"/><Relationship Id="rId427" Type="http://schemas.openxmlformats.org/officeDocument/2006/relationships/header" Target="header423.xml"/><Relationship Id="rId426" Type="http://schemas.openxmlformats.org/officeDocument/2006/relationships/header" Target="header422.xml"/><Relationship Id="rId425" Type="http://schemas.openxmlformats.org/officeDocument/2006/relationships/header" Target="header421.xml"/><Relationship Id="rId424" Type="http://schemas.openxmlformats.org/officeDocument/2006/relationships/header" Target="header420.xml"/><Relationship Id="rId423" Type="http://schemas.openxmlformats.org/officeDocument/2006/relationships/header" Target="header419.xml"/><Relationship Id="rId422" Type="http://schemas.openxmlformats.org/officeDocument/2006/relationships/header" Target="header418.xml"/><Relationship Id="rId421" Type="http://schemas.openxmlformats.org/officeDocument/2006/relationships/header" Target="header417.xml"/><Relationship Id="rId420" Type="http://schemas.openxmlformats.org/officeDocument/2006/relationships/header" Target="header416.xml"/><Relationship Id="rId42" Type="http://schemas.openxmlformats.org/officeDocument/2006/relationships/header" Target="header38.xml"/><Relationship Id="rId419" Type="http://schemas.openxmlformats.org/officeDocument/2006/relationships/header" Target="header415.xml"/><Relationship Id="rId418" Type="http://schemas.openxmlformats.org/officeDocument/2006/relationships/header" Target="header414.xml"/><Relationship Id="rId417" Type="http://schemas.openxmlformats.org/officeDocument/2006/relationships/header" Target="header413.xml"/><Relationship Id="rId416" Type="http://schemas.openxmlformats.org/officeDocument/2006/relationships/header" Target="header412.xml"/><Relationship Id="rId415" Type="http://schemas.openxmlformats.org/officeDocument/2006/relationships/header" Target="header411.xml"/><Relationship Id="rId414" Type="http://schemas.openxmlformats.org/officeDocument/2006/relationships/header" Target="header410.xml"/><Relationship Id="rId413" Type="http://schemas.openxmlformats.org/officeDocument/2006/relationships/header" Target="header409.xml"/><Relationship Id="rId412" Type="http://schemas.openxmlformats.org/officeDocument/2006/relationships/header" Target="header408.xml"/><Relationship Id="rId411" Type="http://schemas.openxmlformats.org/officeDocument/2006/relationships/header" Target="header407.xml"/><Relationship Id="rId410" Type="http://schemas.openxmlformats.org/officeDocument/2006/relationships/header" Target="header406.xml"/><Relationship Id="rId41" Type="http://schemas.openxmlformats.org/officeDocument/2006/relationships/header" Target="header37.xml"/><Relationship Id="rId409" Type="http://schemas.openxmlformats.org/officeDocument/2006/relationships/header" Target="header405.xml"/><Relationship Id="rId408" Type="http://schemas.openxmlformats.org/officeDocument/2006/relationships/header" Target="header404.xml"/><Relationship Id="rId407" Type="http://schemas.openxmlformats.org/officeDocument/2006/relationships/header" Target="header403.xml"/><Relationship Id="rId406" Type="http://schemas.openxmlformats.org/officeDocument/2006/relationships/header" Target="header402.xml"/><Relationship Id="rId405" Type="http://schemas.openxmlformats.org/officeDocument/2006/relationships/header" Target="header401.xml"/><Relationship Id="rId404" Type="http://schemas.openxmlformats.org/officeDocument/2006/relationships/header" Target="header400.xml"/><Relationship Id="rId403" Type="http://schemas.openxmlformats.org/officeDocument/2006/relationships/header" Target="header399.xml"/><Relationship Id="rId402" Type="http://schemas.openxmlformats.org/officeDocument/2006/relationships/header" Target="header398.xml"/><Relationship Id="rId401" Type="http://schemas.openxmlformats.org/officeDocument/2006/relationships/header" Target="header397.xml"/><Relationship Id="rId400" Type="http://schemas.openxmlformats.org/officeDocument/2006/relationships/header" Target="header396.xml"/><Relationship Id="rId40" Type="http://schemas.openxmlformats.org/officeDocument/2006/relationships/header" Target="header36.xml"/><Relationship Id="rId4" Type="http://schemas.openxmlformats.org/officeDocument/2006/relationships/endnotes" Target="endnotes.xml"/><Relationship Id="rId399" Type="http://schemas.openxmlformats.org/officeDocument/2006/relationships/header" Target="header395.xml"/><Relationship Id="rId398" Type="http://schemas.openxmlformats.org/officeDocument/2006/relationships/header" Target="header394.xml"/><Relationship Id="rId397" Type="http://schemas.openxmlformats.org/officeDocument/2006/relationships/header" Target="header393.xml"/><Relationship Id="rId396" Type="http://schemas.openxmlformats.org/officeDocument/2006/relationships/header" Target="header392.xml"/><Relationship Id="rId395" Type="http://schemas.openxmlformats.org/officeDocument/2006/relationships/header" Target="header391.xml"/><Relationship Id="rId394" Type="http://schemas.openxmlformats.org/officeDocument/2006/relationships/header" Target="header390.xml"/><Relationship Id="rId393" Type="http://schemas.openxmlformats.org/officeDocument/2006/relationships/header" Target="header389.xml"/><Relationship Id="rId392" Type="http://schemas.openxmlformats.org/officeDocument/2006/relationships/header" Target="header388.xml"/><Relationship Id="rId391" Type="http://schemas.openxmlformats.org/officeDocument/2006/relationships/header" Target="header387.xml"/><Relationship Id="rId390" Type="http://schemas.openxmlformats.org/officeDocument/2006/relationships/header" Target="header386.xml"/><Relationship Id="rId39" Type="http://schemas.openxmlformats.org/officeDocument/2006/relationships/header" Target="header35.xml"/><Relationship Id="rId389" Type="http://schemas.openxmlformats.org/officeDocument/2006/relationships/header" Target="header385.xml"/><Relationship Id="rId388" Type="http://schemas.openxmlformats.org/officeDocument/2006/relationships/header" Target="header384.xml"/><Relationship Id="rId387" Type="http://schemas.openxmlformats.org/officeDocument/2006/relationships/header" Target="header383.xml"/><Relationship Id="rId386" Type="http://schemas.openxmlformats.org/officeDocument/2006/relationships/header" Target="header382.xml"/><Relationship Id="rId385" Type="http://schemas.openxmlformats.org/officeDocument/2006/relationships/header" Target="header381.xml"/><Relationship Id="rId384" Type="http://schemas.openxmlformats.org/officeDocument/2006/relationships/header" Target="header380.xml"/><Relationship Id="rId383" Type="http://schemas.openxmlformats.org/officeDocument/2006/relationships/header" Target="header379.xml"/><Relationship Id="rId382" Type="http://schemas.openxmlformats.org/officeDocument/2006/relationships/header" Target="header378.xml"/><Relationship Id="rId381" Type="http://schemas.openxmlformats.org/officeDocument/2006/relationships/header" Target="header377.xml"/><Relationship Id="rId380" Type="http://schemas.openxmlformats.org/officeDocument/2006/relationships/header" Target="header376.xml"/><Relationship Id="rId38" Type="http://schemas.openxmlformats.org/officeDocument/2006/relationships/header" Target="header34.xml"/><Relationship Id="rId379" Type="http://schemas.openxmlformats.org/officeDocument/2006/relationships/header" Target="header375.xml"/><Relationship Id="rId378" Type="http://schemas.openxmlformats.org/officeDocument/2006/relationships/header" Target="header374.xml"/><Relationship Id="rId377" Type="http://schemas.openxmlformats.org/officeDocument/2006/relationships/header" Target="header373.xml"/><Relationship Id="rId376" Type="http://schemas.openxmlformats.org/officeDocument/2006/relationships/header" Target="header372.xml"/><Relationship Id="rId375" Type="http://schemas.openxmlformats.org/officeDocument/2006/relationships/header" Target="header371.xml"/><Relationship Id="rId374" Type="http://schemas.openxmlformats.org/officeDocument/2006/relationships/header" Target="header370.xml"/><Relationship Id="rId373" Type="http://schemas.openxmlformats.org/officeDocument/2006/relationships/header" Target="header369.xml"/><Relationship Id="rId372" Type="http://schemas.openxmlformats.org/officeDocument/2006/relationships/header" Target="header368.xml"/><Relationship Id="rId371" Type="http://schemas.openxmlformats.org/officeDocument/2006/relationships/header" Target="header367.xml"/><Relationship Id="rId370" Type="http://schemas.openxmlformats.org/officeDocument/2006/relationships/header" Target="header366.xml"/><Relationship Id="rId37" Type="http://schemas.openxmlformats.org/officeDocument/2006/relationships/header" Target="header33.xml"/><Relationship Id="rId369" Type="http://schemas.openxmlformats.org/officeDocument/2006/relationships/header" Target="header365.xml"/><Relationship Id="rId368" Type="http://schemas.openxmlformats.org/officeDocument/2006/relationships/header" Target="header364.xml"/><Relationship Id="rId367" Type="http://schemas.openxmlformats.org/officeDocument/2006/relationships/header" Target="header363.xml"/><Relationship Id="rId366" Type="http://schemas.openxmlformats.org/officeDocument/2006/relationships/header" Target="header362.xml"/><Relationship Id="rId365" Type="http://schemas.openxmlformats.org/officeDocument/2006/relationships/header" Target="header361.xml"/><Relationship Id="rId364" Type="http://schemas.openxmlformats.org/officeDocument/2006/relationships/header" Target="header360.xml"/><Relationship Id="rId363" Type="http://schemas.openxmlformats.org/officeDocument/2006/relationships/header" Target="header359.xml"/><Relationship Id="rId362" Type="http://schemas.openxmlformats.org/officeDocument/2006/relationships/header" Target="header358.xml"/><Relationship Id="rId361" Type="http://schemas.openxmlformats.org/officeDocument/2006/relationships/header" Target="header357.xml"/><Relationship Id="rId360" Type="http://schemas.openxmlformats.org/officeDocument/2006/relationships/header" Target="header356.xml"/><Relationship Id="rId36" Type="http://schemas.openxmlformats.org/officeDocument/2006/relationships/header" Target="header32.xml"/><Relationship Id="rId359" Type="http://schemas.openxmlformats.org/officeDocument/2006/relationships/header" Target="header355.xml"/><Relationship Id="rId358" Type="http://schemas.openxmlformats.org/officeDocument/2006/relationships/header" Target="header354.xml"/><Relationship Id="rId357" Type="http://schemas.openxmlformats.org/officeDocument/2006/relationships/header" Target="header353.xml"/><Relationship Id="rId356" Type="http://schemas.openxmlformats.org/officeDocument/2006/relationships/header" Target="header352.xml"/><Relationship Id="rId355" Type="http://schemas.openxmlformats.org/officeDocument/2006/relationships/header" Target="header351.xml"/><Relationship Id="rId354" Type="http://schemas.openxmlformats.org/officeDocument/2006/relationships/header" Target="header350.xml"/><Relationship Id="rId353" Type="http://schemas.openxmlformats.org/officeDocument/2006/relationships/header" Target="header349.xml"/><Relationship Id="rId352" Type="http://schemas.openxmlformats.org/officeDocument/2006/relationships/header" Target="header348.xml"/><Relationship Id="rId351" Type="http://schemas.openxmlformats.org/officeDocument/2006/relationships/header" Target="header347.xml"/><Relationship Id="rId350" Type="http://schemas.openxmlformats.org/officeDocument/2006/relationships/header" Target="header346.xml"/><Relationship Id="rId35" Type="http://schemas.openxmlformats.org/officeDocument/2006/relationships/header" Target="header31.xml"/><Relationship Id="rId349" Type="http://schemas.openxmlformats.org/officeDocument/2006/relationships/header" Target="header345.xml"/><Relationship Id="rId348" Type="http://schemas.openxmlformats.org/officeDocument/2006/relationships/header" Target="header344.xml"/><Relationship Id="rId347" Type="http://schemas.openxmlformats.org/officeDocument/2006/relationships/header" Target="header343.xml"/><Relationship Id="rId346" Type="http://schemas.openxmlformats.org/officeDocument/2006/relationships/header" Target="header342.xml"/><Relationship Id="rId345" Type="http://schemas.openxmlformats.org/officeDocument/2006/relationships/header" Target="header341.xml"/><Relationship Id="rId344" Type="http://schemas.openxmlformats.org/officeDocument/2006/relationships/header" Target="header340.xml"/><Relationship Id="rId343" Type="http://schemas.openxmlformats.org/officeDocument/2006/relationships/header" Target="header339.xml"/><Relationship Id="rId342" Type="http://schemas.openxmlformats.org/officeDocument/2006/relationships/header" Target="header338.xml"/><Relationship Id="rId341" Type="http://schemas.openxmlformats.org/officeDocument/2006/relationships/header" Target="header337.xml"/><Relationship Id="rId340" Type="http://schemas.openxmlformats.org/officeDocument/2006/relationships/header" Target="header336.xml"/><Relationship Id="rId34" Type="http://schemas.openxmlformats.org/officeDocument/2006/relationships/header" Target="header30.xml"/><Relationship Id="rId339" Type="http://schemas.openxmlformats.org/officeDocument/2006/relationships/header" Target="header335.xml"/><Relationship Id="rId338" Type="http://schemas.openxmlformats.org/officeDocument/2006/relationships/header" Target="header334.xml"/><Relationship Id="rId337" Type="http://schemas.openxmlformats.org/officeDocument/2006/relationships/header" Target="header333.xml"/><Relationship Id="rId336" Type="http://schemas.openxmlformats.org/officeDocument/2006/relationships/header" Target="header332.xml"/><Relationship Id="rId335" Type="http://schemas.openxmlformats.org/officeDocument/2006/relationships/header" Target="header331.xml"/><Relationship Id="rId334" Type="http://schemas.openxmlformats.org/officeDocument/2006/relationships/header" Target="header330.xml"/><Relationship Id="rId333" Type="http://schemas.openxmlformats.org/officeDocument/2006/relationships/header" Target="header329.xml"/><Relationship Id="rId332" Type="http://schemas.openxmlformats.org/officeDocument/2006/relationships/header" Target="header328.xml"/><Relationship Id="rId331" Type="http://schemas.openxmlformats.org/officeDocument/2006/relationships/header" Target="header327.xml"/><Relationship Id="rId330" Type="http://schemas.openxmlformats.org/officeDocument/2006/relationships/header" Target="header326.xml"/><Relationship Id="rId33" Type="http://schemas.openxmlformats.org/officeDocument/2006/relationships/header" Target="header29.xml"/><Relationship Id="rId329" Type="http://schemas.openxmlformats.org/officeDocument/2006/relationships/header" Target="header325.xml"/><Relationship Id="rId328" Type="http://schemas.openxmlformats.org/officeDocument/2006/relationships/header" Target="header324.xml"/><Relationship Id="rId327" Type="http://schemas.openxmlformats.org/officeDocument/2006/relationships/header" Target="header323.xml"/><Relationship Id="rId326" Type="http://schemas.openxmlformats.org/officeDocument/2006/relationships/header" Target="header322.xml"/><Relationship Id="rId325" Type="http://schemas.openxmlformats.org/officeDocument/2006/relationships/header" Target="header321.xml"/><Relationship Id="rId324" Type="http://schemas.openxmlformats.org/officeDocument/2006/relationships/header" Target="header320.xml"/><Relationship Id="rId323" Type="http://schemas.openxmlformats.org/officeDocument/2006/relationships/header" Target="header319.xml"/><Relationship Id="rId322" Type="http://schemas.openxmlformats.org/officeDocument/2006/relationships/header" Target="header318.xml"/><Relationship Id="rId321" Type="http://schemas.openxmlformats.org/officeDocument/2006/relationships/header" Target="header317.xml"/><Relationship Id="rId320" Type="http://schemas.openxmlformats.org/officeDocument/2006/relationships/header" Target="header316.xml"/><Relationship Id="rId32" Type="http://schemas.openxmlformats.org/officeDocument/2006/relationships/header" Target="header28.xml"/><Relationship Id="rId319" Type="http://schemas.openxmlformats.org/officeDocument/2006/relationships/header" Target="header315.xml"/><Relationship Id="rId318" Type="http://schemas.openxmlformats.org/officeDocument/2006/relationships/header" Target="header314.xml"/><Relationship Id="rId317" Type="http://schemas.openxmlformats.org/officeDocument/2006/relationships/header" Target="header313.xml"/><Relationship Id="rId316" Type="http://schemas.openxmlformats.org/officeDocument/2006/relationships/header" Target="header312.xml"/><Relationship Id="rId315" Type="http://schemas.openxmlformats.org/officeDocument/2006/relationships/header" Target="header311.xml"/><Relationship Id="rId314" Type="http://schemas.openxmlformats.org/officeDocument/2006/relationships/header" Target="header310.xml"/><Relationship Id="rId313" Type="http://schemas.openxmlformats.org/officeDocument/2006/relationships/header" Target="header309.xml"/><Relationship Id="rId312" Type="http://schemas.openxmlformats.org/officeDocument/2006/relationships/header" Target="header308.xml"/><Relationship Id="rId311" Type="http://schemas.openxmlformats.org/officeDocument/2006/relationships/header" Target="header307.xml"/><Relationship Id="rId310" Type="http://schemas.openxmlformats.org/officeDocument/2006/relationships/header" Target="header306.xml"/><Relationship Id="rId31" Type="http://schemas.openxmlformats.org/officeDocument/2006/relationships/header" Target="header27.xml"/><Relationship Id="rId309" Type="http://schemas.openxmlformats.org/officeDocument/2006/relationships/header" Target="header305.xml"/><Relationship Id="rId308" Type="http://schemas.openxmlformats.org/officeDocument/2006/relationships/header" Target="header304.xml"/><Relationship Id="rId307" Type="http://schemas.openxmlformats.org/officeDocument/2006/relationships/header" Target="header303.xml"/><Relationship Id="rId306" Type="http://schemas.openxmlformats.org/officeDocument/2006/relationships/header" Target="header302.xml"/><Relationship Id="rId305" Type="http://schemas.openxmlformats.org/officeDocument/2006/relationships/header" Target="header301.xml"/><Relationship Id="rId304" Type="http://schemas.openxmlformats.org/officeDocument/2006/relationships/header" Target="header300.xml"/><Relationship Id="rId303" Type="http://schemas.openxmlformats.org/officeDocument/2006/relationships/header" Target="header299.xml"/><Relationship Id="rId302" Type="http://schemas.openxmlformats.org/officeDocument/2006/relationships/header" Target="header298.xml"/><Relationship Id="rId301" Type="http://schemas.openxmlformats.org/officeDocument/2006/relationships/header" Target="header297.xml"/><Relationship Id="rId300" Type="http://schemas.openxmlformats.org/officeDocument/2006/relationships/header" Target="header296.xml"/><Relationship Id="rId30" Type="http://schemas.openxmlformats.org/officeDocument/2006/relationships/header" Target="header26.xml"/><Relationship Id="rId3" Type="http://schemas.openxmlformats.org/officeDocument/2006/relationships/footnotes" Target="footnotes.xml"/><Relationship Id="rId299" Type="http://schemas.openxmlformats.org/officeDocument/2006/relationships/header" Target="header295.xml"/><Relationship Id="rId298" Type="http://schemas.openxmlformats.org/officeDocument/2006/relationships/header" Target="header294.xml"/><Relationship Id="rId297" Type="http://schemas.openxmlformats.org/officeDocument/2006/relationships/header" Target="header293.xml"/><Relationship Id="rId296" Type="http://schemas.openxmlformats.org/officeDocument/2006/relationships/header" Target="header292.xml"/><Relationship Id="rId295" Type="http://schemas.openxmlformats.org/officeDocument/2006/relationships/header" Target="header291.xml"/><Relationship Id="rId294" Type="http://schemas.openxmlformats.org/officeDocument/2006/relationships/header" Target="header290.xml"/><Relationship Id="rId293" Type="http://schemas.openxmlformats.org/officeDocument/2006/relationships/header" Target="header289.xml"/><Relationship Id="rId292" Type="http://schemas.openxmlformats.org/officeDocument/2006/relationships/header" Target="header288.xml"/><Relationship Id="rId291" Type="http://schemas.openxmlformats.org/officeDocument/2006/relationships/header" Target="header287.xml"/><Relationship Id="rId290" Type="http://schemas.openxmlformats.org/officeDocument/2006/relationships/header" Target="header286.xml"/><Relationship Id="rId29" Type="http://schemas.openxmlformats.org/officeDocument/2006/relationships/header" Target="header25.xml"/><Relationship Id="rId289" Type="http://schemas.openxmlformats.org/officeDocument/2006/relationships/header" Target="header285.xml"/><Relationship Id="rId288" Type="http://schemas.openxmlformats.org/officeDocument/2006/relationships/header" Target="header284.xml"/><Relationship Id="rId287" Type="http://schemas.openxmlformats.org/officeDocument/2006/relationships/header" Target="header283.xml"/><Relationship Id="rId286" Type="http://schemas.openxmlformats.org/officeDocument/2006/relationships/header" Target="header282.xml"/><Relationship Id="rId285" Type="http://schemas.openxmlformats.org/officeDocument/2006/relationships/header" Target="header281.xml"/><Relationship Id="rId284" Type="http://schemas.openxmlformats.org/officeDocument/2006/relationships/header" Target="header280.xml"/><Relationship Id="rId283" Type="http://schemas.openxmlformats.org/officeDocument/2006/relationships/header" Target="header279.xml"/><Relationship Id="rId282" Type="http://schemas.openxmlformats.org/officeDocument/2006/relationships/header" Target="header278.xml"/><Relationship Id="rId281" Type="http://schemas.openxmlformats.org/officeDocument/2006/relationships/header" Target="header277.xml"/><Relationship Id="rId280" Type="http://schemas.openxmlformats.org/officeDocument/2006/relationships/header" Target="header276.xml"/><Relationship Id="rId28" Type="http://schemas.openxmlformats.org/officeDocument/2006/relationships/header" Target="header24.xml"/><Relationship Id="rId279" Type="http://schemas.openxmlformats.org/officeDocument/2006/relationships/header" Target="header275.xml"/><Relationship Id="rId278" Type="http://schemas.openxmlformats.org/officeDocument/2006/relationships/header" Target="header274.xml"/><Relationship Id="rId277" Type="http://schemas.openxmlformats.org/officeDocument/2006/relationships/header" Target="header273.xml"/><Relationship Id="rId276" Type="http://schemas.openxmlformats.org/officeDocument/2006/relationships/header" Target="header272.xml"/><Relationship Id="rId275" Type="http://schemas.openxmlformats.org/officeDocument/2006/relationships/header" Target="header271.xml"/><Relationship Id="rId274" Type="http://schemas.openxmlformats.org/officeDocument/2006/relationships/header" Target="header270.xml"/><Relationship Id="rId273" Type="http://schemas.openxmlformats.org/officeDocument/2006/relationships/header" Target="header269.xml"/><Relationship Id="rId272" Type="http://schemas.openxmlformats.org/officeDocument/2006/relationships/header" Target="header268.xml"/><Relationship Id="rId271" Type="http://schemas.openxmlformats.org/officeDocument/2006/relationships/header" Target="header267.xml"/><Relationship Id="rId270" Type="http://schemas.openxmlformats.org/officeDocument/2006/relationships/header" Target="header266.xml"/><Relationship Id="rId27" Type="http://schemas.openxmlformats.org/officeDocument/2006/relationships/header" Target="header23.xml"/><Relationship Id="rId269" Type="http://schemas.openxmlformats.org/officeDocument/2006/relationships/header" Target="header265.xml"/><Relationship Id="rId268" Type="http://schemas.openxmlformats.org/officeDocument/2006/relationships/header" Target="header264.xml"/><Relationship Id="rId267" Type="http://schemas.openxmlformats.org/officeDocument/2006/relationships/header" Target="header263.xml"/><Relationship Id="rId266" Type="http://schemas.openxmlformats.org/officeDocument/2006/relationships/header" Target="header262.xml"/><Relationship Id="rId265" Type="http://schemas.openxmlformats.org/officeDocument/2006/relationships/header" Target="header261.xml"/><Relationship Id="rId264" Type="http://schemas.openxmlformats.org/officeDocument/2006/relationships/header" Target="header260.xml"/><Relationship Id="rId263" Type="http://schemas.openxmlformats.org/officeDocument/2006/relationships/header" Target="header259.xml"/><Relationship Id="rId262" Type="http://schemas.openxmlformats.org/officeDocument/2006/relationships/header" Target="header258.xml"/><Relationship Id="rId261" Type="http://schemas.openxmlformats.org/officeDocument/2006/relationships/header" Target="header257.xml"/><Relationship Id="rId260" Type="http://schemas.openxmlformats.org/officeDocument/2006/relationships/header" Target="header256.xml"/><Relationship Id="rId26" Type="http://schemas.openxmlformats.org/officeDocument/2006/relationships/header" Target="header22.xml"/><Relationship Id="rId259" Type="http://schemas.openxmlformats.org/officeDocument/2006/relationships/header" Target="header255.xml"/><Relationship Id="rId258" Type="http://schemas.openxmlformats.org/officeDocument/2006/relationships/header" Target="header254.xml"/><Relationship Id="rId257" Type="http://schemas.openxmlformats.org/officeDocument/2006/relationships/header" Target="header253.xml"/><Relationship Id="rId256" Type="http://schemas.openxmlformats.org/officeDocument/2006/relationships/header" Target="header252.xml"/><Relationship Id="rId255" Type="http://schemas.openxmlformats.org/officeDocument/2006/relationships/header" Target="header251.xml"/><Relationship Id="rId254" Type="http://schemas.openxmlformats.org/officeDocument/2006/relationships/header" Target="header250.xml"/><Relationship Id="rId253" Type="http://schemas.openxmlformats.org/officeDocument/2006/relationships/header" Target="header249.xml"/><Relationship Id="rId252" Type="http://schemas.openxmlformats.org/officeDocument/2006/relationships/header" Target="header248.xml"/><Relationship Id="rId251" Type="http://schemas.openxmlformats.org/officeDocument/2006/relationships/header" Target="header247.xml"/><Relationship Id="rId250" Type="http://schemas.openxmlformats.org/officeDocument/2006/relationships/header" Target="header246.xml"/><Relationship Id="rId25" Type="http://schemas.openxmlformats.org/officeDocument/2006/relationships/header" Target="header21.xml"/><Relationship Id="rId249" Type="http://schemas.openxmlformats.org/officeDocument/2006/relationships/header" Target="header245.xml"/><Relationship Id="rId248" Type="http://schemas.openxmlformats.org/officeDocument/2006/relationships/header" Target="header244.xml"/><Relationship Id="rId247" Type="http://schemas.openxmlformats.org/officeDocument/2006/relationships/header" Target="header243.xml"/><Relationship Id="rId246" Type="http://schemas.openxmlformats.org/officeDocument/2006/relationships/header" Target="header242.xml"/><Relationship Id="rId245" Type="http://schemas.openxmlformats.org/officeDocument/2006/relationships/header" Target="header241.xml"/><Relationship Id="rId244" Type="http://schemas.openxmlformats.org/officeDocument/2006/relationships/header" Target="header240.xml"/><Relationship Id="rId243" Type="http://schemas.openxmlformats.org/officeDocument/2006/relationships/header" Target="header239.xml"/><Relationship Id="rId242" Type="http://schemas.openxmlformats.org/officeDocument/2006/relationships/header" Target="header238.xml"/><Relationship Id="rId241" Type="http://schemas.openxmlformats.org/officeDocument/2006/relationships/header" Target="header237.xml"/><Relationship Id="rId240" Type="http://schemas.openxmlformats.org/officeDocument/2006/relationships/header" Target="header236.xml"/><Relationship Id="rId24" Type="http://schemas.openxmlformats.org/officeDocument/2006/relationships/header" Target="header20.xml"/><Relationship Id="rId239" Type="http://schemas.openxmlformats.org/officeDocument/2006/relationships/header" Target="header235.xml"/><Relationship Id="rId238" Type="http://schemas.openxmlformats.org/officeDocument/2006/relationships/header" Target="header234.xml"/><Relationship Id="rId237" Type="http://schemas.openxmlformats.org/officeDocument/2006/relationships/header" Target="header233.xml"/><Relationship Id="rId236" Type="http://schemas.openxmlformats.org/officeDocument/2006/relationships/header" Target="header232.xml"/><Relationship Id="rId235" Type="http://schemas.openxmlformats.org/officeDocument/2006/relationships/header" Target="header231.xml"/><Relationship Id="rId234" Type="http://schemas.openxmlformats.org/officeDocument/2006/relationships/header" Target="header230.xml"/><Relationship Id="rId233" Type="http://schemas.openxmlformats.org/officeDocument/2006/relationships/header" Target="header229.xml"/><Relationship Id="rId232" Type="http://schemas.openxmlformats.org/officeDocument/2006/relationships/header" Target="header228.xml"/><Relationship Id="rId231" Type="http://schemas.openxmlformats.org/officeDocument/2006/relationships/header" Target="header227.xml"/><Relationship Id="rId230" Type="http://schemas.openxmlformats.org/officeDocument/2006/relationships/header" Target="header226.xml"/><Relationship Id="rId23" Type="http://schemas.openxmlformats.org/officeDocument/2006/relationships/header" Target="header19.xml"/><Relationship Id="rId229" Type="http://schemas.openxmlformats.org/officeDocument/2006/relationships/header" Target="header225.xml"/><Relationship Id="rId228" Type="http://schemas.openxmlformats.org/officeDocument/2006/relationships/header" Target="header224.xml"/><Relationship Id="rId227" Type="http://schemas.openxmlformats.org/officeDocument/2006/relationships/header" Target="header223.xml"/><Relationship Id="rId226" Type="http://schemas.openxmlformats.org/officeDocument/2006/relationships/header" Target="header222.xml"/><Relationship Id="rId225" Type="http://schemas.openxmlformats.org/officeDocument/2006/relationships/header" Target="header221.xml"/><Relationship Id="rId224" Type="http://schemas.openxmlformats.org/officeDocument/2006/relationships/header" Target="header220.xml"/><Relationship Id="rId223" Type="http://schemas.openxmlformats.org/officeDocument/2006/relationships/header" Target="header219.xml"/><Relationship Id="rId222" Type="http://schemas.openxmlformats.org/officeDocument/2006/relationships/header" Target="header218.xml"/><Relationship Id="rId221" Type="http://schemas.openxmlformats.org/officeDocument/2006/relationships/header" Target="header217.xml"/><Relationship Id="rId220" Type="http://schemas.openxmlformats.org/officeDocument/2006/relationships/header" Target="header216.xml"/><Relationship Id="rId22" Type="http://schemas.openxmlformats.org/officeDocument/2006/relationships/header" Target="header18.xml"/><Relationship Id="rId219" Type="http://schemas.openxmlformats.org/officeDocument/2006/relationships/header" Target="header215.xml"/><Relationship Id="rId218" Type="http://schemas.openxmlformats.org/officeDocument/2006/relationships/header" Target="header214.xml"/><Relationship Id="rId217" Type="http://schemas.openxmlformats.org/officeDocument/2006/relationships/header" Target="header213.xml"/><Relationship Id="rId216" Type="http://schemas.openxmlformats.org/officeDocument/2006/relationships/header" Target="header212.xml"/><Relationship Id="rId215" Type="http://schemas.openxmlformats.org/officeDocument/2006/relationships/header" Target="header211.xml"/><Relationship Id="rId214" Type="http://schemas.openxmlformats.org/officeDocument/2006/relationships/header" Target="header210.xml"/><Relationship Id="rId213" Type="http://schemas.openxmlformats.org/officeDocument/2006/relationships/header" Target="header209.xml"/><Relationship Id="rId212" Type="http://schemas.openxmlformats.org/officeDocument/2006/relationships/header" Target="header208.xml"/><Relationship Id="rId211" Type="http://schemas.openxmlformats.org/officeDocument/2006/relationships/header" Target="header207.xml"/><Relationship Id="rId210" Type="http://schemas.openxmlformats.org/officeDocument/2006/relationships/header" Target="header206.xml"/><Relationship Id="rId21" Type="http://schemas.openxmlformats.org/officeDocument/2006/relationships/header" Target="header17.xml"/><Relationship Id="rId209" Type="http://schemas.openxmlformats.org/officeDocument/2006/relationships/header" Target="header205.xml"/><Relationship Id="rId208" Type="http://schemas.openxmlformats.org/officeDocument/2006/relationships/header" Target="header204.xml"/><Relationship Id="rId207" Type="http://schemas.openxmlformats.org/officeDocument/2006/relationships/header" Target="header203.xml"/><Relationship Id="rId206" Type="http://schemas.openxmlformats.org/officeDocument/2006/relationships/header" Target="header202.xml"/><Relationship Id="rId205" Type="http://schemas.openxmlformats.org/officeDocument/2006/relationships/header" Target="header201.xml"/><Relationship Id="rId204" Type="http://schemas.openxmlformats.org/officeDocument/2006/relationships/header" Target="header200.xml"/><Relationship Id="rId203" Type="http://schemas.openxmlformats.org/officeDocument/2006/relationships/header" Target="header199.xml"/><Relationship Id="rId202" Type="http://schemas.openxmlformats.org/officeDocument/2006/relationships/header" Target="header198.xml"/><Relationship Id="rId201" Type="http://schemas.openxmlformats.org/officeDocument/2006/relationships/header" Target="header197.xml"/><Relationship Id="rId200" Type="http://schemas.openxmlformats.org/officeDocument/2006/relationships/header" Target="header196.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header" Target="header195.xml"/><Relationship Id="rId198" Type="http://schemas.openxmlformats.org/officeDocument/2006/relationships/header" Target="header194.xml"/><Relationship Id="rId197" Type="http://schemas.openxmlformats.org/officeDocument/2006/relationships/header" Target="header193.xml"/><Relationship Id="rId196" Type="http://schemas.openxmlformats.org/officeDocument/2006/relationships/header" Target="header192.xml"/><Relationship Id="rId195" Type="http://schemas.openxmlformats.org/officeDocument/2006/relationships/header" Target="header191.xml"/><Relationship Id="rId194" Type="http://schemas.openxmlformats.org/officeDocument/2006/relationships/header" Target="header190.xml"/><Relationship Id="rId193" Type="http://schemas.openxmlformats.org/officeDocument/2006/relationships/header" Target="header189.xml"/><Relationship Id="rId192" Type="http://schemas.openxmlformats.org/officeDocument/2006/relationships/header" Target="header188.xml"/><Relationship Id="rId191" Type="http://schemas.openxmlformats.org/officeDocument/2006/relationships/header" Target="header187.xml"/><Relationship Id="rId190" Type="http://schemas.openxmlformats.org/officeDocument/2006/relationships/header" Target="header186.xml"/><Relationship Id="rId19" Type="http://schemas.openxmlformats.org/officeDocument/2006/relationships/header" Target="header15.xml"/><Relationship Id="rId189" Type="http://schemas.openxmlformats.org/officeDocument/2006/relationships/header" Target="header185.xml"/><Relationship Id="rId188" Type="http://schemas.openxmlformats.org/officeDocument/2006/relationships/header" Target="header184.xml"/><Relationship Id="rId187" Type="http://schemas.openxmlformats.org/officeDocument/2006/relationships/header" Target="header183.xml"/><Relationship Id="rId186" Type="http://schemas.openxmlformats.org/officeDocument/2006/relationships/header" Target="header182.xml"/><Relationship Id="rId185" Type="http://schemas.openxmlformats.org/officeDocument/2006/relationships/header" Target="header181.xml"/><Relationship Id="rId184" Type="http://schemas.openxmlformats.org/officeDocument/2006/relationships/header" Target="header180.xml"/><Relationship Id="rId183" Type="http://schemas.openxmlformats.org/officeDocument/2006/relationships/header" Target="header179.xml"/><Relationship Id="rId182" Type="http://schemas.openxmlformats.org/officeDocument/2006/relationships/header" Target="header178.xml"/><Relationship Id="rId181" Type="http://schemas.openxmlformats.org/officeDocument/2006/relationships/header" Target="header177.xml"/><Relationship Id="rId180" Type="http://schemas.openxmlformats.org/officeDocument/2006/relationships/header" Target="header176.xml"/><Relationship Id="rId18" Type="http://schemas.openxmlformats.org/officeDocument/2006/relationships/header" Target="header14.xml"/><Relationship Id="rId179" Type="http://schemas.openxmlformats.org/officeDocument/2006/relationships/header" Target="header175.xml"/><Relationship Id="rId178" Type="http://schemas.openxmlformats.org/officeDocument/2006/relationships/header" Target="header174.xml"/><Relationship Id="rId177" Type="http://schemas.openxmlformats.org/officeDocument/2006/relationships/header" Target="header173.xml"/><Relationship Id="rId176" Type="http://schemas.openxmlformats.org/officeDocument/2006/relationships/header" Target="header172.xml"/><Relationship Id="rId175" Type="http://schemas.openxmlformats.org/officeDocument/2006/relationships/header" Target="header171.xml"/><Relationship Id="rId174" Type="http://schemas.openxmlformats.org/officeDocument/2006/relationships/header" Target="header170.xml"/><Relationship Id="rId173" Type="http://schemas.openxmlformats.org/officeDocument/2006/relationships/header" Target="header169.xml"/><Relationship Id="rId172" Type="http://schemas.openxmlformats.org/officeDocument/2006/relationships/header" Target="header168.xml"/><Relationship Id="rId171" Type="http://schemas.openxmlformats.org/officeDocument/2006/relationships/header" Target="header167.xml"/><Relationship Id="rId170" Type="http://schemas.openxmlformats.org/officeDocument/2006/relationships/header" Target="header166.xml"/><Relationship Id="rId17" Type="http://schemas.openxmlformats.org/officeDocument/2006/relationships/header" Target="header13.xml"/><Relationship Id="rId169" Type="http://schemas.openxmlformats.org/officeDocument/2006/relationships/header" Target="header165.xml"/><Relationship Id="rId168" Type="http://schemas.openxmlformats.org/officeDocument/2006/relationships/header" Target="header164.xml"/><Relationship Id="rId167" Type="http://schemas.openxmlformats.org/officeDocument/2006/relationships/header" Target="header163.xml"/><Relationship Id="rId166" Type="http://schemas.openxmlformats.org/officeDocument/2006/relationships/header" Target="header162.xml"/><Relationship Id="rId165" Type="http://schemas.openxmlformats.org/officeDocument/2006/relationships/header" Target="header161.xml"/><Relationship Id="rId164" Type="http://schemas.openxmlformats.org/officeDocument/2006/relationships/header" Target="header160.xml"/><Relationship Id="rId163" Type="http://schemas.openxmlformats.org/officeDocument/2006/relationships/header" Target="header159.xml"/><Relationship Id="rId162" Type="http://schemas.openxmlformats.org/officeDocument/2006/relationships/header" Target="header158.xml"/><Relationship Id="rId161" Type="http://schemas.openxmlformats.org/officeDocument/2006/relationships/header" Target="header157.xml"/><Relationship Id="rId160" Type="http://schemas.openxmlformats.org/officeDocument/2006/relationships/header" Target="header156.xml"/><Relationship Id="rId16" Type="http://schemas.openxmlformats.org/officeDocument/2006/relationships/header" Target="header12.xml"/><Relationship Id="rId159" Type="http://schemas.openxmlformats.org/officeDocument/2006/relationships/header" Target="header155.xml"/><Relationship Id="rId158" Type="http://schemas.openxmlformats.org/officeDocument/2006/relationships/header" Target="header154.xml"/><Relationship Id="rId157" Type="http://schemas.openxmlformats.org/officeDocument/2006/relationships/header" Target="header153.xml"/><Relationship Id="rId156" Type="http://schemas.openxmlformats.org/officeDocument/2006/relationships/header" Target="header152.xml"/><Relationship Id="rId155" Type="http://schemas.openxmlformats.org/officeDocument/2006/relationships/header" Target="header151.xml"/><Relationship Id="rId154" Type="http://schemas.openxmlformats.org/officeDocument/2006/relationships/header" Target="header150.xml"/><Relationship Id="rId153" Type="http://schemas.openxmlformats.org/officeDocument/2006/relationships/header" Target="header149.xml"/><Relationship Id="rId152" Type="http://schemas.openxmlformats.org/officeDocument/2006/relationships/header" Target="header148.xml"/><Relationship Id="rId151" Type="http://schemas.openxmlformats.org/officeDocument/2006/relationships/header" Target="header147.xml"/><Relationship Id="rId150" Type="http://schemas.openxmlformats.org/officeDocument/2006/relationships/header" Target="header146.xml"/><Relationship Id="rId15" Type="http://schemas.openxmlformats.org/officeDocument/2006/relationships/header" Target="header11.xml"/><Relationship Id="rId149" Type="http://schemas.openxmlformats.org/officeDocument/2006/relationships/header" Target="header145.xml"/><Relationship Id="rId148" Type="http://schemas.openxmlformats.org/officeDocument/2006/relationships/header" Target="header144.xml"/><Relationship Id="rId147" Type="http://schemas.openxmlformats.org/officeDocument/2006/relationships/header" Target="header143.xml"/><Relationship Id="rId146" Type="http://schemas.openxmlformats.org/officeDocument/2006/relationships/header" Target="header142.xml"/><Relationship Id="rId145" Type="http://schemas.openxmlformats.org/officeDocument/2006/relationships/header" Target="header141.xml"/><Relationship Id="rId144" Type="http://schemas.openxmlformats.org/officeDocument/2006/relationships/header" Target="header140.xml"/><Relationship Id="rId143" Type="http://schemas.openxmlformats.org/officeDocument/2006/relationships/header" Target="header139.xml"/><Relationship Id="rId142" Type="http://schemas.openxmlformats.org/officeDocument/2006/relationships/header" Target="header138.xml"/><Relationship Id="rId141" Type="http://schemas.openxmlformats.org/officeDocument/2006/relationships/header" Target="header137.xml"/><Relationship Id="rId140" Type="http://schemas.openxmlformats.org/officeDocument/2006/relationships/header" Target="header136.xml"/><Relationship Id="rId14" Type="http://schemas.openxmlformats.org/officeDocument/2006/relationships/header" Target="header10.xml"/><Relationship Id="rId139" Type="http://schemas.openxmlformats.org/officeDocument/2006/relationships/header" Target="header135.xml"/><Relationship Id="rId138" Type="http://schemas.openxmlformats.org/officeDocument/2006/relationships/header" Target="header134.xml"/><Relationship Id="rId137" Type="http://schemas.openxmlformats.org/officeDocument/2006/relationships/header" Target="header133.xml"/><Relationship Id="rId136" Type="http://schemas.openxmlformats.org/officeDocument/2006/relationships/header" Target="header132.xml"/><Relationship Id="rId135" Type="http://schemas.openxmlformats.org/officeDocument/2006/relationships/header" Target="header131.xml"/><Relationship Id="rId134" Type="http://schemas.openxmlformats.org/officeDocument/2006/relationships/header" Target="header130.xml"/><Relationship Id="rId133" Type="http://schemas.openxmlformats.org/officeDocument/2006/relationships/header" Target="header129.xml"/><Relationship Id="rId132" Type="http://schemas.openxmlformats.org/officeDocument/2006/relationships/header" Target="header128.xml"/><Relationship Id="rId131" Type="http://schemas.openxmlformats.org/officeDocument/2006/relationships/header" Target="header127.xml"/><Relationship Id="rId130" Type="http://schemas.openxmlformats.org/officeDocument/2006/relationships/header" Target="header126.xml"/><Relationship Id="rId13" Type="http://schemas.openxmlformats.org/officeDocument/2006/relationships/header" Target="header9.xml"/><Relationship Id="rId129" Type="http://schemas.openxmlformats.org/officeDocument/2006/relationships/header" Target="header125.xml"/><Relationship Id="rId128" Type="http://schemas.openxmlformats.org/officeDocument/2006/relationships/header" Target="header124.xml"/><Relationship Id="rId127" Type="http://schemas.openxmlformats.org/officeDocument/2006/relationships/header" Target="header123.xml"/><Relationship Id="rId126" Type="http://schemas.openxmlformats.org/officeDocument/2006/relationships/header" Target="header122.xml"/><Relationship Id="rId125" Type="http://schemas.openxmlformats.org/officeDocument/2006/relationships/header" Target="header121.xml"/><Relationship Id="rId124" Type="http://schemas.openxmlformats.org/officeDocument/2006/relationships/header" Target="header120.xml"/><Relationship Id="rId123" Type="http://schemas.openxmlformats.org/officeDocument/2006/relationships/header" Target="header119.xml"/><Relationship Id="rId122" Type="http://schemas.openxmlformats.org/officeDocument/2006/relationships/header" Target="header118.xml"/><Relationship Id="rId121" Type="http://schemas.openxmlformats.org/officeDocument/2006/relationships/header" Target="header117.xml"/><Relationship Id="rId120" Type="http://schemas.openxmlformats.org/officeDocument/2006/relationships/header" Target="header116.xml"/><Relationship Id="rId12" Type="http://schemas.openxmlformats.org/officeDocument/2006/relationships/header" Target="header8.xml"/><Relationship Id="rId119" Type="http://schemas.openxmlformats.org/officeDocument/2006/relationships/header" Target="header115.xml"/><Relationship Id="rId118" Type="http://schemas.openxmlformats.org/officeDocument/2006/relationships/header" Target="header114.xml"/><Relationship Id="rId117" Type="http://schemas.openxmlformats.org/officeDocument/2006/relationships/header" Target="header113.xml"/><Relationship Id="rId116" Type="http://schemas.openxmlformats.org/officeDocument/2006/relationships/header" Target="header112.xml"/><Relationship Id="rId115" Type="http://schemas.openxmlformats.org/officeDocument/2006/relationships/header" Target="header111.xml"/><Relationship Id="rId114" Type="http://schemas.openxmlformats.org/officeDocument/2006/relationships/header" Target="header110.xml"/><Relationship Id="rId113" Type="http://schemas.openxmlformats.org/officeDocument/2006/relationships/header" Target="header109.xml"/><Relationship Id="rId112" Type="http://schemas.openxmlformats.org/officeDocument/2006/relationships/header" Target="header108.xml"/><Relationship Id="rId111" Type="http://schemas.openxmlformats.org/officeDocument/2006/relationships/header" Target="header107.xml"/><Relationship Id="rId110" Type="http://schemas.openxmlformats.org/officeDocument/2006/relationships/header" Target="header106.xml"/><Relationship Id="rId11" Type="http://schemas.openxmlformats.org/officeDocument/2006/relationships/header" Target="header7.xml"/><Relationship Id="rId109" Type="http://schemas.openxmlformats.org/officeDocument/2006/relationships/header" Target="header105.xml"/><Relationship Id="rId108" Type="http://schemas.openxmlformats.org/officeDocument/2006/relationships/header" Target="header104.xml"/><Relationship Id="rId107" Type="http://schemas.openxmlformats.org/officeDocument/2006/relationships/header" Target="header103.xml"/><Relationship Id="rId106" Type="http://schemas.openxmlformats.org/officeDocument/2006/relationships/header" Target="header102.xml"/><Relationship Id="rId105" Type="http://schemas.openxmlformats.org/officeDocument/2006/relationships/header" Target="header101.xml"/><Relationship Id="rId104" Type="http://schemas.openxmlformats.org/officeDocument/2006/relationships/header" Target="header100.xml"/><Relationship Id="rId103" Type="http://schemas.openxmlformats.org/officeDocument/2006/relationships/header" Target="header99.xml"/><Relationship Id="rId102" Type="http://schemas.openxmlformats.org/officeDocument/2006/relationships/header" Target="header98.xml"/><Relationship Id="rId101" Type="http://schemas.openxmlformats.org/officeDocument/2006/relationships/header" Target="header97.xml"/><Relationship Id="rId100" Type="http://schemas.openxmlformats.org/officeDocument/2006/relationships/header" Target="header96.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517</Pages>
  <Words>38616</Words>
  <Characters>40326</Characters>
  <TotalTime>0</TotalTime>
  <ScaleCrop>false</ScaleCrop>
  <LinksUpToDate>false</LinksUpToDate>
  <CharactersWithSpaces>41241</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2025-07-15T06:32:36Z</dcterms:created>
  <dc:creator>zhu</dc:creator>
  <cp:lastModifiedBy>巴黎在逃圣母</cp:lastModifiedBy>
  <dcterms:modified xsi:type="dcterms:W3CDTF">2025-07-15T06:33:45Z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5559E29D0FD04D93BF163A65982F9534_13</vt:lpwstr>
  </property>
</Properties>
</file>