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04EEB">
      <w:pPr>
        <w:numPr>
          <w:ilvl w:val="0"/>
          <w:numId w:val="1"/>
        </w:numPr>
        <w:ind w:left="0" w:leftChars="0" w:firstLine="420" w:firstLineChars="0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  <w:r>
        <w:rPr>
          <w:rFonts w:hint="eastAsia"/>
          <w:sz w:val="28"/>
          <w:szCs w:val="28"/>
          <w:lang w:val="en-US" w:eastAsia="zh-CN"/>
        </w:rPr>
        <w:t>一：通过超级命令的账号和代码，获取了60个股票数和三个大盘数据，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dapanzhishu.csv：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zongdegupiao.csv：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 xml:space="preserve">然后得到的两个数据表 使用  code   </w:t>
      </w:r>
      <w:r>
        <w:rPr>
          <w:rFonts w:hint="default"/>
          <w:sz w:val="28"/>
          <w:szCs w:val="28"/>
          <w:lang w:val="en-US" w:eastAsia="zh-CN"/>
        </w:rPr>
        <w:t>jiancegupiao60he3dapan.py来检测了数两个数据，都没有问题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运行校验代码，确认文件存在、5个核心字段完整、60只股票与3只指数标的精准无误、时间范围全覆盖且无空值。</w:t>
      </w:r>
    </w:p>
    <w:p w14:paraId="07C378F5">
      <w:pP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</w:pPr>
    </w:p>
    <w:p w14:paraId="6CCFBEF1">
      <w:pP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 w:eastAsia="zh-CN"/>
        </w:rPr>
        <w:t xml:space="preserve">二： 用上面的两个表格 </w:t>
      </w:r>
    </w:p>
    <w:p w14:paraId="5391697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 w:eastAsia="zh-CN"/>
        </w:rPr>
        <w:t>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：01_merged_panel.csv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完整路径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D:\thailand study\26_7_23paper\02_processed_data\01_merged_panel.csv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：将60只个股的每一条日度记录，匹配上当日沪深300指数收益率，形成合并面板。</w:t>
      </w:r>
    </w:p>
    <w:p w14:paraId="27BE1B4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：01_excess_return_panel.csv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完整路径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D:\thailand study\26_7_23paper\02_processed_data\01_excess_return_panel.csv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：在合并面板基础上，计算每只股票每日的超额收益（</w:t>
      </w:r>
      <w:r>
        <w:rPr>
          <w:rStyle w:val="10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Excess_Ret = Ret - Index_Ret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），并添加年份、月份、季度等时间标识，供后续月度聚合和DID建模使用。</w:t>
      </w:r>
    </w:p>
    <w:p w14:paraId="0315D1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四、本步骤 3 个核心作用（论文演示一句话总结）</w:t>
      </w:r>
    </w:p>
    <w:p w14:paraId="5796C0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时间对齐校验：剔除个股 / 指数交易日不匹配样本，规避超额收益计算偏差；</w:t>
      </w:r>
    </w:p>
    <w:p w14:paraId="765616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核心变量生成：\(Excess\_Ret=个股Ret-指数Index\_Ret\)，是全文 CAR、DID 的基础被解释变量；</w:t>
      </w:r>
    </w:p>
    <w:p w14:paraId="5C350F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底层数据库搭建：输出长格式日面板，后续月度聚合、回归、稳健性检验均基于该文件，不再重复处理原始数据。</w:t>
      </w:r>
    </w:p>
    <w:p w14:paraId="3F371D5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核验：</w:t>
      </w:r>
      <w:r>
        <w:rPr>
          <w:rFonts w:ascii="宋体" w:hAnsi="宋体" w:eastAsia="宋体" w:cs="宋体"/>
          <w:sz w:val="24"/>
          <w:szCs w:val="24"/>
        </w:rPr>
        <w:t>对日度个股 - 指数合并面板做</w:t>
      </w:r>
      <w:r>
        <w:rPr>
          <w:rStyle w:val="9"/>
          <w:rFonts w:ascii="宋体" w:hAnsi="宋体" w:eastAsia="宋体" w:cs="宋体"/>
          <w:color w:val="000000"/>
          <w:sz w:val="19"/>
          <w:szCs w:val="19"/>
        </w:rPr>
        <w:t>五层标准化质检</w:t>
      </w:r>
      <w:r>
        <w:rPr>
          <w:rFonts w:ascii="宋体" w:hAnsi="宋体" w:eastAsia="宋体" w:cs="宋体"/>
          <w:sz w:val="24"/>
          <w:szCs w:val="24"/>
        </w:rPr>
        <w:t>，自动输出可视化校验报告，提前拦截时间、样本、收益率、极端值、文件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匹配五类数据错误，确保底层日面板可安全用于月度聚合、DID 回归建模。</w:t>
      </w:r>
      <w:r>
        <w:rPr>
          <w:rFonts w:hint="eastAsia" w:ascii="宋体" w:hAnsi="宋体" w:eastAsia="宋体" w:cs="宋体"/>
          <w:sz w:val="24"/>
          <w:szCs w:val="24"/>
        </w:rPr>
        <w:t>check_step_01_output.py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A8737C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步骤2：日度数据聚合为月度面板</w:t>
      </w:r>
    </w:p>
    <w:p w14:paraId="5026BBD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输入文件列表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eastAsia="zh-CN"/>
        </w:rPr>
        <w:t>：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D:\thailand study\26_7_23paper\02_processed_data\01_excess_return_panel.csv</w:t>
      </w:r>
    </w:p>
    <w:p w14:paraId="6134673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</w:pPr>
      <w:r>
        <w:rPr>
          <w:rStyle w:val="10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</w:rPr>
        <w:t>D:\thailand study\26_7_23paper\03_codes\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文件夹下，新建文件 </w:t>
      </w:r>
      <w:r>
        <w:rPr>
          <w:rStyle w:val="10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</w:rPr>
        <w:t>step_02_aggregate_to_monthly.py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输出文件列表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eastAsia="zh-CN"/>
        </w:rPr>
        <w:t>：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D:\thailand study\26_7_23paper\02_processed_data\02_monthly_panel.csv</w:t>
      </w:r>
    </w:p>
    <w:p w14:paraId="4894E8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文写作配套说明（可直接放进《数据处理附录》）</w:t>
      </w:r>
    </w:p>
    <w:p w14:paraId="5EBFC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日度收益率由 iFinD 数据库提取，原始收益率为百分比形式，计算前统一除以 100 转换为小数。个股月度简单收益率采用当月日收益率复利计算：\(R_{month} = \prod(1+R_{daily})-1\)。 月内波动率定义为当月日超额收益率标准差；若个股当月仅存在 1 个交易日，无法计算标准差，Volatility 记为缺失值。最终生成</w:t>
      </w:r>
      <w:r>
        <w:rPr>
          <w:rStyle w:val="9"/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股票 - 月度非平衡面板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，作为多期 DID 基准回归样本。</w:t>
      </w:r>
    </w:p>
    <w:p w14:paraId="59E0F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</w:p>
    <w:p w14:paraId="2DE4AFA3">
      <w:pPr>
        <w:rPr>
          <w:rFonts w:hint="eastAsia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代码运行完毕后，在另一个Python文件中运行以下检测代码</w:t>
      </w:r>
    </w:p>
    <w:p w14:paraId="359781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i/>
          <w:iCs/>
          <w:caps w:val="0"/>
          <w:color w:val="A0A1A7"/>
          <w:spacing w:val="0"/>
        </w:rPr>
      </w:pPr>
      <w:r>
        <w:rPr>
          <w:i/>
          <w:iCs/>
          <w:caps w:val="0"/>
          <w:color w:val="A0A1A7"/>
          <w:spacing w:val="0"/>
        </w:rPr>
        <w:t>核验脚本：check_step_02_output.py</w:t>
      </w:r>
    </w:p>
    <w:p w14:paraId="14ACEB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本文首先基于日度股票交易数据计算个股日收益率与超额收益率；由于原始收益率为百分比格式，计算前统一转换为小数形式。采用复利方式由日度收益率合成月度简单收益率：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\(R_{month}=\prod(1+R_{daily})-1\)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。月内波动率定义为当月日超额收益率的标准差；若个股当月仅存在一个交易日，波动率记为缺失值。最终得到 60 只样本企业 2019 年 1 月 —2026 年 12 月股票 - 月度非平衡面板，共计 5269 个观测。样本中存在少量月度收益绝对值超过 50% 的极端观测，基准回归保留全部样本，并在稳健性检验中采用双侧 1% 缩尾处理缓解极端值干扰。</w:t>
      </w:r>
    </w:p>
    <w:p w14:paraId="094716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i/>
          <w:iCs/>
          <w:caps w:val="0"/>
          <w:color w:val="A0A1A7"/>
          <w:spacing w:val="0"/>
        </w:rPr>
      </w:pPr>
    </w:p>
    <w:p w14:paraId="3091BC14">
      <w:pPr>
        <w:rPr>
          <w:rFonts w:hint="eastAsia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# 一、当前运行结果解读（实证视角） ✅ Step2 数据聚合全部正常完成 1. 基础样本 - 原始日度观测：104,971条 → 清洗后104,832条 - 个股数量：60只 - 输出股票-月度面板：5,269个观测 - 时间区间：2019-01 ~ 2026-12 - 单只股票最少48个月、最长91个月，属于合理非平衡面板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2. 收益指标（数值已经修复，不再爆炸） - 月度超额收益均值 = 0.019249（1.92%） - 月度超额收益标准差 = 0.173235（17.32%） 符合A股个股月度收益分布特征。 3. 极端观测 &gt; 79条月度收益绝对值＞50% 一共5269行，占比仅 **1.5%**，属于A股个股涨跌停、重组、突发事件带来的正常现象。 两种学术常用处理方案（论文二选一写在稳健性部分）：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highlight w:val="yellow"/>
        </w:rPr>
        <w:t>方案A：基准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回归保留原始数据；稳健性检验对收益变量进行1%/99%双侧缩尾 方案B：直接剔除月度收益绝对值＞50%的极端样本（慎用，容易被审稿人质疑主观删样本） 4. 遗留小提示 核验脚本会持续显示 `Volatility` 少量缺失，成因：当月仅有1个交易日，标准差无法计算。 论文描述性统计表、回归说明中一句话标注即可。</w:t>
      </w:r>
      <w:r>
        <w:rPr>
          <w:rFonts w:hint="eastAsia"/>
          <w:lang w:eastAsia="zh-CN"/>
        </w:rPr>
        <w:t>本步骤（日度面板聚合至月度面板）目的与意义总结</w:t>
      </w:r>
    </w:p>
    <w:p w14:paraId="7D5C1B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一、核心目的</w:t>
      </w:r>
    </w:p>
    <w:p w14:paraId="0D25DE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将已校验完成的日度个股 - 指数超额收益面板，按月聚合生成月度平衡面板，统一匹配季度财务控制变量，生成 DID、事件研究可直接使用的标准实证数据集。</w:t>
      </w:r>
    </w:p>
    <w:p w14:paraId="17A538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二、聚合至月度的四大核心意义（对应对比维度）</w:t>
      </w:r>
    </w:p>
    <w:p w14:paraId="48D566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消除日度噪音，精准识别事件冲击</w:t>
      </w:r>
    </w:p>
    <w:p w14:paraId="35E115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日行情受盘中交易、短期散户炒作等大量随机噪音干扰，会稀释 DeepSeek 外生冲击的真实定价效应；月度数据平滑日内波动，能干净提取冲击带来的持续性定价变化，贴合本文准自然实验识别需求。</w:t>
      </w:r>
    </w:p>
    <w:p w14:paraId="7171BC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实现财务变量匹配，完善控制变量体系</w:t>
      </w:r>
    </w:p>
    <w:p w14:paraId="6783A9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上市公司营收、总资产、ROA 等基本面指标仅季度披露，日度数据无对应财务观测；月度面板可通过前向填充季度财务数据，每一期均可挂载企业规模、杠杆等核心控制变量，满足回归识别要求。</w:t>
      </w:r>
    </w:p>
    <w:p w14:paraId="1A9412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符合金融顶刊实证范式</w:t>
      </w:r>
    </w:p>
    <w:p w14:paraId="1DA847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国内外资产定价、产业链冲击类 DID 主流文献均采用月度面板开展事件研究，选用月度频率可对齐行业标准，降低审稿人对模型设定的质疑。</w:t>
      </w:r>
    </w:p>
    <w:p w14:paraId="208F3E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大幅压缩样本量，提升运算效率</w:t>
      </w:r>
    </w:p>
    <w:p w14:paraId="6ED7A0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日度原始数据约 12 万行，聚合后仅五千余行，回归、分组、安慰剂、平行趋势绘图等步骤运行速度提升近 20 倍，减少代码卡顿、运算超时问题，便于多次稳健性迭代。</w:t>
      </w:r>
    </w:p>
    <w:p w14:paraId="279D40F6">
      <w:pPr>
        <w:rPr>
          <w:rFonts w:hint="eastAsia"/>
          <w:lang w:eastAsia="zh-CN"/>
        </w:rPr>
      </w:pPr>
    </w:p>
    <w:p w14:paraId="7283B2EB">
      <w:pPr>
        <w:rPr>
          <w:rFonts w:hint="eastAsia"/>
          <w:lang w:eastAsia="zh-CN"/>
        </w:rPr>
      </w:pPr>
    </w:p>
    <w:p w14:paraId="1AAA265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步骤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的目的与意义</w:t>
      </w:r>
    </w:p>
    <w:p w14:paraId="073EA4F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本步骤是DID实证分析的“核心变量构建器”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，其核心价值有三：</w:t>
      </w:r>
    </w:p>
    <w:p w14:paraId="75C3B8B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="425" w:leftChars="0" w:right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构建“沪深300指数”作为对照组：这是本研究的核心识别策略创新。通过在数据中创建一条Treat=0的“虚拟企业”（HS300），我们构建了“60家AI企业 vs. 沪深300指数”的独特DID设计。对照组虽然只有1个实体，但在计量经济学上完全可行——沪深300指数作为A股大盘的基准，天然代表了“未受AI事件特殊冲击的反事实状态”。</w:t>
      </w:r>
    </w:p>
    <w:p w14:paraId="51C2913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="425" w:leftChars="0" w:right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构建Post与DID交互项：以2025年1月（DeepSeek发布）为事件时点，定义Post虚拟变量，并计算DID交互项。这是所有后续回归分析的核心解释变量。</w:t>
      </w:r>
    </w:p>
    <w:p w14:paraId="1943A8B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="425" w:leftChars="0" w:right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计算事件窗口CAR：为每只AI企业计算多个窗口的累计超额收益（CAR），包括[-1,+1]、[-2,+2]、[-3,+3]等。CAR是后续回归的核心被解释变量，代表企业在事件窗口内相对于大盘的“异常收益”。</w:t>
      </w:r>
    </w:p>
    <w:p w14:paraId="6150A5A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C79B34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="425" w:leftChars="0" w:right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成双样式平行趋势图：平行趋势检验是DID设计的核心识别假设验证。本步骤自动生成中英文双版本图片，为后续论文投稿提供便利</w:t>
      </w:r>
    </w:p>
    <w:p w14:paraId="0C58702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输入文件列表（逐条列出）</w:t>
      </w:r>
    </w:p>
    <w:p w14:paraId="3C1A091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：02_monthly_panel.csv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完整路径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D:\thailand study\26_7_23paper\02_processed_data\02_monthly_panel.csv</w:t>
      </w:r>
    </w:p>
    <w:p w14:paraId="026E089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输出文件列表（逐条列出）</w:t>
      </w:r>
    </w:p>
    <w:p w14:paraId="0AFB4F7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：03_did_panel.csv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完整路径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D:\thailand study\26_7_23paper\02_processed_data\03_did_panel.csv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：在月度面板基础上，完成DID核心变量的构建，包含：</w:t>
      </w:r>
    </w:p>
    <w:p w14:paraId="148B494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：figure1_parallel_trend_CN.pdf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完整路径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D:\thailand study\26_7_23paper\05_output\figures\CN\figure1_parallel_trend_CN.pdf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：平行趋势检验图，中文期刊样式（黑体、中文标签、带网格）</w:t>
      </w:r>
    </w:p>
    <w:p w14:paraId="70360D8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：figure1_parallel_trend_EN.pdf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完整路径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D:\thailand study\26_7_23paper\05_output\figures\EN\figure1_parallel_trend_EN.pdf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：平行趋势检验图，英文期刊样式（Times New Roman、英文标签、无网格）</w:t>
      </w:r>
    </w:p>
    <w:p w14:paraId="1ADDAFD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92" w:beforeAutospacing="0" w:after="192" w:afterAutospacing="0"/>
        <w:ind w:left="425" w:leftChars="0" w:right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636252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10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</w:rPr>
        <w:t>D:\thailand study\26_7_23paper\04_code\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文件夹下，新建文件 </w:t>
      </w:r>
      <w:r>
        <w:rPr>
          <w:rStyle w:val="10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</w:rPr>
        <w:t>step_03_build_did_variables.py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，复制以下代码：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然后生成的数据 </w:t>
      </w:r>
    </w:p>
    <w:p w14:paraId="4629F1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1" w:after="0" w:afterAutospacing="1"/>
        <w:ind w:left="0" w:hanging="360"/>
        <w:jc w:val="left"/>
        <w:rPr>
          <w:spacing w:val="0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  <w:bdr w:val="single" w:color="auto" w:sz="2" w:space="0"/>
          <w:shd w:val="clear" w:fill="FFFFFF"/>
        </w:rPr>
        <w:t>处理组 (AI企业)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  <w:bdr w:val="single" w:color="auto" w:sz="2" w:space="0"/>
          <w:shd w:val="clear" w:fill="FFFFFF"/>
        </w:rPr>
        <w:t>：5,269 行</w:t>
      </w:r>
    </w:p>
    <w:p w14:paraId="1F8B712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1"/>
        <w:ind w:left="0" w:hanging="360"/>
        <w:jc w:val="left"/>
        <w:rPr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  <w:bdr w:val="single" w:color="auto" w:sz="2" w:space="0"/>
          <w:shd w:val="clear" w:fill="FFFFFF"/>
        </w:rPr>
        <w:t>对照组 (沪深300)：91 行</w:t>
      </w:r>
    </w:p>
    <w:p w14:paraId="29AAD22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hanging="360"/>
        <w:jc w:val="left"/>
        <w:rPr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  <w:bdr w:val="single" w:color="auto" w:sz="2" w:space="0"/>
          <w:shd w:val="clear" w:fill="FFFFFF"/>
        </w:rPr>
        <w:t>总样本：5,360 行</w:t>
      </w:r>
    </w:p>
    <w:p w14:paraId="64E3BEC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📊 其他关键产出确认</w:t>
      </w:r>
    </w:p>
    <w:p w14:paraId="7039CBA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0" w:hanging="252"/>
        <w:jc w:val="left"/>
        <w:rPr>
          <w:spacing w:val="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bdr w:val="single" w:color="auto" w:sz="2" w:space="0"/>
          <w:shd w:val="clear" w:fill="FFFFFF"/>
        </w:rPr>
        <w:t>DID 变量构建成功：交互项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shd w:val="clear" w:fill="FFFFFF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222222"/>
          <w:spacing w:val="4"/>
          <w:sz w:val="16"/>
          <w:szCs w:val="16"/>
          <w:bdr w:val="single" w:color="auto" w:sz="2" w:space="0"/>
          <w:shd w:val="clear" w:fill="FFFFFF"/>
        </w:rPr>
        <w:t>DID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bdr w:val="single" w:color="auto" w:sz="2" w:space="0"/>
          <w:shd w:val="clear" w:fill="FFFFFF"/>
        </w:rPr>
        <w:t>有 1,140 个观测值，说明政策冲击变量已正确生成。</w:t>
      </w:r>
    </w:p>
    <w:p w14:paraId="1045D26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1"/>
        <w:ind w:left="0" w:hanging="252"/>
        <w:jc w:val="left"/>
        <w:rPr>
          <w:spacing w:val="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bdr w:val="single" w:color="auto" w:sz="2" w:space="0"/>
          <w:shd w:val="clear" w:fill="FFFFFF"/>
        </w:rPr>
        <w:t>CAR 计算正常：事件窗口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shd w:val="clear" w:fill="FFFFFF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222222"/>
          <w:spacing w:val="4"/>
          <w:sz w:val="16"/>
          <w:szCs w:val="16"/>
          <w:bdr w:val="single" w:color="auto" w:sz="2" w:space="0"/>
          <w:shd w:val="clear" w:fill="FFFFFF"/>
        </w:rPr>
        <w:t>[-1, 1]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bdr w:val="single" w:color="auto" w:sz="2" w:space="0"/>
          <w:shd w:val="clear" w:fill="FFFFFF"/>
        </w:rPr>
        <w:t>的累计超额收益均值为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bdr w:val="single" w:color="auto" w:sz="2" w:space="0"/>
          <w:shd w:val="clear" w:fill="FFFFFF"/>
        </w:rPr>
        <w:t>0.1181。这是一个非常有意思的初步发现，暗示在事件发生前后，AI 企业相对于大盘有显著的正向超额收益。</w:t>
      </w:r>
    </w:p>
    <w:p w14:paraId="164AB5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252"/>
        <w:jc w:val="left"/>
        <w:rPr>
          <w:spacing w:val="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4"/>
          <w:sz w:val="19"/>
          <w:szCs w:val="19"/>
          <w:bdr w:val="single" w:color="auto" w:sz="2" w:space="0"/>
          <w:shd w:val="clear" w:fill="FFFFFF"/>
        </w:rPr>
        <w:t>图表生成完毕：中英文两版平行趋势图均已保存，且由于对照组数据完整，现在的图表中应该能清晰地看到代表对照组的“0基准线”或平稳趋势线。</w:t>
      </w:r>
    </w:p>
    <w:p w14:paraId="046AA3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88EE7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654C4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</w:pPr>
      <w:r>
        <w:rPr>
          <w:rFonts w:hint="eastAsia"/>
          <w:i/>
          <w:iCs/>
          <w:caps w:val="0"/>
          <w:color w:val="A0A1A7"/>
          <w:spacing w:val="0"/>
          <w:lang w:val="en-US" w:eastAsia="zh-CN"/>
        </w:rPr>
        <w:t>生成的数据用</w:t>
      </w:r>
      <w:r>
        <w:rPr>
          <w:i/>
          <w:iCs/>
          <w:caps w:val="0"/>
          <w:color w:val="A0A1A7"/>
          <w:spacing w:val="0"/>
        </w:rPr>
        <w:t>核验脚本：check_step_03_output.py</w:t>
      </w:r>
      <w:r>
        <w:rPr>
          <w:rFonts w:hint="eastAsia"/>
          <w:i/>
          <w:iCs/>
          <w:caps w:val="0"/>
          <w:color w:val="A0A1A7"/>
          <w:spacing w:val="0"/>
          <w:lang w:val="en-US" w:eastAsia="zh-CN"/>
        </w:rPr>
        <w:t>检测</w:t>
      </w:r>
      <w:r>
        <w:rPr>
          <w:rFonts w:hint="eastAsia"/>
          <w:i/>
          <w:iCs/>
          <w:caps w:val="0"/>
          <w:color w:val="A0A1A7"/>
          <w:spacing w:val="0"/>
          <w:lang w:val="en-US" w:eastAsia="zh-CN"/>
        </w:rPr>
        <w:br w:type="textWrapping"/>
      </w:r>
      <w:r>
        <w:drawing>
          <wp:inline distT="0" distB="0" distL="114300" distR="114300">
            <wp:extent cx="5271770" cy="468947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E0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</w:pPr>
    </w:p>
    <w:p w14:paraId="77C472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44"/>
          <w:sz w:val="48"/>
          <w:szCs w:val="48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44"/>
          <w:sz w:val="48"/>
          <w:szCs w:val="48"/>
          <w:shd w:val="clear" w:fill="FFFFFF"/>
          <w:lang w:val="en-US" w:eastAsia="zh-CN" w:bidi="ar"/>
        </w:rPr>
        <w:t>步骤3.5 下载财务数据，用代码，</w:t>
      </w:r>
    </w:p>
    <w:p w14:paraId="46C5C407">
      <w:pPr>
        <w:pStyle w:val="5"/>
        <w:keepNext w:val="0"/>
        <w:keepLines w:val="0"/>
        <w:widowControl/>
        <w:suppressLineNumbers w:val="0"/>
        <w:rPr>
          <w:rFonts w:ascii="Microsoft YaHei UI" w:hAnsi="Microsoft YaHei UI" w:eastAsia="Microsoft YaHei UI" w:cs="Microsoft YaHei UI"/>
          <w:sz w:val="18"/>
          <w:szCs w:val="18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44"/>
          <w:sz w:val="28"/>
          <w:szCs w:val="28"/>
          <w:shd w:val="clear" w:fill="FFFFFF"/>
          <w:lang w:val="en-US" w:eastAsia="zh-CN" w:bidi="ar"/>
        </w:rPr>
        <w:t>然后下载1901-26.03的数据，所有季度数据合并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financialtest60.py</w:t>
      </w:r>
    </w:p>
    <w:p w14:paraId="2FC16460">
      <w:pPr>
        <w:pStyle w:val="5"/>
        <w:keepNext w:val="0"/>
        <w:keepLines w:val="0"/>
        <w:widowControl/>
        <w:suppressLineNumbers w:val="0"/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44"/>
          <w:sz w:val="28"/>
          <w:szCs w:val="28"/>
          <w:shd w:val="clear" w:fill="FFFFFF"/>
          <w:lang w:val="en-US" w:eastAsia="zh-CN" w:bidi="ar"/>
        </w:rPr>
        <w:t>，然后检查，然后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step_0102_clean_financial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44"/>
          <w:sz w:val="28"/>
          <w:szCs w:val="28"/>
          <w:shd w:val="clear" w:fill="FFFFFF"/>
          <w:lang w:val="en-US" w:eastAsia="zh-CN" w:bidi="ar"/>
        </w:rPr>
        <w:t>清洗，然后校验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check_financial_clean.py</w:t>
      </w:r>
    </w:p>
    <w:p w14:paraId="04F6DC54">
      <w:pPr>
        <w:pStyle w:val="5"/>
        <w:keepNext w:val="0"/>
        <w:keepLines w:val="0"/>
        <w:widowControl/>
        <w:suppressLineNumbers w:val="0"/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</w:pPr>
    </w:p>
    <w:p w14:paraId="367710A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  <w:lang w:val="en-US" w:eastAsia="zh-CN"/>
        </w:rPr>
        <w:t xml:space="preserve">运行这个  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step_02_build_monthly_panel.py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  <w:lang w:val="en-US" w:eastAsia="zh-CN"/>
        </w:rPr>
        <w:t xml:space="preserve">  得到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月度面板构建完成（含缩尾处理）</w:t>
      </w:r>
      <w:r>
        <w:drawing>
          <wp:inline distT="0" distB="0" distL="114300" distR="114300">
            <wp:extent cx="5264785" cy="2327910"/>
            <wp:effectExtent l="0" t="0" r="825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E3D9">
      <w:pPr>
        <w:pStyle w:val="5"/>
        <w:keepNext w:val="0"/>
        <w:keepLines w:val="0"/>
        <w:widowControl/>
        <w:suppressLineNumbers w:val="0"/>
        <w:rPr>
          <w:rFonts w:hint="default" w:ascii="Microsoft YaHei UI" w:hAnsi="Microsoft YaHei UI" w:eastAsia="Microsoft YaHei UI" w:cs="Microsoft YaHei UI"/>
          <w:sz w:val="18"/>
          <w:szCs w:val="18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！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 xml:space="preserve">  然后运行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step_02_validate_panel.py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  <w:lang w:val="en-US" w:eastAsia="zh-CN"/>
        </w:rPr>
        <w:t xml:space="preserve">  检查月度面板数据；</w:t>
      </w:r>
      <w:r>
        <w:drawing>
          <wp:inline distT="0" distB="0" distL="114300" distR="114300">
            <wp:extent cx="5267325" cy="4300855"/>
            <wp:effectExtent l="0" t="0" r="571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72025" cy="5572125"/>
            <wp:effectExtent l="0" t="0" r="133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293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</w:p>
    <w:p w14:paraId="67682E90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714625"/>
            <wp:effectExtent l="0" t="0" r="254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54910"/>
            <wp:effectExtent l="0" t="0" r="254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B1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step_03_did_regression.py</w:t>
      </w:r>
    </w:p>
    <w:p w14:paraId="6F2AD1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执行DID回归和绘图（约1-2分钟）</w:t>
      </w:r>
    </w:p>
    <w:p w14:paraId="647534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Style w:val="10"/>
          <w:rFonts w:ascii="var(--ds-font-family-code)" w:hAnsi="var(--ds-font-family-code)" w:eastAsia="var(--ds-font-family-code)" w:cs="var(--ds-font-family-code)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step_03_validate_regression.py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 核验结果是否符合预期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下图</w:t>
      </w:r>
    </w:p>
    <w:p w14:paraId="08E479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7A4A3676">
      <w:pPr>
        <w:pStyle w:val="5"/>
        <w:keepNext w:val="0"/>
        <w:keepLines w:val="0"/>
        <w:widowControl/>
        <w:suppressLineNumbers w:val="0"/>
        <w:rPr>
          <w:rFonts w:ascii="Microsoft YaHei UI" w:hAnsi="Microsoft YaHei UI" w:eastAsia="Microsoft YaHei UI" w:cs="Microsoft YaHei UI"/>
          <w:sz w:val="18"/>
          <w:szCs w:val="18"/>
        </w:rPr>
      </w:pPr>
    </w:p>
    <w:p w14:paraId="05E2B951">
      <w:pPr>
        <w:pStyle w:val="5"/>
        <w:keepNext w:val="0"/>
        <w:keepLines w:val="0"/>
        <w:widowControl/>
        <w:suppressLineNumbers w:val="0"/>
      </w:pPr>
    </w:p>
    <w:p w14:paraId="4D0CF4A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4122420"/>
            <wp:effectExtent l="0" t="0" r="1397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CF58">
      <w:pPr>
        <w:pStyle w:val="5"/>
        <w:keepNext w:val="0"/>
        <w:keepLines w:val="0"/>
        <w:widowControl/>
        <w:suppressLineNumbers w:val="0"/>
      </w:pPr>
    </w:p>
    <w:p w14:paraId="3DA3C5C5">
      <w:pPr>
        <w:pStyle w:val="5"/>
        <w:keepNext w:val="0"/>
        <w:keepLines w:val="0"/>
        <w:widowControl/>
        <w:suppressLineNumbers w:val="0"/>
      </w:pPr>
    </w:p>
    <w:p w14:paraId="2200010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726690"/>
            <wp:effectExtent l="0" t="0" r="1397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7EDA">
      <w:pPr>
        <w:pStyle w:val="5"/>
        <w:keepNext w:val="0"/>
        <w:keepLines w:val="0"/>
        <w:widowControl/>
        <w:suppressLineNumbers w:val="0"/>
      </w:pPr>
    </w:p>
    <w:p w14:paraId="039121A1">
      <w:pPr>
        <w:pStyle w:val="5"/>
        <w:keepNext w:val="0"/>
        <w:keepLines w:val="0"/>
        <w:widowControl/>
        <w:suppressLineNumbers w:val="0"/>
        <w:rPr>
          <w:rFonts w:ascii="Microsoft YaHei UI" w:hAnsi="Microsoft YaHei UI" w:eastAsia="Microsoft YaHei UI" w:cs="Microsoft YaHei UI"/>
          <w:sz w:val="18"/>
          <w:szCs w:val="18"/>
        </w:rPr>
      </w:pPr>
      <w:r>
        <w:rPr>
          <w:rFonts w:hint="eastAsia"/>
          <w:lang w:val="en-US" w:eastAsia="zh-CN"/>
        </w:rPr>
        <w:t>财务数据添加，之前忘记了：通过超级命令，下载60个公司 2019一季度----2026二季度，所有的三十个季度，1800财务报表数据，</w:t>
      </w:r>
      <w:r>
        <w:drawing>
          <wp:inline distT="0" distB="0" distL="114300" distR="114300">
            <wp:extent cx="5272405" cy="2357755"/>
            <wp:effectExtent l="0" t="0" r="635" b="44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step_02_build_monthly_panel</w:t>
      </w:r>
    </w:p>
    <w:p w14:paraId="105855EA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 w14:paraId="20AF33A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四、本步骤目的与意义</w:t>
      </w:r>
    </w:p>
    <w:p w14:paraId="76061FB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步骤二的核心任务：将日度行情数据聚合为月度面板，并与季度财务数据合并。</w:t>
      </w:r>
    </w:p>
    <w:p w14:paraId="01B227A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这一步是连接“数据清洗”与“DID回归”的桥梁：</w:t>
      </w:r>
    </w:p>
    <w:p w14:paraId="38200F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日度数据 → 月度聚合（月收益、月超额收益）</w:t>
      </w:r>
    </w:p>
    <w:p w14:paraId="785A2E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季度财务数据 → 匹配到月度（用前向填充）</w:t>
      </w:r>
    </w:p>
    <w:p w14:paraId="12EB72F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生成事件时间变量（Post、event_time）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然后用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step_02_validate_panel</w:t>
      </w:r>
      <w:r>
        <w:rPr>
          <w:rFonts w:hint="eastAsia" w:eastAsia="宋体"/>
          <w:lang w:val="en-US" w:eastAsia="zh-CN"/>
        </w:rPr>
        <w:t>校验，新的数据看看。</w:t>
      </w:r>
      <w:r>
        <w:drawing>
          <wp:inline distT="0" distB="0" distL="114300" distR="114300">
            <wp:extent cx="5269230" cy="2896235"/>
            <wp:effectExtent l="0" t="0" r="3810" b="146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1"/>
          <w:rFonts w:hint="eastAsia"/>
          <w:b/>
          <w:bCs/>
          <w:lang w:val="en-US" w:eastAsia="zh-CN"/>
        </w:rPr>
        <w:t>重新加入步骤三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DID回归分析与事件研究</w:t>
      </w:r>
    </w:p>
    <w:p w14:paraId="312BB726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step_03_did_regression.py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  <w:lang w:eastAsia="zh-CN"/>
        </w:rPr>
        <w:t>，</w:t>
      </w:r>
      <w:r>
        <w:drawing>
          <wp:inline distT="0" distB="0" distL="114300" distR="114300">
            <wp:extent cx="5270500" cy="3162300"/>
            <wp:effectExtent l="0" t="0" r="2540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767455"/>
            <wp:effectExtent l="0" t="0" r="13970" b="1206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然后校验看看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step_03_validate_output</w:t>
      </w:r>
    </w:p>
    <w:p w14:paraId="2A4B477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  <w:lang w:val="en-US" w:eastAsia="zh-CN"/>
        </w:rPr>
      </w:pPr>
      <w:r>
        <w:drawing>
          <wp:inline distT="0" distB="0" distL="114300" distR="114300">
            <wp:extent cx="5273040" cy="2010410"/>
            <wp:effectExtent l="0" t="0" r="0" b="127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C011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 w14:paraId="0680C6C2">
      <w:pPr>
        <w:pStyle w:val="5"/>
        <w:keepNext w:val="0"/>
        <w:keepLines w:val="0"/>
        <w:widowControl/>
        <w:suppressLineNumbers w:val="0"/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</w:pPr>
    </w:p>
    <w:p w14:paraId="78B28F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44"/>
          <w:sz w:val="48"/>
          <w:szCs w:val="48"/>
          <w:shd w:val="clear" w:fill="FFFFFF"/>
          <w:lang w:val="en-US" w:eastAsia="zh-CN" w:bidi="ar"/>
        </w:rPr>
      </w:pPr>
    </w:p>
    <w:p w14:paraId="0FC6C6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</w:pPr>
    </w:p>
    <w:p w14:paraId="551D186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步骤4：稳健性检验（Robustness Checks）</w:t>
      </w:r>
      <w:r>
        <w:drawing>
          <wp:inline distT="0" distB="0" distL="114300" distR="114300">
            <wp:extent cx="5265420" cy="2897505"/>
            <wp:effectExtent l="0" t="0" r="7620" b="1333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899410"/>
            <wp:effectExtent l="0" t="0" r="4445" b="1143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B833"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然后用</w:t>
      </w:r>
      <w:r>
        <w:rPr>
          <w:rFonts w:hint="eastAsia" w:ascii="Microsoft YaHei UI" w:hAnsi="Microsoft YaHei UI" w:eastAsia="Microsoft YaHei UI" w:cs="Microsoft YaHei UI"/>
          <w:color w:val="BCBEC4"/>
          <w:sz w:val="18"/>
          <w:szCs w:val="18"/>
          <w:shd w:val="clear" w:fill="191A1C"/>
        </w:rPr>
        <w:t>step_04_validate_robustness.py</w:t>
      </w:r>
      <w:r>
        <w:rPr>
          <w:rFonts w:hint="eastAsia"/>
          <w:lang w:val="en-US" w:eastAsia="zh-CN"/>
        </w:rPr>
        <w:t>校验</w:t>
      </w:r>
      <w:r>
        <w:drawing>
          <wp:inline distT="0" distB="0" distL="114300" distR="114300">
            <wp:extent cx="5272405" cy="4258310"/>
            <wp:effectExtent l="0" t="0" r="635" b="889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16605"/>
            <wp:effectExtent l="0" t="0" r="1905" b="571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31C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谷歌版，修正流程看看：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行动一：用 linearmodels.PanelOLS 重写固定效应模型</w:t>
      </w:r>
    </w:p>
    <w:p w14:paraId="712EC9BD">
      <w:r>
        <w:drawing>
          <wp:inline distT="0" distB="0" distL="114300" distR="114300">
            <wp:extent cx="5272405" cy="2978785"/>
            <wp:effectExtent l="0" t="0" r="635" b="825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81C8E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7A85D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7325" cy="2949575"/>
            <wp:effectExtent l="0" t="0" r="5715" b="698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56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</w:pPr>
    </w:p>
    <w:p w14:paraId="16AFFC4D">
      <w:pPr>
        <w:pStyle w:val="6"/>
        <w:keepNext w:val="0"/>
        <w:keepLines w:val="0"/>
        <w:widowControl/>
        <w:suppressLineNumbers w:val="0"/>
      </w:pPr>
      <w:r>
        <w:rPr>
          <w:rStyle w:val="11"/>
          <w:rFonts w:hint="eastAsia"/>
          <w:lang w:val="en-US" w:eastAsia="zh-CN"/>
        </w:rPr>
        <w:t>Codex</w:t>
      </w:r>
      <w:r>
        <w:rPr>
          <w:rFonts w:hint="eastAsia"/>
          <w:lang w:val="en-US" w:eastAsia="zh-CN"/>
        </w:rPr>
        <w:t xml:space="preserve"> </w:t>
      </w:r>
      <w:r>
        <w:t>步骤12已经创建、修正、自动运行并完成独立核验。月度收益计算已修复且验证通过，但核心识别仍未通过，说明预趋势问题不是旧收益公式单独造成的。</w:t>
      </w:r>
    </w:p>
    <w:p w14:paraId="073CD67A">
      <w:pPr>
        <w:pStyle w:val="6"/>
        <w:keepNext w:val="0"/>
        <w:keepLines w:val="0"/>
        <w:widowControl/>
        <w:suppressLineNumbers w:val="0"/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t>没有删除任何文件，也没有覆盖原始面板。</w:t>
      </w:r>
      <w:r>
        <w:br w:type="textWrapping"/>
      </w:r>
      <w:r>
        <w:rPr>
          <w:rFonts w:hint="eastAsia"/>
          <w:lang w:val="en-US" w:eastAsia="zh-CN"/>
        </w:rPr>
        <w:t>输入数据：</w:t>
      </w:r>
      <w:r>
        <w:rPr>
          <w:rStyle w:val="10"/>
          <w:rFonts w:ascii="宋体" w:hAnsi="宋体" w:eastAsia="宋体" w:cs="宋体"/>
          <w:sz w:val="24"/>
          <w:szCs w:val="24"/>
        </w:rPr>
        <w:t>zongdegupiao.csv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 xml:space="preserve"> 和大盘</w:t>
      </w:r>
    </w:p>
    <w:p w14:paraId="3C10AC70">
      <w:pPr>
        <w:pStyle w:val="6"/>
        <w:keepNext w:val="0"/>
        <w:keepLines w:val="0"/>
        <w:widowControl/>
        <w:suppressLineNumbers w:val="0"/>
        <w:rPr>
          <w:rStyle w:val="10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输出</w:t>
      </w:r>
    </w:p>
    <w:p w14:paraId="6FF1026C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table_b1_old_new_return_comparison.csv</w:t>
      </w:r>
      <w:r>
        <w:t>：新旧收益口径比较。</w:t>
      </w:r>
    </w:p>
    <w:p w14:paraId="3AB11BA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table_b2_largest_return_differences.csv</w:t>
      </w:r>
      <w:r>
        <w:t>：新旧口径差异最大的观测。</w:t>
      </w:r>
    </w:p>
    <w:p w14:paraId="426C89C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table_b3_corrected_did_and_placebo.csv</w:t>
      </w:r>
      <w:r>
        <w:t>：修正收益后的基准DID及正式安慰剂。</w:t>
      </w:r>
    </w:p>
    <w:p w14:paraId="735A0E3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table_b4_corrected_rolling_placebo.csv</w:t>
      </w:r>
      <w:r>
        <w:t>：修正收益后的滚动伪事件。</w:t>
      </w:r>
    </w:p>
    <w:p w14:paraId="434A8AF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table_b5_corrected_dynamic_did.csv</w:t>
      </w:r>
      <w:r>
        <w:t>：修正收益后的动态DID。</w:t>
      </w:r>
    </w:p>
    <w:p w14:paraId="6CEC971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table_b6_corrected_pretrend_tests.csv</w:t>
      </w:r>
      <w:r>
        <w:t>：不同事前窗口联合检验。</w:t>
      </w:r>
    </w:p>
    <w:p w14:paraId="332455F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table_b7_manual_recalculation_check.csv</w:t>
      </w:r>
      <w:r>
        <w:t>：10个公司—月份的日度手工重算核验。</w:t>
      </w:r>
    </w:p>
    <w:p w14:paraId="086DDF5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figure_b1_corrected_dynamic_did.png</w:t>
      </w:r>
      <w:r>
        <w:t>：修正后的动态DID图。</w:t>
      </w:r>
    </w:p>
    <w:p w14:paraId="4E750E64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step12_rebuild_and_identification_log.txt</w:t>
      </w:r>
      <w:r>
        <w:t>：完整运行日志。本步骤目的与意义</w:t>
      </w:r>
    </w:p>
    <w:p w14:paraId="1DDB0E20">
      <w:pPr>
        <w:pStyle w:val="3"/>
        <w:keepNext w:val="0"/>
        <w:keepLines w:val="0"/>
        <w:widowControl/>
        <w:suppressLineNumbers w:val="0"/>
      </w:pPr>
      <w:r>
        <w:t>1. 收益计算已经修正</w:t>
      </w:r>
    </w:p>
    <w:p w14:paraId="07F940A0">
      <w:pPr>
        <w:pStyle w:val="6"/>
        <w:keepNext w:val="0"/>
        <w:keepLines w:val="0"/>
        <w:widowControl/>
        <w:suppressLineNumbers w:val="0"/>
      </w:pPr>
      <w:r>
        <w:t>旧口径：</w:t>
      </w:r>
    </w:p>
    <w:p w14:paraId="6B22DD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\prod(1+StockRet_d-IndexRet_d)-1 \]</w:t>
      </w:r>
    </w:p>
    <w:p w14:paraId="13422A66">
      <w:pPr>
        <w:pStyle w:val="6"/>
        <w:keepNext w:val="0"/>
        <w:keepLines w:val="0"/>
        <w:widowControl/>
        <w:suppressLineNumbers w:val="0"/>
      </w:pPr>
      <w:r>
        <w:t>新口径：</w:t>
      </w:r>
    </w:p>
    <w:p w14:paraId="2E8472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StockRet_m=\prod(1+StockRet_d)-1 \]\[ IndexRet_m=\prod(1+IndexRet_d)-1 \]\[ ExcessRet_m=StockRet_m-IndexRet_m \]</w:t>
      </w:r>
    </w:p>
    <w:p w14:paraId="695FFEB1">
      <w:pPr>
        <w:pStyle w:val="3"/>
        <w:keepNext w:val="0"/>
        <w:keepLines w:val="0"/>
        <w:widowControl/>
        <w:suppressLineNumbers w:val="0"/>
      </w:pPr>
      <w:r>
        <w:t>2. 收益修正核验结果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1415"/>
      </w:tblGrid>
      <w:tr w14:paraId="03635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84CF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核验项目</w:t>
            </w:r>
          </w:p>
        </w:tc>
        <w:tc>
          <w:tcPr>
            <w:tcW w:w="0" w:type="auto"/>
            <w:shd w:val="clear"/>
            <w:vAlign w:val="center"/>
          </w:tcPr>
          <w:p w14:paraId="4C058C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20B24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17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面板观测值</w:t>
            </w:r>
          </w:p>
        </w:tc>
        <w:tc>
          <w:tcPr>
            <w:tcW w:w="0" w:type="auto"/>
            <w:shd w:val="clear"/>
            <w:vAlign w:val="center"/>
          </w:tcPr>
          <w:p w14:paraId="2CBE6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5269</w:t>
            </w:r>
          </w:p>
        </w:tc>
      </w:tr>
      <w:tr w14:paraId="7BD86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77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公司—月份重复数</w:t>
            </w:r>
          </w:p>
        </w:tc>
        <w:tc>
          <w:tcPr>
            <w:tcW w:w="0" w:type="auto"/>
            <w:shd w:val="clear"/>
            <w:vAlign w:val="center"/>
          </w:tcPr>
          <w:p w14:paraId="34D8A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26CC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06B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未匹配收益记录</w:t>
            </w:r>
          </w:p>
        </w:tc>
        <w:tc>
          <w:tcPr>
            <w:tcW w:w="0" w:type="auto"/>
            <w:shd w:val="clear"/>
            <w:vAlign w:val="center"/>
          </w:tcPr>
          <w:p w14:paraId="78A93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CDF9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77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收益恒等式最大误差</w:t>
            </w:r>
          </w:p>
        </w:tc>
        <w:tc>
          <w:tcPr>
            <w:tcW w:w="0" w:type="auto"/>
            <w:shd w:val="clear"/>
            <w:vAlign w:val="center"/>
          </w:tcPr>
          <w:p w14:paraId="24455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约4×10⁻¹⁶</w:t>
            </w:r>
          </w:p>
        </w:tc>
      </w:tr>
      <w:tr w14:paraId="16D63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30A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随机抽取10个公司—月份重算</w:t>
            </w:r>
          </w:p>
        </w:tc>
        <w:tc>
          <w:tcPr>
            <w:tcW w:w="0" w:type="auto"/>
            <w:shd w:val="clear"/>
            <w:vAlign w:val="center"/>
          </w:tcPr>
          <w:p w14:paraId="5ECAC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全部通过</w:t>
            </w:r>
          </w:p>
        </w:tc>
      </w:tr>
      <w:tr w14:paraId="4C40F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1D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日度个股重复记录</w:t>
            </w:r>
          </w:p>
        </w:tc>
        <w:tc>
          <w:tcPr>
            <w:tcW w:w="0" w:type="auto"/>
            <w:shd w:val="clear"/>
            <w:vAlign w:val="center"/>
          </w:tcPr>
          <w:p w14:paraId="52412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3832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C8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最终使用的指数</w:t>
            </w:r>
          </w:p>
        </w:tc>
        <w:tc>
          <w:tcPr>
            <w:tcW w:w="0" w:type="auto"/>
            <w:shd w:val="clear"/>
            <w:vAlign w:val="center"/>
          </w:tcPr>
          <w:p w14:paraId="51C41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000001.SH</w:t>
            </w:r>
          </w:p>
        </w:tc>
      </w:tr>
    </w:tbl>
    <w:p w14:paraId="2248E76A">
      <w:pPr>
        <w:pStyle w:val="6"/>
        <w:keepNext w:val="0"/>
        <w:keepLines w:val="0"/>
        <w:widowControl/>
        <w:suppressLineNumbers w:val="0"/>
      </w:pPr>
      <w:r>
        <w:t>计算误差约为浮点数舍入误差，可以视为严格一致。</w:t>
      </w:r>
    </w:p>
    <w:p w14:paraId="0EA31EEB">
      <w:pPr>
        <w:pStyle w:val="3"/>
        <w:keepNext w:val="0"/>
        <w:keepLines w:val="0"/>
        <w:widowControl/>
        <w:suppressLineNumbers w:val="0"/>
      </w:pPr>
      <w:r>
        <w:t>3. 新旧收益差异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176"/>
      </w:tblGrid>
      <w:tr w14:paraId="1A10F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D9C0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A6B81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</w:tr>
      <w:tr w14:paraId="08395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3D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旧口径均值</w:t>
            </w:r>
          </w:p>
        </w:tc>
        <w:tc>
          <w:tcPr>
            <w:tcW w:w="0" w:type="auto"/>
            <w:shd w:val="clear"/>
            <w:vAlign w:val="center"/>
          </w:tcPr>
          <w:p w14:paraId="4B021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0.019263</w:t>
            </w:r>
          </w:p>
        </w:tc>
      </w:tr>
      <w:tr w14:paraId="2E5A8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93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新口径均值</w:t>
            </w:r>
          </w:p>
        </w:tc>
        <w:tc>
          <w:tcPr>
            <w:tcW w:w="0" w:type="auto"/>
            <w:shd w:val="clear"/>
            <w:vAlign w:val="center"/>
          </w:tcPr>
          <w:p w14:paraId="37685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0.018921</w:t>
            </w:r>
          </w:p>
        </w:tc>
      </w:tr>
      <w:tr w14:paraId="17131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D01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平均差值</w:t>
            </w:r>
          </w:p>
        </w:tc>
        <w:tc>
          <w:tcPr>
            <w:tcW w:w="0" w:type="auto"/>
            <w:shd w:val="clear"/>
            <w:vAlign w:val="center"/>
          </w:tcPr>
          <w:p w14:paraId="0D150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−0.000342</w:t>
            </w:r>
          </w:p>
        </w:tc>
      </w:tr>
      <w:tr w14:paraId="39FB5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EC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平均绝对差值</w:t>
            </w:r>
          </w:p>
        </w:tc>
        <w:tc>
          <w:tcPr>
            <w:tcW w:w="0" w:type="auto"/>
            <w:shd w:val="clear"/>
            <w:vAlign w:val="center"/>
          </w:tcPr>
          <w:p w14:paraId="5EC6E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0.003758</w:t>
            </w:r>
          </w:p>
        </w:tc>
      </w:tr>
      <w:tr w14:paraId="0A29C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2CA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最大绝对差值</w:t>
            </w:r>
          </w:p>
        </w:tc>
        <w:tc>
          <w:tcPr>
            <w:tcW w:w="0" w:type="auto"/>
            <w:shd w:val="clear"/>
            <w:vAlign w:val="center"/>
          </w:tcPr>
          <w:p w14:paraId="0D997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0.089370</w:t>
            </w:r>
          </w:p>
        </w:tc>
      </w:tr>
      <w:tr w14:paraId="6B675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FB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新旧相关系数</w:t>
            </w:r>
          </w:p>
        </w:tc>
        <w:tc>
          <w:tcPr>
            <w:tcW w:w="0" w:type="auto"/>
            <w:shd w:val="clear"/>
            <w:vAlign w:val="center"/>
          </w:tcPr>
          <w:p w14:paraId="03579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0.999191</w:t>
            </w:r>
          </w:p>
        </w:tc>
      </w:tr>
    </w:tbl>
    <w:p w14:paraId="297E9DD5">
      <w:pPr>
        <w:pStyle w:val="6"/>
        <w:keepNext w:val="0"/>
        <w:keepLines w:val="0"/>
        <w:widowControl/>
        <w:suppressLineNumbers w:val="0"/>
      </w:pPr>
      <w:r>
        <w:t>旧口径确实不规范，但新旧收益高度相关。因此修正后没有改变核心识别结论。</w:t>
      </w:r>
    </w:p>
    <w:p w14:paraId="6D73ED3F">
      <w:pPr>
        <w:pStyle w:val="2"/>
        <w:bidi w:val="0"/>
      </w:pPr>
      <w:r>
        <w:t>步骤13已经创建、运行并核验完成。</w:t>
      </w:r>
    </w:p>
    <w:p w14:paraId="618F18EC">
      <w:pPr>
        <w:pStyle w:val="2"/>
        <w:keepNext w:val="0"/>
        <w:keepLines w:val="0"/>
        <w:widowControl/>
        <w:suppressLineNumbers w:val="0"/>
      </w:pPr>
      <w:r>
        <w:t>一：全量文件详细</w:t>
      </w:r>
    </w:p>
    <w:p w14:paraId="0B0D7115">
      <w:pPr>
        <w:pStyle w:val="3"/>
        <w:keepNext w:val="0"/>
        <w:keepLines w:val="0"/>
        <w:widowControl/>
        <w:suppressLineNumbers w:val="0"/>
      </w:pPr>
      <w:r>
        <w:t>1. 步骤13A：三层样本分类与影响审计</w:t>
      </w:r>
    </w:p>
    <w:p w14:paraId="5977D576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step_13a_audit_layer_classification.py</w:t>
      </w:r>
      <w:r>
        <w:br w:type="textWrapping"/>
      </w:r>
      <w:r>
        <w:t>完整路径：[打开步骤13A](D:/thailand study/26_7_23paper/04_code/step_13a_audit_layer_classification.py)</w:t>
      </w:r>
      <w:r>
        <w:br w:type="textWrapping"/>
      </w:r>
      <w:r>
        <w:t>文件作用：</w:t>
      </w:r>
    </w:p>
    <w:p w14:paraId="3AC99A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纳入全部60家公司；</w:t>
      </w:r>
    </w:p>
    <w:p w14:paraId="039722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以下游为参考组估计上游和中游差异；</w:t>
      </w:r>
    </w:p>
    <w:p w14:paraId="0549BA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检查各层数据覆盖；</w:t>
      </w:r>
    </w:p>
    <w:p w14:paraId="66D84A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识别预趋势阶段的公司贡献；</w:t>
      </w:r>
    </w:p>
    <w:p w14:paraId="76F046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对60家公司逐一进行留一公司诊断；</w:t>
      </w:r>
    </w:p>
    <w:p w14:paraId="64CEC3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检查Layer分类证据是否完整。</w:t>
      </w:r>
    </w:p>
    <w:p w14:paraId="2A0325D7">
      <w:pPr>
        <w:pStyle w:val="3"/>
        <w:keepNext w:val="0"/>
        <w:keepLines w:val="0"/>
        <w:widowControl/>
        <w:suppressLineNumbers w:val="0"/>
      </w:pPr>
      <w:r>
        <w:t>2. 步骤13B：完整日度事件研究</w:t>
      </w:r>
    </w:p>
    <w:p w14:paraId="20D7EA37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step_13b_daily_event_study.py</w:t>
      </w:r>
      <w:r>
        <w:br w:type="textWrapping"/>
      </w:r>
      <w:r>
        <w:t>完整路径：[打开步骤13B](D:/thailand study/26_7_23paper/04_code/step_13b_daily_event_study.py)</w:t>
      </w:r>
      <w:r>
        <w:br w:type="textWrapping"/>
      </w:r>
      <w:r>
        <w:t>文件作用：</w:t>
      </w:r>
    </w:p>
    <w:p w14:paraId="262643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纳入全部60家公司；</w:t>
      </w:r>
    </w:p>
    <w:p w14:paraId="3005BE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计算360条公司层CAR；</w:t>
      </w:r>
    </w:p>
    <w:p w14:paraId="4141FD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报告54个两两比较；</w:t>
      </w:r>
    </w:p>
    <w:p w14:paraId="4FCB76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报告18个三层梯度检验；</w:t>
      </w:r>
    </w:p>
    <w:p w14:paraId="11150F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同时使用三个市场指数；</w:t>
      </w:r>
    </w:p>
    <w:p w14:paraId="6CE5B4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不根据显著性选择日期、窗口或指数。</w:t>
      </w:r>
    </w:p>
    <w:p w14:paraId="0A46B31F">
      <w:pPr>
        <w:pStyle w:val="3"/>
        <w:keepNext w:val="0"/>
        <w:keepLines w:val="0"/>
        <w:widowControl/>
        <w:suppressLineNumbers w:val="0"/>
      </w:pPr>
      <w:r>
        <w:t>3. 联合核验程序</w:t>
      </w:r>
    </w:p>
    <w:p w14:paraId="05619699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validate_step_13.py</w:t>
      </w:r>
      <w:r>
        <w:br w:type="textWrapping"/>
      </w:r>
      <w:r>
        <w:t>完整路径：[打开核验程序](D:/thailand study/26_7_23paper/04_code/validate_step_13.py)</w:t>
      </w:r>
      <w:r>
        <w:br w:type="textWrapping"/>
      </w:r>
      <w:r>
        <w:t>文件作用：自动核验公司数量、CAR数量、两两比较、梯度检验、估计窗口和分类证据。</w:t>
      </w:r>
    </w:p>
    <w:p w14:paraId="73F91F69">
      <w:pPr>
        <w:pStyle w:val="2"/>
        <w:keepNext w:val="0"/>
        <w:keepLines w:val="0"/>
        <w:widowControl/>
        <w:suppressLineNumbers w:val="0"/>
      </w:pPr>
      <w:r>
        <w:t>三：输出文件列表</w:t>
      </w:r>
    </w:p>
    <w:p w14:paraId="064A15DE">
      <w:pPr>
        <w:pStyle w:val="3"/>
        <w:keepNext w:val="0"/>
        <w:keepLines w:val="0"/>
        <w:widowControl/>
        <w:suppressLineNumbers w:val="0"/>
      </w:pPr>
      <w:r>
        <w:t>1. 步骤13A输出</w:t>
      </w:r>
    </w:p>
    <w:p w14:paraId="14A4F812">
      <w:pPr>
        <w:pStyle w:val="6"/>
        <w:keepNext w:val="0"/>
        <w:keepLines w:val="0"/>
        <w:widowControl/>
        <w:suppressLineNumbers w:val="0"/>
      </w:pPr>
      <w:r>
        <w:t>目录：</w:t>
      </w:r>
    </w:p>
    <w:p w14:paraId="401904E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D:\thailand study\26_7_23paper\05_output\revision_step13a\tables</w:t>
      </w:r>
    </w:p>
    <w:p w14:paraId="7822A42E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table_c1_firm_layer_and_coverage.csv</w:t>
      </w:r>
      <w:r>
        <w:br w:type="textWrapping"/>
      </w:r>
      <w:r>
        <w:t>文件作用：60家公司代码、Layer、数据期间、月数和收益统计。</w:t>
      </w:r>
    </w:p>
    <w:p w14:paraId="45DA492B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table_c2_layer_balance.csv</w:t>
      </w:r>
      <w:r>
        <w:br w:type="textWrapping"/>
      </w:r>
      <w:r>
        <w:t>文件作用：上、中、下游样本量、规模、ROA、杠杆率和收益对比。</w:t>
      </w:r>
    </w:p>
    <w:p w14:paraId="15254439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table_c3_pretrend_firm_contribution.csv</w:t>
      </w:r>
      <w:r>
        <w:br w:type="textWrapping"/>
      </w:r>
      <w:r>
        <w:t>文件作用：识别2024年8月至11月预趋势阶段贡献较大的公司。</w:t>
      </w:r>
    </w:p>
    <w:p w14:paraId="1F9BD6C1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table_c4_leave_one_firm_out.csv</w:t>
      </w:r>
      <w:r>
        <w:br w:type="textWrapping"/>
      </w:r>
      <w:r>
        <w:t>文件作用：逐一排除60家公司后的PanelOLS系数；仅用于影响诊断，不用于删除不利样本。</w:t>
      </w:r>
    </w:p>
    <w:p w14:paraId="00A13F05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table_c5_classification_evidence_gap.csv</w:t>
      </w:r>
      <w:r>
        <w:br w:type="textWrapping"/>
      </w:r>
      <w:r>
        <w:t>文件作用：检查公司名称、分类理由、来源和分类日期等证据缺口。</w:t>
      </w:r>
    </w:p>
    <w:p w14:paraId="6DFDAE56">
      <w:pPr>
        <w:pStyle w:val="3"/>
        <w:keepNext w:val="0"/>
        <w:keepLines w:val="0"/>
        <w:widowControl/>
        <w:suppressLineNumbers w:val="0"/>
      </w:pPr>
      <w:r>
        <w:t>2. 步骤13B输出</w:t>
      </w:r>
    </w:p>
    <w:p w14:paraId="40C837C1">
      <w:pPr>
        <w:pStyle w:val="6"/>
        <w:keepNext w:val="0"/>
        <w:keepLines w:val="0"/>
        <w:widowControl/>
        <w:suppressLineNumbers w:val="0"/>
      </w:pPr>
      <w:r>
        <w:t>目录：</w:t>
      </w:r>
    </w:p>
    <w:p w14:paraId="5C151B1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D:\thailand study\26_7_23paper\05_output\revision_step13b\tables</w:t>
      </w:r>
    </w:p>
    <w:p w14:paraId="68E10251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table_d1_firm_level_car.csv</w:t>
      </w:r>
      <w:r>
        <w:br w:type="textWrapping"/>
      </w:r>
      <w:r>
        <w:t>文件作用：360条公司层CAR：</w:t>
      </w:r>
    </w:p>
    <w:p w14:paraId="282C7A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\[ 60家公司\times2个事件\times3个指数=360 \]</w:t>
      </w:r>
    </w:p>
    <w:p w14:paraId="6EF7CFA7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table_d2_upstream_downstream_car_comparison.csv</w:t>
      </w:r>
      <w:r>
        <w:br w:type="textWrapping"/>
      </w:r>
      <w:r>
        <w:t>文件作用：54个两两比较：</w:t>
      </w:r>
    </w:p>
    <w:p w14:paraId="09C37C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\[ 2事件\times3指数\times3窗口\times3组比较=54 \]</w:t>
      </w:r>
    </w:p>
    <w:p w14:paraId="07A81618">
      <w:pPr>
        <w:pStyle w:val="6"/>
        <w:keepNext w:val="0"/>
        <w:keepLines w:val="0"/>
        <w:widowControl/>
        <w:suppressLineNumbers w:val="0"/>
      </w:pPr>
      <w:r>
        <w:t>三组比较包括：</w:t>
      </w:r>
    </w:p>
    <w:p w14:paraId="1495A6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上游 vs 下游；</w:t>
      </w:r>
    </w:p>
    <w:p w14:paraId="7DCA4F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上游 vs 中游；</w:t>
      </w:r>
    </w:p>
    <w:p w14:paraId="09423F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中游 vs 下游。</w:t>
      </w:r>
    </w:p>
    <w:p w14:paraId="34B29C18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table_d3_layer_gradient_tests.csv</w:t>
      </w:r>
      <w:r>
        <w:br w:type="textWrapping"/>
      </w:r>
      <w:r>
        <w:t>文件作用：18个产业链梯度检验：</w:t>
      </w:r>
    </w:p>
    <w:p w14:paraId="6E75DF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\[ 2事件\times3指数\times3窗口=18 \]</w:t>
      </w:r>
    </w:p>
    <w:p w14:paraId="51156FC5">
      <w:pPr>
        <w:pStyle w:val="6"/>
        <w:keepNext w:val="0"/>
        <w:keepLines w:val="0"/>
        <w:widowControl/>
        <w:suppressLineNumbers w:val="0"/>
      </w:pPr>
      <w:r>
        <w:t>文件名：</w:t>
      </w:r>
      <w:r>
        <w:rPr>
          <w:rStyle w:val="10"/>
        </w:rPr>
        <w:t>table_d4_daily_data_quality_exclusions.csv</w:t>
      </w:r>
      <w:r>
        <w:br w:type="textWrapping"/>
      </w:r>
      <w:r>
        <w:t>文件作用：记录因估计窗口不足而被排除的公司。本次为空，表示没有公司被排除。</w:t>
      </w:r>
    </w:p>
    <w:p w14:paraId="0148651B">
      <w:pPr>
        <w:pStyle w:val="2"/>
        <w:keepNext w:val="0"/>
        <w:keepLines w:val="0"/>
        <w:widowControl/>
        <w:suppressLineNumbers w:val="0"/>
      </w:pPr>
      <w:r>
        <w:t>四：本步骤目的与意义</w:t>
      </w:r>
    </w:p>
    <w:p w14:paraId="72DBB626">
      <w:pPr>
        <w:pStyle w:val="3"/>
        <w:keepNext w:val="0"/>
        <w:keepLines w:val="0"/>
        <w:widowControl/>
        <w:suppressLineNumbers w:val="0"/>
      </w:pPr>
      <w:r>
        <w:t>1. 修正了此前40家公司问题</w:t>
      </w:r>
    </w:p>
    <w:p w14:paraId="5E4480D2">
      <w:pPr>
        <w:pStyle w:val="6"/>
        <w:keepNext w:val="0"/>
        <w:keepLines w:val="0"/>
        <w:widowControl/>
        <w:suppressLineNumbers w:val="0"/>
      </w:pPr>
      <w:r>
        <w:t>正式步骤13现在使用：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798"/>
      </w:tblGrid>
      <w:tr w14:paraId="4919F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71FF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7877BE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公司数</w:t>
            </w:r>
          </w:p>
        </w:tc>
      </w:tr>
      <w:tr w14:paraId="725EC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1A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上游</w:t>
            </w:r>
          </w:p>
        </w:tc>
        <w:tc>
          <w:tcPr>
            <w:tcW w:w="0" w:type="auto"/>
            <w:shd w:val="clear"/>
            <w:vAlign w:val="center"/>
          </w:tcPr>
          <w:p w14:paraId="2AE9E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13FD1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8C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中游</w:t>
            </w:r>
          </w:p>
        </w:tc>
        <w:tc>
          <w:tcPr>
            <w:tcW w:w="0" w:type="auto"/>
            <w:shd w:val="clear"/>
            <w:vAlign w:val="center"/>
          </w:tcPr>
          <w:p w14:paraId="00A65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728CB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38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下游</w:t>
            </w:r>
          </w:p>
        </w:tc>
        <w:tc>
          <w:tcPr>
            <w:tcW w:w="0" w:type="auto"/>
            <w:shd w:val="clear"/>
            <w:vAlign w:val="center"/>
          </w:tcPr>
          <w:p w14:paraId="0920B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058E6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FA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3F89C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</w:tbl>
    <w:p w14:paraId="64DC2F52">
      <w:pPr>
        <w:pStyle w:val="6"/>
        <w:keepNext w:val="0"/>
        <w:keepLines w:val="0"/>
        <w:widowControl/>
        <w:suppressLineNumbers w:val="0"/>
      </w:pPr>
      <w:r>
        <w:t>完整生成：</w:t>
      </w:r>
    </w:p>
    <w:p w14:paraId="799975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公司层CAR：360/360；</w:t>
      </w:r>
    </w:p>
    <w:p w14:paraId="0C2F9B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两两比较：54/54；</w:t>
      </w:r>
    </w:p>
    <w:p w14:paraId="59C947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梯度检验：18/18；</w:t>
      </w:r>
    </w:p>
    <w:p w14:paraId="695DA8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估计窗口不足：0。</w:t>
      </w:r>
    </w:p>
    <w:p w14:paraId="3D6FB1F0">
      <w:pPr>
        <w:pStyle w:val="3"/>
        <w:keepNext w:val="0"/>
        <w:keepLines w:val="0"/>
        <w:widowControl/>
        <w:suppressLineNumbers w:val="0"/>
      </w:pPr>
      <w:r>
        <w:t>2. 月度三层PanelOLS结果</w:t>
      </w:r>
    </w:p>
    <w:p w14:paraId="2B9DCFB4">
      <w:pPr>
        <w:pStyle w:val="6"/>
        <w:keepNext w:val="0"/>
        <w:keepLines w:val="0"/>
        <w:widowControl/>
        <w:suppressLineNumbers w:val="0"/>
      </w:pPr>
      <w:r>
        <w:t>以下游为参考组：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161"/>
        <w:gridCol w:w="1035"/>
      </w:tblGrid>
      <w:tr w14:paraId="04881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099D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比较</w:t>
            </w:r>
          </w:p>
        </w:tc>
        <w:tc>
          <w:tcPr>
            <w:tcW w:w="0" w:type="auto"/>
            <w:shd w:val="clear"/>
            <w:vAlign w:val="center"/>
          </w:tcPr>
          <w:p w14:paraId="49F8FC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系数</w:t>
            </w:r>
          </w:p>
        </w:tc>
        <w:tc>
          <w:tcPr>
            <w:tcW w:w="0" w:type="auto"/>
            <w:shd w:val="clear"/>
            <w:vAlign w:val="center"/>
          </w:tcPr>
          <w:p w14:paraId="595A4D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p值</w:t>
            </w:r>
          </w:p>
        </w:tc>
      </w:tr>
      <w:tr w14:paraId="5B39B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7D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上游相对下游</w:t>
            </w:r>
          </w:p>
        </w:tc>
        <w:tc>
          <w:tcPr>
            <w:tcW w:w="0" w:type="auto"/>
            <w:shd w:val="clear"/>
            <w:vAlign w:val="center"/>
          </w:tcPr>
          <w:p w14:paraId="5E280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0.056213</w:t>
            </w:r>
          </w:p>
        </w:tc>
        <w:tc>
          <w:tcPr>
            <w:tcW w:w="0" w:type="auto"/>
            <w:shd w:val="clear"/>
            <w:vAlign w:val="center"/>
          </w:tcPr>
          <w:p w14:paraId="0C3FE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0.000213</w:t>
            </w:r>
          </w:p>
        </w:tc>
      </w:tr>
      <w:tr w14:paraId="6F796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89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中游相对下游</w:t>
            </w:r>
          </w:p>
        </w:tc>
        <w:tc>
          <w:tcPr>
            <w:tcW w:w="0" w:type="auto"/>
            <w:shd w:val="clear"/>
            <w:vAlign w:val="center"/>
          </w:tcPr>
          <w:p w14:paraId="37A8A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−0.013468</w:t>
            </w:r>
          </w:p>
        </w:tc>
        <w:tc>
          <w:tcPr>
            <w:tcW w:w="0" w:type="auto"/>
            <w:shd w:val="clear"/>
            <w:vAlign w:val="center"/>
          </w:tcPr>
          <w:p w14:paraId="7CCA4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0.099326</w:t>
            </w:r>
          </w:p>
        </w:tc>
      </w:tr>
    </w:tbl>
    <w:p w14:paraId="63BCB568">
      <w:pPr>
        <w:pStyle w:val="6"/>
        <w:keepNext w:val="0"/>
        <w:keepLines w:val="0"/>
        <w:widowControl/>
        <w:suppressLineNumbers w:val="0"/>
      </w:pPr>
      <w:r>
        <w:t>上游显著高于下游，但月度PanelOLS没有呈现清晰的“上游＞中游＞下游”单调梯度，因为中游相对下游的系数反而略为负。</w:t>
      </w:r>
    </w:p>
    <w:p w14:paraId="7A3DACB3">
      <w:pPr>
        <w:pStyle w:val="6"/>
        <w:keepNext w:val="0"/>
        <w:keepLines w:val="0"/>
        <w:widowControl/>
        <w:suppressLineNumbers w:val="0"/>
      </w:pPr>
      <w:r>
        <w:t>因此，月度模型仍不适合承担产业链单调传导的核心证据。</w:t>
      </w:r>
    </w:p>
    <w:p w14:paraId="2E52C5F1">
      <w:pPr>
        <w:pStyle w:val="3"/>
        <w:keepNext w:val="0"/>
        <w:keepLines w:val="0"/>
        <w:widowControl/>
        <w:suppressLineNumbers w:val="0"/>
      </w:pPr>
      <w:r>
        <w:t>3. 留一公司结果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1035"/>
      </w:tblGrid>
      <w:tr w14:paraId="11F22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0A07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326B6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757DE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13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留一公司上游系数最低值</w:t>
            </w:r>
          </w:p>
        </w:tc>
        <w:tc>
          <w:tcPr>
            <w:tcW w:w="0" w:type="auto"/>
            <w:shd w:val="clear"/>
            <w:vAlign w:val="center"/>
          </w:tcPr>
          <w:p w14:paraId="720838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0.052192</w:t>
            </w:r>
          </w:p>
        </w:tc>
      </w:tr>
      <w:tr w14:paraId="7BA74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6D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留一公司上游系数最高值</w:t>
            </w:r>
          </w:p>
        </w:tc>
        <w:tc>
          <w:tcPr>
            <w:tcW w:w="0" w:type="auto"/>
            <w:shd w:val="clear"/>
            <w:vAlign w:val="center"/>
          </w:tcPr>
          <w:p w14:paraId="723CC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0.061802</w:t>
            </w:r>
          </w:p>
        </w:tc>
      </w:tr>
      <w:tr w14:paraId="71CE7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43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留一后上游差异不显著次数</w:t>
            </w:r>
          </w:p>
        </w:tc>
        <w:tc>
          <w:tcPr>
            <w:tcW w:w="0" w:type="auto"/>
            <w:shd w:val="clear"/>
            <w:vAlign w:val="center"/>
          </w:tcPr>
          <w:p w14:paraId="71D8A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0/60</w:t>
            </w:r>
          </w:p>
        </w:tc>
      </w:tr>
    </w:tbl>
    <w:p w14:paraId="1CA4A87C">
      <w:pPr>
        <w:pStyle w:val="6"/>
        <w:keepNext w:val="0"/>
        <w:keepLines w:val="0"/>
        <w:widowControl/>
        <w:suppressLineNumbers w:val="0"/>
      </w:pPr>
      <w:r>
        <w:t>结论：上游—下游差异不是由某一家上市公司单独驱动。</w:t>
      </w:r>
    </w:p>
    <w:p w14:paraId="3E9B8B80">
      <w:pPr>
        <w:pStyle w:val="6"/>
        <w:keepNext w:val="0"/>
        <w:keepLines w:val="0"/>
        <w:widowControl/>
        <w:suppressLineNumbers w:val="0"/>
      </w:pPr>
      <w:r>
        <w:t>但不能据此删除任何公司，也不能用留一分析替代平行趋势。</w:t>
      </w:r>
    </w:p>
    <w:p w14:paraId="65AC4798">
      <w:pPr>
        <w:pStyle w:val="3"/>
        <w:keepNext w:val="0"/>
        <w:keepLines w:val="0"/>
        <w:widowControl/>
        <w:suppressLineNumbers w:val="0"/>
      </w:pPr>
      <w:r>
        <w:t>4. V3日度事件结果</w:t>
      </w:r>
    </w:p>
    <w:p w14:paraId="0346986B">
      <w:pPr>
        <w:pStyle w:val="6"/>
        <w:keepNext w:val="0"/>
        <w:keepLines w:val="0"/>
        <w:widowControl/>
        <w:suppressLineNumbers w:val="0"/>
      </w:pPr>
      <w:r>
        <w:t>V3的产业链梯度非常稳定。</w:t>
      </w:r>
    </w:p>
    <w:p w14:paraId="13F9E261">
      <w:pPr>
        <w:pStyle w:val="4"/>
        <w:keepNext w:val="0"/>
        <w:keepLines w:val="0"/>
        <w:widowControl/>
        <w:suppressLineNumbers w:val="0"/>
      </w:pPr>
      <w:r>
        <w:t>上游相对下游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740"/>
        <w:gridCol w:w="1039"/>
      </w:tblGrid>
      <w:tr w14:paraId="3D144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DDA9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窗口</w:t>
            </w:r>
          </w:p>
        </w:tc>
        <w:tc>
          <w:tcPr>
            <w:tcW w:w="0" w:type="auto"/>
            <w:shd w:val="clear"/>
            <w:vAlign w:val="center"/>
          </w:tcPr>
          <w:p w14:paraId="038621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差异范围</w:t>
            </w:r>
          </w:p>
        </w:tc>
        <w:tc>
          <w:tcPr>
            <w:tcW w:w="0" w:type="auto"/>
            <w:shd w:val="clear"/>
            <w:vAlign w:val="center"/>
          </w:tcPr>
          <w:p w14:paraId="09C324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三个指数</w:t>
            </w:r>
          </w:p>
        </w:tc>
      </w:tr>
      <w:tr w14:paraId="0F92F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BC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[-1,+1]</w:t>
            </w:r>
          </w:p>
        </w:tc>
        <w:tc>
          <w:tcPr>
            <w:tcW w:w="0" w:type="auto"/>
            <w:shd w:val="clear"/>
            <w:vAlign w:val="center"/>
          </w:tcPr>
          <w:p w14:paraId="7714C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4.13%—4.17%</w:t>
            </w:r>
          </w:p>
        </w:tc>
        <w:tc>
          <w:tcPr>
            <w:tcW w:w="0" w:type="auto"/>
            <w:shd w:val="clear"/>
            <w:vAlign w:val="center"/>
          </w:tcPr>
          <w:p w14:paraId="4F05B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全部显著</w:t>
            </w:r>
          </w:p>
        </w:tc>
      </w:tr>
      <w:tr w14:paraId="63B98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83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[-3,+3]</w:t>
            </w:r>
          </w:p>
        </w:tc>
        <w:tc>
          <w:tcPr>
            <w:tcW w:w="0" w:type="auto"/>
            <w:shd w:val="clear"/>
            <w:vAlign w:val="center"/>
          </w:tcPr>
          <w:p w14:paraId="06041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8.64%—8.92%</w:t>
            </w:r>
          </w:p>
        </w:tc>
        <w:tc>
          <w:tcPr>
            <w:tcW w:w="0" w:type="auto"/>
            <w:shd w:val="clear"/>
            <w:vAlign w:val="center"/>
          </w:tcPr>
          <w:p w14:paraId="4FF2D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全部显著</w:t>
            </w:r>
          </w:p>
        </w:tc>
      </w:tr>
      <w:tr w14:paraId="44384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C2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[-5,+5]</w:t>
            </w:r>
          </w:p>
        </w:tc>
        <w:tc>
          <w:tcPr>
            <w:tcW w:w="0" w:type="auto"/>
            <w:shd w:val="clear"/>
            <w:vAlign w:val="center"/>
          </w:tcPr>
          <w:p w14:paraId="61F39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11.91%—12.91%</w:t>
            </w:r>
          </w:p>
        </w:tc>
        <w:tc>
          <w:tcPr>
            <w:tcW w:w="0" w:type="auto"/>
            <w:shd w:val="clear"/>
            <w:vAlign w:val="center"/>
          </w:tcPr>
          <w:p w14:paraId="7A3C9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全部显著</w:t>
            </w:r>
          </w:p>
        </w:tc>
      </w:tr>
    </w:tbl>
    <w:p w14:paraId="0066405F">
      <w:pPr>
        <w:pStyle w:val="4"/>
        <w:keepNext w:val="0"/>
        <w:keepLines w:val="0"/>
        <w:widowControl/>
        <w:suppressLineNumbers w:val="0"/>
      </w:pPr>
      <w:r>
        <w:t>上游相对中游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500"/>
        <w:gridCol w:w="1039"/>
      </w:tblGrid>
      <w:tr w14:paraId="14F84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FC9B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窗口</w:t>
            </w:r>
          </w:p>
        </w:tc>
        <w:tc>
          <w:tcPr>
            <w:tcW w:w="0" w:type="auto"/>
            <w:shd w:val="clear"/>
            <w:vAlign w:val="center"/>
          </w:tcPr>
          <w:p w14:paraId="1AA24B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差异范围</w:t>
            </w:r>
          </w:p>
        </w:tc>
        <w:tc>
          <w:tcPr>
            <w:tcW w:w="0" w:type="auto"/>
            <w:shd w:val="clear"/>
            <w:vAlign w:val="center"/>
          </w:tcPr>
          <w:p w14:paraId="4C7208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三个指数</w:t>
            </w:r>
          </w:p>
        </w:tc>
      </w:tr>
      <w:tr w14:paraId="115DC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82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[-1,+1]</w:t>
            </w:r>
          </w:p>
        </w:tc>
        <w:tc>
          <w:tcPr>
            <w:tcW w:w="0" w:type="auto"/>
            <w:shd w:val="clear"/>
            <w:vAlign w:val="center"/>
          </w:tcPr>
          <w:p w14:paraId="08F96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2.23%—2.28%</w:t>
            </w:r>
          </w:p>
        </w:tc>
        <w:tc>
          <w:tcPr>
            <w:tcW w:w="0" w:type="auto"/>
            <w:shd w:val="clear"/>
            <w:vAlign w:val="center"/>
          </w:tcPr>
          <w:p w14:paraId="5E241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全部显著</w:t>
            </w:r>
          </w:p>
        </w:tc>
      </w:tr>
      <w:tr w14:paraId="2CB1F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82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[-3,+3]</w:t>
            </w:r>
          </w:p>
        </w:tc>
        <w:tc>
          <w:tcPr>
            <w:tcW w:w="0" w:type="auto"/>
            <w:shd w:val="clear"/>
            <w:vAlign w:val="center"/>
          </w:tcPr>
          <w:p w14:paraId="16E1F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4.60%—4.90%</w:t>
            </w:r>
          </w:p>
        </w:tc>
        <w:tc>
          <w:tcPr>
            <w:tcW w:w="0" w:type="auto"/>
            <w:shd w:val="clear"/>
            <w:vAlign w:val="center"/>
          </w:tcPr>
          <w:p w14:paraId="6CE44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全部显著</w:t>
            </w:r>
          </w:p>
        </w:tc>
      </w:tr>
      <w:tr w14:paraId="467E7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4AB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[-5,+5]</w:t>
            </w:r>
          </w:p>
        </w:tc>
        <w:tc>
          <w:tcPr>
            <w:tcW w:w="0" w:type="auto"/>
            <w:shd w:val="clear"/>
            <w:vAlign w:val="center"/>
          </w:tcPr>
          <w:p w14:paraId="7CEB49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8.61%—9.31%</w:t>
            </w:r>
          </w:p>
        </w:tc>
        <w:tc>
          <w:tcPr>
            <w:tcW w:w="0" w:type="auto"/>
            <w:shd w:val="clear"/>
            <w:vAlign w:val="center"/>
          </w:tcPr>
          <w:p w14:paraId="1D227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全部显著</w:t>
            </w:r>
          </w:p>
        </w:tc>
      </w:tr>
    </w:tbl>
    <w:p w14:paraId="33ECCBAA">
      <w:pPr>
        <w:pStyle w:val="4"/>
        <w:keepNext w:val="0"/>
        <w:keepLines w:val="0"/>
        <w:widowControl/>
        <w:suppressLineNumbers w:val="0"/>
      </w:pPr>
      <w:r>
        <w:t>中游相对下游</w:t>
      </w:r>
    </w:p>
    <w:p w14:paraId="1E9C3D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[-1,+1]</w:t>
      </w:r>
      <w:r>
        <w:t>：三个指数均在5%水平显著；</w:t>
      </w:r>
    </w:p>
    <w:p w14:paraId="4FF6D3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[-3,+3]</w:t>
      </w:r>
      <w:r>
        <w:t>：约在6%水平，属于边际显著；</w:t>
      </w:r>
    </w:p>
    <w:p w14:paraId="45A451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[-5,+5]</w:t>
      </w:r>
      <w:r>
        <w:t>：不显著。</w:t>
      </w:r>
    </w:p>
    <w:p w14:paraId="2E6D2C88">
      <w:pPr>
        <w:pStyle w:val="6"/>
        <w:keepNext w:val="0"/>
        <w:keepLines w:val="0"/>
        <w:widowControl/>
        <w:suppressLineNumbers w:val="0"/>
      </w:pPr>
      <w:r>
        <w:t>V3结果支持：</w:t>
      </w:r>
    </w:p>
    <w:p w14:paraId="2FA3D0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上游&gt;中游&gt;下游 \]</w:t>
      </w:r>
    </w:p>
    <w:p w14:paraId="31BE5C6A">
      <w:pPr>
        <w:pStyle w:val="6"/>
        <w:keepNext w:val="0"/>
        <w:keepLines w:val="0"/>
        <w:widowControl/>
        <w:suppressLineNumbers w:val="0"/>
      </w:pPr>
      <w:r>
        <w:t>但越长窗口，中游—下游差异越弱。</w:t>
      </w:r>
    </w:p>
    <w:p w14:paraId="2041F252">
      <w:pPr>
        <w:pStyle w:val="3"/>
        <w:keepNext w:val="0"/>
        <w:keepLines w:val="0"/>
        <w:widowControl/>
        <w:suppressLineNumbers w:val="0"/>
      </w:pPr>
      <w:r>
        <w:t>5. V3产业链梯度检验</w:t>
      </w:r>
    </w:p>
    <w:p w14:paraId="48E224E2">
      <w:pPr>
        <w:pStyle w:val="6"/>
        <w:keepNext w:val="0"/>
        <w:keepLines w:val="0"/>
        <w:widowControl/>
        <w:suppressLineNumbers w:val="0"/>
      </w:pPr>
      <w:r>
        <w:t>V3全部9个梯度规格均显著为正：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980"/>
        <w:gridCol w:w="1275"/>
      </w:tblGrid>
      <w:tr w14:paraId="470EE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9065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窗口</w:t>
            </w:r>
          </w:p>
        </w:tc>
        <w:tc>
          <w:tcPr>
            <w:tcW w:w="0" w:type="auto"/>
            <w:shd w:val="clear"/>
            <w:vAlign w:val="center"/>
          </w:tcPr>
          <w:p w14:paraId="3A22D9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梯度斜率范围</w:t>
            </w:r>
          </w:p>
        </w:tc>
        <w:tc>
          <w:tcPr>
            <w:tcW w:w="0" w:type="auto"/>
            <w:shd w:val="clear"/>
            <w:vAlign w:val="center"/>
          </w:tcPr>
          <w:p w14:paraId="48CF0D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p值</w:t>
            </w:r>
          </w:p>
        </w:tc>
      </w:tr>
      <w:tr w14:paraId="57405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59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[-1,+1]</w:t>
            </w:r>
          </w:p>
        </w:tc>
        <w:tc>
          <w:tcPr>
            <w:tcW w:w="0" w:type="auto"/>
            <w:shd w:val="clear"/>
            <w:vAlign w:val="center"/>
          </w:tcPr>
          <w:p w14:paraId="57B01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0.02065—0.02085</w:t>
            </w:r>
          </w:p>
        </w:tc>
        <w:tc>
          <w:tcPr>
            <w:tcW w:w="0" w:type="auto"/>
            <w:shd w:val="clear"/>
            <w:vAlign w:val="center"/>
          </w:tcPr>
          <w:p w14:paraId="319C4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≤0.000212</w:t>
            </w:r>
          </w:p>
        </w:tc>
      </w:tr>
      <w:tr w14:paraId="41CEF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17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[-3,+3]</w:t>
            </w:r>
          </w:p>
        </w:tc>
        <w:tc>
          <w:tcPr>
            <w:tcW w:w="0" w:type="auto"/>
            <w:shd w:val="clear"/>
            <w:vAlign w:val="center"/>
          </w:tcPr>
          <w:p w14:paraId="31D82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0.04318—0.04461</w:t>
            </w:r>
          </w:p>
        </w:tc>
        <w:tc>
          <w:tcPr>
            <w:tcW w:w="0" w:type="auto"/>
            <w:shd w:val="clear"/>
            <w:vAlign w:val="center"/>
          </w:tcPr>
          <w:p w14:paraId="3F74A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≤0.000053</w:t>
            </w:r>
          </w:p>
        </w:tc>
      </w:tr>
      <w:tr w14:paraId="23F7C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DA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[-5,+5]</w:t>
            </w:r>
          </w:p>
        </w:tc>
        <w:tc>
          <w:tcPr>
            <w:tcW w:w="0" w:type="auto"/>
            <w:shd w:val="clear"/>
            <w:vAlign w:val="center"/>
          </w:tcPr>
          <w:p w14:paraId="6BA25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0.05954—0.06455</w:t>
            </w:r>
          </w:p>
        </w:tc>
        <w:tc>
          <w:tcPr>
            <w:tcW w:w="0" w:type="auto"/>
            <w:shd w:val="clear"/>
            <w:vAlign w:val="center"/>
          </w:tcPr>
          <w:p w14:paraId="342DE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≤0.000006</w:t>
            </w:r>
          </w:p>
        </w:tc>
      </w:tr>
    </w:tbl>
    <w:p w14:paraId="74D83231">
      <w:pPr>
        <w:pStyle w:val="6"/>
        <w:keepNext w:val="0"/>
        <w:keepLines w:val="0"/>
        <w:widowControl/>
        <w:suppressLineNumbers w:val="0"/>
      </w:pPr>
      <w:r>
        <w:t>这是目前最稳定、最符合“产业链非对称定价”标题的证据。</w:t>
      </w:r>
    </w:p>
    <w:p w14:paraId="79E02D25">
      <w:pPr>
        <w:pStyle w:val="3"/>
        <w:keepNext w:val="0"/>
        <w:keepLines w:val="0"/>
        <w:widowControl/>
        <w:suppressLineNumbers w:val="0"/>
      </w:pPr>
      <w:r>
        <w:t>6. R1事件结果</w:t>
      </w:r>
    </w:p>
    <w:p w14:paraId="008E9228">
      <w:pPr>
        <w:pStyle w:val="6"/>
        <w:keepNext w:val="0"/>
        <w:keepLines w:val="0"/>
        <w:widowControl/>
        <w:suppressLineNumbers w:val="0"/>
      </w:pPr>
      <w:r>
        <w:t>R1呈现明显动态反转：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024"/>
        <w:gridCol w:w="1995"/>
      </w:tblGrid>
      <w:tr w14:paraId="7992A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E4BE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窗口</w:t>
            </w:r>
          </w:p>
        </w:tc>
        <w:tc>
          <w:tcPr>
            <w:tcW w:w="0" w:type="auto"/>
            <w:shd w:val="clear"/>
            <w:vAlign w:val="center"/>
          </w:tcPr>
          <w:p w14:paraId="0426BA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梯度方向</w:t>
            </w:r>
          </w:p>
        </w:tc>
        <w:tc>
          <w:tcPr>
            <w:tcW w:w="0" w:type="auto"/>
            <w:shd w:val="clear"/>
            <w:vAlign w:val="center"/>
          </w:tcPr>
          <w:p w14:paraId="346112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40740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79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[-1,+1]</w:t>
            </w:r>
          </w:p>
        </w:tc>
        <w:tc>
          <w:tcPr>
            <w:tcW w:w="0" w:type="auto"/>
            <w:shd w:val="clear"/>
            <w:vAlign w:val="center"/>
          </w:tcPr>
          <w:p w14:paraId="61108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显著为正</w:t>
            </w:r>
          </w:p>
        </w:tc>
        <w:tc>
          <w:tcPr>
            <w:tcW w:w="0" w:type="auto"/>
            <w:shd w:val="clear"/>
            <w:vAlign w:val="center"/>
          </w:tcPr>
          <w:p w14:paraId="0DEEC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上游＞中游＞下游</w:t>
            </w:r>
          </w:p>
        </w:tc>
      </w:tr>
      <w:tr w14:paraId="4B997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DC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[-3,+3]</w:t>
            </w:r>
          </w:p>
        </w:tc>
        <w:tc>
          <w:tcPr>
            <w:tcW w:w="0" w:type="auto"/>
            <w:shd w:val="clear"/>
            <w:vAlign w:val="center"/>
          </w:tcPr>
          <w:p w14:paraId="2149C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不显著</w:t>
            </w:r>
          </w:p>
        </w:tc>
        <w:tc>
          <w:tcPr>
            <w:tcW w:w="0" w:type="auto"/>
            <w:shd w:val="clear"/>
            <w:vAlign w:val="center"/>
          </w:tcPr>
          <w:p w14:paraId="2B3CD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产业链差异消失</w:t>
            </w:r>
          </w:p>
        </w:tc>
      </w:tr>
      <w:tr w14:paraId="5845D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5C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[-5,+5]</w:t>
            </w:r>
          </w:p>
        </w:tc>
        <w:tc>
          <w:tcPr>
            <w:tcW w:w="0" w:type="auto"/>
            <w:shd w:val="clear"/>
            <w:vAlign w:val="center"/>
          </w:tcPr>
          <w:p w14:paraId="431F9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显著为负</w:t>
            </w:r>
          </w:p>
        </w:tc>
        <w:tc>
          <w:tcPr>
            <w:tcW w:w="0" w:type="auto"/>
            <w:shd w:val="clear"/>
            <w:vAlign w:val="center"/>
          </w:tcPr>
          <w:p w14:paraId="1A895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上游相对表现反转</w:t>
            </w:r>
          </w:p>
        </w:tc>
      </w:tr>
    </w:tbl>
    <w:p w14:paraId="4F0B9368">
      <w:pPr>
        <w:pStyle w:val="6"/>
        <w:keepNext w:val="0"/>
        <w:keepLines w:val="0"/>
        <w:widowControl/>
        <w:suppressLineNumbers w:val="0"/>
      </w:pPr>
      <w:r>
        <w:t>这不能写成“R1持续利好上游”。更准确的表述是：</w:t>
      </w:r>
    </w:p>
    <w:p w14:paraId="16A7F18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R1发布后，上游企业在极短窗口内获得更强正向定价，但该优势迅速衰减，并在较长窗口中发生反转。</w:t>
      </w:r>
    </w:p>
    <w:p w14:paraId="3D2FF874">
      <w:pPr>
        <w:pStyle w:val="2"/>
        <w:keepNext w:val="0"/>
        <w:keepLines w:val="0"/>
        <w:widowControl/>
        <w:suppressLineNumbers w:val="0"/>
      </w:pPr>
      <w:r>
        <w:t>五：完整可运行代码</w:t>
      </w:r>
    </w:p>
    <w:p w14:paraId="740187E4">
      <w:pPr>
        <w:pStyle w:val="6"/>
        <w:keepNext w:val="0"/>
        <w:keepLines w:val="0"/>
        <w:widowControl/>
        <w:suppressLineNumbers w:val="0"/>
      </w:pPr>
      <w:r>
        <w:t>三个程序已经保存在PyCharm项目，无需重新复制：</w:t>
      </w:r>
    </w:p>
    <w:p w14:paraId="539CFC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D:\thailand study\26_7_23paper\04_code\step_13a_audit_layer_classification.py</w:t>
      </w:r>
    </w:p>
    <w:p w14:paraId="0E44E3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D:\thailand study\26_7_23paper\04_code\step_13b_daily_event_study.py</w:t>
      </w:r>
    </w:p>
    <w:p w14:paraId="04FD98C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D:\thailand study\26_7_23paper\04_code\validate_step_13.py</w:t>
      </w:r>
    </w:p>
    <w:p w14:paraId="4B771A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default"/>
          <w:lang w:val="en-US" w:eastAsia="zh-CN"/>
        </w:rPr>
      </w:pPr>
    </w:p>
    <w:p w14:paraId="774AC330">
      <w:pPr>
        <w:pStyle w:val="6"/>
        <w:keepNext w:val="0"/>
        <w:keepLines w:val="0"/>
        <w:widowControl/>
        <w:suppressLineNumbers w:val="0"/>
      </w:pPr>
      <w:r>
        <w:t>步骤14需要读取：你的运行结果与我自动核验的结果完全一致，重复运行三次结果也完全相同，说明步骤14C具备可重复性。</w:t>
      </w:r>
    </w:p>
    <w:p w14:paraId="192CE310">
      <w:pPr>
        <w:pStyle w:val="6"/>
        <w:keepNext w:val="0"/>
        <w:keepLines w:val="0"/>
        <w:widowControl/>
        <w:suppressLineNumbers w:val="0"/>
      </w:pPr>
      <w:r>
        <w:t>但“退出代码为0”仅表示程序、文件结构和计算过程通过，不代表Layer分类已经获得论文层面的证据验证。</w:t>
      </w:r>
    </w:p>
    <w:p w14:paraId="062C9286">
      <w:pPr>
        <w:pStyle w:val="2"/>
        <w:keepNext w:val="0"/>
        <w:keepLines w:val="0"/>
        <w:widowControl/>
        <w:suppressLineNumbers w:val="0"/>
      </w:pPr>
      <w:r>
        <w:t>一：全量文件详细</w:t>
      </w:r>
    </w:p>
    <w:p w14:paraId="2514F2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D:\thailand study\26_7_23paper\</w:t>
      </w:r>
    </w:p>
    <w:p w14:paraId="6E40E1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04_code\</w:t>
      </w:r>
    </w:p>
    <w:p w14:paraId="4C4EF2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step_14a_rebuild_firm_metadata.py</w:t>
      </w:r>
    </w:p>
    <w:p w14:paraId="410592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step_14b_audit_and_freeze_layers.py</w:t>
      </w:r>
    </w:p>
    <w:p w14:paraId="103EA0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step_14c_rerun_frozen_layer_tests.py</w:t>
      </w:r>
    </w:p>
    <w:p w14:paraId="4F6B80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validate_step_14abc.py</w:t>
      </w:r>
    </w:p>
    <w:p w14:paraId="779F5D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4F2035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05_output\</w:t>
      </w:r>
    </w:p>
    <w:p w14:paraId="24DCA3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revision_step14a\tables\</w:t>
      </w:r>
    </w:p>
    <w:p w14:paraId="00B06C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revision_step14b\tables\</w:t>
      </w:r>
    </w:p>
    <w:p w14:paraId="0A32CA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└── revision_step14c\tables\</w:t>
      </w:r>
    </w:p>
    <w:p w14:paraId="2986F3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├── table_g1_pairwise_frozen_layer.csv</w:t>
      </w:r>
    </w:p>
    <w:p w14:paraId="1DB072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├── table_g2_gradient_frozen_layer.csv</w:t>
      </w:r>
    </w:p>
    <w:p w14:paraId="6C7A65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├── table_g3_main_and_sensitivity.csv</w:t>
      </w:r>
    </w:p>
    <w:p w14:paraId="3BBEA5E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└── table_g4_car_with_frozen_layer.csv</w:t>
      </w:r>
    </w:p>
    <w:p w14:paraId="5E119D63">
      <w:pPr>
        <w:pStyle w:val="2"/>
        <w:keepNext w:val="0"/>
        <w:keepLines w:val="0"/>
        <w:widowControl/>
        <w:suppressLineNumbers w:val="0"/>
      </w:pPr>
      <w:r>
        <w:t>二：输入文件列表</w:t>
      </w:r>
    </w:p>
    <w:p w14:paraId="1946E1DB">
      <w:pPr>
        <w:pStyle w:val="6"/>
        <w:keepNext w:val="0"/>
        <w:keepLines w:val="0"/>
        <w:widowControl/>
        <w:suppressLineNumbers w:val="0"/>
      </w:pPr>
      <w:r>
        <w:t>文件名：table_d1_firm_level_car.csv</w:t>
      </w:r>
      <w:r>
        <w:br w:type="textWrapping"/>
      </w:r>
      <w:r>
        <w:t>完整路径：[table_d1_firm_level_car.csv](D:/thailand study/26_7_23paper/05_output/revision_step13b/tables/table_d1_firm_level_car.csv)</w:t>
      </w:r>
      <w:r>
        <w:br w:type="textWrapping"/>
      </w:r>
      <w:r>
        <w:t>文件作用：提供60家公司在两个事件、三个指数和三个窗口下的CAR。</w:t>
      </w:r>
    </w:p>
    <w:p w14:paraId="3FF18F0C">
      <w:pPr>
        <w:pStyle w:val="6"/>
        <w:keepNext w:val="0"/>
        <w:keepLines w:val="0"/>
        <w:widowControl/>
        <w:suppressLineNumbers w:val="0"/>
      </w:pPr>
      <w:r>
        <w:t>文件名：table_f1_layer_audit_and_provisional_freeze.csv</w:t>
      </w:r>
      <w:r>
        <w:br w:type="textWrapping"/>
      </w:r>
      <w:r>
        <w:t>完整路径：[table_f1_layer_audit_and_provisional_freeze.csv](D:/thailand study/26_7_23paper/05_output/revision_step14b/tables/table_f1_layer_audit_and_provisional_freeze.csv)</w:t>
      </w:r>
      <w:r>
        <w:br w:type="textWrapping"/>
      </w:r>
      <w:r>
        <w:t>文件作用：提供60家公司的暂定冻结Layer和18家机器复核冲突标识。</w:t>
      </w:r>
    </w:p>
    <w:p w14:paraId="557F71BF">
      <w:pPr>
        <w:pStyle w:val="2"/>
        <w:keepNext w:val="0"/>
        <w:keepLines w:val="0"/>
        <w:widowControl/>
        <w:suppressLineNumbers w:val="0"/>
      </w:pPr>
      <w:r>
        <w:t>三：输出文件列表</w:t>
      </w:r>
    </w:p>
    <w:p w14:paraId="6C9C4C49">
      <w:pPr>
        <w:pStyle w:val="6"/>
        <w:keepNext w:val="0"/>
        <w:keepLines w:val="0"/>
        <w:widowControl/>
        <w:suppressLineNumbers w:val="0"/>
      </w:pPr>
      <w:r>
        <w:t>文件名：table_g1_pairwise_frozen_layer.csv</w:t>
      </w:r>
      <w:r>
        <w:br w:type="textWrapping"/>
      </w:r>
      <w:r>
        <w:t>完整路径：[table_g1_pairwise_frozen_layer.csv](D:/thailand study/26_7_23paper/05_output/revision_step14c/tables/table_g1_pairwise_frozen_layer.csv)</w:t>
      </w:r>
      <w:r>
        <w:br w:type="textWrapping"/>
      </w:r>
      <w:r>
        <w:t>文件作用：全样本及剔除冲突样本的层级两两比较。</w:t>
      </w:r>
    </w:p>
    <w:p w14:paraId="2B42E81E">
      <w:pPr>
        <w:pStyle w:val="6"/>
        <w:keepNext w:val="0"/>
        <w:keepLines w:val="0"/>
        <w:widowControl/>
        <w:suppressLineNumbers w:val="0"/>
      </w:pPr>
      <w:r>
        <w:t>文件名：table_g2_gradient_frozen_layer.csv</w:t>
      </w:r>
      <w:r>
        <w:br w:type="textWrapping"/>
      </w:r>
      <w:r>
        <w:t>完整路径：[table_g2_gradient_frozen_layer.csv](D:/thailand study/26_7_23paper/05_output/revision_step14c/tables/table_g2_gradient_frozen_layer.csv)</w:t>
      </w:r>
      <w:r>
        <w:br w:type="textWrapping"/>
      </w:r>
      <w:r>
        <w:t>文件作用：两种样本方案下的产业链梯度检验。</w:t>
      </w:r>
    </w:p>
    <w:p w14:paraId="0A567D21">
      <w:pPr>
        <w:pStyle w:val="6"/>
        <w:keepNext w:val="0"/>
        <w:keepLines w:val="0"/>
        <w:widowControl/>
        <w:suppressLineNumbers w:val="0"/>
      </w:pPr>
      <w:r>
        <w:t>文件名：table_g3_main_and_sensitivity.csv</w:t>
      </w:r>
      <w:r>
        <w:br w:type="textWrapping"/>
      </w:r>
      <w:r>
        <w:t>完整路径：[table_g3_main_and_sensitivity.csv](D:/thailand study/26_7_23paper/05_output/revision_step14c/tables/table_g3_main_and_sensitivity.csv)</w:t>
      </w:r>
      <w:r>
        <w:br w:type="textWrapping"/>
      </w:r>
      <w:r>
        <w:t>文件作用：汇总主规格与分类敏感性检验，是当前最重要的结果表。</w:t>
      </w:r>
    </w:p>
    <w:p w14:paraId="7BF26FE6">
      <w:pPr>
        <w:pStyle w:val="6"/>
        <w:keepNext w:val="0"/>
        <w:keepLines w:val="0"/>
        <w:widowControl/>
        <w:suppressLineNumbers w:val="0"/>
      </w:pPr>
      <w:r>
        <w:t>文件名：table_g4_car_with_frozen_layer.csv</w:t>
      </w:r>
      <w:r>
        <w:br w:type="textWrapping"/>
      </w:r>
      <w:r>
        <w:t>完整路径：[table_g4_car_with_frozen_layer.csv](D:/thailand study/26_7_23paper/05_output/revision_step14c/tables/table_g4_car_with_frozen_layer.csv)</w:t>
      </w:r>
      <w:r>
        <w:br w:type="textWrapping"/>
      </w:r>
      <w:r>
        <w:t>文件作用：保存CAR与暂定Layer合并后的底层数据，便于复查和复现。</w:t>
      </w:r>
    </w:p>
    <w:p w14:paraId="4F508D1E">
      <w:pPr>
        <w:pStyle w:val="2"/>
        <w:keepNext w:val="0"/>
        <w:keepLines w:val="0"/>
        <w:widowControl/>
        <w:suppressLineNumbers w:val="0"/>
      </w:pPr>
      <w:r>
        <w:t>四：结果判定与意义</w:t>
      </w:r>
    </w:p>
    <w:p w14:paraId="26DB263F">
      <w:pPr>
        <w:pStyle w:val="3"/>
        <w:keepNext w:val="0"/>
        <w:keepLines w:val="0"/>
        <w:widowControl/>
        <w:suppressLineNumbers w:val="0"/>
      </w:pPr>
      <w:r>
        <w:t>4.1 程序层面</w:t>
      </w:r>
    </w:p>
    <w:p w14:paraId="44630138">
      <w:pPr>
        <w:pStyle w:val="6"/>
        <w:keepNext w:val="0"/>
        <w:keepLines w:val="0"/>
        <w:widowControl/>
        <w:suppressLineNumbers w:val="0"/>
      </w:pPr>
      <w:r>
        <w:t>以下内容全部通过：</w:t>
      </w:r>
    </w:p>
    <w:p w14:paraId="42536FB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60家公司完整；</w:t>
      </w:r>
    </w:p>
    <w:p w14:paraId="0DB96A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公司代码唯一；</w:t>
      </w:r>
    </w:p>
    <w:p w14:paraId="13FBEC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公司简称和简介完整；</w:t>
      </w:r>
    </w:p>
    <w:p w14:paraId="461DC1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全样本两两比较54项；</w:t>
      </w:r>
    </w:p>
    <w:p w14:paraId="2565C9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全样本梯度检验18项；</w:t>
      </w:r>
    </w:p>
    <w:p w14:paraId="3BE1E6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两套主比较和梯度结果完整；</w:t>
      </w:r>
    </w:p>
    <w:p w14:paraId="30551C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BH-FDR及Bonferroni计算完整；</w:t>
      </w:r>
    </w:p>
    <w:p w14:paraId="5E2BC6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三次重复运行结果一致；</w:t>
      </w:r>
    </w:p>
    <w:p w14:paraId="2120BF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退出代码为0。</w:t>
      </w:r>
    </w:p>
    <w:p w14:paraId="5191FF32">
      <w:pPr>
        <w:pStyle w:val="6"/>
        <w:keepNext w:val="0"/>
        <w:keepLines w:val="0"/>
        <w:widowControl/>
        <w:suppressLineNumbers w:val="0"/>
      </w:pPr>
      <w:r>
        <w:t>因此程序本身没有问题。</w:t>
      </w:r>
    </w:p>
    <w:p w14:paraId="0DD292E4">
      <w:pPr>
        <w:pStyle w:val="3"/>
        <w:keepNext w:val="0"/>
        <w:keepLines w:val="0"/>
        <w:widowControl/>
        <w:suppressLineNumbers w:val="0"/>
      </w:pPr>
      <w:r>
        <w:t>4.2 上游与下游比较</w:t>
      </w:r>
    </w:p>
    <w:p w14:paraId="4DE069D0">
      <w:pPr>
        <w:pStyle w:val="6"/>
        <w:keepNext w:val="0"/>
        <w:keepLines w:val="0"/>
        <w:widowControl/>
        <w:suppressLineNumbers w:val="0"/>
      </w:pPr>
      <w:r>
        <w:t>全60家公司：</w:t>
      </w:r>
    </w:p>
    <w:p w14:paraId="43FED3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上游−下游差异 = 0.041530</w:t>
      </w:r>
    </w:p>
    <w:p w14:paraId="1F5DB8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原始p值       = 0.001253</w:t>
      </w:r>
    </w:p>
    <w:p w14:paraId="5129D6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BH-FDR        = 0.004713</w:t>
      </w:r>
    </w:p>
    <w:p w14:paraId="5804F92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Bonferroni    = 0.067666</w:t>
      </w:r>
    </w:p>
    <w:p w14:paraId="35FFB2A3">
      <w:pPr>
        <w:pStyle w:val="6"/>
        <w:keepNext w:val="0"/>
        <w:keepLines w:val="0"/>
        <w:widowControl/>
        <w:suppressLineNumbers w:val="0"/>
      </w:pPr>
      <w:r>
        <w:t>结论：</w:t>
      </w:r>
    </w:p>
    <w:p w14:paraId="329760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原始检验显著；</w:t>
      </w:r>
    </w:p>
    <w:p w14:paraId="1C3207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BH-FDR校正后显著；</w:t>
      </w:r>
    </w:p>
    <w:p w14:paraId="471F42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Bonferroni校正后没有达到5%显著性；</w:t>
      </w:r>
    </w:p>
    <w:p w14:paraId="04004B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若采用10%标准，Bonferroni结果属于边际显著。</w:t>
      </w:r>
    </w:p>
    <w:p w14:paraId="4048EE2C">
      <w:pPr>
        <w:pStyle w:val="6"/>
        <w:keepNext w:val="0"/>
        <w:keepLines w:val="0"/>
        <w:widowControl/>
        <w:suppressLineNumbers w:val="0"/>
      </w:pPr>
      <w:r>
        <w:t>剔除18家机器冲突公司：</w:t>
      </w:r>
    </w:p>
    <w:p w14:paraId="04316A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上游−下游差异 = 0.056768</w:t>
      </w:r>
    </w:p>
    <w:p w14:paraId="14B93E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原始p值       = 0.011854</w:t>
      </w:r>
    </w:p>
    <w:p w14:paraId="73C991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BH-FDR        = 0.032643</w:t>
      </w:r>
    </w:p>
    <w:p w14:paraId="25EA53E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Bonferroni    = 0.640118</w:t>
      </w:r>
    </w:p>
    <w:p w14:paraId="641BFEFF">
      <w:pPr>
        <w:pStyle w:val="6"/>
        <w:keepNext w:val="0"/>
        <w:keepLines w:val="0"/>
        <w:widowControl/>
        <w:suppressLineNumbers w:val="0"/>
      </w:pPr>
      <w:r>
        <w:t>方向没有改变，差异反而扩大，但样本从60家降至42家，Bonferroni校正不再显著。</w:t>
      </w:r>
    </w:p>
    <w:p w14:paraId="194BED1E">
      <w:pPr>
        <w:pStyle w:val="6"/>
        <w:keepNext w:val="0"/>
        <w:keepLines w:val="0"/>
        <w:widowControl/>
        <w:suppressLineNumbers w:val="0"/>
      </w:pPr>
      <w:r>
        <w:t>因此不能写成“上游与下游差异在所有校正方法下均显著”。</w:t>
      </w:r>
    </w:p>
    <w:p w14:paraId="0446F66D">
      <w:pPr>
        <w:pStyle w:val="3"/>
        <w:keepNext w:val="0"/>
        <w:keepLines w:val="0"/>
        <w:widowControl/>
        <w:suppressLineNumbers w:val="0"/>
      </w:pPr>
      <w:r>
        <w:t>4.3 产业链梯度结果</w:t>
      </w:r>
    </w:p>
    <w:p w14:paraId="72FBB2B6">
      <w:pPr>
        <w:pStyle w:val="6"/>
        <w:keepNext w:val="0"/>
        <w:keepLines w:val="0"/>
        <w:widowControl/>
        <w:suppressLineNumbers w:val="0"/>
      </w:pPr>
      <w:r>
        <w:t>全60家公司：</w:t>
      </w:r>
    </w:p>
    <w:p w14:paraId="668691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梯度斜率      = 0.020765</w:t>
      </w:r>
    </w:p>
    <w:p w14:paraId="14175D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原始p值       = 0.000413</w:t>
      </w:r>
    </w:p>
    <w:p w14:paraId="68851B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BH-FDR        = 0.000660</w:t>
      </w:r>
    </w:p>
    <w:p w14:paraId="117EB8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Bonferroni    = 0.007439</w:t>
      </w:r>
    </w:p>
    <w:p w14:paraId="6B8CE785">
      <w:pPr>
        <w:pStyle w:val="6"/>
        <w:keepNext w:val="0"/>
        <w:keepLines w:val="0"/>
        <w:widowControl/>
        <w:suppressLineNumbers w:val="0"/>
      </w:pPr>
      <w:r>
        <w:t>剔除18家机器冲突公司：</w:t>
      </w:r>
    </w:p>
    <w:p w14:paraId="2A829E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梯度斜率      = 0.027519</w:t>
      </w:r>
    </w:p>
    <w:p w14:paraId="62CB4D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原始p值       = 0.001712</w:t>
      </w:r>
    </w:p>
    <w:p w14:paraId="2ED5FF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BH-FDR        = 0.002773</w:t>
      </w:r>
    </w:p>
    <w:p w14:paraId="4168BB5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Bonferroni    = 0.030816</w:t>
      </w:r>
    </w:p>
    <w:p w14:paraId="29EEF836">
      <w:pPr>
        <w:pStyle w:val="6"/>
        <w:keepNext w:val="0"/>
        <w:keepLines w:val="0"/>
        <w:widowControl/>
        <w:suppressLineNumbers w:val="0"/>
      </w:pPr>
      <w:r>
        <w:t>两种样本都通过了：</w:t>
      </w:r>
    </w:p>
    <w:p w14:paraId="216AFB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原始显著性检验；</w:t>
      </w:r>
    </w:p>
    <w:p w14:paraId="715B96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BH-FDR校正；</w:t>
      </w:r>
    </w:p>
    <w:p w14:paraId="3DF4BA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Bonferroni校正。</w:t>
      </w:r>
    </w:p>
    <w:p w14:paraId="548736FC">
      <w:pPr>
        <w:pStyle w:val="6"/>
        <w:keepNext w:val="0"/>
        <w:keepLines w:val="0"/>
        <w:widowControl/>
        <w:suppressLineNumbers w:val="0"/>
      </w:pPr>
      <w:r>
        <w:t>这是目前最稳健的发现：越靠近AI产业链上游，DeepSeek-V3事件窗口内的异常收益越高。</w:t>
      </w:r>
    </w:p>
    <w:p w14:paraId="6804E833">
      <w:pPr>
        <w:pStyle w:val="6"/>
        <w:keepNext w:val="0"/>
        <w:keepLines w:val="0"/>
        <w:widowControl/>
        <w:suppressLineNumbers w:val="0"/>
      </w:pPr>
      <w:r>
        <w:t>骤14F已经完成。你批准的年报经济功能分类方案已正式冻结，60家公司全部获得最终Layer、事件前年报链接和分类理由，并通过SHA-256完整性核验。</w:t>
      </w:r>
    </w:p>
    <w:p w14:paraId="007C6747">
      <w:pPr>
        <w:pStyle w:val="2"/>
        <w:keepNext w:val="0"/>
        <w:keepLines w:val="0"/>
        <w:widowControl/>
        <w:suppressLineNumbers w:val="0"/>
      </w:pPr>
      <w:r>
        <w:t>一：全量文件详细清单</w:t>
      </w:r>
    </w:p>
    <w:p w14:paraId="1CC289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D:\thailand study\26_7_23paper\</w:t>
      </w:r>
    </w:p>
    <w:p w14:paraId="0F5F7D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04_code\</w:t>
      </w:r>
    </w:p>
    <w:p w14:paraId="31290A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step_14f_freeze_final_layers.py</w:t>
      </w:r>
    </w:p>
    <w:p w14:paraId="5398B6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step_14f_rerun_final_layer_tests.py</w:t>
      </w:r>
    </w:p>
    <w:p w14:paraId="556B60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validate_step_14f.py</w:t>
      </w:r>
    </w:p>
    <w:p w14:paraId="658354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0BD81C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05_output\</w:t>
      </w:r>
    </w:p>
    <w:p w14:paraId="3347C3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└── revision_step14f\</w:t>
      </w:r>
    </w:p>
    <w:p w14:paraId="652018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├── layer_freeze_manifest.json</w:t>
      </w:r>
    </w:p>
    <w:p w14:paraId="06EBAE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└── tables\</w:t>
      </w:r>
    </w:p>
    <w:p w14:paraId="7FA4F8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├── table_j1_final_frozen_layer.csv</w:t>
      </w:r>
    </w:p>
    <w:p w14:paraId="754823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├── table_j2_final_layer_changes.csv</w:t>
      </w:r>
    </w:p>
    <w:p w14:paraId="3F76B5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├── table_j3_final_pairwise_results.csv</w:t>
      </w:r>
    </w:p>
    <w:p w14:paraId="3AD2B3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├── table_j4_final_gradient_results.csv</w:t>
      </w:r>
    </w:p>
    <w:p w14:paraId="0E8CAC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├── table_j5_final_main_results.csv</w:t>
      </w:r>
    </w:p>
    <w:p w14:paraId="293B24A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└── table_j6_final_car_with_layer.csv</w:t>
      </w:r>
    </w:p>
    <w:p w14:paraId="422C96E6">
      <w:pPr>
        <w:pStyle w:val="6"/>
        <w:keepNext w:val="0"/>
        <w:keepLines w:val="0"/>
        <w:widowControl/>
        <w:suppressLineNumbers w:val="0"/>
      </w:pPr>
      <w:r>
        <w:t>没有删除或覆盖原始分类、步骤13结果及步骤14A—14E结果。</w:t>
      </w:r>
    </w:p>
    <w:p w14:paraId="7E019F87">
      <w:pPr>
        <w:pStyle w:val="2"/>
        <w:keepNext w:val="0"/>
        <w:keepLines w:val="0"/>
        <w:widowControl/>
        <w:suppressLineNumbers w:val="0"/>
      </w:pPr>
      <w:r>
        <w:t>二：输入文件列表</w:t>
      </w:r>
    </w:p>
    <w:p w14:paraId="106DB5E1">
      <w:pPr>
        <w:pStyle w:val="6"/>
        <w:keepNext w:val="0"/>
        <w:keepLines w:val="0"/>
        <w:widowControl/>
        <w:suppressLineNumbers w:val="0"/>
      </w:pPr>
      <w:r>
        <w:t>文件名：table_i1_evidence_based_layer_review.csv</w:t>
      </w:r>
      <w:r>
        <w:br w:type="textWrapping"/>
      </w:r>
      <w:r>
        <w:t>完整路径：[table_i1_evidence_based_layer_review.csv](D:/thailand study/26_7_23paper/05_output/revision_step14e/tables/table_i1_evidence_based_layer_review.csv)</w:t>
      </w:r>
      <w:r>
        <w:br w:type="textWrapping"/>
      </w:r>
      <w:r>
        <w:t>文件作用：提供你已批准的60家公司年报证据分类建议。</w:t>
      </w:r>
    </w:p>
    <w:p w14:paraId="65B1A6D4">
      <w:pPr>
        <w:pStyle w:val="6"/>
        <w:keepNext w:val="0"/>
        <w:keepLines w:val="0"/>
        <w:widowControl/>
        <w:suppressLineNumbers w:val="0"/>
      </w:pPr>
      <w:r>
        <w:t>文件名：table_d1_firm_level_car.csv</w:t>
      </w:r>
      <w:r>
        <w:br w:type="textWrapping"/>
      </w:r>
      <w:r>
        <w:t>完整路径：[table_d1_firm_level_car.csv](D:/thailand study/26_7_23paper/05_output/revision_step13b/tables/table_d1_firm_level_car.csv)</w:t>
      </w:r>
      <w:r>
        <w:br w:type="textWrapping"/>
      </w:r>
      <w:r>
        <w:t>文件作用：提供公司层面日度事件研究CAR，用最终Layer重新检验。</w:t>
      </w:r>
    </w:p>
    <w:p w14:paraId="38E3DBBD">
      <w:pPr>
        <w:pStyle w:val="2"/>
        <w:keepNext w:val="0"/>
        <w:keepLines w:val="0"/>
        <w:widowControl/>
        <w:suppressLineNumbers w:val="0"/>
      </w:pPr>
      <w:r>
        <w:t>三：输出文件列表</w:t>
      </w:r>
    </w:p>
    <w:p w14:paraId="41A34682">
      <w:pPr>
        <w:pStyle w:val="6"/>
        <w:keepNext w:val="0"/>
        <w:keepLines w:val="0"/>
        <w:widowControl/>
        <w:suppressLineNumbers w:val="0"/>
      </w:pPr>
      <w:r>
        <w:t>文件名：table_j1_final_frozen_layer.csv</w:t>
      </w:r>
      <w:r>
        <w:br w:type="textWrapping"/>
      </w:r>
      <w:r>
        <w:t>完整路径：[table_j1_final_frozen_layer.csv](D:/thailand study/26_7_23paper/05_output/revision_step14f/tables/table_j1_final_frozen_layer.csv)</w:t>
      </w:r>
      <w:r>
        <w:br w:type="textWrapping"/>
      </w:r>
      <w:r>
        <w:t>文件作用：论文后续唯一应使用的最终产业链分类表。</w:t>
      </w:r>
    </w:p>
    <w:p w14:paraId="4FD82E08">
      <w:pPr>
        <w:pStyle w:val="6"/>
        <w:keepNext w:val="0"/>
        <w:keepLines w:val="0"/>
        <w:widowControl/>
        <w:suppressLineNumbers w:val="0"/>
      </w:pPr>
      <w:r>
        <w:t>文件名：table_j2_final_layer_changes.csv</w:t>
      </w:r>
      <w:r>
        <w:br w:type="textWrapping"/>
      </w:r>
      <w:r>
        <w:t>完整路径：[table_j2_final_layer_changes.csv](D:/thailand study/26_7_23paper/05_output/revision_step14f/tables/table_j2_final_layer_changes.csv)</w:t>
      </w:r>
      <w:r>
        <w:br w:type="textWrapping"/>
      </w:r>
      <w:r>
        <w:t>文件作用：记录相对原硬编码分类调整的14家公司、年报证据和调整理由。</w:t>
      </w:r>
    </w:p>
    <w:p w14:paraId="31FEBFEE">
      <w:pPr>
        <w:pStyle w:val="6"/>
        <w:keepNext w:val="0"/>
        <w:keepLines w:val="0"/>
        <w:widowControl/>
        <w:suppressLineNumbers w:val="0"/>
      </w:pPr>
      <w:r>
        <w:t>文件名：table_j3_final_pairwise_results.csv</w:t>
      </w:r>
      <w:r>
        <w:br w:type="textWrapping"/>
      </w:r>
      <w:r>
        <w:t>完整路径：[table_j3_final_pairwise_results.csv](D:/thailand study/26_7_23paper/05_output/revision_step14f/tables/table_j3_final_pairwise_results.csv)</w:t>
      </w:r>
      <w:r>
        <w:br w:type="textWrapping"/>
      </w:r>
      <w:r>
        <w:t>文件作用：最终Layer下54项层级两两比较。</w:t>
      </w:r>
    </w:p>
    <w:p w14:paraId="2C7BBD8B">
      <w:pPr>
        <w:pStyle w:val="6"/>
        <w:keepNext w:val="0"/>
        <w:keepLines w:val="0"/>
        <w:widowControl/>
        <w:suppressLineNumbers w:val="0"/>
      </w:pPr>
      <w:r>
        <w:t>文件名：table_j4_final_gradient_results.csv</w:t>
      </w:r>
      <w:r>
        <w:br w:type="textWrapping"/>
      </w:r>
      <w:r>
        <w:t>完整路径：[table_j4_final_gradient_results.csv](D:/thailand study/26_7_23paper/05_output/revision_step14f/tables/table_j4_final_gradient_results.csv)</w:t>
      </w:r>
      <w:r>
        <w:br w:type="textWrapping"/>
      </w:r>
      <w:r>
        <w:t>文件作用：最终Layer下18项产业链梯度检验。</w:t>
      </w:r>
    </w:p>
    <w:p w14:paraId="5925E58B">
      <w:pPr>
        <w:pStyle w:val="6"/>
        <w:keepNext w:val="0"/>
        <w:keepLines w:val="0"/>
        <w:widowControl/>
        <w:suppressLineNumbers w:val="0"/>
      </w:pPr>
      <w:r>
        <w:t>文件名：table_j5_final_main_results.csv</w:t>
      </w:r>
      <w:r>
        <w:br w:type="textWrapping"/>
      </w:r>
      <w:r>
        <w:t>完整路径：[table_j5_final_main_results.csv](D:/thailand study/26_7_23paper/05_output/revision_step14f/tables/table_j5_final_main_results.csv)</w:t>
      </w:r>
      <w:r>
        <w:br w:type="textWrapping"/>
      </w:r>
      <w:r>
        <w:t>文件作用：论文主规格的最终结果。</w:t>
      </w:r>
    </w:p>
    <w:p w14:paraId="40CDD84E">
      <w:pPr>
        <w:pStyle w:val="6"/>
        <w:keepNext w:val="0"/>
        <w:keepLines w:val="0"/>
        <w:widowControl/>
        <w:suppressLineNumbers w:val="0"/>
      </w:pPr>
      <w:r>
        <w:t>文件名：table_j6_final_car_with_layer.csv</w:t>
      </w:r>
      <w:r>
        <w:br w:type="textWrapping"/>
      </w:r>
      <w:r>
        <w:t>完整路径：[table_j6_final_car_with_layer.csv](D:/thailand study/26_7_23paper/05_output/revision_step14f/tables/table_j6_final_car_with_layer.csv)</w:t>
      </w:r>
      <w:r>
        <w:br w:type="textWrapping"/>
      </w:r>
      <w:r>
        <w:t>文件作用：最终Layer与公司层面CAR合并后的可复现底层数据。</w:t>
      </w:r>
    </w:p>
    <w:p w14:paraId="60469FDF">
      <w:pPr>
        <w:pStyle w:val="6"/>
        <w:keepNext w:val="0"/>
        <w:keepLines w:val="0"/>
        <w:widowControl/>
        <w:suppressLineNumbers w:val="0"/>
      </w:pPr>
      <w:r>
        <w:t>文件名：layer_freeze_manifest.json</w:t>
      </w:r>
      <w:r>
        <w:br w:type="textWrapping"/>
      </w:r>
      <w:r>
        <w:t>完整路径：[layer_freeze_manifest.json](D:/thailand study/26_7_23paper/05_output/revision_step14f/layer_freeze_manifest.json)</w:t>
      </w:r>
      <w:r>
        <w:br w:type="textWrapping"/>
      </w:r>
      <w:r>
        <w:t>文件作用：记录冻结版本、时间、分类规则、公司数量、输入文件哈希和冻结表哈希。</w:t>
      </w:r>
    </w:p>
    <w:p w14:paraId="41B8AB7B">
      <w:pPr>
        <w:pStyle w:val="2"/>
        <w:keepNext w:val="0"/>
        <w:keepLines w:val="0"/>
        <w:widowControl/>
        <w:suppressLineNumbers w:val="0"/>
      </w:pPr>
      <w:r>
        <w:t>四：本步骤目的、意义与结果</w:t>
      </w:r>
    </w:p>
    <w:p w14:paraId="0A363C8F">
      <w:pPr>
        <w:pStyle w:val="6"/>
        <w:keepNext w:val="0"/>
        <w:keepLines w:val="0"/>
        <w:widowControl/>
        <w:suppressLineNumbers w:val="0"/>
      </w:pPr>
      <w:r>
        <w:t>冻结版本：</w:t>
      </w:r>
    </w:p>
    <w:p w14:paraId="16A108C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layer_final_v1_2023_annual_report</w:t>
      </w:r>
    </w:p>
    <w:p w14:paraId="675EAA50">
      <w:pPr>
        <w:pStyle w:val="6"/>
        <w:keepNext w:val="0"/>
        <w:keepLines w:val="0"/>
        <w:widowControl/>
        <w:suppressLineNumbers w:val="0"/>
      </w:pPr>
      <w:r>
        <w:t>最终分层：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798"/>
      </w:tblGrid>
      <w:tr w14:paraId="11ADF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FF16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74C788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公司数</w:t>
            </w:r>
          </w:p>
        </w:tc>
      </w:tr>
      <w:tr w14:paraId="1360C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E4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上游</w:t>
            </w:r>
          </w:p>
        </w:tc>
        <w:tc>
          <w:tcPr>
            <w:tcW w:w="0" w:type="auto"/>
            <w:shd w:val="clear"/>
            <w:vAlign w:val="center"/>
          </w:tcPr>
          <w:p w14:paraId="6CB78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  <w:tr w14:paraId="4CF4D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21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中游</w:t>
            </w:r>
          </w:p>
        </w:tc>
        <w:tc>
          <w:tcPr>
            <w:tcW w:w="0" w:type="auto"/>
            <w:shd w:val="clear"/>
            <w:vAlign w:val="center"/>
          </w:tcPr>
          <w:p w14:paraId="6A1CB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</w:tr>
      <w:tr w14:paraId="3B8A8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5C7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下游</w:t>
            </w:r>
          </w:p>
        </w:tc>
        <w:tc>
          <w:tcPr>
            <w:tcW w:w="0" w:type="auto"/>
            <w:shd w:val="clear"/>
            <w:vAlign w:val="center"/>
          </w:tcPr>
          <w:p w14:paraId="2C8D8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27FB3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0C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41D54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</w:tbl>
    <w:p w14:paraId="7E2BFB69">
      <w:pPr>
        <w:pStyle w:val="6"/>
        <w:keepNext w:val="0"/>
        <w:keepLines w:val="0"/>
        <w:widowControl/>
        <w:suppressLineNumbers w:val="0"/>
      </w:pPr>
      <w:r>
        <w:t>相对原始硬编码分类调整：</w:t>
      </w:r>
    </w:p>
    <w:p w14:paraId="7A74884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14家公司</w:t>
      </w:r>
    </w:p>
    <w:p w14:paraId="6E2FE091">
      <w:pPr>
        <w:pStyle w:val="6"/>
        <w:keepNext w:val="0"/>
        <w:keepLines w:val="0"/>
        <w:widowControl/>
        <w:suppressLineNumbers w:val="0"/>
      </w:pPr>
      <w:r>
        <w:t>冻结表SHA-256：</w:t>
      </w:r>
    </w:p>
    <w:p w14:paraId="0E9C83B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cf247e93990f1fa9487220217116cf843ef704db668bb9ed0f15fc0ba4be6938</w:t>
      </w:r>
    </w:p>
    <w:p w14:paraId="798B220A">
      <w:pPr>
        <w:pStyle w:val="6"/>
        <w:keepNext w:val="0"/>
        <w:keepLines w:val="0"/>
        <w:widowControl/>
        <w:suppressLineNumbers w:val="0"/>
      </w:pPr>
      <w:r>
        <w:t>该哈希相当于分类表的数字指纹。后续如果表格内容被修改，重新计算的哈希将不再一致。</w:t>
      </w:r>
    </w:p>
    <w:p w14:paraId="07433A9F">
      <w:pPr>
        <w:pStyle w:val="6"/>
        <w:keepNext w:val="0"/>
        <w:keepLines w:val="0"/>
        <w:widowControl/>
        <w:suppressLineNumbers w:val="0"/>
      </w:pPr>
      <w:r>
        <w:t>最终主结果：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20"/>
        <w:gridCol w:w="1020"/>
        <w:gridCol w:w="1020"/>
        <w:gridCol w:w="1285"/>
      </w:tblGrid>
      <w:tr w14:paraId="60371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8736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检验</w:t>
            </w:r>
          </w:p>
        </w:tc>
        <w:tc>
          <w:tcPr>
            <w:tcW w:w="0" w:type="auto"/>
            <w:shd w:val="clear"/>
            <w:vAlign w:val="center"/>
          </w:tcPr>
          <w:p w14:paraId="1AF57E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效应</w:t>
            </w:r>
          </w:p>
        </w:tc>
        <w:tc>
          <w:tcPr>
            <w:tcW w:w="0" w:type="auto"/>
            <w:shd w:val="clear"/>
            <w:vAlign w:val="center"/>
          </w:tcPr>
          <w:p w14:paraId="562979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原始p</w:t>
            </w:r>
          </w:p>
        </w:tc>
        <w:tc>
          <w:tcPr>
            <w:tcW w:w="0" w:type="auto"/>
            <w:shd w:val="clear"/>
            <w:vAlign w:val="center"/>
          </w:tcPr>
          <w:p w14:paraId="1AF58D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BH-FDR</w:t>
            </w:r>
          </w:p>
        </w:tc>
        <w:tc>
          <w:tcPr>
            <w:tcW w:w="0" w:type="auto"/>
            <w:shd w:val="clear"/>
            <w:vAlign w:val="center"/>
          </w:tcPr>
          <w:p w14:paraId="6A753E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Bonferroni</w:t>
            </w:r>
          </w:p>
        </w:tc>
      </w:tr>
      <w:tr w14:paraId="5D8E8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9C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上游−下游</w:t>
            </w:r>
          </w:p>
        </w:tc>
        <w:tc>
          <w:tcPr>
            <w:tcW w:w="0" w:type="auto"/>
            <w:shd w:val="clear"/>
            <w:vAlign w:val="center"/>
          </w:tcPr>
          <w:p w14:paraId="7FBE7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0.037304</w:t>
            </w:r>
          </w:p>
        </w:tc>
        <w:tc>
          <w:tcPr>
            <w:tcW w:w="0" w:type="auto"/>
            <w:shd w:val="clear"/>
            <w:vAlign w:val="center"/>
          </w:tcPr>
          <w:p w14:paraId="73138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0.010155</w:t>
            </w:r>
          </w:p>
        </w:tc>
        <w:tc>
          <w:tcPr>
            <w:tcW w:w="0" w:type="auto"/>
            <w:shd w:val="clear"/>
            <w:vAlign w:val="center"/>
          </w:tcPr>
          <w:p w14:paraId="53804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0.026114</w:t>
            </w:r>
          </w:p>
        </w:tc>
        <w:tc>
          <w:tcPr>
            <w:tcW w:w="0" w:type="auto"/>
            <w:shd w:val="clear"/>
            <w:vAlign w:val="center"/>
          </w:tcPr>
          <w:p w14:paraId="37C4A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0.548386</w:t>
            </w:r>
          </w:p>
        </w:tc>
      </w:tr>
      <w:tr w14:paraId="62387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09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产业链梯度</w:t>
            </w:r>
          </w:p>
        </w:tc>
        <w:tc>
          <w:tcPr>
            <w:tcW w:w="0" w:type="auto"/>
            <w:shd w:val="clear"/>
            <w:vAlign w:val="center"/>
          </w:tcPr>
          <w:p w14:paraId="4FCDC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0.019205</w:t>
            </w:r>
          </w:p>
        </w:tc>
        <w:tc>
          <w:tcPr>
            <w:tcW w:w="0" w:type="auto"/>
            <w:shd w:val="clear"/>
            <w:vAlign w:val="center"/>
          </w:tcPr>
          <w:p w14:paraId="6B617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0.004217</w:t>
            </w:r>
          </w:p>
        </w:tc>
        <w:tc>
          <w:tcPr>
            <w:tcW w:w="0" w:type="auto"/>
            <w:shd w:val="clear"/>
            <w:vAlign w:val="center"/>
          </w:tcPr>
          <w:p w14:paraId="72D4A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0.006325</w:t>
            </w:r>
          </w:p>
        </w:tc>
        <w:tc>
          <w:tcPr>
            <w:tcW w:w="0" w:type="auto"/>
            <w:shd w:val="clear"/>
            <w:vAlign w:val="center"/>
          </w:tcPr>
          <w:p w14:paraId="63CC4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0.075902</w:t>
            </w:r>
          </w:p>
        </w:tc>
      </w:tr>
    </w:tbl>
    <w:p w14:paraId="342D4B55">
      <w:pPr>
        <w:pStyle w:val="6"/>
        <w:keepNext w:val="0"/>
        <w:keepLines w:val="0"/>
        <w:widowControl/>
        <w:suppressLineNumbers w:val="0"/>
      </w:pPr>
      <w:r>
        <w:t>结论：</w:t>
      </w:r>
    </w:p>
    <w:p w14:paraId="3428313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上游相对下游异常收益高约3.73个百分点；</w:t>
      </w:r>
    </w:p>
    <w:p w14:paraId="66B3FB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产业链每向上移动一个层级，CAR增加约1.92个百分点；</w:t>
      </w:r>
    </w:p>
    <w:p w14:paraId="67DDFC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两项结果均通过原始检验和BH-FDR；</w:t>
      </w:r>
    </w:p>
    <w:p w14:paraId="7EA340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两项结果均未通过5% Bonferroni；</w:t>
      </w:r>
    </w:p>
    <w:p w14:paraId="25A913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梯度结果在Bonferroni 10%标准下边际显著。</w:t>
      </w:r>
    </w:p>
    <w:p w14:paraId="1A2F06F3">
      <w:pPr>
        <w:pStyle w:val="2"/>
        <w:keepNext w:val="0"/>
        <w:keepLines w:val="0"/>
        <w:widowControl/>
        <w:suppressLineNumbers w:val="0"/>
      </w:pPr>
      <w:bookmarkStart w:id="0" w:name="_GoBack"/>
      <w:r>
        <w:t>五：完整可运行代码</w:t>
      </w:r>
    </w:p>
    <w:p w14:paraId="70BE5932">
      <w:pPr>
        <w:pStyle w:val="6"/>
        <w:keepNext w:val="0"/>
        <w:keepLines w:val="0"/>
        <w:widowControl/>
        <w:suppressLineNumbers w:val="0"/>
      </w:pPr>
      <w:r>
        <w:t>冻结分类：</w:t>
      </w:r>
    </w:p>
    <w:bookmarkEnd w:id="0"/>
    <w:p w14:paraId="68974DBD">
      <w:pPr>
        <w:pStyle w:val="2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1A8AF7B4">
    <w:panose1 w:val="020B0503020204020204"/>
    <w:charset w:val="00"/>
    <w:family w:val="auto"/>
    <w:pitch w:val="default"/>
    <w:sig w:usb0="00000001" w:usb1="00000000" w:usb2="00000000" w:usb3="00000000" w:csb0="00000001" w:csb1="00000000"/>
  </w:font>
  <w:font w:name="KSOFF049C450">
    <w:panose1 w:val="020B0502040204020203"/>
    <w:charset w:val="00"/>
    <w:family w:val="auto"/>
    <w:pitch w:val="default"/>
    <w:sig w:usb0="00000001" w:usb1="00000000" w:usb2="00000000" w:usb3="00000000" w:csb0="00000001" w:csb1="00000000"/>
  </w:font>
  <w:font w:name="KSOFE493356F">
    <w:panose1 w:val="020B0802040204020203"/>
    <w:charset w:val="00"/>
    <w:family w:val="auto"/>
    <w:pitch w:val="default"/>
    <w:sig w:usb0="00000001" w:usb1="00000000" w:usb2="00000000" w:usb3="00000000" w:csb0="00000001" w:csb1="00000000"/>
  </w:font>
  <w:font w:name="KSOF1C3FD053">
    <w:panose1 w:val="020B0703020204020201"/>
    <w:charset w:val="00"/>
    <w:family w:val="auto"/>
    <w:pitch w:val="default"/>
    <w:sig w:usb0="00000001" w:usb1="00000000" w:usb2="00000000" w:usb3="00000000" w:csb0="00000001" w:csb1="00000000"/>
  </w:font>
  <w:font w:name="KSOF67F23A09">
    <w:panose1 w:val="020B0503020204020204"/>
    <w:charset w:val="00"/>
    <w:family w:val="auto"/>
    <w:pitch w:val="default"/>
    <w:sig w:usb0="00000001" w:usb1="00000000" w:usb2="00000000" w:usb3="00000000" w:csb0="00000001" w:csb1="00000000"/>
  </w:font>
  <w:font w:name="KSOF4F941068">
    <w:panose1 w:val="020B0703020204020201"/>
    <w:charset w:val="00"/>
    <w:family w:val="auto"/>
    <w:pitch w:val="default"/>
    <w:sig w:usb0="00000001" w:usb1="00000000" w:usb2="00000000" w:usb3="00000000" w:csb0="00000001" w:csb1="00000000"/>
  </w:font>
  <w:font w:name="KSOFE7BA06BD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SOF61AA7FC7">
    <w:panose1 w:val="020706090202050204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DF830"/>
    <w:multiLevelType w:val="singleLevel"/>
    <w:tmpl w:val="804DF83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8518BD8D"/>
    <w:multiLevelType w:val="multilevel"/>
    <w:tmpl w:val="8518BD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2E84824"/>
    <w:multiLevelType w:val="multilevel"/>
    <w:tmpl w:val="92E84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5D968A"/>
    <w:multiLevelType w:val="multilevel"/>
    <w:tmpl w:val="B85D9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28F1FF6"/>
    <w:multiLevelType w:val="multilevel"/>
    <w:tmpl w:val="E28F1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0849C4"/>
    <w:multiLevelType w:val="multilevel"/>
    <w:tmpl w:val="E6084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C100986"/>
    <w:multiLevelType w:val="multilevel"/>
    <w:tmpl w:val="FC100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CEADE00"/>
    <w:multiLevelType w:val="multilevel"/>
    <w:tmpl w:val="1CEADE0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1779807"/>
    <w:multiLevelType w:val="multilevel"/>
    <w:tmpl w:val="31779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910E8CE"/>
    <w:multiLevelType w:val="singleLevel"/>
    <w:tmpl w:val="4910E8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509064A8"/>
    <w:multiLevelType w:val="multilevel"/>
    <w:tmpl w:val="509064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11F3B6D"/>
    <w:multiLevelType w:val="multilevel"/>
    <w:tmpl w:val="511F3B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293E29D"/>
    <w:multiLevelType w:val="multilevel"/>
    <w:tmpl w:val="5293E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923D5E6"/>
    <w:multiLevelType w:val="multilevel"/>
    <w:tmpl w:val="5923D5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9095E5E"/>
    <w:multiLevelType w:val="multilevel"/>
    <w:tmpl w:val="69095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3"/>
  </w:num>
  <w:num w:numId="5">
    <w:abstractNumId w:val="7"/>
  </w:num>
  <w:num w:numId="6">
    <w:abstractNumId w:val="1"/>
  </w:num>
  <w:num w:numId="7">
    <w:abstractNumId w:val="12"/>
  </w:num>
  <w:num w:numId="8">
    <w:abstractNumId w:val="6"/>
  </w:num>
  <w:num w:numId="9">
    <w:abstractNumId w:val="14"/>
  </w:num>
  <w:num w:numId="10">
    <w:abstractNumId w:val="10"/>
  </w:num>
  <w:num w:numId="11">
    <w:abstractNumId w:val="13"/>
  </w:num>
  <w:num w:numId="12">
    <w:abstractNumId w:val="4"/>
  </w:num>
  <w:num w:numId="13">
    <w:abstractNumId w:val="8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B351F6"/>
    <w:rsid w:val="01336206"/>
    <w:rsid w:val="06A136B9"/>
    <w:rsid w:val="07D53466"/>
    <w:rsid w:val="09F151D3"/>
    <w:rsid w:val="0C663D83"/>
    <w:rsid w:val="0D475DD6"/>
    <w:rsid w:val="0D8B5453"/>
    <w:rsid w:val="0F246CA9"/>
    <w:rsid w:val="10B351F6"/>
    <w:rsid w:val="11612713"/>
    <w:rsid w:val="116D74F4"/>
    <w:rsid w:val="12EC4418"/>
    <w:rsid w:val="135806AB"/>
    <w:rsid w:val="13F653D3"/>
    <w:rsid w:val="1B966B11"/>
    <w:rsid w:val="1CAF3DF7"/>
    <w:rsid w:val="1D2616DA"/>
    <w:rsid w:val="1EB23704"/>
    <w:rsid w:val="22025452"/>
    <w:rsid w:val="26E20CF5"/>
    <w:rsid w:val="2BD07B70"/>
    <w:rsid w:val="2DF35A84"/>
    <w:rsid w:val="33641229"/>
    <w:rsid w:val="3518054B"/>
    <w:rsid w:val="3C9B22A1"/>
    <w:rsid w:val="3CC33464"/>
    <w:rsid w:val="3F89533D"/>
    <w:rsid w:val="41A87FD2"/>
    <w:rsid w:val="41E360BA"/>
    <w:rsid w:val="431D0ECB"/>
    <w:rsid w:val="45B02632"/>
    <w:rsid w:val="4CE95268"/>
    <w:rsid w:val="4DD75F72"/>
    <w:rsid w:val="4F9E0E2B"/>
    <w:rsid w:val="508F5475"/>
    <w:rsid w:val="54D53F6F"/>
    <w:rsid w:val="54D666BE"/>
    <w:rsid w:val="562143BA"/>
    <w:rsid w:val="562B4FB5"/>
    <w:rsid w:val="56C70386"/>
    <w:rsid w:val="587C29ED"/>
    <w:rsid w:val="58A41F44"/>
    <w:rsid w:val="5C9C18B0"/>
    <w:rsid w:val="5DF76B44"/>
    <w:rsid w:val="5EB7471A"/>
    <w:rsid w:val="5EF12152"/>
    <w:rsid w:val="5FEF45F4"/>
    <w:rsid w:val="614C6AAF"/>
    <w:rsid w:val="62555572"/>
    <w:rsid w:val="62C872A0"/>
    <w:rsid w:val="647A3F6A"/>
    <w:rsid w:val="66293762"/>
    <w:rsid w:val="6A5F4DAD"/>
    <w:rsid w:val="6A983F87"/>
    <w:rsid w:val="6CBB68DA"/>
    <w:rsid w:val="6FE12797"/>
    <w:rsid w:val="73071847"/>
    <w:rsid w:val="73234AF8"/>
    <w:rsid w:val="750000AA"/>
    <w:rsid w:val="763E2B61"/>
    <w:rsid w:val="7709475C"/>
    <w:rsid w:val="7789259A"/>
    <w:rsid w:val="7B1266DA"/>
    <w:rsid w:val="7D2C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标题 1 Char"/>
    <w:link w:val="2"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1558</Words>
  <Characters>2304</Characters>
  <Lines>0</Lines>
  <Paragraphs>0</Paragraphs>
  <TotalTime>255</TotalTime>
  <ScaleCrop>false</ScaleCrop>
  <LinksUpToDate>false</LinksUpToDate>
  <CharactersWithSpaces>2417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2026-07-25T03:54:00Z</dcterms:created>
  <dc:creator>白莹</dc:creator>
  <cp:lastModifiedBy>白莹</cp:lastModifiedBy>
  <dcterms:modified xsi:type="dcterms:W3CDTF">2026-07-27T09:18:19Z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6D74C11A28AA433283F4B4F4A7A198F2_11</vt:lpwstr>
  </property>
  <property fmtid="{D5CDD505-2E9C-101B-9397-08002B2CF9AE}" pid="4" name="KSOTemplateDocerSaveRecord">
    <vt:lpwstr>eyJoZGlkIjoiZTcyYjQ4MTM0N2VjZGE4ZjdmOTdkMTIwODQyMTgxN2IiLCJ1c2VySWQiOiIyNzM0NjYzMjYifQ==</vt:lpwstr>
  </property>
</Properties>
</file>