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rFonts w:ascii="Arial" w:hAnsi="Arial" w:eastAsia="黑体"/>
          <w:b/>
          <w:color w:val="000000"/>
          <w:sz w:val="36"/>
        </w:rPr>
        <w:t>DeepSeek模型发布与AI产业链的非对称市场反应</w:t>
      </w:r>
    </w:p>
    <w:p>
      <w:pPr>
        <w:spacing w:after="240"/>
        <w:jc w:val="center"/>
      </w:pPr>
      <w:r>
        <w:rPr>
          <w:rFonts w:ascii="Times New Roman" w:hAnsi="Times New Roman" w:eastAsia="宋体"/>
          <w:b w:val="0"/>
          <w:color w:val="555555"/>
          <w:sz w:val="24"/>
        </w:rPr>
        <w:t>——基于A股上市公司的日度事件研究</w:t>
      </w:r>
    </w:p>
    <w:p>
      <w:pPr>
        <w:spacing w:before="160" w:after="200"/>
        <w:jc w:val="center"/>
      </w:pPr>
      <w:r>
        <w:rPr>
          <w:rFonts w:ascii="Arial" w:hAnsi="Arial" w:eastAsia="黑体"/>
          <w:b/>
          <w:color w:val="000000"/>
          <w:sz w:val="32"/>
        </w:rPr>
        <w:t>DeepSeek Model Releases and Asymmetric Market Reactions along the AI Value Chain</w:t>
      </w:r>
    </w:p>
    <w:p>
      <w:pPr>
        <w:spacing w:after="240"/>
        <w:jc w:val="center"/>
      </w:pPr>
      <w:r>
        <w:rPr>
          <w:rFonts w:ascii="Times New Roman" w:hAnsi="Times New Roman" w:eastAsia="宋体"/>
          <w:b w:val="0"/>
          <w:color w:val="555555"/>
          <w:sz w:val="24"/>
        </w:rPr>
        <w:t>Evidence from a Daily Event Study of Chinese A-Share Firms</w:t>
      </w:r>
    </w:p>
    <w:p>
      <w:pPr>
        <w:ind w:firstLine="0"/>
      </w:pPr>
      <w:r>
        <w:rPr>
          <w:rFonts w:ascii="Times New Roman" w:hAnsi="Times New Roman" w:eastAsia="宋体"/>
          <w:b w:val="0"/>
          <w:i w:val="0"/>
          <w:color w:val="000000"/>
          <w:sz w:val="21"/>
        </w:rPr>
      </w:r>
    </w:p>
    <w:p>
      <w:pPr>
        <w:ind w:firstLine="0"/>
      </w:pPr>
      <w:r>
        <w:rPr>
          <w:rFonts w:ascii="Times New Roman" w:hAnsi="Times New Roman" w:eastAsia="宋体"/>
          <w:b/>
          <w:i w:val="0"/>
          <w:color w:val="000000"/>
          <w:sz w:val="21"/>
        </w:rPr>
        <w:t>投稿版完整初稿（增强版）</w:t>
      </w:r>
    </w:p>
    <w:p>
      <w:pPr>
        <w:ind w:firstLine="0"/>
      </w:pPr>
      <w:r>
        <w:rPr>
          <w:rFonts w:ascii="Times New Roman" w:hAnsi="Times New Roman" w:eastAsia="宋体"/>
          <w:b w:val="0"/>
          <w:i w:val="0"/>
          <w:color w:val="000000"/>
          <w:sz w:val="21"/>
        </w:rPr>
      </w:r>
    </w:p>
    <w:p>
      <w:pPr>
        <w:pStyle w:val="Heading1"/>
        <w:ind w:firstLine="0"/>
      </w:pPr>
      <w:r>
        <w:t>摘要</w:t>
      </w:r>
    </w:p>
    <w:p>
      <w:r>
        <w:rPr>
          <w:rFonts w:ascii="Times New Roman" w:hAnsi="Times New Roman" w:eastAsia="宋体"/>
          <w:b w:val="0"/>
          <w:color w:val="000000"/>
          <w:sz w:val="21"/>
        </w:rPr>
        <w:t>生成式人工智能基础模型的突破如何沿产业链被资本市场定价，仍缺少基于事件前企业经济功能分类和短窗口市场反应的系统证据。本文以DeepSeek-V3于2024年12月26日发布为核心事件，选取60家A股人工智能产业链上市公司，依据事件前公开的2023年年度报告，将企业按主要经济功能划分为上游（21家）、中游（24家）和下游（15家），并采用市场模型估计日度异常收益与累计异常收益。以沪深300为主基准、[-1,+1]为预设主窗口，上游企业相对下游企业的累计异常收益高3.73个百分点（p=0.010；BH-FDR校正p=0.026）；将产业链位置编码为由下游至上游递增的有序变量后，每上移一个层级，累计异常收益提高1.92个百分点（p=0.004；BH-FDR校正p=0.006）。替换市场指数、扩大V3事件窗口以及使用DeepSeek-R1事件后，短窗口内的产业链梯度总体保持为正，但部分结果不能通过最保守的Bonferroni校正，且R1事件在较长窗口中出现衰减或反转。进一步分析表明，产业链梯度效应在规模较大的企业中更为显著，且与企业基本面预期和投资者注意力双重渠道相关。研究表明，技术模型发布引发的短期市场反应具有产业链位置差异；但这一证据属于事件相关市场反应，不足以单独识别长期价值创造或严格因果效应。本文的贡献在于：第一，使用事件前公开的年度报告建立分类并在结果分析前冻结，降低结果导向分类风险；第二，同时检验上下游差异与有序产业链梯度，直接呈现技术信息在价值链上的非对称定价；第三，系统披露多重检验校正结果与识别边界，提供可复核的产业链事件研究路径。</w:t>
      </w:r>
    </w:p>
    <w:p>
      <w:pPr>
        <w:ind w:firstLine="0"/>
      </w:pPr>
      <w:r>
        <w:rPr>
          <w:rFonts w:ascii="Times New Roman" w:hAnsi="Times New Roman" w:eastAsia="宋体"/>
          <w:b/>
          <w:i w:val="0"/>
          <w:color w:val="000000"/>
          <w:sz w:val="21"/>
        </w:rPr>
        <w:t>关键词：DeepSeek；AI产业链；投资者注意力；日度事件研究；累计异常收益；多重检验</w:t>
      </w:r>
    </w:p>
    <w:p>
      <w:pPr>
        <w:pStyle w:val="Heading1"/>
        <w:ind w:firstLine="0"/>
      </w:pPr>
      <w:r>
        <w:t>Abstract</w:t>
      </w:r>
    </w:p>
    <w:p>
      <w:r>
        <w:rPr>
          <w:rFonts w:ascii="Times New Roman" w:hAnsi="Times New Roman" w:eastAsia="宋体"/>
          <w:b w:val="0"/>
          <w:color w:val="000000"/>
          <w:sz w:val="21"/>
        </w:rPr>
        <w:t>How capital markets price foundation-model releases across the artificial intelligence value chain remains unclear. We examine the release of DeepSeek-V3 on 26 December 2024 using 60 Chinese A-share firms. To reduce outcome-driven classification, each firm is assigned to the upstream (21 firms), midstream (24 firms), or downstream (15 firms) segment according to its primary economic function documented in its publicly available 2023 annual report, all of which predate the event. Daily abnormal returns and cumulative abnormal returns (CARs) are estimated with a market model. Using the CSI 300 as the benchmark and the prespecified [-1,+1] window, upstream firms earn CARs that are 3.73 percentage points higher than those of downstream firms (p=0.010; Benjamini–Hochberg false-discovery-rate-adjusted p=0.026). When value-chain position is coded ordinally from downstream to upstream, a one-tier move upward is associated with a 1.92-percentage-point increase in CAR (p=0.004; adjusted p=0.006). The direction is generally preserved across alternative market indices, wider DeepSeek-V3 windows, and the DeepSeek-R1 event, although some estimates do not survive the conservative Bonferroni correction and the R1 pattern weakens or reverses over longer windows. Further analysis shows that the value-chain gradient is more pronounced among larger firms and is related to both fundamental-expectations and investor-attention channels. These findings document heterogeneous short-run market reactions along the AI value chain. They should not be interpreted, on their own, as evidence of long-run value creation or a strictly identified causal effect. Our contributions are threefold. First, we classify firms using predated annual reports and freeze the classification before analyzing final results, reducing outcome-driven classification risk. Second, we test both an upstream-minus-downstream contrast and an ordered value-chain gradient, directly documenting asymmetric pricing of technology information along the value chain. Third, we systematically disclose multiple-testing corrections and identification boundaries, providing a reproducible value-chain event-study approach.</w:t>
      </w:r>
    </w:p>
    <w:p>
      <w:pPr>
        <w:ind w:firstLine="0"/>
      </w:pPr>
      <w:r>
        <w:rPr>
          <w:rFonts w:ascii="Times New Roman" w:hAnsi="Times New Roman" w:eastAsia="宋体"/>
          <w:b/>
          <w:i w:val="0"/>
          <w:color w:val="000000"/>
          <w:sz w:val="21"/>
        </w:rPr>
        <w:t>Keywords: DeepSeek; AI value chain; investor attention; daily event study; cumulative abnormal returns; multiple testing</w:t>
      </w:r>
    </w:p>
    <w:p>
      <w:pPr>
        <w:pStyle w:val="Heading1"/>
        <w:ind w:firstLine="0"/>
      </w:pPr>
      <w:r>
        <w:t>一、引言</w:t>
      </w:r>
    </w:p>
    <w:p>
      <w:r>
        <w:rPr>
          <w:rFonts w:ascii="Times New Roman" w:hAnsi="Times New Roman" w:eastAsia="宋体"/>
          <w:b w:val="0"/>
          <w:color w:val="000000"/>
          <w:sz w:val="21"/>
        </w:rPr>
        <w:t>生成式人工智能（Generative Artificial Intelligence，简称Generative AI）正在从单一软件工具演变为跨行业通用技术。自2022年底ChatGPT发布以来，大语言模型（Large Language Models，LLMs）的能力边界持续扩展，在文本生成、代码编写、图像理解和推理任务等领域展现出接近甚至超越人类专业水平的表现（Noy and Zhang, 2023；DeepSeek-AI et al., 2024）。受控实验显示，生成式AI能够显著提高专业写作任务的效率与质量，缩短学习曲线，并改变知识工作的组织方式。在中国市场，企业层面的研究进一步发现，数字技术应用与创新效率提升相关（杨鹏等, 2024），人工智能应用还会影响企业供应链嵌入及生产网络溢出（张誉夫和谢建国, 2025；乔小勇等, 2025）。因此，基础模型能力的公开跃迁不仅改变技术预期，也可能同步改变资本市场对算力基础设施、软件平台和终端应用的需求判断。</w:t>
      </w:r>
    </w:p>
    <w:p>
      <w:r>
        <w:rPr>
          <w:rFonts w:ascii="Times New Roman" w:hAnsi="Times New Roman" w:eastAsia="宋体"/>
          <w:b w:val="0"/>
          <w:color w:val="000000"/>
          <w:sz w:val="21"/>
        </w:rPr>
        <w:t>市场如何吸收此类信息，首先受到注意力与文本信息处理约束。信息不完全会影响资产定价（Merton, 1987），显著新闻和极端交易信号能够进入投资者的有限选择集合（Barber and Odean, 2008）。在中国市场，财经媒体文本情绪和金融文本语调均具有收益或其他市场变量的预测能力（姜富伟等, 2021；姚加权等, 2021）；更广泛的商业新闻主题也能刻画并预测市场与商业周期状态（Bybee et al., 2024）。此外，信息被记忆和重新激活的方式会影响随后的市场反应（Charles, 2025）。这些研究共同表明，高传播度模型发布可能通过集中注意力和预期修正形成短期价格压力。然而，既有研究多关注单一企业或整体市场的反应，较少系统考察同一技术冲击如何沿产业链产生差异化的定价效应。</w:t>
      </w:r>
    </w:p>
    <w:p>
      <w:r>
        <w:rPr>
          <w:rFonts w:ascii="Times New Roman" w:hAnsi="Times New Roman" w:eastAsia="宋体"/>
          <w:b w:val="0"/>
          <w:color w:val="000000"/>
          <w:sz w:val="21"/>
        </w:rPr>
        <w:t>注意力并不意味着所有投资者作出相同推断。实验研究表明，信息集合会改变信念形成及信念向投资决策的传导（Andries et al., 2025），收益外推也可产生可预测的市场回报模式（Guo, 2025）。与此同时，大语言模型能够从金融新闻中提取与收益相关的情绪信号（Kirtac and Germano, 2024），生成式AI还可从分析师报告、电话会议和员工评论中提取具有资本市场含义的公司文化信息（Li et al., 2026）。近期研究还发现，ChatGPT等大语言模型能够基于新闻头条预测股票价格变动，且预测能力在小盘股和负面新闻后更强（Lopez-Lira and Tang, 2023）。这意味着DeepSeek事件既是技术供给冲击，也是一个高强度的信息与注意力冲击。</w:t>
      </w:r>
    </w:p>
    <w:p>
      <w:r>
        <w:rPr>
          <w:rFonts w:ascii="Times New Roman" w:hAnsi="Times New Roman" w:eastAsia="宋体"/>
          <w:b w:val="0"/>
          <w:color w:val="000000"/>
          <w:sz w:val="21"/>
        </w:rPr>
        <w:t>其次，冲击的经济含义取决于企业在供应链中的位置。既有研究表明，局部灾害会沿投入产出关系向上游和下游传播（Carvalho et al., 2021）；供应商气候暴露会影响客户经营表现和供应关系调整（Pankratz and Schiller, 2024），供应商环境与社会事件也会诱发客户重配国际采购关系（Bisetti et al., 2026）。企业进入跨国公司供应链后，其就业、生产率和客户结构会持续变化（Alfaro-Ureña et al., 2022）。Cohen and Frazzini（2008）发现，经济关联企业之间存在收益可预测性，投资者对供应链信息的反应存在滞后。结合中国证据，人工智能应用能够强化供应链嵌入和生产网络溢出（张誉夫和谢建国, 2025；乔小勇等, 2025）。然而，这些研究主要关注实体经营或网络传导，尚未直接回答同一基础模型发布为何会在AI产业链不同环节产生不同幅度的即时资本市场反应。</w:t>
      </w:r>
    </w:p>
    <w:p>
      <w:r>
        <w:rPr>
          <w:rFonts w:ascii="Times New Roman" w:hAnsi="Times New Roman" w:eastAsia="宋体"/>
          <w:b w:val="0"/>
          <w:color w:val="000000"/>
          <w:sz w:val="21"/>
        </w:rPr>
        <w:t>DeepSeek-V3提供了一个具有清晰公开日期且覆盖全产业链的技术信息事件。芯片、服务器、光模块、印制电路板和数据中心等上游企业提供训练与推理基础；软件平台、数据服务和系统集成企业承担技术适配与扩散；办公、金融、医疗和城市治理等下游企业将模型嵌入具体场景。由于订单映射、商业化周期和价值兑现路径不同，同一模型发布可能产生方向一致但幅度不同的市场反应。本文关注的核心问题是：在控制市场共同波动后，DeepSeek发布相关的短期异常收益是否沿产业链呈现系统性梯度？</w:t>
      </w:r>
    </w:p>
    <w:p>
      <w:r>
        <w:rPr>
          <w:rFonts w:ascii="Times New Roman" w:hAnsi="Times New Roman" w:eastAsia="宋体"/>
          <w:b w:val="0"/>
          <w:color w:val="000000"/>
          <w:sz w:val="21"/>
        </w:rPr>
        <w:t>研究设计上，本文采用标准日度事件研究（MacKinlay, 1997），而不把月度双重差分作为主识别框架。多期DID文献强调处理时点、异质处理效应、对照组构造和事件前趋势检验必须与目标参数一致（Callaway and Sant’Anna, 2021；Borusyak et al., 2024）。本文样本公司面对同一公开事件，缺少自然的未处理组；前期月度模型的时间安慰剂和事件前联合检验也未通过。据此，本文将日度异常收益解释为事件相关市场反应，并明确不将其升级为严格因果效应或长期基本面价值。这一设计选择与近期关于事件研究方法论的讨论一致，即在事件日期聚类和横截面相关条件下，需要审慎选择检验统计量并控制多重检验偏差（Kolari and Pynnönen, 2010；Boehmer et al., 1991）。</w:t>
      </w:r>
    </w:p>
    <w:p>
      <w:r>
        <w:rPr>
          <w:rFonts w:ascii="Times New Roman" w:hAnsi="Times New Roman" w:eastAsia="宋体"/>
          <w:b w:val="0"/>
          <w:color w:val="000000"/>
          <w:sz w:val="21"/>
        </w:rPr>
        <w:t>本文作出三方面贡献。第一，使用事件前公开的2023年年度报告识别60家样本公司的主要经济功能，并在结果分析前冻结分类，降低概念标签和结果导向分类风险。与依赖概念指数或事后分类的研究相比，这一方法提高了分类的可复核性和透明度。第二，在预设事件、市场指数和窗口下同时检验上游—下游差异与有序产业链梯度，直接呈现技术信息在价值链上的非对称定价。这一设计既捕捉了两端差异，也利用了全部三层信息，提高了检验效率。第三，同时披露原始p值、BH-FDR和Bonferroni校正，并以替代指数、不同窗口和DeepSeek-R1事件检验结果边界。本文由此提供一条可复核的产业链事件研究路径，而非对因果识别强度作超出数据支持的宣称。</w:t>
      </w:r>
    </w:p>
    <w:p>
      <w:r>
        <w:rPr>
          <w:rFonts w:ascii="Times New Roman" w:hAnsi="Times New Roman" w:eastAsia="宋体"/>
          <w:b w:val="0"/>
          <w:color w:val="000000"/>
          <w:sz w:val="21"/>
        </w:rPr>
        <w:t>本文余下部分安排如下：第二部分回顾相关文献并提出研究假设；第三部分介绍研究设计，包括事件选择、样本与数据、产业链分类方法、异常收益计算和检验策略；第四部分报告实证结果，包括描述性统计、主结果、稳健性检验和补充事件分析；第五部分探讨机制与异质性；第六部分进行进一步讨论；第七部分总结结论并提出政策启示与研究局限。</w:t>
      </w:r>
    </w:p>
    <w:p>
      <w:pPr>
        <w:pStyle w:val="Heading1"/>
        <w:ind w:firstLine="0"/>
      </w:pPr>
      <w:r>
        <w:t>二、文献综述与研究假设</w:t>
      </w:r>
    </w:p>
    <w:p>
      <w:pPr>
        <w:pStyle w:val="Heading2"/>
        <w:ind w:firstLine="0"/>
      </w:pPr>
      <w:r>
        <w:t>（一）生成式AI与资本市场反应</w:t>
      </w:r>
    </w:p>
    <w:p>
      <w:r>
        <w:rPr>
          <w:rFonts w:ascii="Times New Roman" w:hAnsi="Times New Roman" w:eastAsia="宋体"/>
          <w:b w:val="0"/>
          <w:color w:val="000000"/>
          <w:sz w:val="21"/>
        </w:rPr>
        <w:t>人工智能技术对资本市场的影响是近年来金融研究的热点议题。早期研究主要关注AI技术应用对企业经营绩效和市场估值的长期影响。近期，随着生成式AI的爆发式发展，研究焦点逐渐转向大模型发布事件的短期市场反应。Eisfeldt et al.（2024）构建了企业劳动力对生成式AI的暴露度指标，发现在ChatGPT发布后的两周内，高暴露度企业的股票收益每日比低暴露度企业高出0.4个百分点，且这一效应在数据资产更丰富的企业中更为显著。该研究支持了劳动力替代渠道，即生成式AI通过改变劳动需求结构影响企业价值。</w:t>
      </w:r>
    </w:p>
    <w:p>
      <w:r>
        <w:rPr>
          <w:rFonts w:ascii="Times New Roman" w:hAnsi="Times New Roman" w:eastAsia="宋体"/>
          <w:b w:val="0"/>
          <w:color w:val="000000"/>
          <w:sz w:val="21"/>
        </w:rPr>
        <w:t>Pietrzak（2025）使用事件研究方法考察了ChatGPT相关企业公告对美国上市公司的短期影响，发现在SEC文件中提及ChatGPT的企业在2023年1月至5月间获得了统计显著的异常收益，且信息技术行业持续受益，而金融和能源行业面临更高风险。该研究还发现，企业市值、贝塔系数和成立年限等特征与市场反应幅度相关。类似地，Blomkvist et al.（2024）发现ChatGPT发布后，劳动力更易被AI替代的行业企业股价显著下跌，反映了技术冲击的竞争效应。Xi et al.（2025）进一步研究了主要AI模型发布的市场影响，发现ChatGPT、GPT-4和Gemini等模型发布对微软和谷歌等科技巨头的股价产生了显著影响，且不同模型发布的市场反应存在差异。</w:t>
      </w:r>
    </w:p>
    <w:p>
      <w:r>
        <w:rPr>
          <w:rFonts w:ascii="Times New Roman" w:hAnsi="Times New Roman" w:eastAsia="宋体"/>
          <w:b w:val="0"/>
          <w:color w:val="000000"/>
          <w:sz w:val="21"/>
        </w:rPr>
        <w:t>Han（2025）专门研究了DeepSeek R1发布对半导体市场的影响，发现该事件对美国半导体股票产生了显著的负面冲击，表明市场将DeepSeek的突破视为对美国半导体企业竞争地位的挑战。这一研究直接关注了AI模型发布对上游硬件企业的影响，但未系统考察全产业链的反应差异。Kurter and Bhatti（2024）研究了英国FTSE 100公司AI投资公告的市场反应，发现AI投资公告获得了正面的市场反应，且反应幅度与企业规模和行业特征相关。</w:t>
      </w:r>
    </w:p>
    <w:p>
      <w:r>
        <w:rPr>
          <w:rFonts w:ascii="Times New Roman" w:hAnsi="Times New Roman" w:eastAsia="宋体"/>
          <w:b w:val="0"/>
          <w:color w:val="000000"/>
          <w:sz w:val="21"/>
        </w:rPr>
        <w:t>Patel and Sahi（2024）研究了服务业企业AI专利批准的市场反应，发现机器学习类AI专利获得正面反应，而规划控制类专利获得负面反应，暗示不同类型的AI技术具有不同的价值含义。Ho et al.（2022）则从企业绩效角度研究了AI的影响，发现AI企业在COVID-19期间表现出更强的韧性，表明AI技术能够提升企业的抗风险能力。</w:t>
      </w:r>
    </w:p>
    <w:p>
      <w:r>
        <w:rPr>
          <w:rFonts w:ascii="Times New Roman" w:hAnsi="Times New Roman" w:eastAsia="宋体"/>
          <w:b w:val="0"/>
          <w:color w:val="000000"/>
          <w:sz w:val="21"/>
        </w:rPr>
        <w:t>在中国市场，关于AI与资本市场的研究也日益丰富。吴世农等（2021）开发了基于人工智能的智能财务分析与诊断机器人，发现该机器人具有稳健有效的择股能力。谭等（Tan et al., 2024）考察了大语言模型在中国股市中的收益预测能力，发现LLM从中文新闻中提取的新闻基调和收益预测具有显著的预测能力，价值加权多空组合年化收益率在35%至67%之间。Ecker et al.（2024）利用中国最大生成式AI服务提供商的用户平台交互数据，系统刻画了股市参与者如何使用生成式AI辅助投资信息处理，发现GenAI使用与更知情的交易相关，且聚合回答情绪与同日异常收益相关。</w:t>
      </w:r>
    </w:p>
    <w:p>
      <w:r>
        <w:rPr>
          <w:rFonts w:ascii="Times New Roman" w:hAnsi="Times New Roman" w:eastAsia="宋体"/>
          <w:b w:val="0"/>
          <w:color w:val="000000"/>
          <w:sz w:val="21"/>
        </w:rPr>
        <w:t>Ca' Zorzi et al.（2024）通过分析企业财报电话会议内容，研究了AI股市反弹的驱动因素，发现提及AI更多的企业在2023年获得了更高的股票收益，且这一效应在科技行业和成长型企业中更为显著。Cheng et al.（2024）利用ChatGPT服务中断作为自然实验，研究了生成式AI对投资者交易的影响，发现ChatGPT中断导致散户投资者交易活跃度下降，表明生成式AI已经成为投资者信息处理的重要工具。</w:t>
      </w:r>
    </w:p>
    <w:p>
      <w:r>
        <w:rPr>
          <w:rFonts w:ascii="Times New Roman" w:hAnsi="Times New Roman" w:eastAsia="宋体"/>
          <w:b w:val="0"/>
          <w:color w:val="000000"/>
          <w:sz w:val="21"/>
        </w:rPr>
        <w:t>然而，现有研究大多关注整体市场或单一维度的企业暴露度，较少从产业链视角系统考察同一技术冲击如何在不同环节产生差异化反应。虽然Patel and Sahi（2024）发现不同类型AI专利的市场反应存在差异，但该研究仍未从产业链结构角度分析技术冲击的传导机制。本文通过将AI企业按产业链位置分类，直接检验技术冲击沿价值链的非对称定价效应，弥补了这一研究空白。</w:t>
      </w:r>
    </w:p>
    <w:p>
      <w:pPr>
        <w:pStyle w:val="Heading2"/>
        <w:ind w:firstLine="0"/>
      </w:pPr>
      <w:r>
        <w:t>（二）投资者注意力与有限关注理论</w:t>
      </w:r>
    </w:p>
    <w:p>
      <w:r>
        <w:rPr>
          <w:rFonts w:ascii="Times New Roman" w:hAnsi="Times New Roman" w:eastAsia="宋体"/>
          <w:b w:val="0"/>
          <w:color w:val="000000"/>
          <w:sz w:val="21"/>
        </w:rPr>
        <w:t>投资者注意力是理解短期市场反应的核心理论视角。Merton（1987）提出的不完全信息资本市场均衡模型表明，投资者认知的局限会影响资产定价，被更多投资者关注的股票具有更高的价格和更低的预期收益。Barber and Odean（2008）进一步发展了注意力驱动购买理论，认为个人投资者倾向于购买吸引其注意力的股票，因为在数千只股票中搜索值得购买的股票成本高昂。他们发现，个人投资者是高注意力股票的净买入者，且这种注意力驱动的购买行为对小市值股票、高波动率股票和极端收益股票的影响更大。</w:t>
      </w:r>
    </w:p>
    <w:p>
      <w:r>
        <w:rPr>
          <w:rFonts w:ascii="Times New Roman" w:hAnsi="Times New Roman" w:eastAsia="宋体"/>
          <w:b w:val="0"/>
          <w:color w:val="000000"/>
          <w:sz w:val="21"/>
        </w:rPr>
        <w:t>后续研究从多个角度验证了有限关注理论。Hirshleifer et al.（2009）提出投资者分心假说，发现当同一天有更多其他企业发布盈余公告时，市场对某一企业盈余惊喜的即时价格和交易量反应更弱，而公告后漂移更强。这一发现直接支持了注意力约束导致市场反应不足的观点。Charles（2025）从记忆角度拓展了注意力理论，发现记忆诱导的注意力会扭曲金融市场价格，当投资者被提示回忆相关企业时，会产生买入压力。</w:t>
      </w:r>
    </w:p>
    <w:p>
      <w:r>
        <w:rPr>
          <w:rFonts w:ascii="Times New Roman" w:hAnsi="Times New Roman" w:eastAsia="宋体"/>
          <w:b w:val="0"/>
          <w:color w:val="000000"/>
          <w:sz w:val="21"/>
        </w:rPr>
        <w:t>DellaVigna and Pollet（2009）发现，周五发布的盈余公告的市场反应更弱、公告后漂移更强，因为投资者在周五注意力更容易分散到周末计划中。这一发现为有限关注理论提供了进一步的证据。Aboody et al.（2010）研究了过去赢家股票的盈余公告收益，发现过去赢家股票的盈余公告日收益更高，这与注意力驱动的购买行为一致。</w:t>
      </w:r>
    </w:p>
    <w:p>
      <w:r>
        <w:rPr>
          <w:rFonts w:ascii="Times New Roman" w:hAnsi="Times New Roman" w:eastAsia="宋体"/>
          <w:b w:val="0"/>
          <w:color w:val="000000"/>
          <w:sz w:val="21"/>
        </w:rPr>
        <w:t>在中国市场，投资者注意力的影响同样得到了广泛验证。沈德华等（Shen et al.）研究了微信公众号股票推荐的市场反应，发现推荐发布日存在显著正异常收益，但随后迅速反转并最终为负，支持了价格压力假说。该研究还发现，报道数量越多、文章字数越少，市场反应越强，表明真正驱动异常收益的是投资者注意力而非媒体关注度本身。姚加权等（2021）构建了金融情绪词典，发现正式和非正式金融文本的语调情绪可预测收益、成交量和波动。姜富伟等（2021）进一步证明，财经媒体文本情绪对中国股票回报具有样本内和样本外预测能力。</w:t>
      </w:r>
    </w:p>
    <w:p>
      <w:r>
        <w:rPr>
          <w:rFonts w:ascii="Times New Roman" w:hAnsi="Times New Roman" w:eastAsia="宋体"/>
          <w:b w:val="0"/>
          <w:color w:val="000000"/>
          <w:sz w:val="21"/>
        </w:rPr>
        <w:t>Curtis et al.（2022）研究了社交媒体时代投资者注意力与盈余信息定价的关系，发现社交媒体上的投资者注意力能够预测盈余公告后的市场反应，且注意力越高，即时反应越强、公告后漂移越弱。Welagedara et al.（2017）研究了分析师推荐修正与投资者注意力的关系，发现注意力更高的股票对分析师推荐修正的反应更强。Ballinari et al.（2021）则研究了新闻发布前后投资者注意力与波动率的关系，发现注意力在新闻发布前就开始上升，且与随后的波动率正相关。</w:t>
      </w:r>
    </w:p>
    <w:p>
      <w:r>
        <w:rPr>
          <w:rFonts w:ascii="Times New Roman" w:hAnsi="Times New Roman" w:eastAsia="宋体"/>
          <w:b w:val="0"/>
          <w:color w:val="000000"/>
          <w:sz w:val="21"/>
        </w:rPr>
        <w:t>Dhawan and Putniņš（2023）区分了信息注意力和价格注意力，发现两者对市场的影响存在差异：信息注意力提高市场效率，而价格注意力可能导致过度交易和波动率上升。Yates（2021）研究了52周高低点与注意力的关系，发现52周高低点能够吸引投资者注意力，从而影响股票收益。</w:t>
      </w:r>
    </w:p>
    <w:p>
      <w:r>
        <w:rPr>
          <w:rFonts w:ascii="Times New Roman" w:hAnsi="Times New Roman" w:eastAsia="宋体"/>
          <w:b w:val="0"/>
          <w:color w:val="000000"/>
          <w:sz w:val="21"/>
        </w:rPr>
        <w:t>基础模型发布作为具有高传播度和低理解门槛的事件，天然适合作为注意力冲击的研究场景。DeepSeek模型发布后，社交媒体、财经媒体和投资社区迅速产生大量讨论，集中吸引投资者注意。然而，注意力在产业链不同环节的分布可能并不均匀：上游硬件企业往往具有更清晰的概念标签和更强的板块联动性，更容易吸引集中关注；下游应用企业则相对分散，注意力效应可能较弱。本文通过检验产业链梯度效应，间接考察了注意力在产业链上的非均匀分布及其定价含义。</w:t>
      </w:r>
    </w:p>
    <w:p>
      <w:pPr>
        <w:pStyle w:val="Heading2"/>
        <w:ind w:firstLine="0"/>
      </w:pPr>
      <w:r>
        <w:t>（三）供应链网络与技术冲击传导</w:t>
      </w:r>
    </w:p>
    <w:p>
      <w:r>
        <w:rPr>
          <w:rFonts w:ascii="Times New Roman" w:hAnsi="Times New Roman" w:eastAsia="宋体"/>
          <w:b w:val="0"/>
          <w:color w:val="000000"/>
          <w:sz w:val="21"/>
        </w:rPr>
        <w:t>供应链网络是理解冲击传导的重要框架。既有研究表明，各类冲击都会沿供应链网络向上游和下游传播。Carvalho et al.（2021）以东日本大地震为自然实验，发现局部灾害会通过投入产出联系在供应链网络中传播和放大，不仅影响直接关联企业，还会通过网络效应影响更远距离的企业。该研究提供了供应链传导效应的经典证据。</w:t>
      </w:r>
    </w:p>
    <w:p>
      <w:r>
        <w:rPr>
          <w:rFonts w:ascii="Times New Roman" w:hAnsi="Times New Roman" w:eastAsia="宋体"/>
          <w:b w:val="0"/>
          <w:color w:val="000000"/>
          <w:sz w:val="21"/>
        </w:rPr>
        <w:t>后续研究拓展了供应链冲击的范围。Pankratz and Schiller（2024）研究了气候变化对全球供应链网络的影响，发现供应商所在地的气候冲击会传导至客户企业，并影响供应关系调整。Bisetti et al.（2026）考察了供应商环境与社会事件的国际溢出效应，发现此类事件会诱发客户企业重配全球采购关系。Alfaro-Ureña et al.（2022）则从正向角度研究了进入跨国公司供应链的效应，发现供应商企业的就业、生产率和客户结构会持续改善。</w:t>
      </w:r>
    </w:p>
    <w:p>
      <w:r>
        <w:rPr>
          <w:rFonts w:ascii="Times New Roman" w:hAnsi="Times New Roman" w:eastAsia="宋体"/>
          <w:b w:val="0"/>
          <w:color w:val="000000"/>
          <w:sz w:val="21"/>
        </w:rPr>
        <w:t>在金融市场层面，Cohen and Frazzini（2008）开创性地研究了经济关联企业间的收益可预测性，发现投资者对供应链信息反应迟缓，基于客户—供应商关系构建的多空组合每月可获得超过150个基点的异常收益。这一发现表明，资本市场对供应链信息的吸收并非即时完成的，注意力约束在其中发挥了重要作用。Wu（2020）进一步发现，企业特定冲击会沿供应链传播至4层连接以外的企业，且股票市场对远距离连接冲击的反应更慢，冲击后异常收益可持续负向达40天。Auer et al.（2024）则从国际视角证明，全球生产联系与股票市场联动密切相关，供应链中断会通过全球生产网络涟漪效应影响各国股市。</w:t>
      </w:r>
    </w:p>
    <w:p>
      <w:r>
        <w:rPr>
          <w:rFonts w:ascii="Times New Roman" w:hAnsi="Times New Roman" w:eastAsia="宋体"/>
          <w:b w:val="0"/>
          <w:color w:val="000000"/>
          <w:sz w:val="21"/>
        </w:rPr>
        <w:t>Sellemi（2022）从理论角度研究了网络经济中的风险传导，发现供应链网络的结构特征（如连接密度、中心性分布）会显著影响冲击的传播路径和放大效应。这一理论研究为理解供应链冲击传导提供了更一般的分析框架。</w:t>
      </w:r>
    </w:p>
    <w:p>
      <w:r>
        <w:rPr>
          <w:rFonts w:ascii="Times New Roman" w:hAnsi="Times New Roman" w:eastAsia="宋体"/>
          <w:b w:val="0"/>
          <w:color w:val="000000"/>
          <w:sz w:val="21"/>
        </w:rPr>
        <w:t>技术冲击沿供应链的传导机制与自然灾害或环境事件有所不同。技术进步往往首先增加对上游投入的需求，然后逐步向下游应用扩散。Hötte（2023）研究了需求拉动与技术推动对技术变革方向的影响，发现上游创新溢出会推动市场增长和创新，而下游需求拉动的证据相对较弱。这一发现暗示，在技术冲击初期，上游企业可能更早受益，市场反应也更强。</w:t>
      </w:r>
    </w:p>
    <w:p>
      <w:r>
        <w:rPr>
          <w:rFonts w:ascii="Times New Roman" w:hAnsi="Times New Roman" w:eastAsia="宋体"/>
          <w:b w:val="0"/>
          <w:color w:val="000000"/>
          <w:sz w:val="21"/>
        </w:rPr>
        <w:t>在中国市场，供应链冲击传导的研究也取得了重要进展。张誉夫和谢建国（2025）研究了人工智能应用对企业供应链嵌入的影响，发现AI应用能够显著提升企业在供应链网络中的嵌入程度，且这一效应在技术密集型行业和东部地区更为显著。乔小勇等（2025）进一步研究了AI应用对制造业出口企业高质量发展的影响，发现AI应用通过生产网络溢出效应促进了企业出口质量提升。这些研究表明，AI技术对供应链网络具有深远影响，但其市场反应层面的证据仍然不足。</w:t>
      </w:r>
    </w:p>
    <w:p>
      <w:r>
        <w:rPr>
          <w:rFonts w:ascii="Times New Roman" w:hAnsi="Times New Roman" w:eastAsia="宋体"/>
          <w:b w:val="0"/>
          <w:color w:val="000000"/>
          <w:sz w:val="21"/>
        </w:rPr>
        <w:t>然而，现有研究大多关注实体经营层面的供应链传导，较少直接考察资本市场对同一技术事件的差异化即时反应。本文从AI产业链视角填补了这一空白。通过将企业按产业链位置分类并检验市场反应的梯度效应，本文能够直接观察技术冲击在资本市场中的传导路径和非对称特征。</w:t>
      </w:r>
    </w:p>
    <w:p>
      <w:pPr>
        <w:pStyle w:val="Heading2"/>
        <w:ind w:firstLine="0"/>
      </w:pPr>
      <w:r>
        <w:t>（四）事件研究方法论进展</w:t>
      </w:r>
    </w:p>
    <w:p>
      <w:r>
        <w:rPr>
          <w:rFonts w:ascii="Times New Roman" w:hAnsi="Times New Roman" w:eastAsia="宋体"/>
          <w:b w:val="0"/>
          <w:color w:val="000000"/>
          <w:sz w:val="21"/>
        </w:rPr>
        <w:t>事件研究方法是金融经济学中应用最广泛的实证工具之一。MacKinlay（1997）的经典综述系统介绍了事件研究的方法论框架，包括正常收益模型选择、异常收益计算、检验统计量构造和推断程序。该文奠定了事件研究方法的基础，至今仍被广泛引用。</w:t>
      </w:r>
    </w:p>
    <w:p>
      <w:r>
        <w:rPr>
          <w:rFonts w:ascii="Times New Roman" w:hAnsi="Times New Roman" w:eastAsia="宋体"/>
          <w:b w:val="0"/>
          <w:color w:val="000000"/>
          <w:sz w:val="21"/>
        </w:rPr>
        <w:t>然而，传统事件研究方法面临一些重要挑战。首先，事件日的横截面相关性问题。当多个企业的事件日相同或相近时，异常收益之间可能存在横截面相关，这会导致检验统计量的实际显著性水平偏离名义水平。Kolari and Pynnönen（2010）提出了一种校正横截面相关性的检验方法，发现该校正能够显著提高检验的准确性。Kolari et al.（2020）进一步将该方法扩展到长期异常收益的检验，提供了更可靠的长期事件研究工具。</w:t>
      </w:r>
    </w:p>
    <w:p>
      <w:r>
        <w:rPr>
          <w:rFonts w:ascii="Times New Roman" w:hAnsi="Times New Roman" w:eastAsia="宋体"/>
          <w:b w:val="0"/>
          <w:color w:val="000000"/>
          <w:sz w:val="21"/>
        </w:rPr>
        <w:t>其次，事件诱导方差问题。Boehmer et al.（1991）指出，事件不仅可能改变收益的均值，也可能改变收益的方差，而传统检验方法假设方差不变，这可能导致检验统计量的分布发生偏移。他们提出了一种标准化横截面检验方法，能够在事件诱导方差存在时保持较好的检验性质。</w:t>
      </w:r>
    </w:p>
    <w:p>
      <w:r>
        <w:rPr>
          <w:rFonts w:ascii="Times New Roman" w:hAnsi="Times New Roman" w:eastAsia="宋体"/>
          <w:b w:val="0"/>
          <w:color w:val="000000"/>
          <w:sz w:val="21"/>
        </w:rPr>
        <w:t>第三，多重检验问题。当同时检验多个事件、多个窗口或多个子样本时，假阳性率会上升。Benjamini and Hochberg（1995）提出的虚假发现率（FDR）控制方法为解决这一问题提供了有效工具。Harvey et al.（2016）指出，在金融研究中，多重检验问题可能导致大量假阳性结果，因此需要更加严格的显著性标准。本文同时报告BH-FDR和Bonferroni校正，正是为了应对多重检验问题，提高结论的可靠性。</w:t>
      </w:r>
    </w:p>
    <w:p>
      <w:r>
        <w:rPr>
          <w:rFonts w:ascii="Times New Roman" w:hAnsi="Times New Roman" w:eastAsia="宋体"/>
          <w:b w:val="0"/>
          <w:color w:val="000000"/>
          <w:sz w:val="21"/>
        </w:rPr>
        <w:t>第四，事件研究的因果识别问题。事件研究能够衡量事件相关的异常收益，但要将其解释为因果效应，需要满足严格的识别假设。Borusyak et al.（2024）重新审视了事件研究设计，讨论了在异质处理效应和动态处理时点下的识别与估计问题。Callaway and Sant'Anna（2021）则针对多期DID模型提出了更稳健的估计方法。这些方法论进展提醒我们，在使用事件研究和DID方法时，必须充分关注识别假设的合理性，并诚实披露识别边界。</w:t>
      </w:r>
    </w:p>
    <w:p>
      <w:r>
        <w:rPr>
          <w:rFonts w:ascii="Times New Roman" w:hAnsi="Times New Roman" w:eastAsia="宋体"/>
          <w:b w:val="0"/>
          <w:color w:val="000000"/>
          <w:sz w:val="21"/>
        </w:rPr>
        <w:t>本文采用日度事件研究方法，并充分考虑了上述方法论问题。本文使用市场模型估计正常收益，采用HC1稳健标准误进行统计推断，同时报告多种多重检验校正结果，并明确披露识别边界。这些做法符合事件研究方法论的最新进展，提高了研究结论的可信度。</w:t>
      </w:r>
    </w:p>
    <w:p>
      <w:pPr>
        <w:pStyle w:val="Heading2"/>
        <w:ind w:firstLine="0"/>
      </w:pPr>
      <w:r>
        <w:t>（五）文献评述与研究缺口</w:t>
      </w:r>
    </w:p>
    <w:p>
      <w:r>
        <w:rPr>
          <w:rFonts w:ascii="Times New Roman" w:hAnsi="Times New Roman" w:eastAsia="宋体"/>
          <w:b w:val="0"/>
          <w:color w:val="000000"/>
          <w:sz w:val="21"/>
        </w:rPr>
        <w:t>综合上述文献，可以发现四个主要研究缺口。第一，现有关于AI与资本市场的研究多关注整体市场反应或单一维度的企业暴露度，缺乏从产业链结构视角的系统分析。生成式AI作为通用技术，其影响必然沿产业链传导，但不同环节的反应强度和模式尚不清楚。虽然有研究关注了AI对半导体等特定行业的影响（Han, 2025），但尚未有研究系统考察全产业链的非对称反应。</w:t>
      </w:r>
    </w:p>
    <w:p>
      <w:r>
        <w:rPr>
          <w:rFonts w:ascii="Times New Roman" w:hAnsi="Times New Roman" w:eastAsia="宋体"/>
          <w:b w:val="0"/>
          <w:color w:val="000000"/>
          <w:sz w:val="21"/>
        </w:rPr>
        <w:t>第二，投资者注意力理论虽然已得到广泛验证，但在产业链层面的应用仍然不足。注意力在产业链不同环节的分布是否均匀、如何影响定价梯度，仍是待解的问题。现有研究多关注单只股票或整体市场的注意力效应，较少考察注意力如何沿产业链分布和传导。</w:t>
      </w:r>
    </w:p>
    <w:p>
      <w:r>
        <w:rPr>
          <w:rFonts w:ascii="Times New Roman" w:hAnsi="Times New Roman" w:eastAsia="宋体"/>
          <w:b w:val="0"/>
          <w:color w:val="000000"/>
          <w:sz w:val="21"/>
        </w:rPr>
        <w:t>第三，供应链冲击传导研究多聚焦于自然灾害、环境事件或贸易冲击，对技术进步型正向冲击的研究相对较少，且多关注长期经营效应，对短期市场反应的考察不足。技术冲击与灾害冲击的传导机制可能存在本质差异：灾害冲击通常是负向的、破坏性的，而技术冲击是正向的、创造性的；灾害冲击可能沿供应链双向传播，而技术冲击可能呈现从上游到下游的梯度扩散。</w:t>
      </w:r>
    </w:p>
    <w:p>
      <w:r>
        <w:rPr>
          <w:rFonts w:ascii="Times New Roman" w:hAnsi="Times New Roman" w:eastAsia="宋体"/>
          <w:b w:val="0"/>
          <w:color w:val="000000"/>
          <w:sz w:val="21"/>
        </w:rPr>
        <w:t>第四，事件研究方法论虽然已有长足发展，但在产业链事件研究中的应用仍不够成熟。如何处理产业链分类的内生性、如何控制多重检验问题、如何准确识别因果效应，都是需要进一步探讨的问题。特别是结果导向分类（outcome-driven classification）问题，在产业链事件研究中尤为突出，因为研究者可能有意无意地根据结果调整分类标准。</w:t>
      </w:r>
    </w:p>
    <w:p>
      <w:r>
        <w:rPr>
          <w:rFonts w:ascii="Times New Roman" w:hAnsi="Times New Roman" w:eastAsia="宋体"/>
          <w:b w:val="0"/>
          <w:color w:val="000000"/>
          <w:sz w:val="21"/>
        </w:rPr>
        <w:t>本文旨在弥补上述缺口。通过将60家AI产业链上市公司按事件前经济功能划分为上游、中游和下游，本文直接检验DeepSeek模型发布后的短期市场反应是否沿产业链呈现系统性梯度。这一设计既可以验证技术冲击沿供应链的非对称传导，也可以间接考察投资者注意力在产业链上的分布特征。同时，采用事件前分类并冻结的方法，有效避免了结果导向分类的内生性问题，提高了研究结论的可信度。此外，本文系统披露多重检验校正结果和识别边界，为产业链事件研究提供了可借鉴的方法论范式。</w:t>
      </w:r>
    </w:p>
    <w:p>
      <w:pPr>
        <w:pStyle w:val="Heading2"/>
        <w:ind w:firstLine="0"/>
      </w:pPr>
      <w:r>
        <w:t>（六）研究假设</w:t>
      </w:r>
    </w:p>
    <w:p>
      <w:r>
        <w:rPr>
          <w:rFonts w:ascii="Times New Roman" w:hAnsi="Times New Roman" w:eastAsia="宋体"/>
          <w:b w:val="0"/>
          <w:color w:val="000000"/>
          <w:sz w:val="21"/>
        </w:rPr>
        <w:t>基于上述理论分析和文献回顾，本文提出以下研究假设。</w:t>
      </w:r>
    </w:p>
    <w:p>
      <w:r>
        <w:rPr>
          <w:rFonts w:ascii="Times New Roman" w:hAnsi="Times New Roman" w:eastAsia="宋体"/>
          <w:b w:val="0"/>
          <w:color w:val="000000"/>
          <w:sz w:val="21"/>
        </w:rPr>
        <w:t>首先，从技术冲击传导的角度看，基础模型能力的提升首先会增加对训练和推理基础设施的需求预期。芯片、服务器、光模块、PCB和数据中心等上游投入具有较清晰的产能与订单映射，市场更容易将模型突破转化为具体的需求预期。中游平台和软件企业承担技术适配与扩散，其受益程度取决于产品兼容性和商业化能力，相对上游而言确定性较低。下游企业虽能获得应用叙事，但业务兑现往往依赖客户付费、场景改造和持续运营，商业化路径更长、不确定性更高。因此，同一模型发布对不同经济功能企业产生的短期价格反应可能呈现上游最强、中游次之、下游最弱的梯度模式。</w:t>
      </w:r>
    </w:p>
    <w:p>
      <w:r>
        <w:rPr>
          <w:rFonts w:ascii="Times New Roman" w:hAnsi="Times New Roman" w:eastAsia="宋体"/>
          <w:b w:val="0"/>
          <w:color w:val="000000"/>
          <w:sz w:val="21"/>
        </w:rPr>
        <w:t>其次，从投资者注意力的角度看，上游硬件企业往往具有更鲜明的概念标签和更强的板块联动性，在AI概念热潮中更容易成为资金集中流入的对象。下游应用企业则相对分散，单个企业的概念纯度较低，注意力效应可能被稀释。Barber and Odean（2008）的注意力驱动购买理论表明，投资者倾向于购买吸引其注意力的股票，而高关注度股票在短期内会面临买入压力。如果上游企业在AI概念中获得更多关注，其短期异常收益应高于下游企业。</w:t>
      </w:r>
    </w:p>
    <w:p>
      <w:r>
        <w:rPr>
          <w:rFonts w:ascii="Times New Roman" w:hAnsi="Times New Roman" w:eastAsia="宋体"/>
          <w:b w:val="0"/>
          <w:color w:val="000000"/>
          <w:sz w:val="21"/>
        </w:rPr>
        <w:t>第三，从信息处理难度的角度看，上游企业的价值逻辑相对简单直接：模型能力提升→算力需求增加→上游企业受益。这一逻辑链条短、易于理解，普通投资者也能快速形成判断。而下游应用企业的价值逻辑更为复杂：模型能力提升→应用场景拓展→商业模式创新→企业盈利增长。这一逻辑链条长、环节多、不确定性高，需要更深入的行业理解和专业分析。根据有限关注理论，投资者倾向于对简单易懂的信息做出更快、更强的反应，而对复杂信息的反应则相对迟缓。因此，上游企业的短期市场反应可能强于下游企业。</w:t>
      </w:r>
    </w:p>
    <w:p>
      <w:r>
        <w:rPr>
          <w:rFonts w:ascii="Times New Roman" w:hAnsi="Times New Roman" w:eastAsia="宋体"/>
          <w:b w:val="0"/>
          <w:color w:val="000000"/>
          <w:sz w:val="21"/>
        </w:rPr>
        <w:t>基于以上分析，本文提出：</w:t>
      </w:r>
    </w:p>
    <w:p>
      <w:r>
        <w:rPr>
          <w:rFonts w:ascii="Times New Roman" w:hAnsi="Times New Roman" w:eastAsia="宋体"/>
          <w:b w:val="0"/>
          <w:color w:val="000000"/>
          <w:sz w:val="21"/>
        </w:rPr>
        <w:t>假设H1：DeepSeek模型发布后，上游企业的累计异常收益显著高于下游企业。</w:t>
      </w:r>
    </w:p>
    <w:p>
      <w:r>
        <w:rPr>
          <w:rFonts w:ascii="Times New Roman" w:hAnsi="Times New Roman" w:eastAsia="宋体"/>
          <w:b w:val="0"/>
          <w:color w:val="000000"/>
          <w:sz w:val="21"/>
        </w:rPr>
        <w:t>假设H2：将产业链位置由下游、中游到上游依次编码为0、1和2时，累计异常收益随产业链位置上移而递增，即存在显著的产业链梯度效应。</w:t>
      </w:r>
    </w:p>
    <w:p>
      <w:r>
        <w:rPr>
          <w:rFonts w:ascii="Times New Roman" w:hAnsi="Times New Roman" w:eastAsia="宋体"/>
          <w:b w:val="0"/>
          <w:color w:val="000000"/>
          <w:sz w:val="21"/>
        </w:rPr>
        <w:t>需要强调的是，上述假设关注的是短期市场反应的方向和相对大小，不涉及长期价值创造或严格因果识别。事件研究方法能够衡量事件相关的异常收益，但不能完全排除其他同期信息的干扰，也不能证明反应的合理性或可持续性。本文将在后续部分详细讨论识别边界和解释限制。</w:t>
      </w:r>
    </w:p>
    <w:p>
      <w:pPr>
        <w:pStyle w:val="Heading1"/>
        <w:ind w:firstLine="0"/>
      </w:pPr>
      <w:r>
        <w:t>三、研究设计</w:t>
      </w:r>
    </w:p>
    <w:p>
      <w:pPr>
        <w:pStyle w:val="Heading2"/>
        <w:ind w:firstLine="0"/>
      </w:pPr>
      <w:r>
        <w:t>（一）事件选择</w:t>
      </w:r>
    </w:p>
    <w:p>
      <w:r>
        <w:rPr>
          <w:rFonts w:ascii="Times New Roman" w:hAnsi="Times New Roman" w:eastAsia="宋体"/>
          <w:b w:val="0"/>
          <w:color w:val="000000"/>
          <w:sz w:val="21"/>
        </w:rPr>
        <w:t>本文选取DeepSeek系列模型发布作为核心研究事件。DeepSeek是由深度求索（DeepSeek-AI）开发的大语言模型系列，自发布以来在全球AI领域产生了广泛影响。本文选择两个关键发布事件：</w:t>
      </w:r>
    </w:p>
    <w:p>
      <w:r>
        <w:rPr>
          <w:rFonts w:ascii="Times New Roman" w:hAnsi="Times New Roman" w:eastAsia="宋体"/>
          <w:b w:val="0"/>
          <w:color w:val="000000"/>
          <w:sz w:val="21"/>
        </w:rPr>
        <w:t>核心事件为DeepSeek-V3于2024年12月26日发布。DeepSeek-V3是DeepSeek团队推出的第三代基础大模型，在多项基准测试中表现优异，被认为是中国大模型技术的重要突破。该事件具有以下特点：第一，发布日期明确，便于精确设定事件窗口；第二，技术突破具有实质性，引发了国内外广泛关注和讨论；第三，覆盖AI全产业链，从上游算力到下游应用均可能受到影响。本文将该事件作为主分析对象，并预先设定[-1,+1]为主要事件窗口。</w:t>
      </w:r>
    </w:p>
    <w:p>
      <w:r>
        <w:rPr>
          <w:rFonts w:ascii="Times New Roman" w:hAnsi="Times New Roman" w:eastAsia="宋体"/>
          <w:b w:val="0"/>
          <w:color w:val="000000"/>
          <w:sz w:val="21"/>
        </w:rPr>
        <w:t>补充事件为DeepSeek-R1于2025年1月20日发布。DeepSeek-R1是DeepSeek推出的推理增强模型，专注于复杂推理任务，在数学、代码和逻辑推理等方面展现出强大能力。该事件距离V3发布仅约一个月，可以作为V3事件的补充验证，也可以考察连续技术冲击下市场反应的变化模式。需要注意的是，由于R1事件紧随V3事件之后，市场可能已经对AI概念形成了一定的预期和定价，因此R1事件的结果需要谨慎解读。</w:t>
      </w:r>
    </w:p>
    <w:p>
      <w:r>
        <w:rPr>
          <w:rFonts w:ascii="Times New Roman" w:hAnsi="Times New Roman" w:eastAsia="宋体"/>
          <w:b w:val="0"/>
          <w:color w:val="000000"/>
          <w:sz w:val="21"/>
        </w:rPr>
        <w:t>选择DeepSeek事件而非其他模型发布事件（如ChatGPT、GPT-4等），主要基于以下考虑：第一，DeepSeek是中国本土企业开发的大模型，对A股AI产业链的影响更直接、更显著；第二，DeepSeek发布时间较晚（2024年底），AI产业链上市公司的分类和业务更加清晰，便于准确识别；第三，V3和R1两次发布间隔较短，可以提供补充验证；第四，DeepSeek-V3采用了MoE（混合专家）架构，对算力需求的影响更为显著，这为检验产业链梯度效应提供了理想的研究场景。</w:t>
      </w:r>
    </w:p>
    <w:p>
      <w:pPr>
        <w:pStyle w:val="Heading2"/>
        <w:ind w:firstLine="0"/>
      </w:pPr>
      <w:r>
        <w:t>（二）样本选择与数据来源</w:t>
      </w:r>
    </w:p>
    <w:p>
      <w:r>
        <w:rPr>
          <w:rFonts w:ascii="Times New Roman" w:hAnsi="Times New Roman" w:eastAsia="宋体"/>
          <w:b w:val="0"/>
          <w:color w:val="000000"/>
          <w:sz w:val="21"/>
        </w:rPr>
        <w:t>本文样本包括60家A股人工智能产业链上市公司。样本选择遵循以下原则：第一，企业主营业务与AI产业链具有明确关联，涵盖上游算力基础设施、中游软件平台和下游行业应用；第二，企业在事件窗口前后具有完整的交易数据，不存在长期停牌等异常情况；第三，企业在2023年年度报告中披露了清晰的业务信息，便于进行产业链分类；第四，企业在A股市场上市，具有较好的流动性和信息披露质量。</w:t>
      </w:r>
    </w:p>
    <w:p>
      <w:r>
        <w:rPr>
          <w:rFonts w:ascii="Times New Roman" w:hAnsi="Times New Roman" w:eastAsia="宋体"/>
          <w:b w:val="0"/>
          <w:color w:val="000000"/>
          <w:sz w:val="21"/>
        </w:rPr>
        <w:t>股票收益数据和市场指数数据来源于同花顺iFinD数据库。本文使用日度收益率数据，包括考虑现金红利再投资的收益率。市场基准指数包括沪深300指数（000300.SH）、上证综指（000001.SH）和深证成指（399001.SZ），其中沪深300指数作为主基准。估计窗口为事件前约221个交易日，用于估计市场模型参数。选择221个交易日的估计窗口是事件研究中的常见做法，既能保证参数估计的精度，又能避免引入过远的历史数据可能带来的结构性变化问题。</w:t>
      </w:r>
    </w:p>
    <w:p>
      <w:r>
        <w:rPr>
          <w:rFonts w:ascii="Times New Roman" w:hAnsi="Times New Roman" w:eastAsia="宋体"/>
          <w:b w:val="0"/>
          <w:color w:val="000000"/>
          <w:sz w:val="21"/>
        </w:rPr>
        <w:t>企业财务数据和基本信息来源于CSMAR数据库和公司年度报告。财务数据包括总资产、净利润、营业收入、资产负债率等指标，用于描述性统计和异质性分析。企业主营业务信息来源于2023年年度报告，用于产业链分类。年度报告PDF文件从巨潮资讯网（www.cninfo.com.cn）下载，确保信息的权威性和可复核性。</w:t>
      </w:r>
    </w:p>
    <w:p>
      <w:pPr>
        <w:pStyle w:val="Heading2"/>
        <w:ind w:firstLine="0"/>
      </w:pPr>
      <w:r>
        <w:t>（三）产业链分类方法（事件前分类冻结）</w:t>
      </w:r>
    </w:p>
    <w:p>
      <w:r>
        <w:rPr>
          <w:rFonts w:ascii="Times New Roman" w:hAnsi="Times New Roman" w:eastAsia="宋体"/>
          <w:b w:val="0"/>
          <w:color w:val="000000"/>
          <w:sz w:val="21"/>
        </w:rPr>
        <w:t>产业链分类是本文研究设计的关键环节。为避免结果导向分类（outcome-driven classification）的内生性问题，本文严格遵循事件前信息原则，所有分类均基于DeepSeek-V3发布日（2024年12月26日）之前公开可得的信息。这一设计借鉴了预注册研究（pre-registration）的思想，即在看到结果之前确定分类标准，从而避免选择性报告和p值操纵。</w:t>
      </w:r>
    </w:p>
    <w:p>
      <w:r>
        <w:rPr>
          <w:rFonts w:ascii="Times New Roman" w:hAnsi="Times New Roman" w:eastAsia="宋体"/>
          <w:b w:val="0"/>
          <w:color w:val="000000"/>
          <w:sz w:val="21"/>
        </w:rPr>
        <w:t>具体分类流程如下：第一，从巨潮资讯网检索60家样本公司在2024年12月26日前披露的2023年年度报告正文；第二，提取年度报告中“主要业务”“主营业务”“主要产品”和“主要服务”等段落，整理为结构化的业务证据文本；第三，依据企业在AI价值链中的主要经济功能，将企业划分为上游、中游和下游三类。</w:t>
      </w:r>
    </w:p>
    <w:p>
      <w:r>
        <w:rPr>
          <w:rFonts w:ascii="Times New Roman" w:hAnsi="Times New Roman" w:eastAsia="宋体"/>
          <w:b w:val="0"/>
          <w:color w:val="000000"/>
          <w:sz w:val="21"/>
        </w:rPr>
        <w:t>分类标准如下：上游企业主要提供AI训练与推理所需的硬件基础设施，包括芯片设计与制造、服务器、光模块/光通信、印制电路板（PCB）和数据中心等；中游企业主要提供软件平台、数据服务、安全产品和系统集成等，承担技术适配与扩散功能；下游企业主要将AI技术应用于具体行业场景，包括办公应用、金融科技、医疗健康、城市治理和消费应用等。</w:t>
      </w:r>
    </w:p>
    <w:p>
      <w:r>
        <w:rPr>
          <w:rFonts w:ascii="Times New Roman" w:hAnsi="Times New Roman" w:eastAsia="宋体"/>
          <w:b w:val="0"/>
          <w:color w:val="000000"/>
          <w:sz w:val="21"/>
        </w:rPr>
        <w:t>为确保分类的客观性和可复核性，本文采用了多轮审核机制：首先由算法基于业务关键词进行初步分类建议，然后由人工逐家审核确认，对存在歧义的企业进行重点讨论和复核。最终分类结果在正式分析之前冻结（freeze），并保存完整的分类记录，包括每家企业的年报链接、分类理由、审核状态、冻结时间和文件哈希值。这一设计有效降低了根据结果反向调整分类的风险，提高了研究的可信度。</w:t>
      </w:r>
    </w:p>
    <w:p>
      <w:pPr>
        <w:spacing w:before="200" w:after="120"/>
        <w:ind w:firstLine="0"/>
        <w:jc w:val="center"/>
      </w:pPr>
      <w:r>
        <w:rPr>
          <w:rFonts w:ascii="Times New Roman" w:hAnsi="Times New Roman" w:eastAsia="黑体"/>
          <w:b/>
          <w:color w:val="000000"/>
          <w:sz w:val="21"/>
        </w:rPr>
        <w:t>表1  最终产业链分类分布</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c>
          <w:tcPr>
            <w:tcW w:type="dxa" w:w="1701"/>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产业链位置</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公司数量</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占比</w:t>
            </w:r>
          </w:p>
        </w:tc>
        <w:tc>
          <w:tcPr>
            <w:tcW w:type="dxa" w:w="4819"/>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主要经济功能</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35.0%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芯片、服务器、光通信、PCB及算力基础设施</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中游</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24</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40.0%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通用软件、数据平台、安全产品及系统集成</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下游</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25.0%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办公、金融、医疗、城市治理及消费应用</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合计</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60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100.0%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bl>
    <w:p>
      <w:pPr>
        <w:spacing w:before="60" w:after="160"/>
        <w:ind w:firstLine="0"/>
      </w:pPr>
      <w:r>
        <w:rPr>
          <w:rFonts w:ascii="Times New Roman" w:hAnsi="Times New Roman" w:eastAsia="宋体"/>
          <w:b w:val="0"/>
          <w:color w:val="555555"/>
          <w:sz w:val="17"/>
        </w:rPr>
        <w:t>注：作者根据2023年年度报告事件前证据整理。分类在结果分析前冻结。</w:t>
      </w:r>
    </w:p>
    <w:p>
      <w:pPr>
        <w:pStyle w:val="Heading2"/>
        <w:ind w:firstLine="0"/>
      </w:pPr>
      <w:r>
        <w:t>（四）异常收益计算方法</w:t>
      </w:r>
    </w:p>
    <w:p>
      <w:r>
        <w:rPr>
          <w:rFonts w:ascii="Times New Roman" w:hAnsi="Times New Roman" w:eastAsia="宋体"/>
          <w:b w:val="0"/>
          <w:color w:val="000000"/>
          <w:sz w:val="21"/>
        </w:rPr>
        <w:t>本文使用标准市场模型估计正常收益（MacKinlay, 1997）。对公司i和交易日t，市场模型设定如下：</w:t>
      </w:r>
    </w:p>
    <w:p>
      <w:pPr>
        <w:ind w:firstLine="0"/>
      </w:pPr>
      <w:r>
        <w:rPr>
          <w:rFonts w:ascii="Times New Roman" w:hAnsi="Times New Roman" w:eastAsia="宋体"/>
          <w:b w:val="0"/>
          <w:i/>
          <w:color w:val="000000"/>
          <w:sz w:val="21"/>
        </w:rPr>
        <w:t>R_it = α_i + β_i × R_mt + ε_it  （1）</w:t>
      </w:r>
    </w:p>
    <w:p>
      <w:r>
        <w:rPr>
          <w:rFonts w:ascii="Times New Roman" w:hAnsi="Times New Roman" w:eastAsia="宋体"/>
          <w:b w:val="0"/>
          <w:color w:val="000000"/>
          <w:sz w:val="21"/>
        </w:rPr>
      </w:r>
    </w:p>
    <w:p>
      <w:r>
        <w:rPr>
          <w:rFonts w:ascii="Times New Roman" w:hAnsi="Times New Roman" w:eastAsia="宋体"/>
          <w:b w:val="0"/>
          <w:color w:val="000000"/>
          <w:sz w:val="21"/>
        </w:rPr>
        <w:t>其中，R_it为公司i在第t日的收益率，R_mt为市场指数在第t日的收益率，α_i和β_i为待估参数，ε_it为随机扰动项。本文使用事件前约221个交易日作为估计窗口，通过普通最小二乘法（OLS）估计每家公司的α_i和β_i。选择市场模型而非常均值收益模型，是因为市场模型能够控制市场整体波动的影响，从而更准确地分离出事件相关的异常收益。</w:t>
      </w:r>
    </w:p>
    <w:p>
      <w:r>
        <w:rPr>
          <w:rFonts w:ascii="Times New Roman" w:hAnsi="Times New Roman" w:eastAsia="宋体"/>
          <w:b w:val="0"/>
          <w:color w:val="000000"/>
          <w:sz w:val="21"/>
        </w:rPr>
        <w:t>异常收益（Abnormal Return，AR）定义为实际收益与市场模型预测收益之差：</w:t>
      </w:r>
    </w:p>
    <w:p>
      <w:pPr>
        <w:ind w:firstLine="0"/>
      </w:pPr>
      <w:r>
        <w:rPr>
          <w:rFonts w:ascii="Times New Roman" w:hAnsi="Times New Roman" w:eastAsia="宋体"/>
          <w:b w:val="0"/>
          <w:i/>
          <w:color w:val="000000"/>
          <w:sz w:val="21"/>
        </w:rPr>
        <w:t>AR_it = R_it - (α̂_i + β̂_i × R_mt)  （2）</w:t>
      </w:r>
    </w:p>
    <w:p>
      <w:r>
        <w:rPr>
          <w:rFonts w:ascii="Times New Roman" w:hAnsi="Times New Roman" w:eastAsia="宋体"/>
          <w:b w:val="0"/>
          <w:color w:val="000000"/>
          <w:sz w:val="21"/>
        </w:rPr>
      </w:r>
    </w:p>
    <w:p>
      <w:r>
        <w:rPr>
          <w:rFonts w:ascii="Times New Roman" w:hAnsi="Times New Roman" w:eastAsia="宋体"/>
          <w:b w:val="0"/>
          <w:color w:val="000000"/>
          <w:sz w:val="21"/>
        </w:rPr>
        <w:t>其中，α̂_i和β̂_i为估计窗口得到的参数估计值。累计异常收益（Cumulative Abnormal Return，CAR）定义为事件窗口内异常收益的累计：</w:t>
      </w:r>
    </w:p>
    <w:p>
      <w:pPr>
        <w:ind w:firstLine="0"/>
      </w:pPr>
      <w:r>
        <w:rPr>
          <w:rFonts w:ascii="Times New Roman" w:hAnsi="Times New Roman" w:eastAsia="宋体"/>
          <w:b w:val="0"/>
          <w:i/>
          <w:color w:val="000000"/>
          <w:sz w:val="21"/>
        </w:rPr>
        <w:t>CAR_i(τ₁, τ₂) = Σ AR_it  （3）</w:t>
      </w:r>
    </w:p>
    <w:p>
      <w:r>
        <w:rPr>
          <w:rFonts w:ascii="Times New Roman" w:hAnsi="Times New Roman" w:eastAsia="宋体"/>
          <w:b w:val="0"/>
          <w:color w:val="000000"/>
          <w:sz w:val="21"/>
        </w:rPr>
      </w:r>
    </w:p>
    <w:p>
      <w:r>
        <w:rPr>
          <w:rFonts w:ascii="Times New Roman" w:hAnsi="Times New Roman" w:eastAsia="宋体"/>
          <w:b w:val="0"/>
          <w:color w:val="000000"/>
          <w:sz w:val="21"/>
        </w:rPr>
        <w:t>其中，τ₁和τ₂分别为事件窗口的起始和结束日期（以事件日为0）。本文报告三个事件窗口的累计异常收益：[-1,+1]、[-3,+3]和[-5,+5]。根据预设，[-1,+1]为主要分析窗口，因为较短的窗口更可能捕捉事件本身的影响，减少其他信息的干扰。较宽窗口作为稳健性检验，但需注意窗口越宽，混入其他信息的可能性越大。</w:t>
      </w:r>
    </w:p>
    <w:p>
      <w:r>
        <w:rPr>
          <w:rFonts w:ascii="Times New Roman" w:hAnsi="Times New Roman" w:eastAsia="宋体"/>
          <w:b w:val="0"/>
          <w:color w:val="000000"/>
          <w:sz w:val="21"/>
        </w:rPr>
        <w:t>本文同时使用三种市场基准指数：沪深300指数（主基准）、上证综指和深证成指。使用多种基准可以检验结果对市场指数选择的敏感性。考虑到样本公司分布在沪深两市，沪深300指数作为覆盖两市核心股票的宽基指数，是较为合适的主基准。上证综指和深证成指分别代表沪市和深市的整体表现，可以作为替代基准进行稳健性检验。</w:t>
      </w:r>
    </w:p>
    <w:p>
      <w:pPr>
        <w:pStyle w:val="Heading2"/>
        <w:ind w:firstLine="0"/>
      </w:pPr>
      <w:r>
        <w:t>（五）实证模型与检验方法</w:t>
      </w:r>
    </w:p>
    <w:p>
      <w:r>
        <w:rPr>
          <w:rFonts w:ascii="Times New Roman" w:hAnsi="Times New Roman" w:eastAsia="宋体"/>
          <w:b w:val="0"/>
          <w:color w:val="000000"/>
          <w:sz w:val="21"/>
        </w:rPr>
        <w:t>本文采用两种检验方法考察产业链位置与累计异常收益的关系。</w:t>
      </w:r>
    </w:p>
    <w:p>
      <w:r>
        <w:rPr>
          <w:rFonts w:ascii="Times New Roman" w:hAnsi="Times New Roman" w:eastAsia="宋体"/>
          <w:b w:val="0"/>
          <w:color w:val="000000"/>
          <w:sz w:val="21"/>
        </w:rPr>
        <w:t>第一种方法是组间均值比较。本文使用Welch t检验比较上游企业与下游企业的平均累计异常收益是否存在显著差异。Welch t检验不假设两组方差相等，适用于两组样本量和方差可能不同的情况。检验的原假设是上游与下游企业的平均CAR相等，备择假设是上游企业的平均CAR显著高于下游企业。</w:t>
      </w:r>
    </w:p>
    <w:p>
      <w:r>
        <w:rPr>
          <w:rFonts w:ascii="Times New Roman" w:hAnsi="Times New Roman" w:eastAsia="宋体"/>
          <w:b w:val="0"/>
          <w:color w:val="000000"/>
          <w:sz w:val="21"/>
        </w:rPr>
        <w:t>第二种方法是梯度检验。本文将产业链位置编码为有序变量：下游=0，中游=1，上游=2，然后估计以下横截面回归模型：</w:t>
      </w:r>
    </w:p>
    <w:p>
      <w:pPr>
        <w:ind w:firstLine="0"/>
      </w:pPr>
      <w:r>
        <w:rPr>
          <w:rFonts w:ascii="Times New Roman" w:hAnsi="Times New Roman" w:eastAsia="宋体"/>
          <w:b w:val="0"/>
          <w:i/>
          <w:color w:val="000000"/>
          <w:sz w:val="21"/>
        </w:rPr>
        <w:t>CAR_i = γ₀ + γ₁ × Layer_i + ε_i  （4）</w:t>
      </w:r>
    </w:p>
    <w:p>
      <w:r>
        <w:rPr>
          <w:rFonts w:ascii="Times New Roman" w:hAnsi="Times New Roman" w:eastAsia="宋体"/>
          <w:b w:val="0"/>
          <w:color w:val="000000"/>
          <w:sz w:val="21"/>
        </w:rPr>
      </w:r>
    </w:p>
    <w:p>
      <w:r>
        <w:rPr>
          <w:rFonts w:ascii="Times New Roman" w:hAnsi="Times New Roman" w:eastAsia="宋体"/>
          <w:b w:val="0"/>
          <w:color w:val="000000"/>
          <w:sz w:val="21"/>
        </w:rPr>
        <w:t>其中，CAR_i为企业i的累计异常收益，Layer_i为产业链位置编码（0/1/2），γ₁为梯度系数，衡量产业链位置每上移一个层级对应的CAR变化。本文使用HC1异方差稳健标准误进行统计推断。梯度检验的优势在于利用了全部三层信息，检验效率更高，且可以直接呈现产业链梯度的经济 magnitude。</w:t>
      </w:r>
    </w:p>
    <w:p>
      <w:r>
        <w:rPr>
          <w:rFonts w:ascii="Times New Roman" w:hAnsi="Times New Roman" w:eastAsia="宋体"/>
          <w:b w:val="0"/>
          <w:color w:val="000000"/>
          <w:sz w:val="21"/>
        </w:rPr>
        <w:t>除了上游与下游的比较，本文还报告上游与中游、中游与下游的两两比较结果，以更细致地呈现产业链梯度的结构。但主结论基于预设的上游—下游差异检验和全样本梯度检验。</w:t>
      </w:r>
    </w:p>
    <w:p>
      <w:pPr>
        <w:pStyle w:val="Heading2"/>
        <w:ind w:firstLine="0"/>
      </w:pPr>
      <w:r>
        <w:t>（六）多重检验校正</w:t>
      </w:r>
    </w:p>
    <w:p>
      <w:r>
        <w:rPr>
          <w:rFonts w:ascii="Times New Roman" w:hAnsi="Times New Roman" w:eastAsia="宋体"/>
          <w:b w:val="0"/>
          <w:color w:val="000000"/>
          <w:sz w:val="21"/>
        </w:rPr>
        <w:t>由于本文同时检验多个事件、多个市场基准、多个事件窗口和多组比较，存在多重检验问题，可能导致假阳性（Type I error）率上升。为控制这一问题，本文同时报告两种多重检验校正方法：</w:t>
      </w:r>
    </w:p>
    <w:p>
      <w:r>
        <w:rPr>
          <w:rFonts w:ascii="Times New Roman" w:hAnsi="Times New Roman" w:eastAsia="宋体"/>
          <w:b w:val="0"/>
          <w:color w:val="000000"/>
          <w:sz w:val="21"/>
        </w:rPr>
        <w:t>第一，Benjamini-Hochberg虚假发现率（False Discovery Rate，FDR）校正（Benjamini and Hochberg, 1995）。BH-FDR方法控制在所有被拒绝的原假设中，错误拒绝的预期比例。该方法比传统的家族错误率（Family-Wise Error Rate，FWER）方法更宽松，在检验数量较多且检验之间相关时具有更高的检验效力。本文将BH-FDR校正作为主要的多重检验控制标准。</w:t>
      </w:r>
    </w:p>
    <w:p>
      <w:r>
        <w:rPr>
          <w:rFonts w:ascii="Times New Roman" w:hAnsi="Times New Roman" w:eastAsia="宋体"/>
          <w:b w:val="0"/>
          <w:color w:val="000000"/>
          <w:sz w:val="21"/>
        </w:rPr>
        <w:t>第二，Bonferroni校正。Bonferroni方法通过将显著性水平除以检验总数来控制家族错误率，是最保守的多重检验校正方法。当检验数量较多或检验之间高度相关时，Bonferroni校正可能过于保守。本文将其作为最严格的边界参考。</w:t>
      </w:r>
    </w:p>
    <w:p>
      <w:r>
        <w:rPr>
          <w:rFonts w:ascii="Times New Roman" w:hAnsi="Times New Roman" w:eastAsia="宋体"/>
          <w:b w:val="0"/>
          <w:color w:val="000000"/>
          <w:sz w:val="21"/>
        </w:rPr>
        <w:t>本文的主结论标准设定为：在预设主规格（DeepSeek-V3、沪深300、[-1,+1]窗口）下，BH-FDR校正后的p值小于5%。同时报告Bonferroni校正结果，以展示结果的稳健性边界。对于非预设的探索性检验，仅作为补充证据，不用于支持主结论。这一做法符合近期关于预注册和多重检验的讨论精神，避免选择性报告和p值操纵。</w:t>
      </w:r>
    </w:p>
    <w:p>
      <w:pPr>
        <w:pStyle w:val="Heading1"/>
        <w:ind w:firstLine="0"/>
      </w:pPr>
      <w:r>
        <w:t>四、实证结果</w:t>
      </w:r>
    </w:p>
    <w:p>
      <w:pPr>
        <w:pStyle w:val="Heading2"/>
        <w:ind w:firstLine="0"/>
      </w:pPr>
      <w:r>
        <w:t>（一）描述性统计</w:t>
      </w:r>
    </w:p>
    <w:p>
      <w:r>
        <w:rPr>
          <w:rFonts w:ascii="Times New Roman" w:hAnsi="Times New Roman" w:eastAsia="宋体"/>
          <w:b w:val="0"/>
          <w:color w:val="000000"/>
          <w:sz w:val="21"/>
        </w:rPr>
        <w:t>表2报告了主要变量的描述性统计。样本期间为2019年1月至2026年6月的月度面板数据。超额收益（Excess_Ret）定义为个股收益率减去市场收益率。从表中可以看出，上游企业的平均超额收益为4.24%，高于下游企业的0.81%，差异在经济意义上较为显著。这一初步观察与本文的核心假设一致，即上游企业在AI概念热潮中获得了更高的市场回报。</w:t>
      </w:r>
    </w:p>
    <w:p>
      <w:r>
        <w:rPr>
          <w:rFonts w:ascii="Times New Roman" w:hAnsi="Times New Roman" w:eastAsia="宋体"/>
          <w:b w:val="0"/>
          <w:color w:val="000000"/>
          <w:sz w:val="21"/>
        </w:rPr>
        <w:t>从企业特征来看，上游企业的平均规模（Size，总资产对数）为4.999，高于下游企业的4.097，说明上游企业整体规模更大。上游企业的资产收益率（ROA）为4.52%，显著高于下游企业的0.79%，反映出上游企业的盈利能力更强。下游企业的资产负债率（Leverage）为39.1%，高于上游企业的31.3%，说明下游企业的杠杆水平更高。这些特征差异表明，上下游企业在规模、盈利能力和资本结构等方面存在系统性差异，需要在后续分析中加以控制和讨论。</w:t>
      </w:r>
    </w:p>
    <w:p>
      <w:pPr>
        <w:spacing w:before="200" w:after="120"/>
        <w:ind w:firstLine="0"/>
        <w:jc w:val="center"/>
      </w:pPr>
      <w:r>
        <w:rPr>
          <w:rFonts w:ascii="Times New Roman" w:hAnsi="Times New Roman" w:eastAsia="黑体"/>
          <w:b/>
          <w:color w:val="000000"/>
          <w:sz w:val="21"/>
        </w:rPr>
        <w:t>表2  主要变量描述性统计（月度面板）</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c>
          <w:tcPr>
            <w:tcW w:type="dxa" w:w="226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变量</w:t>
            </w:r>
          </w:p>
        </w:tc>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上游</w:t>
            </w:r>
          </w:p>
        </w:tc>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下游</w:t>
            </w:r>
          </w:p>
        </w:tc>
        <w:tc>
          <w:tcPr>
            <w:tcW w:type="dxa" w:w="2835"/>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差异说明</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超额收益均值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0.0424</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0.0081</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上游更高</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超额收益标准差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0.1931</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0.1712</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上游波动更大</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观测值数</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1,729</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1,786</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Size均值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4.9994</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4.0972</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上游规模更大</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Size标准差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1.0257</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0.8751</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ROA均值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0.0452</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0.0079</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上游盈利更强</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ROA标准差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0.0489</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0.0453</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Leverage均值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0.3132</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0.3910</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下游杠杆更高</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Leverage标准差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0.1816</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0.1947</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bl>
    <w:p>
      <w:pPr>
        <w:spacing w:before="60" w:after="160"/>
        <w:ind w:firstLine="0"/>
      </w:pPr>
      <w:r>
        <w:rPr>
          <w:rFonts w:ascii="Times New Roman" w:hAnsi="Times New Roman" w:eastAsia="宋体"/>
          <w:b w:val="0"/>
          <w:color w:val="555555"/>
          <w:sz w:val="17"/>
        </w:rPr>
        <w:t>注：数据来源为同花顺iFinD和CSMAR。样本期间为2019年1月至2026年6月。Size为总资产对数，ROA为资产收益率，Leverage为资产负债率。</w:t>
      </w:r>
    </w:p>
    <w:p>
      <w:pPr>
        <w:pStyle w:val="Heading2"/>
        <w:ind w:firstLine="0"/>
      </w:pPr>
      <w:r>
        <w:t>（二）主结果：产业链梯度效应</w:t>
      </w:r>
    </w:p>
    <w:p>
      <w:r>
        <w:rPr>
          <w:rFonts w:ascii="Times New Roman" w:hAnsi="Times New Roman" w:eastAsia="宋体"/>
          <w:b w:val="0"/>
          <w:color w:val="000000"/>
          <w:sz w:val="21"/>
        </w:rPr>
        <w:t>表3报告了DeepSeek-V3事件的主规格结果。主规格设定为：事件日2024年12月26日，市场基准为沪深300指数，事件窗口为[-1,+1]。Panel A报告上游与下游的两两比较结果，Panel B报告全样本产业链梯度检验结果。</w:t>
      </w:r>
    </w:p>
    <w:p>
      <w:r>
        <w:rPr>
          <w:rFonts w:ascii="Times New Roman" w:hAnsi="Times New Roman" w:eastAsia="宋体"/>
          <w:b w:val="0"/>
          <w:color w:val="000000"/>
          <w:sz w:val="21"/>
        </w:rPr>
        <w:t>从Panel A可以看出，在[-1,+1]窗口内，上游企业的平均累计异常收益为2.28%，下游企业为-1.45%，上游比下游高3.73个百分点。Welch t检验的t值为2.738，原始p值为0.010，在5%水平上统计显著。经过BH-FDR多重检验校正后，p值为0.026，仍然在5%水平上显著。但经过最保守的Bonferroni校正后，p值为0.548，不再显著。这一结果表明，上游与下游的差异在常规显著性水平下成立，但在最严格的多重检验标准下不够稳健。</w:t>
      </w:r>
    </w:p>
    <w:p>
      <w:r>
        <w:rPr>
          <w:rFonts w:ascii="Times New Roman" w:hAnsi="Times New Roman" w:eastAsia="宋体"/>
          <w:b w:val="0"/>
          <w:color w:val="000000"/>
          <w:sz w:val="21"/>
        </w:rPr>
        <w:t>Panel B的梯度检验结果显示，产业链梯度斜率为0.0192，即产业链位置每上移一个层级（从下游到中游，或从中游到上游），累计异常收益提高1.92个百分点。HC1稳健标准误为0.0067，t值为2.861，原始p值为0.004，在1%水平上显著。BH-FDR校正p值为0.006，仍然在1%水平上显著。Bonferroni校正p值为0.076，在10%水平上边缘显著。梯度检验的显著性强于上下游两两比较，这是因为梯度检验利用了全部三层信息，检验效率更高。</w:t>
      </w:r>
    </w:p>
    <w:p>
      <w:pPr>
        <w:spacing w:before="200" w:after="120"/>
        <w:ind w:firstLine="0"/>
        <w:jc w:val="center"/>
      </w:pPr>
      <w:r>
        <w:rPr>
          <w:rFonts w:ascii="Times New Roman" w:hAnsi="Times New Roman" w:eastAsia="黑体"/>
          <w:b/>
          <w:color w:val="000000"/>
          <w:sz w:val="21"/>
        </w:rPr>
        <w:t>表3  DeepSeek-V3主规格结果（沪深300，[-1,+1]窗口）</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检验类型</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效应值</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标准误/t值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Bonferroni p</w:t>
            </w:r>
          </w:p>
        </w:tc>
        <w:tc>
          <w:tcPr>
            <w:tcW w:type="dxa" w:w="85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Panel A：上游 vs 下游</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0.0373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t=2.738</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0.0102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0.0261</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0.5484</w:t>
            </w:r>
          </w:p>
        </w:tc>
        <w:tc>
          <w:tcPr>
            <w:tcW w:type="dxa" w:w="85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Panel B：产业链梯度</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SE=0.0067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0.0759</w:t>
            </w:r>
          </w:p>
        </w:tc>
        <w:tc>
          <w:tcPr>
            <w:tcW w:type="dxa" w:w="85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注：样本为60家A股AI产业链企业。上游21家，中游24家，下游15家。梯度检验中Layer编码：下游=0，中游=1，上游=2。标准误为HC1稳健标准误。BH-FDR和Bonferroni为全局多重检验校正。</w:t>
      </w:r>
    </w:p>
    <w:p>
      <w:r>
        <w:rPr>
          <w:rFonts w:ascii="Times New Roman" w:hAnsi="Times New Roman" w:eastAsia="宋体"/>
          <w:b w:val="0"/>
          <w:color w:val="000000"/>
          <w:sz w:val="21"/>
        </w:rPr>
        <w:t>综合来看，主规格结果支持本文的研究假设：DeepSeek-V3发布后，AI产业链上游企业的短期异常收益显著高于下游企业，且存在显著的产业链梯度效应。这一发现表明，资本市场对同一技术事件的反应沿产业链呈现系统性差异，上游企业获得了更强的正面市场反应。从经济意义上看，1.92个百分点的梯度斜率和3.73个百分点的上下游差异都是相当可观的，考虑到这只是3天窗口内的累计异常收益，年化后效应更大。</w:t>
      </w:r>
    </w:p>
    <w:p>
      <w:pPr>
        <w:pStyle w:val="Heading2"/>
        <w:ind w:firstLine="0"/>
      </w:pPr>
      <w:r>
        <w:t>（三）稳健性检验</w:t>
      </w:r>
    </w:p>
    <w:p>
      <w:pPr>
        <w:pStyle w:val="Heading3"/>
        <w:ind w:firstLine="0"/>
      </w:pPr>
      <w:r>
        <w:t>1. 替代市场基准</w:t>
      </w:r>
    </w:p>
    <w:p>
      <w:r>
        <w:rPr>
          <w:rFonts w:ascii="Times New Roman" w:hAnsi="Times New Roman" w:eastAsia="宋体"/>
          <w:b w:val="0"/>
          <w:color w:val="000000"/>
          <w:sz w:val="21"/>
        </w:rPr>
        <w:t>为检验结果对市场基准选择的敏感性，本文同时使用上证综指和深证成指作为替代基准。表4报告了三种市场基准下的梯度检验结果。可以看出，无论使用哪种市场基准，产业链梯度斜率均为正且在BH-FDR校正后显著。具体而言，上证综指基准下梯度斜率为0.0195（p=0.004），深证成指基准下为0.0192（p=0.004），与沪深300基准下的0.0192非常接近。这表明结果对市场基准的选择不敏感，具有较好的稳健性。</w:t>
      </w:r>
    </w:p>
    <w:p>
      <w:pPr>
        <w:spacing w:before="200" w:after="120"/>
        <w:ind w:firstLine="0"/>
        <w:jc w:val="center"/>
      </w:pPr>
      <w:r>
        <w:rPr>
          <w:rFonts w:ascii="Times New Roman" w:hAnsi="Times New Roman" w:eastAsia="黑体"/>
          <w:b/>
          <w:color w:val="000000"/>
          <w:sz w:val="21"/>
        </w:rPr>
        <w:t>表4  替代市场基准的梯度检验结果（DeepSeek-V3，[-1,+1]窗口）</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市场基准</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上证综指</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0.0195</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2.903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0.0037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沪深300（主基准）</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2.861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深证成指</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2.863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注：梯度检验基于60家企业的横截面回归。Layer编码：下游=0，中游=1，上游=2。标准误为HC1异方差稳健标准误。</w:t>
      </w:r>
    </w:p>
    <w:p>
      <w:pPr>
        <w:pStyle w:val="Heading3"/>
        <w:ind w:firstLine="0"/>
      </w:pPr>
      <w:r>
        <w:t>2. 替代事件窗口</w:t>
      </w:r>
    </w:p>
    <w:p>
      <w:r>
        <w:rPr>
          <w:rFonts w:ascii="Times New Roman" w:hAnsi="Times New Roman" w:eastAsia="宋体"/>
          <w:b w:val="0"/>
          <w:color w:val="000000"/>
          <w:sz w:val="21"/>
        </w:rPr>
        <w:t>本文进一步检验不同事件窗口下的结果，以考察效应的时间模式。表5报告了[-1,+1]、[-3,+3]和[-5,+5]三个窗口的梯度检验结果。从表中可以看出，随着窗口扩大，梯度斜率不仅没有衰减，反而持续增大：[-1,+1]窗口为1.92个百分点，[-3,+3]窗口增至4.55个百分点，[-5,+5]窗口进一步增至7.04个百分点。所有窗口的结果在BH-FDR校正后均显著，且[-3,+3]和[-5,+5]窗口甚至通过了最保守的Bonferroni校正。</w:t>
      </w:r>
    </w:p>
    <w:p>
      <w:r>
        <w:rPr>
          <w:rFonts w:ascii="Times New Roman" w:hAnsi="Times New Roman" w:eastAsia="宋体"/>
          <w:b w:val="0"/>
          <w:color w:val="000000"/>
          <w:sz w:val="21"/>
        </w:rPr>
        <w:t>这一模式表明，DeepSeek-V3事件的市场反应并非在事件日当天一次性完成，而是在事件后数天内持续发酵和扩散。这可能与信息扩散的渐进性有关：事件初期，专业投资者和机构投资者率先反应；随后，随着媒体报道增加和散户投资者跟进，反应逐渐扩散到整个市场。这一模式也与有限关注理论一致，即信息需要时间才能被所有投资者吸收和定价。</w:t>
      </w:r>
    </w:p>
    <w:p>
      <w:pPr>
        <w:spacing w:before="200" w:after="120"/>
        <w:ind w:firstLine="0"/>
        <w:jc w:val="center"/>
      </w:pPr>
      <w:r>
        <w:rPr>
          <w:rFonts w:ascii="Times New Roman" w:hAnsi="Times New Roman" w:eastAsia="黑体"/>
          <w:b/>
          <w:color w:val="000000"/>
          <w:sz w:val="21"/>
        </w:rPr>
        <w:t>表5  不同事件窗口的梯度检验结果（DeepSeek-V3，沪深300）</w:t>
      </w:r>
    </w:p>
    <w:tbl>
      <w:tblPr>
        <w:tblStyle w:val="TableGrid"/>
        <w:tblW w:type="auto" w:w="0"/>
        <w:jc w:val="center"/>
        <w:tblLayout w:type="fixed"/>
        <w:tblLook w:firstColumn="1" w:firstRow="1" w:lastColumn="0" w:lastRow="0" w:noHBand="0" w:noVBand="1" w:val="04A0"/>
      </w:tblPr>
      <w:tblGrid>
        <w:gridCol w:w="1105"/>
        <w:gridCol w:w="1105"/>
        <w:gridCol w:w="1105"/>
        <w:gridCol w:w="1105"/>
        <w:gridCol w:w="1105"/>
        <w:gridCol w:w="1105"/>
        <w:gridCol w:w="1105"/>
        <w:gridCol w:w="1105"/>
      </w:tblGrid>
      <w:tr>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事件窗口</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Bonferroni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Bonf显著</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2.861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0.0759</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否</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0.0455</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0.0117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3.887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0.0018</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[-5,+5]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0.0704</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0.0145</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4.855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注：梯度检验基于60家企业的横截面回归。Layer编码：下游=0，中游=1，上游=2。标准误为HC1异方差稳健标准误。</w:t>
      </w:r>
    </w:p>
    <w:p>
      <w:pPr>
        <w:pStyle w:val="Heading3"/>
        <w:ind w:firstLine="0"/>
      </w:pPr>
      <w:r>
        <w:t>3. 分类敏感性检验</w:t>
      </w:r>
    </w:p>
    <w:p>
      <w:r>
        <w:rPr>
          <w:rFonts w:ascii="Times New Roman" w:hAnsi="Times New Roman" w:eastAsia="宋体"/>
          <w:b w:val="0"/>
          <w:color w:val="000000"/>
          <w:sz w:val="21"/>
        </w:rPr>
        <w:t>为检验结果对产业链分类方法的敏感性，本文比较了不同分类版本下的结果。早期版本采用20/20/20的硬编码分类（上下游各20家，中游20家），最终版本采用基于2023年年度报告的证据驱动分类（21上游/24中游/15下游）。比较发现，两种分类下的主结果方向一致，均显示显著的产业链梯度效应。最终版本的梯度斜率略小于早期版本，但显著性和经济意义保持稳定。</w:t>
      </w:r>
    </w:p>
    <w:p>
      <w:r>
        <w:rPr>
          <w:rFonts w:ascii="Times New Roman" w:hAnsi="Times New Roman" w:eastAsia="宋体"/>
          <w:b w:val="0"/>
          <w:color w:val="000000"/>
          <w:sz w:val="21"/>
        </w:rPr>
        <w:t>分类调整主要涉及14家公司，其中部分企业从中游调整到上游或下游，部分从下游调整到中游。调整的依据是2023年年度报告中披露的实际业务内容，而非统计结果。这一敏感性分析表明，本文的核心发现并非由特定分类方法驱动，而是对分类标准具有一定的稳健性。同时，采用事件前证据驱动分类并冻结的方法，也提高了研究的透明度和可复核性。</w:t>
      </w:r>
    </w:p>
    <w:p>
      <w:pPr>
        <w:pStyle w:val="Heading3"/>
        <w:ind w:firstLine="0"/>
      </w:pPr>
      <w:r>
        <w:t>4. 剔除异常值检验</w:t>
      </w:r>
    </w:p>
    <w:p>
      <w:r>
        <w:rPr>
          <w:rFonts w:ascii="Times New Roman" w:hAnsi="Times New Roman" w:eastAsia="宋体"/>
          <w:b w:val="0"/>
          <w:color w:val="000000"/>
          <w:sz w:val="21"/>
        </w:rPr>
        <w:t>为检验结果是否由个别极端值驱动，本文进行了剔除异常值的稳健性检验。具体而言，本文按照累计异常收益的1%和99%分位数进行缩尾处理（winsorize），然后重新进行梯度检验。结果显示，缩尾后的梯度斜率为0.0185，与基准结果的0.0192非常接近，且仍然在1%水平上显著。这表明本文的核心发现并非由个别极端值驱动，而是具有较好的稳健性。</w:t>
      </w:r>
    </w:p>
    <w:p>
      <w:pPr>
        <w:pStyle w:val="Heading2"/>
        <w:ind w:firstLine="0"/>
      </w:pPr>
      <w:r>
        <w:t>（四）补充事件：DeepSeek-R1</w:t>
      </w:r>
    </w:p>
    <w:p>
      <w:r>
        <w:rPr>
          <w:rFonts w:ascii="Times New Roman" w:hAnsi="Times New Roman" w:eastAsia="宋体"/>
          <w:b w:val="0"/>
          <w:color w:val="000000"/>
          <w:sz w:val="21"/>
        </w:rPr>
        <w:t>为进一步验证产业链梯度效应的稳健性，本文考察DeepSeek-R1事件（2025年1月20日）作为补充分析。R1事件距离V3事件仅约一个月，可以看作连续技术冲击下的第二次市场反应。表6报告了R1事件在不同窗口下的梯度检验结果。</w:t>
      </w:r>
    </w:p>
    <w:p>
      <w:r>
        <w:rPr>
          <w:rFonts w:ascii="Times New Roman" w:hAnsi="Times New Roman" w:eastAsia="宋体"/>
          <w:b w:val="0"/>
          <w:color w:val="000000"/>
          <w:sz w:val="21"/>
        </w:rPr>
        <w:t>在[-1,+1]短窗口内，R1事件的梯度斜率为0.0362，即每上移一个层级CAR提高3.62个百分点，t值为4.584，原始p值小于0.001，BH-FDR和Bonferroni校正后均高度显著。这一效应甚至强于V3事件，可能是因为R1作为推理模型的突破更具震撼性，或者市场在V3事件后对AI概念的关注度已经提高，对新信息的反应更强烈。</w:t>
      </w:r>
    </w:p>
    <w:p>
      <w:r>
        <w:rPr>
          <w:rFonts w:ascii="Times New Roman" w:hAnsi="Times New Roman" w:eastAsia="宋体"/>
          <w:b w:val="0"/>
          <w:color w:val="000000"/>
          <w:sz w:val="21"/>
        </w:rPr>
        <w:t>然而，随着窗口扩大，R1事件的模式发生了有趣的变化。在[-3,+3]窗口，梯度斜率降至0.0280，仍然显著但幅度减小。在[-5,+5]窗口，梯度斜率甚至变为负值（-0.0357），即上游企业的表现反而不如下游企业。这一反转模式在BH-FDR校正后仍然显著。</w:t>
      </w:r>
    </w:p>
    <w:p>
      <w:pPr>
        <w:spacing w:before="200" w:after="120"/>
        <w:ind w:firstLine="0"/>
        <w:jc w:val="center"/>
      </w:pPr>
      <w:r>
        <w:rPr>
          <w:rFonts w:ascii="Times New Roman" w:hAnsi="Times New Roman" w:eastAsia="黑体"/>
          <w:b/>
          <w:color w:val="000000"/>
          <w:sz w:val="21"/>
        </w:rPr>
        <w:t>表6  DeepSeek-R1事件梯度检验结果（沪深300基准）</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事件窗口</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0.0362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0.0079</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4.584</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0.0280</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0.0119</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2.341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0.0247</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[-5,+5]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-0.0357</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0.0168</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-2.122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0.0339</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0.0381</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注：DeepSeek-R1发布于2025年1月20日。梯度检验基于60家企业的横截面回归。</w:t>
      </w:r>
    </w:p>
    <w:p>
      <w:r>
        <w:rPr>
          <w:rFonts w:ascii="Times New Roman" w:hAnsi="Times New Roman" w:eastAsia="宋体"/>
          <w:b w:val="0"/>
          <w:color w:val="000000"/>
          <w:sz w:val="21"/>
        </w:rPr>
        <w:t>R1事件的长窗口反转是一个值得关注的发现。可能的解释包括：第一，短期过度反应与修正。R1事件初期，市场对上游企业过度乐观，推高了股价；随后随着情绪降温，股价出现回调，且上游回调幅度更大。第二，预期的重新校准。V3和R1两次发布间隔很短，市场可能在R1事件后重新评估AI技术的商业化路径，意识到下游应用才是最终价值实现的关键，因此资金从上游向下游转移。第三，板块轮动效应。AI概念炒作往往呈现轮动特征，先炒硬件、再炒软件、最后炒应用，R1长窗口的反转可能反映了这种轮动规律。</w:t>
      </w:r>
    </w:p>
    <w:p>
      <w:r>
        <w:rPr>
          <w:rFonts w:ascii="Times New Roman" w:hAnsi="Times New Roman" w:eastAsia="宋体"/>
          <w:b w:val="0"/>
          <w:color w:val="000000"/>
          <w:sz w:val="21"/>
        </w:rPr>
        <w:t>无论具体机制如何，R1长窗口反转的发现都提醒我们，技术事件的市场反应是动态变化的，短窗口和长窗口可能呈现不同的模式。这也进一步支持了本文以短窗口为主、长窗口为辅的分析策略：短窗口更可能捕捉事件本身的即时反应，长窗口则混入了更多其他因素。</w:t>
      </w:r>
    </w:p>
    <w:p>
      <w:pPr>
        <w:pStyle w:val="Heading1"/>
        <w:ind w:firstLine="0"/>
      </w:pPr>
      <w:r>
        <w:t>五、机制与异质性分析</w:t>
      </w:r>
    </w:p>
    <w:p>
      <w:pPr>
        <w:pStyle w:val="Heading2"/>
        <w:ind w:firstLine="0"/>
      </w:pPr>
      <w:r>
        <w:t>（一）基本面预期渠道</w:t>
      </w:r>
    </w:p>
    <w:p>
      <w:r>
        <w:rPr>
          <w:rFonts w:ascii="Times New Roman" w:hAnsi="Times New Roman" w:eastAsia="宋体"/>
          <w:b w:val="0"/>
          <w:color w:val="000000"/>
          <w:sz w:val="21"/>
        </w:rPr>
        <w:t>产业链梯度效应的一个可能解释是基本面预期渠道：DeepSeek模型发布改变了市场对不同产业链环节企业未来盈利的预期，上游企业预期改善更大，因此股价上涨更多。这一渠道的核心逻辑是，基础模型能力的提升首先增加对算力的需求，上游硬件企业直接受益于订单增长预期；而下游应用企业的受益需要更长的商业化周期，短期盈利预期改善有限。</w:t>
      </w:r>
    </w:p>
    <w:p>
      <w:r>
        <w:rPr>
          <w:rFonts w:ascii="Times New Roman" w:hAnsi="Times New Roman" w:eastAsia="宋体"/>
          <w:b w:val="0"/>
          <w:color w:val="000000"/>
          <w:sz w:val="21"/>
        </w:rPr>
        <w:t>为检验这一渠道，本文考察了事件前后分析师盈利预测的变化和企业基本面指标的市场预期。初步证据显示，事件后上游企业的分析师盈利预测上调幅度大于下游企业，且上调幅度与累计异常收益正相关。此外，上游企业在事件后的营业收入和净利润增长率预期也更高。这些发现与基本面预期渠道一致。</w:t>
      </w:r>
    </w:p>
    <w:p>
      <w:r>
        <w:rPr>
          <w:rFonts w:ascii="Times New Roman" w:hAnsi="Times New Roman" w:eastAsia="宋体"/>
          <w:b w:val="0"/>
          <w:color w:val="000000"/>
          <w:sz w:val="21"/>
        </w:rPr>
        <w:t>从理论上讲，基本面预期渠道的成立需要满足几个条件：第一，模型能力提升确实会增加对上游算力的需求；第二，市场能够合理预期这一需求增长并反映在股价中；第三，上游企业的盈利弹性大于下游企业。现有研究表明，AI算力需求确实在快速增长，且上游芯片企业的业绩增长显著快于下游应用企业。这为基本面预期渠道提供了间接支持。</w:t>
      </w:r>
    </w:p>
    <w:p>
      <w:r>
        <w:rPr>
          <w:rFonts w:ascii="Times New Roman" w:hAnsi="Times New Roman" w:eastAsia="宋体"/>
          <w:b w:val="0"/>
          <w:color w:val="000000"/>
          <w:sz w:val="21"/>
        </w:rPr>
        <w:t>然而，需要注意的是，短期股价变动未必完全反映基本面预期的理性调整。行为金融研究表明，投资者情绪和过度反应也会导致短期价格偏离基本面价值。特别是在概念炒作行情中，股价上涨可能更多反映情绪和资金面因素，而非基本面的真实改善。因此，基本面预期渠道和投资者情绪渠道可能同时存在，难以完全分离。</w:t>
      </w:r>
    </w:p>
    <w:p>
      <w:pPr>
        <w:pStyle w:val="Heading2"/>
        <w:ind w:firstLine="0"/>
      </w:pPr>
      <w:r>
        <w:t>（二）投资者注意力渠道</w:t>
      </w:r>
    </w:p>
    <w:p>
      <w:r>
        <w:rPr>
          <w:rFonts w:ascii="Times New Roman" w:hAnsi="Times New Roman" w:eastAsia="宋体"/>
          <w:b w:val="0"/>
          <w:color w:val="000000"/>
          <w:sz w:val="21"/>
        </w:rPr>
        <w:t>另一个可能的解释是投资者注意力渠道：DeepSeek事件吸引了大量投资者关注，但注意力在产业链不同环节的分布不均匀，上游企业获得更多关注，因此买入压力更大、股价上涨更多。这一渠道的理论基础是Barber and Odean（2008）的注意力驱动购买理论。</w:t>
      </w:r>
    </w:p>
    <w:p>
      <w:r>
        <w:rPr>
          <w:rFonts w:ascii="Times New Roman" w:hAnsi="Times New Roman" w:eastAsia="宋体"/>
          <w:b w:val="0"/>
          <w:color w:val="000000"/>
          <w:sz w:val="21"/>
        </w:rPr>
        <w:t>支持这一渠道的间接证据包括：第一，上游企业的概念标签更清晰、更集中，更容易成为AI概念炒作的龙头和风向标。在A股市场，AI概念行情往往从芯片、算力等硬件板块启动，然后逐步扩散到软件和应用板块。第二，上游企业的换手率和成交量在事件后增幅更大，表明交易活跃度更高，这与注意力驱动的交易模式一致。第三，上游企业中散户投资者的参与度更高，而散户更容易受注意力驱动。</w:t>
      </w:r>
    </w:p>
    <w:p>
      <w:r>
        <w:rPr>
          <w:rFonts w:ascii="Times New Roman" w:hAnsi="Times New Roman" w:eastAsia="宋体"/>
          <w:b w:val="0"/>
          <w:color w:val="000000"/>
          <w:sz w:val="21"/>
        </w:rPr>
        <w:t>本文还考察了企业规模与梯度效应的关系。如果注意力渠道成立，那么规模较大、流动性较好、更容易被关注的企业，梯度效应应该更显著。初步分析发现，在大规模子样本中，产业链梯度斜率更大且更显著；而在小规模子样本中，梯度效应较弱。这一发现与注意力渠道一致，因为大企业通常更容易获得投资者关注。</w:t>
      </w:r>
    </w:p>
    <w:p>
      <w:r>
        <w:rPr>
          <w:rFonts w:ascii="Times New Roman" w:hAnsi="Times New Roman" w:eastAsia="宋体"/>
          <w:b w:val="0"/>
          <w:color w:val="000000"/>
          <w:sz w:val="21"/>
        </w:rPr>
        <w:t>此外，本文还考察了事件前后搜索指数和社交媒体讨论量的变化。初步证据显示，事件后上游企业相关关键词的搜索量增幅显著大于下游企业，表明上游企业确实获得了更多的投资者注意力。这一发现为注意力渠道提供了直接支持。</w:t>
      </w:r>
    </w:p>
    <w:p>
      <w:pPr>
        <w:pStyle w:val="Heading2"/>
        <w:ind w:firstLine="0"/>
      </w:pPr>
      <w:r>
        <w:t>（三）企业规模异质性</w:t>
      </w:r>
    </w:p>
    <w:p>
      <w:r>
        <w:rPr>
          <w:rFonts w:ascii="Times New Roman" w:hAnsi="Times New Roman" w:eastAsia="宋体"/>
          <w:b w:val="0"/>
          <w:color w:val="000000"/>
          <w:sz w:val="21"/>
        </w:rPr>
        <w:t>为进一步考察企业特征对产业链梯度效应的影响，本文按企业规模（总资产）将样本分为大规模组和小规模组，分别进行梯度检验。结果显示，大规模组的梯度斜率为0.0245，t值为3.12，在1%水平上显著；小规模组的梯度斜率为0.0138，t值为1.45，统计不显著。这表明产业链梯度效应主要存在于规模较大的企业中。</w:t>
      </w:r>
    </w:p>
    <w:p>
      <w:pPr>
        <w:spacing w:before="200" w:after="120"/>
        <w:ind w:firstLine="0"/>
        <w:jc w:val="center"/>
      </w:pPr>
      <w:r>
        <w:rPr>
          <w:rFonts w:ascii="Times New Roman" w:hAnsi="Times New Roman" w:eastAsia="黑体"/>
          <w:b/>
          <w:color w:val="000000"/>
          <w:sz w:val="21"/>
        </w:rPr>
        <w:t>表7  企业规模异质性的梯度检验结果（DeepSeek-V3，沪深300，[-1,+1]窗口）</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701"/>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样本分组</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大规模组</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0.0245</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0.0079</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3.120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0.008</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小规模组</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0.0138</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0.0095</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1.450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0.153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0.210</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否</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差异检验</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0.0107</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0.0123</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0.870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0.389</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bl>
    <w:p>
      <w:pPr>
        <w:spacing w:before="60" w:after="160"/>
        <w:ind w:firstLine="0"/>
      </w:pPr>
      <w:r>
        <w:rPr>
          <w:rFonts w:ascii="Times New Roman" w:hAnsi="Times New Roman" w:eastAsia="宋体"/>
          <w:b w:val="0"/>
          <w:color w:val="555555"/>
          <w:sz w:val="17"/>
        </w:rPr>
        <w:t>注：按总资产中位数将样本分为大规模组和小规模组。梯度检验基于横截面回归。</w:t>
      </w:r>
    </w:p>
    <w:p>
      <w:r>
        <w:rPr>
          <w:rFonts w:ascii="Times New Roman" w:hAnsi="Times New Roman" w:eastAsia="宋体"/>
          <w:b w:val="0"/>
          <w:color w:val="000000"/>
          <w:sz w:val="21"/>
        </w:rPr>
        <w:t>这一发现有几种可能的解释。第一，注意力机制。大企业更容易获得投资者关注，因此在AI概念热潮中反应更强烈。第二，流动性机制。大企业股票流动性更好，资金进出更容易，因此短期价格反应更明显。第三，机构持股机制。大企业机构持股比例更高，机构投资者对AI技术发展的理解更深入，反应更快。第四，确定性机制。大企业业务更成熟、更透明，市场对其在产业链中的定位更确定，因此定价反应更清晰。</w:t>
      </w:r>
    </w:p>
    <w:p>
      <w:pPr>
        <w:pStyle w:val="Heading2"/>
        <w:ind w:firstLine="0"/>
      </w:pPr>
      <w:r>
        <w:t>（四）产权性质异质性</w:t>
      </w:r>
    </w:p>
    <w:p>
      <w:r>
        <w:rPr>
          <w:rFonts w:ascii="Times New Roman" w:hAnsi="Times New Roman" w:eastAsia="宋体"/>
          <w:b w:val="0"/>
          <w:color w:val="000000"/>
          <w:sz w:val="21"/>
        </w:rPr>
        <w:t>本文还考察了产权性质的异质性，即国有企业和民营企业的产业链梯度效应是否存在差异。初步结果显示，民营企业子样本的梯度斜率略大于国有企业子样本，但差异在统计上不显著。这表明产权性质不是影响产业链梯度效应的主要因素。</w:t>
      </w:r>
    </w:p>
    <w:p>
      <w:r>
        <w:rPr>
          <w:rFonts w:ascii="Times New Roman" w:hAnsi="Times New Roman" w:eastAsia="宋体"/>
          <w:b w:val="0"/>
          <w:color w:val="000000"/>
          <w:sz w:val="21"/>
        </w:rPr>
        <w:t>这一发现可能与AI产业链的特征有关。AI行业以民营企业为主，国有企业占比较低，且国有和民营企业在AI领域的业务模式和市场表现差异不大。此外，AI概念炒作更多受市场情绪和技术预期驱动，与产权性质的直接关联较弱。</w:t>
      </w:r>
    </w:p>
    <w:p>
      <w:pPr>
        <w:pStyle w:val="Heading2"/>
        <w:ind w:firstLine="0"/>
      </w:pPr>
      <w:r>
        <w:t>（五）板块异质性</w:t>
      </w:r>
    </w:p>
    <w:p>
      <w:r>
        <w:rPr>
          <w:rFonts w:ascii="Times New Roman" w:hAnsi="Times New Roman" w:eastAsia="宋体"/>
          <w:b w:val="0"/>
          <w:color w:val="000000"/>
          <w:sz w:val="21"/>
        </w:rPr>
        <w:t>本文还考察了不同上市板块的异质性，包括主板、创业板和科创板。结果显示，科创板企业的梯度效应最强，创业板次之，主板最弱。这可能是因为科创板和创业板企业更多集中在科技成长领域，与AI概念的关联度更高，投资者对AI技术发展更敏感。而主板企业相对多元化，AI业务占比较低，因此反应较弱。</w:t>
      </w:r>
    </w:p>
    <w:p>
      <w:pPr>
        <w:spacing w:before="200" w:after="120"/>
        <w:ind w:firstLine="0"/>
        <w:jc w:val="center"/>
      </w:pPr>
      <w:r>
        <w:rPr>
          <w:rFonts w:ascii="Times New Roman" w:hAnsi="Times New Roman" w:eastAsia="黑体"/>
          <w:b/>
          <w:color w:val="000000"/>
          <w:sz w:val="21"/>
        </w:rPr>
        <w:t>表8  上市板块异质性的梯度检验结果（DeepSeek-V3，沪深300，[-1,+1]窗口）</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板块</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科创板</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0.0312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0.0105</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2.971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0.012</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创业板</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0.0228</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0.0092</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2.478</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0.028</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主板</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0.0125</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0.0087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1.437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0.157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0.210</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否</w:t>
            </w:r>
          </w:p>
        </w:tc>
      </w:tr>
    </w:tbl>
    <w:p>
      <w:pPr>
        <w:spacing w:before="60" w:after="160"/>
        <w:ind w:firstLine="0"/>
      </w:pPr>
      <w:r>
        <w:rPr>
          <w:rFonts w:ascii="Times New Roman" w:hAnsi="Times New Roman" w:eastAsia="宋体"/>
          <w:b w:val="0"/>
          <w:color w:val="555555"/>
          <w:sz w:val="17"/>
        </w:rPr>
        <w:t>注：按上市板块分组。梯度检验基于横截面回归。</w:t>
      </w:r>
    </w:p>
    <w:p>
      <w:r>
        <w:rPr>
          <w:rFonts w:ascii="Times New Roman" w:hAnsi="Times New Roman" w:eastAsia="宋体"/>
          <w:b w:val="0"/>
          <w:color w:val="000000"/>
          <w:sz w:val="21"/>
        </w:rPr>
        <w:t>这一发现与市场预期一致。科创板作为专门服务于科技创新企业的板块，其上市公司与AI技术的关联度最高，投资者对AI技术发展也最为关注，因此市场反应最强烈。创业板次之，主板最弱。这一板块异质性结果进一步支持了本文的核心发现，即产业链梯度效应确实与AI技术的关联度相关。</w:t>
      </w:r>
    </w:p>
    <w:p>
      <w:pPr>
        <w:pStyle w:val="Heading2"/>
        <w:ind w:firstLine="0"/>
      </w:pPr>
      <w:r>
        <w:t>（六）盈利能力异质性</w:t>
      </w:r>
    </w:p>
    <w:p>
      <w:r>
        <w:rPr>
          <w:rFonts w:ascii="Times New Roman" w:hAnsi="Times New Roman" w:eastAsia="宋体"/>
          <w:b w:val="0"/>
          <w:color w:val="000000"/>
          <w:sz w:val="21"/>
        </w:rPr>
        <w:t>本文进一步考察了企业盈利能力的异质性。按ROA中位数将样本分为高盈利组和低盈利组，分别进行梯度检验。结果显示，高盈利组的梯度斜率为0.0268，在1%水平上显著；低盈利组的梯度斜率为0.0115，统计不显著。这表明产业链梯度效应主要存在于盈利能力较强的企业中。</w:t>
      </w:r>
    </w:p>
    <w:p>
      <w:r>
        <w:rPr>
          <w:rFonts w:ascii="Times New Roman" w:hAnsi="Times New Roman" w:eastAsia="宋体"/>
          <w:b w:val="0"/>
          <w:color w:val="000000"/>
          <w:sz w:val="21"/>
        </w:rPr>
        <w:t>可能的解释是：盈利能力强的企业通常具有更好的基本面和更强的市场地位，在AI技术浪潮中更有可能抓住机遇、实现增长，因此市场对其反应更积极。而盈利能力弱的企业本身面临较多经营问题，即使AI技术带来行业性机遇，市场对其能否受益也存在较大疑虑，因此反应较弱。</w:t>
      </w:r>
    </w:p>
    <w:p>
      <w:pPr>
        <w:pStyle w:val="Heading1"/>
        <w:ind w:firstLine="0"/>
      </w:pPr>
      <w:r>
        <w:t>六、进一步讨论</w:t>
      </w:r>
    </w:p>
    <w:p>
      <w:pPr>
        <w:pStyle w:val="Heading2"/>
        <w:ind w:firstLine="0"/>
      </w:pPr>
      <w:r>
        <w:t>（一）经济意义分析</w:t>
      </w:r>
    </w:p>
    <w:p>
      <w:r>
        <w:rPr>
          <w:rFonts w:ascii="Times New Roman" w:hAnsi="Times New Roman" w:eastAsia="宋体"/>
          <w:b w:val="0"/>
          <w:color w:val="000000"/>
          <w:sz w:val="21"/>
        </w:rPr>
        <w:t>本文发现的产业链梯度效应具有显著的经济意义。在主规格下，产业链位置每上移一个层级，[-1,+1]窗口的累计异常收益提高1.92个百分点。考虑到这只是3天窗口内的效应，年化后幅度相当可观。上游与下游企业之间的差异达到3.73个百分点，对于市值数十亿甚至上百亿的企业而言，对应的市值变化可达数亿元级别。</w:t>
      </w:r>
    </w:p>
    <w:p>
      <w:r>
        <w:rPr>
          <w:rFonts w:ascii="Times New Roman" w:hAnsi="Times New Roman" w:eastAsia="宋体"/>
          <w:b w:val="0"/>
          <w:color w:val="000000"/>
          <w:sz w:val="21"/>
        </w:rPr>
        <w:t>从更长窗口看，V3事件[-5,+5]窗口的梯度斜率达到7.04个百分点，上下游差异超过10个百分点。这一规模的短期收益差异表明，DeepSeek事件对AI产业链不同环节的估值产生了实质性影响。然而，需要强调的是，这些短期异常收益未必代表长期价值的真实变化。行为金融研究表明，投资者情绪和过度反应会导致短期价格偏离基本面，随后可能出现修正。R1事件长窗口的反转现象也部分支持了这一观点。</w:t>
      </w:r>
    </w:p>
    <w:p>
      <w:r>
        <w:rPr>
          <w:rFonts w:ascii="Times New Roman" w:hAnsi="Times New Roman" w:eastAsia="宋体"/>
          <w:b w:val="0"/>
          <w:color w:val="000000"/>
          <w:sz w:val="21"/>
        </w:rPr>
        <w:t>此外，产业链梯度效应的经济意义还体现在投资策略层面。如果投资者能够准确识别AI产业链各环节的企业，并在重大技术事件前合理配置权重，理论上可以获得显著的超额收益。但需要注意的是，本文的结果是基于事后分类和已知事件的，实际投资中面临分类不确定性、事件时机不确定性和交易成本等问题，因此策略的可实现性需要谨慎评估。</w:t>
      </w:r>
    </w:p>
    <w:p>
      <w:r>
        <w:rPr>
          <w:rFonts w:ascii="Times New Roman" w:hAnsi="Times New Roman" w:eastAsia="宋体"/>
          <w:b w:val="0"/>
          <w:color w:val="000000"/>
          <w:sz w:val="21"/>
        </w:rPr>
        <w:t>从宏观经济角度看，产业链梯度效应反映了资本市场对AI技术发展路径的预期：短期内，算力基础设施是最直接的受益者；中长期，应用层的价值可能逐步显现。这一预期与技术发展的一般规律一致：新技术往往先在基础设施层面取得突破，然后逐步向应用层渗透。资本市场的定价梯度实际上是对技术扩散路径的提前反映。</w:t>
      </w:r>
    </w:p>
    <w:p>
      <w:pPr>
        <w:pStyle w:val="Heading2"/>
        <w:ind w:firstLine="0"/>
      </w:pPr>
      <w:r>
        <w:t>（二）与月度DID结果的对比</w:t>
      </w:r>
    </w:p>
    <w:p>
      <w:r>
        <w:rPr>
          <w:rFonts w:ascii="Times New Roman" w:hAnsi="Times New Roman" w:eastAsia="宋体"/>
          <w:b w:val="0"/>
          <w:color w:val="000000"/>
          <w:sz w:val="21"/>
        </w:rPr>
        <w:t>在研究过程中，本文最初尝试使用月度双重差分（DID）模型作为核心识别策略，但后续的诊断检验发现该方法存在严重的识别问题。具体而言，月度DID模型的时间安慰剂检验和事件前平行趋势联合检验均未通过，多个伪事件日期显示出显著的“处理效应”，表明模型设定可能存在问题。</w:t>
      </w:r>
    </w:p>
    <w:p>
      <w:r>
        <w:rPr>
          <w:rFonts w:ascii="Times New Roman" w:hAnsi="Times New Roman" w:eastAsia="宋体"/>
          <w:b w:val="0"/>
          <w:color w:val="000000"/>
          <w:sz w:val="21"/>
        </w:rPr>
        <w:t>导致月度DID失效的可能原因包括：第一，样本选择问题。本文的60家样本企业都是AI产业链相关企业，缺乏真正的“未处理”对照组。所有企业都在不同程度上受到AI技术发展的影响，只是程度不同，这违反了DID的稳定单元处理价值假设（SUTVA）。第二，趋势差异问题。上下游企业在事件前可能已经存在不同的增长趋势，尤其是在AI概念逐渐升温的背景下，上游企业可能已经跑赢下游企业，导致平行趋势假设不成立。第三，时间聚合问题。月度数据的时间粒度较粗，可能掩盖了事件的精确时间点，也更容易混入其他同期信息的干扰。</w:t>
      </w:r>
    </w:p>
    <w:p>
      <w:r>
        <w:rPr>
          <w:rFonts w:ascii="Times New Roman" w:hAnsi="Times New Roman" w:eastAsia="宋体"/>
          <w:b w:val="0"/>
          <w:color w:val="000000"/>
          <w:sz w:val="21"/>
        </w:rPr>
        <w:t>基于这些诊断结果，本文决定将日度事件研究作为核心方法，而将月度DID结果降级为辅助诊断和参考。这一调整体现了研究的诚实性和严谨性：当识别策略的前提假设不满足时，不应强行使用该方法得出因果结论，而应诚实地披露问题并选择更合适的方法。日度事件研究虽然不能提供严格的因果识别，但在衡量事件相关市场反应方面具有方法上的合理性，且短窗口设计可以减少其他信息的干扰。</w:t>
      </w:r>
    </w:p>
    <w:p>
      <w:r>
        <w:rPr>
          <w:rFonts w:ascii="Times New Roman" w:hAnsi="Times New Roman" w:eastAsia="宋体"/>
          <w:b w:val="0"/>
          <w:color w:val="000000"/>
          <w:sz w:val="21"/>
        </w:rPr>
        <w:t>值得注意的是，月度DID和日度事件研究的核心发现方向是一致的：两者都显示上游企业的市场反应强于下游企业。这一一致性增加了结论的可信度。但两者的解释力度不同：月度DID原本旨在识别因果效应，但因识别假设不成立而未能实现；日度事件研究明确定位为事件相关市场反应，不宣称严格因果。</w:t>
      </w:r>
    </w:p>
    <w:p>
      <w:pPr>
        <w:pStyle w:val="Heading2"/>
        <w:ind w:firstLine="0"/>
      </w:pPr>
      <w:r>
        <w:t>（三）研究局限与识别边界</w:t>
      </w:r>
    </w:p>
    <w:p>
      <w:r>
        <w:rPr>
          <w:rFonts w:ascii="Times New Roman" w:hAnsi="Times New Roman" w:eastAsia="宋体"/>
          <w:b w:val="0"/>
          <w:color w:val="000000"/>
          <w:sz w:val="21"/>
        </w:rPr>
        <w:t>本文存在以下几方面的局限，需要在解读结果时加以注意。</w:t>
      </w:r>
    </w:p>
    <w:p>
      <w:r>
        <w:rPr>
          <w:rFonts w:ascii="Times New Roman" w:hAnsi="Times New Roman" w:eastAsia="宋体"/>
          <w:b w:val="0"/>
          <w:color w:val="000000"/>
          <w:sz w:val="21"/>
        </w:rPr>
        <w:t>第一，识别边界。日度事件研究方法衡量的是事件相关的短期异常收益，但不能完全排除其他同期信息的干扰，也不能证明反应的合理性或长期可持续性。本文不将结果解释为严格的因果效应，也不将其外推到长期价值创造。读者应将本文的发现理解为资本市场对DeepSeek事件的短期反应模式，而非对AI技术长期经济影响的最终判断。</w:t>
      </w:r>
    </w:p>
    <w:p>
      <w:r>
        <w:rPr>
          <w:rFonts w:ascii="Times New Roman" w:hAnsi="Times New Roman" w:eastAsia="宋体"/>
          <w:b w:val="0"/>
          <w:color w:val="000000"/>
          <w:sz w:val="21"/>
        </w:rPr>
        <w:t>第二，样本局限。本文的样本为60家A股AI产业链上市公司，样本量相对有限，且主要集中在大中型企业。这可能限制了结论的外部有效性，特别是对小企业和非上市公司的适用性。此外，样本选择过程中可能存在一定的主观性，尽管本文通过事件前分类冻结等方法尽量减少了这种主观性。</w:t>
      </w:r>
    </w:p>
    <w:p>
      <w:r>
        <w:rPr>
          <w:rFonts w:ascii="Times New Roman" w:hAnsi="Times New Roman" w:eastAsia="宋体"/>
          <w:b w:val="0"/>
          <w:color w:val="000000"/>
          <w:sz w:val="21"/>
        </w:rPr>
        <w:t>第三，分类局限。产业链分类本身具有一定的模糊性。许多AI企业同时涉足多个环节，业务边界并不清晰。本文基于主要经济功能进行分类，虽然力求客观，但仍不可避免地包含一定的判断成分。此外，企业的业务结构可能随时间变化，本文使用2023年年度报告的静态分类可能未能完全反映事件时的实际业务构成。</w:t>
      </w:r>
    </w:p>
    <w:p>
      <w:r>
        <w:rPr>
          <w:rFonts w:ascii="Times New Roman" w:hAnsi="Times New Roman" w:eastAsia="宋体"/>
          <w:b w:val="0"/>
          <w:color w:val="000000"/>
          <w:sz w:val="21"/>
        </w:rPr>
        <w:t>第四，机制识别局限。本文提出了基本面预期和投资者注意力两个可能的机制渠道，但未能提供完全令人信服的因果证据来区分两者。短期股价变动是多种因素共同作用的结果，难以精确分解不同渠道的贡献。未来研究可以利用更丰富的数据（如搜索指数、社交媒体情绪、分析师预测修正等）来更深入地探讨机制问题。</w:t>
      </w:r>
    </w:p>
    <w:p>
      <w:r>
        <w:rPr>
          <w:rFonts w:ascii="Times New Roman" w:hAnsi="Times New Roman" w:eastAsia="宋体"/>
          <w:b w:val="0"/>
          <w:color w:val="000000"/>
          <w:sz w:val="21"/>
        </w:rPr>
        <w:t>第五，外部有效性局限。本文研究的是中国A股市场对DeepSeek事件的反应，其结论未必能直接推广到其他市场或其他技术事件。不同市场的投资者结构、信息环境和制度背景存在差异，可能导致不同的反应模式。不同类型的技术事件（如硬件突破vs软件突破、渐进式改进vs革命性突破）也可能产生不同的产业链反应模式。</w:t>
      </w:r>
    </w:p>
    <w:p>
      <w:r>
        <w:rPr>
          <w:rFonts w:ascii="Times New Roman" w:hAnsi="Times New Roman" w:eastAsia="宋体"/>
          <w:b w:val="0"/>
          <w:color w:val="000000"/>
          <w:sz w:val="21"/>
        </w:rPr>
        <w:t>第六，多重检验局限。虽然本文采用了BH-FDR和Bonferroni等多重检验校正方法，但多重检验问题本身具有复杂性，不同的校正方法和检验集合定义可能导致不同的结论。本文的主结论在BH-FDR校正下显著，但部分结果在Bonferroni校正下不显著，这表明结果的稳健性存在一定边界。</w:t>
      </w:r>
    </w:p>
    <w:p>
      <w:r>
        <w:rPr>
          <w:rFonts w:ascii="Times New Roman" w:hAnsi="Times New Roman" w:eastAsia="宋体"/>
          <w:b w:val="0"/>
          <w:color w:val="000000"/>
          <w:sz w:val="21"/>
        </w:rPr>
        <w:t>尽管存在这些局限，本文的研究仍然具有重要价值。首先，本文提供了关于AI技术事件产业链反应的系统证据，填补了文献空白。其次，本文采用的事件前分类冻结、多重检验校正和识别边界诚实披露等方法，为后续研究提供了可借鉴的研究范式。最后，本文的发现对理解技术冲击在资本市场中的传导机制具有启发意义。</w:t>
      </w:r>
    </w:p>
    <w:p>
      <w:pPr>
        <w:pStyle w:val="Heading1"/>
        <w:ind w:firstLine="0"/>
      </w:pPr>
      <w:r>
        <w:t>七、结论与启示</w:t>
      </w:r>
    </w:p>
    <w:p>
      <w:pPr>
        <w:pStyle w:val="Heading2"/>
        <w:ind w:firstLine="0"/>
      </w:pPr>
      <w:r>
        <w:t>（一）主要结论</w:t>
      </w:r>
    </w:p>
    <w:p>
      <w:r>
        <w:rPr>
          <w:rFonts w:ascii="Times New Roman" w:hAnsi="Times New Roman" w:eastAsia="宋体"/>
          <w:b w:val="0"/>
          <w:color w:val="000000"/>
          <w:sz w:val="21"/>
        </w:rPr>
        <w:t>本文以DeepSeek-V3于2024年12月26日发布为核心事件，选取60家A股人工智能产业链上市公司，采用日度事件研究方法，考察了技术模型发布对产业链不同环节的差异化市场反应。主要结论如下：</w:t>
      </w:r>
    </w:p>
    <w:p>
      <w:r>
        <w:rPr>
          <w:rFonts w:ascii="Times New Roman" w:hAnsi="Times New Roman" w:eastAsia="宋体"/>
          <w:b w:val="0"/>
          <w:color w:val="000000"/>
          <w:sz w:val="21"/>
        </w:rPr>
        <w:t>第一，DeepSeek模型发布后，AI产业链上游企业的短期累计异常收益显著高于下游企业。在主规格（沪深300基准、[-1,+1]窗口）下，上游比下游高3.73个百分点，在BH-FDR多重检验校正后仍然显著。这一发现支持了本文的核心假设，即技术冲击的市场反应沿产业链存在系统性差异。</w:t>
      </w:r>
    </w:p>
    <w:p>
      <w:r>
        <w:rPr>
          <w:rFonts w:ascii="Times New Roman" w:hAnsi="Times New Roman" w:eastAsia="宋体"/>
          <w:b w:val="0"/>
          <w:color w:val="000000"/>
          <w:sz w:val="21"/>
        </w:rPr>
        <w:t>第二，存在显著的产业链梯度效应。将产业链位置编码为下游=0、中游=1、上游=2的有序变量后，梯度检验显示每上移一个层级，累计异常收益提高1.92个百分点，在1%水平上显著。梯度检验利用了全部三层信息，检验效率高于上下游两两比较。</w:t>
      </w:r>
    </w:p>
    <w:p>
      <w:r>
        <w:rPr>
          <w:rFonts w:ascii="Times New Roman" w:hAnsi="Times New Roman" w:eastAsia="宋体"/>
          <w:b w:val="0"/>
          <w:color w:val="000000"/>
          <w:sz w:val="21"/>
        </w:rPr>
        <w:t>第三，结果在多种稳健性检验下保持稳定。替换市场基准（上证综指、深证成指）、扩大事件窗口（[-3,+3]、[-5,+5]）、使用不同分类版本、剔除异常值，核心结论均保持一致。特别是V3事件长窗口的梯度效应更强，表明市场反应在事件后数天内持续扩散。</w:t>
      </w:r>
    </w:p>
    <w:p>
      <w:r>
        <w:rPr>
          <w:rFonts w:ascii="Times New Roman" w:hAnsi="Times New Roman" w:eastAsia="宋体"/>
          <w:b w:val="0"/>
          <w:color w:val="000000"/>
          <w:sz w:val="21"/>
        </w:rPr>
        <w:t>第四，DeepSeek-R1补充事件呈现出有趣的动态模式。短窗口内R1事件的梯度效应甚至强于V3，但长窗口出现反转，即上游企业表现反而不如下游。这可能反映了短期过度反应与修正、预期重新校准或板块轮动等机制。</w:t>
      </w:r>
    </w:p>
    <w:p>
      <w:r>
        <w:rPr>
          <w:rFonts w:ascii="Times New Roman" w:hAnsi="Times New Roman" w:eastAsia="宋体"/>
          <w:b w:val="0"/>
          <w:color w:val="000000"/>
          <w:sz w:val="21"/>
        </w:rPr>
        <w:t>第五，产业链梯度效应存在异质性。大规模企业的梯度效应更显著，可能与注意力机制、流动性和机构持股等因素有关。科创板企业的梯度效应最强，创业板次之，主板最弱。盈利能力强的企业梯度效应更显著。产权性质的异质性不显著。</w:t>
      </w:r>
    </w:p>
    <w:p>
      <w:r>
        <w:rPr>
          <w:rFonts w:ascii="Times New Roman" w:hAnsi="Times New Roman" w:eastAsia="宋体"/>
          <w:b w:val="0"/>
          <w:color w:val="000000"/>
          <w:sz w:val="21"/>
        </w:rPr>
        <w:t>第六，基本面预期和投资者注意力是两个可能的传导渠道。上游企业分析师盈利预测上调幅度更大、搜索量增幅更高，为两个渠道提供了初步证据。但两者的相对贡献仍需进一步研究。</w:t>
      </w:r>
    </w:p>
    <w:p>
      <w:pPr>
        <w:pStyle w:val="Heading2"/>
        <w:ind w:firstLine="0"/>
      </w:pPr>
      <w:r>
        <w:t>（二）政策启示</w:t>
      </w:r>
    </w:p>
    <w:p>
      <w:r>
        <w:rPr>
          <w:rFonts w:ascii="Times New Roman" w:hAnsi="Times New Roman" w:eastAsia="宋体"/>
          <w:b w:val="0"/>
          <w:color w:val="000000"/>
          <w:sz w:val="21"/>
        </w:rPr>
        <w:t>本文的研究发现具有以下政策启示：</w:t>
      </w:r>
    </w:p>
    <w:p>
      <w:r>
        <w:rPr>
          <w:rFonts w:ascii="Times New Roman" w:hAnsi="Times New Roman" w:eastAsia="宋体"/>
          <w:b w:val="0"/>
          <w:color w:val="000000"/>
          <w:sz w:val="21"/>
        </w:rPr>
        <w:t>第一，监管层应关注AI概念炒作中的市场波动风险。本文的发现表明，重大AI技术事件会引发产业链相关股票的剧烈波动，且不同环节的反应幅度差异显著。这种波动中可能包含非理性炒作成分，特别是在概念热度较高的时期。监管层应加强信息披露监管，打击概念炒作和市场操纵，保护投资者利益。</w:t>
      </w:r>
    </w:p>
    <w:p>
      <w:r>
        <w:rPr>
          <w:rFonts w:ascii="Times New Roman" w:hAnsi="Times New Roman" w:eastAsia="宋体"/>
          <w:b w:val="0"/>
          <w:color w:val="000000"/>
          <w:sz w:val="21"/>
        </w:rPr>
        <w:t>第二，产业政策制定应充分考虑产业链的传导规律。AI技术发展对不同产业链环节的影响是不均衡的，上游基础设施可能率先受益，而下游应用的价值实现需要更长时间。政策制定者在制定AI产业支持政策时，应兼顾产业链各环节的协调发展，避免过度集中于上游硬件而忽视下游应用的培育。同时，应关注产业链发展的动态平衡，避免上游产能过剩和下游应用不足的结构性问题。</w:t>
      </w:r>
    </w:p>
    <w:p>
      <w:r>
        <w:rPr>
          <w:rFonts w:ascii="Times New Roman" w:hAnsi="Times New Roman" w:eastAsia="宋体"/>
          <w:b w:val="0"/>
          <w:color w:val="000000"/>
          <w:sz w:val="21"/>
        </w:rPr>
        <w:t>第三，投资者教育应强调理性投资和长期价值。AI技术确实具有革命性潜力，但短期股价上涨未必反映长期价值的真实提升。投资者应理性看待AI概念，避免盲目追涨杀跌，关注企业的基本面和长期竞争力。特别是对于下游应用企业，其价值兑现需要更长的商业化周期，投资者应有更长远的视角。</w:t>
      </w:r>
    </w:p>
    <w:p>
      <w:r>
        <w:rPr>
          <w:rFonts w:ascii="Times New Roman" w:hAnsi="Times New Roman" w:eastAsia="宋体"/>
          <w:b w:val="0"/>
          <w:color w:val="000000"/>
          <w:sz w:val="21"/>
        </w:rPr>
        <w:t>第四，企业应合理管理市场预期。AI产业链企业在面对技术热点时，应客观披露业务进展和实际影响，避免过度营销和概念炒作。同时，企业应扎实推进技术研发和商业落地，以真实的业绩增长支撑估值，而非依赖概念炒作。</w:t>
      </w:r>
    </w:p>
    <w:p>
      <w:r>
        <w:rPr>
          <w:rFonts w:ascii="Times New Roman" w:hAnsi="Times New Roman" w:eastAsia="宋体"/>
          <w:b w:val="0"/>
          <w:color w:val="000000"/>
          <w:sz w:val="21"/>
        </w:rPr>
        <w:t>第五，金融市场应更好地服务于科技创新。本文的研究表明，资本市场能够对技术创新做出快速反应，发挥价格发现和资源配置功能。监管层应进一步完善资本市场制度，提高市场效率，使资本市场更好地服务于科技创新和产业升级。特别是对于科创板、创业板等服务科技创新的板块，应继续深化改革，支持更多优质科技企业发展。</w:t>
      </w:r>
    </w:p>
    <w:p>
      <w:pPr>
        <w:pStyle w:val="Heading2"/>
        <w:ind w:firstLine="0"/>
      </w:pPr>
      <w:r>
        <w:t>（三）研究局限与未来方向</w:t>
      </w:r>
    </w:p>
    <w:p>
      <w:r>
        <w:rPr>
          <w:rFonts w:ascii="Times New Roman" w:hAnsi="Times New Roman" w:eastAsia="宋体"/>
          <w:b w:val="0"/>
          <w:color w:val="000000"/>
          <w:sz w:val="21"/>
        </w:rPr>
        <w:t>本文的研究为理解AI技术事件的产业链市场反应提供了初步证据，但仍有许多问题值得未来研究深入探讨：</w:t>
      </w:r>
    </w:p>
    <w:p>
      <w:r>
        <w:rPr>
          <w:rFonts w:ascii="Times New Roman" w:hAnsi="Times New Roman" w:eastAsia="宋体"/>
          <w:b w:val="0"/>
          <w:color w:val="000000"/>
          <w:sz w:val="21"/>
        </w:rPr>
        <w:t>第一，机制识别。本文提出了基本面预期和投资者注意力两个可能的渠道，但未能精确量化各自的贡献。未来研究可以利用搜索指数、社交媒体数据、分析师预测修正、机构持仓变化等更丰富的数据，更深入地探讨传导机制。此外，还可以利用自然实验或准自然实验设计，更清晰地识别不同渠道的因果效应。</w:t>
      </w:r>
    </w:p>
    <w:p>
      <w:r>
        <w:rPr>
          <w:rFonts w:ascii="Times New Roman" w:hAnsi="Times New Roman" w:eastAsia="宋体"/>
          <w:b w:val="0"/>
          <w:color w:val="000000"/>
          <w:sz w:val="21"/>
        </w:rPr>
        <w:t>第二，长期效应。本文主要关注短期市场反应，但AI技术对企业价值的长期影响可能更为重要。未来研究可以考察更长时间窗口内的价格和基本面变化，评估短期市场反应的合理性和可持续性。特别是，可以跟踪企业的实际业绩变化，检验市场预期是否在后续得到验证。</w:t>
      </w:r>
    </w:p>
    <w:p>
      <w:r>
        <w:rPr>
          <w:rFonts w:ascii="Times New Roman" w:hAnsi="Times New Roman" w:eastAsia="宋体"/>
          <w:b w:val="0"/>
          <w:color w:val="000000"/>
          <w:sz w:val="21"/>
        </w:rPr>
        <w:t>第三，跨国比较。本文研究的是中国A股市场的反应，未来研究可以比较不同国家市场的反应模式，探讨制度环境、投资者结构和技术发展阶段的影响。例如，可以比较中美市场对同一AI事件的反应差异，分析不同市场的定价效率和投资者行为差异。</w:t>
      </w:r>
    </w:p>
    <w:p>
      <w:r>
        <w:rPr>
          <w:rFonts w:ascii="Times New Roman" w:hAnsi="Times New Roman" w:eastAsia="宋体"/>
          <w:b w:val="0"/>
          <w:color w:val="000000"/>
          <w:sz w:val="21"/>
        </w:rPr>
        <w:t>第四，技术类型异质性。不同类型的AI技术突破（如大语言模型、多模态模型、AI芯片、机器人等）可能产生不同的产业链反应模式。未来研究可以系统比较不同类型技术事件的影响，深化对技术冲击传导规律的理解。</w:t>
      </w:r>
    </w:p>
    <w:p>
      <w:r>
        <w:rPr>
          <w:rFonts w:ascii="Times New Roman" w:hAnsi="Times New Roman" w:eastAsia="宋体"/>
          <w:b w:val="0"/>
          <w:color w:val="000000"/>
          <w:sz w:val="21"/>
        </w:rPr>
        <w:t>第五，产业链网络结构。本文采用简单的三层分类，未来研究可以利用更精细的投入产出关系和供应链网络数据，构建更复杂的产业链网络，考察冲击在网络中的传播路径和放大效应。特别是，可以利用图论和网络分析方法，研究企业在产业链网络中的位置（如中心性、中介性）如何影响其市场反应。</w:t>
      </w:r>
    </w:p>
    <w:p>
      <w:r>
        <w:rPr>
          <w:rFonts w:ascii="Times New Roman" w:hAnsi="Times New Roman" w:eastAsia="宋体"/>
          <w:b w:val="0"/>
          <w:color w:val="000000"/>
          <w:sz w:val="21"/>
        </w:rPr>
        <w:t>第六，企业层面异质性。本文考察了规模、产权、板块等基本异质性，未来研究可以深入考察更多企业层面特征的影响，如研发投入、专利数量、管理层能力、公司治理等。这有助于更全面地理解技术冲击的异质性影响。</w:t>
      </w:r>
    </w:p>
    <w:p>
      <w:r>
        <w:rPr>
          <w:rFonts w:ascii="Times New Roman" w:hAnsi="Times New Roman" w:eastAsia="宋体"/>
          <w:b w:val="0"/>
          <w:color w:val="000000"/>
          <w:sz w:val="21"/>
        </w:rPr>
        <w:t>总之，AI技术发展对资本市场的影响是一个充满活力的研究领域。随着AI技术的持续进步和产业链的不断演化，相关研究也将不断深化。本文提供的事件前分类冻结、多重检验校正和识别边界诚实披露等方法，希望能为后续研究提供有益参考。</w:t>
      </w:r>
    </w:p>
    <w:p>
      <w:pPr>
        <w:pStyle w:val="Heading1"/>
        <w:ind w:firstLine="0"/>
      </w:pPr>
      <w:r>
        <w:t>参考文献</w:t>
      </w:r>
    </w:p>
    <w:p>
      <w:pPr>
        <w:spacing w:after="60"/>
        <w:ind w:left="420" w:hanging="420"/>
      </w:pPr>
      <w:r>
        <w:rPr>
          <w:rFonts w:ascii="Times New Roman" w:hAnsi="Times New Roman" w:eastAsia="宋体"/>
          <w:b w:val="0"/>
          <w:color w:val="000000"/>
          <w:sz w:val="19"/>
        </w:rPr>
        <w:t>姜富伟, 孟令超, 唐国豪. 媒体文本情绪与股票回报预测[J]. 经济学(季刊), 2021, 21(4): 1255-1276.</w:t>
      </w:r>
    </w:p>
    <w:p>
      <w:pPr>
        <w:spacing w:after="60"/>
        <w:ind w:left="420" w:hanging="420"/>
      </w:pPr>
      <w:r>
        <w:rPr>
          <w:rFonts w:ascii="Times New Roman" w:hAnsi="Times New Roman" w:eastAsia="宋体"/>
          <w:b w:val="0"/>
          <w:color w:val="000000"/>
          <w:sz w:val="19"/>
        </w:rPr>
        <w:t>乔小勇, 李晨曦, 吴晓雪. 人工智能应用、制造业出口企业高质量发展与生产网络溢出[J]. 北京理工大学学报(社会科学版), 2025, 27(1): 78-92.</w:t>
      </w:r>
    </w:p>
    <w:p>
      <w:pPr>
        <w:spacing w:after="60"/>
        <w:ind w:left="420" w:hanging="420"/>
      </w:pPr>
      <w:r>
        <w:rPr>
          <w:rFonts w:ascii="Times New Roman" w:hAnsi="Times New Roman" w:eastAsia="宋体"/>
          <w:b w:val="0"/>
          <w:color w:val="000000"/>
          <w:sz w:val="19"/>
        </w:rPr>
        <w:t>吴世农, 林晓辉, 李柏宏, 等. 智能财务分析与诊断机器人的开发及实证检验——来自我国A股上市公司的经验证据[J]. 证券市场导报, 2021(2): 4-15.</w:t>
      </w:r>
    </w:p>
    <w:p>
      <w:pPr>
        <w:spacing w:after="60"/>
        <w:ind w:left="420" w:hanging="420"/>
      </w:pPr>
      <w:r>
        <w:rPr>
          <w:rFonts w:ascii="Times New Roman" w:hAnsi="Times New Roman" w:eastAsia="宋体"/>
          <w:b w:val="0"/>
          <w:color w:val="000000"/>
          <w:sz w:val="19"/>
        </w:rPr>
        <w:t>杨鹏, 张帆, 刘海洋. 企业数字技术应用与创新效率提升[J]. 外国经济与管理, 2024, 46(3): 45-60.</w:t>
      </w:r>
    </w:p>
    <w:p>
      <w:pPr>
        <w:spacing w:after="60"/>
        <w:ind w:left="420" w:hanging="420"/>
      </w:pPr>
      <w:r>
        <w:rPr>
          <w:rFonts w:ascii="Times New Roman" w:hAnsi="Times New Roman" w:eastAsia="宋体"/>
          <w:b w:val="0"/>
          <w:color w:val="000000"/>
          <w:sz w:val="19"/>
        </w:rPr>
        <w:t>杨望, 徐慧琳, 王钰淇. 构建GPT大模型的经济循环体系：理论框架与发展路径[J]. 新疆师范大学学报(哲学社会科学版), 2023, 44(5): 1-14.</w:t>
      </w:r>
    </w:p>
    <w:p>
      <w:pPr>
        <w:spacing w:after="60"/>
        <w:ind w:left="420" w:hanging="420"/>
      </w:pPr>
      <w:r>
        <w:rPr>
          <w:rFonts w:ascii="Times New Roman" w:hAnsi="Times New Roman" w:eastAsia="宋体"/>
          <w:b w:val="0"/>
          <w:color w:val="000000"/>
          <w:sz w:val="19"/>
        </w:rPr>
        <w:t>姚加权, 张然, 胡诗雨. 语调情绪及市场影响——基于金融情绪词典[J]. 管理科学学报, 2021, 24(8): 78-95.</w:t>
      </w:r>
    </w:p>
    <w:p>
      <w:pPr>
        <w:spacing w:after="60"/>
        <w:ind w:left="420" w:hanging="420"/>
      </w:pPr>
      <w:r>
        <w:rPr>
          <w:rFonts w:ascii="Times New Roman" w:hAnsi="Times New Roman" w:eastAsia="宋体"/>
          <w:b w:val="0"/>
          <w:color w:val="000000"/>
          <w:sz w:val="19"/>
        </w:rPr>
        <w:t>张誉夫, 谢建国. 人工智能应用如何赋能企业供应链嵌入[J]. 财经研究, 2025, 51(2): 34-48.</w:t>
      </w:r>
    </w:p>
    <w:p>
      <w:pPr>
        <w:spacing w:after="60"/>
        <w:ind w:left="420" w:hanging="420"/>
      </w:pPr>
      <w:r>
        <w:rPr>
          <w:rFonts w:ascii="Times New Roman" w:hAnsi="Times New Roman" w:eastAsia="宋体"/>
          <w:b w:val="0"/>
          <w:color w:val="000000"/>
          <w:sz w:val="19"/>
        </w:rPr>
        <w:t>朱民, 郑重阳, 张冲. 生成式AI的产业革命：宏观、结构与政策[J]. 国际经济评论, 2023(4): 9-28.</w:t>
      </w:r>
    </w:p>
    <w:p>
      <w:pPr>
        <w:spacing w:after="60"/>
        <w:ind w:left="420" w:hanging="420"/>
      </w:pPr>
      <w:r>
        <w:rPr>
          <w:rFonts w:ascii="Times New Roman" w:hAnsi="Times New Roman" w:eastAsia="宋体"/>
          <w:b w:val="0"/>
          <w:color w:val="000000"/>
          <w:sz w:val="19"/>
        </w:rPr>
        <w:t>陈劲, 王皓白. 生成式人工智能与创新管理：研究范式转变与前沿议题[J]. 管理世界, 2023, 39(10): 1-16.</w:t>
      </w:r>
    </w:p>
    <w:p>
      <w:pPr>
        <w:spacing w:after="60"/>
        <w:ind w:left="420" w:hanging="420"/>
      </w:pPr>
      <w:r>
        <w:rPr>
          <w:rFonts w:ascii="Times New Roman" w:hAnsi="Times New Roman" w:eastAsia="宋体"/>
          <w:b w:val="0"/>
          <w:color w:val="000000"/>
          <w:sz w:val="19"/>
        </w:rPr>
        <w:t>黄群慧, 贺俊. 中国制造业高质量发展的路径与对策[J]. 中国工业经济, 2019(9): 24-42.</w:t>
      </w:r>
    </w:p>
    <w:p>
      <w:pPr>
        <w:ind w:firstLine="0"/>
      </w:pPr>
      <w:r>
        <w:rPr>
          <w:rFonts w:ascii="Times New Roman" w:hAnsi="Times New Roman" w:eastAsia="宋体"/>
          <w:b w:val="0"/>
          <w:i w:val="0"/>
          <w:color w:val="000000"/>
          <w:sz w:val="21"/>
        </w:rPr>
      </w:r>
    </w:p>
    <w:p>
      <w:pPr>
        <w:spacing w:after="60"/>
        <w:ind w:left="420" w:hanging="420"/>
      </w:pPr>
      <w:r>
        <w:rPr>
          <w:rFonts w:ascii="Times New Roman" w:hAnsi="Times New Roman" w:eastAsia="宋体"/>
          <w:b w:val="0"/>
          <w:color w:val="000000"/>
          <w:sz w:val="19"/>
        </w:rPr>
        <w:t>Abbas N, Conde Vitureira G E, Diaby M, et al. Advances in Artificial Intelligence: Implications for Capital Market Activities[R]. IMF Staff Discussion Note, 2024.</w:t>
      </w:r>
    </w:p>
    <w:p>
      <w:pPr>
        <w:spacing w:after="60"/>
        <w:ind w:left="420" w:hanging="420"/>
      </w:pPr>
      <w:r>
        <w:rPr>
          <w:rFonts w:ascii="Times New Roman" w:hAnsi="Times New Roman" w:eastAsia="宋体"/>
          <w:b w:val="0"/>
          <w:color w:val="000000"/>
          <w:sz w:val="19"/>
        </w:rPr>
        <w:t>Aboody D, Lehavy R, Trueman B. Limited Attention and the Earnings Announcement Returns of Past Stock Market Winners[J]. Review of Accounting Studies, 2010, 15(2): 317-345.</w:t>
      </w:r>
    </w:p>
    <w:p>
      <w:pPr>
        <w:spacing w:after="60"/>
        <w:ind w:left="420" w:hanging="420"/>
      </w:pPr>
      <w:r>
        <w:rPr>
          <w:rFonts w:ascii="Times New Roman" w:hAnsi="Times New Roman" w:eastAsia="宋体"/>
          <w:b w:val="0"/>
          <w:color w:val="000000"/>
          <w:sz w:val="19"/>
        </w:rPr>
        <w:t>Alfaro-Ureña I, Manelici I, Vasquez J P. The Effects of Joining Multinational Supply Chains: New Evidence from Firm-to-Firm Input-Output Linkages[J]. The Quarterly Journal of Economics, 2022, 137(3): 1445-1500.</w:t>
      </w:r>
    </w:p>
    <w:p>
      <w:pPr>
        <w:spacing w:after="60"/>
        <w:ind w:left="420" w:hanging="420"/>
      </w:pPr>
      <w:r>
        <w:rPr>
          <w:rFonts w:ascii="Times New Roman" w:hAnsi="Times New Roman" w:eastAsia="宋体"/>
          <w:b w:val="0"/>
          <w:color w:val="000000"/>
          <w:sz w:val="19"/>
        </w:rPr>
        <w:t>Andries M, Bianchi M, Huynh K, et al. Return Predictability, Expectations, and Investment: Experimental Evidence[J]. The Review of Financial Studies, 2025, 38(2): 456-492.</w:t>
      </w:r>
    </w:p>
    <w:p>
      <w:pPr>
        <w:spacing w:after="60"/>
        <w:ind w:left="420" w:hanging="420"/>
      </w:pPr>
      <w:r>
        <w:rPr>
          <w:rFonts w:ascii="Times New Roman" w:hAnsi="Times New Roman" w:eastAsia="宋体"/>
          <w:b w:val="0"/>
          <w:color w:val="000000"/>
          <w:sz w:val="19"/>
        </w:rPr>
        <w:t>Auer R, Iwadate B, Schrimpf A, et al. Global Production Linkages and Stock Market Comovement[R]. CESifo Working Paper No. 10492, 2023.</w:t>
      </w:r>
    </w:p>
    <w:p>
      <w:pPr>
        <w:spacing w:after="60"/>
        <w:ind w:left="420" w:hanging="420"/>
      </w:pPr>
      <w:r>
        <w:rPr>
          <w:rFonts w:ascii="Times New Roman" w:hAnsi="Times New Roman" w:eastAsia="宋体"/>
          <w:b w:val="0"/>
          <w:color w:val="000000"/>
          <w:sz w:val="19"/>
        </w:rPr>
        <w:t>Ballinari D, Audrino F, Sigrist F. When Does Attention Matter? The Impact of News on Volatility[J]. Journal of Financial Markets, 2021, 55: 100605.</w:t>
      </w:r>
    </w:p>
    <w:p>
      <w:pPr>
        <w:spacing w:after="60"/>
        <w:ind w:left="420" w:hanging="420"/>
      </w:pPr>
      <w:r>
        <w:rPr>
          <w:rFonts w:ascii="Times New Roman" w:hAnsi="Times New Roman" w:eastAsia="宋体"/>
          <w:b w:val="0"/>
          <w:color w:val="000000"/>
          <w:sz w:val="19"/>
        </w:rPr>
        <w:t>Barber B M, Odean T. All That Glitters: The Effect of Attention and News on the Buying Behavior of Individual and Institutional Investors[J]. The Review of Financial Studies, 2008, 21(2): 785-818.</w:t>
      </w:r>
    </w:p>
    <w:p>
      <w:pPr>
        <w:spacing w:after="60"/>
        <w:ind w:left="420" w:hanging="420"/>
      </w:pPr>
      <w:r>
        <w:rPr>
          <w:rFonts w:ascii="Times New Roman" w:hAnsi="Times New Roman" w:eastAsia="宋体"/>
          <w:b w:val="0"/>
          <w:color w:val="000000"/>
          <w:sz w:val="19"/>
        </w:rPr>
        <w:t>Benjamini Y, Hochberg Y. Controlling the False Discovery Rate: A Practical and Powerful Approach to Multiple Testing[J]. Journal of the Royal Statistical Society: Series B (Methodological), 1995, 57(1): 289-300.</w:t>
      </w:r>
    </w:p>
    <w:p>
      <w:pPr>
        <w:spacing w:after="60"/>
        <w:ind w:left="420" w:hanging="420"/>
      </w:pPr>
      <w:r>
        <w:rPr>
          <w:rFonts w:ascii="Times New Roman" w:hAnsi="Times New Roman" w:eastAsia="宋体"/>
          <w:b w:val="0"/>
          <w:color w:val="000000"/>
          <w:sz w:val="19"/>
        </w:rPr>
        <w:t>Bisetti E, She Q, Zaldokas A. ESG Shocks in Global Supply Chains[J]. The Review of Financial Studies, 2026, 39(1): 234-278.</w:t>
      </w:r>
    </w:p>
    <w:p>
      <w:pPr>
        <w:spacing w:after="60"/>
        <w:ind w:left="420" w:hanging="420"/>
      </w:pPr>
      <w:r>
        <w:rPr>
          <w:rFonts w:ascii="Times New Roman" w:hAnsi="Times New Roman" w:eastAsia="宋体"/>
          <w:b w:val="0"/>
          <w:color w:val="000000"/>
          <w:sz w:val="19"/>
        </w:rPr>
        <w:t>Blomkvist M, Qiu Y, Zhao Y. Automation and Stock Prices: The Case of ChatGPT[R]. Working Paper, 2024.</w:t>
      </w:r>
    </w:p>
    <w:p>
      <w:pPr>
        <w:spacing w:after="60"/>
        <w:ind w:left="420" w:hanging="420"/>
      </w:pPr>
      <w:r>
        <w:rPr>
          <w:rFonts w:ascii="Times New Roman" w:hAnsi="Times New Roman" w:eastAsia="宋体"/>
          <w:b w:val="0"/>
          <w:color w:val="000000"/>
          <w:sz w:val="19"/>
        </w:rPr>
        <w:t>Boehmer E, Musumeci J, Poulsen A B. Event-Study Methodology under Conditions of Event-Induced Variance[J]. Journal of Financial Economics, 1991, 30(2): 253-272.</w:t>
      </w:r>
    </w:p>
    <w:p>
      <w:pPr>
        <w:spacing w:after="60"/>
        <w:ind w:left="420" w:hanging="420"/>
      </w:pPr>
      <w:r>
        <w:rPr>
          <w:rFonts w:ascii="Times New Roman" w:hAnsi="Times New Roman" w:eastAsia="宋体"/>
          <w:b w:val="0"/>
          <w:color w:val="000000"/>
          <w:sz w:val="19"/>
        </w:rPr>
        <w:t>Borusyak K, Jaravel X, Spiess J. Revisiting Event Study Designs: Robust and Efficient Estimation[J]. The Review of Economic Studies, 2024, 91(2): 623-659.</w:t>
      </w:r>
    </w:p>
    <w:p>
      <w:pPr>
        <w:spacing w:after="60"/>
        <w:ind w:left="420" w:hanging="420"/>
      </w:pPr>
      <w:r>
        <w:rPr>
          <w:rFonts w:ascii="Times New Roman" w:hAnsi="Times New Roman" w:eastAsia="宋体"/>
          <w:b w:val="0"/>
          <w:color w:val="000000"/>
          <w:sz w:val="19"/>
        </w:rPr>
        <w:t>Bybee M, Kelly B, Manela A, et al. Business News and Business Cycles[J]. The Journal of Finance, 2024, 79(2): 825-878.</w:t>
      </w:r>
    </w:p>
    <w:p>
      <w:pPr>
        <w:spacing w:after="60"/>
        <w:ind w:left="420" w:hanging="420"/>
      </w:pPr>
      <w:r>
        <w:rPr>
          <w:rFonts w:ascii="Times New Roman" w:hAnsi="Times New Roman" w:eastAsia="宋体"/>
          <w:b w:val="0"/>
          <w:color w:val="000000"/>
          <w:sz w:val="19"/>
        </w:rPr>
        <w:t>Ca' Zorzi M, Lopardo G, Manu A S. Verba Volant, Transcripta Manent: What Corporate Earnings Calls Reveal about the AI Stock Rally[R]. ECB Working Paper No. 3093, 2024.</w:t>
      </w:r>
    </w:p>
    <w:p>
      <w:pPr>
        <w:spacing w:after="60"/>
        <w:ind w:left="420" w:hanging="420"/>
      </w:pPr>
      <w:r>
        <w:rPr>
          <w:rFonts w:ascii="Times New Roman" w:hAnsi="Times New Roman" w:eastAsia="宋体"/>
          <w:b w:val="0"/>
          <w:color w:val="000000"/>
          <w:sz w:val="19"/>
        </w:rPr>
        <w:t>Callaway B, Sant'Anna P H C. Difference-in-Differences with Multiple Time Periods[J]. Journal of Econometrics, 2021, 225(2): 200-230.</w:t>
      </w:r>
    </w:p>
    <w:p>
      <w:pPr>
        <w:spacing w:after="60"/>
        <w:ind w:left="420" w:hanging="420"/>
      </w:pPr>
      <w:r>
        <w:rPr>
          <w:rFonts w:ascii="Times New Roman" w:hAnsi="Times New Roman" w:eastAsia="宋体"/>
          <w:b w:val="0"/>
          <w:color w:val="000000"/>
          <w:sz w:val="19"/>
        </w:rPr>
        <w:t>Carvalho V M, Nirei M, Saito Y, et al. Supply Chain Disruptions: Evidence from the Great East Japan Earthquake[J]. The Quarterly Journal of Economics, 2021, 136(2): 1255-1321.</w:t>
      </w:r>
    </w:p>
    <w:p>
      <w:pPr>
        <w:spacing w:after="60"/>
        <w:ind w:left="420" w:hanging="420"/>
      </w:pPr>
      <w:r>
        <w:rPr>
          <w:rFonts w:ascii="Times New Roman" w:hAnsi="Times New Roman" w:eastAsia="宋体"/>
          <w:b w:val="0"/>
          <w:color w:val="000000"/>
          <w:sz w:val="19"/>
        </w:rPr>
        <w:t>Charles C. Memory Moves Markets[J]. The Review of Financial Studies, 2025, 38(3): 892-935.</w:t>
      </w:r>
    </w:p>
    <w:p>
      <w:pPr>
        <w:spacing w:after="60"/>
        <w:ind w:left="420" w:hanging="420"/>
      </w:pPr>
      <w:r>
        <w:rPr>
          <w:rFonts w:ascii="Times New Roman" w:hAnsi="Times New Roman" w:eastAsia="宋体"/>
          <w:b w:val="0"/>
          <w:color w:val="000000"/>
          <w:sz w:val="19"/>
        </w:rPr>
        <w:t>Chen B, Wu Z, Zhao R. From Fiction to Fact: The Growing Role of Generative AI in Business and Finance[J]. Journal of Chinese Economic and Business Studies, 2023, 21(4): 387-408.</w:t>
      </w:r>
    </w:p>
    <w:p>
      <w:pPr>
        <w:spacing w:after="60"/>
        <w:ind w:left="420" w:hanging="420"/>
      </w:pPr>
      <w:r>
        <w:rPr>
          <w:rFonts w:ascii="Times New Roman" w:hAnsi="Times New Roman" w:eastAsia="宋体"/>
          <w:b w:val="0"/>
          <w:color w:val="000000"/>
          <w:sz w:val="19"/>
        </w:rPr>
        <w:t>Cheng Q, Lin P, Zhao Y. Does Generative AI Facilitate Investor Trading? Evidence from ChatGPT Outages[R]. SMU School of Accountancy Research Paper, 2024.</w:t>
      </w:r>
    </w:p>
    <w:p>
      <w:pPr>
        <w:spacing w:after="60"/>
        <w:ind w:left="420" w:hanging="420"/>
      </w:pPr>
      <w:r>
        <w:rPr>
          <w:rFonts w:ascii="Times New Roman" w:hAnsi="Times New Roman" w:eastAsia="宋体"/>
          <w:b w:val="0"/>
          <w:color w:val="000000"/>
          <w:sz w:val="19"/>
        </w:rPr>
        <w:t>Cohen L, Frazzini A. Economic Links and Predictable Returns[J]. The Journal of Finance, 2008, 63(4): 1977-2011.</w:t>
      </w:r>
    </w:p>
    <w:p>
      <w:pPr>
        <w:spacing w:after="60"/>
        <w:ind w:left="420" w:hanging="420"/>
      </w:pPr>
      <w:r>
        <w:rPr>
          <w:rFonts w:ascii="Times New Roman" w:hAnsi="Times New Roman" w:eastAsia="宋体"/>
          <w:b w:val="0"/>
          <w:color w:val="000000"/>
          <w:sz w:val="19"/>
        </w:rPr>
        <w:t>Curtis A, Richardson G, Schmardebeck R. Investor Attention and the Pricing of Earnings News[J]. Journal of Accounting and Economics, 2022, 73(2): 101528.</w:t>
      </w:r>
    </w:p>
    <w:p>
      <w:pPr>
        <w:spacing w:after="60"/>
        <w:ind w:left="420" w:hanging="420"/>
      </w:pPr>
      <w:r>
        <w:rPr>
          <w:rFonts w:ascii="Times New Roman" w:hAnsi="Times New Roman" w:eastAsia="宋体"/>
          <w:b w:val="0"/>
          <w:color w:val="000000"/>
          <w:sz w:val="19"/>
        </w:rPr>
        <w:t>DeepSeek-AI, et al. DeepSeek-V3 Technical Report[EB/OL]. (2024-12-26)[2025-01-15]. https://arxiv.org/abs/2412.18569.</w:t>
      </w:r>
    </w:p>
    <w:p>
      <w:pPr>
        <w:spacing w:after="60"/>
        <w:ind w:left="420" w:hanging="420"/>
      </w:pPr>
      <w:r>
        <w:rPr>
          <w:rFonts w:ascii="Times New Roman" w:hAnsi="Times New Roman" w:eastAsia="宋体"/>
          <w:b w:val="0"/>
          <w:color w:val="000000"/>
          <w:sz w:val="19"/>
        </w:rPr>
        <w:t>DeepSeek-AI, et al. DeepSeek-R1: Incentivizing Reasoning Capability in LLMs via Reinforcement Learning[EB/OL]. (2025-01-20)[2025-02-01]. https://arxiv.org/abs/2501.12948.</w:t>
      </w:r>
    </w:p>
    <w:p>
      <w:pPr>
        <w:spacing w:after="60"/>
        <w:ind w:left="420" w:hanging="420"/>
      </w:pPr>
      <w:r>
        <w:rPr>
          <w:rFonts w:ascii="Times New Roman" w:hAnsi="Times New Roman" w:eastAsia="宋体"/>
          <w:b w:val="0"/>
          <w:color w:val="000000"/>
          <w:sz w:val="19"/>
        </w:rPr>
        <w:t>DellaVigna S, Pollet J M. Investor Inattention and Friday Earnings Announcements[J]. The Journal of Finance, 2009, 64(2): 709-749.</w:t>
      </w:r>
    </w:p>
    <w:p>
      <w:pPr>
        <w:spacing w:after="60"/>
        <w:ind w:left="420" w:hanging="420"/>
      </w:pPr>
      <w:r>
        <w:rPr>
          <w:rFonts w:ascii="Times New Roman" w:hAnsi="Times New Roman" w:eastAsia="宋体"/>
          <w:b w:val="0"/>
          <w:color w:val="000000"/>
          <w:sz w:val="19"/>
        </w:rPr>
        <w:t>Dhawan A, Putniņš T J. Attention to Information, Attention to Prices[J]. Journal of Financial Economics, 2023, 149(2): 373-395.</w:t>
      </w:r>
    </w:p>
    <w:p>
      <w:pPr>
        <w:spacing w:after="60"/>
        <w:ind w:left="420" w:hanging="420"/>
      </w:pPr>
      <w:r>
        <w:rPr>
          <w:rFonts w:ascii="Times New Roman" w:hAnsi="Times New Roman" w:eastAsia="宋体"/>
          <w:b w:val="0"/>
          <w:color w:val="000000"/>
          <w:sz w:val="19"/>
        </w:rPr>
        <w:t>Ecker F, Li X, Li Y, et al. How Stock Market Participants Use Generative Artificial Intelligence: Evidence from User-Platform Interaction Data[R]. Chicago Booth Research Paper, 2024.</w:t>
      </w:r>
    </w:p>
    <w:p>
      <w:pPr>
        <w:spacing w:after="60"/>
        <w:ind w:left="420" w:hanging="420"/>
      </w:pPr>
      <w:r>
        <w:rPr>
          <w:rFonts w:ascii="Times New Roman" w:hAnsi="Times New Roman" w:eastAsia="宋体"/>
          <w:b w:val="0"/>
          <w:color w:val="000000"/>
          <w:sz w:val="19"/>
        </w:rPr>
        <w:t>Eisfeldt A L, Schubert G, Zhang M B. Generative AI and Firm Values[R]. NBER Working Paper No. 31222, 2024.</w:t>
      </w:r>
    </w:p>
    <w:p>
      <w:pPr>
        <w:spacing w:after="60"/>
        <w:ind w:left="420" w:hanging="420"/>
      </w:pPr>
      <w:r>
        <w:rPr>
          <w:rFonts w:ascii="Times New Roman" w:hAnsi="Times New Roman" w:eastAsia="宋体"/>
          <w:b w:val="0"/>
          <w:color w:val="000000"/>
          <w:sz w:val="19"/>
        </w:rPr>
        <w:t>Guo D. Earnings Extrapolation and Predictable Stock Market Returns[J]. The Review of Financial Studies, 2025, 38(1): 123-165.</w:t>
      </w:r>
    </w:p>
    <w:p>
      <w:pPr>
        <w:spacing w:after="60"/>
        <w:ind w:left="420" w:hanging="420"/>
      </w:pPr>
      <w:r>
        <w:rPr>
          <w:rFonts w:ascii="Times New Roman" w:hAnsi="Times New Roman" w:eastAsia="宋体"/>
          <w:b w:val="0"/>
          <w:color w:val="000000"/>
          <w:sz w:val="19"/>
        </w:rPr>
        <w:t>Han Z. Silicon Disruption: An Event Study of DeepSeek R1's Breakthrough Impact on Semiconductor Markets[C]. SHS Web of Conferences, 2025, 191: 01030.</w:t>
      </w:r>
    </w:p>
    <w:p>
      <w:pPr>
        <w:spacing w:after="60"/>
        <w:ind w:left="420" w:hanging="420"/>
      </w:pPr>
      <w:r>
        <w:rPr>
          <w:rFonts w:ascii="Times New Roman" w:hAnsi="Times New Roman" w:eastAsia="宋体"/>
          <w:b w:val="0"/>
          <w:color w:val="000000"/>
          <w:sz w:val="19"/>
        </w:rPr>
        <w:t>Harvey C R, Liu Y, Zhu H. … and the Cross-Section of Expected Returns[J]. The Review of Financial Studies, 2016, 29(1): 5-68.</w:t>
      </w:r>
    </w:p>
    <w:p>
      <w:pPr>
        <w:spacing w:after="60"/>
        <w:ind w:left="420" w:hanging="420"/>
      </w:pPr>
      <w:r>
        <w:rPr>
          <w:rFonts w:ascii="Times New Roman" w:hAnsi="Times New Roman" w:eastAsia="宋体"/>
          <w:b w:val="0"/>
          <w:color w:val="000000"/>
          <w:sz w:val="19"/>
        </w:rPr>
        <w:t>Hirshleifer D, Lim S S, Teoh S H. Driven to Distraction: Extraneous Events and Underreaction to Earnings News[J]. The Journal of Finance, 2009, 64(5): 2289-2325.</w:t>
      </w:r>
    </w:p>
    <w:p>
      <w:pPr>
        <w:spacing w:after="60"/>
        <w:ind w:left="420" w:hanging="420"/>
      </w:pPr>
      <w:r>
        <w:rPr>
          <w:rFonts w:ascii="Times New Roman" w:hAnsi="Times New Roman" w:eastAsia="宋体"/>
          <w:b w:val="0"/>
          <w:color w:val="000000"/>
          <w:sz w:val="19"/>
        </w:rPr>
        <w:t>Ho L T, Gan C, Jin S, et al. Artificial Intelligence and Firm Performance: Does Machine Intelligence Shield Firms from Risks?[J]. Journal of Risk and Financial Management, 2022, 15(7): 302.</w:t>
      </w:r>
    </w:p>
    <w:p>
      <w:pPr>
        <w:spacing w:after="60"/>
        <w:ind w:left="420" w:hanging="420"/>
      </w:pPr>
      <w:r>
        <w:rPr>
          <w:rFonts w:ascii="Times New Roman" w:hAnsi="Times New Roman" w:eastAsia="宋体"/>
          <w:b w:val="0"/>
          <w:color w:val="000000"/>
          <w:sz w:val="19"/>
        </w:rPr>
        <w:t>Hötte K. Demand-Pull, Technology-Push, and the Direction of Technological Change[J]. Research Policy, 2023, 52(5): 104732.</w:t>
      </w:r>
    </w:p>
    <w:p>
      <w:pPr>
        <w:spacing w:after="60"/>
        <w:ind w:left="420" w:hanging="420"/>
      </w:pPr>
      <w:r>
        <w:rPr>
          <w:rFonts w:ascii="Times New Roman" w:hAnsi="Times New Roman" w:eastAsia="宋体"/>
          <w:b w:val="0"/>
          <w:color w:val="000000"/>
          <w:sz w:val="19"/>
        </w:rPr>
        <w:t>Kim A G, Muhn M, Nikolaev V V. Bloated Disclosures: Can ChatGPT Help Investors Process Information?[R]. Working Paper, 2023.</w:t>
      </w:r>
    </w:p>
    <w:p>
      <w:pPr>
        <w:spacing w:after="60"/>
        <w:ind w:left="420" w:hanging="420"/>
      </w:pPr>
      <w:r>
        <w:rPr>
          <w:rFonts w:ascii="Times New Roman" w:hAnsi="Times New Roman" w:eastAsia="宋体"/>
          <w:b w:val="0"/>
          <w:color w:val="000000"/>
          <w:sz w:val="19"/>
        </w:rPr>
        <w:t>Kirtac M, Germano F. Sentiment Trading with Large Language Models[J]. Finance Research Letters, 2024, 59: 104567.</w:t>
      </w:r>
    </w:p>
    <w:p>
      <w:pPr>
        <w:spacing w:after="60"/>
        <w:ind w:left="420" w:hanging="420"/>
      </w:pPr>
      <w:r>
        <w:rPr>
          <w:rFonts w:ascii="Times New Roman" w:hAnsi="Times New Roman" w:eastAsia="宋体"/>
          <w:b w:val="0"/>
          <w:color w:val="000000"/>
          <w:sz w:val="19"/>
        </w:rPr>
        <w:t>Kolari J W, Pynnönen S. Event Study Testing with Cross-sectional Correlation of Abnormal Returns[J]. The Review of Financial Studies, 2010, 23(11): 3996-4025.</w:t>
      </w:r>
    </w:p>
    <w:p>
      <w:pPr>
        <w:spacing w:after="60"/>
        <w:ind w:left="420" w:hanging="420"/>
      </w:pPr>
      <w:r>
        <w:rPr>
          <w:rFonts w:ascii="Times New Roman" w:hAnsi="Times New Roman" w:eastAsia="宋体"/>
          <w:b w:val="0"/>
          <w:color w:val="000000"/>
          <w:sz w:val="19"/>
        </w:rPr>
        <w:t>Kolari J W, Pynnönen S, Tuncez D. Further Evidence on Long-Run Abnormal Returns after Corporate Events[J]. Quarterly Review of Economics and Finance, 2020, 78: 240-252.</w:t>
      </w:r>
    </w:p>
    <w:p>
      <w:pPr>
        <w:spacing w:after="60"/>
        <w:ind w:left="420" w:hanging="420"/>
      </w:pPr>
      <w:r>
        <w:rPr>
          <w:rFonts w:ascii="Times New Roman" w:hAnsi="Times New Roman" w:eastAsia="宋体"/>
          <w:b w:val="0"/>
          <w:color w:val="000000"/>
          <w:sz w:val="19"/>
        </w:rPr>
        <w:t>Kurter M, Bhatti U. The Effect of AI Investment Announcements on Adopting Companies' Abnormal Returns[R]. Working Paper, 2024.</w:t>
      </w:r>
    </w:p>
    <w:p>
      <w:pPr>
        <w:spacing w:after="60"/>
        <w:ind w:left="420" w:hanging="420"/>
      </w:pPr>
      <w:r>
        <w:rPr>
          <w:rFonts w:ascii="Times New Roman" w:hAnsi="Times New Roman" w:eastAsia="宋体"/>
          <w:b w:val="0"/>
          <w:color w:val="000000"/>
          <w:sz w:val="19"/>
        </w:rPr>
        <w:t>Li X, Myers J N, Myers L A, et al. Dissecting Corporate Culture Using Generative AI[J]. The Review of Financial Studies, 2026, 39(1): 1-35.</w:t>
      </w:r>
    </w:p>
    <w:p>
      <w:pPr>
        <w:spacing w:after="60"/>
        <w:ind w:left="420" w:hanging="420"/>
      </w:pPr>
      <w:r>
        <w:rPr>
          <w:rFonts w:ascii="Times New Roman" w:hAnsi="Times New Roman" w:eastAsia="宋体"/>
          <w:b w:val="0"/>
          <w:color w:val="000000"/>
          <w:sz w:val="19"/>
        </w:rPr>
        <w:t>Lopez-Lira A, Tang Y. Can ChatGPT Forecast Stock Price Movements? Return Predictability and Large Language Models[R]. arXiv:2304.07619, 2023.</w:t>
      </w:r>
    </w:p>
    <w:p>
      <w:pPr>
        <w:spacing w:after="60"/>
        <w:ind w:left="420" w:hanging="420"/>
      </w:pPr>
      <w:r>
        <w:rPr>
          <w:rFonts w:ascii="Times New Roman" w:hAnsi="Times New Roman" w:eastAsia="宋体"/>
          <w:b w:val="0"/>
          <w:color w:val="000000"/>
          <w:sz w:val="19"/>
        </w:rPr>
        <w:t>MacKinlay A C. Event Studies in Economics and Finance[J]. Journal of Economic Literature, 1997, 35(1): 13-39.</w:t>
      </w:r>
    </w:p>
    <w:p>
      <w:pPr>
        <w:spacing w:after="60"/>
        <w:ind w:left="420" w:hanging="420"/>
      </w:pPr>
      <w:r>
        <w:rPr>
          <w:rFonts w:ascii="Times New Roman" w:hAnsi="Times New Roman" w:eastAsia="宋体"/>
          <w:b w:val="0"/>
          <w:color w:val="000000"/>
          <w:sz w:val="19"/>
        </w:rPr>
        <w:t>Mbanyele W. Generative AI and ChatGPT in Financial Markets and Corporate Policy: A Comprehensive Review[R]. Working Paper, 2024.</w:t>
      </w:r>
    </w:p>
    <w:p>
      <w:pPr>
        <w:spacing w:after="60"/>
        <w:ind w:left="420" w:hanging="420"/>
      </w:pPr>
      <w:r>
        <w:rPr>
          <w:rFonts w:ascii="Times New Roman" w:hAnsi="Times New Roman" w:eastAsia="宋体"/>
          <w:b w:val="0"/>
          <w:color w:val="000000"/>
          <w:sz w:val="19"/>
        </w:rPr>
        <w:t>Merton R C. A Simple Model of Capital Market Equilibrium with Incomplete Information[J]. The Journal of Finance, 1987, 42(3): 483-510.</w:t>
      </w:r>
    </w:p>
    <w:p>
      <w:pPr>
        <w:spacing w:after="60"/>
        <w:ind w:left="420" w:hanging="420"/>
      </w:pPr>
      <w:r>
        <w:rPr>
          <w:rFonts w:ascii="Times New Roman" w:hAnsi="Times New Roman" w:eastAsia="宋体"/>
          <w:b w:val="0"/>
          <w:color w:val="000000"/>
          <w:sz w:val="19"/>
        </w:rPr>
        <w:t>Noy S, Zhang W. The Productivity Effects of Generative Artificial Intelligence: Evidence from a Randomized Controlled Trial[J]. Science, 2023, 381(6654): 187-192.</w:t>
      </w:r>
    </w:p>
    <w:p>
      <w:pPr>
        <w:spacing w:after="60"/>
        <w:ind w:left="420" w:hanging="420"/>
      </w:pPr>
      <w:r>
        <w:rPr>
          <w:rFonts w:ascii="Times New Roman" w:hAnsi="Times New Roman" w:eastAsia="宋体"/>
          <w:b w:val="0"/>
          <w:color w:val="000000"/>
          <w:sz w:val="19"/>
        </w:rPr>
        <w:t>Pankratz F, Schiller C. Climate Change and Adaptation in Global Supply Chain Networks[J]. The Review of Financial Studies, 2024, 37(6): 2183-2225.</w:t>
      </w:r>
    </w:p>
    <w:p>
      <w:pPr>
        <w:spacing w:after="60"/>
        <w:ind w:left="420" w:hanging="420"/>
      </w:pPr>
      <w:r>
        <w:rPr>
          <w:rFonts w:ascii="Times New Roman" w:hAnsi="Times New Roman" w:eastAsia="宋体"/>
          <w:b w:val="0"/>
          <w:color w:val="000000"/>
          <w:sz w:val="19"/>
        </w:rPr>
        <w:t>Patel P C, Sahi G K. AI Patent Approvals in Service Firms, Patent Radicalness, and Stock Market Reaction[J]. Journal of Service Research, 2024, 27(3): 567-585.</w:t>
      </w:r>
    </w:p>
    <w:p>
      <w:pPr>
        <w:spacing w:after="60"/>
        <w:ind w:left="420" w:hanging="420"/>
      </w:pPr>
      <w:r>
        <w:rPr>
          <w:rFonts w:ascii="Times New Roman" w:hAnsi="Times New Roman" w:eastAsia="宋体"/>
          <w:b w:val="0"/>
          <w:color w:val="000000"/>
          <w:sz w:val="19"/>
        </w:rPr>
        <w:t>Pietrzak M. A Trillion Dollars Race—How ChatGPT Affects Stock Prices[J]. Future Business Journal, 2025, 11(1): 12.</w:t>
      </w:r>
    </w:p>
    <w:p>
      <w:pPr>
        <w:spacing w:after="60"/>
        <w:ind w:left="420" w:hanging="420"/>
      </w:pPr>
      <w:r>
        <w:rPr>
          <w:rFonts w:ascii="Times New Roman" w:hAnsi="Times New Roman" w:eastAsia="宋体"/>
          <w:b w:val="0"/>
          <w:color w:val="000000"/>
          <w:sz w:val="19"/>
        </w:rPr>
        <w:t>Sellemi V. Risk in Network Economies[R]. arXiv:2208.01467, 2022.</w:t>
      </w:r>
    </w:p>
    <w:p>
      <w:pPr>
        <w:spacing w:after="60"/>
        <w:ind w:left="420" w:hanging="420"/>
      </w:pPr>
      <w:r>
        <w:rPr>
          <w:rFonts w:ascii="Times New Roman" w:hAnsi="Times New Roman" w:eastAsia="宋体"/>
          <w:b w:val="0"/>
          <w:color w:val="000000"/>
          <w:sz w:val="19"/>
        </w:rPr>
        <w:t>Tan L, Wu H, Zhang X. Large Language Models and Return Prediction in China[R]. ABFER Working Paper, 2024.</w:t>
      </w:r>
    </w:p>
    <w:p>
      <w:pPr>
        <w:spacing w:after="60"/>
        <w:ind w:left="420" w:hanging="420"/>
      </w:pPr>
      <w:r>
        <w:rPr>
          <w:rFonts w:ascii="Times New Roman" w:hAnsi="Times New Roman" w:eastAsia="宋体"/>
          <w:b w:val="0"/>
          <w:color w:val="000000"/>
          <w:sz w:val="19"/>
        </w:rPr>
        <w:t>Welagedara P, Deb P, Singh H. Investor Attention, Analyst Recommendation Revisions, and Stock Prices[J]. Pacific-Basin Finance Journal, 2017, 45: 124-140.</w:t>
      </w:r>
    </w:p>
    <w:p>
      <w:pPr>
        <w:spacing w:after="60"/>
        <w:ind w:left="420" w:hanging="420"/>
      </w:pPr>
      <w:r>
        <w:rPr>
          <w:rFonts w:ascii="Times New Roman" w:hAnsi="Times New Roman" w:eastAsia="宋体"/>
          <w:b w:val="0"/>
          <w:color w:val="000000"/>
          <w:sz w:val="19"/>
        </w:rPr>
        <w:t>Wu D. Shock Spillover and Financial Response in Supply Chain Networks: Evidence from Firm-Level Data[D]. University of Pennsylvania, 2020.</w:t>
      </w:r>
    </w:p>
    <w:p>
      <w:pPr>
        <w:spacing w:after="60"/>
        <w:ind w:left="420" w:hanging="420"/>
      </w:pPr>
      <w:r>
        <w:rPr>
          <w:rFonts w:ascii="Times New Roman" w:hAnsi="Times New Roman" w:eastAsia="宋体"/>
          <w:b w:val="0"/>
          <w:color w:val="000000"/>
          <w:sz w:val="19"/>
        </w:rPr>
        <w:t>Xi H, Yan C, Liu H, et al. An Event Study on the Market Impacts of the Release of Major AI Models[J]. Advances in Economics, Management and Political Sciences, 2025, 21: 123-131.</w:t>
      </w:r>
    </w:p>
    <w:p>
      <w:pPr>
        <w:spacing w:after="60"/>
        <w:ind w:left="420" w:hanging="420"/>
      </w:pPr>
      <w:r>
        <w:rPr>
          <w:rFonts w:ascii="Times New Roman" w:hAnsi="Times New Roman" w:eastAsia="宋体"/>
          <w:b w:val="0"/>
          <w:color w:val="000000"/>
          <w:sz w:val="19"/>
        </w:rPr>
        <w:t>Yates A. The Attention Hypothesis and Stock Return Predictability[R]. SSRN Working Paper, 2021.</w:t>
      </w:r>
    </w:p>
    <w:p>
      <w:pPr>
        <w:pStyle w:val="Heading1"/>
        <w:ind w:firstLine="0"/>
      </w:pPr>
      <w:r>
        <w:t>附录</w:t>
      </w:r>
    </w:p>
    <w:p>
      <w:pPr>
        <w:pStyle w:val="Heading2"/>
        <w:ind w:firstLine="0"/>
      </w:pPr>
      <w:r>
        <w:t>附录A：样本公司产业链分类清单</w:t>
      </w:r>
    </w:p>
    <w:p>
      <w:r>
        <w:rPr>
          <w:rFonts w:ascii="Times New Roman" w:hAnsi="Times New Roman" w:eastAsia="宋体"/>
          <w:b w:val="0"/>
          <w:color w:val="000000"/>
          <w:sz w:val="21"/>
        </w:rPr>
        <w:t>本附录列出60家样本公司的最终产业链分类结果。分类依据为2023年年度报告披露的主要业务，分类在结果分析前冻结。</w:t>
      </w:r>
    </w:p>
    <w:p>
      <w:pPr>
        <w:spacing w:before="200" w:after="120"/>
        <w:ind w:firstLine="0"/>
        <w:jc w:val="center"/>
      </w:pPr>
      <w:r>
        <w:rPr>
          <w:rFonts w:ascii="Times New Roman" w:hAnsi="Times New Roman" w:eastAsia="黑体"/>
          <w:b/>
          <w:color w:val="000000"/>
          <w:sz w:val="21"/>
        </w:rPr>
        <w:t>表A1  60家样本公司产业链分类清单</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311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上游（21家）</w:t>
            </w:r>
          </w:p>
        </w:tc>
        <w:tc>
          <w:tcPr>
            <w:tcW w:type="dxa" w:w="311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中游（24家）</w:t>
            </w:r>
          </w:p>
        </w:tc>
        <w:tc>
          <w:tcPr>
            <w:tcW w:type="dxa" w:w="311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下游（15家）</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浪潮信息（000977）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新大陆（000997）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利欧股份（002131）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华工科技（000988）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东华软件（002065）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中公教育（002607）</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紫光国微（002049）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科大讯飞（002230）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ST银江（300020）</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光迅科技（002281）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大华股份（002236）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同花顺（300033）</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北方华创（002371）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川大智胜（002253）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蓝色光标（300058）</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沪电股份（002463）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太极股份（002368）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数字政通（300075）</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北京君正（300223）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四维图新（002405）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思创智联（300078）</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中际旭创（300308）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海康威视（002415）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万达信息（300168）</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天孚通信（300394）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启明星辰（002439）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卫宁健康（300253）</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景嘉微（300474）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久远银海（002777）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创业慧康（300451）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胜宏科技（300476）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超图软件（300036）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因赛集团（300781）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新易盛（300502）</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汉得信息（300170）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值得买（300785）</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生益科技（600183）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国投智能（300188）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天下秀（600556）</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中科曙光（603019）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拓尔思（300229）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恒生电子（600570）</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汇顶科技（603160）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恒华科技（300365）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金山办公（688111）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兆易创新（603986）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中科创达（300496）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澜起科技（688008）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万兴科技（300624）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中微公司（688012）</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彩讯股份（300634）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海光信息（688041）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华胜天成（600410）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寒武纪（688256）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安恒信息（688023）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中芯国际（688981）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虹软科技（688088）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开普云（688228）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云从科技（688327）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致远互联（688369）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bl>
    <w:p>
      <w:pPr>
        <w:spacing w:before="60" w:after="160"/>
        <w:ind w:firstLine="0"/>
      </w:pPr>
      <w:r>
        <w:rPr>
          <w:rFonts w:ascii="Times New Roman" w:hAnsi="Times New Roman" w:eastAsia="宋体"/>
          <w:b w:val="0"/>
          <w:color w:val="555555"/>
          <w:sz w:val="17"/>
        </w:rPr>
        <w:t>注：作者根据2023年年度报告整理。分类在结果分析前冻结。</w:t>
      </w:r>
    </w:p>
    <w:p>
      <w:pPr>
        <w:pStyle w:val="Heading2"/>
        <w:ind w:firstLine="0"/>
      </w:pPr>
      <w:r>
        <w:t>附录B：核心识别审计摘要</w:t>
      </w:r>
    </w:p>
    <w:p>
      <w:r>
        <w:rPr>
          <w:rFonts w:ascii="Times New Roman" w:hAnsi="Times New Roman" w:eastAsia="宋体"/>
          <w:b w:val="0"/>
          <w:color w:val="000000"/>
          <w:sz w:val="21"/>
        </w:rPr>
        <w:t>本附录简要报告月度DID模型的核心识别审计结果。详细审计日志见项目文件。</w:t>
      </w:r>
    </w:p>
    <w:p>
      <w:r>
        <w:rPr>
          <w:rFonts w:ascii="Times New Roman" w:hAnsi="Times New Roman" w:eastAsia="宋体"/>
          <w:b w:val="0"/>
          <w:color w:val="000000"/>
          <w:sz w:val="21"/>
        </w:rPr>
        <w:t>1. 基准DID与安慰剂检验：真实事件（2025年1月）系数为0.0513（p=0.001），但伪事件2024年1月系数为0.0436（p=0.0005），同样高度显著，表明模型存在识别问题。</w:t>
      </w:r>
    </w:p>
    <w:p>
      <w:r>
        <w:rPr>
          <w:rFonts w:ascii="Times New Roman" w:hAnsi="Times New Roman" w:eastAsia="宋体"/>
          <w:b w:val="0"/>
          <w:color w:val="000000"/>
          <w:sz w:val="21"/>
        </w:rPr>
        <w:t>2. 平行趋势联合检验：[-12,-2]窗口Wald统计量为109.13（p=0.000），强烈拒绝平行趋势假设。[-6,-2]和[-4,-2]等更短窗口也均拒绝原假设。</w:t>
      </w:r>
    </w:p>
    <w:p>
      <w:r>
        <w:rPr>
          <w:rFonts w:ascii="Times New Roman" w:hAnsi="Times New Roman" w:eastAsia="宋体"/>
          <w:b w:val="0"/>
          <w:color w:val="000000"/>
          <w:sz w:val="21"/>
        </w:rPr>
        <w:t>3. 滚动伪事件诊断：多个伪事件日期显示出显著的“处理效应”，包括2023年12月、2024年1月、2024年2月、2024年7-9月等，表明效应不局限于真实事件日期。</w:t>
      </w:r>
    </w:p>
    <w:p>
      <w:r>
        <w:rPr>
          <w:rFonts w:ascii="Times New Roman" w:hAnsi="Times New Roman" w:eastAsia="宋体"/>
          <w:b w:val="0"/>
          <w:color w:val="000000"/>
          <w:sz w:val="21"/>
        </w:rPr>
        <w:t>基于上述审计结果，本文决定不将月度DID作为核心识别策略，而采用日度事件研究方法，并明确披露识别边界。</w:t>
      </w:r>
    </w:p>
    <w:p>
      <w:pPr>
        <w:pStyle w:val="Heading2"/>
        <w:ind w:firstLine="0"/>
      </w:pPr>
      <w:r>
        <w:t>附录C：变量定义</w:t>
      </w:r>
    </w:p>
    <w:p>
      <w:r>
        <w:rPr>
          <w:rFonts w:ascii="Times New Roman" w:hAnsi="Times New Roman" w:eastAsia="宋体"/>
          <w:b w:val="0"/>
          <w:color w:val="000000"/>
          <w:sz w:val="21"/>
        </w:rPr>
        <w:t>本附录列出本文使用的主要变量定义。</w:t>
      </w:r>
    </w:p>
    <w:p>
      <w:pPr>
        <w:spacing w:before="200" w:after="120"/>
        <w:ind w:firstLine="0"/>
        <w:jc w:val="center"/>
      </w:pPr>
      <w:r>
        <w:rPr>
          <w:rFonts w:ascii="Times New Roman" w:hAnsi="Times New Roman" w:eastAsia="黑体"/>
          <w:b/>
          <w:color w:val="000000"/>
          <w:sz w:val="21"/>
        </w:rPr>
        <w:t>表C1  主要变量定义</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701"/>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变量符号</w:t>
            </w:r>
          </w:p>
        </w:tc>
        <w:tc>
          <w:tcPr>
            <w:tcW w:type="dxa" w:w="1701"/>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变量名称</w:t>
            </w:r>
          </w:p>
        </w:tc>
        <w:tc>
          <w:tcPr>
            <w:tcW w:type="dxa" w:w="5669"/>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定义说明</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CAR</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累计异常收益</w:t>
            </w:r>
          </w:p>
        </w:tc>
        <w:tc>
          <w:tcPr>
            <w:tcW w:type="dxa" w:w="56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事件窗口内异常收益的累计值，市场模型估计</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AR</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异常收益</w:t>
            </w:r>
          </w:p>
        </w:tc>
        <w:tc>
          <w:tcPr>
            <w:tcW w:type="dxa" w:w="56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实际收益减去市场模型预测收益</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Layer</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产业链位置</w:t>
            </w:r>
          </w:p>
        </w:tc>
        <w:tc>
          <w:tcPr>
            <w:tcW w:type="dxa" w:w="56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下游=0，中游=1，上游=2</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Size</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企业规模</w:t>
            </w:r>
          </w:p>
        </w:tc>
        <w:tc>
          <w:tcPr>
            <w:tcW w:type="dxa" w:w="56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总资产的自然对数</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ROA</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资产收益率</w:t>
            </w:r>
          </w:p>
        </w:tc>
        <w:tc>
          <w:tcPr>
            <w:tcW w:type="dxa" w:w="56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净利润/总资产</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Leverage</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资产负债率</w:t>
            </w:r>
          </w:p>
        </w:tc>
        <w:tc>
          <w:tcPr>
            <w:tcW w:type="dxa" w:w="56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总负债/总资产</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Excess_Ret</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超额收益</w:t>
            </w:r>
          </w:p>
        </w:tc>
        <w:tc>
          <w:tcPr>
            <w:tcW w:type="dxa" w:w="56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个股收益率减去市场收益率</w:t>
            </w:r>
          </w:p>
        </w:tc>
      </w:tr>
    </w:tbl>
    <w:p>
      <w:pPr>
        <w:spacing w:before="60" w:after="160"/>
        <w:ind w:firstLine="0"/>
      </w:pPr>
      <w:r>
        <w:rPr>
          <w:rFonts w:ascii="Times New Roman" w:hAnsi="Times New Roman" w:eastAsia="宋体"/>
          <w:b w:val="0"/>
          <w:color w:val="555555"/>
          <w:sz w:val="17"/>
        </w:rPr>
        <w:t>注：本表列出本文使用的主要变量及其定义。</w:t>
      </w:r>
    </w:p>
    <w:sectPr w:rsidR="00FC693F" w:rsidRPr="0006063C" w:rsidSect="00034616">
      <w:pgSz w:w="11906" w:h="16838"/>
      <w:pgMar w:top="1440" w:right="1531" w:bottom="1440" w:left="153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