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jc w:val="center"/>
      </w:pPr>
      <w:r>
        <w:rPr>
          <w:rFonts w:ascii="Arial" w:hAnsi="Arial" w:eastAsia="黑体"/>
          <w:b/>
          <w:color w:val="000000"/>
          <w:sz w:val="36"/>
        </w:rPr>
        <w:t>注意力梯度与技术冲击的非对称定价</w:t>
      </w:r>
    </w:p>
    <w:p>
      <w:pPr>
        <w:spacing w:after="240"/>
        <w:jc w:val="center"/>
      </w:pPr>
      <w:r>
        <w:rPr>
          <w:rFonts w:ascii="Times New Roman" w:hAnsi="Times New Roman" w:eastAsia="宋体"/>
          <w:b w:val="0"/>
          <w:color w:val="555555"/>
          <w:sz w:val="24"/>
        </w:rPr>
        <w:t>——来自DeepSeek事件的AI产业链证据</w:t>
      </w:r>
    </w:p>
    <w:p>
      <w:pPr>
        <w:spacing w:before="160" w:after="200"/>
        <w:jc w:val="center"/>
      </w:pPr>
      <w:r>
        <w:rPr>
          <w:rFonts w:ascii="Arial" w:hAnsi="Arial" w:eastAsia="黑体"/>
          <w:b/>
          <w:color w:val="000000"/>
          <w:sz w:val="32"/>
        </w:rPr>
        <w:t>Attention Gradients and Asymmetric Pricing of Technology Shocks</w:t>
      </w:r>
    </w:p>
    <w:p>
      <w:pPr>
        <w:spacing w:after="240"/>
        <w:jc w:val="center"/>
      </w:pPr>
      <w:r>
        <w:rPr>
          <w:rFonts w:ascii="Times New Roman" w:hAnsi="Times New Roman" w:eastAsia="宋体"/>
          <w:b w:val="0"/>
          <w:color w:val="555555"/>
          <w:sz w:val="24"/>
        </w:rPr>
        <w:t>Evidence from the AI Value Chain around DeepSeek Releases</w:t>
      </w:r>
    </w:p>
    <w:p>
      <w:pPr>
        <w:ind w:firstLine="0"/>
      </w:pPr>
      <w:r>
        <w:rPr>
          <w:rFonts w:ascii="Times New Roman" w:hAnsi="Times New Roman" w:eastAsia="宋体"/>
          <w:b w:val="0"/>
          <w:i w:val="0"/>
          <w:color w:val="000000"/>
          <w:sz w:val="21"/>
        </w:rPr>
      </w:r>
    </w:p>
    <w:p>
      <w:pPr>
        <w:ind w:firstLine="0"/>
      </w:pPr>
      <w:r>
        <w:rPr>
          <w:rFonts w:ascii="Times New Roman" w:hAnsi="Times New Roman" w:eastAsia="宋体"/>
          <w:b/>
          <w:i w:val="0"/>
          <w:color w:val="000000"/>
          <w:sz w:val="21"/>
        </w:rPr>
        <w:t>投稿版完整初稿（顶刊终审级）</w:t>
      </w:r>
    </w:p>
    <w:p>
      <w:pPr>
        <w:ind w:firstLine="0"/>
      </w:pPr>
      <w:r>
        <w:rPr>
          <w:rFonts w:ascii="Times New Roman" w:hAnsi="Times New Roman" w:eastAsia="宋体"/>
          <w:b w:val="0"/>
          <w:i w:val="0"/>
          <w:color w:val="000000"/>
          <w:sz w:val="21"/>
        </w:rPr>
      </w:r>
    </w:p>
    <w:p>
      <w:pPr>
        <w:pStyle w:val="Heading1"/>
        <w:ind w:firstLine="0"/>
      </w:pPr>
      <w:r>
        <w:t>摘要</w:t>
      </w:r>
    </w:p>
    <w:p>
      <w:r>
        <w:rPr>
          <w:rFonts w:ascii="Times New Roman" w:hAnsi="Times New Roman" w:eastAsia="宋体"/>
          <w:b w:val="0"/>
          <w:color w:val="000000"/>
          <w:sz w:val="21"/>
        </w:rPr>
        <w:t>研究问题：同一技术冲击为何在产业链不同环节产生差异化市场反应？现有供应链传导理论预测冲击沿价值链双向传播，但无法解释为何上游反应系统性强于下游，以及长窗口中出现的反转模式。</w:t>
      </w:r>
    </w:p>
    <w:p>
      <w:r>
        <w:rPr>
          <w:rFonts w:ascii="Times New Roman" w:hAnsi="Times New Roman" w:eastAsia="宋体"/>
          <w:b w:val="0"/>
          <w:color w:val="000000"/>
          <w:sz w:val="21"/>
        </w:rPr>
        <w:t>理论框架：本文提出“价值链注意力梯度”（Value-Chain Attention Gradient，V-CAG）理论——投资者注意力沿价值链呈现系统性梯度分布，上游企业因概念纯度高、价值逻辑简单、板块联动性强而获得更多关注，从而在技术冲击下产生更强的短期价格反应。该理论包含三大支柱：概念标签效应、信息处理层级假说和板块联动放大机制，并预测梯度效应呈现短窗口增强、长窗口衰减或反转的倒U型动态模式。</w:t>
      </w:r>
    </w:p>
    <w:p>
      <w:r>
        <w:rPr>
          <w:rFonts w:ascii="Times New Roman" w:hAnsi="Times New Roman" w:eastAsia="宋体"/>
          <w:b w:val="0"/>
          <w:color w:val="000000"/>
          <w:sz w:val="21"/>
        </w:rPr>
        <w:t>研究设计：本文以DeepSeek-V3（2024年12月26日）和DeepSeek-R1（2025年1月20日）发布为准自然实验，选取60家A股人工智能产业链上市公司，采用“事件前分类冻结”（Pre-event Classification Freeze，PCF）方法，仅依据事件前公开的2023年年度报告将企业划分为上游（21家）、中游（24家）和下游（15家），并在结果分析前冻结分类，降低结果导向分类风险。使用市场模型估计日度异常收益，通过有序梯度检验和组间比较检验产业链梯度效应，并系统披露BH-FDR和Bonferroni多重检验校正结果。</w:t>
      </w:r>
    </w:p>
    <w:p>
      <w:r>
        <w:rPr>
          <w:rFonts w:ascii="Times New Roman" w:hAnsi="Times New Roman" w:eastAsia="宋体"/>
          <w:b w:val="0"/>
          <w:color w:val="000000"/>
          <w:sz w:val="21"/>
        </w:rPr>
        <w:t>核心发现：第一，产业链梯度效应稳健存在。在主规格（DeepSeek-V3、沪深300基准、[-1,+1]窗口）下，上游企业累计异常收益比下游高3.73个百分点（BH-FDR校正p=0.026）；产业链梯度斜率为1.92个百分点/层（BH-FDR校正p=0.006）。结果在替代市场指数、替代事件窗口、分类敏感性和剔除异常值等多重检验下保持稳健。第二，梯度效应呈现倒U型动态模式。DeepSeek-R1事件中，短窗口[-1,+1]梯度效应更强（3.62%/层），但长窗口[-5,+5]出现反转（-3.57%/层），与注意力驱动的短期过度反应及后续修正一致。第三，异质性分析表明，大规模企业和科创板企业的梯度效应更显著，与注意力渠道的预测一致。</w:t>
      </w:r>
    </w:p>
    <w:p>
      <w:r>
        <w:rPr>
          <w:rFonts w:ascii="Times New Roman" w:hAnsi="Times New Roman" w:eastAsia="宋体"/>
          <w:b w:val="0"/>
          <w:color w:val="000000"/>
          <w:sz w:val="21"/>
        </w:rPr>
        <w:t>理论贡献：本文提出并初步验证了价值链注意力梯度理论，将有限关注理论从单只股票层面拓展到产业链网络层面，为理解技术冲击的跨环节定价提供了新的分析框架。方法上，事件前分类冻结方法为概念类事件研究提供了可推广的识别范式。</w:t>
      </w:r>
    </w:p>
    <w:p>
      <w:pPr>
        <w:ind w:firstLine="0"/>
      </w:pPr>
      <w:r>
        <w:rPr>
          <w:rFonts w:ascii="Times New Roman" w:hAnsi="Times New Roman" w:eastAsia="宋体"/>
          <w:b/>
          <w:i w:val="0"/>
          <w:color w:val="000000"/>
          <w:sz w:val="21"/>
        </w:rPr>
        <w:t>关键词：价值链注意力梯度；技术冲击；非对称定价；事件前分类冻结；日度事件研究；DeepSeek</w:t>
      </w:r>
    </w:p>
    <w:p>
      <w:pPr>
        <w:pStyle w:val="Heading1"/>
        <w:ind w:firstLine="0"/>
      </w:pPr>
      <w:r>
        <w:t>Abstract</w:t>
      </w:r>
    </w:p>
    <w:p>
      <w:r>
        <w:rPr>
          <w:rFonts w:ascii="Times New Roman" w:hAnsi="Times New Roman" w:eastAsia="宋体"/>
          <w:b w:val="0"/>
          <w:color w:val="000000"/>
          <w:sz w:val="21"/>
        </w:rPr>
        <w:t>Research Question: Why does the same technology shock produce differentiated market reactions along the value chain? Existing supply chain transmission theories predict bidirectional propagation, but cannot explain why upstream reactions are systematically stronger than downstream ones, nor the reversal patterns observed in longer windows.</w:t>
      </w:r>
    </w:p>
    <w:p>
      <w:r>
        <w:rPr>
          <w:rFonts w:ascii="Times New Roman" w:hAnsi="Times New Roman" w:eastAsia="宋体"/>
          <w:b w:val="0"/>
          <w:color w:val="000000"/>
          <w:sz w:val="21"/>
        </w:rPr>
        <w:t>Theoretical Framework: We propose the Value-Chain Attention Gradient (V-CAG) theory—investor attention is systematically distributed along the value chain, with upstream firms receiving more attention due to higher conceptual purity, simpler value logic, and stronger sector co-movement, resulting in stronger short-term price reactions to technology shocks. The theory comprises three pillars: the concept labeling effect, the information processing hierarchy hypothesis, and the sector co-movement amplification mechanism. It predicts an inverted-U dynamic pattern: gradient effects strengthen in short windows and weaken or reverse in longer windows.</w:t>
      </w:r>
    </w:p>
    <w:p>
      <w:r>
        <w:rPr>
          <w:rFonts w:ascii="Times New Roman" w:hAnsi="Times New Roman" w:eastAsia="宋体"/>
          <w:b w:val="0"/>
          <w:color w:val="000000"/>
          <w:sz w:val="21"/>
        </w:rPr>
        <w:t>Research Design: Using the releases of DeepSeek-V3 (26 December 2024) and DeepSeek-R1 (20 January 2025) as quasi-natural experiments, we study 60 Chinese A-share AI firms. We adopt the Pre-event Classification Freeze (PCF) method, classifying firms into upstream (21), midstream (24), and downstream (15) based solely on their publicly available 2023 annual reports, and freezing the classification before analyzing results. Daily abnormal returns are estimated with a market model. We test the value-chain gradient using ordered gradient regressions and group comparisons, and systematically report BH-FDR and Bonferroni multiple-testing corrections.</w:t>
      </w:r>
    </w:p>
    <w:p>
      <w:r>
        <w:rPr>
          <w:rFonts w:ascii="Times New Roman" w:hAnsi="Times New Roman" w:eastAsia="宋体"/>
          <w:b w:val="0"/>
          <w:color w:val="000000"/>
          <w:sz w:val="21"/>
        </w:rPr>
        <w:t>Main Findings: First, the value-chain gradient effect is robust. In the main specification (DeepSeek-V3, CSI 300, [-1,+1] window), upstream firms earn CARs 3.73 percentage points higher than downstream firms (BH-FDR adjusted p=0.026); the gradient slope is 1.92 percentage points per tier (adjusted p=0.006). Results are robust across alternative market indices, event windows, classification schemes, and outlier treatments. Second, the gradient exhibits an inverted-U dynamic pattern. For DeepSeek-R1, the gradient is stronger in the [-1,+1] window (3.62%/tier) but reverses in the [-5,+5] window (-3.57%/tier), consistent with attention-driven short-term overreaction and subsequent correction. Third, heterogeneity analysis shows stronger gradients among larger firms and STAR Market firms, consistent with the attention channel.</w:t>
      </w:r>
    </w:p>
    <w:p>
      <w:r>
        <w:rPr>
          <w:rFonts w:ascii="Times New Roman" w:hAnsi="Times New Roman" w:eastAsia="宋体"/>
          <w:b w:val="0"/>
          <w:color w:val="000000"/>
          <w:sz w:val="21"/>
        </w:rPr>
        <w:t>Contributions: We propose and provide initial evidence for the V-CAG theory, extending limited attention theory from individual stocks to value-chain networks. Methodologically, the PCF approach provides a generalizable identification paradigm for concept-based event studies.</w:t>
      </w:r>
    </w:p>
    <w:p>
      <w:pPr>
        <w:ind w:firstLine="0"/>
      </w:pPr>
      <w:r>
        <w:rPr>
          <w:rFonts w:ascii="Times New Roman" w:hAnsi="Times New Roman" w:eastAsia="宋体"/>
          <w:b/>
          <w:i w:val="0"/>
          <w:color w:val="000000"/>
          <w:sz w:val="21"/>
        </w:rPr>
        <w:t>Keywords: Value-Chain Attention Gradient; Technology Shocks; Asymmetric Pricing; Pre-event Classification Freeze; Daily Event Study; DeepSeek</w:t>
      </w:r>
    </w:p>
    <w:p>
      <w:pPr>
        <w:pStyle w:val="Heading1"/>
        <w:ind w:firstLine="0"/>
      </w:pPr>
      <w:r>
        <w:t>一、引言：技术冲击的定价谜题</w:t>
      </w:r>
    </w:p>
    <w:p>
      <w:pPr>
        <w:pStyle w:val="Heading2"/>
        <w:ind w:firstLine="0"/>
      </w:pPr>
      <w:r>
        <w:t>1.1 核心谜题</w:t>
      </w:r>
    </w:p>
    <w:p>
      <w:r>
        <w:rPr>
          <w:rFonts w:ascii="Times New Roman" w:hAnsi="Times New Roman" w:eastAsia="宋体"/>
          <w:b w:val="0"/>
          <w:color w:val="000000"/>
          <w:sz w:val="21"/>
        </w:rPr>
        <w:t>2024年12月26日，DeepSeek-V3发布。当日及随后三个交易日，A股人工智能产业链上游算力企业平均上涨约2.3%，而下游应用企业不涨反跌约1.5%，上下游差异接近4个百分点。类似的模式在2025年1月20日DeepSeek-R1发布后再次出现，且短窗口内差异更大。一个自然的问题是：为什么同一技术事件，对产业链不同环节的市场冲击差异如此之大？</w:t>
      </w:r>
    </w:p>
    <w:p>
      <w:r>
        <w:rPr>
          <w:rFonts w:ascii="Times New Roman" w:hAnsi="Times New Roman" w:eastAsia="宋体"/>
          <w:b w:val="0"/>
          <w:color w:val="000000"/>
          <w:sz w:val="21"/>
        </w:rPr>
        <w:t>这一谜题难以被现有理论完全解释。供应链传导理论（Cohen and Frazzini, 2008；Carvalho et al., 2021）预测技术冲击会沿价值链双向传播，上游和下游都应受益，但无法解释为何上游反应系统性强于下游。技术扩散理论（Hötte, 2023）强调从上游到下游的渐进扩散，但预测的是长期效应差异，而非事件窗口内的即时反应差异。投资者注意力理论（Barber and Odean, 2008）关注单只股票层面的注意力差异，尚未系统拓展到产业链网络结构。</w:t>
      </w:r>
    </w:p>
    <w:p>
      <w:r>
        <w:rPr>
          <w:rFonts w:ascii="Times New Roman" w:hAnsi="Times New Roman" w:eastAsia="宋体"/>
          <w:b w:val="0"/>
          <w:color w:val="000000"/>
          <w:sz w:val="21"/>
        </w:rPr>
        <w:t>理解这一谜题具有重要的理论和现实意义。理论上，它挑战了我们对技术冲击如何在资本市场中定价的理解——技术信息的市场反应不是均匀的，而是沿产业链呈现系统性结构。现实中，AI概念炒作中的产业链轮动、投资者的板块配置决策、监管层对概念炒作风险的防范，都需要对这一非对称定价模式有更深入的认识。</w:t>
      </w:r>
    </w:p>
    <w:p>
      <w:pPr>
        <w:pStyle w:val="Heading2"/>
        <w:ind w:firstLine="0"/>
      </w:pPr>
      <w:r>
        <w:t>1.2 理论视角：价值链注意力梯度</w:t>
      </w:r>
    </w:p>
    <w:p>
      <w:r>
        <w:rPr>
          <w:rFonts w:ascii="Times New Roman" w:hAnsi="Times New Roman" w:eastAsia="宋体"/>
          <w:b w:val="0"/>
          <w:color w:val="000000"/>
          <w:sz w:val="21"/>
        </w:rPr>
        <w:t>本文提出“价值链注意力梯度”（Value-Chain Attention Gradient，简称V-CAG）理论，试图解释技术冲击的非对称定价现象。核心观点是：投资者对同一技术事件的关注程度沿产业链位置系统性递减——上游企业获得最多关注，中游次之，下游最少。这种注意力梯度导致了市场反应的梯度模式。</w:t>
      </w:r>
    </w:p>
    <w:p>
      <w:r>
        <w:rPr>
          <w:rFonts w:ascii="Times New Roman" w:hAnsi="Times New Roman" w:eastAsia="宋体"/>
          <w:b w:val="0"/>
          <w:color w:val="000000"/>
          <w:sz w:val="21"/>
        </w:rPr>
        <w:t>V-CAG理论建立在三大支柱之上。第一，概念标签效应。上游算力企业往往具有更清晰、更集中的概念标签（如“AI芯片”“算力”“光模块”），更容易进入投资者的选择集合（Barber and Odean, 2008）。下游应用企业概念分散、标签模糊，难以成为注意力的焦点。第二，信息处理层级假说。上游企业的价值逻辑链条短而直接——“模型变强→算力需求增加→上游受益”，普通投资者也能快速理解。下游企业的价值逻辑链条长而复杂——“模型变强→应用场景拓展→商业模式创新→盈利增长”，需要更深入的行业理解。根据有限关注理论，投资者倾向于对简单易懂的信息做出更快更强的反应。第三，板块联动放大。上游企业板块集中度高、同涨同跌性强，容易形成板块效应，进一步放大价格反应。下游企业分散在多个行业，联动效应较弱。</w:t>
      </w:r>
    </w:p>
    <w:p>
      <w:r>
        <w:rPr>
          <w:rFonts w:ascii="Times New Roman" w:hAnsi="Times New Roman" w:eastAsia="宋体"/>
          <w:b w:val="0"/>
          <w:color w:val="000000"/>
          <w:sz w:val="21"/>
        </w:rPr>
        <w:t>V-CAG理论还预测了动态模式：短窗口内，注意力驱动的买入压力导致梯度效应显著；随着时间推移，信息逐渐被充分消化，过度反应开始修正，梯度效应衰减甚至反转，整体呈现倒U型模式。</w:t>
      </w:r>
    </w:p>
    <w:p>
      <w:pPr>
        <w:pStyle w:val="Heading2"/>
        <w:ind w:firstLine="0"/>
      </w:pPr>
      <w:r>
        <w:t>1.3 识别策略：事件前分类冻结</w:t>
      </w:r>
    </w:p>
    <w:p>
      <w:r>
        <w:rPr>
          <w:rFonts w:ascii="Times New Roman" w:hAnsi="Times New Roman" w:eastAsia="宋体"/>
          <w:b w:val="0"/>
          <w:color w:val="000000"/>
          <w:sz w:val="21"/>
        </w:rPr>
        <w:t>检验V-CAG理论面临一个核心识别挑战：产业链分类可能是内生的。如果研究者根据结果反向调整分类标准（即结果导向分类，outcome-driven classification），那么发现的“梯度效应”可能只是分类选择的产物，而非真实的市场现象。这一问题在概念类事件研究中尤为突出。</w:t>
      </w:r>
    </w:p>
    <w:p>
      <w:r>
        <w:rPr>
          <w:rFonts w:ascii="Times New Roman" w:hAnsi="Times New Roman" w:eastAsia="宋体"/>
          <w:b w:val="0"/>
          <w:color w:val="000000"/>
          <w:sz w:val="21"/>
        </w:rPr>
        <w:t>为解决这一问题，本文提出并采用“事件前分类冻结”（Pre-event Classification Freeze，简称PCF）方法。该方法的核心是：第一，仅使用事件日之前公开可得的信息进行分类；第二，分类结果在正式分析之前冻结并存档；第三，完整披露分类依据、审核过程和冻结记录。这一方法借鉴了预注册研究（pre-registration）的思想，有效降低了结果导向分类和选择性报告的风险。</w:t>
      </w:r>
    </w:p>
    <w:p>
      <w:r>
        <w:rPr>
          <w:rFonts w:ascii="Times New Roman" w:hAnsi="Times New Roman" w:eastAsia="宋体"/>
          <w:b w:val="0"/>
          <w:color w:val="000000"/>
          <w:sz w:val="21"/>
        </w:rPr>
        <w:t>具体而言，本文依据DeepSeek-V3发布日（2024年12月26日）之前已披露的2023年年度报告，将60家样本公司按主要经济功能划分为上游、中游和下游三类。分类结果在结果分析前正式冻结，并保存完整的分类记录（包括每家企业的年报链接、分类理由、审核状态、冻结时间和文件哈希值）。</w:t>
      </w:r>
    </w:p>
    <w:p>
      <w:pPr>
        <w:pStyle w:val="Heading2"/>
        <w:ind w:firstLine="0"/>
      </w:pPr>
      <w:r>
        <w:t>1.4 主要发现</w:t>
      </w:r>
    </w:p>
    <w:p>
      <w:r>
        <w:rPr>
          <w:rFonts w:ascii="Times New Roman" w:hAnsi="Times New Roman" w:eastAsia="宋体"/>
          <w:b w:val="0"/>
          <w:color w:val="000000"/>
          <w:sz w:val="21"/>
        </w:rPr>
        <w:t>本文的主要发现可以概括为四点。</w:t>
      </w:r>
    </w:p>
    <w:p>
      <w:r>
        <w:rPr>
          <w:rFonts w:ascii="Times New Roman" w:hAnsi="Times New Roman" w:eastAsia="宋体"/>
          <w:b w:val="0"/>
          <w:color w:val="000000"/>
          <w:sz w:val="21"/>
        </w:rPr>
        <w:t>第一，产业链梯度效应稳健存在。在主规格（DeepSeek-V3、沪深300基准、[-1,+1]窗口）下，上游企业累计异常收益比下游高3.73个百分点（原始p=0.010，BH-FDR校正p=0.026）；将产业链位置编码为有序变量后，梯度斜率为1.92个百分点/层（原始p=0.004，BH-FDR校正p=0.006）。这一结果在替代市场指数（上证综指、深证成指）、替代事件窗口（[-3,+3]、[-5,+5]）、分类敏感性检验和剔除异常值等多重检验下保持稳健。</w:t>
      </w:r>
    </w:p>
    <w:p>
      <w:r>
        <w:rPr>
          <w:rFonts w:ascii="Times New Roman" w:hAnsi="Times New Roman" w:eastAsia="宋体"/>
          <w:b w:val="0"/>
          <w:color w:val="000000"/>
          <w:sz w:val="21"/>
        </w:rPr>
        <w:t>第二，梯度效应呈现倒U型动态模式。DeepSeek-R1事件中，短窗口[-1,+1]的梯度效应甚至强于V3（3.62%/层 vs 1.92%/层），但中窗口[-3,+3]减弱（2.80%/层），长窗口[-5,+5]出现反转（-3.57%/层）。这一动态模式与V-CAG理论的预测高度一致：短期注意力驱动过度反应，随后基本面修正和情绪降温导致梯度衰减甚至反转。</w:t>
      </w:r>
    </w:p>
    <w:p>
      <w:r>
        <w:rPr>
          <w:rFonts w:ascii="Times New Roman" w:hAnsi="Times New Roman" w:eastAsia="宋体"/>
          <w:b w:val="0"/>
          <w:color w:val="000000"/>
          <w:sz w:val="21"/>
        </w:rPr>
        <w:t>第三，异质性分析支持注意力渠道。大规模企业的梯度效应显著强于小规模企业（2.45% vs 1.38%），科创板企业强于创业板和主板企业。这些发现与V-CAG理论一致——规模大、概念纯、关注度高的企业，梯度效应更显著。</w:t>
      </w:r>
    </w:p>
    <w:p>
      <w:r>
        <w:rPr>
          <w:rFonts w:ascii="Times New Roman" w:hAnsi="Times New Roman" w:eastAsia="宋体"/>
          <w:b w:val="0"/>
          <w:color w:val="000000"/>
          <w:sz w:val="21"/>
        </w:rPr>
        <w:t>第四，基本面预期渠道起辅助作用。虽然本文缺乏分析师预测的直接数据，但基于企业盈利能力的异质性分析间接表明，基本面预期也参与了梯度效应的形成。高盈利企业的梯度效应更强，暗示市场对这些企业的基本面预期修正更大。</w:t>
      </w:r>
    </w:p>
    <w:p>
      <w:pPr>
        <w:pStyle w:val="Heading2"/>
        <w:ind w:firstLine="0"/>
      </w:pPr>
      <w:r>
        <w:t>1.5 贡献与论文结构</w:t>
      </w:r>
    </w:p>
    <w:p>
      <w:r>
        <w:rPr>
          <w:rFonts w:ascii="Times New Roman" w:hAnsi="Times New Roman" w:eastAsia="宋体"/>
          <w:b w:val="0"/>
          <w:color w:val="000000"/>
          <w:sz w:val="21"/>
        </w:rPr>
        <w:t>本文作出三方面贡献。</w:t>
      </w:r>
    </w:p>
    <w:p>
      <w:r>
        <w:rPr>
          <w:rFonts w:ascii="Times New Roman" w:hAnsi="Times New Roman" w:eastAsia="宋体"/>
          <w:b w:val="0"/>
          <w:color w:val="000000"/>
          <w:sz w:val="21"/>
        </w:rPr>
        <w:t>第一，理论贡献：提出并初步验证了价值链注意力梯度（V-CAG）理论。该理论将有限关注理论从单只股票层面拓展到产业链网络层面，为理解技术冲击的非对称定价提供了新的分析框架。V-CAG理论不仅解释了为什么上游反应更强，还预测了倒U型动态模式，具有丰富的可检验含义。</w:t>
      </w:r>
    </w:p>
    <w:p>
      <w:r>
        <w:rPr>
          <w:rFonts w:ascii="Times New Roman" w:hAnsi="Times New Roman" w:eastAsia="宋体"/>
          <w:b w:val="0"/>
          <w:color w:val="000000"/>
          <w:sz w:val="21"/>
        </w:rPr>
        <w:t>第二，方法贡献：提出并应用了事件前分类冻结（PCF）方法。该方法有效解决了概念类事件研究中普遍存在的结果导向分类问题，提高了研究的透明度和可复现性。PCF方法可以推广到任何涉及概念分类的事件研究中，具有广泛的方法论价值。</w:t>
      </w:r>
    </w:p>
    <w:p>
      <w:r>
        <w:rPr>
          <w:rFonts w:ascii="Times New Roman" w:hAnsi="Times New Roman" w:eastAsia="宋体"/>
          <w:b w:val="0"/>
          <w:color w:val="000000"/>
          <w:sz w:val="21"/>
        </w:rPr>
        <w:t>第三，实证贡献：系统披露了多重检验校正结果和识别边界。本文同时报告原始p值、BH-FDR校正p值和Bonferroni校正p值，完整披露所有检验结果，不选择性报告。同时，明确声明研究的识别边界——本文衡量的是事件相关市场反应，而非严格因果效应。这种透明和诚实的做法，有助于推动实证研究的规范化。</w:t>
      </w:r>
    </w:p>
    <w:p>
      <w:r>
        <w:rPr>
          <w:rFonts w:ascii="Times New Roman" w:hAnsi="Times New Roman" w:eastAsia="宋体"/>
          <w:b w:val="0"/>
          <w:color w:val="000000"/>
          <w:sz w:val="21"/>
        </w:rPr>
        <w:t>本文余下部分安排如下：第二部分构建V-CAG理论框架并提出研究假设；第三部分介绍研究设计，重点阐述PCF方法；第四部分报告实证结果，包括主结果、稳健性检验和动态模式分析；第五部分进行机制与异质性分析；第六部分讨论理论意义与识别边界；第七部分总结结论。</w:t>
      </w:r>
    </w:p>
    <w:p>
      <w:pPr>
        <w:pStyle w:val="Heading1"/>
        <w:ind w:firstLine="0"/>
      </w:pPr>
      <w:r>
        <w:t>二、理论框架与研究假设</w:t>
      </w:r>
    </w:p>
    <w:p>
      <w:pPr>
        <w:pStyle w:val="Heading2"/>
        <w:ind w:firstLine="0"/>
      </w:pPr>
      <w:r>
        <w:t>2.1 文献基础</w:t>
      </w:r>
    </w:p>
    <w:p>
      <w:pPr>
        <w:pStyle w:val="Heading3"/>
        <w:ind w:firstLine="0"/>
      </w:pPr>
      <w:r>
        <w:t>2.1.1 有限关注与资产定价</w:t>
      </w:r>
    </w:p>
    <w:p>
      <w:r>
        <w:rPr>
          <w:rFonts w:ascii="Times New Roman" w:hAnsi="Times New Roman" w:eastAsia="宋体"/>
          <w:b w:val="0"/>
          <w:color w:val="000000"/>
          <w:sz w:val="21"/>
        </w:rPr>
        <w:t>投资者注意力有限是金融市场的基本特征。Merton（1987）的不完全信息资本市场均衡模型表明，投资者认知的局限会影响资产定价——被更多投资者关注的股票具有更高的价格和更低的预期收益。Barber and Odean（2008）进一步提出注意力驱动购买理论：个人投资者倾向于购买吸引其注意力的股票，因为在数千只股票中搜索值得购买的股票成本高昂。他们发现，个人投资者是高注意力股票的净买入者，且这种效应在小市值、高波动率股票中更强。</w:t>
      </w:r>
    </w:p>
    <w:p>
      <w:r>
        <w:rPr>
          <w:rFonts w:ascii="Times New Roman" w:hAnsi="Times New Roman" w:eastAsia="宋体"/>
          <w:b w:val="0"/>
          <w:color w:val="000000"/>
          <w:sz w:val="21"/>
        </w:rPr>
        <w:t>后续研究从多个角度验证了有限关注理论。Hirshleifer et al.（2009）发现，当同一天有更多其他企业发布盈余公告时，市场对某一企业盈余惊喜的即时反应更弱、公告后漂移更强，支持了投资者分心假说。DellaVigna and Pollet（2009）发现周五发布的盈余公告反应更弱、漂移更强。Charles（2025）从记忆角度拓展了注意力理论，发现记忆诱导的注意力会扭曲价格。</w:t>
      </w:r>
    </w:p>
    <w:p>
      <w:r>
        <w:rPr>
          <w:rFonts w:ascii="Times New Roman" w:hAnsi="Times New Roman" w:eastAsia="宋体"/>
          <w:b w:val="0"/>
          <w:color w:val="000000"/>
          <w:sz w:val="21"/>
        </w:rPr>
        <w:t>在中国市场，有限关注理论同样得到广泛验证。姜富伟等（2021）发现财经媒体文本情绪具有收益预测能力。姚加权等（2021）构建了金融情绪词典，发现文本语调可预测收益和成交量。沈德华等研究了微信股票推荐的市场反应，发现推荐日存在显著正异常收益但随后反转，支持价格压力假说。</w:t>
      </w:r>
    </w:p>
    <w:p>
      <w:r>
        <w:rPr>
          <w:rFonts w:ascii="Times New Roman" w:hAnsi="Times New Roman" w:eastAsia="宋体"/>
          <w:b w:val="0"/>
          <w:color w:val="000000"/>
          <w:sz w:val="21"/>
        </w:rPr>
        <w:t>然而，现有研究主要关注单只股票层面的注意力差异，较少系统考察注意力在产业链网络中的分布结构。一个自然的问题是：当面对同一技术事件时，投资者对产业链不同环节的关注是否存在系统性差异？</w:t>
      </w:r>
    </w:p>
    <w:p>
      <w:pPr>
        <w:pStyle w:val="Heading3"/>
        <w:ind w:firstLine="0"/>
      </w:pPr>
      <w:r>
        <w:t>2.1.2 供应链网络与冲击传导</w:t>
      </w:r>
    </w:p>
    <w:p>
      <w:r>
        <w:rPr>
          <w:rFonts w:ascii="Times New Roman" w:hAnsi="Times New Roman" w:eastAsia="宋体"/>
          <w:b w:val="0"/>
          <w:color w:val="000000"/>
          <w:sz w:val="21"/>
        </w:rPr>
        <w:t>供应链网络是冲击传导的重要渠道。Carvalho et al.（2021）以东日本大地震为自然实验，发现局部灾害会通过投入产出联系在供应链网络中传播和放大。Cohen and Frazzini（2008）发现客户—供应商关系企业间存在收益可预测性，表明投资者对供应链信息的吸收并非即时完成。Pankratz and Schiller（2024）研究了气候变化对供应链网络的影响，发现供应商气候暴露会传导至客户企业。</w:t>
      </w:r>
    </w:p>
    <w:p>
      <w:r>
        <w:rPr>
          <w:rFonts w:ascii="Times New Roman" w:hAnsi="Times New Roman" w:eastAsia="宋体"/>
          <w:b w:val="0"/>
          <w:color w:val="000000"/>
          <w:sz w:val="21"/>
        </w:rPr>
        <w:t>在中国市场，张誉夫和谢建国（2025）发现人工智能应用能够提升企业供应链嵌入程度。乔小勇等（2025）发现AI应用通过生产网络溢出促进了制造业出口质量提升。这些研究表明，AI技术对供应链网络具有深远影响。</w:t>
      </w:r>
    </w:p>
    <w:p>
      <w:r>
        <w:rPr>
          <w:rFonts w:ascii="Times New Roman" w:hAnsi="Times New Roman" w:eastAsia="宋体"/>
          <w:b w:val="0"/>
          <w:color w:val="000000"/>
          <w:sz w:val="21"/>
        </w:rPr>
        <w:t>但现有供应链研究主要关注实体经营层面的冲击传导，较少考察资本市场对同一技术事件的差异化即时反应。特别是，为什么上游企业的市场反应系统性强于下游？供应链传导理论预测的是双向传播和渐进扩散，难以解释这种非对称的即时反应模式。</w:t>
      </w:r>
    </w:p>
    <w:p>
      <w:pPr>
        <w:pStyle w:val="Heading3"/>
        <w:ind w:firstLine="0"/>
      </w:pPr>
      <w:r>
        <w:t>2.1.3 AI技术与资本市场反应</w:t>
      </w:r>
    </w:p>
    <w:p>
      <w:r>
        <w:rPr>
          <w:rFonts w:ascii="Times New Roman" w:hAnsi="Times New Roman" w:eastAsia="宋体"/>
          <w:b w:val="0"/>
          <w:color w:val="000000"/>
          <w:sz w:val="21"/>
        </w:rPr>
        <w:t>近年来，AI技术与资本市场的关系受到广泛关注。Eisfeldt et al.（2024）发现ChatGPT发布后，高AI暴露企业的股票收益显著更高。Pietrzak（2025）发现在SEC文件中提及ChatGPT的美国企业获得了显著异常收益。Han（2025）研究了DeepSeek R1对半导体市场的影响，发现其对美国半导体股产生了负面冲击。</w:t>
      </w:r>
    </w:p>
    <w:p>
      <w:r>
        <w:rPr>
          <w:rFonts w:ascii="Times New Roman" w:hAnsi="Times New Roman" w:eastAsia="宋体"/>
          <w:b w:val="0"/>
          <w:color w:val="000000"/>
          <w:sz w:val="21"/>
        </w:rPr>
        <w:t>Kurter and Bhatti（2024）研究了AI投资公告的市场反应，发现AI投资公告获得正面反应，且与企业规模和行业特征相关。Patel and Sahi（2024）发现不同类型AI专利的市场反应存在差异。Lopez-Lira and Tang（2023）发现ChatGPT能够基于新闻头条预测股价走势。</w:t>
      </w:r>
    </w:p>
    <w:p>
      <w:r>
        <w:rPr>
          <w:rFonts w:ascii="Times New Roman" w:hAnsi="Times New Roman" w:eastAsia="宋体"/>
          <w:b w:val="0"/>
          <w:color w:val="000000"/>
          <w:sz w:val="21"/>
        </w:rPr>
        <w:t>然而，现有AI金融研究大多关注整体市场反应或单一维度的企业暴露度，缺乏从产业链结构视角的系统分析。生成式AI作为通用技术，其影响必然沿产业链传导，但不同环节的反应强度和模式尚不清楚。</w:t>
      </w:r>
    </w:p>
    <w:p>
      <w:pPr>
        <w:pStyle w:val="Heading2"/>
        <w:ind w:firstLine="0"/>
      </w:pPr>
      <w:r>
        <w:t>2.2 理论创新：价值链注意力梯度（V-CAG）理论</w:t>
      </w:r>
    </w:p>
    <w:p>
      <w:pPr>
        <w:pStyle w:val="Heading3"/>
        <w:ind w:firstLine="0"/>
      </w:pPr>
      <w:r>
        <w:t>2.2.1 核心概念</w:t>
      </w:r>
    </w:p>
    <w:p>
      <w:r>
        <w:rPr>
          <w:rFonts w:ascii="Times New Roman" w:hAnsi="Times New Roman" w:eastAsia="宋体"/>
          <w:b w:val="0"/>
          <w:color w:val="000000"/>
          <w:sz w:val="21"/>
        </w:rPr>
        <w:t>本文提出价值链注意力梯度（Value-Chain Attention Gradient，V-CAG）概念：当面对同一技术事件时，投资者对产业链不同环节企业的关注程度沿价值链位置系统性递减，形成上游最高、中游次之、下游最低的注意力梯度。这种注意力梯度导致了市场反应的梯度模式——上游企业的短期价格反应最强，中游次之，下游最弱。</w:t>
      </w:r>
    </w:p>
    <w:p>
      <w:r>
        <w:rPr>
          <w:rFonts w:ascii="Times New Roman" w:hAnsi="Times New Roman" w:eastAsia="宋体"/>
          <w:b w:val="0"/>
          <w:color w:val="000000"/>
          <w:sz w:val="21"/>
        </w:rPr>
        <w:t>V-CAG理论的核心洞见是：技术信息的市场定价不是均匀的，而是沿产业链呈现结构性差异。这种差异不仅源于基本面预期的不同，更源于投资者注意力的非均匀分布。换言之，即使基本面冲击的长期影响可能是下游更大（因为应用场景更广阔），短期市场反应也可能上游更强，因为上游更容易获得投资者关注。</w:t>
      </w:r>
    </w:p>
    <w:p>
      <w:pPr>
        <w:pStyle w:val="Heading3"/>
        <w:ind w:firstLine="0"/>
      </w:pPr>
      <w:r>
        <w:t>2.2.2 三大理论支柱</w:t>
      </w:r>
    </w:p>
    <w:p>
      <w:r>
        <w:rPr>
          <w:rFonts w:ascii="Times New Roman" w:hAnsi="Times New Roman" w:eastAsia="宋体"/>
          <w:b w:val="0"/>
          <w:color w:val="000000"/>
          <w:sz w:val="21"/>
        </w:rPr>
        <w:t>V-CAG理论建立在三大支柱之上，三者共同作用形成注意力梯度。</w:t>
      </w:r>
    </w:p>
    <w:p>
      <w:r>
        <w:rPr>
          <w:rFonts w:ascii="Times New Roman" w:hAnsi="Times New Roman" w:eastAsia="宋体"/>
          <w:b w:val="0"/>
          <w:color w:val="000000"/>
          <w:sz w:val="21"/>
        </w:rPr>
        <w:t>支柱一：概念标签效应。上游算力企业往往具有更清晰、更集中、更标准化的概念标签。当投资者谈论“AI概念”时，首先想到的往往是芯片、服务器、光模块等硬件企业。这些企业概念纯度高、标签明确，更容易进入投资者的选择集合（Barber and Odean, 2008）。相比之下，下游应用企业分散在各个行业，概念标签模糊、纯度低，难以成为注意力的焦点。即使是同一概念，上游企业的“概念浓度”也更高，更容易被识别和归类。</w:t>
      </w:r>
    </w:p>
    <w:p>
      <w:r>
        <w:rPr>
          <w:rFonts w:ascii="Times New Roman" w:hAnsi="Times New Roman" w:eastAsia="宋体"/>
          <w:b w:val="0"/>
          <w:color w:val="000000"/>
          <w:sz w:val="21"/>
        </w:rPr>
        <w:t>支柱二：信息处理层级假说。上游企业的价值逻辑链条短而直接——“模型能力提升→算力需求增加→上游企业订单增长→业绩改善”。这一逻辑链条环节少、直观易懂，即使是缺乏专业知识的散户投资者也能快速理解。根据有限关注理论，投资者倾向于对简单易懂的信息做出更快、更强的反应。下游企业的价值逻辑则链条长而复杂——“模型能力提升→应用场景拓展→产品体验改善→用户增长→商业模式创新→盈利增长”。这一链条环节多、不确定性高，需要深入的行业理解和专业分析。因此，投资者对下游信息的处理速度更慢、反应更弱。</w:t>
      </w:r>
    </w:p>
    <w:p>
      <w:r>
        <w:rPr>
          <w:rFonts w:ascii="Times New Roman" w:hAnsi="Times New Roman" w:eastAsia="宋体"/>
          <w:b w:val="0"/>
          <w:color w:val="000000"/>
          <w:sz w:val="21"/>
        </w:rPr>
        <w:t>支柱三：板块联动放大。上游企业高度集中在少数几个行业（如半导体、通信设备），同涨同跌性强，容易形成板块效应。当AI概念升温时，资金集中流入上游板块，形成自我强化的上涨循环。板块效应进一步吸引更多投资者关注，放大价格反应。下游企业则分散在办公、金融、医疗、城市治理等多个行业，板块集中度低，联动效应弱，难以形成集中的买入压力。</w:t>
      </w:r>
    </w:p>
    <w:p>
      <w:pPr>
        <w:pStyle w:val="Heading3"/>
        <w:ind w:firstLine="0"/>
      </w:pPr>
      <w:r>
        <w:t>2.2.3 动态预测：倒U型模式</w:t>
      </w:r>
    </w:p>
    <w:p>
      <w:r>
        <w:rPr>
          <w:rFonts w:ascii="Times New Roman" w:hAnsi="Times New Roman" w:eastAsia="宋体"/>
          <w:b w:val="0"/>
          <w:color w:val="000000"/>
          <w:sz w:val="21"/>
        </w:rPr>
        <w:t>V-CAG理论不仅预测了静态的梯度效应，还预测了动态的时间模式。具体而言，梯度效应随时间呈现倒U型：事件初期，注意力驱动的买入压力导致梯度效应逐渐增强；达到峰值后，随着信息被充分消化、过度反应开始修正，梯度效应逐渐衰减，甚至可能出现反转。</w:t>
      </w:r>
    </w:p>
    <w:p>
      <w:r>
        <w:rPr>
          <w:rFonts w:ascii="Times New Roman" w:hAnsi="Times New Roman" w:eastAsia="宋体"/>
          <w:b w:val="0"/>
          <w:color w:val="000000"/>
          <w:sz w:val="21"/>
        </w:rPr>
        <w:t>这一动态预测的逻辑如下。事件发生后的前1-3天，注意力效应主导：投资者集中关注上游概念，资金快速涌入上游板块，上游涨幅远大于下游，梯度效应显著。第3-5天，信息扩散和基本面修正开始起作用：市场逐渐意识到下游应用才是长期价值的关键，资金开始向下游转移；同时，上游的过度反应开始回调。因此，梯度效应减弱甚至反转。更长时间后，基本面因素逐渐主导，梯度效应的方向和强度取决于技术扩散的实际路径。</w:t>
      </w:r>
    </w:p>
    <w:p>
      <w:pPr>
        <w:pStyle w:val="Heading2"/>
        <w:ind w:firstLine="0"/>
      </w:pPr>
      <w:r>
        <w:t>2.3 研究假设</w:t>
      </w:r>
    </w:p>
    <w:p>
      <w:r>
        <w:rPr>
          <w:rFonts w:ascii="Times New Roman" w:hAnsi="Times New Roman" w:eastAsia="宋体"/>
          <w:b w:val="0"/>
          <w:color w:val="000000"/>
          <w:sz w:val="21"/>
        </w:rPr>
        <w:t>基于V-CAG理论，本文提出以下四个递进式研究假设。</w:t>
      </w:r>
    </w:p>
    <w:p>
      <w:r>
        <w:rPr>
          <w:rFonts w:ascii="Times New Roman" w:hAnsi="Times New Roman" w:eastAsia="宋体"/>
          <w:b w:val="0"/>
          <w:color w:val="000000"/>
          <w:sz w:val="21"/>
        </w:rPr>
        <w:t>假设H1（主效应假设）：技术冲击下，累计异常收益沿产业链呈现上游&gt;中游&gt;下游的梯度模式。具体而言，上游企业的累计异常收益显著高于下游企业，且产业链位置每上移一个层级，累计异常收益显著增加。</w:t>
      </w:r>
    </w:p>
    <w:p>
      <w:r>
        <w:rPr>
          <w:rFonts w:ascii="Times New Roman" w:hAnsi="Times New Roman" w:eastAsia="宋体"/>
          <w:b w:val="0"/>
          <w:color w:val="000000"/>
          <w:sz w:val="21"/>
        </w:rPr>
        <w:t>假设H2（注意力机制假设）：投资者关注度越高的企业，产业链梯度效应越显著。如果梯度效应主要由注意力驱动，那么在更容易获得关注的子样本中（如大规模企业、高换手率企业、高概念纯度板块），梯度效应应该更强。</w:t>
      </w:r>
    </w:p>
    <w:p>
      <w:r>
        <w:rPr>
          <w:rFonts w:ascii="Times New Roman" w:hAnsi="Times New Roman" w:eastAsia="宋体"/>
          <w:b w:val="0"/>
          <w:color w:val="000000"/>
          <w:sz w:val="21"/>
        </w:rPr>
        <w:t>假设H3（基本面辅助假设）：基本面预期修正沿产业链呈现梯度，且部分解释CAR梯度。注意力是主导机制，但不是唯一机制。基本面预期的修正也会参与梯度效应的形成，但其贡献应小于注意力渠道。</w:t>
      </w:r>
    </w:p>
    <w:p>
      <w:r>
        <w:rPr>
          <w:rFonts w:ascii="Times New Roman" w:hAnsi="Times New Roman" w:eastAsia="宋体"/>
          <w:b w:val="0"/>
          <w:color w:val="000000"/>
          <w:sz w:val="21"/>
        </w:rPr>
        <w:t>假设H4（动态模式假设）：梯度效应随时间呈现倒U型模式——短窗口增强，长窗口衰减或反转。这是V-CAG理论的独特预测，也是区分注意力解释和基本面解释的关键：基本面解释预测梯度效应持续存在甚至增强，注意力解释预测短期增强、长期衰减。</w:t>
      </w:r>
    </w:p>
    <w:p>
      <w:pPr>
        <w:pStyle w:val="Heading1"/>
        <w:ind w:firstLine="0"/>
      </w:pPr>
      <w:r>
        <w:t>三、研究设计</w:t>
      </w:r>
    </w:p>
    <w:p>
      <w:pPr>
        <w:pStyle w:val="Heading2"/>
        <w:ind w:firstLine="0"/>
      </w:pPr>
      <w:r>
        <w:t>3.1 方法创新：事件前分类冻结（PCF）方法</w:t>
      </w:r>
    </w:p>
    <w:p>
      <w:pPr>
        <w:pStyle w:val="Heading3"/>
        <w:ind w:firstLine="0"/>
      </w:pPr>
      <w:r>
        <w:t>3.1.1 问题提出</w:t>
      </w:r>
    </w:p>
    <w:p>
      <w:r>
        <w:rPr>
          <w:rFonts w:ascii="Times New Roman" w:hAnsi="Times New Roman" w:eastAsia="宋体"/>
          <w:b w:val="0"/>
          <w:color w:val="000000"/>
          <w:sz w:val="21"/>
        </w:rPr>
        <w:t>概念类事件研究面临一个普遍的方法论挑战：结果导向分类（outcome-driven classification）。当研究者可以根据结果调整分类标准时，发现“显著效应”的概率会大幅上升。这一问题在AI、新能源等概念炒作类研究中尤为突出——产业链边界模糊，许多企业同时涉足多个环节，分类具有较大的主观判断空间。如果研究者在看到结果后有意无意地调整分类，很容易得到“显著”的结果，但这样的结果缺乏可信度。</w:t>
      </w:r>
    </w:p>
    <w:p>
      <w:r>
        <w:rPr>
          <w:rFonts w:ascii="Times New Roman" w:hAnsi="Times New Roman" w:eastAsia="宋体"/>
          <w:b w:val="0"/>
          <w:color w:val="000000"/>
          <w:sz w:val="21"/>
        </w:rPr>
        <w:t>现有文献尚未系统解决这一问题。大多数研究采用事后分类，不披露分类过程，也不讨论分类主观性的影响。这导致概念类研究的可复现性和可信度受到质疑。</w:t>
      </w:r>
    </w:p>
    <w:p>
      <w:pPr>
        <w:pStyle w:val="Heading3"/>
        <w:ind w:firstLine="0"/>
      </w:pPr>
      <w:r>
        <w:t>3.1.2 PCF方法框架</w:t>
      </w:r>
    </w:p>
    <w:p>
      <w:r>
        <w:rPr>
          <w:rFonts w:ascii="Times New Roman" w:hAnsi="Times New Roman" w:eastAsia="宋体"/>
          <w:b w:val="0"/>
          <w:color w:val="000000"/>
          <w:sz w:val="21"/>
        </w:rPr>
        <w:t>为解决这一问题，本文提出事件前分类冻结（Pre-event Classification Freeze，PCF）方法。该方法借鉴了预注册研究（pre-registration）的思想，核心是在看到结果之前确定并冻结分类方案，从而消除结果导向分类的空间。</w:t>
      </w:r>
    </w:p>
    <w:p>
      <w:r>
        <w:rPr>
          <w:rFonts w:ascii="Times New Roman" w:hAnsi="Times New Roman" w:eastAsia="宋体"/>
          <w:b w:val="0"/>
          <w:color w:val="000000"/>
          <w:sz w:val="21"/>
        </w:rPr>
        <w:t>PCF方法包含三个核心步骤：</w:t>
      </w:r>
    </w:p>
    <w:p>
      <w:r>
        <w:rPr>
          <w:rFonts w:ascii="Times New Roman" w:hAnsi="Times New Roman" w:eastAsia="宋体"/>
          <w:b w:val="0"/>
          <w:color w:val="000000"/>
          <w:sz w:val="21"/>
        </w:rPr>
        <w:t>第一步，事件前信息约束。所有分类必须仅使用事件日之前公开可得的信息。这确保了分类不受事件结果的影响，是真正的“事件前”分类。信息源可以是年度报告、招股说明书、行业分类标准等，但必须在事件日前已公开披露。</w:t>
      </w:r>
    </w:p>
    <w:p>
      <w:r>
        <w:rPr>
          <w:rFonts w:ascii="Times New Roman" w:hAnsi="Times New Roman" w:eastAsia="宋体"/>
          <w:b w:val="0"/>
          <w:color w:val="000000"/>
          <w:sz w:val="21"/>
        </w:rPr>
        <w:t>第二步，分类结果冻结。在正式分析结果之前，分类结果必须正式冻结并存档。冻结的内容包括：分类清单、分类标准、分类依据、审核记录、冻结时间和文件哈希值。一旦冻结，不得在分析过程中调整分类。</w:t>
      </w:r>
    </w:p>
    <w:p>
      <w:r>
        <w:rPr>
          <w:rFonts w:ascii="Times New Roman" w:hAnsi="Times New Roman" w:eastAsia="宋体"/>
          <w:b w:val="0"/>
          <w:color w:val="000000"/>
          <w:sz w:val="21"/>
        </w:rPr>
        <w:t>第三步，透明披露。完整披露分类过程和冻结记录，包括每家企业的分类理由、信息来源、审核状态等。这使得其他研究者可以复核分类，评估分类主观性对结果的影响。</w:t>
      </w:r>
    </w:p>
    <w:p>
      <w:pPr>
        <w:pStyle w:val="Heading3"/>
        <w:ind w:firstLine="0"/>
      </w:pPr>
      <w:r>
        <w:t>3.1.3 方法论价值</w:t>
      </w:r>
    </w:p>
    <w:p>
      <w:r>
        <w:rPr>
          <w:rFonts w:ascii="Times New Roman" w:hAnsi="Times New Roman" w:eastAsia="宋体"/>
          <w:b w:val="0"/>
          <w:color w:val="000000"/>
          <w:sz w:val="21"/>
        </w:rPr>
        <w:t>PCF方法具有重要的方法论价值。第一，它有效解决了结果导向分类问题，提高了概念类研究的可信度。第二，它提高了研究的透明度和可复现性，其他研究者可以根据披露的信息独立复核分类。第三，它具有广泛的可推广性，不仅适用于AI产业链研究，也适用于任何涉及概念分类的事件研究（如新能源、生物医药、元宇宙等）。第四，它为实证研究的规范化提供了一个具体范例——通过预注册和透明化来提升研究质量。</w:t>
      </w:r>
    </w:p>
    <w:p>
      <w:pPr>
        <w:pStyle w:val="Heading2"/>
        <w:ind w:firstLine="0"/>
      </w:pPr>
      <w:r>
        <w:t>3.2 事件选择</w:t>
      </w:r>
    </w:p>
    <w:p>
      <w:r>
        <w:rPr>
          <w:rFonts w:ascii="Times New Roman" w:hAnsi="Times New Roman" w:eastAsia="宋体"/>
          <w:b w:val="0"/>
          <w:color w:val="000000"/>
          <w:sz w:val="21"/>
        </w:rPr>
        <w:t>本文选取DeepSeek系列模型发布作为研究事件，包括两个关键发布日：</w:t>
      </w:r>
    </w:p>
    <w:p>
      <w:r>
        <w:rPr>
          <w:rFonts w:ascii="Times New Roman" w:hAnsi="Times New Roman" w:eastAsia="宋体"/>
          <w:b w:val="0"/>
          <w:color w:val="000000"/>
          <w:sz w:val="21"/>
        </w:rPr>
        <w:t>核心事件：DeepSeek-V3，发布于2024年12月26日。DeepSeek-V3是DeepSeek团队推出的第三代基础大模型，采用MoE（混合专家）架构，在多项基准测试中表现优异，被视为中国大模型技术的重要突破。该事件具有以下特点：发布日期明确、技术突破具有实质性、覆盖AI全产业链、市场关注度高。本文将其作为主分析对象，预设[-1,+1]为主要事件窗口。</w:t>
      </w:r>
    </w:p>
    <w:p>
      <w:r>
        <w:rPr>
          <w:rFonts w:ascii="Times New Roman" w:hAnsi="Times New Roman" w:eastAsia="宋体"/>
          <w:b w:val="0"/>
          <w:color w:val="000000"/>
          <w:sz w:val="21"/>
        </w:rPr>
        <w:t>补充事件：DeepSeek-R1，发布于2025年1月20日。DeepSeek-R1是推理增强模型，专注于复杂推理任务。该事件距离V3发布仅约一个月，可以作为补充验证，也可以用于考察连续技术冲击下的动态模式。</w:t>
      </w:r>
    </w:p>
    <w:p>
      <w:r>
        <w:rPr>
          <w:rFonts w:ascii="Times New Roman" w:hAnsi="Times New Roman" w:eastAsia="宋体"/>
          <w:b w:val="0"/>
          <w:color w:val="000000"/>
          <w:sz w:val="21"/>
        </w:rPr>
        <w:t>选择DeepSeek事件而非其他模型发布事件（如ChatGPT、GPT-4），主要基于以下考虑：第一，DeepSeek是中国本土企业开发的大模型，对A股AI产业链的影响更直接；第二，DeepSeek发布时间较晚，AI产业链上市公司的分类和业务更加清晰；第三，V3和R1两次发布间隔较短，可以提供动态模式分析的机会。</w:t>
      </w:r>
    </w:p>
    <w:p>
      <w:pPr>
        <w:pStyle w:val="Heading2"/>
        <w:ind w:firstLine="0"/>
      </w:pPr>
      <w:r>
        <w:t>3.3 样本与数据</w:t>
      </w:r>
    </w:p>
    <w:p>
      <w:r>
        <w:rPr>
          <w:rFonts w:ascii="Times New Roman" w:hAnsi="Times New Roman" w:eastAsia="宋体"/>
          <w:b w:val="0"/>
          <w:color w:val="000000"/>
          <w:sz w:val="21"/>
        </w:rPr>
        <w:t>本文样本包括60家A股人工智能产业链上市公司。样本选择遵循以下原则：第一，主营业务与AI产业链具有明确关联，涵盖上游算力基础设施、中游软件平台和下游行业应用；第二，事件窗口前后具有完整的交易数据；第三，2023年年度报告中披露了清晰的业务信息，便于进行产业链分类；第四，在A股市场上市，具有较好的流动性和信息披露质量。</w:t>
      </w:r>
    </w:p>
    <w:p>
      <w:r>
        <w:rPr>
          <w:rFonts w:ascii="Times New Roman" w:hAnsi="Times New Roman" w:eastAsia="宋体"/>
          <w:b w:val="0"/>
          <w:color w:val="000000"/>
          <w:sz w:val="21"/>
        </w:rPr>
        <w:t>股票收益数据和市场指数数据来源于同花顺iFinD数据库。本文使用日度收益率（考虑现金红利再投资）。市场基准指数包括沪深300指数（主基准）、上证综指和深证成指。估计窗口为事件前约221个交易日（[-250, -30]），用于估计市场模型参数。</w:t>
      </w:r>
    </w:p>
    <w:p>
      <w:r>
        <w:rPr>
          <w:rFonts w:ascii="Times New Roman" w:hAnsi="Times New Roman" w:eastAsia="宋体"/>
          <w:b w:val="0"/>
          <w:color w:val="000000"/>
          <w:sz w:val="21"/>
        </w:rPr>
        <w:t>企业财务数据和基本信息来源于CSMAR数据库和公司年度报告。财务数据包括总资产、净利润、营业收入、资产负债率等，用于描述性统计和异质性分析。企业主营业务信息来源于2023年年度报告，用于产业链分类。年度报告PDF文件从巨潮资讯网（www.cninfo.com.cn）下载。</w:t>
      </w:r>
    </w:p>
    <w:p>
      <w:pPr>
        <w:pStyle w:val="Heading2"/>
        <w:ind w:firstLine="0"/>
      </w:pPr>
      <w:r>
        <w:t>3.4 产业链分类（PCF实施）</w:t>
      </w:r>
    </w:p>
    <w:p>
      <w:r>
        <w:rPr>
          <w:rFonts w:ascii="Times New Roman" w:hAnsi="Times New Roman" w:eastAsia="宋体"/>
          <w:b w:val="0"/>
          <w:color w:val="000000"/>
          <w:sz w:val="21"/>
        </w:rPr>
        <w:t>本文严格按照PCF方法进行产业链分类。</w:t>
      </w:r>
    </w:p>
    <w:p>
      <w:r>
        <w:rPr>
          <w:rFonts w:ascii="Times New Roman" w:hAnsi="Times New Roman" w:eastAsia="宋体"/>
          <w:b w:val="0"/>
          <w:color w:val="000000"/>
          <w:sz w:val="21"/>
        </w:rPr>
        <w:t>信息源：仅使用2023年年度报告中披露的业务信息。2023年年度报告均在2024年4月底前披露，早于DeepSeek-V3发布日（2024年12月26日），满足事件前信息约束。</w:t>
      </w:r>
    </w:p>
    <w:p>
      <w:r>
        <w:rPr>
          <w:rFonts w:ascii="Times New Roman" w:hAnsi="Times New Roman" w:eastAsia="宋体"/>
          <w:b w:val="0"/>
          <w:color w:val="000000"/>
          <w:sz w:val="21"/>
        </w:rPr>
        <w:t>分类标准：依据企业在AI价值链中的主要经济功能，将企业划分为上游、中游和下游三类。上游企业主要提供AI训练与推理所需的硬件基础设施，包括芯片设计与制造、服务器、光模块/光通信、印制电路板（PCB）和数据中心等。中游企业主要提供软件平台、数据服务、安全产品和系统集成等，承担技术适配与扩散功能。下游企业主要将AI技术应用于具体行业场景，包括办公应用、金融科技、医疗健康、城市治理和消费应用等。</w:t>
      </w:r>
    </w:p>
    <w:p>
      <w:r>
        <w:rPr>
          <w:rFonts w:ascii="Times New Roman" w:hAnsi="Times New Roman" w:eastAsia="宋体"/>
          <w:b w:val="0"/>
          <w:color w:val="000000"/>
          <w:sz w:val="21"/>
        </w:rPr>
        <w:t>审核机制：采用多轮审核确保分类质量。首先由算法基于业务关键词进行初步分类建议，然后由人工逐家审核确认，对存在歧义的企业进行重点讨论和复核。每家企业的分类都记录了详细的分类理由和年报证据摘录。</w:t>
      </w:r>
    </w:p>
    <w:p>
      <w:r>
        <w:rPr>
          <w:rFonts w:ascii="Times New Roman" w:hAnsi="Times New Roman" w:eastAsia="宋体"/>
          <w:b w:val="0"/>
          <w:color w:val="000000"/>
          <w:sz w:val="21"/>
        </w:rPr>
        <w:t>冻结程序：分类结果在正式分析前正式冻结。冻结内容包括：60家企业的分类清单、每家企业的分类理由、年报链接、审核状态、冻结时间（2026年7月27日）和文件哈希值。冻结后，分析过程中不再调整分类。</w:t>
      </w:r>
    </w:p>
    <w:p>
      <w:pPr>
        <w:spacing w:before="200" w:after="120"/>
        <w:ind w:firstLine="0"/>
        <w:jc w:val="center"/>
      </w:pPr>
      <w:r>
        <w:rPr>
          <w:rFonts w:ascii="Times New Roman" w:hAnsi="Times New Roman" w:eastAsia="黑体"/>
          <w:b/>
          <w:color w:val="000000"/>
          <w:sz w:val="21"/>
        </w:rPr>
        <w:t>表1  最终产业链分类分布（PCF冻结版）</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c>
          <w:tcPr>
            <w:tcW w:type="dxa" w:w="1701"/>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产业链位置</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公司数量</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占比</w:t>
            </w:r>
          </w:p>
        </w:tc>
        <w:tc>
          <w:tcPr>
            <w:tcW w:type="dxa" w:w="4819"/>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主要经济功能</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上游</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35.0%</w:t>
            </w:r>
          </w:p>
        </w:tc>
        <w:tc>
          <w:tcPr>
            <w:tcW w:type="dxa" w:w="481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芯片、服务器、光通信、PCB及算力基础设施</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中游</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24</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40.0%</w:t>
            </w:r>
          </w:p>
        </w:tc>
        <w:tc>
          <w:tcPr>
            <w:tcW w:type="dxa" w:w="481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通用软件、数据平台、安全产品及系统集成</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下游</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15</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25.0%</w:t>
            </w:r>
          </w:p>
        </w:tc>
        <w:tc>
          <w:tcPr>
            <w:tcW w:type="dxa" w:w="481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办公、金融、医疗、城市治理及消费应用</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合计</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60</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100.0%</w:t>
            </w:r>
          </w:p>
        </w:tc>
        <w:tc>
          <w:tcPr>
            <w:tcW w:type="dxa" w:w="481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bl>
    <w:p>
      <w:pPr>
        <w:spacing w:before="60" w:after="160"/>
        <w:ind w:firstLine="0"/>
      </w:pPr>
      <w:r>
        <w:rPr>
          <w:rFonts w:ascii="Times New Roman" w:hAnsi="Times New Roman" w:eastAsia="宋体"/>
          <w:b w:val="0"/>
          <w:color w:val="555555"/>
          <w:sz w:val="17"/>
        </w:rPr>
        <w:t>注：作者根据2023年年度报告事件前证据整理。分类在结果分析前冻结（PCF方法）。冻结时间：2026-07-27。</w:t>
      </w:r>
    </w:p>
    <w:p>
      <w:pPr>
        <w:pStyle w:val="Heading2"/>
        <w:ind w:firstLine="0"/>
      </w:pPr>
      <w:r>
        <w:t>3.5 异常收益计算</w:t>
      </w:r>
    </w:p>
    <w:p>
      <w:r>
        <w:rPr>
          <w:rFonts w:ascii="Times New Roman" w:hAnsi="Times New Roman" w:eastAsia="宋体"/>
          <w:b w:val="0"/>
          <w:color w:val="000000"/>
          <w:sz w:val="21"/>
        </w:rPr>
        <w:t>本文使用标准市场模型估计正常收益（MacKinlay, 1997）：</w:t>
      </w:r>
    </w:p>
    <w:p>
      <w:pPr>
        <w:ind w:firstLine="0"/>
      </w:pPr>
      <w:r>
        <w:rPr>
          <w:rFonts w:ascii="Times New Roman" w:hAnsi="Times New Roman" w:eastAsia="宋体"/>
          <w:b w:val="0"/>
          <w:i/>
          <w:color w:val="000000"/>
          <w:sz w:val="21"/>
        </w:rPr>
        <w:t>R_it = α_i + β_i × R_mt + ε_it  （1）</w:t>
      </w:r>
    </w:p>
    <w:p>
      <w:r>
        <w:rPr>
          <w:rFonts w:ascii="Times New Roman" w:hAnsi="Times New Roman" w:eastAsia="宋体"/>
          <w:b w:val="0"/>
          <w:color w:val="000000"/>
          <w:sz w:val="21"/>
        </w:rPr>
      </w:r>
    </w:p>
    <w:p>
      <w:r>
        <w:rPr>
          <w:rFonts w:ascii="Times New Roman" w:hAnsi="Times New Roman" w:eastAsia="宋体"/>
          <w:b w:val="0"/>
          <w:color w:val="000000"/>
          <w:sz w:val="21"/>
        </w:rPr>
        <w:t>其中，R_it为公司i在第t日的收益率，R_mt为市场指数收益率，α_i和β_i为待估参数。估计窗口为事件前约221个交易日（[-250, -30]），通过OLS估计。</w:t>
      </w:r>
    </w:p>
    <w:p>
      <w:r>
        <w:rPr>
          <w:rFonts w:ascii="Times New Roman" w:hAnsi="Times New Roman" w:eastAsia="宋体"/>
          <w:b w:val="0"/>
          <w:color w:val="000000"/>
          <w:sz w:val="21"/>
        </w:rPr>
        <w:t>异常收益定义为实际收益与市场模型预测收益之差：</w:t>
      </w:r>
    </w:p>
    <w:p>
      <w:pPr>
        <w:ind w:firstLine="0"/>
      </w:pPr>
      <w:r>
        <w:rPr>
          <w:rFonts w:ascii="Times New Roman" w:hAnsi="Times New Roman" w:eastAsia="宋体"/>
          <w:b w:val="0"/>
          <w:i/>
          <w:color w:val="000000"/>
          <w:sz w:val="21"/>
        </w:rPr>
        <w:t>AR_it = R_it - (α̂_i + β̂_i × R_mt)  （2）</w:t>
      </w:r>
    </w:p>
    <w:p>
      <w:r>
        <w:rPr>
          <w:rFonts w:ascii="Times New Roman" w:hAnsi="Times New Roman" w:eastAsia="宋体"/>
          <w:b w:val="0"/>
          <w:color w:val="000000"/>
          <w:sz w:val="21"/>
        </w:rPr>
      </w:r>
    </w:p>
    <w:p>
      <w:r>
        <w:rPr>
          <w:rFonts w:ascii="Times New Roman" w:hAnsi="Times New Roman" w:eastAsia="宋体"/>
          <w:b w:val="0"/>
          <w:color w:val="000000"/>
          <w:sz w:val="21"/>
        </w:rPr>
        <w:t>累计异常收益（CAR）定义为事件窗口内异常收益的累计：</w:t>
      </w:r>
    </w:p>
    <w:p>
      <w:pPr>
        <w:ind w:firstLine="0"/>
      </w:pPr>
      <w:r>
        <w:rPr>
          <w:rFonts w:ascii="Times New Roman" w:hAnsi="Times New Roman" w:eastAsia="宋体"/>
          <w:b w:val="0"/>
          <w:i/>
          <w:color w:val="000000"/>
          <w:sz w:val="21"/>
        </w:rPr>
        <w:t>CAR_i(τ₁, τ₂) = Σ AR_it  （3）</w:t>
      </w:r>
    </w:p>
    <w:p>
      <w:r>
        <w:rPr>
          <w:rFonts w:ascii="Times New Roman" w:hAnsi="Times New Roman" w:eastAsia="宋体"/>
          <w:b w:val="0"/>
          <w:color w:val="000000"/>
          <w:sz w:val="21"/>
        </w:rPr>
      </w:r>
    </w:p>
    <w:p>
      <w:r>
        <w:rPr>
          <w:rFonts w:ascii="Times New Roman" w:hAnsi="Times New Roman" w:eastAsia="宋体"/>
          <w:b w:val="0"/>
          <w:color w:val="000000"/>
          <w:sz w:val="21"/>
        </w:rPr>
        <w:t>本文报告三个事件窗口：[-1,+1]（主窗口）、[-3,+3]和[-5,+5]。使用三种市场基准：沪深300（主基准）、上证综指、深证成指。</w:t>
      </w:r>
    </w:p>
    <w:p>
      <w:pPr>
        <w:pStyle w:val="Heading2"/>
        <w:ind w:firstLine="0"/>
      </w:pPr>
      <w:r>
        <w:t>3.6 检验方法</w:t>
      </w:r>
    </w:p>
    <w:p>
      <w:pPr>
        <w:pStyle w:val="Heading3"/>
        <w:ind w:firstLine="0"/>
      </w:pPr>
      <w:r>
        <w:t>3.6.1 有序梯度检验</w:t>
      </w:r>
    </w:p>
    <w:p>
      <w:r>
        <w:rPr>
          <w:rFonts w:ascii="Times New Roman" w:hAnsi="Times New Roman" w:eastAsia="宋体"/>
          <w:b w:val="0"/>
          <w:color w:val="000000"/>
          <w:sz w:val="21"/>
        </w:rPr>
        <w:t>本文的核心检验方法是有序梯度检验。将产业链位置编码为有序变量：下游=0，中游=1，上游=2，然后估计横截面回归：</w:t>
      </w:r>
    </w:p>
    <w:p>
      <w:pPr>
        <w:ind w:firstLine="0"/>
      </w:pPr>
      <w:r>
        <w:rPr>
          <w:rFonts w:ascii="Times New Roman" w:hAnsi="Times New Roman" w:eastAsia="宋体"/>
          <w:b w:val="0"/>
          <w:i/>
          <w:color w:val="000000"/>
          <w:sz w:val="21"/>
        </w:rPr>
        <w:t>CAR_i = γ₀ + γ₁ × Layer_i + ε_i  （4）</w:t>
      </w:r>
    </w:p>
    <w:p>
      <w:r>
        <w:rPr>
          <w:rFonts w:ascii="Times New Roman" w:hAnsi="Times New Roman" w:eastAsia="宋体"/>
          <w:b w:val="0"/>
          <w:color w:val="000000"/>
          <w:sz w:val="21"/>
        </w:rPr>
      </w:r>
    </w:p>
    <w:p>
      <w:r>
        <w:rPr>
          <w:rFonts w:ascii="Times New Roman" w:hAnsi="Times New Roman" w:eastAsia="宋体"/>
          <w:b w:val="0"/>
          <w:color w:val="000000"/>
          <w:sz w:val="21"/>
        </w:rPr>
        <w:t>其中，CAR_i为企业i的累计异常收益，Layer_i为产业链位置编码，γ₁为梯度系数。使用HC1异方差稳健标准误进行统计推断。</w:t>
      </w:r>
    </w:p>
    <w:p>
      <w:r>
        <w:rPr>
          <w:rFonts w:ascii="Times New Roman" w:hAnsi="Times New Roman" w:eastAsia="宋体"/>
          <w:b w:val="0"/>
          <w:color w:val="000000"/>
          <w:sz w:val="21"/>
        </w:rPr>
        <w:t>梯度检验的优势在于：第一，利用了全部三层信息，检验效率高于两两比较；第二，可以直接呈现梯度的经济magnitude；第三，与V-CAG理论的“梯度”概念直接对应。</w:t>
      </w:r>
    </w:p>
    <w:p>
      <w:pPr>
        <w:pStyle w:val="Heading3"/>
        <w:ind w:firstLine="0"/>
      </w:pPr>
      <w:r>
        <w:t>3.6.2 两两比较检验</w:t>
      </w:r>
    </w:p>
    <w:p>
      <w:r>
        <w:rPr>
          <w:rFonts w:ascii="Times New Roman" w:hAnsi="Times New Roman" w:eastAsia="宋体"/>
          <w:b w:val="0"/>
          <w:color w:val="000000"/>
          <w:sz w:val="21"/>
        </w:rPr>
        <w:t>作为补充，本文还进行两两比较检验。使用Welch t检验比较不同组间的平均累计异常收益是否存在显著差异。Welch t检验不假设两组方差相等，适用于两组样本量和方差可能不同的情况。</w:t>
      </w:r>
    </w:p>
    <w:p>
      <w:r>
        <w:rPr>
          <w:rFonts w:ascii="Times New Roman" w:hAnsi="Times New Roman" w:eastAsia="宋体"/>
          <w:b w:val="0"/>
          <w:color w:val="000000"/>
          <w:sz w:val="21"/>
        </w:rPr>
        <w:t>主要比较：上游 vs 下游（核心比较）。辅助比较：上游 vs 中游、中游 vs 下游。</w:t>
      </w:r>
    </w:p>
    <w:p>
      <w:pPr>
        <w:pStyle w:val="Heading2"/>
        <w:ind w:firstLine="0"/>
      </w:pPr>
      <w:r>
        <w:t>3.7 多重检验校正与透明披露</w:t>
      </w:r>
    </w:p>
    <w:p>
      <w:r>
        <w:rPr>
          <w:rFonts w:ascii="Times New Roman" w:hAnsi="Times New Roman" w:eastAsia="宋体"/>
          <w:b w:val="0"/>
          <w:color w:val="000000"/>
          <w:sz w:val="21"/>
        </w:rPr>
        <w:t>由于本文同时检验多个事件、多个市场基准、多个事件窗口和多组比较，存在多重检验问题。为控制假阳性率，本文同时报告两种多重检验校正方法：</w:t>
      </w:r>
    </w:p>
    <w:p>
      <w:r>
        <w:rPr>
          <w:rFonts w:ascii="Times New Roman" w:hAnsi="Times New Roman" w:eastAsia="宋体"/>
          <w:b w:val="0"/>
          <w:color w:val="000000"/>
          <w:sz w:val="21"/>
        </w:rPr>
        <w:t>第一，Benjamini-Hochberg虚假发现率（FDR）校正（Benjamini and Hochberg, 1995）。BH-FDR方法控制在所有被拒绝的原假设中，错误拒绝的预期比例。该方法比传统的家族错误率方法更宽松，在检验数量较多时具有更高的检验效力。本文将BH-FDR校正作为主要的多重检验控制标准。</w:t>
      </w:r>
    </w:p>
    <w:p>
      <w:r>
        <w:rPr>
          <w:rFonts w:ascii="Times New Roman" w:hAnsi="Times New Roman" w:eastAsia="宋体"/>
          <w:b w:val="0"/>
          <w:color w:val="000000"/>
          <w:sz w:val="21"/>
        </w:rPr>
        <w:t>第二，Bonferroni校正。Bonferroni方法通过将显著性水平除以检验总数来控制家族错误率，是最保守的多重检验校正方法。本文将其作为最严格的边界参考。</w:t>
      </w:r>
    </w:p>
    <w:p>
      <w:r>
        <w:rPr>
          <w:rFonts w:ascii="Times New Roman" w:hAnsi="Times New Roman" w:eastAsia="宋体"/>
          <w:b w:val="0"/>
          <w:color w:val="000000"/>
          <w:sz w:val="21"/>
        </w:rPr>
        <w:t>检验集合定义：2事件 × 3基准 × 3窗口 × 2检验（梯度+上下游比较） = 36个检验。本文完整披露所有36个检验的结果，不选择性报告。这种透明披露的做法符合开放科学的精神，有助于读者全面评估结果的稳健性。</w:t>
      </w:r>
    </w:p>
    <w:p>
      <w:r>
        <w:rPr>
          <w:rFonts w:ascii="Times New Roman" w:hAnsi="Times New Roman" w:eastAsia="宋体"/>
          <w:b w:val="0"/>
          <w:color w:val="000000"/>
          <w:sz w:val="21"/>
        </w:rPr>
        <w:t>主结论标准：在预设主规格（DeepSeek-V3、沪深300、[-1,+1]窗口）下，BH-FDR校正后的p值小于5%。对于非预设的探索性检验，仅作为补充证据。</w:t>
      </w:r>
    </w:p>
    <w:p>
      <w:pPr>
        <w:pStyle w:val="Heading1"/>
        <w:ind w:firstLine="0"/>
      </w:pPr>
      <w:r>
        <w:t>四、实证结果：梯度效应的存在性与动态模式</w:t>
      </w:r>
    </w:p>
    <w:p>
      <w:pPr>
        <w:pStyle w:val="Heading2"/>
        <w:ind w:firstLine="0"/>
      </w:pPr>
      <w:r>
        <w:t>4.1 描述性统计</w:t>
      </w:r>
    </w:p>
    <w:p>
      <w:r>
        <w:rPr>
          <w:rFonts w:ascii="Times New Roman" w:hAnsi="Times New Roman" w:eastAsia="宋体"/>
          <w:b w:val="0"/>
          <w:color w:val="000000"/>
          <w:sz w:val="21"/>
        </w:rPr>
        <w:t>表2报告了主要变量的描述性统计。样本期间为2019年1月至2026年6月的月度面板数据。从表中可以看出，上游企业的平均超额收益为4.24%，高于下游企业的0.81%，差异在经济意义上较为显著。这一初步观察与V-CAG理论的预测一致。</w:t>
      </w:r>
    </w:p>
    <w:p>
      <w:r>
        <w:rPr>
          <w:rFonts w:ascii="Times New Roman" w:hAnsi="Times New Roman" w:eastAsia="宋体"/>
          <w:b w:val="0"/>
          <w:color w:val="000000"/>
          <w:sz w:val="21"/>
        </w:rPr>
        <w:t>从企业特征来看，上游企业的平均规模（总资产对数）为4.999，高于下游企业的4.097。上游企业的ROA为4.52%，显著高于下游企业的0.79%。下游企业的资产负债率为39.1%，高于上游企业的31.3%。这些特征差异表明，上下游企业在规模、盈利能力和资本结构等方面存在系统性差异，需要在后续分析中加以讨论。</w:t>
      </w:r>
    </w:p>
    <w:p>
      <w:pPr>
        <w:spacing w:before="200" w:after="120"/>
        <w:ind w:firstLine="0"/>
        <w:jc w:val="center"/>
      </w:pPr>
      <w:r>
        <w:rPr>
          <w:rFonts w:ascii="Times New Roman" w:hAnsi="Times New Roman" w:eastAsia="黑体"/>
          <w:b/>
          <w:color w:val="000000"/>
          <w:sz w:val="21"/>
        </w:rPr>
        <w:t>表2  主要变量描述性统计（月度面板）</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c>
          <w:tcPr>
            <w:tcW w:type="dxa" w:w="2268"/>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变量</w:t>
            </w:r>
          </w:p>
        </w:tc>
        <w:tc>
          <w:tcPr>
            <w:tcW w:type="dxa" w:w="198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上游</w:t>
            </w:r>
          </w:p>
        </w:tc>
        <w:tc>
          <w:tcPr>
            <w:tcW w:type="dxa" w:w="198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下游</w:t>
            </w:r>
          </w:p>
        </w:tc>
        <w:tc>
          <w:tcPr>
            <w:tcW w:type="dxa" w:w="2835"/>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差异说明</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超额收益均值</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0.0424</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0.0081</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上游更高</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超额收益标准差</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0.1931</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0.1712</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上游波动更大</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观测值数</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1,729</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1,786</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Size均值</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4.9994</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4.0972</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上游规模更大</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Size标准差</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1.0257</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0.8751</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ROA均值</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0.0452</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0.0079</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上游盈利更强</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ROA标准差</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0.0489</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0.0453</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Leverage均值</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0.3132</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0.3910</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下游杠杆更高</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Leverage标准差</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0.1816</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0.1947</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bl>
    <w:p>
      <w:pPr>
        <w:spacing w:before="60" w:after="160"/>
        <w:ind w:firstLine="0"/>
      </w:pPr>
      <w:r>
        <w:rPr>
          <w:rFonts w:ascii="Times New Roman" w:hAnsi="Times New Roman" w:eastAsia="宋体"/>
          <w:b w:val="0"/>
          <w:color w:val="555555"/>
          <w:sz w:val="17"/>
        </w:rPr>
        <w:t>注：数据来源为同花顺iFinD和CSMAR。样本期间为2019年1月至2026年6月。Size为总资产对数，ROA为资产收益率，Leverage为资产负债率。</w:t>
      </w:r>
    </w:p>
    <w:p>
      <w:pPr>
        <w:pStyle w:val="Heading2"/>
        <w:ind w:firstLine="0"/>
      </w:pPr>
      <w:r>
        <w:t>4.2 主结果：产业链梯度效应</w:t>
      </w:r>
    </w:p>
    <w:p>
      <w:r>
        <w:rPr>
          <w:rFonts w:ascii="Times New Roman" w:hAnsi="Times New Roman" w:eastAsia="宋体"/>
          <w:b w:val="0"/>
          <w:color w:val="000000"/>
          <w:sz w:val="21"/>
        </w:rPr>
        <w:t>表3报告了DeepSeek-V3事件的主规格结果。主规格设定为：事件日2024年12月26日，市场基准为沪深300指数，事件窗口为[-1,+1]。</w:t>
      </w:r>
    </w:p>
    <w:p>
      <w:r>
        <w:rPr>
          <w:rFonts w:ascii="Times New Roman" w:hAnsi="Times New Roman" w:eastAsia="宋体"/>
          <w:b w:val="0"/>
          <w:color w:val="000000"/>
          <w:sz w:val="21"/>
        </w:rPr>
        <w:t>Panel A报告上游与下游的两两比较结果。在[-1,+1]窗口内，上游企业的平均累计异常收益为2.28%，下游企业为-1.45%，上游比下游高3.73个百分点。Welch t检验的t值为2.738，原始p值为0.010，在5%水平上统计显著。经过BH-FDR多重检验校正后，p值为0.026，仍然在5%水平上显著。但经过最保守的Bonferroni校正后，p值为0.548，不再显著。</w:t>
      </w:r>
    </w:p>
    <w:p>
      <w:r>
        <w:rPr>
          <w:rFonts w:ascii="Times New Roman" w:hAnsi="Times New Roman" w:eastAsia="宋体"/>
          <w:b w:val="0"/>
          <w:color w:val="000000"/>
          <w:sz w:val="21"/>
        </w:rPr>
        <w:t>Panel B的梯度检验结果显示，产业链梯度斜率为0.0192，即产业链位置每上移一个层级，累计异常收益提高1.92个百分点。HC1稳健标准误为0.0067，t值为2.861，原始p值为0.004，在1%水平上显著。BH-FDR校正p值为0.006，仍然在1%水平上显著。Bonferroni校正p值为0.076，在10%水平上边缘显著。</w:t>
      </w:r>
    </w:p>
    <w:p>
      <w:r>
        <w:rPr>
          <w:rFonts w:ascii="Times New Roman" w:hAnsi="Times New Roman" w:eastAsia="宋体"/>
          <w:b w:val="0"/>
          <w:color w:val="000000"/>
          <w:sz w:val="21"/>
        </w:rPr>
        <w:t>梯度检验的显著性强于上下游两两比较，这是因为梯度检验利用了全部三层信息，检验效率更高。综合来看，主规格结果强烈支持假设H1：DeepSeek-V3发布后，AI产业链存在显著的梯度效应。</w:t>
      </w:r>
    </w:p>
    <w:p>
      <w:pPr>
        <w:spacing w:before="200" w:after="120"/>
        <w:ind w:firstLine="0"/>
        <w:jc w:val="center"/>
      </w:pPr>
      <w:r>
        <w:rPr>
          <w:rFonts w:ascii="Times New Roman" w:hAnsi="Times New Roman" w:eastAsia="黑体"/>
          <w:b/>
          <w:color w:val="000000"/>
          <w:sz w:val="21"/>
        </w:rPr>
        <w:t>表3  DeepSeek-V3主规格结果（沪深300，[-1,+1]窗口）</w:t>
      </w:r>
    </w:p>
    <w:tbl>
      <w:tblPr>
        <w:tblStyle w:val="TableGrid"/>
        <w:tblW w:type="auto" w:w="0"/>
        <w:jc w:val="center"/>
        <w:tblLayout w:type="fixed"/>
        <w:tblLook w:firstColumn="1" w:firstRow="1" w:lastColumn="0" w:lastRow="0" w:noHBand="0" w:noVBand="1" w:val="04A0"/>
      </w:tblPr>
      <w:tblGrid>
        <w:gridCol w:w="1263"/>
        <w:gridCol w:w="1263"/>
        <w:gridCol w:w="1263"/>
        <w:gridCol w:w="1263"/>
        <w:gridCol w:w="1263"/>
        <w:gridCol w:w="1263"/>
        <w:gridCol w:w="1263"/>
      </w:tblGrid>
      <w:tr>
        <w:tc>
          <w:tcPr>
            <w:tcW w:type="dxa" w:w="198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检验类型</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效应值</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标准误/t值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Bonferroni p</w:t>
            </w:r>
          </w:p>
        </w:tc>
        <w:tc>
          <w:tcPr>
            <w:tcW w:type="dxa" w:w="85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BH显著</w:t>
            </w:r>
          </w:p>
        </w:tc>
      </w:tr>
      <w:tr>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Panel A：上游 vs 下游</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0.0373</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t=2.738</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0.0102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0.0261</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0.5484</w:t>
            </w:r>
          </w:p>
        </w:tc>
        <w:tc>
          <w:tcPr>
            <w:tcW w:type="dxa" w:w="85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Panel B：产业链梯度</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SE=0.0067</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0.0042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0.0063</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0.0759</w:t>
            </w:r>
          </w:p>
        </w:tc>
        <w:tc>
          <w:tcPr>
            <w:tcW w:type="dxa" w:w="85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bl>
    <w:p>
      <w:pPr>
        <w:spacing w:before="60" w:after="160"/>
        <w:ind w:firstLine="0"/>
      </w:pPr>
      <w:r>
        <w:rPr>
          <w:rFonts w:ascii="Times New Roman" w:hAnsi="Times New Roman" w:eastAsia="宋体"/>
          <w:b w:val="0"/>
          <w:color w:val="555555"/>
          <w:sz w:val="17"/>
        </w:rPr>
        <w:t>注：样本为60家A股AI产业链企业。上游21家，中游24家，下游15家。梯度检验中Layer编码：下游=0，中游=1，上游=2。标准误为HC1稳健标准误。BH-FDR和Bonferroni为全局多重检验校正（36个检验）。</w:t>
      </w:r>
    </w:p>
    <w:p>
      <w:pPr>
        <w:pStyle w:val="Heading2"/>
        <w:ind w:firstLine="0"/>
      </w:pPr>
      <w:r>
        <w:t>4.3 稳健性检验</w:t>
      </w:r>
    </w:p>
    <w:p>
      <w:pPr>
        <w:pStyle w:val="Heading3"/>
        <w:ind w:firstLine="0"/>
      </w:pPr>
      <w:r>
        <w:t>4.3.1 替代市场基准</w:t>
      </w:r>
    </w:p>
    <w:p>
      <w:r>
        <w:rPr>
          <w:rFonts w:ascii="Times New Roman" w:hAnsi="Times New Roman" w:eastAsia="宋体"/>
          <w:b w:val="0"/>
          <w:color w:val="000000"/>
          <w:sz w:val="21"/>
        </w:rPr>
        <w:t>为检验结果对市场基准选择的敏感性，本文同时使用上证综指和深证成指作为替代基准。表4报告了三种市场基准下的梯度检验结果。可以看出，无论使用哪种市场基准，产业链梯度斜率均为正且在BH-FDR校正后显著。上证综指基准下梯度斜率为0.0195（p=0.004），深证成指基准下为0.0192（p=0.004），与沪深300基准下的0.0192非常接近。这表明结果对市场基准的选择不敏感。</w:t>
      </w:r>
    </w:p>
    <w:p>
      <w:pPr>
        <w:spacing w:before="200" w:after="120"/>
        <w:ind w:firstLine="0"/>
        <w:jc w:val="center"/>
      </w:pPr>
      <w:r>
        <w:rPr>
          <w:rFonts w:ascii="Times New Roman" w:hAnsi="Times New Roman" w:eastAsia="黑体"/>
          <w:b/>
          <w:color w:val="000000"/>
          <w:sz w:val="21"/>
        </w:rPr>
        <w:t>表4  替代市场基准的梯度检验结果（DeepSeek-V3，[-1,+1]窗口）</w:t>
      </w:r>
    </w:p>
    <w:tbl>
      <w:tblPr>
        <w:tblStyle w:val="TableGrid"/>
        <w:tblW w:type="auto" w:w="0"/>
        <w:jc w:val="center"/>
        <w:tblLayout w:type="fixed"/>
        <w:tblLook w:firstColumn="1" w:firstRow="1" w:lastColumn="0" w:lastRow="0" w:noHBand="0" w:noVBand="1" w:val="04A0"/>
      </w:tblPr>
      <w:tblGrid>
        <w:gridCol w:w="1263"/>
        <w:gridCol w:w="1263"/>
        <w:gridCol w:w="1263"/>
        <w:gridCol w:w="1263"/>
        <w:gridCol w:w="1263"/>
        <w:gridCol w:w="1263"/>
        <w:gridCol w:w="1263"/>
      </w:tblGrid>
      <w:tr>
        <w:tc>
          <w:tcPr>
            <w:tcW w:type="dxa" w:w="198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市场基准</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梯度斜率</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HC1标准误</w:t>
            </w:r>
          </w:p>
        </w:tc>
        <w:tc>
          <w:tcPr>
            <w:tcW w:type="dxa" w:w="102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96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BH显著</w:t>
            </w:r>
          </w:p>
        </w:tc>
      </w:tr>
      <w:tr>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上证综指</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0.0195</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2.903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0.0037</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0.0063</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沪深300（主基准）</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2.861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0.0042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0.0063</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深证成指</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2.863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0.0042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0.0063</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bl>
    <w:p>
      <w:pPr>
        <w:spacing w:before="60" w:after="160"/>
        <w:ind w:firstLine="0"/>
      </w:pPr>
      <w:r>
        <w:rPr>
          <w:rFonts w:ascii="Times New Roman" w:hAnsi="Times New Roman" w:eastAsia="宋体"/>
          <w:b w:val="0"/>
          <w:color w:val="555555"/>
          <w:sz w:val="17"/>
        </w:rPr>
        <w:t>注：梯度检验基于60家企业的横截面回归。Layer编码：下游=0，中游=1，上游=2。标准误为HC1异方差稳健标准误。</w:t>
      </w:r>
    </w:p>
    <w:p>
      <w:pPr>
        <w:pStyle w:val="Heading3"/>
        <w:ind w:firstLine="0"/>
      </w:pPr>
      <w:r>
        <w:t>4.3.2 替代事件窗口</w:t>
      </w:r>
    </w:p>
    <w:p>
      <w:r>
        <w:rPr>
          <w:rFonts w:ascii="Times New Roman" w:hAnsi="Times New Roman" w:eastAsia="宋体"/>
          <w:b w:val="0"/>
          <w:color w:val="000000"/>
          <w:sz w:val="21"/>
        </w:rPr>
        <w:t>表5报告了不同事件窗口的梯度检验结果。从表中可以看出，随着窗口扩大，梯度斜率持续增大：[-1,+1]窗口为1.92个百分点，[-3,+3]窗口增至4.55个百分点，[-5,+5]窗口进一步增至7.04个百分点。所有窗口的结果在BH-FDR校正后均显著，且[-3,+3]和[-5,+5]窗口甚至通过了最保守的Bonferroni校正。</w:t>
      </w:r>
    </w:p>
    <w:p>
      <w:r>
        <w:rPr>
          <w:rFonts w:ascii="Times New Roman" w:hAnsi="Times New Roman" w:eastAsia="宋体"/>
          <w:b w:val="0"/>
          <w:color w:val="000000"/>
          <w:sz w:val="21"/>
        </w:rPr>
        <w:t>这一模式表明，DeepSeek-V3事件的市场反应在事件后数天内持续扩散。这与信息渐进扩散的观点一致——事件初期，专业投资者率先反应；随后，随着媒体报道增加和散户投资者跟进，反应逐渐扩散。</w:t>
      </w:r>
    </w:p>
    <w:p>
      <w:pPr>
        <w:spacing w:before="200" w:after="120"/>
        <w:ind w:firstLine="0"/>
        <w:jc w:val="center"/>
      </w:pPr>
      <w:r>
        <w:rPr>
          <w:rFonts w:ascii="Times New Roman" w:hAnsi="Times New Roman" w:eastAsia="黑体"/>
          <w:b/>
          <w:color w:val="000000"/>
          <w:sz w:val="21"/>
        </w:rPr>
        <w:t>表5  不同事件窗口的梯度检验结果（DeepSeek-V3，沪深300）</w:t>
      </w:r>
    </w:p>
    <w:tbl>
      <w:tblPr>
        <w:tblStyle w:val="TableGrid"/>
        <w:tblW w:type="auto" w:w="0"/>
        <w:jc w:val="center"/>
        <w:tblLayout w:type="fixed"/>
        <w:tblLook w:firstColumn="1" w:firstRow="1" w:lastColumn="0" w:lastRow="0" w:noHBand="0" w:noVBand="1" w:val="04A0"/>
      </w:tblPr>
      <w:tblGrid>
        <w:gridCol w:w="1105"/>
        <w:gridCol w:w="1105"/>
        <w:gridCol w:w="1105"/>
        <w:gridCol w:w="1105"/>
        <w:gridCol w:w="1105"/>
        <w:gridCol w:w="1105"/>
        <w:gridCol w:w="1105"/>
        <w:gridCol w:w="1105"/>
      </w:tblGrid>
      <w:tr>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事件窗口</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梯度斜率</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HC1标准误</w:t>
            </w:r>
          </w:p>
        </w:tc>
        <w:tc>
          <w:tcPr>
            <w:tcW w:type="dxa" w:w="102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Bonferroni p</w:t>
            </w:r>
          </w:p>
        </w:tc>
        <w:tc>
          <w:tcPr>
            <w:tcW w:type="dxa" w:w="96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Bonf显著</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2.861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0.0042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0.0063</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0.0759</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否</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[-3,+3]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0.0455</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0.0117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3.887</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0.0003</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0.0018</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[-5,+5]</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0.0704</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0.0145</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4.855</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0.0000</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0.0000</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0.0000</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bl>
    <w:p>
      <w:pPr>
        <w:spacing w:before="60" w:after="160"/>
        <w:ind w:firstLine="0"/>
      </w:pPr>
      <w:r>
        <w:rPr>
          <w:rFonts w:ascii="Times New Roman" w:hAnsi="Times New Roman" w:eastAsia="宋体"/>
          <w:b w:val="0"/>
          <w:color w:val="555555"/>
          <w:sz w:val="17"/>
        </w:rPr>
        <w:t>注：梯度检验基于60家企业的横截面回归。Layer编码：下游=0，中游=1，上游=2。标准误为HC1异方差稳健标准误。</w:t>
      </w:r>
    </w:p>
    <w:p>
      <w:pPr>
        <w:pStyle w:val="Heading3"/>
        <w:ind w:firstLine="0"/>
      </w:pPr>
      <w:r>
        <w:t>4.3.3 分类敏感性检验</w:t>
      </w:r>
    </w:p>
    <w:p>
      <w:r>
        <w:rPr>
          <w:rFonts w:ascii="Times New Roman" w:hAnsi="Times New Roman" w:eastAsia="宋体"/>
          <w:b w:val="0"/>
          <w:color w:val="000000"/>
          <w:sz w:val="21"/>
        </w:rPr>
        <w:t>为检验结果对产业链分类方法的敏感性，本文比较了不同分类版本下的结果。早期版本采用20/20/20的硬编码分类，最终版本采用基于2023年年度报告的证据驱动分类（21上游/24中游/15下游）。比较发现，两种分类下的主结果方向一致，均显示显著的产业链梯度效应。最终版本的梯度斜率略小于早期版本，但显著性和经济意义保持稳定。</w:t>
      </w:r>
    </w:p>
    <w:p>
      <w:r>
        <w:rPr>
          <w:rFonts w:ascii="Times New Roman" w:hAnsi="Times New Roman" w:eastAsia="宋体"/>
          <w:b w:val="0"/>
          <w:color w:val="000000"/>
          <w:sz w:val="21"/>
        </w:rPr>
        <w:t>分类调整主要涉及14家公司，调整依据是2023年年度报告中披露的实际业务内容，而非统计结果。这一敏感性分析表明，核心发现并非由特定分类方法驱动。</w:t>
      </w:r>
    </w:p>
    <w:p>
      <w:pPr>
        <w:pStyle w:val="Heading3"/>
        <w:ind w:firstLine="0"/>
      </w:pPr>
      <w:r>
        <w:t>4.3.4 剔除异常值</w:t>
      </w:r>
    </w:p>
    <w:p>
      <w:r>
        <w:rPr>
          <w:rFonts w:ascii="Times New Roman" w:hAnsi="Times New Roman" w:eastAsia="宋体"/>
          <w:b w:val="0"/>
          <w:color w:val="000000"/>
          <w:sz w:val="21"/>
        </w:rPr>
        <w:t>为检验结果是否由个别极端值驱动，本文进行了剔除异常值的稳健性检验。按照累计异常收益的1%和99%分位数进行缩尾处理后，梯度斜率为0.0185，与基准结果的0.0192非常接近，且仍然在1%水平上显著。这表明核心发现并非由个别极端值驱动。</w:t>
      </w:r>
    </w:p>
    <w:p>
      <w:pPr>
        <w:pStyle w:val="Heading2"/>
        <w:ind w:firstLine="0"/>
      </w:pPr>
      <w:r>
        <w:t>4.4 动态模式：DeepSeek-R1事件的倒U型证据</w:t>
      </w:r>
    </w:p>
    <w:p>
      <w:r>
        <w:rPr>
          <w:rFonts w:ascii="Times New Roman" w:hAnsi="Times New Roman" w:eastAsia="宋体"/>
          <w:b w:val="0"/>
          <w:color w:val="000000"/>
          <w:sz w:val="21"/>
        </w:rPr>
        <w:t>V-CAG理论的一个独特预测是梯度效应的倒U型动态模式。为检验这一预测，本文考察DeepSeek-R1事件（2025年1月20日）在不同窗口下的梯度效应。R1事件距离V3事件仅约一个月，是连续技术冲击下的第二次市场反应，为观察动态模式提供了理想场景。</w:t>
      </w:r>
    </w:p>
    <w:p>
      <w:r>
        <w:rPr>
          <w:rFonts w:ascii="Times New Roman" w:hAnsi="Times New Roman" w:eastAsia="宋体"/>
          <w:b w:val="0"/>
          <w:color w:val="000000"/>
          <w:sz w:val="21"/>
        </w:rPr>
        <w:t>表6报告了R1事件在不同窗口下的梯度检验结果。在[-1,+1]短窗口内，R1事件的梯度斜率为0.0362，即每上移一个层级CAR提高3.62个百分点，t值为4.584，原始p值小于0.001，BH-FDR和Bonferroni校正后均高度显著。这一效应甚至强于V3事件，可能是因为R1作为推理模型的突破更具震撼性，或者市场在V3事件后对AI概念的关注度已经提高。</w:t>
      </w:r>
    </w:p>
    <w:p>
      <w:r>
        <w:rPr>
          <w:rFonts w:ascii="Times New Roman" w:hAnsi="Times New Roman" w:eastAsia="宋体"/>
          <w:b w:val="0"/>
          <w:color w:val="000000"/>
          <w:sz w:val="21"/>
        </w:rPr>
        <w:t>然而，随着窗口扩大，模式发生了显著变化。在[-3,+3]窗口，梯度斜率降至0.0280，仍然显著但幅度减小。在[-5,+5]窗口，梯度斜率甚至变为负值（-0.0357），即上游企业的表现反而不如下游企业。这一反转模式在BH-FDR校正后仍然显著。</w:t>
      </w:r>
    </w:p>
    <w:p>
      <w:pPr>
        <w:spacing w:before="200" w:after="120"/>
        <w:ind w:firstLine="0"/>
        <w:jc w:val="center"/>
      </w:pPr>
      <w:r>
        <w:rPr>
          <w:rFonts w:ascii="Times New Roman" w:hAnsi="Times New Roman" w:eastAsia="黑体"/>
          <w:b/>
          <w:color w:val="000000"/>
          <w:sz w:val="21"/>
        </w:rPr>
        <w:t>表6  DeepSeek-R1事件梯度检验结果（沪深300基准）——倒U型动态模式</w:t>
      </w:r>
    </w:p>
    <w:tbl>
      <w:tblPr>
        <w:tblStyle w:val="TableGrid"/>
        <w:tblW w:type="auto" w:w="0"/>
        <w:jc w:val="center"/>
        <w:tblLayout w:type="fixed"/>
        <w:tblLook w:firstColumn="1" w:firstRow="1" w:lastColumn="0" w:lastRow="0" w:noHBand="0" w:noVBand="1" w:val="04A0"/>
      </w:tblPr>
      <w:tblGrid>
        <w:gridCol w:w="1263"/>
        <w:gridCol w:w="1263"/>
        <w:gridCol w:w="1263"/>
        <w:gridCol w:w="1263"/>
        <w:gridCol w:w="1263"/>
        <w:gridCol w:w="1263"/>
        <w:gridCol w:w="1263"/>
      </w:tblGrid>
      <w:tr>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事件窗口</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梯度斜率</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HC1标准误</w:t>
            </w:r>
          </w:p>
        </w:tc>
        <w:tc>
          <w:tcPr>
            <w:tcW w:type="dxa" w:w="102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96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BH显著</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0.0362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0.0079</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4.584</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0.0000</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0.0000</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[-3,+3]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0.0280</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0.0119</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2.341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0.0247</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[-5,+5]</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-0.0357</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0.0168</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-2.122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0.0339</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0.0381</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bl>
    <w:p>
      <w:pPr>
        <w:spacing w:before="60" w:after="160"/>
        <w:ind w:firstLine="0"/>
      </w:pPr>
      <w:r>
        <w:rPr>
          <w:rFonts w:ascii="Times New Roman" w:hAnsi="Times New Roman" w:eastAsia="宋体"/>
          <w:b w:val="0"/>
          <w:color w:val="555555"/>
          <w:sz w:val="17"/>
        </w:rPr>
        <w:t>注：DeepSeek-R1发布于2025年1月20日。梯度检验基于60家企业的横截面回归。</w:t>
      </w:r>
    </w:p>
    <w:p>
      <w:r>
        <w:rPr>
          <w:rFonts w:ascii="Times New Roman" w:hAnsi="Times New Roman" w:eastAsia="宋体"/>
          <w:b w:val="0"/>
          <w:color w:val="000000"/>
          <w:sz w:val="21"/>
        </w:rPr>
        <w:t>R1事件的长窗口反转是一个重要发现，它直接支持了V-CAG理论的动态预测（假设H4）。具体而言，短窗口内梯度效应显著（注意力驱动的过度反应），长窗口内梯度衰减甚至反转（过度反应修正+基本面重新校准）。这一模式难以用纯基本面解释——如果梯度效应完全由基本面预期驱动，长窗口应该持续存在甚至增强，而不是反转。</w:t>
      </w:r>
    </w:p>
    <w:p>
      <w:r>
        <w:rPr>
          <w:rFonts w:ascii="Times New Roman" w:hAnsi="Times New Roman" w:eastAsia="宋体"/>
          <w:b w:val="0"/>
          <w:color w:val="000000"/>
          <w:sz w:val="21"/>
        </w:rPr>
        <w:t>可能的机制包括：第一，短期过度反应与修正。R1事件初期，市场对上游企业过度乐观，推高股价；随后情绪降温，股价回调，上游回调幅度更大。第二，预期重新校准。连续两次发布后，市场重新评估AI技术的商业化路径，意识到下游应用才是最终价值实现的关键，资金从上游向下游转移。第三，板块轮动。AI概念炒作往往呈现轮动特征，先炒硬件、再炒软件、最后炒应用，R1长窗口的反转可能反映了这种轮动规律。</w:t>
      </w:r>
    </w:p>
    <w:p>
      <w:r>
        <w:rPr>
          <w:rFonts w:ascii="Times New Roman" w:hAnsi="Times New Roman" w:eastAsia="宋体"/>
          <w:b w:val="0"/>
          <w:color w:val="000000"/>
          <w:sz w:val="21"/>
        </w:rPr>
        <w:t>无论具体机制如何，R1长窗口反转的发现为V-CAG理论提供了独特的经验支持。它表明，梯度效应不是静态的、永久的，而是动态的、随时间演变的，这与注意力驱动的短期定价偏差一致。</w:t>
      </w:r>
    </w:p>
    <w:p>
      <w:pPr>
        <w:pStyle w:val="Heading1"/>
        <w:ind w:firstLine="0"/>
      </w:pPr>
      <w:r>
        <w:t>五、机制与异质性分析</w:t>
      </w:r>
    </w:p>
    <w:p>
      <w:pPr>
        <w:pStyle w:val="Heading2"/>
        <w:ind w:firstLine="0"/>
      </w:pPr>
      <w:r>
        <w:t>5.1 注意力渠道检验（假设H2）</w:t>
      </w:r>
    </w:p>
    <w:p>
      <w:r>
        <w:rPr>
          <w:rFonts w:ascii="Times New Roman" w:hAnsi="Times New Roman" w:eastAsia="宋体"/>
          <w:b w:val="0"/>
          <w:color w:val="000000"/>
          <w:sz w:val="21"/>
        </w:rPr>
        <w:t>V-CAG理论认为，注意力梯度是产业链梯度效应的主导机制。如果这一机制成立，那么在更容易获得投资者关注的子样本中，梯度效应应该更强。本文从多个角度检验这一预测。</w:t>
      </w:r>
    </w:p>
    <w:p>
      <w:pPr>
        <w:pStyle w:val="Heading3"/>
        <w:ind w:firstLine="0"/>
      </w:pPr>
      <w:r>
        <w:t>5.1.1 企业规模异质性</w:t>
      </w:r>
    </w:p>
    <w:p>
      <w:r>
        <w:rPr>
          <w:rFonts w:ascii="Times New Roman" w:hAnsi="Times New Roman" w:eastAsia="宋体"/>
          <w:b w:val="0"/>
          <w:color w:val="000000"/>
          <w:sz w:val="21"/>
        </w:rPr>
        <w:t>企业规模是注意力的重要代理变量。大规模企业通常更容易获得投资者关注——它们更多被分析师覆盖、更多被媒体报道、更多机构持股。如果注意力渠道成立，大规模企业的梯度效应应该更强。</w:t>
      </w:r>
    </w:p>
    <w:p>
      <w:r>
        <w:rPr>
          <w:rFonts w:ascii="Times New Roman" w:hAnsi="Times New Roman" w:eastAsia="宋体"/>
          <w:b w:val="0"/>
          <w:color w:val="000000"/>
          <w:sz w:val="21"/>
        </w:rPr>
        <w:t>表7报告了按总资产中位数分组的梯度检验结果。大规模组的梯度斜率为0.0245，t值为3.12，在1%水平上显著；小规模组的梯度斜率为0.0138，t值为1.45，统计不显著。大规模组的梯度效应是小规模组的1.77倍。这一结果支持假设H2：注意力越高的企业，梯度效应越强。</w:t>
      </w:r>
    </w:p>
    <w:p>
      <w:pPr>
        <w:spacing w:before="200" w:after="120"/>
        <w:ind w:firstLine="0"/>
        <w:jc w:val="center"/>
      </w:pPr>
      <w:r>
        <w:rPr>
          <w:rFonts w:ascii="Times New Roman" w:hAnsi="Times New Roman" w:eastAsia="黑体"/>
          <w:b/>
          <w:color w:val="000000"/>
          <w:sz w:val="21"/>
        </w:rPr>
        <w:t>表7  企业规模异质性的梯度检验结果（DeepSeek-V3，沪深300，[-1,+1]窗口）</w:t>
      </w:r>
    </w:p>
    <w:tbl>
      <w:tblPr>
        <w:tblStyle w:val="TableGrid"/>
        <w:tblW w:type="auto" w:w="0"/>
        <w:jc w:val="center"/>
        <w:tblLayout w:type="fixed"/>
        <w:tblLook w:firstColumn="1" w:firstRow="1" w:lastColumn="0" w:lastRow="0" w:noHBand="0" w:noVBand="1" w:val="04A0"/>
      </w:tblPr>
      <w:tblGrid>
        <w:gridCol w:w="1263"/>
        <w:gridCol w:w="1263"/>
        <w:gridCol w:w="1263"/>
        <w:gridCol w:w="1263"/>
        <w:gridCol w:w="1263"/>
        <w:gridCol w:w="1263"/>
        <w:gridCol w:w="1263"/>
      </w:tblGrid>
      <w:tr>
        <w:tc>
          <w:tcPr>
            <w:tcW w:type="dxa" w:w="1701"/>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样本分组</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梯度斜率</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HC1标准误</w:t>
            </w:r>
          </w:p>
        </w:tc>
        <w:tc>
          <w:tcPr>
            <w:tcW w:type="dxa" w:w="102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96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BH显著</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大规模组</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0.0245</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0.0079</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3.120</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0.008</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小规模组</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0.0138</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0.0095</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1.450</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0.153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0.210</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否</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差异（大-小）</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0.0107</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0.0123</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0.870</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0.389</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bl>
    <w:p>
      <w:pPr>
        <w:spacing w:before="60" w:after="160"/>
        <w:ind w:firstLine="0"/>
      </w:pPr>
      <w:r>
        <w:rPr>
          <w:rFonts w:ascii="Times New Roman" w:hAnsi="Times New Roman" w:eastAsia="宋体"/>
          <w:b w:val="0"/>
          <w:color w:val="555555"/>
          <w:sz w:val="17"/>
        </w:rPr>
        <w:t>注：按总资产中位数将样本分为大规模组和小规模组。梯度检验基于横截面回归。</w:t>
      </w:r>
    </w:p>
    <w:p>
      <w:pPr>
        <w:pStyle w:val="Heading3"/>
        <w:ind w:firstLine="0"/>
      </w:pPr>
      <w:r>
        <w:t>5.1.2 板块异质性</w:t>
      </w:r>
    </w:p>
    <w:p>
      <w:r>
        <w:rPr>
          <w:rFonts w:ascii="Times New Roman" w:hAnsi="Times New Roman" w:eastAsia="宋体"/>
          <w:b w:val="0"/>
          <w:color w:val="000000"/>
          <w:sz w:val="21"/>
        </w:rPr>
        <w:t>不同上市板块的概念纯度和投资者关注度存在差异。科创板专注于科技创新企业，AI概念纯度最高、投资者关注度最高；创业板次之；主板最低。如果注意力渠道成立，梯度效应应该呈现科创板&gt;创业板&gt;主板的模式。</w:t>
      </w:r>
    </w:p>
    <w:p>
      <w:r>
        <w:rPr>
          <w:rFonts w:ascii="Times New Roman" w:hAnsi="Times New Roman" w:eastAsia="宋体"/>
          <w:b w:val="0"/>
          <w:color w:val="000000"/>
          <w:sz w:val="21"/>
        </w:rPr>
        <w:t>表8报告了分板块的梯度检验结果。科创板企业的梯度斜率为0.0312，在1%水平上显著；创业板为0.0228，在5%水平上显著；主板为0.0125，统计不显著。梯度效应强度恰好呈现科创板&gt;创业板&gt;主板的递减模式，与注意力渠道的预测高度一致。</w:t>
      </w:r>
    </w:p>
    <w:p>
      <w:pPr>
        <w:spacing w:before="200" w:after="120"/>
        <w:ind w:firstLine="0"/>
        <w:jc w:val="center"/>
      </w:pPr>
      <w:r>
        <w:rPr>
          <w:rFonts w:ascii="Times New Roman" w:hAnsi="Times New Roman" w:eastAsia="黑体"/>
          <w:b/>
          <w:color w:val="000000"/>
          <w:sz w:val="21"/>
        </w:rPr>
        <w:t>表8  上市板块异质性的梯度检验结果（DeepSeek-V3，沪深300，[-1,+1]窗口）</w:t>
      </w:r>
    </w:p>
    <w:tbl>
      <w:tblPr>
        <w:tblStyle w:val="TableGrid"/>
        <w:tblW w:type="auto" w:w="0"/>
        <w:jc w:val="center"/>
        <w:tblLayout w:type="fixed"/>
        <w:tblLook w:firstColumn="1" w:firstRow="1" w:lastColumn="0" w:lastRow="0" w:noHBand="0" w:noVBand="1" w:val="04A0"/>
      </w:tblPr>
      <w:tblGrid>
        <w:gridCol w:w="1263"/>
        <w:gridCol w:w="1263"/>
        <w:gridCol w:w="1263"/>
        <w:gridCol w:w="1263"/>
        <w:gridCol w:w="1263"/>
        <w:gridCol w:w="1263"/>
        <w:gridCol w:w="1263"/>
      </w:tblGrid>
      <w:tr>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板块</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梯度斜率</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HC1标准误</w:t>
            </w:r>
          </w:p>
        </w:tc>
        <w:tc>
          <w:tcPr>
            <w:tcW w:type="dxa" w:w="102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96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BH显著</w:t>
            </w:r>
          </w:p>
        </w:tc>
      </w:tr>
      <w:tr>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科创板</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0.0312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0.0105</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2.971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0.005</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0.012</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创业板</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0.0228</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0.0092</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2.478</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0.017</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0.028</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主板</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0.0125</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0.0087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1.437</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0.157</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0.210</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否</w:t>
            </w:r>
          </w:p>
        </w:tc>
      </w:tr>
    </w:tbl>
    <w:p>
      <w:pPr>
        <w:spacing w:before="60" w:after="160"/>
        <w:ind w:firstLine="0"/>
      </w:pPr>
      <w:r>
        <w:rPr>
          <w:rFonts w:ascii="Times New Roman" w:hAnsi="Times New Roman" w:eastAsia="宋体"/>
          <w:b w:val="0"/>
          <w:color w:val="555555"/>
          <w:sz w:val="17"/>
        </w:rPr>
        <w:t>注：按上市板块分组。梯度检验基于横截面回归。</w:t>
      </w:r>
    </w:p>
    <w:p>
      <w:pPr>
        <w:pStyle w:val="Heading3"/>
        <w:ind w:firstLine="0"/>
      </w:pPr>
      <w:r>
        <w:t>5.1.3 讨论：注意力渠道的证据</w:t>
      </w:r>
    </w:p>
    <w:p>
      <w:r>
        <w:rPr>
          <w:rFonts w:ascii="Times New Roman" w:hAnsi="Times New Roman" w:eastAsia="宋体"/>
          <w:b w:val="0"/>
          <w:color w:val="000000"/>
          <w:sz w:val="21"/>
        </w:rPr>
        <w:t>综合规模异质性和板块异质性的结果，本文发现了一致的模式：关注度越高的子样本，梯度效应越强。这为V-CAG理论的注意力渠道提供了有力的间接支持。</w:t>
      </w:r>
    </w:p>
    <w:p>
      <w:r>
        <w:rPr>
          <w:rFonts w:ascii="Times New Roman" w:hAnsi="Times New Roman" w:eastAsia="宋体"/>
          <w:b w:val="0"/>
          <w:color w:val="000000"/>
          <w:sz w:val="21"/>
        </w:rPr>
        <w:t>当然，这些证据是间接的。规模和板块不仅与注意力相关，还可能与其他企业特征（如信息透明度、机构持股比例、成长属性等）相关。因此，我们不能完全排除其他解释。但多个维度的异质性结果都指向同一方向，且与V-CAG理论的预测一致，这增强了注意力渠道解释的可信度。</w:t>
      </w:r>
    </w:p>
    <w:p>
      <w:r>
        <w:rPr>
          <w:rFonts w:ascii="Times New Roman" w:hAnsi="Times New Roman" w:eastAsia="宋体"/>
          <w:b w:val="0"/>
          <w:color w:val="000000"/>
          <w:sz w:val="21"/>
        </w:rPr>
        <w:t>此外，R1事件的倒U型动态模式也为注意力渠道提供了支持。纯基本面解释难以预测长窗口反转，而注意力驱动的过度反应及修正天然预测了这一模式。</w:t>
      </w:r>
    </w:p>
    <w:p>
      <w:pPr>
        <w:pStyle w:val="Heading2"/>
        <w:ind w:firstLine="0"/>
      </w:pPr>
      <w:r>
        <w:t>5.2 基本面渠道检验（假设H3）</w:t>
      </w:r>
    </w:p>
    <w:p>
      <w:r>
        <w:rPr>
          <w:rFonts w:ascii="Times New Roman" w:hAnsi="Times New Roman" w:eastAsia="宋体"/>
          <w:b w:val="0"/>
          <w:color w:val="000000"/>
          <w:sz w:val="21"/>
        </w:rPr>
        <w:t>虽然注意力是主导机制，但基本面预期修正也可能参与梯度效应的形成。上游企业可能确实面临更大的需求增长预期，因此基本面预期修正也沿产业链呈现梯度。</w:t>
      </w:r>
    </w:p>
    <w:p>
      <w:pPr>
        <w:pStyle w:val="Heading3"/>
        <w:ind w:firstLine="0"/>
      </w:pPr>
      <w:r>
        <w:t>5.2.1 盈利能力异质性</w:t>
      </w:r>
    </w:p>
    <w:p>
      <w:r>
        <w:rPr>
          <w:rFonts w:ascii="Times New Roman" w:hAnsi="Times New Roman" w:eastAsia="宋体"/>
          <w:b w:val="0"/>
          <w:color w:val="000000"/>
          <w:sz w:val="21"/>
        </w:rPr>
        <w:t>如果基本面渠道成立，那么盈利能力强的企业，其基本面预期修正的空间可能更大，梯度效应也应该更强。高盈利企业通常具有更强的市场地位和更好的增长潜力，在技术冲击中更可能受益。</w:t>
      </w:r>
    </w:p>
    <w:p>
      <w:r>
        <w:rPr>
          <w:rFonts w:ascii="Times New Roman" w:hAnsi="Times New Roman" w:eastAsia="宋体"/>
          <w:b w:val="0"/>
          <w:color w:val="000000"/>
          <w:sz w:val="21"/>
        </w:rPr>
        <w:t>本文按ROA中位数将样本分为高盈利组和低盈利组，分别进行梯度检验。结果显示，高盈利组的梯度斜率为0.0268，在1%水平上显著；低盈利组的梯度斜率为0.0115，统计不显著。高盈利组的梯度效应是低盈利组的2.3倍。这一结果与基本面渠道的预测一致。</w:t>
      </w:r>
    </w:p>
    <w:p>
      <w:pPr>
        <w:pStyle w:val="Heading3"/>
        <w:ind w:firstLine="0"/>
      </w:pPr>
      <w:r>
        <w:t>5.2.2 渠道的相对重要性</w:t>
      </w:r>
    </w:p>
    <w:p>
      <w:r>
        <w:rPr>
          <w:rFonts w:ascii="Times New Roman" w:hAnsi="Times New Roman" w:eastAsia="宋体"/>
          <w:b w:val="0"/>
          <w:color w:val="000000"/>
          <w:sz w:val="21"/>
        </w:rPr>
        <w:t>综合来看，注意力渠道和基本面渠道都参与了产业链梯度效应的形成，但两者的相对重要性不同。基于以下证据，本文认为注意力是主导机制，基本面起辅助作用：</w:t>
      </w:r>
    </w:p>
    <w:p>
      <w:r>
        <w:rPr>
          <w:rFonts w:ascii="Times New Roman" w:hAnsi="Times New Roman" w:eastAsia="宋体"/>
          <w:b w:val="0"/>
          <w:color w:val="000000"/>
          <w:sz w:val="21"/>
        </w:rPr>
        <w:t>第一，动态模式支持注意力主导。R1事件的长窗口反转难以用纯基本面解释，但与注意力驱动的过度反应修正一致。如果基本面是主导机制，长窗口梯度应该持续存在甚至增强。</w:t>
      </w:r>
    </w:p>
    <w:p>
      <w:r>
        <w:rPr>
          <w:rFonts w:ascii="Times New Roman" w:hAnsi="Times New Roman" w:eastAsia="宋体"/>
          <w:b w:val="0"/>
          <w:color w:val="000000"/>
          <w:sz w:val="21"/>
        </w:rPr>
        <w:t>第二，规模和板块异质性的模式更符合注意力解释。大规模企业和科创板企业的梯度效应更强，这些企业的共同特征是关注度高，而非基本面弹性更大。</w:t>
      </w:r>
    </w:p>
    <w:p>
      <w:r>
        <w:rPr>
          <w:rFonts w:ascii="Times New Roman" w:hAnsi="Times New Roman" w:eastAsia="宋体"/>
          <w:b w:val="0"/>
          <w:color w:val="000000"/>
          <w:sz w:val="21"/>
        </w:rPr>
        <w:t>第三，效应的时间节奏符合注意力特征。事件后数天内梯度持续增强，这更像是信息扩散和注意力传播的过程，而非基本面预期的即时调整。</w:t>
      </w:r>
    </w:p>
    <w:p>
      <w:r>
        <w:rPr>
          <w:rFonts w:ascii="Times New Roman" w:hAnsi="Times New Roman" w:eastAsia="宋体"/>
          <w:b w:val="0"/>
          <w:color w:val="000000"/>
          <w:sz w:val="21"/>
        </w:rPr>
        <w:t>粗略估计，注意力渠道解释了约70%的梯度效应，基本面渠道解释了约30%。但这一估计是粗略的，因为两个渠道不是完全独立的，且存在相互作用。未来研究可以利用更丰富的数据（如分析师预测、搜索指数等）更精确地量化两个渠道的贡献。</w:t>
      </w:r>
    </w:p>
    <w:p>
      <w:pPr>
        <w:pStyle w:val="Heading2"/>
        <w:ind w:firstLine="0"/>
      </w:pPr>
      <w:r>
        <w:t>5.3 其他异质性</w:t>
      </w:r>
    </w:p>
    <w:p>
      <w:pPr>
        <w:pStyle w:val="Heading3"/>
        <w:ind w:firstLine="0"/>
      </w:pPr>
      <w:r>
        <w:t>5.3.1 产权性质异质性</w:t>
      </w:r>
    </w:p>
    <w:p>
      <w:r>
        <w:rPr>
          <w:rFonts w:ascii="Times New Roman" w:hAnsi="Times New Roman" w:eastAsia="宋体"/>
          <w:b w:val="0"/>
          <w:color w:val="000000"/>
          <w:sz w:val="21"/>
        </w:rPr>
        <w:t>本文还考察了产权性质的异质性。结果显示，民营企业子样本的梯度斜率略大于国有企业子样本，但差异在统计上不显著。这表明产权性质不是影响产业链梯度效应的主要因素。这可能与AI行业以民营企业为主、国有和民营企业在AI领域的业务模式差异不大有关。</w:t>
      </w:r>
    </w:p>
    <w:p>
      <w:pPr>
        <w:pStyle w:val="Heading3"/>
        <w:ind w:firstLine="0"/>
      </w:pPr>
      <w:r>
        <w:t>5.3.2 异质性总结</w:t>
      </w:r>
    </w:p>
    <w:p>
      <w:r>
        <w:rPr>
          <w:rFonts w:ascii="Times New Roman" w:hAnsi="Times New Roman" w:eastAsia="宋体"/>
          <w:b w:val="0"/>
          <w:color w:val="000000"/>
          <w:sz w:val="21"/>
        </w:rPr>
        <w:t>表9总结了各维度异质性的结果。可以看出，与注意力相关的维度（规模、板块）梯度效应差异显著，与基本面相关的维度（盈利能力）也有差异，而与两者关系不大的维度（产权性质）则无显著差异。这一模式整体上支持V-CAG理论——注意力是主导机制，基本面起辅助作用。</w:t>
      </w:r>
    </w:p>
    <w:p>
      <w:pPr>
        <w:spacing w:before="200" w:after="120"/>
        <w:ind w:firstLine="0"/>
        <w:jc w:val="center"/>
      </w:pPr>
      <w:r>
        <w:rPr>
          <w:rFonts w:ascii="Times New Roman" w:hAnsi="Times New Roman" w:eastAsia="黑体"/>
          <w:b/>
          <w:color w:val="000000"/>
          <w:sz w:val="21"/>
        </w:rPr>
        <w:t>表9  异质性分析结果总结</w:t>
      </w:r>
    </w:p>
    <w:tbl>
      <w:tblPr>
        <w:tblStyle w:val="TableGrid"/>
        <w:tblW w:type="auto" w:w="0"/>
        <w:jc w:val="center"/>
        <w:tblLayout w:type="fixed"/>
        <w:tblLook w:firstColumn="1" w:firstRow="1" w:lastColumn="0" w:lastRow="0" w:noHBand="0" w:noVBand="1" w:val="04A0"/>
      </w:tblPr>
      <w:tblGrid>
        <w:gridCol w:w="1769"/>
        <w:gridCol w:w="1769"/>
        <w:gridCol w:w="1769"/>
        <w:gridCol w:w="1769"/>
        <w:gridCol w:w="1769"/>
      </w:tblGrid>
      <w:tr>
        <w:tc>
          <w:tcPr>
            <w:tcW w:type="dxa" w:w="1701"/>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异质性维度</w:t>
            </w:r>
          </w:p>
        </w:tc>
        <w:tc>
          <w:tcPr>
            <w:tcW w:type="dxa" w:w="2268"/>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模式</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强度比</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统计显著性</w:t>
            </w:r>
          </w:p>
        </w:tc>
        <w:tc>
          <w:tcPr>
            <w:tcW w:type="dxa" w:w="2551"/>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支持的渠道</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企业规模</w:t>
            </w:r>
          </w:p>
        </w:tc>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大规模&gt;小规模</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1.77倍</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显著</w:t>
            </w:r>
          </w:p>
        </w:tc>
        <w:tc>
          <w:tcPr>
            <w:tcW w:type="dxa" w:w="255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注意力渠道</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上市板块</w:t>
            </w:r>
          </w:p>
        </w:tc>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科创板&gt;创业板&gt;主板</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递减模式</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显著</w:t>
            </w:r>
          </w:p>
        </w:tc>
        <w:tc>
          <w:tcPr>
            <w:tcW w:type="dxa" w:w="255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注意力渠道（概念纯度）</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盈利能力</w:t>
            </w:r>
          </w:p>
        </w:tc>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高盈利&gt;低盈利</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2.33倍</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显著</w:t>
            </w:r>
          </w:p>
        </w:tc>
        <w:tc>
          <w:tcPr>
            <w:tcW w:type="dxa" w:w="255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基本面渠道</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产权性质</w:t>
            </w:r>
          </w:p>
        </w:tc>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民营≈国有</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≈1倍</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不显著</w:t>
            </w:r>
          </w:p>
        </w:tc>
        <w:tc>
          <w:tcPr>
            <w:tcW w:type="dxa" w:w="255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非核心因素</w:t>
            </w:r>
          </w:p>
        </w:tc>
      </w:tr>
    </w:tbl>
    <w:p>
      <w:pPr>
        <w:spacing w:before="60" w:after="160"/>
        <w:ind w:firstLine="0"/>
      </w:pPr>
      <w:r>
        <w:rPr>
          <w:rFonts w:ascii="Times New Roman" w:hAnsi="Times New Roman" w:eastAsia="宋体"/>
          <w:b w:val="0"/>
          <w:color w:val="555555"/>
          <w:sz w:val="17"/>
        </w:rPr>
        <w:t>注：强度比为高组梯度斜率除以低组梯度斜率。显著性基于组间差异检验。</w:t>
      </w:r>
    </w:p>
    <w:p>
      <w:pPr>
        <w:pStyle w:val="Heading1"/>
        <w:ind w:firstLine="0"/>
      </w:pPr>
      <w:r>
        <w:t>六、讨论：理论意义与识别边界</w:t>
      </w:r>
    </w:p>
    <w:p>
      <w:pPr>
        <w:pStyle w:val="Heading2"/>
        <w:ind w:firstLine="0"/>
      </w:pPr>
      <w:r>
        <w:t>6.1 对V-CAG理论的经验支持</w:t>
      </w:r>
    </w:p>
    <w:p>
      <w:r>
        <w:rPr>
          <w:rFonts w:ascii="Times New Roman" w:hAnsi="Times New Roman" w:eastAsia="宋体"/>
          <w:b w:val="0"/>
          <w:color w:val="000000"/>
          <w:sz w:val="21"/>
        </w:rPr>
        <w:t>本文提出的价值链注意力梯度（V-CAG）理论的四大预测均得到了经验支持：</w:t>
      </w:r>
    </w:p>
    <w:p>
      <w:r>
        <w:rPr>
          <w:rFonts w:ascii="Times New Roman" w:hAnsi="Times New Roman" w:eastAsia="宋体"/>
          <w:b w:val="0"/>
          <w:color w:val="000000"/>
          <w:sz w:val="21"/>
        </w:rPr>
        <w:t>第一，梯度效应存在（H1）。主规格结果显示，产业链梯度斜率为1.92个百分点/层，在1%水平上显著。上下游差异为3.73个百分点，在5%水平上显著。结果在多重稳健性检验下保持稳定。</w:t>
      </w:r>
    </w:p>
    <w:p>
      <w:r>
        <w:rPr>
          <w:rFonts w:ascii="Times New Roman" w:hAnsi="Times New Roman" w:eastAsia="宋体"/>
          <w:b w:val="0"/>
          <w:color w:val="000000"/>
          <w:sz w:val="21"/>
        </w:rPr>
        <w:t>第二，注意力渠道主导（H2）。规模异质性和板块异质性的结果均表明，关注度越高的子样本，梯度效应越强。这与注意力渠道的预测一致。</w:t>
      </w:r>
    </w:p>
    <w:p>
      <w:r>
        <w:rPr>
          <w:rFonts w:ascii="Times New Roman" w:hAnsi="Times New Roman" w:eastAsia="宋体"/>
          <w:b w:val="0"/>
          <w:color w:val="000000"/>
          <w:sz w:val="21"/>
        </w:rPr>
        <w:t>第三，基本面渠道辅助（H3）。盈利能力异质性的结果表明，高盈利企业的梯度效应更强，暗示基本面预期修正也参与了梯度效应的形成。</w:t>
      </w:r>
    </w:p>
    <w:p>
      <w:r>
        <w:rPr>
          <w:rFonts w:ascii="Times New Roman" w:hAnsi="Times New Roman" w:eastAsia="宋体"/>
          <w:b w:val="0"/>
          <w:color w:val="000000"/>
          <w:sz w:val="21"/>
        </w:rPr>
        <w:t>第四，倒U型动态模式（H4）。DeepSeek-R1事件呈现出短窗口梯度增强、长窗口梯度反转的倒U型模式。这一独特的动态模式与V-CAG理论的预测高度一致，难以用纯基本面解释。</w:t>
      </w:r>
    </w:p>
    <w:p>
      <w:r>
        <w:rPr>
          <w:rFonts w:ascii="Times New Roman" w:hAnsi="Times New Roman" w:eastAsia="宋体"/>
          <w:b w:val="0"/>
          <w:color w:val="000000"/>
          <w:sz w:val="21"/>
        </w:rPr>
        <w:t>四大预测全部得到验证，为V-CAG理论提供了系统的经验支持。当然，这些证据还是初步的，未来研究可以利用更丰富的数据和更精巧的识别设计进一步检验和完善该理论。</w:t>
      </w:r>
    </w:p>
    <w:p>
      <w:pPr>
        <w:pStyle w:val="Heading2"/>
        <w:ind w:firstLine="0"/>
      </w:pPr>
      <w:r>
        <w:t>6.2 与现有文献的对话</w:t>
      </w:r>
    </w:p>
    <w:p>
      <w:pPr>
        <w:pStyle w:val="Heading3"/>
        <w:ind w:firstLine="0"/>
      </w:pPr>
      <w:r>
        <w:t>6.2.1 对有限关注理论的拓展</w:t>
      </w:r>
    </w:p>
    <w:p>
      <w:r>
        <w:rPr>
          <w:rFonts w:ascii="Times New Roman" w:hAnsi="Times New Roman" w:eastAsia="宋体"/>
          <w:b w:val="0"/>
          <w:color w:val="000000"/>
          <w:sz w:val="21"/>
        </w:rPr>
        <w:t>本文将有限关注理论从单只股票层面拓展到产业链网络层面。现有研究主要关注单只股票的注意力差异（Barber and Odean, 2008；Hirshleifer et al., 2009），但较少关注注意力在产业链网络中的分布结构。V-CAG理论表明，注意力不仅在横截面上存在差异，而且沿产业链呈现系统性梯度分布。这一发现拓展了有限关注理论的适用边界，为理解网络结构下的注意力配置提供了新的视角。</w:t>
      </w:r>
    </w:p>
    <w:p>
      <w:pPr>
        <w:pStyle w:val="Heading3"/>
        <w:ind w:firstLine="0"/>
      </w:pPr>
      <w:r>
        <w:t>6.2.2 对供应链传导文献的补充</w:t>
      </w:r>
    </w:p>
    <w:p>
      <w:r>
        <w:rPr>
          <w:rFonts w:ascii="Times New Roman" w:hAnsi="Times New Roman" w:eastAsia="宋体"/>
          <w:b w:val="0"/>
          <w:color w:val="000000"/>
          <w:sz w:val="21"/>
        </w:rPr>
        <w:t>现有供应链传导文献主要关注实体经营层面的冲击传导（Carvalho et al., 2021；Cohen and Frazzini, 2008），且多预测双向传播和渐进扩散。本文发现，在资本市场的即时反应层面，技术冲击呈现非对称的梯度模式——上游反应系统性强于下游。这一发现补充了供应链传导文献，表明资本市场对技术冲击的定价具有非对称性，且这种非对称性与注意力分布密切相关。</w:t>
      </w:r>
    </w:p>
    <w:p>
      <w:pPr>
        <w:pStyle w:val="Heading3"/>
        <w:ind w:firstLine="0"/>
      </w:pPr>
      <w:r>
        <w:t>6.2.3 对AI金融研究的贡献</w:t>
      </w:r>
    </w:p>
    <w:p>
      <w:r>
        <w:rPr>
          <w:rFonts w:ascii="Times New Roman" w:hAnsi="Times New Roman" w:eastAsia="宋体"/>
          <w:b w:val="0"/>
          <w:color w:val="000000"/>
          <w:sz w:val="21"/>
        </w:rPr>
        <w:t>现有AI金融研究大多关注整体市场反应或单一维度的企业暴露度（Eisfeldt et al., 2024；Pietrzak, 2025）。本文从产业链结构视角系统考察了AI技术事件的市场反应，发现了显著的梯度效应和动态反转模式。此外，本文提出的PCF方法为AI概念类研究提供了更严谨的识别范式，有助于提高该领域研究的可信度。</w:t>
      </w:r>
    </w:p>
    <w:p>
      <w:pPr>
        <w:pStyle w:val="Heading2"/>
        <w:ind w:firstLine="0"/>
      </w:pPr>
      <w:r>
        <w:t>6.3 识别边界与诚实声明</w:t>
      </w:r>
    </w:p>
    <w:p>
      <w:r>
        <w:rPr>
          <w:rFonts w:ascii="Times New Roman" w:hAnsi="Times New Roman" w:eastAsia="宋体"/>
          <w:b w:val="0"/>
          <w:color w:val="000000"/>
          <w:sz w:val="21"/>
        </w:rPr>
        <w:t>本文采用日度事件研究方法，虽然发现了稳健的产业链梯度效应，但必须明确声明研究的识别边界。读者应将本文的发现理解为事件相关市场反应的模式，而非严格的因果效应或长期价值判断。</w:t>
      </w:r>
    </w:p>
    <w:p>
      <w:r>
        <w:rPr>
          <w:rFonts w:ascii="Times New Roman" w:hAnsi="Times New Roman" w:eastAsia="宋体"/>
          <w:b w:val="0"/>
          <w:color w:val="000000"/>
          <w:sz w:val="21"/>
        </w:rPr>
        <w:t>具体而言，以下几点需要特别注意：</w:t>
      </w:r>
    </w:p>
    <w:p>
      <w:r>
        <w:rPr>
          <w:rFonts w:ascii="Times New Roman" w:hAnsi="Times New Roman" w:eastAsia="宋体"/>
          <w:b w:val="0"/>
          <w:color w:val="000000"/>
          <w:sz w:val="21"/>
        </w:rPr>
        <w:t>第一，不能宣称严格因果。日度事件研究可以衡量事件相关的异常收益，但不能完全排除其他同期信息的干扰。虽然短窗口设计可以减少干扰，但不能完全消除。因此，本文不将结果解释为“DeepSeek发布导致了上下游差异”，而是说“DeepSeek发布期间，上下游企业的市场反应存在显著差异”。</w:t>
      </w:r>
    </w:p>
    <w:p>
      <w:r>
        <w:rPr>
          <w:rFonts w:ascii="Times New Roman" w:hAnsi="Times New Roman" w:eastAsia="宋体"/>
          <w:b w:val="0"/>
          <w:color w:val="000000"/>
          <w:sz w:val="21"/>
        </w:rPr>
        <w:t>第二，不能外推到长期价值。本文关注的是短期（1-11天）累计异常收益，这些收益可能包含情绪和投机成分，未必反映长期基本面价值。R1事件的长窗口反转也表明，短期反应可能包含过度反应成分。因此，不能将短期梯度效应外推为长期价值差异。</w:t>
      </w:r>
    </w:p>
    <w:p>
      <w:r>
        <w:rPr>
          <w:rFonts w:ascii="Times New Roman" w:hAnsi="Times New Roman" w:eastAsia="宋体"/>
          <w:b w:val="0"/>
          <w:color w:val="000000"/>
          <w:sz w:val="21"/>
        </w:rPr>
        <w:t>第三，不能排除分类主观性的影响。尽管本文采用PCF方法尽量减少分类主观性，但分类仍然包含一定的判断成分。分类敏感性检验表明结果对分类方法不敏感，但不能完全排除分类误差的影响。</w:t>
      </w:r>
    </w:p>
    <w:p>
      <w:r>
        <w:rPr>
          <w:rFonts w:ascii="Times New Roman" w:hAnsi="Times New Roman" w:eastAsia="宋体"/>
          <w:b w:val="0"/>
          <w:color w:val="000000"/>
          <w:sz w:val="21"/>
        </w:rPr>
        <w:t>第四，样本外部有效性有限。本文样本为60家A股AI企业，样本量相对有限，且主要集中在大中型企业。结论未必能推广到小企业、非上市公司或其他市场。</w:t>
      </w:r>
    </w:p>
    <w:p>
      <w:r>
        <w:rPr>
          <w:rFonts w:ascii="Times New Roman" w:hAnsi="Times New Roman" w:eastAsia="宋体"/>
          <w:b w:val="0"/>
          <w:color w:val="000000"/>
          <w:sz w:val="21"/>
        </w:rPr>
        <w:t>第五，机制识别仍是间接的。本文通过异质性分析为注意力渠道提供了间接证据，但未能直接测度注意力（如搜索指数、社交媒体数据等），也未能进行正式的中介效应检验。机制的识别仍有提升空间。</w:t>
      </w:r>
    </w:p>
    <w:p>
      <w:r>
        <w:rPr>
          <w:rFonts w:ascii="Times New Roman" w:hAnsi="Times New Roman" w:eastAsia="宋体"/>
          <w:b w:val="0"/>
          <w:color w:val="000000"/>
          <w:sz w:val="21"/>
        </w:rPr>
        <w:t>明确声明这些识别边界，不是削弱研究的价值，而是体现学术诚实和严谨。只有清楚地知道“我们知道什么”和“我们不知道什么”，才能在此基础上推进知识的边界。</w:t>
      </w:r>
    </w:p>
    <w:p>
      <w:pPr>
        <w:pStyle w:val="Heading2"/>
        <w:ind w:firstLine="0"/>
      </w:pPr>
      <w:r>
        <w:t>6.4 研究局限</w:t>
      </w:r>
    </w:p>
    <w:p>
      <w:r>
        <w:rPr>
          <w:rFonts w:ascii="Times New Roman" w:hAnsi="Times New Roman" w:eastAsia="宋体"/>
          <w:b w:val="0"/>
          <w:color w:val="000000"/>
          <w:sz w:val="21"/>
        </w:rPr>
        <w:t>除了上述识别边界，本文还存在以下局限：</w:t>
      </w:r>
    </w:p>
    <w:p>
      <w:r>
        <w:rPr>
          <w:rFonts w:ascii="Times New Roman" w:hAnsi="Times New Roman" w:eastAsia="宋体"/>
          <w:b w:val="0"/>
          <w:color w:val="000000"/>
          <w:sz w:val="21"/>
        </w:rPr>
        <w:t>第一，事件数量有限。本文只有两次DeepSeek事件，外部有效性受到限制。未来研究可以纳入更多AI模型发布事件，检验V-CAG理论的普适性。</w:t>
      </w:r>
    </w:p>
    <w:p>
      <w:r>
        <w:rPr>
          <w:rFonts w:ascii="Times New Roman" w:hAnsi="Times New Roman" w:eastAsia="宋体"/>
          <w:b w:val="0"/>
          <w:color w:val="000000"/>
          <w:sz w:val="21"/>
        </w:rPr>
        <w:t>第二，注意力的直接测度不足。本文使用规模和板块作为注意力的代理变量，但这些变量也可能捕捉其他效应。未来研究可以利用百度指数、微信指数、龙虎榜数据等直接测度投资者注意力，更精确地检验注意力渠道。</w:t>
      </w:r>
    </w:p>
    <w:p>
      <w:r>
        <w:rPr>
          <w:rFonts w:ascii="Times New Roman" w:hAnsi="Times New Roman" w:eastAsia="宋体"/>
          <w:b w:val="0"/>
          <w:color w:val="000000"/>
          <w:sz w:val="21"/>
        </w:rPr>
        <w:t>第三，产业链分类较粗。本文采用上游/中游/下游三层分类，虽然清晰但可能过于简化。未来研究可以利用投入产出表和供应链数据，构建更精细的产业链网络，更精确地刻画企业在价值链中的位置。</w:t>
      </w:r>
    </w:p>
    <w:p>
      <w:r>
        <w:rPr>
          <w:rFonts w:ascii="Times New Roman" w:hAnsi="Times New Roman" w:eastAsia="宋体"/>
          <w:b w:val="0"/>
          <w:color w:val="000000"/>
          <w:sz w:val="21"/>
        </w:rPr>
        <w:t>第四，缺乏长期基本面数据。本文主要关注短期市场反应，未能检验长期基本面效应。未来研究可以跟踪企业后续的业绩变化，检验市场预期是否得到验证。</w:t>
      </w:r>
    </w:p>
    <w:p>
      <w:pPr>
        <w:pStyle w:val="Heading1"/>
        <w:ind w:firstLine="0"/>
      </w:pPr>
      <w:r>
        <w:t>七、结论与启示</w:t>
      </w:r>
    </w:p>
    <w:p>
      <w:pPr>
        <w:pStyle w:val="Heading2"/>
        <w:ind w:firstLine="0"/>
      </w:pPr>
      <w:r>
        <w:t>7.1 主要结论</w:t>
      </w:r>
    </w:p>
    <w:p>
      <w:r>
        <w:rPr>
          <w:rFonts w:ascii="Times New Roman" w:hAnsi="Times New Roman" w:eastAsia="宋体"/>
          <w:b w:val="0"/>
          <w:color w:val="000000"/>
          <w:sz w:val="21"/>
        </w:rPr>
        <w:t>本文以DeepSeek系列模型发布为准自然实验，研究了技术冲击在AI产业链上的非对称定价。基于60家A股上市公司的日度事件研究，采用事件前分类冻结（PCF）方法确保分类的客观性，本文得出以下四点主要结论：</w:t>
      </w:r>
    </w:p>
    <w:p>
      <w:r>
        <w:rPr>
          <w:rFonts w:ascii="Times New Roman" w:hAnsi="Times New Roman" w:eastAsia="宋体"/>
          <w:b w:val="0"/>
          <w:color w:val="000000"/>
          <w:sz w:val="21"/>
        </w:rPr>
        <w:t>第一，技术冲击的市场反应沿产业链呈现显著的梯度效应。DeepSeek-V3发布后，上游企业的累计异常收益比下游高3.73个百分点，产业链梯度斜率为1.92个百分点/层。结果在替代市场基准、替代事件窗口、分类敏感性和剔除异常值等多重检验下保持稳健。</w:t>
      </w:r>
    </w:p>
    <w:p>
      <w:r>
        <w:rPr>
          <w:rFonts w:ascii="Times New Roman" w:hAnsi="Times New Roman" w:eastAsia="宋体"/>
          <w:b w:val="0"/>
          <w:color w:val="000000"/>
          <w:sz w:val="21"/>
        </w:rPr>
        <w:t>第二，投资者注意力梯度是主导机制。规模异质性和板块异质性的结果表明，关注度越高的企业，梯度效应越强。这与价值链注意力梯度（V-CAG）理论的预测一致——上游企业因概念纯度高、价值逻辑简单、板块联动性强而获得更多关注，从而产生更强的市场反应。</w:t>
      </w:r>
    </w:p>
    <w:p>
      <w:r>
        <w:rPr>
          <w:rFonts w:ascii="Times New Roman" w:hAnsi="Times New Roman" w:eastAsia="宋体"/>
          <w:b w:val="0"/>
          <w:color w:val="000000"/>
          <w:sz w:val="21"/>
        </w:rPr>
        <w:t>第三，基本面预期修正起辅助作用。盈利能力异质性的结果表明，高盈利企业的梯度效应更强，暗示基本面预期修正也参与了梯度效应的形成。粗略估计，注意力渠道解释约70%的梯度效应，基本面渠道解释约30%。</w:t>
      </w:r>
    </w:p>
    <w:p>
      <w:r>
        <w:rPr>
          <w:rFonts w:ascii="Times New Roman" w:hAnsi="Times New Roman" w:eastAsia="宋体"/>
          <w:b w:val="0"/>
          <w:color w:val="000000"/>
          <w:sz w:val="21"/>
        </w:rPr>
        <w:t>第四，梯度效应呈现倒U型动态模式。DeepSeek-R1事件中，短窗口[-1,+1]梯度效应更强（3.62%/层），但长窗口[-5,+5]出现反转（-3.57%/层）。这一动态模式支持了注意力驱动的短期过度反应及后续修正的观点，也为V-CAG理论提供了独特的经验支持。</w:t>
      </w:r>
    </w:p>
    <w:p>
      <w:pPr>
        <w:pStyle w:val="Heading2"/>
        <w:ind w:firstLine="0"/>
      </w:pPr>
      <w:r>
        <w:t>7.2 理论启示</w:t>
      </w:r>
    </w:p>
    <w:p>
      <w:r>
        <w:rPr>
          <w:rFonts w:ascii="Times New Roman" w:hAnsi="Times New Roman" w:eastAsia="宋体"/>
          <w:b w:val="0"/>
          <w:color w:val="000000"/>
          <w:sz w:val="21"/>
        </w:rPr>
        <w:t>本文的研究具有以下理论启示：</w:t>
      </w:r>
    </w:p>
    <w:p>
      <w:r>
        <w:rPr>
          <w:rFonts w:ascii="Times New Roman" w:hAnsi="Times New Roman" w:eastAsia="宋体"/>
          <w:b w:val="0"/>
          <w:color w:val="000000"/>
          <w:sz w:val="21"/>
        </w:rPr>
        <w:t>第一，有限关注理论应考虑网络结构。投资者注意力不是均匀分布的，而是沿产业链等网络结构呈现系统性梯度。未来的资产定价理论应将网络结构纳入注意力配置的分析框架。</w:t>
      </w:r>
    </w:p>
    <w:p>
      <w:r>
        <w:rPr>
          <w:rFonts w:ascii="Times New Roman" w:hAnsi="Times New Roman" w:eastAsia="宋体"/>
          <w:b w:val="0"/>
          <w:color w:val="000000"/>
          <w:sz w:val="21"/>
        </w:rPr>
        <w:t>第二，技术冲击的定价是非对称的。同一技术冲击对产业链不同环节的影响方向可能一致，但幅度存在系统性差异。理解技术冲击的传导，需要同时考虑基本面因素和注意力因素。</w:t>
      </w:r>
    </w:p>
    <w:p>
      <w:r>
        <w:rPr>
          <w:rFonts w:ascii="Times New Roman" w:hAnsi="Times New Roman" w:eastAsia="宋体"/>
          <w:b w:val="0"/>
          <w:color w:val="000000"/>
          <w:sz w:val="21"/>
        </w:rPr>
        <w:t>第三，概念炒作中存在“上游情绪放大器”效应。上游企业往往是概念炒作的急先锋和情绪放大器，其短期涨幅可能远超基本面支撑。理解这一模式有助于更理性地看待概念炒作。</w:t>
      </w:r>
    </w:p>
    <w:p>
      <w:pPr>
        <w:pStyle w:val="Heading2"/>
        <w:ind w:firstLine="0"/>
      </w:pPr>
      <w:r>
        <w:t>7.3 实践启示</w:t>
      </w:r>
    </w:p>
    <w:p>
      <w:r>
        <w:rPr>
          <w:rFonts w:ascii="Times New Roman" w:hAnsi="Times New Roman" w:eastAsia="宋体"/>
          <w:b w:val="0"/>
          <w:color w:val="000000"/>
          <w:sz w:val="21"/>
        </w:rPr>
        <w:t>本文的研究也具有实践启示：</w:t>
      </w:r>
    </w:p>
    <w:p>
      <w:r>
        <w:rPr>
          <w:rFonts w:ascii="Times New Roman" w:hAnsi="Times New Roman" w:eastAsia="宋体"/>
          <w:b w:val="0"/>
          <w:color w:val="000000"/>
          <w:sz w:val="21"/>
        </w:rPr>
        <w:t>对监管者而言，应关注AI概念炒作中的产业链不均衡风险。上游板块往往波动更大、投机性更强，可能需要更密切的监控和风险提示。同时，应加强信息披露监管，打击利用概念进行市场操纵的行为。</w:t>
      </w:r>
    </w:p>
    <w:p>
      <w:r>
        <w:rPr>
          <w:rFonts w:ascii="Times New Roman" w:hAnsi="Times New Roman" w:eastAsia="宋体"/>
          <w:b w:val="0"/>
          <w:color w:val="000000"/>
          <w:sz w:val="21"/>
        </w:rPr>
        <w:t>对投资者而言，应理性看待AI概念的短期炒作。短期关注上游可能获得超额收益，但需警惕过度反应和反转风险。长期来看，下游应用的价值兑现可能更具持续性。投资者应根据自身的投资期限和风险偏好，合理配置产业链各环节的权重。</w:t>
      </w:r>
    </w:p>
    <w:p>
      <w:r>
        <w:rPr>
          <w:rFonts w:ascii="Times New Roman" w:hAnsi="Times New Roman" w:eastAsia="宋体"/>
          <w:b w:val="0"/>
          <w:color w:val="000000"/>
          <w:sz w:val="21"/>
        </w:rPr>
        <w:t>对企业而言，应合理管理市场预期，避免过度营销和概念炒作。短期股价上涨未必反映长期价值，过度炒作反而可能积累风险。企业应专注于技术研发和商业落地，以真实业绩支撑估值。</w:t>
      </w:r>
    </w:p>
    <w:p>
      <w:pPr>
        <w:pStyle w:val="Heading2"/>
        <w:ind w:firstLine="0"/>
      </w:pPr>
      <w:r>
        <w:t>7.4 未来研究方向</w:t>
      </w:r>
    </w:p>
    <w:p>
      <w:r>
        <w:rPr>
          <w:rFonts w:ascii="Times New Roman" w:hAnsi="Times New Roman" w:eastAsia="宋体"/>
          <w:b w:val="0"/>
          <w:color w:val="000000"/>
          <w:sz w:val="21"/>
        </w:rPr>
        <w:t>本文的研究为未来研究开辟了多个方向：</w:t>
      </w:r>
    </w:p>
    <w:p>
      <w:r>
        <w:rPr>
          <w:rFonts w:ascii="Times New Roman" w:hAnsi="Times New Roman" w:eastAsia="宋体"/>
          <w:b w:val="0"/>
          <w:color w:val="000000"/>
          <w:sz w:val="21"/>
        </w:rPr>
        <w:t>第一，V-CAG理论的进一步检验。未来研究可以利用更多技术事件、更多行业、更多国家的数据，检验V-CAG理论的普适性。也可以利用自然实验或准自然实验设计，更精确地识别注意力渠道的因果效应。</w:t>
      </w:r>
    </w:p>
    <w:p>
      <w:r>
        <w:rPr>
          <w:rFonts w:ascii="Times New Roman" w:hAnsi="Times New Roman" w:eastAsia="宋体"/>
          <w:b w:val="0"/>
          <w:color w:val="000000"/>
          <w:sz w:val="21"/>
        </w:rPr>
        <w:t>第二，注意力的直接测度与机制分析。利用搜索指数、社交媒体数据、龙虎榜数据、投资者交易数据等直接测度投资者注意力，可以更精确地检验注意力渠道，并量化注意力对梯度效应的贡献。</w:t>
      </w:r>
    </w:p>
    <w:p>
      <w:r>
        <w:rPr>
          <w:rFonts w:ascii="Times New Roman" w:hAnsi="Times New Roman" w:eastAsia="宋体"/>
          <w:b w:val="0"/>
          <w:color w:val="000000"/>
          <w:sz w:val="21"/>
        </w:rPr>
        <w:t>第三，产业链网络的精细化刻画。利用投入产出表、供应链数据、企业间交易数据等，构建更精细的产业链网络，刻画企业在价值链中的精确位置，可以更深入地理解冲击传导的网络结构。</w:t>
      </w:r>
    </w:p>
    <w:p>
      <w:r>
        <w:rPr>
          <w:rFonts w:ascii="Times New Roman" w:hAnsi="Times New Roman" w:eastAsia="宋体"/>
          <w:b w:val="0"/>
          <w:color w:val="000000"/>
          <w:sz w:val="21"/>
        </w:rPr>
        <w:t>第四，长期基本面效应的跟踪。短期市场反应是否得到基本面的验证？上游和下游企业的长期业绩增长是否呈现不同的模式？这些问题需要长期数据的跟踪研究。</w:t>
      </w:r>
    </w:p>
    <w:p>
      <w:r>
        <w:rPr>
          <w:rFonts w:ascii="Times New Roman" w:hAnsi="Times New Roman" w:eastAsia="宋体"/>
          <w:b w:val="0"/>
          <w:color w:val="000000"/>
          <w:sz w:val="21"/>
        </w:rPr>
        <w:t>第五，跨国比较研究。不同国家的市场结构、投资者构成、技术发展阶段不同，V-CAG效应是否存在差异？跨国比较研究有助于理解制度和市场结构对技术冲击定价的影响。</w:t>
      </w:r>
    </w:p>
    <w:p>
      <w:r>
        <w:rPr>
          <w:rFonts w:ascii="Times New Roman" w:hAnsi="Times New Roman" w:eastAsia="宋体"/>
          <w:b w:val="0"/>
          <w:color w:val="000000"/>
          <w:sz w:val="21"/>
        </w:rPr>
        <w:t>总之，AI技术发展对资本市场的影响是一个充满活力的研究领域。随着AI技术的持续进步和产业链的不断演化，相关研究也将不断深化。本文提出的V-CAG理论和PCF方法，希望能为后续研究提供有益的参考。</w:t>
      </w:r>
    </w:p>
    <w:p>
      <w:pPr>
        <w:pStyle w:val="Heading1"/>
        <w:ind w:firstLine="0"/>
      </w:pPr>
      <w:r>
        <w:t>参考文献</w:t>
      </w:r>
    </w:p>
    <w:p>
      <w:pPr>
        <w:spacing w:after="60"/>
        <w:ind w:left="420" w:hanging="420"/>
      </w:pPr>
      <w:r>
        <w:rPr>
          <w:rFonts w:ascii="Times New Roman" w:hAnsi="Times New Roman" w:eastAsia="宋体"/>
          <w:b w:val="0"/>
          <w:color w:val="000000"/>
          <w:sz w:val="19"/>
        </w:rPr>
        <w:t>姜富伟, 孟令超, 唐国豪. 媒体文本情绪与股票回报预测[J]. 经济学(季刊), 2021, 21(4): 1255-1276.</w:t>
      </w:r>
    </w:p>
    <w:p>
      <w:pPr>
        <w:spacing w:after="60"/>
        <w:ind w:left="420" w:hanging="420"/>
      </w:pPr>
      <w:r>
        <w:rPr>
          <w:rFonts w:ascii="Times New Roman" w:hAnsi="Times New Roman" w:eastAsia="宋体"/>
          <w:b w:val="0"/>
          <w:color w:val="000000"/>
          <w:sz w:val="19"/>
        </w:rPr>
        <w:t>乔小勇, 李晨曦, 吴晓雪. 人工智能应用、制造业出口企业高质量发展与生产网络溢出[J]. 北京理工大学学报(社会科学版), 2025, 27(1): 78-92.</w:t>
      </w:r>
    </w:p>
    <w:p>
      <w:pPr>
        <w:spacing w:after="60"/>
        <w:ind w:left="420" w:hanging="420"/>
      </w:pPr>
      <w:r>
        <w:rPr>
          <w:rFonts w:ascii="Times New Roman" w:hAnsi="Times New Roman" w:eastAsia="宋体"/>
          <w:b w:val="0"/>
          <w:color w:val="000000"/>
          <w:sz w:val="19"/>
        </w:rPr>
        <w:t>吴世农, 林晓辉, 李柏宏, 等. 智能财务分析与诊断机器人的开发及实证检验——来自我国A股上市公司的经验证据[J]. 证券市场导报, 2021(2): 4-15.</w:t>
      </w:r>
    </w:p>
    <w:p>
      <w:pPr>
        <w:spacing w:after="60"/>
        <w:ind w:left="420" w:hanging="420"/>
      </w:pPr>
      <w:r>
        <w:rPr>
          <w:rFonts w:ascii="Times New Roman" w:hAnsi="Times New Roman" w:eastAsia="宋体"/>
          <w:b w:val="0"/>
          <w:color w:val="000000"/>
          <w:sz w:val="19"/>
        </w:rPr>
        <w:t>杨鹏, 张帆, 刘海洋. 企业数字技术应用与创新效率提升[J]. 外国经济与管理, 2024, 46(3): 45-60.</w:t>
      </w:r>
    </w:p>
    <w:p>
      <w:pPr>
        <w:spacing w:after="60"/>
        <w:ind w:left="420" w:hanging="420"/>
      </w:pPr>
      <w:r>
        <w:rPr>
          <w:rFonts w:ascii="Times New Roman" w:hAnsi="Times New Roman" w:eastAsia="宋体"/>
          <w:b w:val="0"/>
          <w:color w:val="000000"/>
          <w:sz w:val="19"/>
        </w:rPr>
        <w:t>姚加权, 张然, 胡诗雨. 语调情绪及市场影响——基于金融情绪词典[J]. 管理科学学报, 2021, 24(8): 78-95.</w:t>
      </w:r>
    </w:p>
    <w:p>
      <w:pPr>
        <w:spacing w:after="60"/>
        <w:ind w:left="420" w:hanging="420"/>
      </w:pPr>
      <w:r>
        <w:rPr>
          <w:rFonts w:ascii="Times New Roman" w:hAnsi="Times New Roman" w:eastAsia="宋体"/>
          <w:b w:val="0"/>
          <w:color w:val="000000"/>
          <w:sz w:val="19"/>
        </w:rPr>
        <w:t>张誉夫, 谢建国. 人工智能应用如何赋能企业供应链嵌入[J]. 财经研究, 2025, 51(2): 34-48.</w:t>
      </w:r>
    </w:p>
    <w:p>
      <w:pPr>
        <w:spacing w:after="60"/>
        <w:ind w:left="420" w:hanging="420"/>
      </w:pPr>
      <w:r>
        <w:rPr>
          <w:rFonts w:ascii="Times New Roman" w:hAnsi="Times New Roman" w:eastAsia="宋体"/>
          <w:b w:val="0"/>
          <w:color w:val="000000"/>
          <w:sz w:val="19"/>
        </w:rPr>
        <w:t>朱民, 郑重阳, 张冲. 生成式AI的产业革命：宏观、结构与政策[J]. 国际经济评论, 2023(4): 9-28.</w:t>
      </w:r>
    </w:p>
    <w:p>
      <w:pPr>
        <w:spacing w:after="60"/>
        <w:ind w:left="420" w:hanging="420"/>
      </w:pPr>
      <w:r>
        <w:rPr>
          <w:rFonts w:ascii="Times New Roman" w:hAnsi="Times New Roman" w:eastAsia="宋体"/>
          <w:b w:val="0"/>
          <w:color w:val="000000"/>
          <w:sz w:val="19"/>
        </w:rPr>
        <w:t>陈劲, 王皓白. 生成式人工智能与创新管理：研究范式转变与前沿议题[J]. 管理世界, 2023, 39(10): 1-16.</w:t>
      </w:r>
    </w:p>
    <w:p>
      <w:pPr>
        <w:spacing w:after="60"/>
        <w:ind w:left="420" w:hanging="420"/>
      </w:pPr>
      <w:r>
        <w:rPr>
          <w:rFonts w:ascii="Times New Roman" w:hAnsi="Times New Roman" w:eastAsia="宋体"/>
          <w:b w:val="0"/>
          <w:color w:val="000000"/>
          <w:sz w:val="19"/>
        </w:rPr>
        <w:t>黄群慧, 贺俊. 中国制造业高质量发展的路径与对策[J]. 中国工业经济, 2019(9): 24-42.</w:t>
      </w:r>
    </w:p>
    <w:p>
      <w:pPr>
        <w:ind w:firstLine="0"/>
      </w:pPr>
      <w:r>
        <w:rPr>
          <w:rFonts w:ascii="Times New Roman" w:hAnsi="Times New Roman" w:eastAsia="宋体"/>
          <w:b w:val="0"/>
          <w:i w:val="0"/>
          <w:color w:val="000000"/>
          <w:sz w:val="21"/>
        </w:rPr>
      </w:r>
    </w:p>
    <w:p>
      <w:pPr>
        <w:spacing w:after="60"/>
        <w:ind w:left="420" w:hanging="420"/>
      </w:pPr>
      <w:r>
        <w:rPr>
          <w:rFonts w:ascii="Times New Roman" w:hAnsi="Times New Roman" w:eastAsia="宋体"/>
          <w:b w:val="0"/>
          <w:color w:val="000000"/>
          <w:sz w:val="19"/>
        </w:rPr>
        <w:t>Barber B M, Odean T. All That Glitters: The Effect of Attention and News on the Buying Behavior of Individual and Institutional Investors[J]. The Review of Financial Studies, 2008, 21(2): 785-818.</w:t>
      </w:r>
    </w:p>
    <w:p>
      <w:pPr>
        <w:spacing w:after="60"/>
        <w:ind w:left="420" w:hanging="420"/>
      </w:pPr>
      <w:r>
        <w:rPr>
          <w:rFonts w:ascii="Times New Roman" w:hAnsi="Times New Roman" w:eastAsia="宋体"/>
          <w:b w:val="0"/>
          <w:color w:val="000000"/>
          <w:sz w:val="19"/>
        </w:rPr>
        <w:t>Benjamini Y, Hochberg Y. Controlling the False Discovery Rate: A Practical and Powerful Approach to Multiple Testing[J]. Journal of the Royal Statistical Society: Series B (Methodological), 1995, 57(1): 289-300.</w:t>
      </w:r>
    </w:p>
    <w:p>
      <w:pPr>
        <w:spacing w:after="60"/>
        <w:ind w:left="420" w:hanging="420"/>
      </w:pPr>
      <w:r>
        <w:rPr>
          <w:rFonts w:ascii="Times New Roman" w:hAnsi="Times New Roman" w:eastAsia="宋体"/>
          <w:b w:val="0"/>
          <w:color w:val="000000"/>
          <w:sz w:val="19"/>
        </w:rPr>
        <w:t>Boehmer E, Musumeci J, Poulsen A B. Event-Study Methodology under Conditions of Event-Induced Variance[J]. Journal of Financial Economics, 1991, 30(2): 253-272.</w:t>
      </w:r>
    </w:p>
    <w:p>
      <w:pPr>
        <w:spacing w:after="60"/>
        <w:ind w:left="420" w:hanging="420"/>
      </w:pPr>
      <w:r>
        <w:rPr>
          <w:rFonts w:ascii="Times New Roman" w:hAnsi="Times New Roman" w:eastAsia="宋体"/>
          <w:b w:val="0"/>
          <w:color w:val="000000"/>
          <w:sz w:val="19"/>
        </w:rPr>
        <w:t>Borusyak K, Jaravel X, Spiess J. Revisiting Event Study Designs: Robust and Efficient Estimation[J]. The Review of Economic Studies, 2024, 91(2): 623-659.</w:t>
      </w:r>
    </w:p>
    <w:p>
      <w:pPr>
        <w:spacing w:after="60"/>
        <w:ind w:left="420" w:hanging="420"/>
      </w:pPr>
      <w:r>
        <w:rPr>
          <w:rFonts w:ascii="Times New Roman" w:hAnsi="Times New Roman" w:eastAsia="宋体"/>
          <w:b w:val="0"/>
          <w:color w:val="000000"/>
          <w:sz w:val="19"/>
        </w:rPr>
        <w:t>Bybee M, Kelly B, Manela A, et al. Business News and Business Cycles[J]. The Journal of Finance, 2024, 79(2): 825-878.</w:t>
      </w:r>
    </w:p>
    <w:p>
      <w:pPr>
        <w:spacing w:after="60"/>
        <w:ind w:left="420" w:hanging="420"/>
      </w:pPr>
      <w:r>
        <w:rPr>
          <w:rFonts w:ascii="Times New Roman" w:hAnsi="Times New Roman" w:eastAsia="宋体"/>
          <w:b w:val="0"/>
          <w:color w:val="000000"/>
          <w:sz w:val="19"/>
        </w:rPr>
        <w:t>Callaway B, Sant'Anna P H C. Difference-in-Differences with Multiple Time Periods[J]. Journal of Econometrics, 2021, 225(2): 200-230.</w:t>
      </w:r>
    </w:p>
    <w:p>
      <w:pPr>
        <w:spacing w:after="60"/>
        <w:ind w:left="420" w:hanging="420"/>
      </w:pPr>
      <w:r>
        <w:rPr>
          <w:rFonts w:ascii="Times New Roman" w:hAnsi="Times New Roman" w:eastAsia="宋体"/>
          <w:b w:val="0"/>
          <w:color w:val="000000"/>
          <w:sz w:val="19"/>
        </w:rPr>
        <w:t>Carvalho V M, Nirei M, Saito Y, et al. Supply Chain Disruptions: Evidence from the Great East Japan Earthquake[J]. The Quarterly Journal of Economics, 2021, 136(2): 1255-1321.</w:t>
      </w:r>
    </w:p>
    <w:p>
      <w:pPr>
        <w:spacing w:after="60"/>
        <w:ind w:left="420" w:hanging="420"/>
      </w:pPr>
      <w:r>
        <w:rPr>
          <w:rFonts w:ascii="Times New Roman" w:hAnsi="Times New Roman" w:eastAsia="宋体"/>
          <w:b w:val="0"/>
          <w:color w:val="000000"/>
          <w:sz w:val="19"/>
        </w:rPr>
        <w:t>Charles C. Memory Moves Markets[J]. The Review of Financial Studies, 2025, 38(3): 892-935.</w:t>
      </w:r>
    </w:p>
    <w:p>
      <w:pPr>
        <w:spacing w:after="60"/>
        <w:ind w:left="420" w:hanging="420"/>
      </w:pPr>
      <w:r>
        <w:rPr>
          <w:rFonts w:ascii="Times New Roman" w:hAnsi="Times New Roman" w:eastAsia="宋体"/>
          <w:b w:val="0"/>
          <w:color w:val="000000"/>
          <w:sz w:val="19"/>
        </w:rPr>
        <w:t>Cohen L, Frazzini A. Economic Links and Predictable Returns[J]. The Journal of Finance, 2008, 63(4): 1977-2011.</w:t>
      </w:r>
    </w:p>
    <w:p>
      <w:pPr>
        <w:spacing w:after="60"/>
        <w:ind w:left="420" w:hanging="420"/>
      </w:pPr>
      <w:r>
        <w:rPr>
          <w:rFonts w:ascii="Times New Roman" w:hAnsi="Times New Roman" w:eastAsia="宋体"/>
          <w:b w:val="0"/>
          <w:color w:val="000000"/>
          <w:sz w:val="19"/>
        </w:rPr>
        <w:t>Curtis A, Richardson G, Schmardebeck R. Investor Attention and the Pricing of Earnings News[J]. Journal of Accounting and Economics, 2022, 73(2): 101528.</w:t>
      </w:r>
    </w:p>
    <w:p>
      <w:pPr>
        <w:spacing w:after="60"/>
        <w:ind w:left="420" w:hanging="420"/>
      </w:pPr>
      <w:r>
        <w:rPr>
          <w:rFonts w:ascii="Times New Roman" w:hAnsi="Times New Roman" w:eastAsia="宋体"/>
          <w:b w:val="0"/>
          <w:color w:val="000000"/>
          <w:sz w:val="19"/>
        </w:rPr>
        <w:t>DeepSeek-AI, et al. DeepSeek-V3 Technical Report[EB/OL]. (2024-12-26)[2025-01-15]. https://arxiv.org/abs/2412.18569.</w:t>
      </w:r>
    </w:p>
    <w:p>
      <w:pPr>
        <w:spacing w:after="60"/>
        <w:ind w:left="420" w:hanging="420"/>
      </w:pPr>
      <w:r>
        <w:rPr>
          <w:rFonts w:ascii="Times New Roman" w:hAnsi="Times New Roman" w:eastAsia="宋体"/>
          <w:b w:val="0"/>
          <w:color w:val="000000"/>
          <w:sz w:val="19"/>
        </w:rPr>
        <w:t>DeepSeek-AI, et al. DeepSeek-R1: Incentivizing Reasoning Capability in LLMs via Reinforcement Learning[EB/OL]. (2025-01-20)[2025-02-01]. https://arxiv.org/abs/2501.12948.</w:t>
      </w:r>
    </w:p>
    <w:p>
      <w:pPr>
        <w:spacing w:after="60"/>
        <w:ind w:left="420" w:hanging="420"/>
      </w:pPr>
      <w:r>
        <w:rPr>
          <w:rFonts w:ascii="Times New Roman" w:hAnsi="Times New Roman" w:eastAsia="宋体"/>
          <w:b w:val="0"/>
          <w:color w:val="000000"/>
          <w:sz w:val="19"/>
        </w:rPr>
        <w:t>DellaVigna S, Pollet J M. Investor Inattention and Friday Earnings Announcements[J]. The Journal of Finance, 2009, 64(2): 709-749.</w:t>
      </w:r>
    </w:p>
    <w:p>
      <w:pPr>
        <w:spacing w:after="60"/>
        <w:ind w:left="420" w:hanging="420"/>
      </w:pPr>
      <w:r>
        <w:rPr>
          <w:rFonts w:ascii="Times New Roman" w:hAnsi="Times New Roman" w:eastAsia="宋体"/>
          <w:b w:val="0"/>
          <w:color w:val="000000"/>
          <w:sz w:val="19"/>
        </w:rPr>
        <w:t>Dhawan A, Putniņš T J. Attention to Information, Attention to Prices[J]. Journal of Financial Economics, 2023, 149(2): 373-395.</w:t>
      </w:r>
    </w:p>
    <w:p>
      <w:pPr>
        <w:spacing w:after="60"/>
        <w:ind w:left="420" w:hanging="420"/>
      </w:pPr>
      <w:r>
        <w:rPr>
          <w:rFonts w:ascii="Times New Roman" w:hAnsi="Times New Roman" w:eastAsia="宋体"/>
          <w:b w:val="0"/>
          <w:color w:val="000000"/>
          <w:sz w:val="19"/>
        </w:rPr>
        <w:t>Eisfeldt A L, Schubert G, Zhang M B. Generative AI and Firm Values[R]. NBER Working Paper No. 31222, 2024.</w:t>
      </w:r>
    </w:p>
    <w:p>
      <w:pPr>
        <w:spacing w:after="60"/>
        <w:ind w:left="420" w:hanging="420"/>
      </w:pPr>
      <w:r>
        <w:rPr>
          <w:rFonts w:ascii="Times New Roman" w:hAnsi="Times New Roman" w:eastAsia="宋体"/>
          <w:b w:val="0"/>
          <w:color w:val="000000"/>
          <w:sz w:val="19"/>
        </w:rPr>
        <w:t>Guo D. Earnings Extrapolation and Predictable Stock Market Returns[J]. The Review of Financial Studies, 2025, 38(1): 123-165.</w:t>
      </w:r>
    </w:p>
    <w:p>
      <w:pPr>
        <w:spacing w:after="60"/>
        <w:ind w:left="420" w:hanging="420"/>
      </w:pPr>
      <w:r>
        <w:rPr>
          <w:rFonts w:ascii="Times New Roman" w:hAnsi="Times New Roman" w:eastAsia="宋体"/>
          <w:b w:val="0"/>
          <w:color w:val="000000"/>
          <w:sz w:val="19"/>
        </w:rPr>
        <w:t>Han Z. Silicon Disruption: An Event Study of DeepSeek R1's Breakthrough Impact on Semiconductor Markets[C]. SHS Web of Conferences, 2025, 191: 01030.</w:t>
      </w:r>
    </w:p>
    <w:p>
      <w:pPr>
        <w:spacing w:after="60"/>
        <w:ind w:left="420" w:hanging="420"/>
      </w:pPr>
      <w:r>
        <w:rPr>
          <w:rFonts w:ascii="Times New Roman" w:hAnsi="Times New Roman" w:eastAsia="宋体"/>
          <w:b w:val="0"/>
          <w:color w:val="000000"/>
          <w:sz w:val="19"/>
        </w:rPr>
        <w:t>Harvey C R, Liu Y, Zhu H. … and the Cross-Section of Expected Returns[J]. The Review of Financial Studies, 2016, 29(1): 5-68.</w:t>
      </w:r>
    </w:p>
    <w:p>
      <w:pPr>
        <w:spacing w:after="60"/>
        <w:ind w:left="420" w:hanging="420"/>
      </w:pPr>
      <w:r>
        <w:rPr>
          <w:rFonts w:ascii="Times New Roman" w:hAnsi="Times New Roman" w:eastAsia="宋体"/>
          <w:b w:val="0"/>
          <w:color w:val="000000"/>
          <w:sz w:val="19"/>
        </w:rPr>
        <w:t>Hirshleifer D, Lim S S, Teoh S H. Driven to Distraction: Extraneous Events and Underreaction to Earnings News[J]. The Journal of Finance, 2009, 64(5): 2289-2325.</w:t>
      </w:r>
    </w:p>
    <w:p>
      <w:pPr>
        <w:spacing w:after="60"/>
        <w:ind w:left="420" w:hanging="420"/>
      </w:pPr>
      <w:r>
        <w:rPr>
          <w:rFonts w:ascii="Times New Roman" w:hAnsi="Times New Roman" w:eastAsia="宋体"/>
          <w:b w:val="0"/>
          <w:color w:val="000000"/>
          <w:sz w:val="19"/>
        </w:rPr>
        <w:t>Ho L T, Gan C, Jin S, et al. Artificial Intelligence and Firm Performance: Does Machine Intelligence Shield Firms from Risks?[J]. Journal of Risk and Financial Management, 2022, 15(7): 302.</w:t>
      </w:r>
    </w:p>
    <w:p>
      <w:pPr>
        <w:spacing w:after="60"/>
        <w:ind w:left="420" w:hanging="420"/>
      </w:pPr>
      <w:r>
        <w:rPr>
          <w:rFonts w:ascii="Times New Roman" w:hAnsi="Times New Roman" w:eastAsia="宋体"/>
          <w:b w:val="0"/>
          <w:color w:val="000000"/>
          <w:sz w:val="19"/>
        </w:rPr>
        <w:t>Hötte K. Demand-Pull, Technology-Push, and the Direction of Technological Change[J]. Research Policy, 2023, 52(5): 104732.</w:t>
      </w:r>
    </w:p>
    <w:p>
      <w:pPr>
        <w:spacing w:after="60"/>
        <w:ind w:left="420" w:hanging="420"/>
      </w:pPr>
      <w:r>
        <w:rPr>
          <w:rFonts w:ascii="Times New Roman" w:hAnsi="Times New Roman" w:eastAsia="宋体"/>
          <w:b w:val="0"/>
          <w:color w:val="000000"/>
          <w:sz w:val="19"/>
        </w:rPr>
        <w:t>Kirtac M, Germano F. Sentiment Trading with Large Language Models[J]. Finance Research Letters, 2024, 59: 104567.</w:t>
      </w:r>
    </w:p>
    <w:p>
      <w:pPr>
        <w:spacing w:after="60"/>
        <w:ind w:left="420" w:hanging="420"/>
      </w:pPr>
      <w:r>
        <w:rPr>
          <w:rFonts w:ascii="Times New Roman" w:hAnsi="Times New Roman" w:eastAsia="宋体"/>
          <w:b w:val="0"/>
          <w:color w:val="000000"/>
          <w:sz w:val="19"/>
        </w:rPr>
        <w:t>Kolari J W, Pynnönen S. Event Study Testing with Cross-sectional Correlation of Abnormal Returns[J]. The Review of Financial Studies, 2010, 23(11): 3996-4025.</w:t>
      </w:r>
    </w:p>
    <w:p>
      <w:pPr>
        <w:spacing w:after="60"/>
        <w:ind w:left="420" w:hanging="420"/>
      </w:pPr>
      <w:r>
        <w:rPr>
          <w:rFonts w:ascii="Times New Roman" w:hAnsi="Times New Roman" w:eastAsia="宋体"/>
          <w:b w:val="0"/>
          <w:color w:val="000000"/>
          <w:sz w:val="19"/>
        </w:rPr>
        <w:t>Kolari J W, Pynnönen S, Tuncez D. Further Evidence on Long-Run Abnormal Returns after Corporate Events[J]. Quarterly Review of Economics and Finance, 2020, 78: 240-252.</w:t>
      </w:r>
    </w:p>
    <w:p>
      <w:pPr>
        <w:spacing w:after="60"/>
        <w:ind w:left="420" w:hanging="420"/>
      </w:pPr>
      <w:r>
        <w:rPr>
          <w:rFonts w:ascii="Times New Roman" w:hAnsi="Times New Roman" w:eastAsia="宋体"/>
          <w:b w:val="0"/>
          <w:color w:val="000000"/>
          <w:sz w:val="19"/>
        </w:rPr>
        <w:t>Kurter M, Bhatti U. The Effect of AI Investment Announcements on Adopting Companies' Abnormal Returns[R]. Working Paper, 2024.</w:t>
      </w:r>
    </w:p>
    <w:p>
      <w:pPr>
        <w:spacing w:after="60"/>
        <w:ind w:left="420" w:hanging="420"/>
      </w:pPr>
      <w:r>
        <w:rPr>
          <w:rFonts w:ascii="Times New Roman" w:hAnsi="Times New Roman" w:eastAsia="宋体"/>
          <w:b w:val="0"/>
          <w:color w:val="000000"/>
          <w:sz w:val="19"/>
        </w:rPr>
        <w:t>Li X, Myers J N, Myers L A, et al. Dissecting Corporate Culture Using Generative AI[J]. The Review of Financial Studies, 2026, 39(1): 1-35.</w:t>
      </w:r>
    </w:p>
    <w:p>
      <w:pPr>
        <w:spacing w:after="60"/>
        <w:ind w:left="420" w:hanging="420"/>
      </w:pPr>
      <w:r>
        <w:rPr>
          <w:rFonts w:ascii="Times New Roman" w:hAnsi="Times New Roman" w:eastAsia="宋体"/>
          <w:b w:val="0"/>
          <w:color w:val="000000"/>
          <w:sz w:val="19"/>
        </w:rPr>
        <w:t>Lopez-Lira A, Tang Y. Can ChatGPT Forecast Stock Price Movements? Return Predictability and Large Language Models[R]. arXiv:2304.07619, 2023.</w:t>
      </w:r>
    </w:p>
    <w:p>
      <w:pPr>
        <w:spacing w:after="60"/>
        <w:ind w:left="420" w:hanging="420"/>
      </w:pPr>
      <w:r>
        <w:rPr>
          <w:rFonts w:ascii="Times New Roman" w:hAnsi="Times New Roman" w:eastAsia="宋体"/>
          <w:b w:val="0"/>
          <w:color w:val="000000"/>
          <w:sz w:val="19"/>
        </w:rPr>
        <w:t>MacKinlay A C. Event Studies in Economics and Finance[J]. Journal of Economic Literature, 1997, 35(1): 13-39.</w:t>
      </w:r>
    </w:p>
    <w:p>
      <w:pPr>
        <w:spacing w:after="60"/>
        <w:ind w:left="420" w:hanging="420"/>
      </w:pPr>
      <w:r>
        <w:rPr>
          <w:rFonts w:ascii="Times New Roman" w:hAnsi="Times New Roman" w:eastAsia="宋体"/>
          <w:b w:val="0"/>
          <w:color w:val="000000"/>
          <w:sz w:val="19"/>
        </w:rPr>
        <w:t>Merton R C. A Simple Model of Capital Market Equilibrium with Incomplete Information[J]. The Journal of Finance, 1987, 42(3): 483-510.</w:t>
      </w:r>
    </w:p>
    <w:p>
      <w:pPr>
        <w:spacing w:after="60"/>
        <w:ind w:left="420" w:hanging="420"/>
      </w:pPr>
      <w:r>
        <w:rPr>
          <w:rFonts w:ascii="Times New Roman" w:hAnsi="Times New Roman" w:eastAsia="宋体"/>
          <w:b w:val="0"/>
          <w:color w:val="000000"/>
          <w:sz w:val="19"/>
        </w:rPr>
        <w:t>Noy S, Zhang W. The Productivity Effects of Generative Artificial Intelligence: Evidence from a Randomized Controlled Trial[J]. Science, 2023, 381(6654): 187-192.</w:t>
      </w:r>
    </w:p>
    <w:p>
      <w:pPr>
        <w:spacing w:after="60"/>
        <w:ind w:left="420" w:hanging="420"/>
      </w:pPr>
      <w:r>
        <w:rPr>
          <w:rFonts w:ascii="Times New Roman" w:hAnsi="Times New Roman" w:eastAsia="宋体"/>
          <w:b w:val="0"/>
          <w:color w:val="000000"/>
          <w:sz w:val="19"/>
        </w:rPr>
        <w:t>Pankratz F, Schiller C. Climate Change and Adaptation in Global Supply Chain Networks[J]. The Review of Financial Studies, 2024, 37(6): 2183-2225.</w:t>
      </w:r>
    </w:p>
    <w:p>
      <w:pPr>
        <w:spacing w:after="60"/>
        <w:ind w:left="420" w:hanging="420"/>
      </w:pPr>
      <w:r>
        <w:rPr>
          <w:rFonts w:ascii="Times New Roman" w:hAnsi="Times New Roman" w:eastAsia="宋体"/>
          <w:b w:val="0"/>
          <w:color w:val="000000"/>
          <w:sz w:val="19"/>
        </w:rPr>
        <w:t>Patel P C, Sahi G K. AI Patent Approvals in Service Firms, Patent Radicalness, and Stock Market Reaction[J]. Journal of Service Research, 2024, 27(3): 567-585.</w:t>
      </w:r>
    </w:p>
    <w:p>
      <w:pPr>
        <w:spacing w:after="60"/>
        <w:ind w:left="420" w:hanging="420"/>
      </w:pPr>
      <w:r>
        <w:rPr>
          <w:rFonts w:ascii="Times New Roman" w:hAnsi="Times New Roman" w:eastAsia="宋体"/>
          <w:b w:val="0"/>
          <w:color w:val="000000"/>
          <w:sz w:val="19"/>
        </w:rPr>
        <w:t>Pietrzak M. A Trillion Dollars Race—How ChatGPT Affects Stock Prices[J]. Future Business Journal, 2025, 11(1): 12.</w:t>
      </w:r>
    </w:p>
    <w:p>
      <w:pPr>
        <w:spacing w:after="60"/>
        <w:ind w:left="420" w:hanging="420"/>
      </w:pPr>
      <w:r>
        <w:rPr>
          <w:rFonts w:ascii="Times New Roman" w:hAnsi="Times New Roman" w:eastAsia="宋体"/>
          <w:b w:val="0"/>
          <w:color w:val="000000"/>
          <w:sz w:val="19"/>
        </w:rPr>
        <w:t>Welagedara P, Deb P, Singh H. Investor Attention, Analyst Recommendation Revisions, and Stock Prices[J]. Pacific-Basin Finance Journal, 2017, 45: 124-140.</w:t>
      </w:r>
    </w:p>
    <w:p>
      <w:pPr>
        <w:spacing w:after="60"/>
        <w:ind w:left="420" w:hanging="420"/>
      </w:pPr>
      <w:r>
        <w:rPr>
          <w:rFonts w:ascii="Times New Roman" w:hAnsi="Times New Roman" w:eastAsia="宋体"/>
          <w:b w:val="0"/>
          <w:color w:val="000000"/>
          <w:sz w:val="19"/>
        </w:rPr>
        <w:t>Xi H, Yan C, Liu H, et al. An Event Study on the Market Impacts of the Release of Major AI Models[J]. Advances in Economics, Management and Political Sciences, 2025, 21: 123-131.</w:t>
      </w:r>
    </w:p>
    <w:p>
      <w:pPr>
        <w:spacing w:after="60"/>
        <w:ind w:left="420" w:hanging="420"/>
      </w:pPr>
      <w:r>
        <w:rPr>
          <w:rFonts w:ascii="Times New Roman" w:hAnsi="Times New Roman" w:eastAsia="宋体"/>
          <w:b w:val="0"/>
          <w:color w:val="000000"/>
          <w:sz w:val="19"/>
        </w:rPr>
        <w:t>Alfaro-Ureña I, Manelici I, Vasquez J P. The Effects of Joining Multinational Supply Chains: New Evidence from Firm-to-Firm Input-Output Linkages[J]. The Quarterly Journal of Economics, 2022, 137(3): 1445-1500.</w:t>
      </w:r>
    </w:p>
    <w:p>
      <w:pPr>
        <w:spacing w:after="60"/>
        <w:ind w:left="420" w:hanging="420"/>
      </w:pPr>
      <w:r>
        <w:rPr>
          <w:rFonts w:ascii="Times New Roman" w:hAnsi="Times New Roman" w:eastAsia="宋体"/>
          <w:b w:val="0"/>
          <w:color w:val="000000"/>
          <w:sz w:val="19"/>
        </w:rPr>
        <w:t>Andries M, Bianchi M, Huynh K, et al. Return Predictability, Expectations, and Investment: Experimental Evidence[J]. The Review of Financial Studies, 2025, 38(2): 456-492.</w:t>
      </w:r>
    </w:p>
    <w:p>
      <w:pPr>
        <w:spacing w:after="60"/>
        <w:ind w:left="420" w:hanging="420"/>
      </w:pPr>
      <w:r>
        <w:rPr>
          <w:rFonts w:ascii="Times New Roman" w:hAnsi="Times New Roman" w:eastAsia="宋体"/>
          <w:b w:val="0"/>
          <w:color w:val="000000"/>
          <w:sz w:val="19"/>
        </w:rPr>
        <w:t>Ballinari D, Audrino F, Sigrist F. When Does Attention Matter? The Impact of News on Volatility[J]. Journal of Financial Markets, 2021, 55: 100605.</w:t>
      </w:r>
    </w:p>
    <w:p>
      <w:pPr>
        <w:spacing w:after="60"/>
        <w:ind w:left="420" w:hanging="420"/>
      </w:pPr>
      <w:r>
        <w:rPr>
          <w:rFonts w:ascii="Times New Roman" w:hAnsi="Times New Roman" w:eastAsia="宋体"/>
          <w:b w:val="0"/>
          <w:color w:val="000000"/>
          <w:sz w:val="19"/>
        </w:rPr>
        <w:t>Bisetti E, She Q, Zaldokas A. ESG Shocks in Global Supply Chains[J]. The Review of Financial Studies, 2026, 39(1): 234-278.</w:t>
      </w:r>
    </w:p>
    <w:p>
      <w:pPr>
        <w:spacing w:after="60"/>
        <w:ind w:left="420" w:hanging="420"/>
      </w:pPr>
      <w:r>
        <w:rPr>
          <w:rFonts w:ascii="Times New Roman" w:hAnsi="Times New Roman" w:eastAsia="宋体"/>
          <w:b w:val="0"/>
          <w:color w:val="000000"/>
          <w:sz w:val="19"/>
        </w:rPr>
        <w:t>Aboody D, Lehavy R, Trueman B. Limited Attention and the Earnings Announcement Returns of Past Stock Market Winners[J]. Review of Accounting Studies, 2010, 15(2): 317-345.</w:t>
      </w:r>
    </w:p>
    <w:p>
      <w:pPr>
        <w:pStyle w:val="Heading1"/>
        <w:ind w:firstLine="0"/>
      </w:pPr>
      <w:r>
        <w:t>附录</w:t>
      </w:r>
    </w:p>
    <w:p>
      <w:pPr>
        <w:pStyle w:val="Heading2"/>
        <w:ind w:firstLine="0"/>
      </w:pPr>
      <w:r>
        <w:t>附录A：事件前分类冻结（PCF）方法详细说明</w:t>
      </w:r>
    </w:p>
    <w:p>
      <w:r>
        <w:rPr>
          <w:rFonts w:ascii="Times New Roman" w:hAnsi="Times New Roman" w:eastAsia="宋体"/>
          <w:b w:val="0"/>
          <w:color w:val="000000"/>
          <w:sz w:val="21"/>
        </w:rPr>
        <w:t>本附录详细说明事件前分类冻结（PCF）方法的实施过程。</w:t>
      </w:r>
    </w:p>
    <w:p>
      <w:r>
        <w:rPr>
          <w:rFonts w:ascii="Times New Roman" w:hAnsi="Times New Roman" w:eastAsia="宋体"/>
          <w:b w:val="0"/>
          <w:color w:val="000000"/>
          <w:sz w:val="21"/>
        </w:rPr>
        <w:t>A.1 信息源：60家样本公司的2023年年度报告，均从巨潮资讯网（www.cninfo.com.cn）下载。所有年报均在2024年4月30日前披露，早于DeepSeek-V3发布日（2024年12月26日）。</w:t>
      </w:r>
    </w:p>
    <w:p>
      <w:r>
        <w:rPr>
          <w:rFonts w:ascii="Times New Roman" w:hAnsi="Times New Roman" w:eastAsia="宋体"/>
          <w:b w:val="0"/>
          <w:color w:val="000000"/>
          <w:sz w:val="21"/>
        </w:rPr>
        <w:t>A.2 分类标准：基于主要经济功能原则。上游=算力基础设施（芯片、服务器、光通信、PCB、数据中心等）；中游=软件平台与技术服务（通用软件、数据平台、安全产品、系统集成等）；下游=行业应用（办公、金融、医疗、城市治理、消费应用等）。</w:t>
      </w:r>
    </w:p>
    <w:p>
      <w:r>
        <w:rPr>
          <w:rFonts w:ascii="Times New Roman" w:hAnsi="Times New Roman" w:eastAsia="宋体"/>
          <w:b w:val="0"/>
          <w:color w:val="000000"/>
          <w:sz w:val="21"/>
        </w:rPr>
        <w:t>A.3 审核流程：①算法初筛：基于年报关键词匹配生成初步分类建议；②人工复核：逐家审核，重点关注主营业务描述；③歧义讨论：对分类存在歧义的企业，由多人讨论后确定；④最终确认：所有分类经最终审核确认。</w:t>
      </w:r>
    </w:p>
    <w:p>
      <w:r>
        <w:rPr>
          <w:rFonts w:ascii="Times New Roman" w:hAnsi="Times New Roman" w:eastAsia="宋体"/>
          <w:b w:val="0"/>
          <w:color w:val="000000"/>
          <w:sz w:val="21"/>
        </w:rPr>
        <w:t>A.4 冻结记录：分类清单于2026年7月27日正式冻结。冻结内容包括：股票代码、证券简称、最终分类、分类理由、年报链接、审核状态、冻结时间、文件哈希值。冻结后，分析过程中不再调整分类。</w:t>
      </w:r>
    </w:p>
    <w:p>
      <w:r>
        <w:rPr>
          <w:rFonts w:ascii="Times New Roman" w:hAnsi="Times New Roman" w:eastAsia="宋体"/>
          <w:b w:val="0"/>
          <w:color w:val="000000"/>
          <w:sz w:val="21"/>
        </w:rPr>
        <w:t>A.5 分类调整：相较最初的20/20/20硬编码分类，最终版本共调整了14家公司的分类。所有调整均基于年报证据，而非统计结果。分类敏感性检验表明，核心结论对分类调整不敏感。</w:t>
      </w:r>
    </w:p>
    <w:p>
      <w:pPr>
        <w:pStyle w:val="Heading2"/>
        <w:ind w:firstLine="0"/>
      </w:pPr>
      <w:r>
        <w:t>附录B：样本公司产业链分类清单</w:t>
      </w:r>
    </w:p>
    <w:p>
      <w:pPr>
        <w:spacing w:before="200" w:after="120"/>
        <w:ind w:firstLine="0"/>
        <w:jc w:val="center"/>
      </w:pPr>
      <w:r>
        <w:rPr>
          <w:rFonts w:ascii="Times New Roman" w:hAnsi="Times New Roman" w:eastAsia="黑体"/>
          <w:b/>
          <w:color w:val="000000"/>
          <w:sz w:val="21"/>
        </w:rPr>
        <w:t>表B1  60家样本公司产业链分类清单（PCF冻结版）</w:t>
      </w:r>
    </w:p>
    <w:tbl>
      <w:tblPr>
        <w:tblStyle w:val="TableGrid"/>
        <w:tblW w:type="auto" w:w="0"/>
        <w:jc w:val="center"/>
        <w:tblLayout w:type="fixed"/>
        <w:tblLook w:firstColumn="1" w:firstRow="1" w:lastColumn="0" w:lastRow="0" w:noHBand="0" w:noVBand="1" w:val="04A0"/>
      </w:tblPr>
      <w:tblGrid>
        <w:gridCol w:w="2948"/>
        <w:gridCol w:w="2948"/>
        <w:gridCol w:w="2948"/>
      </w:tblGrid>
      <w:tr>
        <w:tc>
          <w:tcPr>
            <w:tcW w:type="dxa" w:w="3118"/>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上游（21家）</w:t>
            </w:r>
          </w:p>
        </w:tc>
        <w:tc>
          <w:tcPr>
            <w:tcW w:type="dxa" w:w="3118"/>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中游（24家）</w:t>
            </w:r>
          </w:p>
        </w:tc>
        <w:tc>
          <w:tcPr>
            <w:tcW w:type="dxa" w:w="3118"/>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下游（15家）</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浪潮信息（000977）</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新大陆（000997）</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利欧股份（002131）</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华工科技（000988）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东华软件（002065）</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中公教育（002607）</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紫光国微（002049）</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科大讯飞（002230）</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ST银江（300020）</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光迅科技（002281）</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大华股份（002236）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同花顺（300033）</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北方华创（002371）</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川大智胜（002253）</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蓝色光标（300058）</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沪电股份（002463）</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太极股份（002368）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数字政通（300075）</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北京君正（300223）</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四维图新（002405）</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思创智联（300078）</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中际旭创（300308）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海康威视（002415）</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万达信息（300168）</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天孚通信（300394）</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启明星辰（002439）</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卫宁健康（300253）</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景嘉微（300474）</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久远银海（002777）</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创业慧康（300451）</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胜宏科技（300476）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超图软件（300036）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因赛集团（300781）</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新易盛（300502）</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汉得信息（300170）</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值得买（300785）</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生益科技（600183）</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国投智能（300188）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天下秀（600556）</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中科曙光（603019）</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拓尔思（300229）</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恒生电子（600570）</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汇顶科技（603160）</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恒华科技（300365）</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金山办公（688111）</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兆易创新（603986）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中科创达（300496）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澜起科技（688008）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万兴科技（300624）</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中微公司（688012）</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彩讯股份（300634）</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海光信息（688041）</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华胜天成（600410）</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寒武纪（688256）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安恒信息（688023）</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中芯国际（688981）</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虹软科技（688088）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开普云（688228）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云从科技（688327）</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致远互联（688369）</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bl>
    <w:p>
      <w:pPr>
        <w:spacing w:before="60" w:after="160"/>
        <w:ind w:firstLine="0"/>
      </w:pPr>
      <w:r>
        <w:rPr>
          <w:rFonts w:ascii="Times New Roman" w:hAnsi="Times New Roman" w:eastAsia="宋体"/>
          <w:b w:val="0"/>
          <w:color w:val="555555"/>
          <w:sz w:val="17"/>
        </w:rPr>
        <w:t>注：作者根据2023年年度报告整理。分类在结果分析前冻结。</w:t>
      </w:r>
    </w:p>
    <w:p>
      <w:pPr>
        <w:pStyle w:val="Heading2"/>
        <w:ind w:firstLine="0"/>
      </w:pPr>
      <w:r>
        <w:t>附录C：变量定义与数据来源</w:t>
      </w:r>
    </w:p>
    <w:p>
      <w:pPr>
        <w:spacing w:before="200" w:after="120"/>
        <w:ind w:firstLine="0"/>
        <w:jc w:val="center"/>
      </w:pPr>
      <w:r>
        <w:rPr>
          <w:rFonts w:ascii="Times New Roman" w:hAnsi="Times New Roman" w:eastAsia="黑体"/>
          <w:b/>
          <w:color w:val="000000"/>
          <w:sz w:val="21"/>
        </w:rPr>
        <w:t>表C1  主要变量定义</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变量符号</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变量名称</w:t>
            </w:r>
          </w:p>
        </w:tc>
        <w:tc>
          <w:tcPr>
            <w:tcW w:type="dxa" w:w="3969"/>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定义说明</w:t>
            </w:r>
          </w:p>
        </w:tc>
        <w:tc>
          <w:tcPr>
            <w:tcW w:type="dxa" w:w="1701"/>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数据来源</w:t>
            </w:r>
          </w:p>
        </w:tc>
      </w:tr>
      <w:tr>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CAR</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累计异常收益</w:t>
            </w:r>
          </w:p>
        </w:tc>
        <w:tc>
          <w:tcPr>
            <w:tcW w:type="dxa" w:w="396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事件窗口内异常收益的累计值，市场模型估计</w:t>
            </w:r>
          </w:p>
        </w:tc>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iFinD</w:t>
            </w:r>
          </w:p>
        </w:tc>
      </w:tr>
      <w:tr>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AR</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异常收益</w:t>
            </w:r>
          </w:p>
        </w:tc>
        <w:tc>
          <w:tcPr>
            <w:tcW w:type="dxa" w:w="396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实际收益减去市场模型预测收益</w:t>
            </w:r>
          </w:p>
        </w:tc>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iFinD</w:t>
            </w:r>
          </w:p>
        </w:tc>
      </w:tr>
      <w:tr>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Layer</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产业链位置</w:t>
            </w:r>
          </w:p>
        </w:tc>
        <w:tc>
          <w:tcPr>
            <w:tcW w:type="dxa" w:w="396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下游=0，中游=1，上游=2（PCF分类）</w:t>
            </w:r>
          </w:p>
        </w:tc>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年报</w:t>
            </w:r>
          </w:p>
        </w:tc>
      </w:tr>
      <w:tr>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Size</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企业规模</w:t>
            </w:r>
          </w:p>
        </w:tc>
        <w:tc>
          <w:tcPr>
            <w:tcW w:type="dxa" w:w="396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总资产的自然对数</w:t>
            </w:r>
          </w:p>
        </w:tc>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CSMAR</w:t>
            </w:r>
          </w:p>
        </w:tc>
      </w:tr>
      <w:tr>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ROA</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资产收益率</w:t>
            </w:r>
          </w:p>
        </w:tc>
        <w:tc>
          <w:tcPr>
            <w:tcW w:type="dxa" w:w="396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净利润/总资产</w:t>
            </w:r>
          </w:p>
        </w:tc>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CSMAR</w:t>
            </w:r>
          </w:p>
        </w:tc>
      </w:tr>
      <w:tr>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Leverage</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资产负债率</w:t>
            </w:r>
          </w:p>
        </w:tc>
        <w:tc>
          <w:tcPr>
            <w:tcW w:type="dxa" w:w="396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总负债/总资产</w:t>
            </w:r>
          </w:p>
        </w:tc>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CSMAR</w:t>
            </w:r>
          </w:p>
        </w:tc>
      </w:tr>
      <w:tr>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Excess_Ret</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超额收益</w:t>
            </w:r>
          </w:p>
        </w:tc>
        <w:tc>
          <w:tcPr>
            <w:tcW w:type="dxa" w:w="396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个股收益率减去市场收益率</w:t>
            </w:r>
          </w:p>
        </w:tc>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iFinD</w:t>
            </w:r>
          </w:p>
        </w:tc>
      </w:tr>
      <w:tr>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Turnover</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换手率</w:t>
            </w:r>
          </w:p>
        </w:tc>
        <w:tc>
          <w:tcPr>
            <w:tcW w:type="dxa" w:w="396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日换手率，事件前30天平均</w:t>
            </w:r>
          </w:p>
        </w:tc>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iFinD</w:t>
            </w:r>
          </w:p>
        </w:tc>
      </w:tr>
    </w:tbl>
    <w:p>
      <w:pPr>
        <w:spacing w:before="60" w:after="160"/>
        <w:ind w:firstLine="0"/>
      </w:pPr>
      <w:r>
        <w:rPr>
          <w:rFonts w:ascii="Times New Roman" w:hAnsi="Times New Roman" w:eastAsia="宋体"/>
          <w:b w:val="0"/>
          <w:color w:val="555555"/>
          <w:sz w:val="17"/>
        </w:rPr>
        <w:t>注：本表列出本文使用的主要变量及其定义和数据来源。</w:t>
      </w:r>
    </w:p>
    <w:p>
      <w:pPr>
        <w:pStyle w:val="Heading2"/>
        <w:ind w:firstLine="0"/>
      </w:pPr>
      <w:r>
        <w:t>附录D：核心识别审计摘要</w:t>
      </w:r>
    </w:p>
    <w:p>
      <w:r>
        <w:rPr>
          <w:rFonts w:ascii="Times New Roman" w:hAnsi="Times New Roman" w:eastAsia="宋体"/>
          <w:b w:val="0"/>
          <w:color w:val="000000"/>
          <w:sz w:val="21"/>
        </w:rPr>
        <w:t>本附录简要报告月度DID模型的核心识别审计结果，说明本文为何选择日度事件研究作为主方法。</w:t>
      </w:r>
    </w:p>
    <w:p>
      <w:r>
        <w:rPr>
          <w:rFonts w:ascii="Times New Roman" w:hAnsi="Times New Roman" w:eastAsia="宋体"/>
          <w:b w:val="0"/>
          <w:color w:val="000000"/>
          <w:sz w:val="21"/>
        </w:rPr>
        <w:t>D.1 基准DID与安慰剂检验：真实事件（2025年1月）系数为0.0513（p=0.001），但伪事件2024年1月系数为0.0436（p=0.0005），同样高度显著。这表明月度DID模型存在识别问题。</w:t>
      </w:r>
    </w:p>
    <w:p>
      <w:r>
        <w:rPr>
          <w:rFonts w:ascii="Times New Roman" w:hAnsi="Times New Roman" w:eastAsia="宋体"/>
          <w:b w:val="0"/>
          <w:color w:val="000000"/>
          <w:sz w:val="21"/>
        </w:rPr>
        <w:t>D.2 平行趋势联合检验：[-12,-2]窗口Wald统计量为109.13（p=0.000），强烈拒绝平行趋势假设。[-6,-2]和[-4,-2]等更短窗口也均拒绝原假设。</w:t>
      </w:r>
    </w:p>
    <w:p>
      <w:r>
        <w:rPr>
          <w:rFonts w:ascii="Times New Roman" w:hAnsi="Times New Roman" w:eastAsia="宋体"/>
          <w:b w:val="0"/>
          <w:color w:val="000000"/>
          <w:sz w:val="21"/>
        </w:rPr>
        <w:t>D.3 滚动伪事件诊断：多个伪事件日期显示出显著的“处理效应”，包括2023年12月、2024年1月、2024年2月、2024年7-9月等，表明效应不局限于真实事件日期。</w:t>
      </w:r>
    </w:p>
    <w:p>
      <w:r>
        <w:rPr>
          <w:rFonts w:ascii="Times New Roman" w:hAnsi="Times New Roman" w:eastAsia="宋体"/>
          <w:b w:val="0"/>
          <w:color w:val="000000"/>
          <w:sz w:val="21"/>
        </w:rPr>
        <w:t>D.4 结论：月度DID不满足平行趋势假设，不能作为核心识别策略。本文因此采用日度事件研究方法，并明确披露识别边界。日度事件研究虽然不能提供严格的因果识别，但在衡量事件相关市场反应方面具有方法上的合理性。</w:t>
      </w:r>
    </w:p>
    <w:sectPr w:rsidR="00FC693F" w:rsidRPr="0006063C" w:rsidSect="00034616">
      <w:pgSz w:w="11906" w:h="16838"/>
      <w:pgMar w:top="1440" w:right="1531" w:bottom="1440"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