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/**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* @method :微信支付方法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* @param data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*/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weixinPay(data) {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if (typeof WeixinJSBridge == "undefined") { // 微信浏览器内置对象。参考微信官方文档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if (document.addEventListener) {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document.addEventListener('WeixinJSBridgeReady', vm.onBridgeReady(data), false);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} else if (document.attachEvent) {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document.attachEvent('WeixinJSBridgeReady', vm.onBridgeReady(data));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document.attachEvent('onWeixinJSBridgeReady', vm.onBridgeReady(data));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}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} else {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this.onBridgeReady(data);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}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},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/**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* @method 支付费用方法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* @param data:后台返回的支付对象,(详情微信公众号支付API中H5提交支付);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*/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onBridgeReady(data) {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this.tradeNo = data.tradeNo;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WeixinJSBridge.invoke(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'getBrandWCPayRequest', {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'appId': data.appId, // 公众号名称，由商户传入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'timeStamp': data.timeStamp, // 时间戳，自1970年以来的秒数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'nonceStr': data.nonceStr, // 随机串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'package': data.package,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'signType': data.signType, // 微信签名方式：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'paySign': data.paySign // 微信签名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},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res =&gt; {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// 使用以上方式判断前端返回,微信团队郑重提示：res.err_msg将在用户支付成功后返回ok，但并不保证它绝对可靠。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if ((res.err_msg || res.errMsg) == 'get_brand_wcpay_request:ok') {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 Toast('支付成功');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// 首充隐藏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if (this.firstRecharge) {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  this.firstRecharge = false;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  this.rechargePackages = this.originalRechargePackages;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}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this._confirmTrade();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} else if ((res.err_msg || res.errMsg) == 'get_brand_wcpay_request:cancel') {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Toast('您已取消支付');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} else {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  Toast('支付失败：' + (res.err_msg || res.errMsg));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  }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    }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 );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},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7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2018-09-29T07:48:27Z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