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/>
        <w:jc w:val="center"/>
      </w:pPr>
      <w:r>
        <w:rPr>
          <w:rFonts w:ascii="Times New Roman" w:hAnsi="Times New Roman" w:eastAsia="黑体"/>
          <w:b/>
          <w:sz w:val="44"/>
        </w:rPr>
        <w:t>大宗物流综合管理平台（BulkHaul）</w:t>
      </w:r>
    </w:p>
    <w:p>
      <w:pPr>
        <w:spacing w:after="600"/>
        <w:jc w:val="center"/>
      </w:pPr>
      <w:r>
        <w:rPr>
          <w:rFonts w:ascii="Times New Roman" w:hAnsi="Times New Roman" w:eastAsia="黑体"/>
          <w:b/>
          <w:sz w:val="52"/>
        </w:rPr>
        <w:t>验收报告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文档编号：BLMS-ACC-003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版    本：V1.0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密    级：内部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编制日期：2026-09-02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修订人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审核人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修订说明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2026-09-02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首次发布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审批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签字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编制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审核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批准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文档名称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验收报告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文档编号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BLMS-ACC-003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适用项目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大宗物流综合管理平台（BulkHaul）交付验收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编制目的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记录 BulkHaul 项目验收测试的执行过程、结果统计、缺陷情况与验收结论，作为项目交付验收的正式依据。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适用范围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BulkHaul 全栈功能验收（2026-09-02 执行轮次）。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引用文档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《验收测试计划》（BLMS-ACC-001）；《验收测试用例》（BLMS-ACC-002）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1  验收概况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大宗物流综合管理平台（BulkHaul）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验收轮次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2026-09-02（第 1 轮）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被测版本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 bulkhaul-manage-web @ 944c115；后端 bulkhaul-server @ ad0b06e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验收环境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全栈 Docker（后端 8081 + MySQL + 前端静态 8086），Chromium 浏览器，SCHEDULER_AUTO_ENABLED=false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执行依据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《验收测试计划》（BLMS-ACC-001）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用例清单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《验收测试用例》（BLMS-ACC-002）：自动化 111 条 + 人工走查 12 条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2  执行结果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2.1  总体统计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计划数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执行数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通过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失败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阻塞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通过率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自动化 E2E（执行口径）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人工走查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注：用例表按静态断言 111 条编号（含 1 条条件断言，种子态下稳定触发）；脚本执行口径为 110 条断言。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2.2  分场景结果（自动化 E2E）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场景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名称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断言数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通过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失败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01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admin 登录 → 主链路操作（确认装货）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02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结算专员权限拦截（无 /dispatch 菜单）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03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只读用户：可见不可操作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04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客户门户（对账确认）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05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安全管理新增入口（事故/培训/检查）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06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合同管理 → 运输需求 → 生成合同草稿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07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客户门户发起运输需求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08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司机端收入结算视图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09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司机手机号登录 → 司机端锁定账号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消息中心（未读角标 → 全部已读）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银行对账 → 自动核销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客户数据导入（CSV 预览校验）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定时任务驱动在途数据 + 只读无按钮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司机账号 UI 全链路（扫码五步）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登录失败锁定（5 次 → 5 分钟）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环节1-3（补签/异议/改价审批）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环节4-6（质量扣减/预付款/免打扰）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环节7-8（安全库存预警/数据权限）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环节9-10（登录验证码/单证归档）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薄客户端合同列表（分页/过滤/交叉引用）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21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薄客户端调度详情（聚合端点）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22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薄客户端看板/工作台（聚合端点）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2.3  页面质量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全部场景运行期间零 page-error、零 page-crash（浏览器控制台错误与页面异常均被监听并计入）。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2.4  辅助验证（开发自测，验收复核通过）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验证项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前后端 API 契约（97 端点 method+path 一致性）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通过（97/97）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数据层（verify-api 35 + verify-collection 20）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通过（55/55）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后端单元/集成测试（mvn test）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通过（33/33）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前端生产构建（npm run build）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通过（零错误）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3  缺陷情况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统计项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本次验收未发现缺陷。历史开发阶段缺陷（P0-P3 共 35 项）已全部整改闭环，见 bulkhaul-docs/development/fix-plan.md 与 flow-audit.md。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4  遗留问题与说明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事项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级别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说明/计划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L1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演示定位：验收栈 SCHEDULER_AUTO_ENABLED=false（确定性验收），生产栈为 true（C4 leader 单实例）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属部署配置差异，非缺陷；生产切换见 deployment/README.md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L2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性能压测/安全渗透/真机适配未覆盖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演示系统定位，不在本次验收范围；如转生产需补充专项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L3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看板历史趋势为前端种子随机（后端无对应口径）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设计取舍（见 web README 架构说明），不影响业务数据正确性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5  验收结论</w:t>
      </w:r>
    </w:p>
    <w:p>
      <w:pPr>
        <w:spacing w:after="120"/>
        <w:ind w:firstLine="480"/>
      </w:pPr>
      <w:r>
        <w:rPr>
          <w:rFonts w:ascii="Times New Roman" w:hAnsi="Times New Roman" w:eastAsia="宋体"/>
          <w:b/>
          <w:sz w:val="24"/>
        </w:rPr>
        <w:t>经 2026-09-02 验收测试：自动化 E2E 110/110 断言通过（22 场景，零页面错误），人工走查 12/12 通过，未发现 P0/P1 缺陷，满足《验收测试计划》第 5 章通过标准。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28"/>
        </w:rPr>
        <w:t>验收结论：合格，同意通过验收。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 w:eastAsia="黑体"/>
          <w:b/>
          <w:sz w:val="30"/>
        </w:rPr>
        <w:t>验收结论签字页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签字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编制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审核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批准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验收方确认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